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E52E" w14:textId="3CEACA9C" w:rsidR="00F012F6" w:rsidRDefault="00DA6201" w:rsidP="00AA66BA">
      <w:pPr>
        <w:pStyle w:val="Title"/>
      </w:pPr>
      <w:bookmarkStart w:id="0" w:name="_Toc183098290"/>
      <w:r w:rsidRPr="1B6B8FA2">
        <w:t>SEC</w:t>
      </w:r>
      <w:bookmarkEnd w:id="0"/>
      <w:r w:rsidRPr="1B6B8FA2">
        <w:t xml:space="preserve"> </w:t>
      </w:r>
    </w:p>
    <w:p w14:paraId="7C0C745C" w14:textId="4069E668" w:rsidR="00F012F6" w:rsidRDefault="00DA6201" w:rsidP="00AA66BA">
      <w:pPr>
        <w:pStyle w:val="Title"/>
      </w:pPr>
      <w:bookmarkStart w:id="1" w:name="_Toc183098291"/>
      <w:r w:rsidRPr="1B6B8FA2">
        <w:t>Annual Report</w:t>
      </w:r>
      <w:bookmarkEnd w:id="1"/>
    </w:p>
    <w:p w14:paraId="40CC325D" w14:textId="13FDC694" w:rsidR="259D827F" w:rsidRDefault="7A455CC4" w:rsidP="00AA66BA">
      <w:pPr>
        <w:pStyle w:val="Title"/>
      </w:pPr>
      <w:bookmarkStart w:id="2" w:name="_Toc183098292"/>
      <w:r w:rsidRPr="45C528FC">
        <w:t>202</w:t>
      </w:r>
      <w:r w:rsidR="753B3EC8" w:rsidRPr="45C528FC">
        <w:t>5</w:t>
      </w:r>
      <w:bookmarkEnd w:id="2"/>
    </w:p>
    <w:p w14:paraId="41F489CC" w14:textId="201F62B1" w:rsidR="259D827F" w:rsidRDefault="259D827F" w:rsidP="1B6B8FA2">
      <w:pPr>
        <w:rPr>
          <w:b/>
          <w:bCs/>
          <w:sz w:val="72"/>
          <w:szCs w:val="72"/>
        </w:rPr>
      </w:pPr>
    </w:p>
    <w:p w14:paraId="5BD6F3E1" w14:textId="2D7B5CD1" w:rsidR="259D827F" w:rsidRDefault="259D827F" w:rsidP="633CEB10"/>
    <w:p w14:paraId="1535B6A1" w14:textId="7CF6D0FA" w:rsidR="00F012F6" w:rsidRDefault="00F012F6">
      <w:r>
        <w:br w:type="page"/>
      </w:r>
    </w:p>
    <w:p w14:paraId="12D63868" w14:textId="3E3DECDE" w:rsidR="00F012F6" w:rsidRDefault="00F012F6" w:rsidP="00B254AC">
      <w:pPr>
        <w:pStyle w:val="Heading1"/>
      </w:pPr>
      <w:bookmarkStart w:id="3" w:name="_Toc200631659"/>
      <w:bookmarkStart w:id="4" w:name="_Toc478537604"/>
      <w:bookmarkStart w:id="5" w:name="_Toc201222683"/>
      <w:bookmarkStart w:id="6" w:name="_Toc348691447"/>
      <w:bookmarkStart w:id="7" w:name="_Toc1722405826"/>
      <w:bookmarkStart w:id="8" w:name="_Toc97367034"/>
      <w:bookmarkStart w:id="9" w:name="_Toc638321545"/>
      <w:bookmarkStart w:id="10" w:name="_Toc742942657"/>
      <w:bookmarkStart w:id="11" w:name="_Toc1195682881"/>
      <w:bookmarkStart w:id="12" w:name="_Toc203487517"/>
      <w:bookmarkStart w:id="13" w:name="_Toc203656193"/>
      <w:bookmarkStart w:id="14" w:name="_Toc1848880980"/>
      <w:bookmarkStart w:id="15" w:name="_Toc208418020"/>
      <w:bookmarkStart w:id="16" w:name="_Toc209080385"/>
      <w:bookmarkStart w:id="17" w:name="_Toc209703954"/>
      <w:bookmarkStart w:id="18" w:name="_Toc209704007"/>
      <w:bookmarkStart w:id="19" w:name="_Toc209704060"/>
      <w:r>
        <w:t>Acknowledgement of Country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9C59B4B" w14:textId="77777777" w:rsidR="003E79ED" w:rsidRDefault="00F012F6" w:rsidP="00F012F6">
      <w:r w:rsidRPr="00F012F6">
        <w:t xml:space="preserve">We acknowledge and respect Victorian Traditional Owners as the original custodians of Victoria’s land and waters, their unique ability to care for Country and their deep spiritual connection to it. </w:t>
      </w:r>
    </w:p>
    <w:p w14:paraId="194750DE" w14:textId="43FBB117" w:rsidR="00F012F6" w:rsidRDefault="00F012F6" w:rsidP="00F012F6">
      <w:r w:rsidRPr="00F012F6">
        <w:t xml:space="preserve">We honour Elders past and present whose knowledge and wisdom has ensured the continuation of culture and traditional practices. </w:t>
      </w:r>
    </w:p>
    <w:p w14:paraId="64973077" w14:textId="2D05777E" w:rsidR="00F012F6" w:rsidRDefault="00F012F6" w:rsidP="00F012F6">
      <w:r w:rsidRPr="00F012F6">
        <w:t xml:space="preserve">We are committed to genuinely partner, and meaningfully engage, with Victoria’s Traditional Owners and Aboriginal communities to support the protection of Country, the maintenance of spiritual and cultural practices and their broader aspirations in the </w:t>
      </w:r>
      <w:r w:rsidR="00DA6201">
        <w:t>twenty-first</w:t>
      </w:r>
      <w:r w:rsidRPr="00F012F6">
        <w:t xml:space="preserve"> century and beyond.</w:t>
      </w:r>
    </w:p>
    <w:p w14:paraId="6E1712E7" w14:textId="107BF489" w:rsidR="00F012F6" w:rsidRDefault="00F012F6" w:rsidP="00B254AC">
      <w:pPr>
        <w:pStyle w:val="Heading1"/>
      </w:pPr>
      <w:bookmarkStart w:id="20" w:name="_Toc200631660"/>
      <w:bookmarkStart w:id="21" w:name="_Toc2063466188"/>
      <w:bookmarkStart w:id="22" w:name="_Toc201222684"/>
      <w:bookmarkStart w:id="23" w:name="_Toc1403992391"/>
      <w:bookmarkStart w:id="24" w:name="_Toc793341044"/>
      <w:bookmarkStart w:id="25" w:name="_Toc1774472350"/>
      <w:bookmarkStart w:id="26" w:name="_Toc855500908"/>
      <w:bookmarkStart w:id="27" w:name="_Toc1860108659"/>
      <w:bookmarkStart w:id="28" w:name="_Toc1521979448"/>
      <w:bookmarkStart w:id="29" w:name="_Toc203487518"/>
      <w:bookmarkStart w:id="30" w:name="_Toc203656194"/>
      <w:bookmarkStart w:id="31" w:name="_Toc655674072"/>
      <w:bookmarkStart w:id="32" w:name="_Toc208418021"/>
      <w:bookmarkStart w:id="33" w:name="_Toc209080386"/>
      <w:bookmarkStart w:id="34" w:name="_Toc209703955"/>
      <w:bookmarkStart w:id="35" w:name="_Toc209704008"/>
      <w:bookmarkStart w:id="36" w:name="_Toc209704061"/>
      <w:r>
        <w:t>Our partnership with First Peoples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7005CAD" w14:textId="707155F4" w:rsidR="00F012F6" w:rsidRDefault="00F012F6" w:rsidP="00F012F6">
      <w:r w:rsidRPr="006B26CD">
        <w:t xml:space="preserve">We are committed to Aboriginal self-determination and have </w:t>
      </w:r>
      <w:r w:rsidR="006B26CD" w:rsidRPr="00407807">
        <w:t xml:space="preserve">worked with </w:t>
      </w:r>
      <w:r w:rsidRPr="006B26CD">
        <w:t>Traditional Owner Corporations to develop a set of principles to guide our operations and relationship with Victoria’s First Peoples.</w:t>
      </w:r>
      <w:r>
        <w:t xml:space="preserve"> </w:t>
      </w:r>
    </w:p>
    <w:p w14:paraId="3BF8B39C" w14:textId="77777777" w:rsidR="00F012F6" w:rsidRDefault="00F012F6" w:rsidP="00F012F6">
      <w:r>
        <w:t xml:space="preserve">The five guiding principles are: </w:t>
      </w:r>
    </w:p>
    <w:p w14:paraId="1474113E" w14:textId="1FFDD691" w:rsidR="00F012F6" w:rsidRDefault="00DA6201" w:rsidP="00AB652E">
      <w:pPr>
        <w:pStyle w:val="Bullet"/>
      </w:pPr>
      <w:r>
        <w:t>r</w:t>
      </w:r>
      <w:r w:rsidR="00F012F6">
        <w:t>ecognising, prioritising and embedding the unique knowledge and wisdom of Traditional Owners, which includes caring for and speaking for Country</w:t>
      </w:r>
    </w:p>
    <w:p w14:paraId="269CF775" w14:textId="17B43DCD" w:rsidR="00F012F6" w:rsidRDefault="00DA6201" w:rsidP="00AB652E">
      <w:pPr>
        <w:pStyle w:val="Bullet"/>
      </w:pPr>
      <w:r>
        <w:t>e</w:t>
      </w:r>
      <w:r w:rsidR="00F012F6">
        <w:t>stablishing a renewed relationship with First Peoples in Victoria to ensure that First Peoples can share in the benefits of Victoria’s renewable energy transformation</w:t>
      </w:r>
    </w:p>
    <w:p w14:paraId="6EC52A23" w14:textId="2C73DF0F" w:rsidR="00F012F6" w:rsidRDefault="00DA6201" w:rsidP="00AB652E">
      <w:pPr>
        <w:pStyle w:val="Bullet"/>
      </w:pPr>
      <w:r>
        <w:t>e</w:t>
      </w:r>
      <w:r w:rsidR="00F012F6">
        <w:t>mpowering Traditional Owners and Victorian Aboriginal communities to identify their evolving aspirations and determine their relationship with SEC</w:t>
      </w:r>
    </w:p>
    <w:p w14:paraId="034D9AB6" w14:textId="7395906F" w:rsidR="00F012F6" w:rsidRDefault="00DA6201" w:rsidP="00AB652E">
      <w:pPr>
        <w:pStyle w:val="Bullet"/>
      </w:pPr>
      <w:r>
        <w:t>e</w:t>
      </w:r>
      <w:r w:rsidR="00F012F6">
        <w:t>mbedding governance principles, policies and processes to ensure the collective support and decision-making of First Peoples</w:t>
      </w:r>
    </w:p>
    <w:p w14:paraId="3A7BA55B" w14:textId="6DDAC924" w:rsidR="00F012F6" w:rsidRDefault="00DA6201" w:rsidP="00AB652E">
      <w:pPr>
        <w:pStyle w:val="Bullet"/>
      </w:pPr>
      <w:r>
        <w:t>e</w:t>
      </w:r>
      <w:r w:rsidR="00F012F6">
        <w:t>nsuring Victoria’s energy transition preserves, restores and strengthens the rights of Traditional Owners and does not diminish the rights that have been secured to date.</w:t>
      </w:r>
    </w:p>
    <w:p w14:paraId="3277EFA9" w14:textId="4017D491" w:rsidR="00E02B7C" w:rsidRDefault="2965A60C" w:rsidP="00E02B7C">
      <w:r>
        <w:t xml:space="preserve">We have </w:t>
      </w:r>
      <w:r w:rsidR="691A6449">
        <w:t xml:space="preserve">also </w:t>
      </w:r>
      <w:r>
        <w:t>developed a First Peoples benefit sharing framework with input from the First Peoples</w:t>
      </w:r>
      <w:r w:rsidR="16E25738">
        <w:t>’</w:t>
      </w:r>
      <w:r>
        <w:t xml:space="preserve"> Assembly of Victoria, the First Nations Clean Energy Network and Traditional Owner </w:t>
      </w:r>
      <w:r w:rsidR="79749B6F">
        <w:t>C</w:t>
      </w:r>
      <w:r>
        <w:t xml:space="preserve">orporations. </w:t>
      </w:r>
      <w:r w:rsidR="07688F20">
        <w:t>This</w:t>
      </w:r>
      <w:r>
        <w:t xml:space="preserve"> </w:t>
      </w:r>
      <w:r w:rsidR="3E942534">
        <w:t>ensures</w:t>
      </w:r>
      <w:r w:rsidR="1DAB3D7C">
        <w:t xml:space="preserve"> that our projects and activities d</w:t>
      </w:r>
      <w:r w:rsidR="43FB008B">
        <w:t>eliver</w:t>
      </w:r>
      <w:r w:rsidR="1DAB3D7C">
        <w:t xml:space="preserve"> </w:t>
      </w:r>
      <w:r w:rsidR="4C1E64BC">
        <w:t xml:space="preserve">self-determined </w:t>
      </w:r>
      <w:r>
        <w:t xml:space="preserve">financial, employment, training, social, cultural and environmental benefits </w:t>
      </w:r>
      <w:r w:rsidR="00104757">
        <w:t>-</w:t>
      </w:r>
      <w:r>
        <w:t xml:space="preserve"> </w:t>
      </w:r>
      <w:r w:rsidR="25705114">
        <w:t>alongside</w:t>
      </w:r>
      <w:r>
        <w:t xml:space="preserve"> program resourcing and in-kind contributions to drive change.  </w:t>
      </w:r>
    </w:p>
    <w:p w14:paraId="49B95C06" w14:textId="23128F71" w:rsidR="26AC2A28" w:rsidRDefault="00E02B7C">
      <w:r>
        <w:t>Our company constitution embeds our commitment to ensuring that First Peoples share in the benefits of Victoria’s renewable energy transition.  We also have developed an engagement guide to support all parts of our business in their engagement with First Peoples to ensure we work in an appropriate, culturally safe way</w:t>
      </w:r>
      <w:r w:rsidR="004830F8">
        <w:t>.</w:t>
      </w:r>
      <w:r w:rsidR="26AC2A28">
        <w:br w:type="page"/>
      </w:r>
    </w:p>
    <w:p w14:paraId="798A7E18" w14:textId="4B6A83F3" w:rsidR="42B41789" w:rsidRDefault="42B41789" w:rsidP="26AC2A28">
      <w:r w:rsidRPr="49BCD735">
        <w:rPr>
          <w:rFonts w:eastAsia="Arial" w:cs="Arial"/>
          <w:color w:val="000000" w:themeColor="text1"/>
          <w:sz w:val="32"/>
          <w:szCs w:val="32"/>
        </w:rPr>
        <w:t xml:space="preserve">Contents </w:t>
      </w:r>
      <w:r w:rsidRPr="49BCD735">
        <w:rPr>
          <w:rFonts w:eastAsia="Arial" w:cs="Arial"/>
        </w:rPr>
        <w:t xml:space="preserve"> </w:t>
      </w:r>
    </w:p>
    <w:sdt>
      <w:sdtPr>
        <w:id w:val="379048975"/>
        <w:docPartObj>
          <w:docPartGallery w:val="Table of Contents"/>
          <w:docPartUnique/>
        </w:docPartObj>
      </w:sdtPr>
      <w:sdtContent>
        <w:p w14:paraId="27980A8A" w14:textId="1F7496D3" w:rsidR="00614DA5" w:rsidRDefault="00980F38">
          <w:pPr>
            <w:pStyle w:val="TOC1"/>
            <w:tabs>
              <w:tab w:val="right" w:leader="dot" w:pos="9016"/>
            </w:tabs>
            <w:rPr>
              <w:rFonts w:asciiTheme="minorHAnsi" w:eastAsiaTheme="minorEastAsia" w:hAnsiTheme="minorHAnsi" w:cstheme="minorBidi" w:hint="eastAsia"/>
              <w:noProof/>
              <w:sz w:val="24"/>
              <w:szCs w:val="24"/>
              <w:lang w:eastAsia="en-AU"/>
            </w:rPr>
          </w:pPr>
          <w:r>
            <w:fldChar w:fldCharType="begin"/>
          </w:r>
          <w:r>
            <w:instrText xml:space="preserve"> TOC \o "1-1" \h \z </w:instrText>
          </w:r>
          <w:r>
            <w:fldChar w:fldCharType="separate"/>
          </w:r>
          <w:hyperlink w:anchor="_Toc209704007" w:history="1">
            <w:r w:rsidR="00614DA5" w:rsidRPr="00FA0940">
              <w:rPr>
                <w:rStyle w:val="Hyperlink"/>
                <w:noProof/>
              </w:rPr>
              <w:t>Acknowledgement of Country</w:t>
            </w:r>
            <w:r w:rsidR="00614DA5">
              <w:rPr>
                <w:noProof/>
                <w:webHidden/>
              </w:rPr>
              <w:tab/>
            </w:r>
            <w:r w:rsidR="00614DA5">
              <w:rPr>
                <w:noProof/>
                <w:webHidden/>
              </w:rPr>
              <w:fldChar w:fldCharType="begin"/>
            </w:r>
            <w:r w:rsidR="00614DA5">
              <w:rPr>
                <w:noProof/>
                <w:webHidden/>
              </w:rPr>
              <w:instrText xml:space="preserve"> PAGEREF _Toc209704007 \h </w:instrText>
            </w:r>
            <w:r w:rsidR="00614DA5">
              <w:rPr>
                <w:noProof/>
                <w:webHidden/>
              </w:rPr>
            </w:r>
            <w:r w:rsidR="00614DA5">
              <w:rPr>
                <w:noProof/>
                <w:webHidden/>
              </w:rPr>
              <w:fldChar w:fldCharType="separate"/>
            </w:r>
            <w:r w:rsidR="00BC7653">
              <w:rPr>
                <w:noProof/>
                <w:webHidden/>
              </w:rPr>
              <w:t>2</w:t>
            </w:r>
            <w:r w:rsidR="00614DA5">
              <w:rPr>
                <w:noProof/>
                <w:webHidden/>
              </w:rPr>
              <w:fldChar w:fldCharType="end"/>
            </w:r>
          </w:hyperlink>
        </w:p>
        <w:p w14:paraId="785FA903" w14:textId="34DE8754"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0" w:history="1">
            <w:r w:rsidRPr="00FA0940">
              <w:rPr>
                <w:rStyle w:val="Hyperlink"/>
                <w:noProof/>
              </w:rPr>
              <w:t>SEC Milestones</w:t>
            </w:r>
            <w:r>
              <w:rPr>
                <w:noProof/>
                <w:webHidden/>
              </w:rPr>
              <w:tab/>
            </w:r>
            <w:r>
              <w:rPr>
                <w:noProof/>
                <w:webHidden/>
              </w:rPr>
              <w:fldChar w:fldCharType="begin"/>
            </w:r>
            <w:r>
              <w:rPr>
                <w:noProof/>
                <w:webHidden/>
              </w:rPr>
              <w:instrText xml:space="preserve"> PAGEREF _Toc209704010 \h </w:instrText>
            </w:r>
            <w:r>
              <w:rPr>
                <w:noProof/>
                <w:webHidden/>
              </w:rPr>
            </w:r>
            <w:r>
              <w:rPr>
                <w:noProof/>
                <w:webHidden/>
              </w:rPr>
              <w:fldChar w:fldCharType="separate"/>
            </w:r>
            <w:r w:rsidR="00BC7653">
              <w:rPr>
                <w:noProof/>
                <w:webHidden/>
              </w:rPr>
              <w:t>6</w:t>
            </w:r>
            <w:r>
              <w:rPr>
                <w:noProof/>
                <w:webHidden/>
              </w:rPr>
              <w:fldChar w:fldCharType="end"/>
            </w:r>
          </w:hyperlink>
        </w:p>
        <w:p w14:paraId="08E3D573" w14:textId="3DA077A6"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1" w:history="1">
            <w:r w:rsidRPr="00FA0940">
              <w:rPr>
                <w:rStyle w:val="Hyperlink"/>
                <w:noProof/>
              </w:rPr>
              <w:t>Message from the Board Chair</w:t>
            </w:r>
            <w:r>
              <w:rPr>
                <w:noProof/>
                <w:webHidden/>
              </w:rPr>
              <w:tab/>
            </w:r>
            <w:r>
              <w:rPr>
                <w:noProof/>
                <w:webHidden/>
              </w:rPr>
              <w:fldChar w:fldCharType="begin"/>
            </w:r>
            <w:r>
              <w:rPr>
                <w:noProof/>
                <w:webHidden/>
              </w:rPr>
              <w:instrText xml:space="preserve"> PAGEREF _Toc209704011 \h </w:instrText>
            </w:r>
            <w:r>
              <w:rPr>
                <w:noProof/>
                <w:webHidden/>
              </w:rPr>
            </w:r>
            <w:r>
              <w:rPr>
                <w:noProof/>
                <w:webHidden/>
              </w:rPr>
              <w:fldChar w:fldCharType="separate"/>
            </w:r>
            <w:r w:rsidR="00BC7653">
              <w:rPr>
                <w:noProof/>
                <w:webHidden/>
              </w:rPr>
              <w:t>8</w:t>
            </w:r>
            <w:r>
              <w:rPr>
                <w:noProof/>
                <w:webHidden/>
              </w:rPr>
              <w:fldChar w:fldCharType="end"/>
            </w:r>
          </w:hyperlink>
        </w:p>
        <w:p w14:paraId="27804BE9" w14:textId="32897D27"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2" w:history="1">
            <w:r w:rsidRPr="00FA0940">
              <w:rPr>
                <w:rStyle w:val="Hyperlink"/>
                <w:noProof/>
              </w:rPr>
              <w:t>Message from the CEO</w:t>
            </w:r>
            <w:r>
              <w:rPr>
                <w:noProof/>
                <w:webHidden/>
              </w:rPr>
              <w:tab/>
            </w:r>
            <w:r>
              <w:rPr>
                <w:noProof/>
                <w:webHidden/>
              </w:rPr>
              <w:fldChar w:fldCharType="begin"/>
            </w:r>
            <w:r>
              <w:rPr>
                <w:noProof/>
                <w:webHidden/>
              </w:rPr>
              <w:instrText xml:space="preserve"> PAGEREF _Toc209704012 \h </w:instrText>
            </w:r>
            <w:r>
              <w:rPr>
                <w:noProof/>
                <w:webHidden/>
              </w:rPr>
            </w:r>
            <w:r>
              <w:rPr>
                <w:noProof/>
                <w:webHidden/>
              </w:rPr>
              <w:fldChar w:fldCharType="separate"/>
            </w:r>
            <w:r w:rsidR="00BC7653">
              <w:rPr>
                <w:noProof/>
                <w:webHidden/>
              </w:rPr>
              <w:t>10</w:t>
            </w:r>
            <w:r>
              <w:rPr>
                <w:noProof/>
                <w:webHidden/>
              </w:rPr>
              <w:fldChar w:fldCharType="end"/>
            </w:r>
          </w:hyperlink>
        </w:p>
        <w:p w14:paraId="7FECE6C8" w14:textId="282CBCA9"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3" w:history="1">
            <w:r w:rsidRPr="00FA0940">
              <w:rPr>
                <w:rStyle w:val="Hyperlink"/>
                <w:noProof/>
              </w:rPr>
              <w:t>Report of operations</w:t>
            </w:r>
            <w:r>
              <w:rPr>
                <w:noProof/>
                <w:webHidden/>
              </w:rPr>
              <w:tab/>
            </w:r>
            <w:r>
              <w:rPr>
                <w:noProof/>
                <w:webHidden/>
              </w:rPr>
              <w:fldChar w:fldCharType="begin"/>
            </w:r>
            <w:r>
              <w:rPr>
                <w:noProof/>
                <w:webHidden/>
              </w:rPr>
              <w:instrText xml:space="preserve"> PAGEREF _Toc209704013 \h </w:instrText>
            </w:r>
            <w:r>
              <w:rPr>
                <w:noProof/>
                <w:webHidden/>
              </w:rPr>
            </w:r>
            <w:r>
              <w:rPr>
                <w:noProof/>
                <w:webHidden/>
              </w:rPr>
              <w:fldChar w:fldCharType="separate"/>
            </w:r>
            <w:r w:rsidR="00BC7653">
              <w:rPr>
                <w:noProof/>
                <w:webHidden/>
              </w:rPr>
              <w:t>12</w:t>
            </w:r>
            <w:r>
              <w:rPr>
                <w:noProof/>
                <w:webHidden/>
              </w:rPr>
              <w:fldChar w:fldCharType="end"/>
            </w:r>
          </w:hyperlink>
        </w:p>
        <w:p w14:paraId="4CAA692F" w14:textId="769F5AB6"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5" w:history="1">
            <w:r w:rsidRPr="00FA0940">
              <w:rPr>
                <w:rStyle w:val="Hyperlink"/>
                <w:noProof/>
              </w:rPr>
              <w:t>Directors’ report</w:t>
            </w:r>
            <w:r>
              <w:rPr>
                <w:noProof/>
                <w:webHidden/>
              </w:rPr>
              <w:tab/>
            </w:r>
            <w:r>
              <w:rPr>
                <w:noProof/>
                <w:webHidden/>
              </w:rPr>
              <w:fldChar w:fldCharType="begin"/>
            </w:r>
            <w:r>
              <w:rPr>
                <w:noProof/>
                <w:webHidden/>
              </w:rPr>
              <w:instrText xml:space="preserve"> PAGEREF _Toc209704015 \h </w:instrText>
            </w:r>
            <w:r>
              <w:rPr>
                <w:noProof/>
                <w:webHidden/>
              </w:rPr>
            </w:r>
            <w:r>
              <w:rPr>
                <w:noProof/>
                <w:webHidden/>
              </w:rPr>
              <w:fldChar w:fldCharType="separate"/>
            </w:r>
            <w:r w:rsidR="00BC7653">
              <w:rPr>
                <w:noProof/>
                <w:webHidden/>
              </w:rPr>
              <w:t>38</w:t>
            </w:r>
            <w:r>
              <w:rPr>
                <w:noProof/>
                <w:webHidden/>
              </w:rPr>
              <w:fldChar w:fldCharType="end"/>
            </w:r>
          </w:hyperlink>
        </w:p>
        <w:p w14:paraId="40920F3C" w14:textId="5E9A96F8"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6" w:history="1">
            <w:r w:rsidRPr="00FA0940">
              <w:rPr>
                <w:rStyle w:val="Hyperlink"/>
                <w:noProof/>
              </w:rPr>
              <w:t>Auditors’ Independence declaration</w:t>
            </w:r>
            <w:r>
              <w:rPr>
                <w:noProof/>
                <w:webHidden/>
              </w:rPr>
              <w:tab/>
            </w:r>
            <w:r>
              <w:rPr>
                <w:noProof/>
                <w:webHidden/>
              </w:rPr>
              <w:fldChar w:fldCharType="begin"/>
            </w:r>
            <w:r>
              <w:rPr>
                <w:noProof/>
                <w:webHidden/>
              </w:rPr>
              <w:instrText xml:space="preserve"> PAGEREF _Toc209704016 \h </w:instrText>
            </w:r>
            <w:r>
              <w:rPr>
                <w:noProof/>
                <w:webHidden/>
              </w:rPr>
            </w:r>
            <w:r>
              <w:rPr>
                <w:noProof/>
                <w:webHidden/>
              </w:rPr>
              <w:fldChar w:fldCharType="separate"/>
            </w:r>
            <w:r w:rsidR="00BC7653">
              <w:rPr>
                <w:noProof/>
                <w:webHidden/>
              </w:rPr>
              <w:t>47</w:t>
            </w:r>
            <w:r>
              <w:rPr>
                <w:noProof/>
                <w:webHidden/>
              </w:rPr>
              <w:fldChar w:fldCharType="end"/>
            </w:r>
          </w:hyperlink>
        </w:p>
        <w:p w14:paraId="3E5F3E7F" w14:textId="3E63B789"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7" w:history="1">
            <w:r w:rsidRPr="00FA0940">
              <w:rPr>
                <w:rStyle w:val="Hyperlink"/>
                <w:noProof/>
              </w:rPr>
              <w:t>Audit report</w:t>
            </w:r>
            <w:r>
              <w:rPr>
                <w:noProof/>
                <w:webHidden/>
              </w:rPr>
              <w:tab/>
            </w:r>
            <w:r>
              <w:rPr>
                <w:noProof/>
                <w:webHidden/>
              </w:rPr>
              <w:fldChar w:fldCharType="begin"/>
            </w:r>
            <w:r>
              <w:rPr>
                <w:noProof/>
                <w:webHidden/>
              </w:rPr>
              <w:instrText xml:space="preserve"> PAGEREF _Toc209704017 \h </w:instrText>
            </w:r>
            <w:r>
              <w:rPr>
                <w:noProof/>
                <w:webHidden/>
              </w:rPr>
            </w:r>
            <w:r>
              <w:rPr>
                <w:noProof/>
                <w:webHidden/>
              </w:rPr>
              <w:fldChar w:fldCharType="separate"/>
            </w:r>
            <w:r w:rsidR="00BC7653">
              <w:rPr>
                <w:noProof/>
                <w:webHidden/>
              </w:rPr>
              <w:t>48</w:t>
            </w:r>
            <w:r>
              <w:rPr>
                <w:noProof/>
                <w:webHidden/>
              </w:rPr>
              <w:fldChar w:fldCharType="end"/>
            </w:r>
          </w:hyperlink>
        </w:p>
        <w:p w14:paraId="66ED75D6" w14:textId="0CE52BCC"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8" w:history="1">
            <w:r w:rsidRPr="00FA0940">
              <w:rPr>
                <w:rStyle w:val="Hyperlink"/>
                <w:noProof/>
              </w:rPr>
              <w:t>Consolidated statement of profit or loss and other comprehensive income </w:t>
            </w:r>
            <w:r>
              <w:rPr>
                <w:noProof/>
                <w:webHidden/>
              </w:rPr>
              <w:tab/>
            </w:r>
            <w:r>
              <w:rPr>
                <w:noProof/>
                <w:webHidden/>
              </w:rPr>
              <w:fldChar w:fldCharType="begin"/>
            </w:r>
            <w:r>
              <w:rPr>
                <w:noProof/>
                <w:webHidden/>
              </w:rPr>
              <w:instrText xml:space="preserve"> PAGEREF _Toc209704018 \h </w:instrText>
            </w:r>
            <w:r>
              <w:rPr>
                <w:noProof/>
                <w:webHidden/>
              </w:rPr>
            </w:r>
            <w:r>
              <w:rPr>
                <w:noProof/>
                <w:webHidden/>
              </w:rPr>
              <w:fldChar w:fldCharType="separate"/>
            </w:r>
            <w:r w:rsidR="00BC7653">
              <w:rPr>
                <w:noProof/>
                <w:webHidden/>
              </w:rPr>
              <w:t>51</w:t>
            </w:r>
            <w:r>
              <w:rPr>
                <w:noProof/>
                <w:webHidden/>
              </w:rPr>
              <w:fldChar w:fldCharType="end"/>
            </w:r>
          </w:hyperlink>
        </w:p>
        <w:p w14:paraId="3ECE7B91" w14:textId="4CB2D58F"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19" w:history="1">
            <w:r w:rsidRPr="00FA0940">
              <w:rPr>
                <w:rStyle w:val="Hyperlink"/>
                <w:noProof/>
              </w:rPr>
              <w:t>Consolidated statement of financial position</w:t>
            </w:r>
            <w:r>
              <w:rPr>
                <w:noProof/>
                <w:webHidden/>
              </w:rPr>
              <w:tab/>
            </w:r>
            <w:r>
              <w:rPr>
                <w:noProof/>
                <w:webHidden/>
              </w:rPr>
              <w:fldChar w:fldCharType="begin"/>
            </w:r>
            <w:r>
              <w:rPr>
                <w:noProof/>
                <w:webHidden/>
              </w:rPr>
              <w:instrText xml:space="preserve"> PAGEREF _Toc209704019 \h </w:instrText>
            </w:r>
            <w:r>
              <w:rPr>
                <w:noProof/>
                <w:webHidden/>
              </w:rPr>
            </w:r>
            <w:r>
              <w:rPr>
                <w:noProof/>
                <w:webHidden/>
              </w:rPr>
              <w:fldChar w:fldCharType="separate"/>
            </w:r>
            <w:r w:rsidR="00BC7653">
              <w:rPr>
                <w:noProof/>
                <w:webHidden/>
              </w:rPr>
              <w:t>52</w:t>
            </w:r>
            <w:r>
              <w:rPr>
                <w:noProof/>
                <w:webHidden/>
              </w:rPr>
              <w:fldChar w:fldCharType="end"/>
            </w:r>
          </w:hyperlink>
        </w:p>
        <w:p w14:paraId="126747F0" w14:textId="38DB9328"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0" w:history="1">
            <w:r w:rsidRPr="00FA0940">
              <w:rPr>
                <w:rStyle w:val="Hyperlink"/>
                <w:noProof/>
              </w:rPr>
              <w:t>Consolidated statement of changes in equity</w:t>
            </w:r>
            <w:r>
              <w:rPr>
                <w:noProof/>
                <w:webHidden/>
              </w:rPr>
              <w:tab/>
            </w:r>
            <w:r>
              <w:rPr>
                <w:noProof/>
                <w:webHidden/>
              </w:rPr>
              <w:fldChar w:fldCharType="begin"/>
            </w:r>
            <w:r>
              <w:rPr>
                <w:noProof/>
                <w:webHidden/>
              </w:rPr>
              <w:instrText xml:space="preserve"> PAGEREF _Toc209704020 \h </w:instrText>
            </w:r>
            <w:r>
              <w:rPr>
                <w:noProof/>
                <w:webHidden/>
              </w:rPr>
            </w:r>
            <w:r>
              <w:rPr>
                <w:noProof/>
                <w:webHidden/>
              </w:rPr>
              <w:fldChar w:fldCharType="separate"/>
            </w:r>
            <w:r w:rsidR="00BC7653">
              <w:rPr>
                <w:noProof/>
                <w:webHidden/>
              </w:rPr>
              <w:t>53</w:t>
            </w:r>
            <w:r>
              <w:rPr>
                <w:noProof/>
                <w:webHidden/>
              </w:rPr>
              <w:fldChar w:fldCharType="end"/>
            </w:r>
          </w:hyperlink>
        </w:p>
        <w:p w14:paraId="1F3F88FF" w14:textId="2A8C2A34"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1" w:history="1">
            <w:r w:rsidRPr="00FA0940">
              <w:rPr>
                <w:rStyle w:val="Hyperlink"/>
                <w:noProof/>
              </w:rPr>
              <w:t>Consolidated statement of cash flows</w:t>
            </w:r>
            <w:r>
              <w:rPr>
                <w:noProof/>
                <w:webHidden/>
              </w:rPr>
              <w:tab/>
            </w:r>
            <w:r>
              <w:rPr>
                <w:noProof/>
                <w:webHidden/>
              </w:rPr>
              <w:fldChar w:fldCharType="begin"/>
            </w:r>
            <w:r>
              <w:rPr>
                <w:noProof/>
                <w:webHidden/>
              </w:rPr>
              <w:instrText xml:space="preserve"> PAGEREF _Toc209704021 \h </w:instrText>
            </w:r>
            <w:r>
              <w:rPr>
                <w:noProof/>
                <w:webHidden/>
              </w:rPr>
            </w:r>
            <w:r>
              <w:rPr>
                <w:noProof/>
                <w:webHidden/>
              </w:rPr>
              <w:fldChar w:fldCharType="separate"/>
            </w:r>
            <w:r w:rsidR="00BC7653">
              <w:rPr>
                <w:noProof/>
                <w:webHidden/>
              </w:rPr>
              <w:t>54</w:t>
            </w:r>
            <w:r>
              <w:rPr>
                <w:noProof/>
                <w:webHidden/>
              </w:rPr>
              <w:fldChar w:fldCharType="end"/>
            </w:r>
          </w:hyperlink>
        </w:p>
        <w:p w14:paraId="63776B10" w14:textId="36639B68"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2" w:history="1">
            <w:r w:rsidRPr="00FA0940">
              <w:rPr>
                <w:rStyle w:val="Hyperlink"/>
                <w:noProof/>
              </w:rPr>
              <w:t>Notes to the consolidated financial statements</w:t>
            </w:r>
            <w:r>
              <w:rPr>
                <w:noProof/>
                <w:webHidden/>
              </w:rPr>
              <w:tab/>
            </w:r>
            <w:r>
              <w:rPr>
                <w:noProof/>
                <w:webHidden/>
              </w:rPr>
              <w:fldChar w:fldCharType="begin"/>
            </w:r>
            <w:r>
              <w:rPr>
                <w:noProof/>
                <w:webHidden/>
              </w:rPr>
              <w:instrText xml:space="preserve"> PAGEREF _Toc209704022 \h </w:instrText>
            </w:r>
            <w:r>
              <w:rPr>
                <w:noProof/>
                <w:webHidden/>
              </w:rPr>
            </w:r>
            <w:r>
              <w:rPr>
                <w:noProof/>
                <w:webHidden/>
              </w:rPr>
              <w:fldChar w:fldCharType="separate"/>
            </w:r>
            <w:r w:rsidR="00BC7653">
              <w:rPr>
                <w:noProof/>
                <w:webHidden/>
              </w:rPr>
              <w:t>55</w:t>
            </w:r>
            <w:r>
              <w:rPr>
                <w:noProof/>
                <w:webHidden/>
              </w:rPr>
              <w:fldChar w:fldCharType="end"/>
            </w:r>
          </w:hyperlink>
        </w:p>
        <w:p w14:paraId="77532923" w14:textId="0DB980E8"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3" w:history="1">
            <w:r w:rsidRPr="00FA0940">
              <w:rPr>
                <w:rStyle w:val="Hyperlink"/>
                <w:noProof/>
              </w:rPr>
              <w:t>Directors’ declaration</w:t>
            </w:r>
            <w:r>
              <w:rPr>
                <w:noProof/>
                <w:webHidden/>
              </w:rPr>
              <w:tab/>
            </w:r>
            <w:r>
              <w:rPr>
                <w:noProof/>
                <w:webHidden/>
              </w:rPr>
              <w:fldChar w:fldCharType="begin"/>
            </w:r>
            <w:r>
              <w:rPr>
                <w:noProof/>
                <w:webHidden/>
              </w:rPr>
              <w:instrText xml:space="preserve"> PAGEREF _Toc209704023 \h </w:instrText>
            </w:r>
            <w:r>
              <w:rPr>
                <w:noProof/>
                <w:webHidden/>
              </w:rPr>
            </w:r>
            <w:r>
              <w:rPr>
                <w:noProof/>
                <w:webHidden/>
              </w:rPr>
              <w:fldChar w:fldCharType="separate"/>
            </w:r>
            <w:r w:rsidR="00BC7653">
              <w:rPr>
                <w:noProof/>
                <w:webHidden/>
              </w:rPr>
              <w:t>86</w:t>
            </w:r>
            <w:r>
              <w:rPr>
                <w:noProof/>
                <w:webHidden/>
              </w:rPr>
              <w:fldChar w:fldCharType="end"/>
            </w:r>
          </w:hyperlink>
        </w:p>
        <w:p w14:paraId="4C5E2C3C" w14:textId="402F2B0C"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4" w:history="1">
            <w:r w:rsidRPr="00FA0940">
              <w:rPr>
                <w:rStyle w:val="Hyperlink"/>
                <w:noProof/>
              </w:rPr>
              <w:t>Declaration by Board Chair, Chief Executive Officer and Chief Financial Officer</w:t>
            </w:r>
            <w:r>
              <w:rPr>
                <w:noProof/>
                <w:webHidden/>
              </w:rPr>
              <w:tab/>
            </w:r>
            <w:r>
              <w:rPr>
                <w:noProof/>
                <w:webHidden/>
              </w:rPr>
              <w:fldChar w:fldCharType="begin"/>
            </w:r>
            <w:r>
              <w:rPr>
                <w:noProof/>
                <w:webHidden/>
              </w:rPr>
              <w:instrText xml:space="preserve"> PAGEREF _Toc209704024 \h </w:instrText>
            </w:r>
            <w:r>
              <w:rPr>
                <w:noProof/>
                <w:webHidden/>
              </w:rPr>
            </w:r>
            <w:r>
              <w:rPr>
                <w:noProof/>
                <w:webHidden/>
              </w:rPr>
              <w:fldChar w:fldCharType="separate"/>
            </w:r>
            <w:r w:rsidR="00BC7653">
              <w:rPr>
                <w:noProof/>
                <w:webHidden/>
              </w:rPr>
              <w:t>87</w:t>
            </w:r>
            <w:r>
              <w:rPr>
                <w:noProof/>
                <w:webHidden/>
              </w:rPr>
              <w:fldChar w:fldCharType="end"/>
            </w:r>
          </w:hyperlink>
        </w:p>
        <w:p w14:paraId="53D3D1D6" w14:textId="6814CFBC"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5" w:history="1">
            <w:r w:rsidRPr="00FA0940">
              <w:rPr>
                <w:rStyle w:val="Hyperlink"/>
                <w:noProof/>
              </w:rPr>
              <w:t>Corporate compliance</w:t>
            </w:r>
            <w:r>
              <w:rPr>
                <w:noProof/>
                <w:webHidden/>
              </w:rPr>
              <w:tab/>
            </w:r>
            <w:r>
              <w:rPr>
                <w:noProof/>
                <w:webHidden/>
              </w:rPr>
              <w:fldChar w:fldCharType="begin"/>
            </w:r>
            <w:r>
              <w:rPr>
                <w:noProof/>
                <w:webHidden/>
              </w:rPr>
              <w:instrText xml:space="preserve"> PAGEREF _Toc209704025 \h </w:instrText>
            </w:r>
            <w:r>
              <w:rPr>
                <w:noProof/>
                <w:webHidden/>
              </w:rPr>
            </w:r>
            <w:r>
              <w:rPr>
                <w:noProof/>
                <w:webHidden/>
              </w:rPr>
              <w:fldChar w:fldCharType="separate"/>
            </w:r>
            <w:r w:rsidR="00BC7653">
              <w:rPr>
                <w:noProof/>
                <w:webHidden/>
              </w:rPr>
              <w:t>88</w:t>
            </w:r>
            <w:r>
              <w:rPr>
                <w:noProof/>
                <w:webHidden/>
              </w:rPr>
              <w:fldChar w:fldCharType="end"/>
            </w:r>
          </w:hyperlink>
        </w:p>
        <w:p w14:paraId="0025E8FF" w14:textId="1679C037"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26" w:history="1">
            <w:r w:rsidRPr="00FA0940">
              <w:rPr>
                <w:rStyle w:val="Hyperlink"/>
                <w:noProof/>
              </w:rPr>
              <w:t>Disclosure index</w:t>
            </w:r>
            <w:r>
              <w:rPr>
                <w:noProof/>
                <w:webHidden/>
              </w:rPr>
              <w:tab/>
            </w:r>
            <w:r>
              <w:rPr>
                <w:noProof/>
                <w:webHidden/>
              </w:rPr>
              <w:fldChar w:fldCharType="begin"/>
            </w:r>
            <w:r>
              <w:rPr>
                <w:noProof/>
                <w:webHidden/>
              </w:rPr>
              <w:instrText xml:space="preserve"> PAGEREF _Toc209704026 \h </w:instrText>
            </w:r>
            <w:r>
              <w:rPr>
                <w:noProof/>
                <w:webHidden/>
              </w:rPr>
            </w:r>
            <w:r>
              <w:rPr>
                <w:noProof/>
                <w:webHidden/>
              </w:rPr>
              <w:fldChar w:fldCharType="separate"/>
            </w:r>
            <w:r w:rsidR="00BC7653">
              <w:rPr>
                <w:noProof/>
                <w:webHidden/>
              </w:rPr>
              <w:t>95</w:t>
            </w:r>
            <w:r>
              <w:rPr>
                <w:noProof/>
                <w:webHidden/>
              </w:rPr>
              <w:fldChar w:fldCharType="end"/>
            </w:r>
          </w:hyperlink>
        </w:p>
        <w:p w14:paraId="436F9B84" w14:textId="1E6A9C4C" w:rsidR="1FBAAD22" w:rsidRDefault="00980F38" w:rsidP="00980F38">
          <w:pPr>
            <w:pStyle w:val="TOC1"/>
            <w:tabs>
              <w:tab w:val="right" w:leader="dot" w:pos="9016"/>
            </w:tabs>
            <w:rPr>
              <w:rStyle w:val="Hyperlink"/>
            </w:rPr>
          </w:pPr>
          <w:r>
            <w:fldChar w:fldCharType="end"/>
          </w:r>
        </w:p>
      </w:sdtContent>
    </w:sdt>
    <w:p w14:paraId="7CF076C4" w14:textId="486EBA0D" w:rsidR="00F012F6" w:rsidRPr="00F65403" w:rsidRDefault="00F012F6" w:rsidP="00AC2D13">
      <w:pPr>
        <w:pStyle w:val="TOC1"/>
        <w:tabs>
          <w:tab w:val="right" w:leader="dot" w:pos="9015"/>
        </w:tabs>
      </w:pPr>
      <w:r w:rsidRPr="00CC1929">
        <w:rPr>
          <w:sz w:val="32"/>
          <w:szCs w:val="32"/>
        </w:rPr>
        <w:br w:type="page"/>
      </w:r>
    </w:p>
    <w:p w14:paraId="402D470B" w14:textId="7F65CCD7" w:rsidR="1ACF798E" w:rsidRDefault="554C5F77" w:rsidP="03E87445">
      <w:pPr>
        <w:keepNext/>
        <w:keepLines/>
        <w:spacing w:before="160" w:after="80" w:line="279" w:lineRule="auto"/>
        <w:rPr>
          <w:rFonts w:eastAsia="Arial" w:cs="Arial"/>
          <w:color w:val="000000" w:themeColor="text1"/>
          <w:lang w:val="en-US"/>
        </w:rPr>
      </w:pPr>
      <w:bookmarkStart w:id="37" w:name="_Toc208418023"/>
      <w:bookmarkStart w:id="38" w:name="_Toc209080387"/>
      <w:bookmarkStart w:id="39" w:name="_Toc209703956"/>
      <w:bookmarkStart w:id="40" w:name="_Toc209704009"/>
      <w:bookmarkStart w:id="41" w:name="_Toc209704062"/>
      <w:r w:rsidRPr="1DDDB645">
        <w:rPr>
          <w:rStyle w:val="Heading1Char"/>
        </w:rPr>
        <w:t>2025 highlights*</w:t>
      </w:r>
      <w:bookmarkEnd w:id="37"/>
      <w:bookmarkEnd w:id="38"/>
      <w:bookmarkEnd w:id="39"/>
      <w:bookmarkEnd w:id="40"/>
      <w:bookmarkEnd w:id="41"/>
    </w:p>
    <w:p w14:paraId="106FBAB8" w14:textId="0264AFFA" w:rsidR="1ACF798E" w:rsidRDefault="6BBB4478" w:rsidP="1575A3E8">
      <w:pPr>
        <w:pStyle w:val="Heading4"/>
        <w:rPr>
          <w:rFonts w:hint="eastAsia"/>
        </w:rPr>
      </w:pPr>
      <w:r>
        <w:t>Renewable g</w:t>
      </w:r>
      <w:r w:rsidR="578282D0">
        <w:t xml:space="preserve">eneration and storage </w:t>
      </w:r>
    </w:p>
    <w:p w14:paraId="4CB4DAE1" w14:textId="425725BC" w:rsidR="1ACF798E" w:rsidRDefault="0771E2E8" w:rsidP="03E87445">
      <w:pPr>
        <w:spacing w:after="0"/>
        <w:rPr>
          <w:rFonts w:ascii="Aptos" w:eastAsia="Aptos" w:hAnsi="Aptos" w:cs="Aptos"/>
        </w:rPr>
      </w:pPr>
      <w:r>
        <w:t>819 MW renewables and storage projects committed</w:t>
      </w:r>
    </w:p>
    <w:p w14:paraId="6CA99616" w14:textId="57854245" w:rsidR="216D70A4" w:rsidRDefault="216D70A4"/>
    <w:p w14:paraId="6BC6CA3E" w14:textId="1987D6C7" w:rsidR="1ACF798E" w:rsidRDefault="0771E2E8">
      <w:r>
        <w:t>$245 million investment in the Melbourne Renewable Energy</w:t>
      </w:r>
    </w:p>
    <w:p w14:paraId="49BA1379" w14:textId="44810D7C" w:rsidR="1ACF798E" w:rsidRDefault="0771E2E8">
      <w:r>
        <w:t>Hub with 600 MW storage capacity, due for commercial</w:t>
      </w:r>
    </w:p>
    <w:p w14:paraId="002621C4" w14:textId="6B761AE8" w:rsidR="1ACF798E" w:rsidRDefault="0771E2E8">
      <w:r>
        <w:t>operation December 2025</w:t>
      </w:r>
    </w:p>
    <w:p w14:paraId="3FD226D8" w14:textId="6F534DF5" w:rsidR="1ACF798E" w:rsidRDefault="018FC051">
      <w:r>
        <w:t>As at</w:t>
      </w:r>
      <w:r w:rsidR="3C173A04">
        <w:t xml:space="preserve"> 30 June 2025: </w:t>
      </w:r>
    </w:p>
    <w:p w14:paraId="6C49641D" w14:textId="4808D2FC" w:rsidR="1ACF798E" w:rsidRDefault="61BAA694">
      <w:r>
        <w:t>8</w:t>
      </w:r>
      <w:r w:rsidR="2BB76040">
        <w:t>4</w:t>
      </w:r>
      <w:r w:rsidR="0771E2E8">
        <w:t>% of project</w:t>
      </w:r>
      <w:r w:rsidR="338561E1">
        <w:t xml:space="preserve"> completed</w:t>
      </w:r>
    </w:p>
    <w:p w14:paraId="0B31BB29" w14:textId="6B02D7BE" w:rsidR="1ACF798E" w:rsidRDefault="70857C57">
      <w:r>
        <w:t>79</w:t>
      </w:r>
      <w:r w:rsidR="338561E1">
        <w:t xml:space="preserve">% of committed spend </w:t>
      </w:r>
      <w:r w:rsidR="3C63C657">
        <w:t xml:space="preserve">incurred  </w:t>
      </w:r>
    </w:p>
    <w:p w14:paraId="27A46D83" w14:textId="7D47BB1A" w:rsidR="216D70A4" w:rsidRDefault="216D70A4"/>
    <w:p w14:paraId="76AF8F9F" w14:textId="023B3231" w:rsidR="1ACF798E" w:rsidRDefault="0771E2E8">
      <w:r>
        <w:t>$370 million investment in the SEC Renewable Energy Park</w:t>
      </w:r>
    </w:p>
    <w:p w14:paraId="31573620" w14:textId="578AB77A" w:rsidR="1ACF798E" w:rsidRDefault="0771E2E8">
      <w:r>
        <w:t>- Horsham with 119 MW solar generation capacity and a 100</w:t>
      </w:r>
    </w:p>
    <w:p w14:paraId="7B5D43B9" w14:textId="21C39EE1" w:rsidR="1ACF798E" w:rsidRDefault="33622550">
      <w:r>
        <w:t xml:space="preserve">MW </w:t>
      </w:r>
      <w:r w:rsidR="616A8BD0">
        <w:t>2-hour</w:t>
      </w:r>
      <w:r>
        <w:t xml:space="preserve"> </w:t>
      </w:r>
      <w:r w:rsidR="09335708">
        <w:t>B</w:t>
      </w:r>
      <w:r w:rsidR="2E5FCCD9">
        <w:t xml:space="preserve">attery </w:t>
      </w:r>
      <w:r w:rsidR="1ECAA9EE">
        <w:t>E</w:t>
      </w:r>
      <w:r w:rsidR="2E5FCCD9">
        <w:t xml:space="preserve">nergy </w:t>
      </w:r>
      <w:r w:rsidR="1BBDB4DD">
        <w:t>S</w:t>
      </w:r>
      <w:r w:rsidR="2E5FCCD9">
        <w:t xml:space="preserve">torage </w:t>
      </w:r>
      <w:r w:rsidR="3C7028A6">
        <w:t>S</w:t>
      </w:r>
      <w:r w:rsidR="2E5FCCD9">
        <w:t>ystem</w:t>
      </w:r>
      <w:r>
        <w:t>, due for commercial operation in late 2027</w:t>
      </w:r>
    </w:p>
    <w:p w14:paraId="50DD92B1" w14:textId="7CD379AD" w:rsidR="1ACF798E" w:rsidRDefault="4E118775">
      <w:r>
        <w:t>As at</w:t>
      </w:r>
      <w:r w:rsidR="058E40C6">
        <w:t xml:space="preserve"> 30 June 2025: </w:t>
      </w:r>
    </w:p>
    <w:p w14:paraId="0D507A06" w14:textId="25921BBE" w:rsidR="1ACF798E" w:rsidRDefault="482BF2F4">
      <w:r>
        <w:t>2</w:t>
      </w:r>
      <w:r w:rsidR="058E40C6">
        <w:t>4% of project completed</w:t>
      </w:r>
    </w:p>
    <w:p w14:paraId="496E34B6" w14:textId="4273E3CD" w:rsidR="1ACF798E" w:rsidRDefault="5301AF4C">
      <w:r>
        <w:t>26</w:t>
      </w:r>
      <w:r w:rsidR="058E40C6">
        <w:t xml:space="preserve">% of committed spend </w:t>
      </w:r>
      <w:r w:rsidR="528E74D9">
        <w:t>incurred</w:t>
      </w:r>
    </w:p>
    <w:p w14:paraId="4F1E09DC" w14:textId="6797BA38" w:rsidR="1ACF798E" w:rsidRDefault="1ACF798E" w:rsidP="31676689">
      <w:pPr>
        <w:pStyle w:val="Heading4"/>
        <w:rPr>
          <w:rFonts w:hint="eastAsia"/>
        </w:rPr>
      </w:pPr>
    </w:p>
    <w:p w14:paraId="42620B74" w14:textId="0346B8A7" w:rsidR="1ACF798E" w:rsidRDefault="3B1C566B" w:rsidP="1575A3E8">
      <w:pPr>
        <w:pStyle w:val="Heading4"/>
        <w:rPr>
          <w:rFonts w:hint="eastAsia"/>
        </w:rPr>
      </w:pPr>
      <w:r>
        <w:t xml:space="preserve">Household </w:t>
      </w:r>
      <w:r w:rsidR="554C5F77">
        <w:t>electrification</w:t>
      </w:r>
    </w:p>
    <w:p w14:paraId="26BCB51A" w14:textId="08A5D17B" w:rsidR="1ACF798E" w:rsidRDefault="554C5F77">
      <w:r>
        <w:t>4​ pilots across 6 local government areas​</w:t>
      </w:r>
    </w:p>
    <w:p w14:paraId="153749B2" w14:textId="2DAEB62F" w:rsidR="554C5F77" w:rsidRDefault="554C5F77">
      <w:r>
        <w:t xml:space="preserve">14,000+ </w:t>
      </w:r>
      <w:r w:rsidR="4379A539">
        <w:t>households visit our electric home planner to see how making electric upgrades can help them save money</w:t>
      </w:r>
    </w:p>
    <w:p w14:paraId="2018D78D" w14:textId="6F9E8B38" w:rsidR="1ACF798E" w:rsidRDefault="554C5F77">
      <w:r>
        <w:t>3</w:t>
      </w:r>
      <w:r w:rsidR="2E6BAF4E">
        <w:t>,</w:t>
      </w:r>
      <w:r>
        <w:t xml:space="preserve">710+ households generating home electrification assessments </w:t>
      </w:r>
    </w:p>
    <w:p w14:paraId="7829D095" w14:textId="11877333" w:rsidR="1ACF798E" w:rsidRDefault="1ACF798E" w:rsidP="5A9A472D"/>
    <w:p w14:paraId="6E3FE386" w14:textId="48A63A51" w:rsidR="1ACF798E" w:rsidRDefault="554C5F77" w:rsidP="1575A3E8">
      <w:pPr>
        <w:pStyle w:val="Heading4"/>
        <w:rPr>
          <w:rFonts w:hint="eastAsia"/>
        </w:rPr>
      </w:pPr>
      <w:r>
        <w:t>Workforce</w:t>
      </w:r>
    </w:p>
    <w:p w14:paraId="0C974E38" w14:textId="1A516789" w:rsidR="1ACF798E" w:rsidRDefault="65B5212A" w:rsidP="1575A3E8">
      <w:r>
        <w:t xml:space="preserve">1,345 job opportunities created on projects </w:t>
      </w:r>
    </w:p>
    <w:p w14:paraId="0531C9AE" w14:textId="76060EF3" w:rsidR="1ACF798E" w:rsidRDefault="65B5212A" w:rsidP="1575A3E8">
      <w:r>
        <w:t xml:space="preserve">76 apprentices, trainees and cadets involved on projects </w:t>
      </w:r>
    </w:p>
    <w:p w14:paraId="532494B8" w14:textId="04851FC3" w:rsidR="1ACF798E" w:rsidRDefault="554C5F77" w:rsidP="1575A3E8">
      <w:pPr>
        <w:rPr>
          <w:b/>
          <w:bCs/>
        </w:rPr>
      </w:pPr>
      <w:r>
        <w:t>3</w:t>
      </w:r>
      <w:r w:rsidR="5DB07DEA">
        <w:t>,</w:t>
      </w:r>
      <w:r>
        <w:t>800+ students engaged in career development activities</w:t>
      </w:r>
    </w:p>
    <w:p w14:paraId="3565839F" w14:textId="24C19088" w:rsidR="1ACF798E" w:rsidRDefault="1ACF798E" w:rsidP="1C437A3A"/>
    <w:p w14:paraId="5682467C" w14:textId="13518485" w:rsidR="1C437A3A" w:rsidRDefault="1C437A3A" w:rsidP="186680F3">
      <w:pPr>
        <w:rPr>
          <w:i/>
          <w:iCs/>
        </w:rPr>
      </w:pPr>
      <w:r>
        <w:br w:type="page"/>
      </w:r>
      <w:r w:rsidR="59006FED" w:rsidRPr="186680F3">
        <w:rPr>
          <w:i/>
          <w:iCs/>
        </w:rPr>
        <w:t>Retailing</w:t>
      </w:r>
      <w:r w:rsidR="5350A2F2" w:rsidRPr="186680F3">
        <w:rPr>
          <w:i/>
          <w:iCs/>
        </w:rPr>
        <w:t xml:space="preserve"> renewable electricity</w:t>
      </w:r>
    </w:p>
    <w:p w14:paraId="737987C3" w14:textId="4B26978A" w:rsidR="1C437A3A" w:rsidRDefault="103636B2" w:rsidP="67A7CCE7">
      <w:r>
        <w:t xml:space="preserve">Around </w:t>
      </w:r>
      <w:r w:rsidR="4EDEAF89">
        <w:t>5% ​of state’s total energy demand served by SEC*</w:t>
      </w:r>
    </w:p>
    <w:p w14:paraId="4DDC4A14" w14:textId="2D82A669" w:rsidR="1C437A3A" w:rsidRDefault="4EDEAF89" w:rsidP="67A7CCE7">
      <w:r>
        <w:t>4,000+ government sites powered by SEC with 100% renewable electricity*</w:t>
      </w:r>
    </w:p>
    <w:p w14:paraId="7D9E69E7" w14:textId="301F1EFE" w:rsidR="1C437A3A" w:rsidRDefault="59006FED" w:rsidP="24A7558E">
      <w:pPr>
        <w:rPr>
          <w:i/>
          <w:iCs/>
        </w:rPr>
      </w:pPr>
      <w:r w:rsidRPr="24A7558E">
        <w:t xml:space="preserve">6 Victorian Renewable Energy Target auction contracts </w:t>
      </w:r>
      <w:r w:rsidR="2249D1EC" w:rsidRPr="24A7558E">
        <w:t>successfully transferred</w:t>
      </w:r>
      <w:r w:rsidRPr="24A7558E">
        <w:t xml:space="preserve"> </w:t>
      </w:r>
      <w:r w:rsidRPr="34139D78">
        <w:t xml:space="preserve">to SEC ahead of the 1 July 2025 retail launch </w:t>
      </w:r>
    </w:p>
    <w:p w14:paraId="71CBD6CC" w14:textId="7FA63A8C" w:rsidR="1C437A3A" w:rsidRDefault="478305BB" w:rsidP="2AE285E9">
      <w:pPr>
        <w:rPr>
          <w:i/>
          <w:iCs/>
        </w:rPr>
      </w:pPr>
      <w:r w:rsidRPr="2AE285E9">
        <w:rPr>
          <w:i/>
          <w:iCs/>
        </w:rPr>
        <w:t>From 1 July 2025</w:t>
      </w:r>
    </w:p>
    <w:p w14:paraId="34C8000C" w14:textId="379DE08B" w:rsidR="1C437A3A" w:rsidRDefault="1C437A3A"/>
    <w:p w14:paraId="7CC8B764" w14:textId="16638B49" w:rsidR="1B1A0F3D" w:rsidRDefault="1B1A0F3D">
      <w:r>
        <w:br w:type="page"/>
      </w:r>
    </w:p>
    <w:p w14:paraId="2BC03D73" w14:textId="4EEB9738" w:rsidR="1C437A3A" w:rsidRDefault="1C437A3A"/>
    <w:p w14:paraId="4EAB73C5" w14:textId="18CDC957" w:rsidR="009E4CB7" w:rsidRDefault="50BBAA9C" w:rsidP="6FE1A15E">
      <w:pPr>
        <w:pStyle w:val="Heading1"/>
      </w:pPr>
      <w:bookmarkStart w:id="42" w:name="_Toc209080388"/>
      <w:bookmarkStart w:id="43" w:name="_Toc209703957"/>
      <w:bookmarkStart w:id="44" w:name="_Toc209704010"/>
      <w:bookmarkStart w:id="45" w:name="_Toc209704063"/>
      <w:r>
        <w:t>SEC Milestones</w:t>
      </w:r>
      <w:bookmarkEnd w:id="42"/>
      <w:bookmarkEnd w:id="43"/>
      <w:bookmarkEnd w:id="44"/>
      <w:bookmarkEnd w:id="45"/>
    </w:p>
    <w:tbl>
      <w:tblPr>
        <w:tblStyle w:val="TableGrid"/>
        <w:tblW w:w="9132" w:type="dxa"/>
        <w:tblLayout w:type="fixed"/>
        <w:tblLook w:val="06A0" w:firstRow="1" w:lastRow="0" w:firstColumn="1" w:lastColumn="0" w:noHBand="1" w:noVBand="1"/>
      </w:tblPr>
      <w:tblGrid>
        <w:gridCol w:w="2254"/>
        <w:gridCol w:w="2254"/>
        <w:gridCol w:w="2254"/>
        <w:gridCol w:w="2370"/>
      </w:tblGrid>
      <w:tr w:rsidR="4A39FF2D" w14:paraId="26557160" w14:textId="77777777" w:rsidTr="5F00AEE4">
        <w:trPr>
          <w:trHeight w:val="300"/>
        </w:trPr>
        <w:tc>
          <w:tcPr>
            <w:tcW w:w="2254" w:type="dxa"/>
          </w:tcPr>
          <w:p w14:paraId="410A6472" w14:textId="2F30EA3A" w:rsidR="4A39FF2D" w:rsidRDefault="4A39FF2D" w:rsidP="4A39FF2D"/>
        </w:tc>
        <w:tc>
          <w:tcPr>
            <w:tcW w:w="2254" w:type="dxa"/>
          </w:tcPr>
          <w:p w14:paraId="069F1B72" w14:textId="76A45B88" w:rsidR="50BBAA9C" w:rsidRDefault="159222A5" w:rsidP="32C2284A">
            <w:pPr>
              <w:rPr>
                <w:b/>
                <w:bCs/>
              </w:rPr>
            </w:pPr>
            <w:r w:rsidRPr="0D63460E">
              <w:rPr>
                <w:b/>
                <w:bCs/>
              </w:rPr>
              <w:t>FY24</w:t>
            </w:r>
          </w:p>
          <w:p w14:paraId="3C8CDC69" w14:textId="25B2F725" w:rsidR="50BBAA9C" w:rsidRDefault="7E7055DC" w:rsidP="32C2284A">
            <w:pPr>
              <w:rPr>
                <w:b/>
                <w:bCs/>
              </w:rPr>
            </w:pPr>
            <w:r w:rsidRPr="0D63460E">
              <w:rPr>
                <w:b/>
                <w:bCs/>
              </w:rPr>
              <w:t>Setting the foundations</w:t>
            </w:r>
          </w:p>
        </w:tc>
        <w:tc>
          <w:tcPr>
            <w:tcW w:w="2254" w:type="dxa"/>
          </w:tcPr>
          <w:p w14:paraId="7DED9E58" w14:textId="7320CEF0" w:rsidR="50BBAA9C" w:rsidRDefault="159222A5" w:rsidP="32C2284A">
            <w:pPr>
              <w:rPr>
                <w:b/>
                <w:bCs/>
              </w:rPr>
            </w:pPr>
            <w:r w:rsidRPr="0D63460E">
              <w:rPr>
                <w:b/>
                <w:bCs/>
              </w:rPr>
              <w:t>FY25</w:t>
            </w:r>
          </w:p>
          <w:p w14:paraId="7548B14A" w14:textId="4D7761E8" w:rsidR="50BBAA9C" w:rsidRDefault="4846B851" w:rsidP="32C2284A">
            <w:pPr>
              <w:rPr>
                <w:b/>
                <w:bCs/>
              </w:rPr>
            </w:pPr>
            <w:r w:rsidRPr="6FE1A15E">
              <w:rPr>
                <w:b/>
                <w:bCs/>
              </w:rPr>
              <w:t>Build</w:t>
            </w:r>
            <w:r w:rsidR="433A8C0B" w:rsidRPr="6FE1A15E">
              <w:rPr>
                <w:b/>
                <w:bCs/>
              </w:rPr>
              <w:t>ing</w:t>
            </w:r>
            <w:r w:rsidRPr="0D63460E">
              <w:rPr>
                <w:b/>
                <w:bCs/>
              </w:rPr>
              <w:t xml:space="preserve"> capability</w:t>
            </w:r>
          </w:p>
        </w:tc>
        <w:tc>
          <w:tcPr>
            <w:tcW w:w="2370" w:type="dxa"/>
          </w:tcPr>
          <w:p w14:paraId="34C7505E" w14:textId="09D6CC2C" w:rsidR="50BBAA9C" w:rsidRDefault="159222A5" w:rsidP="32C2284A">
            <w:pPr>
              <w:rPr>
                <w:b/>
                <w:bCs/>
              </w:rPr>
            </w:pPr>
            <w:r w:rsidRPr="0D63460E">
              <w:rPr>
                <w:b/>
                <w:bCs/>
              </w:rPr>
              <w:t>FY26</w:t>
            </w:r>
          </w:p>
          <w:p w14:paraId="29572126" w14:textId="6635AF54" w:rsidR="50BBAA9C" w:rsidRDefault="231A8FBD" w:rsidP="32C2284A">
            <w:pPr>
              <w:rPr>
                <w:b/>
                <w:bCs/>
              </w:rPr>
            </w:pPr>
            <w:r w:rsidRPr="5BD02A34">
              <w:rPr>
                <w:b/>
                <w:bCs/>
              </w:rPr>
              <w:t>Delivering financial returns</w:t>
            </w:r>
          </w:p>
        </w:tc>
      </w:tr>
      <w:tr w:rsidR="4A39FF2D" w14:paraId="67B3AB55" w14:textId="77777777" w:rsidTr="5F00AEE4">
        <w:trPr>
          <w:trHeight w:val="300"/>
        </w:trPr>
        <w:tc>
          <w:tcPr>
            <w:tcW w:w="2254" w:type="dxa"/>
          </w:tcPr>
          <w:p w14:paraId="43AFE91C" w14:textId="3BF54D0B" w:rsidR="50BBAA9C" w:rsidRDefault="7E6E9205" w:rsidP="5BD02A34">
            <w:r>
              <w:t>Renewable generation and storage</w:t>
            </w:r>
          </w:p>
        </w:tc>
        <w:tc>
          <w:tcPr>
            <w:tcW w:w="2254" w:type="dxa"/>
          </w:tcPr>
          <w:p w14:paraId="1DC60DB5" w14:textId="120E56CF" w:rsidR="4A39FF2D" w:rsidRDefault="7C20B0E8" w:rsidP="4A39FF2D">
            <w:r>
              <w:t>NOVEMBER 2023</w:t>
            </w:r>
          </w:p>
          <w:p w14:paraId="1B3FAA6E" w14:textId="53BD766A" w:rsidR="4A39FF2D" w:rsidRDefault="7C20B0E8">
            <w:r>
              <w:t>First project</w:t>
            </w:r>
          </w:p>
          <w:p w14:paraId="2569C74E" w14:textId="27D6524F" w:rsidR="4A39FF2D" w:rsidRDefault="7C20B0E8">
            <w:r>
              <w:t>announced, with $245</w:t>
            </w:r>
          </w:p>
          <w:p w14:paraId="644BFC91" w14:textId="6F8B56BA" w:rsidR="4A39FF2D" w:rsidRDefault="7C20B0E8">
            <w:r>
              <w:t xml:space="preserve">million </w:t>
            </w:r>
            <w:r w:rsidR="2FAD330C">
              <w:t>committed towards</w:t>
            </w:r>
          </w:p>
          <w:p w14:paraId="4F219587" w14:textId="2537EA7B" w:rsidR="4A39FF2D" w:rsidRDefault="7C20B0E8">
            <w:r>
              <w:t>Melbourne Renewable</w:t>
            </w:r>
          </w:p>
          <w:p w14:paraId="17C18E43" w14:textId="1515BA0F" w:rsidR="4A39FF2D" w:rsidRDefault="7C20B0E8" w:rsidP="4A39FF2D">
            <w:r>
              <w:t>Energy Hub (MREH)</w:t>
            </w:r>
          </w:p>
        </w:tc>
        <w:tc>
          <w:tcPr>
            <w:tcW w:w="2254" w:type="dxa"/>
          </w:tcPr>
          <w:p w14:paraId="093DBAD0" w14:textId="28316699" w:rsidR="4A39FF2D" w:rsidRDefault="183E358C" w:rsidP="4A39FF2D">
            <w:r>
              <w:t>SEPTEMBER 2024</w:t>
            </w:r>
          </w:p>
          <w:p w14:paraId="63B41B35" w14:textId="7D7C096D" w:rsidR="4A39FF2D" w:rsidRDefault="183E358C">
            <w:r>
              <w:t>Battery units begin</w:t>
            </w:r>
          </w:p>
          <w:p w14:paraId="6B32EDDC" w14:textId="4E5A1B3D" w:rsidR="4A39FF2D" w:rsidRDefault="183E358C">
            <w:r>
              <w:t>arriving at MREH</w:t>
            </w:r>
          </w:p>
          <w:p w14:paraId="10A2CFCD" w14:textId="153BF663" w:rsidR="5FD53BEA" w:rsidRDefault="5FD53BEA" w:rsidP="5FD53BEA"/>
          <w:p w14:paraId="426C7C0C" w14:textId="00C7343F" w:rsidR="4A39FF2D" w:rsidRDefault="183E358C">
            <w:r>
              <w:t>NOVEMBER 2024</w:t>
            </w:r>
          </w:p>
          <w:p w14:paraId="3BB49A1B" w14:textId="22B4DCDD" w:rsidR="4A39FF2D" w:rsidRDefault="183E358C">
            <w:r>
              <w:t>Second major project</w:t>
            </w:r>
          </w:p>
          <w:p w14:paraId="73C4DFD8" w14:textId="5752F5B6" w:rsidR="4A39FF2D" w:rsidRDefault="183E358C">
            <w:r>
              <w:t>announced, the $370</w:t>
            </w:r>
          </w:p>
          <w:p w14:paraId="5403DFAB" w14:textId="393E412E" w:rsidR="4A39FF2D" w:rsidRDefault="183E358C">
            <w:r>
              <w:t>million SEC Renewable</w:t>
            </w:r>
          </w:p>
          <w:p w14:paraId="44F8DE78" w14:textId="3E820AE3" w:rsidR="4A39FF2D" w:rsidRDefault="183E358C">
            <w:r>
              <w:t xml:space="preserve">Energy Park </w:t>
            </w:r>
            <w:r w:rsidR="00104757">
              <w:t>-</w:t>
            </w:r>
            <w:r>
              <w:t xml:space="preserve"> Horsham</w:t>
            </w:r>
          </w:p>
          <w:p w14:paraId="59AC5746" w14:textId="75841822" w:rsidR="5FD53BEA" w:rsidRDefault="5FD53BEA" w:rsidP="5FD53BEA"/>
          <w:p w14:paraId="344E66F9" w14:textId="68169961" w:rsidR="4A39FF2D" w:rsidRDefault="183E358C">
            <w:r>
              <w:t>JANUARY 2025</w:t>
            </w:r>
          </w:p>
          <w:p w14:paraId="20CEDB67" w14:textId="320DF396" w:rsidR="4A39FF2D" w:rsidRDefault="183E358C">
            <w:r>
              <w:t>Transformers arrive at</w:t>
            </w:r>
          </w:p>
          <w:p w14:paraId="0FE85BB7" w14:textId="182972C8" w:rsidR="4A39FF2D" w:rsidRDefault="183E358C" w:rsidP="4A39FF2D">
            <w:r>
              <w:t>MREH</w:t>
            </w:r>
          </w:p>
        </w:tc>
        <w:tc>
          <w:tcPr>
            <w:tcW w:w="2370" w:type="dxa"/>
          </w:tcPr>
          <w:p w14:paraId="70EDA2D9" w14:textId="06140C9E" w:rsidR="1A703A6D" w:rsidRDefault="629442EA" w:rsidP="1A703A6D">
            <w:r>
              <w:t>AUGUST 2025</w:t>
            </w:r>
          </w:p>
          <w:p w14:paraId="5EFA3DFE" w14:textId="498B1082" w:rsidR="1A703A6D" w:rsidRDefault="629442EA" w:rsidP="1A703A6D">
            <w:r>
              <w:t>Energisation of MREH</w:t>
            </w:r>
            <w:r w:rsidR="47915AED">
              <w:t xml:space="preserve"> began</w:t>
            </w:r>
          </w:p>
          <w:p w14:paraId="06CDA8A5" w14:textId="754378F3" w:rsidR="1A703A6D" w:rsidRDefault="1A703A6D" w:rsidP="1A703A6D"/>
          <w:p w14:paraId="7EC5E5D2" w14:textId="074D362D" w:rsidR="1A703A6D" w:rsidRDefault="028183BD" w:rsidP="1A703A6D">
            <w:r>
              <w:t>DECEMBER 2025</w:t>
            </w:r>
          </w:p>
          <w:p w14:paraId="60EB378E" w14:textId="44A7A2C6" w:rsidR="1A703A6D" w:rsidRDefault="028183BD" w:rsidP="1A703A6D">
            <w:r>
              <w:t xml:space="preserve">MREH </w:t>
            </w:r>
            <w:r w:rsidR="229C146B">
              <w:t xml:space="preserve">operational </w:t>
            </w:r>
            <w:r w:rsidR="21777E00">
              <w:t>(increasing supply of renewable energy to the grid and putting downward pressure on energy prices)</w:t>
            </w:r>
          </w:p>
        </w:tc>
      </w:tr>
      <w:tr w:rsidR="4A39FF2D" w14:paraId="28B7E2D3" w14:textId="77777777" w:rsidTr="5F00AEE4">
        <w:trPr>
          <w:trHeight w:val="300"/>
        </w:trPr>
        <w:tc>
          <w:tcPr>
            <w:tcW w:w="2254" w:type="dxa"/>
          </w:tcPr>
          <w:p w14:paraId="4EB3D1AD" w14:textId="6F45B420" w:rsidR="50BBAA9C" w:rsidRDefault="67DEDC71" w:rsidP="5BD02A34">
            <w:r>
              <w:t>Retailing renewable electricity</w:t>
            </w:r>
          </w:p>
        </w:tc>
        <w:tc>
          <w:tcPr>
            <w:tcW w:w="2254" w:type="dxa"/>
          </w:tcPr>
          <w:p w14:paraId="75C61978" w14:textId="013E7FAD" w:rsidR="4A39FF2D" w:rsidRDefault="455EFBEA" w:rsidP="4A39FF2D">
            <w:r>
              <w:t>NOVEMBER 2023</w:t>
            </w:r>
          </w:p>
          <w:p w14:paraId="48104713" w14:textId="38551E6A" w:rsidR="4A39FF2D" w:rsidRDefault="586D4109" w:rsidP="4A39FF2D">
            <w:r>
              <w:t xml:space="preserve">Process to obtain retail </w:t>
            </w:r>
            <w:r w:rsidR="43D798C9">
              <w:t>license began</w:t>
            </w:r>
          </w:p>
        </w:tc>
        <w:tc>
          <w:tcPr>
            <w:tcW w:w="2254" w:type="dxa"/>
          </w:tcPr>
          <w:p w14:paraId="57774F81" w14:textId="45A2644F" w:rsidR="4A39FF2D" w:rsidRDefault="1D7C6FC7" w:rsidP="4A39FF2D">
            <w:r>
              <w:t>DECEMBER 2024</w:t>
            </w:r>
          </w:p>
          <w:p w14:paraId="0FB6F737" w14:textId="5E2DB8D3" w:rsidR="4A39FF2D" w:rsidRDefault="1D7C6FC7">
            <w:r>
              <w:t>Retail license obtained</w:t>
            </w:r>
          </w:p>
          <w:p w14:paraId="5CA069B4" w14:textId="22ABC03B" w:rsidR="4A39FF2D" w:rsidRDefault="4A39FF2D" w:rsidP="4A39FF2D"/>
          <w:p w14:paraId="3986B48C" w14:textId="361E8BB6" w:rsidR="4A39FF2D" w:rsidRDefault="1D7C6FC7">
            <w:r>
              <w:t>MAY 2025</w:t>
            </w:r>
          </w:p>
          <w:p w14:paraId="59CA2CD5" w14:textId="3391A839" w:rsidR="4A39FF2D" w:rsidRDefault="415C0385">
            <w:r>
              <w:t>Retail c</w:t>
            </w:r>
            <w:r w:rsidR="1D7C6FC7">
              <w:t>ontracts signed</w:t>
            </w:r>
          </w:p>
          <w:p w14:paraId="2A750389" w14:textId="095ABE64" w:rsidR="0A166D23" w:rsidRDefault="0A166D23" w:rsidP="0A166D23"/>
          <w:p w14:paraId="360C243C" w14:textId="6CB10A4B" w:rsidR="4A39FF2D" w:rsidRDefault="1D7C6FC7">
            <w:r>
              <w:t>MAY 2025</w:t>
            </w:r>
          </w:p>
          <w:p w14:paraId="40DE2081" w14:textId="33A66306" w:rsidR="4A39FF2D" w:rsidRDefault="1AC603C0">
            <w:r>
              <w:t>V</w:t>
            </w:r>
            <w:r w:rsidR="5622109C">
              <w:t xml:space="preserve">ictorian Renewable Energy Target auction </w:t>
            </w:r>
            <w:r w:rsidR="1D7C6FC7">
              <w:t>contracts</w:t>
            </w:r>
          </w:p>
          <w:p w14:paraId="2B5135FE" w14:textId="78D8B620" w:rsidR="4A39FF2D" w:rsidRDefault="1EEF2177">
            <w:r>
              <w:t>T</w:t>
            </w:r>
            <w:r w:rsidR="1D7C6FC7">
              <w:t>ransferred</w:t>
            </w:r>
            <w:r>
              <w:t xml:space="preserve"> to SEC</w:t>
            </w:r>
          </w:p>
          <w:p w14:paraId="5632DBCF" w14:textId="2067E1F0" w:rsidR="4A39FF2D" w:rsidRDefault="4A39FF2D" w:rsidP="5FD53BEA"/>
          <w:p w14:paraId="263C35B3" w14:textId="2F40C7C4" w:rsidR="4A39FF2D" w:rsidRDefault="1D7C6FC7">
            <w:r>
              <w:t>JUNE 2025</w:t>
            </w:r>
          </w:p>
          <w:p w14:paraId="7AFCA8D0" w14:textId="3BFF7CAF" w:rsidR="4A39FF2D" w:rsidRDefault="48C88904" w:rsidP="4A39FF2D">
            <w:r>
              <w:t xml:space="preserve">Launch of market trading </w:t>
            </w:r>
          </w:p>
          <w:p w14:paraId="3AD1F0F2" w14:textId="0C4A0EE5" w:rsidR="4A39FF2D" w:rsidRDefault="48C88904" w:rsidP="2CE7DC08">
            <w:r>
              <w:t xml:space="preserve">and customer billing </w:t>
            </w:r>
          </w:p>
          <w:p w14:paraId="78C267FC" w14:textId="671477E4" w:rsidR="4A39FF2D" w:rsidRDefault="48C88904" w:rsidP="2CE7DC08">
            <w:r>
              <w:t>platforms</w:t>
            </w:r>
          </w:p>
        </w:tc>
        <w:tc>
          <w:tcPr>
            <w:tcW w:w="2370" w:type="dxa"/>
          </w:tcPr>
          <w:p w14:paraId="5F57C40B" w14:textId="5831B184" w:rsidR="1A703A6D" w:rsidRDefault="65ED2DB5" w:rsidP="1A703A6D">
            <w:r>
              <w:t>JULY 2025</w:t>
            </w:r>
          </w:p>
          <w:p w14:paraId="50D144FE" w14:textId="76097AA0" w:rsidR="1A703A6D" w:rsidRDefault="65ED2DB5">
            <w:r>
              <w:t>SEC begins retailing</w:t>
            </w:r>
            <w:r w:rsidR="720C90BA">
              <w:t xml:space="preserve"> 100% renewable electricity</w:t>
            </w:r>
          </w:p>
          <w:p w14:paraId="7302576D" w14:textId="25569FA9" w:rsidR="1A703A6D" w:rsidRDefault="65ED2DB5">
            <w:r>
              <w:t>to 4000+ government</w:t>
            </w:r>
          </w:p>
          <w:p w14:paraId="6EA30059" w14:textId="6DCCC543" w:rsidR="1A703A6D" w:rsidRDefault="65ED2DB5">
            <w:r>
              <w:t>sites</w:t>
            </w:r>
          </w:p>
          <w:p w14:paraId="4BC6BE1F" w14:textId="1AC12012" w:rsidR="3C898331" w:rsidRDefault="3C898331" w:rsidP="3C898331"/>
          <w:p w14:paraId="1C529FE0" w14:textId="11E941AE" w:rsidR="1A703A6D" w:rsidRDefault="65ED2DB5">
            <w:r>
              <w:t>AUGUST 2025</w:t>
            </w:r>
          </w:p>
          <w:p w14:paraId="7C3FEE86" w14:textId="446C1F0A" w:rsidR="1A703A6D" w:rsidRDefault="0FDBEEC3" w:rsidP="1A703A6D">
            <w:r>
              <w:t>SEC completes f</w:t>
            </w:r>
            <w:r w:rsidR="65ED2DB5">
              <w:t>irst retail billing cycle</w:t>
            </w:r>
          </w:p>
        </w:tc>
      </w:tr>
      <w:tr w:rsidR="4A39FF2D" w14:paraId="50AE8F3F" w14:textId="77777777" w:rsidTr="5F00AEE4">
        <w:trPr>
          <w:trHeight w:val="300"/>
        </w:trPr>
        <w:tc>
          <w:tcPr>
            <w:tcW w:w="2254" w:type="dxa"/>
          </w:tcPr>
          <w:p w14:paraId="77836D8E" w14:textId="4FF4C83E" w:rsidR="50BBAA9C" w:rsidRDefault="50BBAA9C" w:rsidP="4A39FF2D">
            <w:r>
              <w:t>Household</w:t>
            </w:r>
            <w:r w:rsidR="64508A40">
              <w:t xml:space="preserve"> electrification</w:t>
            </w:r>
          </w:p>
        </w:tc>
        <w:tc>
          <w:tcPr>
            <w:tcW w:w="2254" w:type="dxa"/>
          </w:tcPr>
          <w:p w14:paraId="13674ADB" w14:textId="1ADDAF59" w:rsidR="4A39FF2D" w:rsidRDefault="40FDA353" w:rsidP="4A39FF2D">
            <w:r>
              <w:t xml:space="preserve">JUNE </w:t>
            </w:r>
            <w:r w:rsidR="7792F3AF">
              <w:t>2024</w:t>
            </w:r>
          </w:p>
          <w:p w14:paraId="5B7C94A8" w14:textId="107B7198" w:rsidR="4A39FF2D" w:rsidRDefault="52CA3DC9" w:rsidP="4A39FF2D">
            <w:r>
              <w:t>SEC put out a call for volunteers to test a new digital home planner to help households go electric and save</w:t>
            </w:r>
          </w:p>
        </w:tc>
        <w:tc>
          <w:tcPr>
            <w:tcW w:w="2254" w:type="dxa"/>
          </w:tcPr>
          <w:p w14:paraId="53586E48" w14:textId="450B8A32" w:rsidR="13AE1FE8" w:rsidRDefault="13AE1FE8">
            <w:r>
              <w:t>AUGUST 2024</w:t>
            </w:r>
          </w:p>
          <w:p w14:paraId="57EFBC94" w14:textId="26A44913" w:rsidR="13AE1FE8" w:rsidRDefault="13AE1FE8">
            <w:r>
              <w:t>Electric home planner pilot launched</w:t>
            </w:r>
          </w:p>
          <w:p w14:paraId="59936AA5" w14:textId="0D3C7312" w:rsidR="6B51A53B" w:rsidRDefault="6B51A53B"/>
          <w:p w14:paraId="114D015D" w14:textId="252D2A56" w:rsidR="4A39FF2D" w:rsidRDefault="74D2607E" w:rsidP="4A39FF2D">
            <w:r>
              <w:t>OCTOBER 2024</w:t>
            </w:r>
          </w:p>
          <w:p w14:paraId="046973C2" w14:textId="40EE5518" w:rsidR="74D2607E" w:rsidRDefault="7A60FB38" w:rsidP="6FE1A15E">
            <w:r>
              <w:t>Electric home planner pilot expanded to Ballarat</w:t>
            </w:r>
          </w:p>
          <w:p w14:paraId="4DBC58C7" w14:textId="3D50AC0C" w:rsidR="1A94564D" w:rsidRDefault="1A94564D"/>
          <w:p w14:paraId="7127A223" w14:textId="344DE693" w:rsidR="4A39FF2D" w:rsidRDefault="74D2607E">
            <w:r>
              <w:t>NOVEMBER 2024</w:t>
            </w:r>
          </w:p>
          <w:p w14:paraId="2E8CB7C6" w14:textId="6D9A5784" w:rsidR="4A39FF2D" w:rsidRDefault="74D2607E">
            <w:r>
              <w:t>Heat pump pilot</w:t>
            </w:r>
          </w:p>
          <w:p w14:paraId="1F86EF00" w14:textId="06729FE5" w:rsidR="4A39FF2D" w:rsidRDefault="74D2607E">
            <w:r>
              <w:t>launched in Ballan</w:t>
            </w:r>
          </w:p>
          <w:p w14:paraId="7BC144CD" w14:textId="68EE24E5" w:rsidR="4A39FF2D" w:rsidRDefault="4A39FF2D" w:rsidP="4A39FF2D"/>
          <w:p w14:paraId="27DCA936" w14:textId="3C7895F3" w:rsidR="4A39FF2D" w:rsidRDefault="74D2607E">
            <w:r>
              <w:t>APRIL 2025</w:t>
            </w:r>
          </w:p>
          <w:p w14:paraId="4BA4C9EA" w14:textId="3228DF66" w:rsidR="4A39FF2D" w:rsidRDefault="74D2607E">
            <w:r>
              <w:t>Heat pump pilot</w:t>
            </w:r>
          </w:p>
          <w:p w14:paraId="517A421E" w14:textId="5839E072" w:rsidR="4A39FF2D" w:rsidRDefault="74D2607E">
            <w:r>
              <w:t xml:space="preserve">expanded to </w:t>
            </w:r>
          </w:p>
          <w:p w14:paraId="13258D15" w14:textId="27B25196" w:rsidR="4A39FF2D" w:rsidRDefault="39B25035" w:rsidP="4A39FF2D">
            <w:r>
              <w:t>Maroondah and Yarra Ranges</w:t>
            </w:r>
          </w:p>
          <w:p w14:paraId="1ED5C0E0" w14:textId="2DD99DEF" w:rsidR="626CEA01" w:rsidRDefault="626CEA01" w:rsidP="626CEA01"/>
          <w:p w14:paraId="45D037F8" w14:textId="1C7A837E" w:rsidR="4A39FF2D" w:rsidRDefault="74D2607E">
            <w:r>
              <w:t>MAY 2025</w:t>
            </w:r>
          </w:p>
          <w:p w14:paraId="07F08257" w14:textId="3E8F1886" w:rsidR="4A39FF2D" w:rsidRDefault="74D2607E" w:rsidP="4A39FF2D">
            <w:r>
              <w:t>Installer EOI launched</w:t>
            </w:r>
          </w:p>
        </w:tc>
        <w:tc>
          <w:tcPr>
            <w:tcW w:w="2370" w:type="dxa"/>
          </w:tcPr>
          <w:p w14:paraId="4FBC9C01" w14:textId="267D5C5D" w:rsidR="75493EBF" w:rsidRDefault="75493EBF">
            <w:r>
              <w:t>SEPTEMBER 2025</w:t>
            </w:r>
          </w:p>
          <w:p w14:paraId="23AD2424" w14:textId="37EDCDAB" w:rsidR="75493EBF" w:rsidRDefault="75493EBF" w:rsidP="626CEA01">
            <w:r>
              <w:t>Heat pump pilot expand</w:t>
            </w:r>
            <w:r w:rsidR="122EE591">
              <w:t>s</w:t>
            </w:r>
            <w:r>
              <w:t xml:space="preserve"> to the Latrobe Valley</w:t>
            </w:r>
          </w:p>
          <w:p w14:paraId="73BD7ACC" w14:textId="14AD3AD2" w:rsidR="626CEA01" w:rsidRDefault="626CEA01"/>
          <w:p w14:paraId="19DA0881" w14:textId="6442BDA2" w:rsidR="1A703A6D" w:rsidRDefault="1F5FEFB3" w:rsidP="1A703A6D">
            <w:r>
              <w:t>OCTOBER 2025</w:t>
            </w:r>
          </w:p>
          <w:p w14:paraId="0EB97671" w14:textId="28460742" w:rsidR="1A703A6D" w:rsidRDefault="1F5FEFB3" w:rsidP="1A703A6D">
            <w:r>
              <w:t>SEC's Morwell Hub opens in Gippsland</w:t>
            </w:r>
          </w:p>
          <w:p w14:paraId="2DCB2347" w14:textId="4D4E3859" w:rsidR="32C2284A" w:rsidRDefault="32C2284A" w:rsidP="32C2284A"/>
          <w:p w14:paraId="1E02A794" w14:textId="11C4A55B" w:rsidR="1F5FEFB3" w:rsidRDefault="1F5FEFB3" w:rsidP="32C2284A">
            <w:r>
              <w:t>EARLY 2026</w:t>
            </w:r>
          </w:p>
          <w:p w14:paraId="738FA9BD" w14:textId="1B341FE7" w:rsidR="1F5FEFB3" w:rsidRDefault="1F5FEFB3" w:rsidP="32C2284A">
            <w:r>
              <w:t>Consumer one-stop</w:t>
            </w:r>
          </w:p>
          <w:p w14:paraId="1659D761" w14:textId="594D1F66" w:rsidR="1F5FEFB3" w:rsidRDefault="1F5FEFB3" w:rsidP="32C2284A">
            <w:r>
              <w:t>shop launch</w:t>
            </w:r>
            <w:r w:rsidR="51F13A48">
              <w:t>es</w:t>
            </w:r>
          </w:p>
          <w:p w14:paraId="516BC43B" w14:textId="383C03A7" w:rsidR="1A703A6D" w:rsidRDefault="1A703A6D" w:rsidP="1A703A6D"/>
        </w:tc>
      </w:tr>
    </w:tbl>
    <w:p w14:paraId="6413BA16" w14:textId="3520BB75" w:rsidR="009E4CB7" w:rsidRDefault="097866E6" w:rsidP="19E31876">
      <w:r>
        <w:br w:type="page"/>
      </w:r>
    </w:p>
    <w:p w14:paraId="164150EF" w14:textId="386C82D9" w:rsidR="009E4CB7" w:rsidRDefault="097866E6" w:rsidP="00B254AC">
      <w:pPr>
        <w:pStyle w:val="Heading1"/>
      </w:pPr>
      <w:bookmarkStart w:id="46" w:name="_Toc200631661"/>
      <w:bookmarkStart w:id="47" w:name="_Toc126312503"/>
      <w:bookmarkStart w:id="48" w:name="_Toc201222685"/>
      <w:bookmarkStart w:id="49" w:name="_Toc1253981345"/>
      <w:bookmarkStart w:id="50" w:name="_Toc569357111"/>
      <w:bookmarkStart w:id="51" w:name="_Toc405291486"/>
      <w:bookmarkStart w:id="52" w:name="_Toc1217388902"/>
      <w:bookmarkStart w:id="53" w:name="_Toc660024872"/>
      <w:bookmarkStart w:id="54" w:name="_Toc1291968380"/>
      <w:bookmarkStart w:id="55" w:name="_Toc1853685770"/>
      <w:bookmarkStart w:id="56" w:name="_Toc407092905"/>
      <w:bookmarkStart w:id="57" w:name="_Toc203487519"/>
      <w:bookmarkStart w:id="58" w:name="_Toc203656195"/>
      <w:bookmarkStart w:id="59" w:name="_Toc2085816953"/>
      <w:bookmarkStart w:id="60" w:name="_Toc208418024"/>
      <w:bookmarkStart w:id="61" w:name="_Toc209080389"/>
      <w:bookmarkStart w:id="62" w:name="_Toc209703958"/>
      <w:bookmarkStart w:id="63" w:name="_Toc209704011"/>
      <w:bookmarkStart w:id="64" w:name="_Toc209704064"/>
      <w:r>
        <w:t xml:space="preserve">Message from the </w:t>
      </w:r>
      <w:r w:rsidR="2BB58FBE">
        <w:t xml:space="preserve">Board </w:t>
      </w:r>
      <w:r w:rsidR="3396AE83">
        <w:t>Chair</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C86C2F1" w14:textId="78FB7D25" w:rsidR="00E55672" w:rsidRDefault="00E55672" w:rsidP="3D45414F">
      <w:pPr>
        <w:rPr>
          <w:rFonts w:cs="Arial"/>
        </w:rPr>
      </w:pPr>
      <w:r w:rsidRPr="6582C6F5">
        <w:rPr>
          <w:rFonts w:cs="Arial"/>
        </w:rPr>
        <w:t xml:space="preserve">The past year marked significant growth and progress for SEC as </w:t>
      </w:r>
      <w:r w:rsidR="001C1222" w:rsidRPr="6582C6F5">
        <w:rPr>
          <w:rFonts w:cs="Arial"/>
        </w:rPr>
        <w:t xml:space="preserve">we </w:t>
      </w:r>
      <w:r w:rsidRPr="6582C6F5">
        <w:rPr>
          <w:rFonts w:cs="Arial"/>
        </w:rPr>
        <w:t>built on the strong foundation set since establishment in 2023. </w:t>
      </w:r>
      <w:r w:rsidR="00667DB6" w:rsidRPr="6582C6F5">
        <w:rPr>
          <w:rFonts w:cs="Arial"/>
        </w:rPr>
        <w:t xml:space="preserve">In October 2024, </w:t>
      </w:r>
      <w:r w:rsidR="0030646E" w:rsidRPr="6582C6F5">
        <w:rPr>
          <w:rFonts w:cs="Arial"/>
        </w:rPr>
        <w:t>we were</w:t>
      </w:r>
      <w:r w:rsidR="00667DB6" w:rsidRPr="6582C6F5">
        <w:rPr>
          <w:rFonts w:cs="Arial"/>
        </w:rPr>
        <w:t xml:space="preserve"> enshrined in Victoria’s Constitution, ensuring we will remain publicly owned, and enabling us to make strategic, long-term investment</w:t>
      </w:r>
      <w:r w:rsidR="0075230D" w:rsidRPr="6582C6F5">
        <w:rPr>
          <w:rFonts w:cs="Arial"/>
        </w:rPr>
        <w:t xml:space="preserve"> decisions</w:t>
      </w:r>
      <w:r w:rsidR="00667DB6" w:rsidRPr="6582C6F5">
        <w:rPr>
          <w:rFonts w:cs="Arial"/>
        </w:rPr>
        <w:t xml:space="preserve"> in the best interests of Victorians.</w:t>
      </w:r>
    </w:p>
    <w:p w14:paraId="33C18FB6" w14:textId="5106F2CF" w:rsidR="008655D1" w:rsidRDefault="00C83A81" w:rsidP="3D45414F">
      <w:pPr>
        <w:rPr>
          <w:rFonts w:cs="Arial"/>
        </w:rPr>
      </w:pPr>
      <w:r w:rsidRPr="385FE6A3">
        <w:rPr>
          <w:rFonts w:cs="Arial"/>
        </w:rPr>
        <w:t>Against the backdrop of</w:t>
      </w:r>
      <w:r w:rsidR="00600B6E" w:rsidRPr="385FE6A3">
        <w:rPr>
          <w:rFonts w:cs="Arial"/>
        </w:rPr>
        <w:t xml:space="preserve"> a rapidly </w:t>
      </w:r>
      <w:r w:rsidR="000F76F1" w:rsidRPr="385FE6A3">
        <w:rPr>
          <w:rFonts w:cs="Arial"/>
        </w:rPr>
        <w:t>transforming</w:t>
      </w:r>
      <w:r w:rsidR="00E3778E" w:rsidRPr="385FE6A3">
        <w:rPr>
          <w:rFonts w:cs="Arial"/>
        </w:rPr>
        <w:t xml:space="preserve"> power system,</w:t>
      </w:r>
      <w:r w:rsidR="00C65000" w:rsidRPr="385FE6A3">
        <w:rPr>
          <w:rFonts w:cs="Arial"/>
        </w:rPr>
        <w:t xml:space="preserve"> </w:t>
      </w:r>
      <w:r w:rsidR="0030646E" w:rsidRPr="385FE6A3">
        <w:rPr>
          <w:rFonts w:cs="Arial"/>
        </w:rPr>
        <w:t>we have</w:t>
      </w:r>
      <w:r w:rsidR="00FB397D" w:rsidRPr="385FE6A3">
        <w:rPr>
          <w:rFonts w:cs="Arial"/>
        </w:rPr>
        <w:t xml:space="preserve"> set</w:t>
      </w:r>
      <w:r w:rsidR="00594F1A" w:rsidRPr="385FE6A3">
        <w:rPr>
          <w:rFonts w:cs="Arial"/>
        </w:rPr>
        <w:t xml:space="preserve"> </w:t>
      </w:r>
      <w:r w:rsidR="00FB397D" w:rsidRPr="385FE6A3">
        <w:rPr>
          <w:rFonts w:cs="Arial"/>
        </w:rPr>
        <w:t>a clear mandate to</w:t>
      </w:r>
      <w:r w:rsidR="00535471" w:rsidRPr="385FE6A3">
        <w:rPr>
          <w:rFonts w:cs="Arial"/>
        </w:rPr>
        <w:t xml:space="preserve"> work </w:t>
      </w:r>
      <w:r w:rsidR="00BE5FD7" w:rsidRPr="385FE6A3">
        <w:rPr>
          <w:rFonts w:cs="Arial"/>
        </w:rPr>
        <w:t xml:space="preserve">in collaboration with </w:t>
      </w:r>
      <w:r w:rsidR="004C108E" w:rsidRPr="385FE6A3">
        <w:rPr>
          <w:rFonts w:cs="Arial"/>
        </w:rPr>
        <w:t xml:space="preserve">the private sector to </w:t>
      </w:r>
      <w:r w:rsidR="00B32AB6" w:rsidRPr="385FE6A3">
        <w:rPr>
          <w:rFonts w:cs="Arial"/>
        </w:rPr>
        <w:t xml:space="preserve">accelerate </w:t>
      </w:r>
      <w:r w:rsidR="00CE11D0" w:rsidRPr="385FE6A3">
        <w:rPr>
          <w:rFonts w:cs="Arial"/>
        </w:rPr>
        <w:t xml:space="preserve">the </w:t>
      </w:r>
      <w:r w:rsidR="00BB6E3D" w:rsidRPr="385FE6A3">
        <w:rPr>
          <w:rFonts w:cs="Arial"/>
        </w:rPr>
        <w:t xml:space="preserve">transition </w:t>
      </w:r>
      <w:r w:rsidR="00E86AA1" w:rsidRPr="385FE6A3">
        <w:rPr>
          <w:rFonts w:cs="Arial"/>
        </w:rPr>
        <w:t>to deliver renewable, affordable and reliable energy for all Victorians</w:t>
      </w:r>
      <w:r w:rsidR="007444CA" w:rsidRPr="385FE6A3">
        <w:rPr>
          <w:rFonts w:cs="Arial"/>
        </w:rPr>
        <w:t xml:space="preserve">. </w:t>
      </w:r>
      <w:r w:rsidR="00BE5FD7" w:rsidRPr="385FE6A3">
        <w:rPr>
          <w:rFonts w:cs="Arial"/>
        </w:rPr>
        <w:t xml:space="preserve"> </w:t>
      </w:r>
      <w:r w:rsidR="004A5F57" w:rsidRPr="385FE6A3">
        <w:rPr>
          <w:rFonts w:cs="Arial"/>
        </w:rPr>
        <w:t xml:space="preserve"> </w:t>
      </w:r>
      <w:r w:rsidR="00FB397D" w:rsidRPr="385FE6A3">
        <w:rPr>
          <w:rFonts w:cs="Arial"/>
        </w:rPr>
        <w:t xml:space="preserve"> </w:t>
      </w:r>
      <w:r w:rsidR="00E3778E" w:rsidRPr="385FE6A3">
        <w:rPr>
          <w:rFonts w:cs="Arial"/>
        </w:rPr>
        <w:t xml:space="preserve"> </w:t>
      </w:r>
    </w:p>
    <w:p w14:paraId="721A8987" w14:textId="0039647D" w:rsidR="0057386A" w:rsidRDefault="0057386A" w:rsidP="3D45414F">
      <w:pPr>
        <w:rPr>
          <w:rFonts w:cs="Arial"/>
        </w:rPr>
      </w:pPr>
      <w:r w:rsidRPr="3D45414F">
        <w:rPr>
          <w:rFonts w:cs="Arial"/>
        </w:rPr>
        <w:t xml:space="preserve">As coal-fired electricity generators continue to retire </w:t>
      </w:r>
      <w:r w:rsidR="00104757" w:rsidRPr="2B7B3D50">
        <w:rPr>
          <w:rFonts w:cs="Arial"/>
        </w:rPr>
        <w:t>-</w:t>
      </w:r>
      <w:r w:rsidRPr="3D45414F">
        <w:rPr>
          <w:rFonts w:cs="Arial"/>
        </w:rPr>
        <w:t xml:space="preserve"> the next scheduled retirement is Yallourn in 2028 </w:t>
      </w:r>
      <w:r w:rsidR="00104757" w:rsidRPr="2B7B3D50">
        <w:rPr>
          <w:rFonts w:cs="Arial"/>
        </w:rPr>
        <w:t>-</w:t>
      </w:r>
      <w:r w:rsidRPr="3D45414F">
        <w:rPr>
          <w:rFonts w:cs="Arial"/>
        </w:rPr>
        <w:t xml:space="preserve"> Victoria must continue increasing its renewable energy generation and storage capacity to maintain affordability and reliability for households and businesses. </w:t>
      </w:r>
    </w:p>
    <w:p w14:paraId="5C9518CB" w14:textId="30A107B2" w:rsidR="00284396" w:rsidRPr="000374D5" w:rsidRDefault="557DEC3D" w:rsidP="00284396">
      <w:pPr>
        <w:rPr>
          <w:rFonts w:cs="Arial"/>
        </w:rPr>
      </w:pPr>
      <w:r w:rsidRPr="32C8328C">
        <w:rPr>
          <w:rFonts w:cs="Arial"/>
        </w:rPr>
        <w:t xml:space="preserve">Governments around Australia have set meaningful renewable energy targets for 2030 and beyond. Here in Victoria, the target is 95% renewable </w:t>
      </w:r>
      <w:r w:rsidR="703DAA7E" w:rsidRPr="32C8328C">
        <w:rPr>
          <w:rFonts w:cs="Arial"/>
        </w:rPr>
        <w:t xml:space="preserve">electricity </w:t>
      </w:r>
      <w:r w:rsidRPr="32C8328C">
        <w:rPr>
          <w:rFonts w:cs="Arial"/>
        </w:rPr>
        <w:t xml:space="preserve">generation by 2035. This presents </w:t>
      </w:r>
      <w:r w:rsidR="73BF7EA5" w:rsidRPr="32C8328C">
        <w:rPr>
          <w:rFonts w:cs="Arial"/>
        </w:rPr>
        <w:t xml:space="preserve">a </w:t>
      </w:r>
      <w:r w:rsidRPr="32C8328C">
        <w:rPr>
          <w:rFonts w:cs="Arial"/>
        </w:rPr>
        <w:t xml:space="preserve">great opportunity for </w:t>
      </w:r>
      <w:r w:rsidR="180F7C72" w:rsidRPr="32C8328C">
        <w:rPr>
          <w:rFonts w:cs="Arial"/>
        </w:rPr>
        <w:t xml:space="preserve">us </w:t>
      </w:r>
      <w:r w:rsidRPr="32C8328C">
        <w:rPr>
          <w:rFonts w:cs="Arial"/>
        </w:rPr>
        <w:t>as we help drive the transition and reduce Victoria’s reliance on fossil fuels. </w:t>
      </w:r>
    </w:p>
    <w:p w14:paraId="031FCCF0" w14:textId="519CEC86" w:rsidR="005A7D96" w:rsidRPr="000374D5" w:rsidRDefault="005A7D96" w:rsidP="3D45414F">
      <w:pPr>
        <w:rPr>
          <w:rFonts w:cs="Arial"/>
        </w:rPr>
      </w:pPr>
      <w:r w:rsidRPr="715869DB">
        <w:rPr>
          <w:rFonts w:cs="Arial"/>
        </w:rPr>
        <w:t xml:space="preserve">It </w:t>
      </w:r>
      <w:r w:rsidR="00284396" w:rsidRPr="715869DB">
        <w:rPr>
          <w:rFonts w:cs="Arial"/>
        </w:rPr>
        <w:t xml:space="preserve">will </w:t>
      </w:r>
      <w:r w:rsidRPr="715869DB">
        <w:rPr>
          <w:rFonts w:cs="Arial"/>
        </w:rPr>
        <w:t xml:space="preserve">require a coordinated response </w:t>
      </w:r>
      <w:r w:rsidR="00104757" w:rsidRPr="2B7B3D50">
        <w:rPr>
          <w:rFonts w:cs="Arial"/>
        </w:rPr>
        <w:t>-</w:t>
      </w:r>
      <w:r w:rsidRPr="715869DB">
        <w:rPr>
          <w:rFonts w:cs="Arial"/>
        </w:rPr>
        <w:t xml:space="preserve"> between government, the private sector, communities and households </w:t>
      </w:r>
      <w:r w:rsidR="00104757" w:rsidRPr="2B7B3D50">
        <w:rPr>
          <w:rFonts w:cs="Arial"/>
        </w:rPr>
        <w:t>-</w:t>
      </w:r>
      <w:r w:rsidRPr="715869DB">
        <w:rPr>
          <w:rFonts w:cs="Arial"/>
        </w:rPr>
        <w:t xml:space="preserve"> and we see our role as one that complements the work of others.  </w:t>
      </w:r>
    </w:p>
    <w:p w14:paraId="7CF2BCDE" w14:textId="6DEF8C79" w:rsidR="0030646E" w:rsidRDefault="0A0F765D" w:rsidP="00E81E21">
      <w:pPr>
        <w:rPr>
          <w:rFonts w:cs="Arial"/>
        </w:rPr>
      </w:pPr>
      <w:r w:rsidRPr="487F8F01">
        <w:rPr>
          <w:rFonts w:eastAsia="Arial" w:cs="Arial"/>
        </w:rPr>
        <w:t>We have</w:t>
      </w:r>
      <w:r w:rsidR="1D42D329" w:rsidRPr="487F8F01">
        <w:rPr>
          <w:rFonts w:eastAsia="Arial" w:cs="Arial"/>
        </w:rPr>
        <w:t xml:space="preserve"> made </w:t>
      </w:r>
      <w:r w:rsidR="410F8065" w:rsidRPr="487F8F01">
        <w:rPr>
          <w:rFonts w:eastAsia="Arial" w:cs="Arial"/>
        </w:rPr>
        <w:t xml:space="preserve">substantial </w:t>
      </w:r>
      <w:r w:rsidR="1D42D329" w:rsidRPr="487F8F01">
        <w:rPr>
          <w:rFonts w:eastAsia="Arial" w:cs="Arial"/>
        </w:rPr>
        <w:t>progress against our objectives</w:t>
      </w:r>
      <w:r w:rsidR="172D8134" w:rsidRPr="487F8F01">
        <w:rPr>
          <w:rFonts w:eastAsia="Arial" w:cs="Arial"/>
        </w:rPr>
        <w:t xml:space="preserve"> </w:t>
      </w:r>
      <w:r w:rsidR="00104757" w:rsidRPr="2B7B3D50">
        <w:rPr>
          <w:rFonts w:eastAsia="Arial" w:cs="Arial"/>
        </w:rPr>
        <w:t>-</w:t>
      </w:r>
      <w:r w:rsidR="172D8134" w:rsidRPr="487F8F01">
        <w:rPr>
          <w:rFonts w:eastAsia="Arial" w:cs="Arial"/>
        </w:rPr>
        <w:t xml:space="preserve"> </w:t>
      </w:r>
      <w:r w:rsidR="7E0438A0" w:rsidRPr="487F8F01">
        <w:rPr>
          <w:rFonts w:eastAsia="Arial" w:cs="Arial"/>
        </w:rPr>
        <w:t xml:space="preserve">investing in </w:t>
      </w:r>
      <w:r w:rsidR="3B7BBA34" w:rsidRPr="487F8F01">
        <w:rPr>
          <w:rFonts w:eastAsia="Arial" w:cs="Arial"/>
        </w:rPr>
        <w:t>large</w:t>
      </w:r>
      <w:r w:rsidR="264569CA" w:rsidRPr="487F8F01">
        <w:rPr>
          <w:rFonts w:eastAsia="Arial" w:cs="Arial"/>
        </w:rPr>
        <w:t>-</w:t>
      </w:r>
      <w:r w:rsidR="3B7BBA34" w:rsidRPr="487F8F01">
        <w:rPr>
          <w:rFonts w:eastAsia="Arial" w:cs="Arial"/>
        </w:rPr>
        <w:t xml:space="preserve">scale </w:t>
      </w:r>
      <w:r w:rsidR="7E0438A0" w:rsidRPr="487F8F01">
        <w:rPr>
          <w:rFonts w:eastAsia="Arial" w:cs="Arial"/>
        </w:rPr>
        <w:t>assets</w:t>
      </w:r>
      <w:r w:rsidR="30D6FFE2" w:rsidRPr="487F8F01">
        <w:rPr>
          <w:rFonts w:eastAsia="Arial" w:cs="Arial"/>
        </w:rPr>
        <w:t>,</w:t>
      </w:r>
      <w:r w:rsidR="74290F8A" w:rsidRPr="487F8F01">
        <w:rPr>
          <w:rFonts w:eastAsia="Arial" w:cs="Arial"/>
        </w:rPr>
        <w:t xml:space="preserve"> </w:t>
      </w:r>
      <w:r w:rsidR="58001BA2" w:rsidRPr="487F8F01">
        <w:rPr>
          <w:rFonts w:eastAsia="Arial" w:cs="Arial"/>
        </w:rPr>
        <w:t>set</w:t>
      </w:r>
      <w:r w:rsidR="0E4691E1" w:rsidRPr="487F8F01">
        <w:rPr>
          <w:rFonts w:eastAsia="Arial" w:cs="Arial"/>
        </w:rPr>
        <w:t>ting</w:t>
      </w:r>
      <w:r w:rsidR="592473A6" w:rsidRPr="487F8F01">
        <w:rPr>
          <w:rFonts w:eastAsia="Arial" w:cs="Arial"/>
        </w:rPr>
        <w:t xml:space="preserve"> up a market trading and operations function</w:t>
      </w:r>
      <w:r w:rsidR="31B5DBAF" w:rsidRPr="487F8F01">
        <w:rPr>
          <w:rFonts w:eastAsia="Arial" w:cs="Arial"/>
        </w:rPr>
        <w:t xml:space="preserve"> to deliver</w:t>
      </w:r>
      <w:r w:rsidR="13572CF8" w:rsidRPr="487F8F01">
        <w:rPr>
          <w:rFonts w:eastAsia="Arial" w:cs="Arial"/>
        </w:rPr>
        <w:t xml:space="preserve"> </w:t>
      </w:r>
      <w:r w:rsidR="1B215138" w:rsidRPr="487F8F01">
        <w:rPr>
          <w:rFonts w:eastAsia="Arial" w:cs="Arial"/>
        </w:rPr>
        <w:t xml:space="preserve">retail products for commercial and industrial </w:t>
      </w:r>
      <w:r w:rsidR="1B215138" w:rsidRPr="038E1563">
        <w:rPr>
          <w:rFonts w:eastAsia="Arial" w:cs="Arial"/>
        </w:rPr>
        <w:t>customers</w:t>
      </w:r>
      <w:r w:rsidR="01EB409F" w:rsidRPr="20A66772">
        <w:rPr>
          <w:rFonts w:eastAsia="Arial" w:cs="Arial"/>
        </w:rPr>
        <w:t xml:space="preserve"> who need help with understanding and navigating the complexity around renewable energy solutions and managing market risks</w:t>
      </w:r>
      <w:r w:rsidR="4CA01E00" w:rsidRPr="20A66772">
        <w:rPr>
          <w:rFonts w:eastAsia="Arial" w:cs="Arial"/>
        </w:rPr>
        <w:t xml:space="preserve">. We’ve </w:t>
      </w:r>
      <w:r w:rsidR="05060EB8" w:rsidRPr="20A66772">
        <w:rPr>
          <w:rFonts w:cs="Arial"/>
        </w:rPr>
        <w:t>also engaged</w:t>
      </w:r>
      <w:r w:rsidR="0406AF5D" w:rsidRPr="20A66772">
        <w:rPr>
          <w:rFonts w:cs="Arial"/>
        </w:rPr>
        <w:t xml:space="preserve"> closely with Victorian resi</w:t>
      </w:r>
      <w:r w:rsidR="6AC8ACE0" w:rsidRPr="20A66772">
        <w:rPr>
          <w:rFonts w:cs="Arial"/>
        </w:rPr>
        <w:t>dents</w:t>
      </w:r>
      <w:r w:rsidR="36144374" w:rsidRPr="20A66772">
        <w:rPr>
          <w:rFonts w:cs="Arial"/>
        </w:rPr>
        <w:t xml:space="preserve"> to</w:t>
      </w:r>
      <w:r w:rsidR="6AC8ACE0" w:rsidRPr="20A66772">
        <w:rPr>
          <w:rFonts w:cs="Arial"/>
        </w:rPr>
        <w:t xml:space="preserve"> </w:t>
      </w:r>
      <w:r w:rsidR="74290F8A" w:rsidRPr="20A66772">
        <w:rPr>
          <w:rFonts w:cs="Arial"/>
        </w:rPr>
        <w:t>understand the barriers to electrificatio</w:t>
      </w:r>
      <w:r w:rsidR="67C85C67" w:rsidRPr="20A66772">
        <w:rPr>
          <w:rFonts w:cs="Arial"/>
        </w:rPr>
        <w:t>n</w:t>
      </w:r>
      <w:r w:rsidR="6B0ACE1C" w:rsidRPr="20A66772">
        <w:rPr>
          <w:rFonts w:cs="Arial"/>
        </w:rPr>
        <w:t>, including</w:t>
      </w:r>
      <w:r w:rsidR="74290F8A" w:rsidRPr="20A66772">
        <w:rPr>
          <w:rFonts w:cs="Arial"/>
        </w:rPr>
        <w:t xml:space="preserve"> through </w:t>
      </w:r>
      <w:r w:rsidR="2C528D31" w:rsidRPr="20A66772">
        <w:rPr>
          <w:rFonts w:cs="Arial"/>
        </w:rPr>
        <w:t xml:space="preserve">a range of </w:t>
      </w:r>
      <w:r w:rsidR="74290F8A" w:rsidRPr="20A66772">
        <w:rPr>
          <w:rFonts w:cs="Arial"/>
        </w:rPr>
        <w:t>pilots</w:t>
      </w:r>
      <w:r w:rsidR="2C528D31" w:rsidRPr="20A66772">
        <w:rPr>
          <w:rFonts w:cs="Arial"/>
        </w:rPr>
        <w:t>.</w:t>
      </w:r>
      <w:r w:rsidR="115AE3BF" w:rsidRPr="20A66772">
        <w:rPr>
          <w:rFonts w:cs="Arial"/>
        </w:rPr>
        <w:t xml:space="preserve"> </w:t>
      </w:r>
    </w:p>
    <w:p w14:paraId="57883566" w14:textId="2E7C6C44" w:rsidR="00F244F0" w:rsidRDefault="00897AB1" w:rsidP="00E81E21">
      <w:pPr>
        <w:rPr>
          <w:rFonts w:cs="Arial"/>
        </w:rPr>
      </w:pPr>
      <w:r w:rsidRPr="2C9CF847">
        <w:rPr>
          <w:rFonts w:cs="Arial"/>
        </w:rPr>
        <w:t>Our intention is to compl</w:t>
      </w:r>
      <w:r w:rsidR="3820A959" w:rsidRPr="2C9CF847">
        <w:rPr>
          <w:rFonts w:cs="Arial"/>
        </w:rPr>
        <w:t>e</w:t>
      </w:r>
      <w:r w:rsidRPr="2C9CF847">
        <w:rPr>
          <w:rFonts w:cs="Arial"/>
        </w:rPr>
        <w:t xml:space="preserve">ment the private sector across these areas of focus, filling </w:t>
      </w:r>
      <w:r w:rsidR="00747C56" w:rsidRPr="2C9CF847">
        <w:rPr>
          <w:rFonts w:cs="Arial"/>
        </w:rPr>
        <w:t xml:space="preserve">critical </w:t>
      </w:r>
      <w:r w:rsidRPr="2C9CF847">
        <w:rPr>
          <w:rFonts w:cs="Arial"/>
        </w:rPr>
        <w:t>market gaps</w:t>
      </w:r>
      <w:r w:rsidR="00A02C58" w:rsidRPr="2C9CF847">
        <w:rPr>
          <w:rFonts w:cs="Arial"/>
        </w:rPr>
        <w:t xml:space="preserve">. </w:t>
      </w:r>
      <w:r w:rsidR="00111027" w:rsidRPr="2C9CF847">
        <w:rPr>
          <w:rFonts w:cs="Arial"/>
        </w:rPr>
        <w:t xml:space="preserve"> </w:t>
      </w:r>
    </w:p>
    <w:p w14:paraId="05E71525" w14:textId="6B32C828" w:rsidR="00AB031D" w:rsidRPr="000374D5" w:rsidRDefault="3DD8BFC4" w:rsidP="3D45414F">
      <w:pPr>
        <w:rPr>
          <w:rFonts w:cs="Arial"/>
        </w:rPr>
      </w:pPr>
      <w:r w:rsidRPr="6C67AE8D">
        <w:rPr>
          <w:rFonts w:cs="Arial"/>
        </w:rPr>
        <w:t>We</w:t>
      </w:r>
      <w:r w:rsidR="00AB031D" w:rsidRPr="3D45414F">
        <w:rPr>
          <w:rFonts w:cs="Arial"/>
        </w:rPr>
        <w:t xml:space="preserve"> will support </w:t>
      </w:r>
      <w:r w:rsidR="00323923">
        <w:rPr>
          <w:rFonts w:cs="Arial"/>
        </w:rPr>
        <w:t>the transition</w:t>
      </w:r>
      <w:r w:rsidR="00323923" w:rsidRPr="3D45414F">
        <w:rPr>
          <w:rFonts w:cs="Arial"/>
        </w:rPr>
        <w:t xml:space="preserve"> </w:t>
      </w:r>
      <w:r w:rsidR="00AB031D" w:rsidRPr="3D45414F">
        <w:rPr>
          <w:rFonts w:cs="Arial"/>
        </w:rPr>
        <w:t>in three main ways: </w:t>
      </w:r>
    </w:p>
    <w:p w14:paraId="0D22D73B" w14:textId="0280B6D9" w:rsidR="00AB031D" w:rsidRPr="000374D5" w:rsidRDefault="00AB031D" w:rsidP="3D45414F">
      <w:pPr>
        <w:pStyle w:val="ListParagraph"/>
        <w:numPr>
          <w:ilvl w:val="0"/>
          <w:numId w:val="61"/>
        </w:numPr>
        <w:spacing w:line="278" w:lineRule="auto"/>
        <w:rPr>
          <w:rFonts w:cs="Arial"/>
        </w:rPr>
      </w:pPr>
      <w:r w:rsidRPr="3D45414F">
        <w:rPr>
          <w:rFonts w:cs="Arial"/>
        </w:rPr>
        <w:t xml:space="preserve">investing to deliver 4.5 gigawatts </w:t>
      </w:r>
      <w:r w:rsidR="00F33547" w:rsidRPr="3D45414F">
        <w:rPr>
          <w:rFonts w:cs="Arial"/>
        </w:rPr>
        <w:t xml:space="preserve">(GW) </w:t>
      </w:r>
      <w:r w:rsidRPr="3D45414F">
        <w:rPr>
          <w:rFonts w:cs="Arial"/>
        </w:rPr>
        <w:t>of renewable energy and storage</w:t>
      </w:r>
    </w:p>
    <w:p w14:paraId="0CA79B0C" w14:textId="72328722" w:rsidR="00AB031D" w:rsidRPr="000374D5" w:rsidRDefault="00AB031D" w:rsidP="3D45414F">
      <w:pPr>
        <w:pStyle w:val="ListParagraph"/>
        <w:numPr>
          <w:ilvl w:val="0"/>
          <w:numId w:val="61"/>
        </w:numPr>
        <w:spacing w:line="278" w:lineRule="auto"/>
        <w:rPr>
          <w:rFonts w:cs="Arial"/>
        </w:rPr>
      </w:pPr>
      <w:r w:rsidRPr="3D45414F">
        <w:rPr>
          <w:rFonts w:cs="Arial"/>
        </w:rPr>
        <w:t xml:space="preserve">providing Victorian </w:t>
      </w:r>
      <w:r w:rsidR="00756FB9" w:rsidRPr="00F65403">
        <w:rPr>
          <w:rFonts w:cs="Arial"/>
        </w:rPr>
        <w:t xml:space="preserve">Government, </w:t>
      </w:r>
      <w:r w:rsidRPr="3D45414F">
        <w:rPr>
          <w:rFonts w:cs="Arial"/>
        </w:rPr>
        <w:t>businesses and industry with retail and wholesale electricity solutions to help them decarbonise  </w:t>
      </w:r>
    </w:p>
    <w:p w14:paraId="14F3E012" w14:textId="77777777" w:rsidR="00AB031D" w:rsidRPr="000374D5" w:rsidRDefault="00AB031D" w:rsidP="3D45414F">
      <w:pPr>
        <w:pStyle w:val="ListParagraph"/>
        <w:numPr>
          <w:ilvl w:val="0"/>
          <w:numId w:val="61"/>
        </w:numPr>
        <w:spacing w:line="278" w:lineRule="auto"/>
        <w:rPr>
          <w:rFonts w:cs="Arial"/>
        </w:rPr>
      </w:pPr>
      <w:r w:rsidRPr="3D45414F">
        <w:rPr>
          <w:rFonts w:cs="Arial"/>
        </w:rPr>
        <w:t>supporting households to go all-electric to reduce their energy bills and emissions. </w:t>
      </w:r>
    </w:p>
    <w:p w14:paraId="6AE7DBAB" w14:textId="2EA9ACE8" w:rsidR="00AB031D" w:rsidRPr="000374D5" w:rsidRDefault="00AB031D" w:rsidP="3D45414F">
      <w:pPr>
        <w:rPr>
          <w:rFonts w:cs="Arial"/>
        </w:rPr>
      </w:pPr>
      <w:r w:rsidRPr="3D45414F">
        <w:rPr>
          <w:rFonts w:cs="Arial"/>
        </w:rPr>
        <w:t xml:space="preserve">Underpinning all of this is our work to attract and build the renewable energy workforce </w:t>
      </w:r>
      <w:r w:rsidR="00B8264B" w:rsidRPr="3D45414F">
        <w:rPr>
          <w:rFonts w:cs="Arial"/>
        </w:rPr>
        <w:t>the</w:t>
      </w:r>
      <w:r w:rsidRPr="3D45414F">
        <w:rPr>
          <w:rFonts w:cs="Arial"/>
        </w:rPr>
        <w:t xml:space="preserve"> transition requires. </w:t>
      </w:r>
    </w:p>
    <w:p w14:paraId="0839D8D2" w14:textId="67D3C301" w:rsidR="00AB031D" w:rsidRPr="000374D5" w:rsidRDefault="12550FC3" w:rsidP="3D45414F">
      <w:pPr>
        <w:rPr>
          <w:rFonts w:cs="Arial"/>
        </w:rPr>
      </w:pPr>
      <w:r w:rsidRPr="6E349662">
        <w:rPr>
          <w:rFonts w:cs="Arial"/>
        </w:rPr>
        <w:t xml:space="preserve">In November the Board approved a $370 million investment to build </w:t>
      </w:r>
      <w:r w:rsidR="4F712A68" w:rsidRPr="6E349662">
        <w:rPr>
          <w:rFonts w:cs="Arial"/>
        </w:rPr>
        <w:t xml:space="preserve">Victoria’s </w:t>
      </w:r>
      <w:r w:rsidRPr="6E349662">
        <w:rPr>
          <w:rFonts w:cs="Arial"/>
        </w:rPr>
        <w:t xml:space="preserve">first 100% publicly owned utility-scale renewable energy projects </w:t>
      </w:r>
      <w:r w:rsidR="6E201859" w:rsidRPr="6E349662">
        <w:rPr>
          <w:rFonts w:cs="Arial"/>
        </w:rPr>
        <w:t>in decades</w:t>
      </w:r>
      <w:r w:rsidR="00156142">
        <w:rPr>
          <w:rFonts w:cs="Arial"/>
        </w:rPr>
        <w:t xml:space="preserve"> </w:t>
      </w:r>
      <w:r w:rsidR="00104757" w:rsidRPr="664FAE8C">
        <w:rPr>
          <w:rFonts w:cs="Arial"/>
        </w:rPr>
        <w:t>-</w:t>
      </w:r>
      <w:r w:rsidRPr="6E349662">
        <w:rPr>
          <w:rFonts w:cs="Arial"/>
        </w:rPr>
        <w:t xml:space="preserve"> a new solar and renewable energy storage facility near Horsham.</w:t>
      </w:r>
      <w:r w:rsidR="6352B01E" w:rsidRPr="6E349662">
        <w:rPr>
          <w:rFonts w:cs="Arial"/>
        </w:rPr>
        <w:t xml:space="preserve"> </w:t>
      </w:r>
      <w:r w:rsidRPr="6E349662">
        <w:rPr>
          <w:rFonts w:cs="Arial"/>
        </w:rPr>
        <w:t xml:space="preserve"> </w:t>
      </w:r>
    </w:p>
    <w:p w14:paraId="2E3FA6B0" w14:textId="2715B174" w:rsidR="00AB031D" w:rsidRPr="000374D5" w:rsidRDefault="00AB031D" w:rsidP="3D45414F">
      <w:pPr>
        <w:rPr>
          <w:rFonts w:cs="Arial"/>
        </w:rPr>
      </w:pPr>
      <w:r w:rsidRPr="6E349662">
        <w:rPr>
          <w:rFonts w:cs="Arial"/>
        </w:rPr>
        <w:t xml:space="preserve">SEC Renewable Energy Park </w:t>
      </w:r>
      <w:r w:rsidR="00104757" w:rsidRPr="664FAE8C">
        <w:rPr>
          <w:rFonts w:cs="Arial"/>
        </w:rPr>
        <w:t>-</w:t>
      </w:r>
      <w:r w:rsidRPr="6E349662">
        <w:rPr>
          <w:rFonts w:cs="Arial"/>
        </w:rPr>
        <w:t xml:space="preserve"> Horsham will be built in two stages, starting with a solar facility comprising more than 212,000 </w:t>
      </w:r>
      <w:r w:rsidR="00636B9E" w:rsidRPr="6E349662">
        <w:rPr>
          <w:rFonts w:cs="Arial"/>
        </w:rPr>
        <w:t>photovoltaic (</w:t>
      </w:r>
      <w:r w:rsidRPr="6E349662">
        <w:rPr>
          <w:rFonts w:cs="Arial"/>
        </w:rPr>
        <w:t>PV</w:t>
      </w:r>
      <w:r w:rsidR="00636B9E" w:rsidRPr="6E349662">
        <w:rPr>
          <w:rFonts w:cs="Arial"/>
        </w:rPr>
        <w:t>)</w:t>
      </w:r>
      <w:r w:rsidRPr="6E349662">
        <w:rPr>
          <w:rFonts w:cs="Arial"/>
        </w:rPr>
        <w:t xml:space="preserve"> solar panels with a total capacity of 119 </w:t>
      </w:r>
      <w:r w:rsidR="0077582A" w:rsidRPr="6E349662">
        <w:rPr>
          <w:rFonts w:cs="Arial"/>
        </w:rPr>
        <w:t>megawatts (MW)</w:t>
      </w:r>
      <w:r w:rsidRPr="6E349662">
        <w:rPr>
          <w:rFonts w:cs="Arial"/>
        </w:rPr>
        <w:t>. The facility will be capable of generating around 242,000</w:t>
      </w:r>
      <w:r w:rsidR="0077582A" w:rsidRPr="6E349662">
        <w:rPr>
          <w:rFonts w:cs="Arial"/>
        </w:rPr>
        <w:t xml:space="preserve"> </w:t>
      </w:r>
      <w:r w:rsidR="003B6A85" w:rsidRPr="6E349662">
        <w:rPr>
          <w:rFonts w:cs="Arial"/>
        </w:rPr>
        <w:t>megawatt hours (</w:t>
      </w:r>
      <w:r w:rsidR="0077582A" w:rsidRPr="6E349662">
        <w:rPr>
          <w:rFonts w:cs="Arial"/>
        </w:rPr>
        <w:t>MWh</w:t>
      </w:r>
      <w:r w:rsidR="00B150DB" w:rsidRPr="6E349662">
        <w:rPr>
          <w:rFonts w:cs="Arial"/>
        </w:rPr>
        <w:t>)</w:t>
      </w:r>
      <w:r w:rsidRPr="6E349662">
        <w:rPr>
          <w:rFonts w:cs="Arial"/>
        </w:rPr>
        <w:t xml:space="preserve"> of renewable energy a year and produce enough renewable energy to power around 51,000 homes.</w:t>
      </w:r>
    </w:p>
    <w:p w14:paraId="5AEA82D4" w14:textId="5E472ECF" w:rsidR="00AB031D" w:rsidRPr="000374D5" w:rsidRDefault="00AB031D" w:rsidP="3D45414F">
      <w:pPr>
        <w:rPr>
          <w:rFonts w:cs="Arial"/>
        </w:rPr>
      </w:pPr>
      <w:r w:rsidRPr="3D45414F">
        <w:rPr>
          <w:rFonts w:cs="Arial"/>
        </w:rPr>
        <w:t xml:space="preserve">The project’s second phase delivers a 100 </w:t>
      </w:r>
      <w:r w:rsidR="0077582A" w:rsidRPr="3D45414F">
        <w:rPr>
          <w:rFonts w:cs="Arial"/>
        </w:rPr>
        <w:t>MW</w:t>
      </w:r>
      <w:r w:rsidRPr="3D45414F">
        <w:rPr>
          <w:rFonts w:cs="Arial"/>
        </w:rPr>
        <w:t xml:space="preserve"> two-hour battery energy storage system to firm up the energy the solar farm generates and store </w:t>
      </w:r>
      <w:r w:rsidR="08062FA8" w:rsidRPr="1184D7C5">
        <w:rPr>
          <w:rFonts w:cs="Arial"/>
        </w:rPr>
        <w:t>it</w:t>
      </w:r>
      <w:r w:rsidRPr="3D45414F">
        <w:rPr>
          <w:rFonts w:cs="Arial"/>
        </w:rPr>
        <w:t xml:space="preserve"> to be used at times of peak demand.</w:t>
      </w:r>
    </w:p>
    <w:p w14:paraId="71A9F77F" w14:textId="54AEA8D9" w:rsidR="00AB031D" w:rsidRPr="000374D5" w:rsidRDefault="5D1A3154" w:rsidP="3D45414F">
      <w:pPr>
        <w:rPr>
          <w:rFonts w:cs="Arial"/>
        </w:rPr>
      </w:pPr>
      <w:r w:rsidRPr="238A7EA9">
        <w:rPr>
          <w:rFonts w:cs="Arial"/>
        </w:rPr>
        <w:t>Along</w:t>
      </w:r>
      <w:r w:rsidR="00AB031D" w:rsidRPr="238A7EA9">
        <w:rPr>
          <w:rFonts w:cs="Arial"/>
        </w:rPr>
        <w:t xml:space="preserve"> with our investment in the Melbourne Renewable Energy Hub, the project will </w:t>
      </w:r>
      <w:r w:rsidR="6CD0D5FF" w:rsidRPr="238A7EA9">
        <w:rPr>
          <w:rFonts w:cs="Arial"/>
        </w:rPr>
        <w:t>materially</w:t>
      </w:r>
      <w:r w:rsidR="20F60364" w:rsidRPr="238A7EA9">
        <w:rPr>
          <w:rFonts w:cs="Arial"/>
        </w:rPr>
        <w:t xml:space="preserve"> </w:t>
      </w:r>
      <w:r w:rsidR="00051D17" w:rsidRPr="238A7EA9">
        <w:rPr>
          <w:rFonts w:cs="Arial"/>
        </w:rPr>
        <w:t>support</w:t>
      </w:r>
      <w:r w:rsidR="00AB031D" w:rsidRPr="238A7EA9">
        <w:rPr>
          <w:rFonts w:cs="Arial"/>
        </w:rPr>
        <w:t xml:space="preserve"> the Victorian Government’s target of at least 2.6 </w:t>
      </w:r>
      <w:r w:rsidR="0077582A" w:rsidRPr="238A7EA9">
        <w:rPr>
          <w:rFonts w:cs="Arial"/>
        </w:rPr>
        <w:t>GW</w:t>
      </w:r>
      <w:r w:rsidR="00AB031D" w:rsidRPr="238A7EA9">
        <w:rPr>
          <w:rFonts w:cs="Arial"/>
        </w:rPr>
        <w:t xml:space="preserve"> of energy storage capacity by 2030</w:t>
      </w:r>
      <w:r w:rsidR="001A6DCA" w:rsidRPr="238A7EA9">
        <w:rPr>
          <w:rFonts w:cs="Arial"/>
        </w:rPr>
        <w:t>,</w:t>
      </w:r>
      <w:r w:rsidR="00AB031D" w:rsidRPr="238A7EA9">
        <w:rPr>
          <w:rFonts w:cs="Arial"/>
        </w:rPr>
        <w:t xml:space="preserve"> and </w:t>
      </w:r>
      <w:r w:rsidR="75BF7945" w:rsidRPr="238A7EA9">
        <w:rPr>
          <w:rFonts w:cs="Arial"/>
        </w:rPr>
        <w:t xml:space="preserve">at least </w:t>
      </w:r>
      <w:r w:rsidR="00AB031D" w:rsidRPr="238A7EA9">
        <w:rPr>
          <w:rFonts w:cs="Arial"/>
        </w:rPr>
        <w:t>6.3 GW by 2035.</w:t>
      </w:r>
    </w:p>
    <w:p w14:paraId="23FDA448" w14:textId="76440674" w:rsidR="566230E3" w:rsidRDefault="4AE3B429" w:rsidP="566230E3">
      <w:pPr>
        <w:rPr>
          <w:rFonts w:eastAsia="Arial" w:cs="Arial"/>
        </w:rPr>
      </w:pPr>
      <w:r w:rsidRPr="6E349662">
        <w:rPr>
          <w:rFonts w:eastAsia="Arial" w:cs="Arial"/>
          <w:color w:val="000000" w:themeColor="text1"/>
        </w:rPr>
        <w:t>Together</w:t>
      </w:r>
      <w:r w:rsidR="6877A660" w:rsidRPr="6E349662">
        <w:rPr>
          <w:rFonts w:eastAsia="Arial" w:cs="Arial"/>
          <w:color w:val="000000" w:themeColor="text1"/>
        </w:rPr>
        <w:t xml:space="preserve"> these </w:t>
      </w:r>
      <w:r w:rsidR="2A4A52B1" w:rsidRPr="6E349662">
        <w:rPr>
          <w:rFonts w:eastAsia="Arial" w:cs="Arial"/>
          <w:color w:val="000000" w:themeColor="text1"/>
        </w:rPr>
        <w:t>project</w:t>
      </w:r>
      <w:r w:rsidR="730D7A2D" w:rsidRPr="6E349662">
        <w:rPr>
          <w:rFonts w:eastAsia="Arial" w:cs="Arial"/>
          <w:color w:val="000000" w:themeColor="text1"/>
        </w:rPr>
        <w:t xml:space="preserve">s will </w:t>
      </w:r>
      <w:r w:rsidR="3E918E4A" w:rsidRPr="6E349662">
        <w:rPr>
          <w:rFonts w:eastAsia="Arial" w:cs="Arial"/>
          <w:color w:val="000000" w:themeColor="text1"/>
        </w:rPr>
        <w:t>also</w:t>
      </w:r>
      <w:r w:rsidR="730D7A2D" w:rsidRPr="6E349662">
        <w:rPr>
          <w:rFonts w:eastAsia="Arial" w:cs="Arial"/>
          <w:color w:val="000000" w:themeColor="text1"/>
        </w:rPr>
        <w:t xml:space="preserve"> </w:t>
      </w:r>
      <w:r w:rsidR="12FF6B9A" w:rsidRPr="6E349662">
        <w:rPr>
          <w:rFonts w:eastAsia="Arial" w:cs="Arial"/>
          <w:color w:val="000000" w:themeColor="text1"/>
        </w:rPr>
        <w:t xml:space="preserve">play </w:t>
      </w:r>
      <w:r w:rsidR="730D7A2D" w:rsidRPr="6E349662">
        <w:rPr>
          <w:rFonts w:eastAsia="Arial" w:cs="Arial"/>
          <w:color w:val="000000" w:themeColor="text1"/>
        </w:rPr>
        <w:t xml:space="preserve">an important role </w:t>
      </w:r>
      <w:r w:rsidR="7213AC9B" w:rsidRPr="6E349662">
        <w:rPr>
          <w:rFonts w:eastAsia="Arial" w:cs="Arial"/>
          <w:color w:val="000000" w:themeColor="text1"/>
        </w:rPr>
        <w:t>in</w:t>
      </w:r>
      <w:r w:rsidR="730D7A2D" w:rsidRPr="6E349662">
        <w:rPr>
          <w:rFonts w:eastAsia="Arial" w:cs="Arial"/>
          <w:color w:val="000000" w:themeColor="text1"/>
        </w:rPr>
        <w:t xml:space="preserve"> </w:t>
      </w:r>
      <w:r w:rsidR="119EA009" w:rsidRPr="6E349662">
        <w:rPr>
          <w:rFonts w:eastAsia="Arial" w:cs="Arial"/>
          <w:color w:val="000000" w:themeColor="text1"/>
        </w:rPr>
        <w:t>bolstering</w:t>
      </w:r>
      <w:r w:rsidR="730D7A2D" w:rsidRPr="6E349662">
        <w:rPr>
          <w:rFonts w:eastAsia="Arial" w:cs="Arial"/>
          <w:color w:val="000000" w:themeColor="text1"/>
        </w:rPr>
        <w:t xml:space="preserve"> </w:t>
      </w:r>
      <w:r w:rsidR="6A0D9A2C" w:rsidRPr="6E349662">
        <w:rPr>
          <w:rFonts w:eastAsia="Arial" w:cs="Arial"/>
          <w:color w:val="000000" w:themeColor="text1"/>
        </w:rPr>
        <w:t>our</w:t>
      </w:r>
      <w:r w:rsidR="730D7A2D" w:rsidRPr="6E349662">
        <w:rPr>
          <w:rFonts w:cs="Arial"/>
        </w:rPr>
        <w:t xml:space="preserve"> retail and wholesale </w:t>
      </w:r>
      <w:r w:rsidR="4AE5260A" w:rsidRPr="6E349662">
        <w:rPr>
          <w:rFonts w:cs="Arial"/>
        </w:rPr>
        <w:t xml:space="preserve">portfolio </w:t>
      </w:r>
      <w:r w:rsidR="54E0E10E" w:rsidRPr="6E349662">
        <w:rPr>
          <w:rFonts w:cs="Arial"/>
        </w:rPr>
        <w:t>in addition to</w:t>
      </w:r>
      <w:r w:rsidR="4AE5260A" w:rsidRPr="6E349662">
        <w:rPr>
          <w:rFonts w:cs="Arial"/>
        </w:rPr>
        <w:t xml:space="preserve"> the </w:t>
      </w:r>
      <w:r w:rsidR="439338A0" w:rsidRPr="6E349662">
        <w:rPr>
          <w:rFonts w:eastAsia="Arial" w:cs="Arial"/>
          <w:color w:val="000000" w:themeColor="text1"/>
        </w:rPr>
        <w:t>six</w:t>
      </w:r>
      <w:r w:rsidR="3DB854D3" w:rsidRPr="6E349662">
        <w:rPr>
          <w:rFonts w:eastAsia="Arial" w:cs="Arial"/>
          <w:color w:val="000000" w:themeColor="text1"/>
        </w:rPr>
        <w:t xml:space="preserve"> Victorian Renewable Energy </w:t>
      </w:r>
      <w:r w:rsidR="00907870" w:rsidRPr="6E349662">
        <w:rPr>
          <w:rFonts w:eastAsia="Arial" w:cs="Arial"/>
          <w:color w:val="000000" w:themeColor="text1"/>
        </w:rPr>
        <w:t>Target a</w:t>
      </w:r>
      <w:r w:rsidR="3DB854D3" w:rsidRPr="6E349662">
        <w:rPr>
          <w:rFonts w:eastAsia="Arial" w:cs="Arial"/>
          <w:color w:val="000000" w:themeColor="text1"/>
        </w:rPr>
        <w:t xml:space="preserve">uction contracts </w:t>
      </w:r>
      <w:r w:rsidR="47138F2C" w:rsidRPr="6E349662">
        <w:rPr>
          <w:rFonts w:eastAsia="Arial" w:cs="Arial"/>
          <w:color w:val="000000" w:themeColor="text1"/>
        </w:rPr>
        <w:t>su</w:t>
      </w:r>
      <w:r w:rsidR="2D4B085B" w:rsidRPr="6E349662">
        <w:rPr>
          <w:rFonts w:eastAsia="Arial" w:cs="Arial"/>
          <w:color w:val="000000" w:themeColor="text1"/>
        </w:rPr>
        <w:t>c</w:t>
      </w:r>
      <w:r w:rsidR="676A454D" w:rsidRPr="6E349662">
        <w:rPr>
          <w:rFonts w:eastAsia="Arial" w:cs="Arial"/>
          <w:color w:val="000000" w:themeColor="text1"/>
        </w:rPr>
        <w:t>c</w:t>
      </w:r>
      <w:r w:rsidR="2D4B085B" w:rsidRPr="6E349662">
        <w:rPr>
          <w:rFonts w:eastAsia="Arial" w:cs="Arial"/>
          <w:color w:val="000000" w:themeColor="text1"/>
        </w:rPr>
        <w:t xml:space="preserve">essfully novated </w:t>
      </w:r>
      <w:r w:rsidR="632B5A3A" w:rsidRPr="6E349662">
        <w:rPr>
          <w:rFonts w:eastAsia="Arial" w:cs="Arial"/>
          <w:color w:val="000000" w:themeColor="text1"/>
        </w:rPr>
        <w:t xml:space="preserve">to SEC </w:t>
      </w:r>
      <w:r w:rsidR="15FD083E" w:rsidRPr="6E349662">
        <w:rPr>
          <w:rFonts w:eastAsia="Arial" w:cs="Arial"/>
          <w:color w:val="000000" w:themeColor="text1"/>
        </w:rPr>
        <w:t xml:space="preserve">ahead of the 1 July </w:t>
      </w:r>
      <w:r w:rsidR="005A2FC4" w:rsidRPr="6E349662">
        <w:rPr>
          <w:rFonts w:eastAsia="Arial" w:cs="Arial"/>
          <w:color w:val="000000" w:themeColor="text1"/>
        </w:rPr>
        <w:t xml:space="preserve">2025 </w:t>
      </w:r>
      <w:r w:rsidR="15FD083E" w:rsidRPr="6E349662">
        <w:rPr>
          <w:rFonts w:eastAsia="Arial" w:cs="Arial"/>
          <w:color w:val="000000" w:themeColor="text1"/>
        </w:rPr>
        <w:t>retail launch</w:t>
      </w:r>
      <w:r w:rsidR="3DB854D3" w:rsidRPr="6E349662">
        <w:rPr>
          <w:rFonts w:eastAsia="Arial" w:cs="Arial"/>
          <w:color w:val="000000" w:themeColor="text1"/>
        </w:rPr>
        <w:t>.</w:t>
      </w:r>
    </w:p>
    <w:p w14:paraId="2088C657" w14:textId="2D2C94E8" w:rsidR="00AB031D" w:rsidRPr="000374D5" w:rsidRDefault="00AB031D" w:rsidP="3D45414F">
      <w:pPr>
        <w:rPr>
          <w:rFonts w:cs="Arial"/>
        </w:rPr>
      </w:pPr>
      <w:r w:rsidRPr="6E349662">
        <w:rPr>
          <w:rFonts w:cs="Arial"/>
        </w:rPr>
        <w:t xml:space="preserve">We have also </w:t>
      </w:r>
      <w:r w:rsidR="000E206F" w:rsidRPr="6E349662">
        <w:rPr>
          <w:rFonts w:cs="Arial"/>
        </w:rPr>
        <w:t>bolstered our governance</w:t>
      </w:r>
      <w:r w:rsidR="00075F94" w:rsidRPr="6E349662">
        <w:rPr>
          <w:rFonts w:cs="Arial"/>
        </w:rPr>
        <w:t xml:space="preserve"> during the last financial year</w:t>
      </w:r>
      <w:r w:rsidR="000F6090" w:rsidRPr="6E349662">
        <w:rPr>
          <w:rFonts w:cs="Arial"/>
        </w:rPr>
        <w:t xml:space="preserve">, </w:t>
      </w:r>
      <w:r w:rsidRPr="6E349662">
        <w:rPr>
          <w:rFonts w:cs="Arial"/>
        </w:rPr>
        <w:t>ma</w:t>
      </w:r>
      <w:r w:rsidR="000F6090" w:rsidRPr="6E349662">
        <w:rPr>
          <w:rFonts w:cs="Arial"/>
        </w:rPr>
        <w:t>king</w:t>
      </w:r>
      <w:r w:rsidRPr="6E349662">
        <w:rPr>
          <w:rFonts w:cs="Arial"/>
        </w:rPr>
        <w:t xml:space="preserve"> significant appointments </w:t>
      </w:r>
      <w:r w:rsidR="00996DBD" w:rsidRPr="6E349662">
        <w:rPr>
          <w:rFonts w:cs="Arial"/>
        </w:rPr>
        <w:t xml:space="preserve">with </w:t>
      </w:r>
      <w:r w:rsidRPr="6E349662">
        <w:rPr>
          <w:rFonts w:cs="Arial"/>
        </w:rPr>
        <w:t xml:space="preserve">Sharan Burrow AC and Cameron Garnsworthy </w:t>
      </w:r>
      <w:r w:rsidR="00996DBD" w:rsidRPr="6E349662">
        <w:rPr>
          <w:rFonts w:cs="Arial"/>
        </w:rPr>
        <w:t xml:space="preserve">joining </w:t>
      </w:r>
      <w:r w:rsidRPr="6E349662">
        <w:rPr>
          <w:rFonts w:cs="Arial"/>
        </w:rPr>
        <w:t xml:space="preserve">the Board. Together these directors bring a wealth of experience in renewable energy development, climate action and advocacy, investment, financing and workforce development, all critical skills as the Board continues to guide </w:t>
      </w:r>
      <w:r w:rsidR="00A32DCC" w:rsidRPr="6E349662">
        <w:rPr>
          <w:rFonts w:cs="Arial"/>
        </w:rPr>
        <w:t xml:space="preserve">us </w:t>
      </w:r>
      <w:r w:rsidRPr="6E349662">
        <w:rPr>
          <w:rFonts w:cs="Arial"/>
        </w:rPr>
        <w:t xml:space="preserve">into </w:t>
      </w:r>
      <w:r w:rsidR="00A32DCC" w:rsidRPr="6E349662">
        <w:rPr>
          <w:rFonts w:cs="Arial"/>
        </w:rPr>
        <w:t>our</w:t>
      </w:r>
      <w:r w:rsidRPr="6E349662">
        <w:rPr>
          <w:rFonts w:cs="Arial"/>
        </w:rPr>
        <w:t xml:space="preserve"> </w:t>
      </w:r>
      <w:r w:rsidR="009269FE" w:rsidRPr="6E349662">
        <w:rPr>
          <w:rFonts w:cs="Arial"/>
        </w:rPr>
        <w:t>next</w:t>
      </w:r>
      <w:r w:rsidRPr="6E349662">
        <w:rPr>
          <w:rFonts w:cs="Arial"/>
        </w:rPr>
        <w:t xml:space="preserve"> phase</w:t>
      </w:r>
      <w:r w:rsidR="009269FE" w:rsidRPr="6E349662">
        <w:rPr>
          <w:rFonts w:cs="Arial"/>
        </w:rPr>
        <w:t xml:space="preserve"> of </w:t>
      </w:r>
      <w:r w:rsidRPr="6E349662">
        <w:rPr>
          <w:rFonts w:cs="Arial"/>
        </w:rPr>
        <w:t>operation.</w:t>
      </w:r>
    </w:p>
    <w:p w14:paraId="3A2DAD2E" w14:textId="2AEABB26" w:rsidR="00AB031D" w:rsidRPr="000374D5" w:rsidRDefault="6E6D6917" w:rsidP="0625CE6B">
      <w:pPr>
        <w:rPr>
          <w:rFonts w:cs="Arial"/>
        </w:rPr>
      </w:pPr>
      <w:r w:rsidRPr="4CA16377">
        <w:rPr>
          <w:rFonts w:cs="Arial"/>
        </w:rPr>
        <w:t xml:space="preserve">The Board also </w:t>
      </w:r>
      <w:r w:rsidR="74B0C256" w:rsidRPr="4CA16377">
        <w:rPr>
          <w:rFonts w:cs="Arial"/>
        </w:rPr>
        <w:t>formally</w:t>
      </w:r>
      <w:r w:rsidR="58640149" w:rsidRPr="4CA16377">
        <w:rPr>
          <w:rFonts w:cs="Arial"/>
        </w:rPr>
        <w:t xml:space="preserve"> announced the</w:t>
      </w:r>
      <w:r w:rsidR="74B0C256" w:rsidRPr="4CA16377">
        <w:rPr>
          <w:rFonts w:cs="Arial"/>
        </w:rPr>
        <w:t xml:space="preserve"> </w:t>
      </w:r>
      <w:r w:rsidRPr="4CA16377">
        <w:rPr>
          <w:rFonts w:cs="Arial"/>
        </w:rPr>
        <w:t>appoint</w:t>
      </w:r>
      <w:r w:rsidR="7E3866B1" w:rsidRPr="4CA16377">
        <w:rPr>
          <w:rFonts w:cs="Arial"/>
        </w:rPr>
        <w:t>ment of</w:t>
      </w:r>
      <w:r w:rsidRPr="4CA16377">
        <w:rPr>
          <w:rFonts w:cs="Arial"/>
        </w:rPr>
        <w:t xml:space="preserve"> Chris Miller</w:t>
      </w:r>
      <w:r w:rsidR="6D5649C0" w:rsidRPr="4CA16377">
        <w:rPr>
          <w:rFonts w:cs="Arial"/>
        </w:rPr>
        <w:t xml:space="preserve"> as </w:t>
      </w:r>
      <w:r w:rsidR="7C369AA0" w:rsidRPr="4CA16377">
        <w:rPr>
          <w:rFonts w:cs="Arial"/>
        </w:rPr>
        <w:t>Chief Executive Officer</w:t>
      </w:r>
      <w:r w:rsidR="2875F45D" w:rsidRPr="4CA16377">
        <w:rPr>
          <w:rFonts w:cs="Arial"/>
        </w:rPr>
        <w:t xml:space="preserve"> to continue</w:t>
      </w:r>
      <w:r w:rsidRPr="4CA16377">
        <w:rPr>
          <w:rFonts w:cs="Arial"/>
        </w:rPr>
        <w:t xml:space="preserve"> the work he began</w:t>
      </w:r>
      <w:r w:rsidR="30D9BB5D" w:rsidRPr="4CA16377">
        <w:rPr>
          <w:rFonts w:cs="Arial"/>
        </w:rPr>
        <w:t>,</w:t>
      </w:r>
      <w:r w:rsidRPr="4CA16377">
        <w:rPr>
          <w:rFonts w:cs="Arial"/>
        </w:rPr>
        <w:t xml:space="preserve"> leading the organisation’s re-establishment as interim CEO. Chris brings a wealth of public and private sector leadership experience, including a strong background in energy. He has built an exceptional team and continues to make great progress in delivering our strategic plan.</w:t>
      </w:r>
    </w:p>
    <w:p w14:paraId="055992AF" w14:textId="0A04B63A" w:rsidR="00AB031D" w:rsidRPr="000374D5" w:rsidRDefault="02597ACE" w:rsidP="0625CE6B">
      <w:pPr>
        <w:rPr>
          <w:rFonts w:cs="Arial"/>
        </w:rPr>
      </w:pPr>
      <w:r w:rsidRPr="12DC2B23">
        <w:rPr>
          <w:rFonts w:cs="Arial"/>
        </w:rPr>
        <w:t>W</w:t>
      </w:r>
      <w:r w:rsidR="2C1792CA" w:rsidRPr="12DC2B23">
        <w:rPr>
          <w:rFonts w:cs="Arial"/>
        </w:rPr>
        <w:t>e have</w:t>
      </w:r>
      <w:r w:rsidR="00AB031D" w:rsidRPr="12DC2B23">
        <w:rPr>
          <w:rFonts w:cs="Arial"/>
        </w:rPr>
        <w:t xml:space="preserve"> taken great strides in the past year </w:t>
      </w:r>
      <w:r w:rsidR="00104757" w:rsidRPr="2B7B3D50">
        <w:rPr>
          <w:rFonts w:cs="Arial"/>
        </w:rPr>
        <w:t>-</w:t>
      </w:r>
      <w:r w:rsidR="00AB031D" w:rsidRPr="12DC2B23">
        <w:rPr>
          <w:rFonts w:cs="Arial"/>
        </w:rPr>
        <w:t xml:space="preserve"> securing </w:t>
      </w:r>
      <w:r w:rsidR="1AD726C9" w:rsidRPr="12DC2B23">
        <w:rPr>
          <w:rFonts w:cs="Arial"/>
        </w:rPr>
        <w:t xml:space="preserve">the </w:t>
      </w:r>
      <w:r w:rsidR="6D014F8B" w:rsidRPr="12DC2B23">
        <w:rPr>
          <w:rFonts w:cs="Arial"/>
        </w:rPr>
        <w:t>necessary</w:t>
      </w:r>
      <w:r w:rsidR="00792D3D" w:rsidRPr="12DC2B23">
        <w:rPr>
          <w:rFonts w:cs="Arial"/>
        </w:rPr>
        <w:t xml:space="preserve"> </w:t>
      </w:r>
      <w:r w:rsidR="00AB031D" w:rsidRPr="12DC2B23">
        <w:rPr>
          <w:rFonts w:cs="Arial"/>
        </w:rPr>
        <w:t>licences to retail renewable electricity to government and commercial and industrial customers</w:t>
      </w:r>
      <w:r w:rsidR="00CB304E" w:rsidRPr="12DC2B23">
        <w:rPr>
          <w:rFonts w:cs="Arial"/>
        </w:rPr>
        <w:t>,</w:t>
      </w:r>
      <w:r w:rsidR="00792D3D" w:rsidRPr="12DC2B23">
        <w:rPr>
          <w:rFonts w:cs="Arial"/>
        </w:rPr>
        <w:t xml:space="preserve"> </w:t>
      </w:r>
      <w:r w:rsidR="005C7431" w:rsidRPr="12DC2B23">
        <w:rPr>
          <w:rFonts w:cs="Arial"/>
        </w:rPr>
        <w:t xml:space="preserve">trade on the energy </w:t>
      </w:r>
      <w:r w:rsidR="00D03A1C" w:rsidRPr="12DC2B23">
        <w:rPr>
          <w:rFonts w:cs="Arial"/>
        </w:rPr>
        <w:t>market</w:t>
      </w:r>
      <w:r w:rsidR="00F32926" w:rsidRPr="12DC2B23">
        <w:rPr>
          <w:rFonts w:cs="Arial"/>
        </w:rPr>
        <w:t>,</w:t>
      </w:r>
      <w:r w:rsidR="00D03A1C" w:rsidRPr="12DC2B23">
        <w:rPr>
          <w:rFonts w:cs="Arial"/>
        </w:rPr>
        <w:t xml:space="preserve"> and</w:t>
      </w:r>
      <w:r w:rsidR="00AB031D" w:rsidRPr="12DC2B23">
        <w:rPr>
          <w:rFonts w:cs="Arial"/>
        </w:rPr>
        <w:t xml:space="preserve"> investing to research Victorian consumer energy needs</w:t>
      </w:r>
      <w:r w:rsidR="0F1B4277" w:rsidRPr="12DC2B23">
        <w:rPr>
          <w:rFonts w:cs="Arial"/>
        </w:rPr>
        <w:t>. But</w:t>
      </w:r>
      <w:r w:rsidR="00AB031D" w:rsidRPr="12DC2B23">
        <w:rPr>
          <w:rFonts w:cs="Arial"/>
        </w:rPr>
        <w:t xml:space="preserve"> there is much to be done</w:t>
      </w:r>
      <w:r w:rsidR="00B457D3" w:rsidRPr="12DC2B23">
        <w:rPr>
          <w:rFonts w:cs="Arial"/>
        </w:rPr>
        <w:t>.</w:t>
      </w:r>
      <w:r w:rsidR="00442E46" w:rsidRPr="12DC2B23">
        <w:rPr>
          <w:rFonts w:cs="Arial"/>
        </w:rPr>
        <w:t xml:space="preserve"> </w:t>
      </w:r>
      <w:r w:rsidR="00B457D3" w:rsidRPr="12DC2B23">
        <w:rPr>
          <w:rFonts w:cs="Arial"/>
        </w:rPr>
        <w:t>W</w:t>
      </w:r>
      <w:r w:rsidR="00442E46" w:rsidRPr="12DC2B23">
        <w:rPr>
          <w:rFonts w:cs="Arial"/>
        </w:rPr>
        <w:t>e are only at the beginning of our journey</w:t>
      </w:r>
      <w:r w:rsidR="00AB031D" w:rsidRPr="12DC2B23">
        <w:rPr>
          <w:rFonts w:cs="Arial"/>
        </w:rPr>
        <w:t>.</w:t>
      </w:r>
    </w:p>
    <w:p w14:paraId="585CF64D" w14:textId="560D53C2" w:rsidR="00AB031D" w:rsidRPr="000374D5" w:rsidRDefault="00AB031D" w:rsidP="6E349662">
      <w:pPr>
        <w:rPr>
          <w:rFonts w:cs="Arial"/>
        </w:rPr>
      </w:pPr>
      <w:r w:rsidRPr="380F0F67">
        <w:rPr>
          <w:rFonts w:cs="Arial"/>
        </w:rPr>
        <w:t xml:space="preserve">I look forward to </w:t>
      </w:r>
      <w:r w:rsidR="00442E46" w:rsidRPr="380F0F67">
        <w:rPr>
          <w:rFonts w:cs="Arial"/>
        </w:rPr>
        <w:t xml:space="preserve">continuing to work with </w:t>
      </w:r>
      <w:r w:rsidR="001762F4" w:rsidRPr="380F0F67">
        <w:rPr>
          <w:rFonts w:cs="Arial"/>
        </w:rPr>
        <w:t>my fellow</w:t>
      </w:r>
      <w:r w:rsidR="00442E46" w:rsidRPr="380F0F67">
        <w:rPr>
          <w:rFonts w:cs="Arial"/>
        </w:rPr>
        <w:t xml:space="preserve"> Board</w:t>
      </w:r>
      <w:r w:rsidR="001762F4" w:rsidRPr="380F0F67">
        <w:rPr>
          <w:rFonts w:cs="Arial"/>
        </w:rPr>
        <w:t xml:space="preserve"> members</w:t>
      </w:r>
      <w:r w:rsidR="00442E46" w:rsidRPr="380F0F67">
        <w:rPr>
          <w:rFonts w:cs="Arial"/>
        </w:rPr>
        <w:t>,</w:t>
      </w:r>
      <w:r w:rsidRPr="380F0F67">
        <w:rPr>
          <w:rFonts w:cs="Arial"/>
        </w:rPr>
        <w:t xml:space="preserve"> Chris and his team </w:t>
      </w:r>
      <w:r w:rsidR="007965AB" w:rsidRPr="380F0F67">
        <w:rPr>
          <w:rFonts w:cs="Arial"/>
        </w:rPr>
        <w:t>during</w:t>
      </w:r>
      <w:r w:rsidRPr="380F0F67">
        <w:rPr>
          <w:rFonts w:cs="Arial"/>
        </w:rPr>
        <w:t xml:space="preserve"> this next exciting phase of </w:t>
      </w:r>
      <w:r w:rsidR="3D22E6E1" w:rsidRPr="380F0F67">
        <w:rPr>
          <w:rFonts w:cs="Arial"/>
        </w:rPr>
        <w:t xml:space="preserve">accelerating Victoria’s energy </w:t>
      </w:r>
      <w:r w:rsidR="4DE6AF8D" w:rsidRPr="380F0F67">
        <w:rPr>
          <w:rFonts w:cs="Arial"/>
        </w:rPr>
        <w:t>transition.</w:t>
      </w:r>
    </w:p>
    <w:p w14:paraId="1B660D34" w14:textId="77777777" w:rsidR="009E4CB7" w:rsidRDefault="009E4CB7" w:rsidP="00D77678">
      <w:r>
        <w:t>Simon Corbell</w:t>
      </w:r>
    </w:p>
    <w:p w14:paraId="7AE5D344" w14:textId="77777777" w:rsidR="00931717" w:rsidRDefault="009E4CB7" w:rsidP="00D77678">
      <w:r>
        <w:t xml:space="preserve">Chair, </w:t>
      </w:r>
      <w:r w:rsidR="00DF305E">
        <w:t xml:space="preserve">Board </w:t>
      </w:r>
      <w:r w:rsidR="310F2E69">
        <w:t>Chair</w:t>
      </w:r>
    </w:p>
    <w:p w14:paraId="366FACAA" w14:textId="06C97DA5" w:rsidR="00F012F6" w:rsidRDefault="00F012F6" w:rsidP="00D77678">
      <w:r>
        <w:br w:type="page"/>
      </w:r>
    </w:p>
    <w:p w14:paraId="14F44CA0" w14:textId="10D91EB7" w:rsidR="00CC185B" w:rsidRPr="00FE35C6" w:rsidRDefault="00CC185B" w:rsidP="00B254AC">
      <w:pPr>
        <w:pStyle w:val="Heading1"/>
      </w:pPr>
      <w:bookmarkStart w:id="65" w:name="_Toc200631662"/>
      <w:bookmarkStart w:id="66" w:name="_Toc1334772193"/>
      <w:bookmarkStart w:id="67" w:name="_Toc201222686"/>
      <w:bookmarkStart w:id="68" w:name="_Toc518440515"/>
      <w:bookmarkStart w:id="69" w:name="_Toc767010225"/>
      <w:bookmarkStart w:id="70" w:name="_Toc1794736122"/>
      <w:bookmarkStart w:id="71" w:name="_Toc1586860800"/>
      <w:bookmarkStart w:id="72" w:name="_Toc251855771"/>
      <w:bookmarkStart w:id="73" w:name="_Toc116381119"/>
      <w:bookmarkStart w:id="74" w:name="_Toc203487520"/>
      <w:bookmarkStart w:id="75" w:name="_Toc203656196"/>
      <w:bookmarkStart w:id="76" w:name="_Toc1250099073"/>
      <w:bookmarkStart w:id="77" w:name="_Toc208418025"/>
      <w:bookmarkStart w:id="78" w:name="_Toc209080390"/>
      <w:bookmarkStart w:id="79" w:name="_Toc209703959"/>
      <w:bookmarkStart w:id="80" w:name="_Toc209704012"/>
      <w:bookmarkStart w:id="81" w:name="_Toc209704065"/>
      <w:r>
        <w:t xml:space="preserve">Message from the </w:t>
      </w:r>
      <w:r w:rsidR="009E4CB7">
        <w:t>CEO</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BB33125" w14:textId="58531689" w:rsidR="00002940" w:rsidRPr="00F65403" w:rsidRDefault="540BAD09" w:rsidP="2945531B">
      <w:pPr>
        <w:rPr>
          <w:rFonts w:eastAsia="Arial" w:cs="Arial"/>
        </w:rPr>
      </w:pPr>
      <w:r w:rsidRPr="6E349662">
        <w:rPr>
          <w:rFonts w:eastAsia="Arial" w:cs="Arial"/>
        </w:rPr>
        <w:t>It’s been another big year for SEC as we continue to accelerate Victoria’s energy transition and deliver the benefits of public ownership to Victorians. </w:t>
      </w:r>
      <w:r w:rsidR="10C213BD" w:rsidRPr="6E349662">
        <w:rPr>
          <w:rFonts w:eastAsia="Arial" w:cs="Arial"/>
        </w:rPr>
        <w:t xml:space="preserve">Since </w:t>
      </w:r>
      <w:r w:rsidR="66931E6B" w:rsidRPr="6E349662">
        <w:rPr>
          <w:rFonts w:eastAsia="Arial" w:cs="Arial"/>
        </w:rPr>
        <w:t>our</w:t>
      </w:r>
      <w:r w:rsidR="10C213BD" w:rsidRPr="6E349662">
        <w:rPr>
          <w:rFonts w:eastAsia="Arial" w:cs="Arial"/>
        </w:rPr>
        <w:t xml:space="preserve"> inception in October 2023, </w:t>
      </w:r>
      <w:r w:rsidR="6634CB5E" w:rsidRPr="6E349662">
        <w:rPr>
          <w:rFonts w:eastAsia="Arial" w:cs="Arial"/>
        </w:rPr>
        <w:t xml:space="preserve">we’ve </w:t>
      </w:r>
      <w:r w:rsidR="66931E6B" w:rsidRPr="6E349662">
        <w:rPr>
          <w:rFonts w:eastAsia="Arial" w:cs="Arial"/>
        </w:rPr>
        <w:t xml:space="preserve">moved </w:t>
      </w:r>
      <w:r w:rsidR="3579697A" w:rsidRPr="6E349662">
        <w:rPr>
          <w:rFonts w:eastAsia="Arial" w:cs="Arial"/>
        </w:rPr>
        <w:t>at pace</w:t>
      </w:r>
      <w:r w:rsidR="10C213BD" w:rsidRPr="6E349662">
        <w:rPr>
          <w:rFonts w:eastAsia="Arial" w:cs="Arial"/>
        </w:rPr>
        <w:t xml:space="preserve"> </w:t>
      </w:r>
      <w:r w:rsidR="66931E6B" w:rsidRPr="6E349662">
        <w:rPr>
          <w:rFonts w:eastAsia="Arial" w:cs="Arial"/>
        </w:rPr>
        <w:t xml:space="preserve">to </w:t>
      </w:r>
      <w:r w:rsidR="432FC81B" w:rsidRPr="6E349662">
        <w:rPr>
          <w:rFonts w:eastAsia="Arial" w:cs="Arial"/>
        </w:rPr>
        <w:t>build our organisation</w:t>
      </w:r>
      <w:r w:rsidR="72E4673C" w:rsidRPr="6E349662">
        <w:rPr>
          <w:rFonts w:eastAsia="Arial" w:cs="Arial"/>
        </w:rPr>
        <w:t xml:space="preserve">. </w:t>
      </w:r>
    </w:p>
    <w:p w14:paraId="49F76DE7" w14:textId="20801933" w:rsidR="00002940" w:rsidRPr="009463F5" w:rsidRDefault="007E5902" w:rsidP="007E5902">
      <w:pPr>
        <w:rPr>
          <w:rFonts w:eastAsia="Arial" w:cs="Arial"/>
        </w:rPr>
      </w:pPr>
      <w:r w:rsidRPr="34139D78">
        <w:rPr>
          <w:rFonts w:eastAsia="Arial" w:cs="Arial"/>
        </w:rPr>
        <w:t>We’ve made strong progress against</w:t>
      </w:r>
      <w:r w:rsidR="3AE9AD96" w:rsidRPr="34139D78">
        <w:rPr>
          <w:rFonts w:eastAsia="Arial" w:cs="Arial"/>
        </w:rPr>
        <w:t xml:space="preserve"> our goals:</w:t>
      </w:r>
      <w:r w:rsidRPr="34139D78">
        <w:rPr>
          <w:rFonts w:eastAsia="Arial" w:cs="Arial"/>
        </w:rPr>
        <w:t xml:space="preserve"> </w:t>
      </w:r>
      <w:r w:rsidR="00864ACE" w:rsidRPr="34139D78">
        <w:rPr>
          <w:rFonts w:eastAsia="Arial" w:cs="Arial"/>
        </w:rPr>
        <w:t xml:space="preserve"> </w:t>
      </w:r>
      <w:r w:rsidR="00851ACA" w:rsidRPr="34139D78">
        <w:rPr>
          <w:rFonts w:eastAsia="Arial" w:cs="Arial"/>
        </w:rPr>
        <w:t>invest</w:t>
      </w:r>
      <w:r w:rsidRPr="34139D78">
        <w:rPr>
          <w:rFonts w:eastAsia="Arial" w:cs="Arial"/>
        </w:rPr>
        <w:t>ing</w:t>
      </w:r>
      <w:r w:rsidR="00002940" w:rsidRPr="34139D78">
        <w:rPr>
          <w:rFonts w:eastAsia="Arial" w:cs="Arial"/>
        </w:rPr>
        <w:t xml:space="preserve"> in renewable energy generation and storage</w:t>
      </w:r>
      <w:r w:rsidR="00133460" w:rsidRPr="34139D78">
        <w:rPr>
          <w:rFonts w:eastAsia="Arial" w:cs="Arial"/>
        </w:rPr>
        <w:t>,</w:t>
      </w:r>
      <w:r w:rsidR="1319BFF7" w:rsidRPr="34139D78">
        <w:rPr>
          <w:rFonts w:eastAsia="Arial" w:cs="Arial"/>
        </w:rPr>
        <w:t xml:space="preserve"> becoming a retailer powering Victorian </w:t>
      </w:r>
      <w:r w:rsidR="410EE656" w:rsidRPr="34139D78">
        <w:rPr>
          <w:rFonts w:eastAsia="Arial" w:cs="Arial"/>
        </w:rPr>
        <w:t>G</w:t>
      </w:r>
      <w:r w:rsidR="1319BFF7" w:rsidRPr="34139D78">
        <w:rPr>
          <w:rFonts w:eastAsia="Arial" w:cs="Arial"/>
        </w:rPr>
        <w:t>overnment</w:t>
      </w:r>
      <w:r w:rsidR="503DA37D" w:rsidRPr="34139D78">
        <w:rPr>
          <w:rFonts w:eastAsia="Arial" w:cs="Arial"/>
        </w:rPr>
        <w:t xml:space="preserve"> operations</w:t>
      </w:r>
      <w:r w:rsidR="1319BFF7" w:rsidRPr="34139D78">
        <w:rPr>
          <w:rFonts w:eastAsia="Arial" w:cs="Arial"/>
        </w:rPr>
        <w:t xml:space="preserve"> and</w:t>
      </w:r>
      <w:r w:rsidR="00002940" w:rsidRPr="34139D78">
        <w:rPr>
          <w:rFonts w:eastAsia="Arial" w:cs="Arial"/>
        </w:rPr>
        <w:t xml:space="preserve"> </w:t>
      </w:r>
      <w:r w:rsidR="2F7F8626" w:rsidRPr="34139D78">
        <w:rPr>
          <w:rFonts w:eastAsia="Arial" w:cs="Arial"/>
        </w:rPr>
        <w:t xml:space="preserve">preparing to </w:t>
      </w:r>
      <w:r w:rsidR="00E939E5" w:rsidRPr="34139D78">
        <w:rPr>
          <w:rFonts w:eastAsia="Arial" w:cs="Arial"/>
        </w:rPr>
        <w:t>retail</w:t>
      </w:r>
      <w:r w:rsidR="0009179A" w:rsidRPr="34139D78">
        <w:rPr>
          <w:rFonts w:eastAsia="Arial" w:cs="Arial"/>
        </w:rPr>
        <w:t xml:space="preserve"> </w:t>
      </w:r>
      <w:r w:rsidR="5A6930EE" w:rsidRPr="34139D78">
        <w:rPr>
          <w:rFonts w:eastAsia="Arial" w:cs="Arial"/>
        </w:rPr>
        <w:t xml:space="preserve">to </w:t>
      </w:r>
      <w:r w:rsidR="4A9EAB66" w:rsidRPr="34139D78">
        <w:rPr>
          <w:rFonts w:eastAsia="Arial" w:cs="Arial"/>
        </w:rPr>
        <w:t>Victorian businesses</w:t>
      </w:r>
      <w:r w:rsidRPr="34139D78">
        <w:rPr>
          <w:rFonts w:eastAsia="Arial" w:cs="Arial"/>
        </w:rPr>
        <w:t xml:space="preserve">, </w:t>
      </w:r>
      <w:r w:rsidR="00002940" w:rsidRPr="34139D78">
        <w:rPr>
          <w:rFonts w:eastAsia="Arial" w:cs="Arial"/>
        </w:rPr>
        <w:t>suppor</w:t>
      </w:r>
      <w:r w:rsidR="00851ACA" w:rsidRPr="34139D78">
        <w:rPr>
          <w:rFonts w:eastAsia="Arial" w:cs="Arial"/>
        </w:rPr>
        <w:t>t</w:t>
      </w:r>
      <w:r w:rsidRPr="34139D78">
        <w:rPr>
          <w:rFonts w:eastAsia="Arial" w:cs="Arial"/>
        </w:rPr>
        <w:t>ing households to</w:t>
      </w:r>
      <w:r w:rsidR="00002940" w:rsidRPr="34139D78">
        <w:rPr>
          <w:rFonts w:eastAsia="Arial" w:cs="Arial"/>
        </w:rPr>
        <w:t xml:space="preserve"> switch to electric</w:t>
      </w:r>
      <w:r w:rsidR="34130C5E" w:rsidRPr="34139D78">
        <w:rPr>
          <w:rFonts w:eastAsia="Arial" w:cs="Arial"/>
        </w:rPr>
        <w:t xml:space="preserve"> and save money on their bills</w:t>
      </w:r>
      <w:r w:rsidR="00002940" w:rsidRPr="34139D78">
        <w:rPr>
          <w:rFonts w:eastAsia="Arial" w:cs="Arial"/>
        </w:rPr>
        <w:t>, and build</w:t>
      </w:r>
      <w:r w:rsidRPr="34139D78">
        <w:rPr>
          <w:rFonts w:eastAsia="Arial" w:cs="Arial"/>
        </w:rPr>
        <w:t>ing</w:t>
      </w:r>
      <w:r w:rsidR="00002940" w:rsidRPr="34139D78">
        <w:rPr>
          <w:rFonts w:eastAsia="Arial" w:cs="Arial"/>
        </w:rPr>
        <w:t xml:space="preserve"> the renewable energy workforce </w:t>
      </w:r>
      <w:r w:rsidR="00752BB3" w:rsidRPr="34139D78">
        <w:rPr>
          <w:rFonts w:eastAsia="Arial" w:cs="Arial"/>
        </w:rPr>
        <w:t>we need</w:t>
      </w:r>
      <w:r w:rsidR="00002940" w:rsidRPr="34139D78">
        <w:rPr>
          <w:rFonts w:eastAsia="Arial" w:cs="Arial"/>
        </w:rPr>
        <w:t xml:space="preserve"> to accelerate Victoria’s energy transition.  </w:t>
      </w:r>
    </w:p>
    <w:p w14:paraId="2098FA9E" w14:textId="5D1F888B" w:rsidR="72D2680B" w:rsidRDefault="0AF09A54" w:rsidP="3D45414F">
      <w:pPr>
        <w:spacing w:line="276" w:lineRule="auto"/>
        <w:rPr>
          <w:rFonts w:eastAsia="Arial" w:cs="Arial"/>
        </w:rPr>
      </w:pPr>
      <w:r w:rsidRPr="3D45414F">
        <w:rPr>
          <w:rFonts w:eastAsia="Arial" w:cs="Arial"/>
        </w:rPr>
        <w:t xml:space="preserve">These efforts will accelerate as we continue to work towards our ambitious </w:t>
      </w:r>
      <w:r w:rsidR="0A8720BE" w:rsidRPr="22E97349">
        <w:rPr>
          <w:rFonts w:eastAsia="Arial" w:cs="Arial"/>
        </w:rPr>
        <w:t xml:space="preserve">projects </w:t>
      </w:r>
      <w:r w:rsidRPr="22E97349">
        <w:rPr>
          <w:rFonts w:eastAsia="Arial" w:cs="Arial"/>
        </w:rPr>
        <w:t>and</w:t>
      </w:r>
      <w:r w:rsidRPr="3D45414F">
        <w:rPr>
          <w:rFonts w:eastAsia="Arial" w:cs="Arial"/>
        </w:rPr>
        <w:t xml:space="preserve"> organisational priorities for 2025-26.</w:t>
      </w:r>
    </w:p>
    <w:p w14:paraId="6BB13A23" w14:textId="4B369186" w:rsidR="00867E09" w:rsidRDefault="00890470" w:rsidP="3D45414F">
      <w:pPr>
        <w:spacing w:line="276" w:lineRule="auto"/>
        <w:rPr>
          <w:rFonts w:eastAsia="Arial" w:cs="Arial"/>
        </w:rPr>
      </w:pPr>
      <w:r w:rsidRPr="46A8CC36">
        <w:rPr>
          <w:rFonts w:eastAsia="Arial" w:cs="Arial"/>
        </w:rPr>
        <w:t>It has been a year of significant investment</w:t>
      </w:r>
      <w:r w:rsidR="00970A88" w:rsidRPr="46A8CC36">
        <w:rPr>
          <w:rFonts w:eastAsia="Arial" w:cs="Arial"/>
        </w:rPr>
        <w:t>. We</w:t>
      </w:r>
      <w:r w:rsidR="000D5540" w:rsidRPr="46A8CC36">
        <w:rPr>
          <w:rFonts w:eastAsia="Arial" w:cs="Arial"/>
        </w:rPr>
        <w:t xml:space="preserve"> have</w:t>
      </w:r>
      <w:r w:rsidR="0063483D" w:rsidRPr="46A8CC36">
        <w:rPr>
          <w:rFonts w:eastAsia="Arial" w:cs="Arial"/>
        </w:rPr>
        <w:t xml:space="preserve"> continued to</w:t>
      </w:r>
      <w:r w:rsidRPr="46A8CC36">
        <w:rPr>
          <w:rFonts w:eastAsia="Arial" w:cs="Arial"/>
        </w:rPr>
        <w:t xml:space="preserve"> build </w:t>
      </w:r>
      <w:r w:rsidR="009A583B" w:rsidRPr="46A8CC36">
        <w:rPr>
          <w:rFonts w:eastAsia="Arial" w:cs="Arial"/>
        </w:rPr>
        <w:t xml:space="preserve">our </w:t>
      </w:r>
      <w:r w:rsidR="00C10A6B" w:rsidRPr="46A8CC36">
        <w:rPr>
          <w:rFonts w:eastAsia="Arial" w:cs="Arial"/>
        </w:rPr>
        <w:t>organisational</w:t>
      </w:r>
      <w:r w:rsidR="0000503E" w:rsidRPr="46A8CC36">
        <w:rPr>
          <w:rFonts w:eastAsia="Arial" w:cs="Arial"/>
        </w:rPr>
        <w:t xml:space="preserve"> capability</w:t>
      </w:r>
      <w:r w:rsidR="00506579" w:rsidRPr="46A8CC36">
        <w:rPr>
          <w:rFonts w:eastAsia="Arial" w:cs="Arial"/>
        </w:rPr>
        <w:t xml:space="preserve"> from</w:t>
      </w:r>
      <w:r w:rsidR="001E673F" w:rsidRPr="46A8CC36">
        <w:rPr>
          <w:rFonts w:eastAsia="Arial" w:cs="Arial"/>
        </w:rPr>
        <w:t xml:space="preserve"> </w:t>
      </w:r>
      <w:r w:rsidR="00344814" w:rsidRPr="46A8CC36">
        <w:rPr>
          <w:rFonts w:eastAsia="Arial" w:cs="Arial"/>
        </w:rPr>
        <w:t>a standin</w:t>
      </w:r>
      <w:r w:rsidR="003F1E31" w:rsidRPr="46A8CC36">
        <w:rPr>
          <w:rFonts w:eastAsia="Arial" w:cs="Arial"/>
        </w:rPr>
        <w:t xml:space="preserve">g start, </w:t>
      </w:r>
      <w:r w:rsidR="00395216" w:rsidRPr="46A8CC36">
        <w:rPr>
          <w:rFonts w:eastAsia="Arial" w:cs="Arial"/>
        </w:rPr>
        <w:t xml:space="preserve">developed </w:t>
      </w:r>
      <w:r w:rsidR="00366E25" w:rsidRPr="46A8CC36">
        <w:rPr>
          <w:rFonts w:eastAsia="Arial" w:cs="Arial"/>
        </w:rPr>
        <w:t>a pipeline</w:t>
      </w:r>
      <w:r w:rsidR="009E739B" w:rsidRPr="46A8CC36">
        <w:rPr>
          <w:rFonts w:eastAsia="Arial" w:cs="Arial"/>
        </w:rPr>
        <w:t xml:space="preserve"> and </w:t>
      </w:r>
      <w:r w:rsidR="00FA7B86" w:rsidRPr="46A8CC36">
        <w:rPr>
          <w:rFonts w:eastAsia="Arial" w:cs="Arial"/>
        </w:rPr>
        <w:t xml:space="preserve">closed </w:t>
      </w:r>
      <w:r w:rsidR="25E11C8E" w:rsidRPr="46A8CC36">
        <w:rPr>
          <w:rFonts w:eastAsia="Arial" w:cs="Arial"/>
        </w:rPr>
        <w:t xml:space="preserve">a </w:t>
      </w:r>
      <w:r w:rsidR="00366E25" w:rsidRPr="46A8CC36">
        <w:rPr>
          <w:rFonts w:eastAsia="Arial" w:cs="Arial"/>
        </w:rPr>
        <w:t>strategic asset</w:t>
      </w:r>
      <w:r w:rsidR="0085030C" w:rsidRPr="46A8CC36">
        <w:rPr>
          <w:rFonts w:eastAsia="Arial" w:cs="Arial"/>
        </w:rPr>
        <w:t xml:space="preserve"> d</w:t>
      </w:r>
      <w:r w:rsidR="00FA7B86" w:rsidRPr="46A8CC36">
        <w:rPr>
          <w:rFonts w:eastAsia="Arial" w:cs="Arial"/>
        </w:rPr>
        <w:t>eal</w:t>
      </w:r>
      <w:r w:rsidR="00BC728B" w:rsidRPr="46A8CC36">
        <w:rPr>
          <w:rFonts w:eastAsia="Arial" w:cs="Arial"/>
        </w:rPr>
        <w:t xml:space="preserve"> </w:t>
      </w:r>
      <w:r w:rsidR="0070441D" w:rsidRPr="46A8CC36">
        <w:rPr>
          <w:rFonts w:eastAsia="Arial" w:cs="Arial"/>
        </w:rPr>
        <w:t xml:space="preserve">to </w:t>
      </w:r>
      <w:r w:rsidR="0087770E" w:rsidRPr="46A8CC36">
        <w:rPr>
          <w:rFonts w:eastAsia="Arial" w:cs="Arial"/>
        </w:rPr>
        <w:t xml:space="preserve">support Victoria’s power system, </w:t>
      </w:r>
      <w:r w:rsidR="1E5B0977" w:rsidRPr="46A8CC36">
        <w:rPr>
          <w:rFonts w:eastAsia="Arial" w:cs="Arial"/>
        </w:rPr>
        <w:t>set up a market trading and operations function</w:t>
      </w:r>
      <w:r w:rsidR="541B7362" w:rsidRPr="46A8CC36">
        <w:rPr>
          <w:rFonts w:eastAsia="Arial" w:cs="Arial"/>
        </w:rPr>
        <w:t>,</w:t>
      </w:r>
      <w:r w:rsidR="00B917E5" w:rsidRPr="46A8CC36">
        <w:rPr>
          <w:rFonts w:eastAsia="Arial" w:cs="Arial"/>
        </w:rPr>
        <w:t xml:space="preserve"> and </w:t>
      </w:r>
      <w:r w:rsidR="00F84BF3" w:rsidRPr="46A8CC36">
        <w:rPr>
          <w:rFonts w:eastAsia="Arial" w:cs="Arial"/>
        </w:rPr>
        <w:t>provide</w:t>
      </w:r>
      <w:r w:rsidR="00F978F6" w:rsidRPr="46A8CC36">
        <w:rPr>
          <w:rFonts w:eastAsia="Arial" w:cs="Arial"/>
        </w:rPr>
        <w:t>d</w:t>
      </w:r>
      <w:r w:rsidR="00F84BF3" w:rsidRPr="46A8CC36">
        <w:rPr>
          <w:rFonts w:eastAsia="Arial" w:cs="Arial"/>
        </w:rPr>
        <w:t xml:space="preserve"> a 100% renewable electricity </w:t>
      </w:r>
      <w:r w:rsidR="00B917E5" w:rsidRPr="46A8CC36">
        <w:rPr>
          <w:rFonts w:eastAsia="Arial" w:cs="Arial"/>
        </w:rPr>
        <w:t xml:space="preserve">retail offering </w:t>
      </w:r>
      <w:r w:rsidR="00D1388D" w:rsidRPr="46A8CC36">
        <w:rPr>
          <w:rFonts w:eastAsia="Arial" w:cs="Arial"/>
        </w:rPr>
        <w:t xml:space="preserve">to </w:t>
      </w:r>
      <w:r w:rsidR="00F60E2A" w:rsidRPr="46A8CC36">
        <w:rPr>
          <w:rFonts w:eastAsia="Arial" w:cs="Arial"/>
        </w:rPr>
        <w:t>government</w:t>
      </w:r>
      <w:r w:rsidR="00D01185" w:rsidRPr="46A8CC36">
        <w:rPr>
          <w:rFonts w:eastAsia="Arial" w:cs="Arial"/>
        </w:rPr>
        <w:t>.</w:t>
      </w:r>
    </w:p>
    <w:p w14:paraId="7365D968" w14:textId="70EBE9AD" w:rsidR="72D2680B" w:rsidRPr="00F65403" w:rsidRDefault="274278BE" w:rsidP="1986B015">
      <w:pPr>
        <w:spacing w:line="276" w:lineRule="auto"/>
        <w:rPr>
          <w:rFonts w:eastAsia="Arial" w:cs="Arial"/>
        </w:rPr>
      </w:pPr>
      <w:r w:rsidRPr="57FC1681">
        <w:rPr>
          <w:rFonts w:eastAsia="Arial" w:cs="Arial"/>
        </w:rPr>
        <w:t>W</w:t>
      </w:r>
      <w:r w:rsidR="10C213BD" w:rsidRPr="57FC1681">
        <w:rPr>
          <w:rFonts w:eastAsia="Arial" w:cs="Arial"/>
        </w:rPr>
        <w:t xml:space="preserve">e have now secured 819 </w:t>
      </w:r>
      <w:r w:rsidR="11676923" w:rsidRPr="57FC1681">
        <w:rPr>
          <w:rFonts w:eastAsia="Arial" w:cs="Arial"/>
        </w:rPr>
        <w:t>MW</w:t>
      </w:r>
      <w:r w:rsidR="10C213BD" w:rsidRPr="57FC1681">
        <w:rPr>
          <w:rFonts w:eastAsia="Arial" w:cs="Arial"/>
        </w:rPr>
        <w:t xml:space="preserve"> of new generation and storage capacity </w:t>
      </w:r>
      <w:r w:rsidR="00104757" w:rsidRPr="57FC1681">
        <w:rPr>
          <w:rFonts w:eastAsia="Arial" w:cs="Arial"/>
        </w:rPr>
        <w:t>-</w:t>
      </w:r>
      <w:r w:rsidR="10C213BD" w:rsidRPr="57FC1681">
        <w:rPr>
          <w:rFonts w:eastAsia="Arial" w:cs="Arial"/>
        </w:rPr>
        <w:t xml:space="preserve"> nearly 20</w:t>
      </w:r>
      <w:r w:rsidR="533F05FF" w:rsidRPr="57FC1681">
        <w:rPr>
          <w:rFonts w:eastAsia="Arial" w:cs="Arial"/>
        </w:rPr>
        <w:t>%</w:t>
      </w:r>
      <w:r w:rsidR="10C213BD" w:rsidRPr="57FC1681">
        <w:rPr>
          <w:rFonts w:eastAsia="Arial" w:cs="Arial"/>
        </w:rPr>
        <w:t xml:space="preserve"> of </w:t>
      </w:r>
      <w:r w:rsidR="08F000E5" w:rsidRPr="57FC1681">
        <w:rPr>
          <w:rFonts w:eastAsia="Arial" w:cs="Arial"/>
        </w:rPr>
        <w:t>our</w:t>
      </w:r>
      <w:r w:rsidR="10C213BD" w:rsidRPr="57FC1681">
        <w:rPr>
          <w:rFonts w:eastAsia="Arial" w:cs="Arial"/>
        </w:rPr>
        <w:t xml:space="preserve"> 2035</w:t>
      </w:r>
      <w:r w:rsidR="04AF25E3" w:rsidRPr="57FC1681">
        <w:rPr>
          <w:rFonts w:eastAsia="Arial" w:cs="Arial"/>
        </w:rPr>
        <w:t xml:space="preserve"> </w:t>
      </w:r>
      <w:r w:rsidR="20521EAB" w:rsidRPr="57FC1681">
        <w:rPr>
          <w:rFonts w:eastAsia="Arial" w:cs="Arial"/>
        </w:rPr>
        <w:t xml:space="preserve">4.5 GW </w:t>
      </w:r>
      <w:r w:rsidR="04AF25E3" w:rsidRPr="57FC1681">
        <w:rPr>
          <w:rFonts w:eastAsia="Arial" w:cs="Arial"/>
        </w:rPr>
        <w:t>target</w:t>
      </w:r>
      <w:r w:rsidR="10B1530F" w:rsidRPr="57FC1681">
        <w:rPr>
          <w:rFonts w:eastAsia="Arial" w:cs="Arial"/>
        </w:rPr>
        <w:t xml:space="preserve"> in just the first 18 months of operation</w:t>
      </w:r>
      <w:r w:rsidR="0748D2AA" w:rsidRPr="57FC1681">
        <w:rPr>
          <w:rFonts w:eastAsia="Arial" w:cs="Arial"/>
        </w:rPr>
        <w:t>.</w:t>
      </w:r>
      <w:r w:rsidR="10C213BD" w:rsidRPr="57FC1681">
        <w:rPr>
          <w:rFonts w:eastAsia="Arial" w:cs="Arial"/>
        </w:rPr>
        <w:t xml:space="preserve"> </w:t>
      </w:r>
      <w:r w:rsidR="37051A5E" w:rsidRPr="57FC1681">
        <w:rPr>
          <w:rFonts w:eastAsia="Arial" w:cs="Arial"/>
        </w:rPr>
        <w:t>O</w:t>
      </w:r>
      <w:r w:rsidR="10C213BD" w:rsidRPr="57FC1681">
        <w:rPr>
          <w:rFonts w:eastAsia="Arial" w:cs="Arial"/>
        </w:rPr>
        <w:t>ur asset portfolio is advancing well</w:t>
      </w:r>
      <w:r w:rsidR="1E137038" w:rsidRPr="57FC1681">
        <w:rPr>
          <w:rFonts w:eastAsia="Arial" w:cs="Arial"/>
        </w:rPr>
        <w:t>, with</w:t>
      </w:r>
      <w:r w:rsidR="10C213BD" w:rsidRPr="57FC1681">
        <w:rPr>
          <w:rFonts w:eastAsia="Arial" w:cs="Arial"/>
        </w:rPr>
        <w:t xml:space="preserve"> </w:t>
      </w:r>
      <w:r w:rsidR="21D9C636" w:rsidRPr="57FC1681">
        <w:rPr>
          <w:rFonts w:eastAsia="Arial" w:cs="Arial"/>
        </w:rPr>
        <w:t xml:space="preserve">the Melbourne Renewable Energy Hub </w:t>
      </w:r>
      <w:r w:rsidR="582A57B2" w:rsidRPr="57FC1681">
        <w:rPr>
          <w:rFonts w:eastAsia="Arial" w:cs="Arial"/>
        </w:rPr>
        <w:t>(MREH)</w:t>
      </w:r>
      <w:r w:rsidR="21D9C636" w:rsidRPr="57FC1681">
        <w:rPr>
          <w:rFonts w:eastAsia="Arial" w:cs="Arial"/>
        </w:rPr>
        <w:t xml:space="preserve"> </w:t>
      </w:r>
      <w:r w:rsidR="10C213BD" w:rsidRPr="57FC1681">
        <w:rPr>
          <w:rFonts w:eastAsia="Arial" w:cs="Arial"/>
        </w:rPr>
        <w:t xml:space="preserve">on track to be operational by the end of 2025. </w:t>
      </w:r>
      <w:r w:rsidR="432B2100" w:rsidRPr="57FC1681">
        <w:rPr>
          <w:rFonts w:eastAsia="Arial" w:cs="Arial"/>
        </w:rPr>
        <w:t>As one of the world’s biggest batteries, MREH will play a key role in strengthening Victoria’s power system</w:t>
      </w:r>
      <w:r w:rsidR="42FE33BE" w:rsidRPr="57FC1681">
        <w:rPr>
          <w:rFonts w:eastAsia="Arial" w:cs="Arial"/>
        </w:rPr>
        <w:t>.</w:t>
      </w:r>
      <w:r w:rsidR="621D8378" w:rsidRPr="57FC1681">
        <w:rPr>
          <w:rFonts w:eastAsia="Arial" w:cs="Arial"/>
        </w:rPr>
        <w:t xml:space="preserve"> </w:t>
      </w:r>
    </w:p>
    <w:p w14:paraId="1C3E57EB" w14:textId="0779AC15" w:rsidR="72D2680B" w:rsidRDefault="4291ACB1" w:rsidP="70B82AB3">
      <w:pPr>
        <w:spacing w:line="276" w:lineRule="auto"/>
      </w:pPr>
      <w:r w:rsidRPr="54D50187">
        <w:rPr>
          <w:rFonts w:eastAsia="Arial" w:cs="Arial"/>
        </w:rPr>
        <w:t>Our second project is</w:t>
      </w:r>
      <w:r w:rsidR="17758FA2" w:rsidRPr="54D50187">
        <w:rPr>
          <w:rFonts w:eastAsia="Arial" w:cs="Arial"/>
        </w:rPr>
        <w:t xml:space="preserve"> </w:t>
      </w:r>
      <w:r w:rsidR="17758FA2" w:rsidRPr="54D50187">
        <w:rPr>
          <w:rFonts w:cs="Arial"/>
        </w:rPr>
        <w:t xml:space="preserve">SEC Renewable Energy Park </w:t>
      </w:r>
      <w:r w:rsidR="00104757" w:rsidRPr="54D50187">
        <w:rPr>
          <w:rFonts w:cs="Arial"/>
        </w:rPr>
        <w:t>-</w:t>
      </w:r>
      <w:r w:rsidR="17758FA2" w:rsidRPr="54D50187">
        <w:rPr>
          <w:rFonts w:cs="Arial"/>
        </w:rPr>
        <w:t xml:space="preserve"> Horsham</w:t>
      </w:r>
      <w:r w:rsidR="6D9387FD" w:rsidRPr="54D50187">
        <w:rPr>
          <w:rFonts w:cs="Arial"/>
        </w:rPr>
        <w:t xml:space="preserve">, which is </w:t>
      </w:r>
      <w:r w:rsidR="477E68AF" w:rsidRPr="54D50187">
        <w:rPr>
          <w:rFonts w:cs="Arial"/>
        </w:rPr>
        <w:t>due to be commercia</w:t>
      </w:r>
      <w:r w:rsidR="20D0D38D" w:rsidRPr="54D50187">
        <w:rPr>
          <w:rFonts w:cs="Arial"/>
        </w:rPr>
        <w:t>l</w:t>
      </w:r>
      <w:r w:rsidR="477E68AF" w:rsidRPr="54D50187">
        <w:rPr>
          <w:rFonts w:cs="Arial"/>
        </w:rPr>
        <w:t>l</w:t>
      </w:r>
      <w:r w:rsidR="20D0D38D" w:rsidRPr="54D50187">
        <w:rPr>
          <w:rFonts w:cs="Arial"/>
        </w:rPr>
        <w:t>y</w:t>
      </w:r>
      <w:r w:rsidR="477E68AF" w:rsidRPr="54D50187">
        <w:rPr>
          <w:rFonts w:cs="Arial"/>
        </w:rPr>
        <w:t xml:space="preserve"> operational in 2027</w:t>
      </w:r>
      <w:r w:rsidR="292563BF" w:rsidRPr="54D50187">
        <w:rPr>
          <w:rFonts w:cs="Arial"/>
        </w:rPr>
        <w:t>.</w:t>
      </w:r>
      <w:r w:rsidR="04459C6D" w:rsidRPr="54D50187">
        <w:rPr>
          <w:rFonts w:cs="Arial"/>
        </w:rPr>
        <w:t xml:space="preserve"> These projects are great examples of how </w:t>
      </w:r>
      <w:r w:rsidR="39B313A4" w:rsidRPr="54D50187">
        <w:rPr>
          <w:rFonts w:cs="Arial"/>
        </w:rPr>
        <w:t xml:space="preserve">our </w:t>
      </w:r>
      <w:r w:rsidR="6D834A25" w:rsidRPr="54D50187">
        <w:rPr>
          <w:rFonts w:cs="Arial"/>
        </w:rPr>
        <w:t xml:space="preserve">projects </w:t>
      </w:r>
      <w:r w:rsidR="7AFB4223" w:rsidRPr="54D50187">
        <w:rPr>
          <w:rFonts w:cs="Arial"/>
        </w:rPr>
        <w:t xml:space="preserve">are </w:t>
      </w:r>
      <w:r w:rsidR="1DE6C088" w:rsidRPr="54D50187">
        <w:rPr>
          <w:rFonts w:cs="Arial"/>
        </w:rPr>
        <w:t>helping to bring forward critical infrastructure and deliver additional capacity to the grid</w:t>
      </w:r>
      <w:r w:rsidR="74800048" w:rsidRPr="54D50187">
        <w:rPr>
          <w:rFonts w:cs="Arial"/>
        </w:rPr>
        <w:t>, as well as job</w:t>
      </w:r>
      <w:r w:rsidR="116FEDE6" w:rsidRPr="54D50187">
        <w:rPr>
          <w:rFonts w:cs="Arial"/>
        </w:rPr>
        <w:t>s</w:t>
      </w:r>
      <w:r w:rsidR="74800048" w:rsidRPr="54D50187">
        <w:rPr>
          <w:rFonts w:cs="Arial"/>
        </w:rPr>
        <w:t xml:space="preserve">. </w:t>
      </w:r>
      <w:r w:rsidR="143D1DA8" w:rsidRPr="54D50187">
        <w:rPr>
          <w:rFonts w:cs="Arial"/>
        </w:rPr>
        <w:t>Together the</w:t>
      </w:r>
      <w:r w:rsidR="0330719A" w:rsidRPr="54D50187">
        <w:rPr>
          <w:rFonts w:cs="Arial"/>
        </w:rPr>
        <w:t xml:space="preserve"> projects</w:t>
      </w:r>
      <w:r w:rsidR="143D1DA8" w:rsidRPr="54D50187">
        <w:rPr>
          <w:rFonts w:cs="Arial"/>
        </w:rPr>
        <w:t xml:space="preserve"> have alre</w:t>
      </w:r>
      <w:r w:rsidR="374D01B4" w:rsidRPr="54D50187">
        <w:rPr>
          <w:rFonts w:cs="Arial"/>
        </w:rPr>
        <w:t xml:space="preserve">ady </w:t>
      </w:r>
      <w:r w:rsidR="143D1DA8" w:rsidRPr="54D50187">
        <w:rPr>
          <w:rFonts w:cs="Arial"/>
        </w:rPr>
        <w:t>created</w:t>
      </w:r>
      <w:r w:rsidR="43DD0346" w:rsidRPr="54D50187">
        <w:rPr>
          <w:rFonts w:cs="Arial"/>
        </w:rPr>
        <w:t xml:space="preserve"> </w:t>
      </w:r>
      <w:r w:rsidR="472C8962" w:rsidRPr="54D50187">
        <w:rPr>
          <w:rFonts w:cs="Arial"/>
        </w:rPr>
        <w:t>1</w:t>
      </w:r>
      <w:r w:rsidR="6B03BEBE">
        <w:t>3</w:t>
      </w:r>
      <w:r w:rsidR="7AB4737B">
        <w:t>45</w:t>
      </w:r>
      <w:r w:rsidR="6D9387FD">
        <w:t xml:space="preserve"> </w:t>
      </w:r>
      <w:r w:rsidR="560C71CE" w:rsidRPr="54D50187">
        <w:rPr>
          <w:rFonts w:eastAsia="Arial" w:cs="Arial"/>
        </w:rPr>
        <w:t xml:space="preserve">job </w:t>
      </w:r>
      <w:r w:rsidR="0040737F">
        <w:t xml:space="preserve">opportunities </w:t>
      </w:r>
      <w:r w:rsidR="00104757">
        <w:t>-</w:t>
      </w:r>
      <w:r w:rsidR="2C74CE16">
        <w:t xml:space="preserve"> including </w:t>
      </w:r>
      <w:r w:rsidR="2322059A">
        <w:t xml:space="preserve">for </w:t>
      </w:r>
      <w:r w:rsidR="1F2635A6">
        <w:t>76</w:t>
      </w:r>
      <w:r w:rsidR="6B03BEBE">
        <w:t xml:space="preserve"> apprentices, trainees </w:t>
      </w:r>
      <w:r w:rsidR="673476BB">
        <w:t xml:space="preserve">and </w:t>
      </w:r>
      <w:r w:rsidR="6B03BEBE">
        <w:t>cadets</w:t>
      </w:r>
      <w:r w:rsidR="102B0591">
        <w:t xml:space="preserve"> -</w:t>
      </w:r>
      <w:r w:rsidR="2F15A29C">
        <w:t xml:space="preserve"> with many more </w:t>
      </w:r>
      <w:r w:rsidR="67B9729C">
        <w:t>jobs to</w:t>
      </w:r>
      <w:r w:rsidR="728CD4C7">
        <w:t xml:space="preserve"> be created through SEC’s</w:t>
      </w:r>
      <w:r w:rsidR="2A49A2A6">
        <w:t xml:space="preserve"> future </w:t>
      </w:r>
      <w:r w:rsidR="22AB8C80">
        <w:t>projects</w:t>
      </w:r>
      <w:r w:rsidR="421560E1">
        <w:t>.</w:t>
      </w:r>
    </w:p>
    <w:p w14:paraId="4705E1AF" w14:textId="6D548567" w:rsidR="72D2680B" w:rsidRDefault="57EDBFE4" w:rsidP="3D45414F">
      <w:pPr>
        <w:spacing w:line="276" w:lineRule="auto"/>
        <w:rPr>
          <w:rFonts w:eastAsia="Arial" w:cs="Arial"/>
        </w:rPr>
      </w:pPr>
      <w:r w:rsidRPr="54D50187">
        <w:rPr>
          <w:rFonts w:eastAsia="Arial" w:cs="Arial"/>
        </w:rPr>
        <w:t xml:space="preserve">This year, we laid </w:t>
      </w:r>
      <w:r w:rsidR="31DBD8AE" w:rsidRPr="54D50187">
        <w:rPr>
          <w:rFonts w:eastAsia="Arial" w:cs="Arial"/>
        </w:rPr>
        <w:t xml:space="preserve">the </w:t>
      </w:r>
      <w:r w:rsidRPr="54D50187">
        <w:rPr>
          <w:rFonts w:eastAsia="Arial" w:cs="Arial"/>
        </w:rPr>
        <w:t>foundation for our</w:t>
      </w:r>
      <w:r w:rsidR="31DBD8AE" w:rsidRPr="54D50187">
        <w:rPr>
          <w:rFonts w:eastAsia="Arial" w:cs="Arial"/>
        </w:rPr>
        <w:t xml:space="preserve"> retail</w:t>
      </w:r>
      <w:r w:rsidRPr="54D50187">
        <w:rPr>
          <w:rFonts w:eastAsia="Arial" w:cs="Arial"/>
        </w:rPr>
        <w:t xml:space="preserve"> and wholesale energy offering</w:t>
      </w:r>
      <w:r w:rsidR="6280B2FF" w:rsidRPr="54D50187">
        <w:rPr>
          <w:rFonts w:eastAsia="Arial" w:cs="Arial"/>
        </w:rPr>
        <w:t>s</w:t>
      </w:r>
      <w:r w:rsidRPr="54D50187">
        <w:rPr>
          <w:rFonts w:eastAsia="Arial" w:cs="Arial"/>
        </w:rPr>
        <w:t>. From 1 July</w:t>
      </w:r>
      <w:r w:rsidR="205E5D64" w:rsidRPr="54D50187">
        <w:rPr>
          <w:rFonts w:eastAsia="Arial" w:cs="Arial"/>
        </w:rPr>
        <w:t xml:space="preserve"> 2025, we </w:t>
      </w:r>
      <w:r w:rsidR="0610D2CA" w:rsidRPr="54D50187">
        <w:rPr>
          <w:rFonts w:eastAsia="Arial" w:cs="Arial"/>
        </w:rPr>
        <w:t>began</w:t>
      </w:r>
      <w:r w:rsidR="205E5D64" w:rsidRPr="54D50187">
        <w:rPr>
          <w:rFonts w:eastAsia="Arial" w:cs="Arial"/>
        </w:rPr>
        <w:t xml:space="preserve"> </w:t>
      </w:r>
      <w:r w:rsidR="6280B2FF" w:rsidRPr="54D50187">
        <w:rPr>
          <w:rFonts w:eastAsia="Arial" w:cs="Arial"/>
        </w:rPr>
        <w:t xml:space="preserve">retailing </w:t>
      </w:r>
      <w:r w:rsidR="205E5D64" w:rsidRPr="54D50187">
        <w:rPr>
          <w:rFonts w:eastAsia="Arial" w:cs="Arial"/>
        </w:rPr>
        <w:t>100</w:t>
      </w:r>
      <w:r w:rsidR="41818DCD" w:rsidRPr="54D50187">
        <w:rPr>
          <w:rFonts w:eastAsia="Arial" w:cs="Arial"/>
        </w:rPr>
        <w:t>%</w:t>
      </w:r>
      <w:r w:rsidR="31DBD8AE" w:rsidRPr="54D50187">
        <w:rPr>
          <w:rFonts w:eastAsia="Arial" w:cs="Arial"/>
        </w:rPr>
        <w:t xml:space="preserve"> renewable electricity to Victorian </w:t>
      </w:r>
      <w:r w:rsidR="2AB58133" w:rsidRPr="54D50187">
        <w:rPr>
          <w:rFonts w:eastAsia="Arial" w:cs="Arial"/>
        </w:rPr>
        <w:t>G</w:t>
      </w:r>
      <w:r w:rsidR="31DBD8AE" w:rsidRPr="54D50187">
        <w:rPr>
          <w:rFonts w:eastAsia="Arial" w:cs="Arial"/>
        </w:rPr>
        <w:t xml:space="preserve">overnment customers </w:t>
      </w:r>
      <w:r w:rsidR="00104757" w:rsidRPr="54D50187">
        <w:rPr>
          <w:rFonts w:eastAsia="Arial" w:cs="Arial"/>
        </w:rPr>
        <w:t>-</w:t>
      </w:r>
      <w:r w:rsidR="03F28CD7" w:rsidRPr="54D50187">
        <w:rPr>
          <w:rFonts w:eastAsia="Arial" w:cs="Arial"/>
        </w:rPr>
        <w:t xml:space="preserve"> an important milestone </w:t>
      </w:r>
      <w:r w:rsidR="29E181DF" w:rsidRPr="54D50187">
        <w:rPr>
          <w:rFonts w:eastAsia="Arial" w:cs="Arial"/>
        </w:rPr>
        <w:t xml:space="preserve">and significant achievement </w:t>
      </w:r>
      <w:r w:rsidR="47E4176B" w:rsidRPr="54D50187">
        <w:rPr>
          <w:rFonts w:eastAsia="Arial" w:cs="Arial"/>
        </w:rPr>
        <w:t>that means</w:t>
      </w:r>
      <w:r w:rsidR="463EB7A9" w:rsidRPr="54D50187">
        <w:rPr>
          <w:rFonts w:eastAsia="Arial" w:cs="Arial"/>
        </w:rPr>
        <w:t xml:space="preserve"> </w:t>
      </w:r>
      <w:r w:rsidR="6FBAF8B3" w:rsidRPr="54D50187">
        <w:rPr>
          <w:rFonts w:eastAsia="Arial" w:cs="Arial"/>
        </w:rPr>
        <w:t xml:space="preserve">we </w:t>
      </w:r>
      <w:r w:rsidR="6782C226" w:rsidRPr="54D50187">
        <w:rPr>
          <w:rFonts w:eastAsia="Arial" w:cs="Arial"/>
        </w:rPr>
        <w:t xml:space="preserve">are </w:t>
      </w:r>
      <w:r w:rsidR="463EB7A9" w:rsidRPr="54D50187">
        <w:rPr>
          <w:rFonts w:eastAsia="Arial" w:cs="Arial"/>
        </w:rPr>
        <w:t xml:space="preserve">now </w:t>
      </w:r>
      <w:r w:rsidR="0496A06C" w:rsidRPr="54D50187">
        <w:rPr>
          <w:rFonts w:eastAsia="Arial" w:cs="Arial"/>
        </w:rPr>
        <w:t xml:space="preserve">the </w:t>
      </w:r>
      <w:r w:rsidR="0D777D8F" w:rsidRPr="54D50187">
        <w:rPr>
          <w:rFonts w:eastAsia="Arial" w:cs="Arial"/>
        </w:rPr>
        <w:t xml:space="preserve">retailer </w:t>
      </w:r>
      <w:r w:rsidR="0496A06C" w:rsidRPr="54D50187">
        <w:rPr>
          <w:rFonts w:eastAsia="Arial" w:cs="Arial"/>
        </w:rPr>
        <w:t>for</w:t>
      </w:r>
      <w:r w:rsidR="5D121170" w:rsidRPr="54D50187">
        <w:rPr>
          <w:rFonts w:eastAsia="Arial" w:cs="Arial"/>
        </w:rPr>
        <w:t xml:space="preserve"> around</w:t>
      </w:r>
      <w:r w:rsidR="13B4E19E" w:rsidRPr="54D50187">
        <w:rPr>
          <w:rFonts w:eastAsia="Arial" w:cs="Arial"/>
        </w:rPr>
        <w:t xml:space="preserve"> </w:t>
      </w:r>
      <w:r w:rsidR="463EB7A9" w:rsidRPr="54D50187">
        <w:rPr>
          <w:rFonts w:eastAsia="Arial" w:cs="Arial"/>
        </w:rPr>
        <w:t>5</w:t>
      </w:r>
      <w:r w:rsidR="41818DCD" w:rsidRPr="54D50187">
        <w:rPr>
          <w:rFonts w:eastAsia="Arial" w:cs="Arial"/>
        </w:rPr>
        <w:t>%</w:t>
      </w:r>
      <w:r w:rsidR="463EB7A9" w:rsidRPr="54D50187">
        <w:rPr>
          <w:rFonts w:eastAsia="Arial" w:cs="Arial"/>
        </w:rPr>
        <w:t xml:space="preserve"> of Victoria’s </w:t>
      </w:r>
      <w:r w:rsidR="51369B3C" w:rsidRPr="54D50187">
        <w:rPr>
          <w:rFonts w:eastAsia="Arial" w:cs="Arial"/>
        </w:rPr>
        <w:t>electricity market</w:t>
      </w:r>
      <w:r w:rsidR="463EB7A9" w:rsidRPr="54D50187">
        <w:rPr>
          <w:rFonts w:eastAsia="Arial" w:cs="Arial"/>
        </w:rPr>
        <w:t>.</w:t>
      </w:r>
      <w:r w:rsidR="271C32A6" w:rsidRPr="54D50187">
        <w:rPr>
          <w:rFonts w:eastAsia="Arial" w:cs="Arial"/>
        </w:rPr>
        <w:t xml:space="preserve"> </w:t>
      </w:r>
      <w:r w:rsidR="1CAD638A" w:rsidRPr="54D50187">
        <w:rPr>
          <w:rFonts w:eastAsia="Arial" w:cs="Arial"/>
        </w:rPr>
        <w:t>We’re preparing to expand our retail offering to</w:t>
      </w:r>
      <w:r w:rsidR="68569E49" w:rsidRPr="54D50187">
        <w:rPr>
          <w:rFonts w:eastAsia="Arial" w:cs="Arial"/>
        </w:rPr>
        <w:t xml:space="preserve"> </w:t>
      </w:r>
      <w:r w:rsidR="31DBD8AE" w:rsidRPr="54D50187">
        <w:rPr>
          <w:rFonts w:eastAsia="Arial" w:cs="Arial"/>
        </w:rPr>
        <w:t>commercial and industrial customers</w:t>
      </w:r>
      <w:r w:rsidR="6927C2F8" w:rsidRPr="54D50187">
        <w:rPr>
          <w:rFonts w:eastAsia="Arial" w:cs="Arial"/>
        </w:rPr>
        <w:t xml:space="preserve"> by the end of the 2025 calendar year</w:t>
      </w:r>
      <w:r w:rsidR="31DBD8AE" w:rsidRPr="54D50187">
        <w:rPr>
          <w:rFonts w:eastAsia="Arial" w:cs="Arial"/>
        </w:rPr>
        <w:t>.</w:t>
      </w:r>
    </w:p>
    <w:p w14:paraId="174D95E4" w14:textId="2960F211" w:rsidR="00F478B6" w:rsidRDefault="00606B0A" w:rsidP="3D45414F">
      <w:pPr>
        <w:spacing w:line="276" w:lineRule="auto"/>
        <w:rPr>
          <w:rFonts w:eastAsia="Arial" w:cs="Arial"/>
        </w:rPr>
      </w:pPr>
      <w:r w:rsidRPr="4FEFA7BF">
        <w:rPr>
          <w:rFonts w:eastAsia="Arial" w:cs="Arial"/>
        </w:rPr>
        <w:t xml:space="preserve">Supporting households to </w:t>
      </w:r>
      <w:r w:rsidR="009D454D" w:rsidRPr="4FEFA7BF">
        <w:rPr>
          <w:rFonts w:eastAsia="Arial" w:cs="Arial"/>
        </w:rPr>
        <w:t xml:space="preserve">switch to </w:t>
      </w:r>
      <w:r w:rsidRPr="4FEFA7BF">
        <w:rPr>
          <w:rFonts w:eastAsia="Arial" w:cs="Arial"/>
        </w:rPr>
        <w:t>electric remains a key focus</w:t>
      </w:r>
      <w:r w:rsidR="27D16FDF" w:rsidRPr="4FEFA7BF">
        <w:rPr>
          <w:rFonts w:eastAsia="Arial" w:cs="Arial"/>
        </w:rPr>
        <w:t xml:space="preserve"> because we know the savings it can bring to consumers</w:t>
      </w:r>
      <w:r w:rsidRPr="4FEFA7BF">
        <w:rPr>
          <w:rFonts w:eastAsia="Arial" w:cs="Arial"/>
        </w:rPr>
        <w:t>. We’ve</w:t>
      </w:r>
      <w:r w:rsidR="00F478B6" w:rsidRPr="4FEFA7BF">
        <w:rPr>
          <w:rFonts w:eastAsia="Arial" w:cs="Arial"/>
        </w:rPr>
        <w:t xml:space="preserve"> run a series of pilots to </w:t>
      </w:r>
      <w:r w:rsidR="003600F4" w:rsidRPr="4FEFA7BF">
        <w:rPr>
          <w:rFonts w:eastAsia="Arial" w:cs="Arial"/>
        </w:rPr>
        <w:t xml:space="preserve">better understand the </w:t>
      </w:r>
      <w:r w:rsidR="00A34A09" w:rsidRPr="4FEFA7BF">
        <w:rPr>
          <w:rFonts w:eastAsia="Arial" w:cs="Arial"/>
        </w:rPr>
        <w:t xml:space="preserve">barriers to electrification and test practical tools to help </w:t>
      </w:r>
      <w:r w:rsidR="00C84518" w:rsidRPr="4FEFA7BF">
        <w:rPr>
          <w:rFonts w:eastAsia="Arial" w:cs="Arial"/>
        </w:rPr>
        <w:t>Victorians</w:t>
      </w:r>
      <w:r w:rsidR="00A34A09" w:rsidRPr="4FEFA7BF">
        <w:rPr>
          <w:rFonts w:eastAsia="Arial" w:cs="Arial"/>
        </w:rPr>
        <w:t xml:space="preserve"> </w:t>
      </w:r>
      <w:r w:rsidR="008276AF" w:rsidRPr="4FEFA7BF">
        <w:rPr>
          <w:rFonts w:eastAsia="Arial" w:cs="Arial"/>
        </w:rPr>
        <w:t xml:space="preserve">make the </w:t>
      </w:r>
      <w:r w:rsidR="00C84518" w:rsidRPr="4FEFA7BF">
        <w:rPr>
          <w:rFonts w:eastAsia="Arial" w:cs="Arial"/>
        </w:rPr>
        <w:t>switch. The</w:t>
      </w:r>
      <w:r w:rsidR="00145035" w:rsidRPr="4FEFA7BF">
        <w:rPr>
          <w:rFonts w:eastAsia="Arial" w:cs="Arial"/>
        </w:rPr>
        <w:t xml:space="preserve">se included launching an </w:t>
      </w:r>
      <w:r w:rsidR="00F478B6" w:rsidRPr="4FEFA7BF">
        <w:rPr>
          <w:rFonts w:eastAsia="Arial" w:cs="Arial"/>
        </w:rPr>
        <w:t>electric home planner and a network of SEC-endorsed installers</w:t>
      </w:r>
      <w:r w:rsidR="64BAF5E9" w:rsidRPr="4FEFA7BF">
        <w:rPr>
          <w:rFonts w:eastAsia="Arial" w:cs="Arial"/>
        </w:rPr>
        <w:t xml:space="preserve"> </w:t>
      </w:r>
      <w:r w:rsidR="64BAF5E9" w:rsidRPr="0D8617C3">
        <w:rPr>
          <w:rFonts w:eastAsia="Arial" w:cs="Arial"/>
        </w:rPr>
        <w:t>in select local government areas</w:t>
      </w:r>
      <w:r w:rsidR="00F478B6" w:rsidRPr="0D8617C3">
        <w:rPr>
          <w:rFonts w:eastAsia="Arial" w:cs="Arial"/>
        </w:rPr>
        <w:t>.</w:t>
      </w:r>
      <w:r w:rsidR="00F478B6" w:rsidRPr="4FEFA7BF">
        <w:rPr>
          <w:rFonts w:eastAsia="Arial" w:cs="Arial"/>
        </w:rPr>
        <w:t xml:space="preserve"> </w:t>
      </w:r>
      <w:r w:rsidR="00DF7A2D" w:rsidRPr="4FEFA7BF">
        <w:rPr>
          <w:rFonts w:eastAsia="Arial" w:cs="Arial"/>
        </w:rPr>
        <w:t>We are drawing on t</w:t>
      </w:r>
      <w:r w:rsidR="000720D2" w:rsidRPr="4FEFA7BF">
        <w:rPr>
          <w:rFonts w:eastAsia="Arial" w:cs="Arial"/>
        </w:rPr>
        <w:t>he insights from these</w:t>
      </w:r>
      <w:r w:rsidR="00F478B6" w:rsidRPr="4FEFA7BF">
        <w:rPr>
          <w:rFonts w:eastAsia="Arial" w:cs="Arial"/>
        </w:rPr>
        <w:t xml:space="preserve"> pilots to build and scale a ‘one-stop shop</w:t>
      </w:r>
      <w:r w:rsidR="00CE60FD" w:rsidRPr="4FEFA7BF">
        <w:rPr>
          <w:rFonts w:eastAsia="Arial" w:cs="Arial"/>
        </w:rPr>
        <w:t>’</w:t>
      </w:r>
      <w:r w:rsidR="00C90A38" w:rsidRPr="4FEFA7BF">
        <w:rPr>
          <w:rFonts w:eastAsia="Arial" w:cs="Arial"/>
        </w:rPr>
        <w:t xml:space="preserve"> -</w:t>
      </w:r>
      <w:r w:rsidR="00DF7A2D" w:rsidRPr="4FEFA7BF">
        <w:rPr>
          <w:rFonts w:eastAsia="Arial" w:cs="Arial"/>
        </w:rPr>
        <w:t xml:space="preserve"> a simple, trusted service to h</w:t>
      </w:r>
      <w:r w:rsidR="003E4E9C" w:rsidRPr="4FEFA7BF">
        <w:rPr>
          <w:rFonts w:eastAsia="Arial" w:cs="Arial"/>
        </w:rPr>
        <w:t>elp households cut emissions and energy bills</w:t>
      </w:r>
      <w:r w:rsidR="002746EB" w:rsidRPr="4FEFA7BF">
        <w:rPr>
          <w:rFonts w:eastAsia="Arial" w:cs="Arial"/>
        </w:rPr>
        <w:t>, due to be delivered in early 2026</w:t>
      </w:r>
      <w:r w:rsidR="003E4E9C" w:rsidRPr="4FEFA7BF">
        <w:rPr>
          <w:rFonts w:eastAsia="Arial" w:cs="Arial"/>
        </w:rPr>
        <w:t>.</w:t>
      </w:r>
    </w:p>
    <w:p w14:paraId="7170AD38" w14:textId="41297F25" w:rsidR="72D2680B" w:rsidRDefault="0AF09A54" w:rsidP="3D45414F">
      <w:pPr>
        <w:spacing w:line="276" w:lineRule="auto"/>
        <w:rPr>
          <w:rFonts w:eastAsia="Arial" w:cs="Arial"/>
        </w:rPr>
      </w:pPr>
      <w:r w:rsidRPr="6E349662">
        <w:rPr>
          <w:rFonts w:eastAsia="Arial" w:cs="Arial"/>
        </w:rPr>
        <w:t xml:space="preserve">We are also helping to build the renewable energy workforce of the future. </w:t>
      </w:r>
      <w:r w:rsidR="002738C8" w:rsidRPr="6E349662">
        <w:rPr>
          <w:rFonts w:eastAsia="Arial" w:cs="Arial"/>
        </w:rPr>
        <w:t xml:space="preserve">Over the past year, we have engaged </w:t>
      </w:r>
      <w:r w:rsidR="00DB30E2" w:rsidRPr="6E349662">
        <w:rPr>
          <w:rFonts w:eastAsia="Arial" w:cs="Arial"/>
        </w:rPr>
        <w:t>with</w:t>
      </w:r>
      <w:r w:rsidR="002738C8" w:rsidRPr="6E349662">
        <w:rPr>
          <w:rFonts w:eastAsia="Arial" w:cs="Arial"/>
        </w:rPr>
        <w:t xml:space="preserve"> </w:t>
      </w:r>
      <w:r w:rsidR="000F5BEF" w:rsidRPr="6E349662">
        <w:rPr>
          <w:rFonts w:eastAsia="Arial" w:cs="Arial"/>
        </w:rPr>
        <w:t xml:space="preserve">more than </w:t>
      </w:r>
      <w:r w:rsidR="00895D58" w:rsidRPr="6E349662">
        <w:rPr>
          <w:rFonts w:eastAsia="Arial" w:cs="Arial"/>
        </w:rPr>
        <w:t>3,</w:t>
      </w:r>
      <w:r w:rsidR="42A5D49D" w:rsidRPr="6E349662">
        <w:rPr>
          <w:rFonts w:eastAsia="Arial" w:cs="Arial"/>
        </w:rPr>
        <w:t>800</w:t>
      </w:r>
      <w:r w:rsidR="00895D58" w:rsidRPr="6E349662">
        <w:rPr>
          <w:rFonts w:eastAsia="Arial" w:cs="Arial"/>
        </w:rPr>
        <w:t xml:space="preserve"> students and </w:t>
      </w:r>
      <w:r w:rsidR="479305B0" w:rsidRPr="6E349662">
        <w:rPr>
          <w:rFonts w:eastAsia="Arial" w:cs="Arial"/>
        </w:rPr>
        <w:t>developed</w:t>
      </w:r>
      <w:r w:rsidRPr="6E349662">
        <w:rPr>
          <w:rFonts w:eastAsia="Arial" w:cs="Arial"/>
        </w:rPr>
        <w:t xml:space="preserve"> a comprehensive student education program to empower students to take part in the energy transition</w:t>
      </w:r>
      <w:r w:rsidR="00405899" w:rsidRPr="6E349662">
        <w:rPr>
          <w:rFonts w:eastAsia="Arial" w:cs="Arial"/>
        </w:rPr>
        <w:t xml:space="preserve"> and inspire the next generation of renewable energy workers.</w:t>
      </w:r>
    </w:p>
    <w:p w14:paraId="54B02B48" w14:textId="19383735" w:rsidR="002632AB" w:rsidRDefault="0AF09A54" w:rsidP="3D45414F">
      <w:pPr>
        <w:spacing w:line="276" w:lineRule="auto"/>
        <w:rPr>
          <w:rFonts w:eastAsia="Arial" w:cs="Arial"/>
        </w:rPr>
      </w:pPr>
      <w:r w:rsidRPr="6E349662">
        <w:rPr>
          <w:rFonts w:eastAsia="Arial" w:cs="Arial"/>
        </w:rPr>
        <w:t>We</w:t>
      </w:r>
      <w:r w:rsidR="00405899" w:rsidRPr="6E349662">
        <w:rPr>
          <w:rFonts w:eastAsia="Arial" w:cs="Arial"/>
        </w:rPr>
        <w:t xml:space="preserve">’re proud </w:t>
      </w:r>
      <w:r w:rsidR="3BDECA0F" w:rsidRPr="5F840643">
        <w:rPr>
          <w:rFonts w:eastAsia="Arial" w:cs="Arial"/>
        </w:rPr>
        <w:t xml:space="preserve">of our work with </w:t>
      </w:r>
      <w:r w:rsidRPr="6E349662">
        <w:rPr>
          <w:rFonts w:eastAsia="Arial" w:cs="Arial"/>
        </w:rPr>
        <w:t xml:space="preserve">Traditional Owner Corporations to develop principles </w:t>
      </w:r>
      <w:r w:rsidR="00405899" w:rsidRPr="6E349662">
        <w:rPr>
          <w:rFonts w:eastAsia="Arial" w:cs="Arial"/>
        </w:rPr>
        <w:t xml:space="preserve">that </w:t>
      </w:r>
      <w:r w:rsidRPr="6E349662">
        <w:rPr>
          <w:rFonts w:eastAsia="Arial" w:cs="Arial"/>
        </w:rPr>
        <w:t>guide our operations and relationship</w:t>
      </w:r>
      <w:r w:rsidR="00F52B80" w:rsidRPr="6E349662">
        <w:rPr>
          <w:rFonts w:eastAsia="Arial" w:cs="Arial"/>
        </w:rPr>
        <w:t>s</w:t>
      </w:r>
      <w:r w:rsidRPr="6E349662">
        <w:rPr>
          <w:rFonts w:eastAsia="Arial" w:cs="Arial"/>
        </w:rPr>
        <w:t xml:space="preserve"> with Victoria’s First Peoples</w:t>
      </w:r>
      <w:r w:rsidR="00405899" w:rsidRPr="6E349662">
        <w:rPr>
          <w:rFonts w:eastAsia="Arial" w:cs="Arial"/>
        </w:rPr>
        <w:t xml:space="preserve">, as part of our </w:t>
      </w:r>
      <w:r w:rsidR="008F73B3" w:rsidRPr="6E349662">
        <w:rPr>
          <w:rFonts w:eastAsia="Arial" w:cs="Arial"/>
        </w:rPr>
        <w:t>commitment to</w:t>
      </w:r>
      <w:r w:rsidR="00405899" w:rsidRPr="6E349662">
        <w:rPr>
          <w:rFonts w:eastAsia="Arial" w:cs="Arial"/>
        </w:rPr>
        <w:t xml:space="preserve"> self-determination</w:t>
      </w:r>
      <w:r w:rsidRPr="6E349662">
        <w:rPr>
          <w:rFonts w:eastAsia="Arial" w:cs="Arial"/>
        </w:rPr>
        <w:t>.</w:t>
      </w:r>
      <w:r w:rsidR="00EE0CB1" w:rsidRPr="6E349662">
        <w:rPr>
          <w:rFonts w:eastAsia="Arial" w:cs="Arial"/>
        </w:rPr>
        <w:t xml:space="preserve"> </w:t>
      </w:r>
    </w:p>
    <w:p w14:paraId="261D2FF7" w14:textId="48E42780" w:rsidR="00306C2A" w:rsidRDefault="008F4507" w:rsidP="3D45414F">
      <w:pPr>
        <w:spacing w:line="276" w:lineRule="auto"/>
        <w:rPr>
          <w:rFonts w:eastAsia="Arial" w:cs="Arial"/>
        </w:rPr>
      </w:pPr>
      <w:r w:rsidRPr="6E349662">
        <w:rPr>
          <w:rFonts w:eastAsia="Arial" w:cs="Arial"/>
        </w:rPr>
        <w:t xml:space="preserve">SEC is owned by Victorians, which puts public purpose at the heart of everything we do. </w:t>
      </w:r>
      <w:r w:rsidR="00AC5E92" w:rsidRPr="6E349662">
        <w:rPr>
          <w:rFonts w:eastAsia="Arial" w:cs="Arial"/>
        </w:rPr>
        <w:t xml:space="preserve">We’re building </w:t>
      </w:r>
      <w:r w:rsidR="00A30A68" w:rsidRPr="6E349662">
        <w:rPr>
          <w:rFonts w:eastAsia="Arial" w:cs="Arial"/>
        </w:rPr>
        <w:t>a comm</w:t>
      </w:r>
      <w:r w:rsidR="00926DE2" w:rsidRPr="6E349662">
        <w:rPr>
          <w:rFonts w:eastAsia="Arial" w:cs="Arial"/>
        </w:rPr>
        <w:t xml:space="preserve">ercial business </w:t>
      </w:r>
      <w:r w:rsidR="007935EF" w:rsidRPr="6E349662">
        <w:rPr>
          <w:rFonts w:eastAsia="Arial" w:cs="Arial"/>
        </w:rPr>
        <w:t>to</w:t>
      </w:r>
      <w:r w:rsidR="00926DE2" w:rsidRPr="6E349662">
        <w:rPr>
          <w:rFonts w:eastAsia="Arial" w:cs="Arial"/>
        </w:rPr>
        <w:t xml:space="preserve"> deliver sustainable returns, while also enabling the market and delivering real benefits to the community</w:t>
      </w:r>
      <w:r w:rsidR="007E21BC" w:rsidRPr="6E349662">
        <w:rPr>
          <w:rFonts w:eastAsia="Arial" w:cs="Arial"/>
        </w:rPr>
        <w:t>.</w:t>
      </w:r>
    </w:p>
    <w:p w14:paraId="6EE86A3C" w14:textId="60A6CA1F" w:rsidR="000B4F9B" w:rsidRDefault="00306C2A" w:rsidP="3D45414F">
      <w:pPr>
        <w:spacing w:line="276" w:lineRule="auto"/>
        <w:rPr>
          <w:rFonts w:eastAsia="Arial" w:cs="Arial"/>
        </w:rPr>
      </w:pPr>
      <w:r w:rsidRPr="6E349662">
        <w:rPr>
          <w:rFonts w:eastAsia="Arial" w:cs="Arial"/>
        </w:rPr>
        <w:t>I’m incredibly proud of what we’ve achieved so far.</w:t>
      </w:r>
      <w:r w:rsidR="007C5D8F" w:rsidRPr="6E349662">
        <w:rPr>
          <w:rFonts w:eastAsia="Arial" w:cs="Arial"/>
        </w:rPr>
        <w:t xml:space="preserve"> </w:t>
      </w:r>
      <w:r w:rsidR="00066FE1" w:rsidRPr="6E349662">
        <w:rPr>
          <w:rFonts w:eastAsia="Arial" w:cs="Arial"/>
        </w:rPr>
        <w:t>Our progress to date</w:t>
      </w:r>
      <w:r w:rsidR="00370EA0" w:rsidRPr="6E349662">
        <w:rPr>
          <w:rFonts w:eastAsia="Arial" w:cs="Arial"/>
        </w:rPr>
        <w:t xml:space="preserve"> </w:t>
      </w:r>
      <w:r w:rsidRPr="6E349662">
        <w:rPr>
          <w:rFonts w:eastAsia="Arial" w:cs="Arial"/>
        </w:rPr>
        <w:t xml:space="preserve">is a credit to </w:t>
      </w:r>
      <w:r w:rsidR="19FABAE7" w:rsidRPr="6E349662">
        <w:rPr>
          <w:rFonts w:eastAsia="Arial" w:cs="Arial"/>
        </w:rPr>
        <w:t xml:space="preserve">a </w:t>
      </w:r>
      <w:r w:rsidRPr="6E349662">
        <w:rPr>
          <w:rFonts w:eastAsia="Arial" w:cs="Arial"/>
        </w:rPr>
        <w:t>talented and committed team, and to the strong partnership</w:t>
      </w:r>
      <w:r w:rsidR="00E91A30" w:rsidRPr="6E349662">
        <w:rPr>
          <w:rFonts w:eastAsia="Arial" w:cs="Arial"/>
        </w:rPr>
        <w:t>s we’re building across government, industry and the community</w:t>
      </w:r>
      <w:r w:rsidR="000B4F9B" w:rsidRPr="6E349662">
        <w:rPr>
          <w:rFonts w:eastAsia="Arial" w:cs="Arial"/>
        </w:rPr>
        <w:t xml:space="preserve">. Together, we’re making a real difference </w:t>
      </w:r>
      <w:r w:rsidR="00104757" w:rsidRPr="664FAE8C">
        <w:rPr>
          <w:rFonts w:eastAsia="Arial" w:cs="Arial"/>
        </w:rPr>
        <w:t>-</w:t>
      </w:r>
      <w:r w:rsidR="000B4F9B" w:rsidRPr="6E349662">
        <w:rPr>
          <w:rFonts w:eastAsia="Arial" w:cs="Arial"/>
        </w:rPr>
        <w:t xml:space="preserve"> and we’re just getting started.</w:t>
      </w:r>
    </w:p>
    <w:p w14:paraId="36EA0966" w14:textId="5653217C" w:rsidR="72D2680B" w:rsidDel="000B4F9B" w:rsidRDefault="00576829" w:rsidP="3D45414F">
      <w:pPr>
        <w:spacing w:line="276" w:lineRule="auto"/>
        <w:rPr>
          <w:rFonts w:eastAsia="Arial" w:cs="Arial"/>
        </w:rPr>
      </w:pPr>
      <w:r w:rsidRPr="6E349662">
        <w:rPr>
          <w:rFonts w:eastAsia="Arial" w:cs="Arial"/>
        </w:rPr>
        <w:t>I look forward to</w:t>
      </w:r>
      <w:r w:rsidR="002F4253" w:rsidRPr="6E349662">
        <w:rPr>
          <w:rFonts w:eastAsia="Arial" w:cs="Arial"/>
        </w:rPr>
        <w:t xml:space="preserve"> continuing to</w:t>
      </w:r>
      <w:r w:rsidRPr="6E349662">
        <w:rPr>
          <w:rFonts w:eastAsia="Arial" w:cs="Arial"/>
        </w:rPr>
        <w:t xml:space="preserve"> work closely with the Board, the Minister for the S</w:t>
      </w:r>
      <w:r w:rsidR="001370C0" w:rsidRPr="6E349662">
        <w:rPr>
          <w:rFonts w:eastAsia="Arial" w:cs="Arial"/>
        </w:rPr>
        <w:t xml:space="preserve">tate </w:t>
      </w:r>
      <w:r w:rsidRPr="6E349662">
        <w:rPr>
          <w:rFonts w:eastAsia="Arial" w:cs="Arial"/>
        </w:rPr>
        <w:t>E</w:t>
      </w:r>
      <w:r w:rsidR="001370C0" w:rsidRPr="6E349662">
        <w:rPr>
          <w:rFonts w:eastAsia="Arial" w:cs="Arial"/>
        </w:rPr>
        <w:t>lectric</w:t>
      </w:r>
      <w:r w:rsidR="00BC7DDF" w:rsidRPr="6E349662">
        <w:rPr>
          <w:rFonts w:eastAsia="Arial" w:cs="Arial"/>
        </w:rPr>
        <w:t xml:space="preserve">ity </w:t>
      </w:r>
      <w:r w:rsidRPr="6E349662">
        <w:rPr>
          <w:rFonts w:eastAsia="Arial" w:cs="Arial"/>
        </w:rPr>
        <w:t>C</w:t>
      </w:r>
      <w:r w:rsidR="00BC7DDF" w:rsidRPr="6E349662">
        <w:rPr>
          <w:rFonts w:eastAsia="Arial" w:cs="Arial"/>
        </w:rPr>
        <w:t>ommission</w:t>
      </w:r>
      <w:r w:rsidRPr="6E349662">
        <w:rPr>
          <w:rFonts w:eastAsia="Arial" w:cs="Arial"/>
        </w:rPr>
        <w:t xml:space="preserve">, </w:t>
      </w:r>
      <w:r w:rsidR="006E09E5" w:rsidRPr="6E349662">
        <w:rPr>
          <w:rFonts w:eastAsia="Arial" w:cs="Arial"/>
        </w:rPr>
        <w:t xml:space="preserve">and </w:t>
      </w:r>
      <w:r w:rsidRPr="6E349662">
        <w:rPr>
          <w:rFonts w:eastAsia="Arial" w:cs="Arial"/>
        </w:rPr>
        <w:t xml:space="preserve">our Shareholding Ministers to truly </w:t>
      </w:r>
      <w:r w:rsidR="0AF09A54" w:rsidRPr="6E349662">
        <w:rPr>
          <w:rFonts w:eastAsia="Arial" w:cs="Arial"/>
        </w:rPr>
        <w:t xml:space="preserve">make a difference </w:t>
      </w:r>
      <w:r w:rsidRPr="6E349662">
        <w:rPr>
          <w:rFonts w:eastAsia="Arial" w:cs="Arial"/>
        </w:rPr>
        <w:t xml:space="preserve">and </w:t>
      </w:r>
      <w:r w:rsidR="00E0432B" w:rsidRPr="6E349662">
        <w:rPr>
          <w:rFonts w:eastAsia="Arial" w:cs="Arial"/>
        </w:rPr>
        <w:t xml:space="preserve">secure </w:t>
      </w:r>
      <w:r w:rsidR="0AF09A54" w:rsidRPr="6E349662">
        <w:rPr>
          <w:rFonts w:eastAsia="Arial" w:cs="Arial"/>
        </w:rPr>
        <w:t xml:space="preserve">Victoria’s energy future. </w:t>
      </w:r>
    </w:p>
    <w:p w14:paraId="7F5004FC" w14:textId="091ECCEC" w:rsidR="003A188F" w:rsidRDefault="003A188F" w:rsidP="3D45414F">
      <w:pPr>
        <w:spacing w:line="276" w:lineRule="auto"/>
        <w:rPr>
          <w:rFonts w:eastAsia="Arial" w:cs="Arial"/>
        </w:rPr>
      </w:pPr>
    </w:p>
    <w:p w14:paraId="4085872C" w14:textId="77777777" w:rsidR="00A367A5" w:rsidRDefault="00A367A5" w:rsidP="00CC185B">
      <w:r w:rsidRPr="00A367A5">
        <w:t xml:space="preserve">Chris Miller </w:t>
      </w:r>
    </w:p>
    <w:p w14:paraId="0D4474AC" w14:textId="0613CBFE" w:rsidR="0078782C" w:rsidRPr="00CC185B" w:rsidRDefault="00A367A5" w:rsidP="00CC185B">
      <w:r w:rsidRPr="00A367A5">
        <w:t>CEO, SEC</w:t>
      </w:r>
    </w:p>
    <w:p w14:paraId="454CBE07" w14:textId="77777777" w:rsidR="009E4CB7" w:rsidRDefault="009E4CB7">
      <w:pPr>
        <w:rPr>
          <w:rFonts w:eastAsiaTheme="majorEastAsia" w:cstheme="majorBidi"/>
          <w:sz w:val="32"/>
          <w:szCs w:val="32"/>
        </w:rPr>
      </w:pPr>
      <w:r>
        <w:br w:type="page"/>
      </w:r>
    </w:p>
    <w:p w14:paraId="1A959B81" w14:textId="0BC227A8" w:rsidR="00A52EA9" w:rsidRDefault="69353401" w:rsidP="00B254AC">
      <w:pPr>
        <w:pStyle w:val="Heading1"/>
      </w:pPr>
      <w:bookmarkStart w:id="82" w:name="_Toc200631663"/>
      <w:bookmarkStart w:id="83" w:name="_Toc1786524877"/>
      <w:bookmarkStart w:id="84" w:name="_Toc201222687"/>
      <w:bookmarkStart w:id="85" w:name="_Toc1685255700"/>
      <w:bookmarkStart w:id="86" w:name="_Toc1090214064"/>
      <w:bookmarkStart w:id="87" w:name="_Toc1174115015"/>
      <w:bookmarkStart w:id="88" w:name="_Toc303075564"/>
      <w:bookmarkStart w:id="89" w:name="_Toc2030270283"/>
      <w:bookmarkStart w:id="90" w:name="_Toc423068290"/>
      <w:bookmarkStart w:id="91" w:name="_Toc203487521"/>
      <w:bookmarkStart w:id="92" w:name="_Toc203656197"/>
      <w:bookmarkStart w:id="93" w:name="_Toc2117634367"/>
      <w:bookmarkStart w:id="94" w:name="_Ref207629792"/>
      <w:bookmarkStart w:id="95" w:name="_Toc208418026"/>
      <w:bookmarkStart w:id="96" w:name="_Ref208418143"/>
      <w:bookmarkStart w:id="97" w:name="_Ref208418148"/>
      <w:bookmarkStart w:id="98" w:name="_Ref208418529"/>
      <w:bookmarkStart w:id="99" w:name="_Ref208944803"/>
      <w:bookmarkStart w:id="100" w:name="_Toc209080391"/>
      <w:bookmarkStart w:id="101" w:name="_Toc209703960"/>
      <w:bookmarkStart w:id="102" w:name="_Toc209704013"/>
      <w:bookmarkStart w:id="103" w:name="_Toc209704066"/>
      <w:r>
        <w:t>Report of operations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1509991" w14:textId="77777777" w:rsidR="00A52EA9" w:rsidRPr="00F65403" w:rsidRDefault="00A52EA9" w:rsidP="00A52EA9">
      <w:pPr>
        <w:pStyle w:val="BodyText"/>
        <w:spacing w:before="173" w:line="280" w:lineRule="auto"/>
        <w:ind w:left="333" w:right="546"/>
        <w:jc w:val="both"/>
        <w:rPr>
          <w:w w:val="105"/>
          <w:sz w:val="24"/>
          <w:szCs w:val="24"/>
          <w:lang w:val="en-AU"/>
        </w:rPr>
      </w:pPr>
    </w:p>
    <w:p w14:paraId="04CD7BBD" w14:textId="0EEDDE70" w:rsidR="00112565" w:rsidRPr="00112565" w:rsidRDefault="27A842CF" w:rsidP="00A82234">
      <w:pPr>
        <w:pStyle w:val="Heading2"/>
      </w:pPr>
      <w:bookmarkStart w:id="104" w:name="_Toc203656198"/>
      <w:bookmarkStart w:id="105" w:name="_Toc1084675835"/>
      <w:bookmarkStart w:id="106" w:name="_Ref207013303"/>
      <w:bookmarkStart w:id="107" w:name="_Ref207630011"/>
      <w:bookmarkStart w:id="108" w:name="_Toc203487522"/>
      <w:r>
        <w:t>Declaration</w:t>
      </w:r>
      <w:bookmarkEnd w:id="104"/>
      <w:bookmarkEnd w:id="105"/>
      <w:bookmarkEnd w:id="106"/>
      <w:bookmarkEnd w:id="107"/>
      <w:r w:rsidR="2FDCD983">
        <w:t xml:space="preserve"> </w:t>
      </w:r>
      <w:bookmarkEnd w:id="108"/>
    </w:p>
    <w:p w14:paraId="18767BB1" w14:textId="5B724B35" w:rsidR="6D7AA792" w:rsidRDefault="002B14E9">
      <w:r>
        <w:t xml:space="preserve">In accordance with the </w:t>
      </w:r>
      <w:r w:rsidRPr="7DF6C348">
        <w:rPr>
          <w:i/>
        </w:rPr>
        <w:t>Financial Management Act 1994</w:t>
      </w:r>
      <w:r>
        <w:t xml:space="preserve">, I am pleased to present SEC Victoria Pty </w:t>
      </w:r>
      <w:proofErr w:type="spellStart"/>
      <w:r>
        <w:t>Ltd’s</w:t>
      </w:r>
      <w:proofErr w:type="spellEnd"/>
      <w:r>
        <w:t xml:space="preserve"> Annual Report for the </w:t>
      </w:r>
      <w:r w:rsidR="0072311B">
        <w:t>year</w:t>
      </w:r>
      <w:r>
        <w:t xml:space="preserve"> to 30 June 2025. </w:t>
      </w:r>
    </w:p>
    <w:p w14:paraId="35523D1B" w14:textId="35288687" w:rsidR="002B14E9" w:rsidRDefault="002B14E9" w:rsidP="642B8E5C">
      <w:r>
        <w:t xml:space="preserve"> </w:t>
      </w:r>
    </w:p>
    <w:p w14:paraId="79961234" w14:textId="4B6EEA45" w:rsidR="002B14E9" w:rsidRDefault="002B14E9" w:rsidP="642B8E5C">
      <w:r>
        <w:t xml:space="preserve"> </w:t>
      </w:r>
    </w:p>
    <w:p w14:paraId="4BA4AA82" w14:textId="0C2F68BF" w:rsidR="002B14E9" w:rsidRDefault="002B14E9" w:rsidP="642B8E5C">
      <w:r>
        <w:t xml:space="preserve">  </w:t>
      </w:r>
    </w:p>
    <w:p w14:paraId="2AFB9F7B" w14:textId="37272807" w:rsidR="002B14E9" w:rsidRDefault="002B14E9" w:rsidP="642B8E5C">
      <w:r>
        <w:t xml:space="preserve">  </w:t>
      </w:r>
    </w:p>
    <w:p w14:paraId="729E7D1F" w14:textId="46C7C434" w:rsidR="002B14E9" w:rsidRDefault="002B14E9" w:rsidP="642B8E5C">
      <w:r>
        <w:t xml:space="preserve">Simon Corbell </w:t>
      </w:r>
      <w:r>
        <w:br/>
      </w:r>
      <w:r w:rsidR="0072311B">
        <w:t xml:space="preserve">Board </w:t>
      </w:r>
      <w:r>
        <w:t xml:space="preserve">Chair </w:t>
      </w:r>
      <w:r>
        <w:br/>
        <w:t xml:space="preserve">SEC Victoria Pty Ltd </w:t>
      </w:r>
    </w:p>
    <w:p w14:paraId="3AD41970" w14:textId="61CB5268" w:rsidR="002B14E9" w:rsidRDefault="00BD3571" w:rsidP="642B8E5C">
      <w:r>
        <w:t xml:space="preserve">6 </w:t>
      </w:r>
      <w:r w:rsidR="002B14E9">
        <w:t>October 2025</w:t>
      </w:r>
    </w:p>
    <w:p w14:paraId="1547938E" w14:textId="77777777" w:rsidR="00A3027F" w:rsidRDefault="00A3027F">
      <w:pPr>
        <w:rPr>
          <w:b/>
          <w:bCs/>
        </w:rPr>
      </w:pPr>
      <w:r>
        <w:rPr>
          <w:b/>
          <w:bCs/>
        </w:rPr>
        <w:br w:type="page"/>
      </w:r>
    </w:p>
    <w:p w14:paraId="44B1E81F" w14:textId="044480E7" w:rsidR="00B749FE" w:rsidRPr="00B749FE" w:rsidRDefault="278F389C" w:rsidP="005C77AE">
      <w:pPr>
        <w:pStyle w:val="Heading2"/>
      </w:pPr>
      <w:bookmarkStart w:id="109" w:name="_Toc200631664"/>
      <w:bookmarkStart w:id="110" w:name="_Toc1857377934"/>
      <w:bookmarkStart w:id="111" w:name="_Toc201222688"/>
      <w:bookmarkStart w:id="112" w:name="_Toc945180555"/>
      <w:bookmarkStart w:id="113" w:name="_Toc1620810085"/>
      <w:bookmarkStart w:id="114" w:name="_Toc1557575690"/>
      <w:bookmarkStart w:id="115" w:name="_Toc45507616"/>
      <w:bookmarkStart w:id="116" w:name="_Toc130953594"/>
      <w:bookmarkStart w:id="117" w:name="_Toc2063874334"/>
      <w:bookmarkStart w:id="118" w:name="_Toc203487523"/>
      <w:bookmarkStart w:id="119" w:name="_Toc203656199"/>
      <w:bookmarkStart w:id="120" w:name="_Toc1560244584"/>
      <w:bookmarkStart w:id="121" w:name="_Ref207013874"/>
      <w:r>
        <w:t xml:space="preserve">About </w:t>
      </w:r>
      <w:bookmarkEnd w:id="109"/>
      <w:bookmarkEnd w:id="110"/>
      <w:bookmarkEnd w:id="111"/>
      <w:bookmarkEnd w:id="112"/>
      <w:bookmarkEnd w:id="113"/>
      <w:bookmarkEnd w:id="114"/>
      <w:bookmarkEnd w:id="115"/>
      <w:bookmarkEnd w:id="116"/>
      <w:bookmarkEnd w:id="117"/>
      <w:r w:rsidR="5CA93ED8">
        <w:t>u</w:t>
      </w:r>
      <w:r>
        <w:t>s</w:t>
      </w:r>
      <w:bookmarkEnd w:id="118"/>
      <w:bookmarkEnd w:id="119"/>
      <w:bookmarkEnd w:id="120"/>
      <w:bookmarkEnd w:id="121"/>
    </w:p>
    <w:p w14:paraId="1635DA88" w14:textId="3CD606C3" w:rsidR="00A367A5" w:rsidRDefault="00A367A5" w:rsidP="00873096">
      <w:r w:rsidRPr="00A367A5">
        <w:rPr>
          <w:spacing w:val="-2"/>
          <w:w w:val="105"/>
        </w:rPr>
        <w:t xml:space="preserve">SEC is </w:t>
      </w:r>
      <w:r w:rsidR="00F7406F">
        <w:rPr>
          <w:spacing w:val="-2"/>
          <w:w w:val="105"/>
        </w:rPr>
        <w:t xml:space="preserve">a government-owned renewable energy company. We are </w:t>
      </w:r>
      <w:r w:rsidR="0064661E">
        <w:rPr>
          <w:spacing w:val="-2"/>
          <w:w w:val="105"/>
        </w:rPr>
        <w:t xml:space="preserve">accelerating Victoria’s renewable energy transition by working </w:t>
      </w:r>
      <w:r w:rsidRPr="00A367A5">
        <w:rPr>
          <w:spacing w:val="-2"/>
          <w:w w:val="105"/>
        </w:rPr>
        <w:t xml:space="preserve">to deliver renewable, affordable, reliable energy for all Victorians. </w:t>
      </w:r>
    </w:p>
    <w:p w14:paraId="5196B211" w14:textId="77777777" w:rsidR="00A367A5" w:rsidRPr="00462E3E" w:rsidDel="00F130BC" w:rsidRDefault="00A367A5" w:rsidP="69D18EAD"/>
    <w:p w14:paraId="5269AFEC" w14:textId="77777777" w:rsidR="00B37B74" w:rsidRPr="00B37B74" w:rsidRDefault="00B37B74" w:rsidP="00B37B74">
      <w:r w:rsidRPr="6E349662">
        <w:rPr>
          <w:b/>
          <w:bCs/>
        </w:rPr>
        <w:t>We’re doing this in three main ways:  </w:t>
      </w:r>
      <w:r>
        <w:t> </w:t>
      </w:r>
    </w:p>
    <w:p w14:paraId="3B8EDA4F" w14:textId="11810844" w:rsidR="00B37B74" w:rsidRPr="00B37B74" w:rsidRDefault="00B37B74" w:rsidP="00B37B74">
      <w:pPr>
        <w:numPr>
          <w:ilvl w:val="0"/>
          <w:numId w:val="49"/>
        </w:numPr>
        <w:rPr>
          <w:spacing w:val="-2"/>
          <w:w w:val="105"/>
        </w:rPr>
      </w:pPr>
      <w:r w:rsidRPr="00B37B74">
        <w:rPr>
          <w:spacing w:val="-2"/>
          <w:w w:val="105"/>
        </w:rPr>
        <w:t xml:space="preserve">investing </w:t>
      </w:r>
      <w:r w:rsidR="007B5645">
        <w:t>an initial</w:t>
      </w:r>
      <w:r w:rsidR="007B5645">
        <w:rPr>
          <w:spacing w:val="-2"/>
          <w:w w:val="105"/>
        </w:rPr>
        <w:t xml:space="preserve"> $1 billion </w:t>
      </w:r>
      <w:r w:rsidRPr="00B37B74">
        <w:rPr>
          <w:spacing w:val="-2"/>
          <w:w w:val="105"/>
        </w:rPr>
        <w:t>to deliver 4.5 gigawatts of renewable energy and storage  </w:t>
      </w:r>
    </w:p>
    <w:p w14:paraId="7259DFEA" w14:textId="26C38BFE" w:rsidR="00B37B74" w:rsidRPr="00B37B74" w:rsidRDefault="005A4CE4" w:rsidP="00B37B74">
      <w:pPr>
        <w:numPr>
          <w:ilvl w:val="0"/>
          <w:numId w:val="50"/>
        </w:numPr>
      </w:pPr>
      <w:r>
        <w:rPr>
          <w:spacing w:val="-2"/>
          <w:w w:val="105"/>
        </w:rPr>
        <w:t>p</w:t>
      </w:r>
      <w:r w:rsidR="00B37B74" w:rsidRPr="00B37B74">
        <w:rPr>
          <w:spacing w:val="-2"/>
          <w:w w:val="105"/>
        </w:rPr>
        <w:t>roviding</w:t>
      </w:r>
      <w:r w:rsidR="00B37B74" w:rsidRPr="00B37B74">
        <w:rPr>
          <w:b/>
          <w:bCs/>
          <w:spacing w:val="-2"/>
          <w:w w:val="105"/>
        </w:rPr>
        <w:t xml:space="preserve"> </w:t>
      </w:r>
      <w:r w:rsidR="00B37B74" w:rsidRPr="00B37B74">
        <w:rPr>
          <w:spacing w:val="-2"/>
          <w:w w:val="105"/>
        </w:rPr>
        <w:t>Victorian businesses and industry with retail and wholesale electricity solutions to help them decarbonise</w:t>
      </w:r>
    </w:p>
    <w:p w14:paraId="7CEFFE54" w14:textId="0342ABA2" w:rsidR="00B37B74" w:rsidRPr="00B37B74" w:rsidRDefault="00B37B74" w:rsidP="00B37B74">
      <w:pPr>
        <w:numPr>
          <w:ilvl w:val="0"/>
          <w:numId w:val="51"/>
        </w:numPr>
      </w:pPr>
      <w:r w:rsidRPr="00B37B74">
        <w:rPr>
          <w:spacing w:val="-2"/>
          <w:w w:val="105"/>
        </w:rPr>
        <w:t>supporting households to go all-electric to reduce their energy bills and emissions</w:t>
      </w:r>
      <w:r w:rsidR="00635B5F">
        <w:t>.</w:t>
      </w:r>
    </w:p>
    <w:p w14:paraId="2E670624" w14:textId="2029F5EB" w:rsidR="00051D17" w:rsidRDefault="769B696C" w:rsidP="00B47A43">
      <w:r>
        <w:t>Underpinning all of this is our work to attract and build the renewable energy workforce our energy transition requires.</w:t>
      </w:r>
    </w:p>
    <w:p w14:paraId="22F7B45C" w14:textId="77777777" w:rsidR="00051D17" w:rsidRDefault="00051D17" w:rsidP="732629C7">
      <w:pPr>
        <w:rPr>
          <w:rFonts w:eastAsiaTheme="majorEastAsia" w:cstheme="majorBidi"/>
          <w:sz w:val="32"/>
          <w:szCs w:val="32"/>
        </w:rPr>
      </w:pPr>
      <w:r>
        <w:br w:type="page"/>
      </w:r>
    </w:p>
    <w:p w14:paraId="1ECBBBCF" w14:textId="5C3D8E6B" w:rsidR="00057040" w:rsidRDefault="009C32C0" w:rsidP="66F9D65A">
      <w:r w:rsidRPr="5C3DF328">
        <w:rPr>
          <w:rFonts w:asciiTheme="minorHAnsi" w:eastAsiaTheme="majorEastAsia" w:hAnsiTheme="minorHAnsi" w:cstheme="majorBidi"/>
          <w:sz w:val="32"/>
          <w:szCs w:val="32"/>
        </w:rPr>
        <w:t>Our guiding principles</w:t>
      </w:r>
    </w:p>
    <w:p w14:paraId="7B2BC052" w14:textId="317A6A22" w:rsidR="002E60FC" w:rsidRDefault="002E60FC" w:rsidP="002E60FC">
      <w:r w:rsidRPr="002E60FC">
        <w:t>Our activities are underpinned by three guiding principles:</w:t>
      </w:r>
    </w:p>
    <w:p w14:paraId="0D59D734" w14:textId="77777777" w:rsidR="002E60FC" w:rsidRDefault="002E60FC" w:rsidP="00D11907">
      <w:pPr>
        <w:pStyle w:val="Heading4"/>
        <w:rPr>
          <w:rFonts w:hint="eastAsia"/>
        </w:rPr>
      </w:pPr>
      <w:r w:rsidRPr="002E60FC">
        <w:t xml:space="preserve">Public purpose </w:t>
      </w:r>
    </w:p>
    <w:p w14:paraId="38065479" w14:textId="77777777" w:rsidR="002E60FC" w:rsidRDefault="002E60FC" w:rsidP="002E60FC">
      <w:r w:rsidRPr="002E60FC">
        <w:t xml:space="preserve">Provide broader benefits to the Victorian community and consumers, including: </w:t>
      </w:r>
    </w:p>
    <w:p w14:paraId="60A269B3" w14:textId="3E9FBCC2" w:rsidR="002E60FC" w:rsidRDefault="002E60FC" w:rsidP="002E60FC">
      <w:pPr>
        <w:pStyle w:val="Bullet"/>
      </w:pPr>
      <w:r w:rsidRPr="002E60FC">
        <w:t xml:space="preserve">improving energy affordability and reliability </w:t>
      </w:r>
    </w:p>
    <w:p w14:paraId="7A1D83D6" w14:textId="52229790" w:rsidR="002E60FC" w:rsidRDefault="002E60FC" w:rsidP="002E60FC">
      <w:pPr>
        <w:pStyle w:val="Bullet"/>
      </w:pPr>
      <w:r>
        <w:t xml:space="preserve">reestablishing public ownership and control of a portfolio of strategic energy assets, with </w:t>
      </w:r>
      <w:r w:rsidR="7C5DF360">
        <w:t>returns</w:t>
      </w:r>
      <w:r>
        <w:t xml:space="preserve"> reinvested into </w:t>
      </w:r>
      <w:r w:rsidR="3CC08491">
        <w:t xml:space="preserve">renewable energy </w:t>
      </w:r>
      <w:r>
        <w:t xml:space="preserve">for public benefit </w:t>
      </w:r>
    </w:p>
    <w:p w14:paraId="0FA08434" w14:textId="06BB7CBE" w:rsidR="002E60FC" w:rsidRDefault="002E60FC" w:rsidP="002E60FC">
      <w:pPr>
        <w:pStyle w:val="Bullet"/>
      </w:pPr>
      <w:r w:rsidRPr="002E60FC">
        <w:t xml:space="preserve">creating local jobs and maximising local capability </w:t>
      </w:r>
    </w:p>
    <w:p w14:paraId="3FC7A5CB" w14:textId="4F34C2F6" w:rsidR="002E60FC" w:rsidRDefault="002E60FC" w:rsidP="002E60FC">
      <w:pPr>
        <w:pStyle w:val="Bullet"/>
      </w:pPr>
      <w:r w:rsidRPr="002E60FC">
        <w:t xml:space="preserve">supporting underserved and vulnerable customer cohorts </w:t>
      </w:r>
    </w:p>
    <w:p w14:paraId="3DB0E2C2" w14:textId="4116B75B" w:rsidR="002E60FC" w:rsidRDefault="002E60FC" w:rsidP="002E60FC">
      <w:pPr>
        <w:pStyle w:val="Bullet"/>
      </w:pPr>
      <w:r w:rsidRPr="002E60FC">
        <w:t>building relationships with Victoria’s First Peoples, ensuring we recognise the rights and authority of Traditional Owners</w:t>
      </w:r>
      <w:r>
        <w:t>.</w:t>
      </w:r>
    </w:p>
    <w:p w14:paraId="0D284E70" w14:textId="5E55E1BF" w:rsidR="00196CF3" w:rsidRDefault="00196CF3" w:rsidP="00D11907">
      <w:pPr>
        <w:pStyle w:val="Heading4"/>
        <w:rPr>
          <w:rFonts w:hint="eastAsia"/>
        </w:rPr>
      </w:pPr>
      <w:r w:rsidRPr="00196CF3">
        <w:t xml:space="preserve">Market enablement </w:t>
      </w:r>
    </w:p>
    <w:p w14:paraId="6F6698CD" w14:textId="77777777" w:rsidR="00196CF3" w:rsidRDefault="00196CF3" w:rsidP="00196CF3">
      <w:r w:rsidRPr="00196CF3">
        <w:t xml:space="preserve">Operate in a way that accelerates the energy transition, by: </w:t>
      </w:r>
    </w:p>
    <w:p w14:paraId="341D4375" w14:textId="77777777" w:rsidR="00196CF3" w:rsidRDefault="00196CF3" w:rsidP="00196CF3">
      <w:pPr>
        <w:pStyle w:val="Bullet"/>
      </w:pPr>
      <w:r w:rsidRPr="00196CF3">
        <w:t xml:space="preserve">bringing capital to the transition task, additional to that which would otherwise be delivered </w:t>
      </w:r>
    </w:p>
    <w:p w14:paraId="100E4636" w14:textId="61B1AF4D" w:rsidR="00196CF3" w:rsidRDefault="00196CF3" w:rsidP="00196CF3">
      <w:pPr>
        <w:pStyle w:val="Bullet"/>
      </w:pPr>
      <w:r w:rsidRPr="00196CF3">
        <w:t xml:space="preserve">maintaining private investor confidence in the Victorian energy market </w:t>
      </w:r>
    </w:p>
    <w:p w14:paraId="663E83EA" w14:textId="08019D9F" w:rsidR="00196CF3" w:rsidRDefault="00196CF3" w:rsidP="00196CF3">
      <w:pPr>
        <w:pStyle w:val="Bullet"/>
      </w:pPr>
      <w:r>
        <w:t xml:space="preserve">catalysing private sector investment </w:t>
      </w:r>
    </w:p>
    <w:p w14:paraId="74CDF49B" w14:textId="24F3A876" w:rsidR="00536629" w:rsidRDefault="00536629" w:rsidP="00196CF3">
      <w:pPr>
        <w:pStyle w:val="Bullet"/>
      </w:pPr>
      <w:r>
        <w:t>creating and growing new markets</w:t>
      </w:r>
      <w:r w:rsidR="00DC370A">
        <w:t xml:space="preserve">, both for SEC and private </w:t>
      </w:r>
      <w:r w:rsidR="00B44684">
        <w:t>investors</w:t>
      </w:r>
    </w:p>
    <w:p w14:paraId="476A21F9" w14:textId="02D12BF9" w:rsidR="00196CF3" w:rsidRDefault="00196CF3" w:rsidP="00196CF3">
      <w:pPr>
        <w:pStyle w:val="Bullet"/>
      </w:pPr>
      <w:r w:rsidRPr="00196CF3">
        <w:t xml:space="preserve">supporting the development of a workforce equipped with the required skills </w:t>
      </w:r>
    </w:p>
    <w:p w14:paraId="4D8B4866" w14:textId="77777777" w:rsidR="00196CF3" w:rsidRDefault="00196CF3" w:rsidP="00196CF3">
      <w:pPr>
        <w:pStyle w:val="Bullet"/>
      </w:pPr>
      <w:r w:rsidRPr="00196CF3">
        <w:t>sharing lessons learned where appropriate.</w:t>
      </w:r>
    </w:p>
    <w:p w14:paraId="577D7308" w14:textId="77777777" w:rsidR="00F03861" w:rsidRDefault="00F03861" w:rsidP="00D11907">
      <w:pPr>
        <w:pStyle w:val="Heading4"/>
        <w:rPr>
          <w:rFonts w:hint="eastAsia"/>
        </w:rPr>
      </w:pPr>
      <w:r w:rsidRPr="00F03861">
        <w:t xml:space="preserve">Sustainable financial returns </w:t>
      </w:r>
    </w:p>
    <w:p w14:paraId="263517FD" w14:textId="77777777" w:rsidR="00F03861" w:rsidRDefault="00F03861" w:rsidP="00F03861">
      <w:r w:rsidRPr="00F03861">
        <w:t xml:space="preserve">Earn a financial return across the portfolio that: </w:t>
      </w:r>
    </w:p>
    <w:p w14:paraId="499C2E62" w14:textId="5666A239" w:rsidR="00F03861" w:rsidRDefault="00F03861" w:rsidP="00F03861">
      <w:pPr>
        <w:pStyle w:val="Bullet"/>
      </w:pPr>
      <w:r>
        <w:t xml:space="preserve">enables us to generate cash flow to cover our operating costs within an acceptable timeframe </w:t>
      </w:r>
    </w:p>
    <w:p w14:paraId="028751C3" w14:textId="423C5D47" w:rsidR="00B71E6B" w:rsidRDefault="00F03861" w:rsidP="00F03861">
      <w:pPr>
        <w:pStyle w:val="Bullet"/>
      </w:pPr>
      <w:r>
        <w:t>meets risk-adjusted target rates of return, enabling us to reinvest returns in more renewables and storage on behalf of the Victorian people</w:t>
      </w:r>
    </w:p>
    <w:p w14:paraId="60F3C23D" w14:textId="7720751E" w:rsidR="00B71E6B" w:rsidRDefault="00B71E6B" w:rsidP="00B71E6B">
      <w:pPr>
        <w:pStyle w:val="Bullet"/>
      </w:pPr>
      <w:r>
        <w:t>meets the requirements of public non-financial corporation status</w:t>
      </w:r>
      <w:r w:rsidR="005A37A3">
        <w:t>.</w:t>
      </w:r>
      <w:r>
        <w:t xml:space="preserve"> </w:t>
      </w:r>
    </w:p>
    <w:p w14:paraId="4C010E1F" w14:textId="4AD1F57E" w:rsidR="006D5BDB" w:rsidRDefault="006D5BDB" w:rsidP="48A82E3A">
      <w:pPr>
        <w:pStyle w:val="Bullet"/>
        <w:numPr>
          <w:ilvl w:val="0"/>
          <w:numId w:val="0"/>
        </w:numPr>
        <w:ind w:left="714"/>
      </w:pPr>
    </w:p>
    <w:p w14:paraId="04CC79A7" w14:textId="1355A7AA" w:rsidR="48A82E3A" w:rsidRDefault="48A82E3A">
      <w:r>
        <w:br w:type="page"/>
      </w:r>
    </w:p>
    <w:p w14:paraId="73E56D78" w14:textId="15E0C9FF" w:rsidR="00547885" w:rsidRPr="006D5BDB" w:rsidRDefault="009E0188" w:rsidP="00B254AC">
      <w:pPr>
        <w:pStyle w:val="Heading1"/>
      </w:pPr>
      <w:bookmarkStart w:id="122" w:name="_Toc200631665"/>
      <w:bookmarkStart w:id="123" w:name="_Toc621867343"/>
      <w:bookmarkStart w:id="124" w:name="_Toc201222689"/>
      <w:bookmarkStart w:id="125" w:name="_Toc378664784"/>
      <w:bookmarkStart w:id="126" w:name="_Toc923544550"/>
      <w:bookmarkStart w:id="127" w:name="_Toc98414611"/>
      <w:bookmarkStart w:id="128" w:name="_Toc1408321049"/>
      <w:bookmarkStart w:id="129" w:name="_Toc1649095054"/>
      <w:bookmarkStart w:id="130" w:name="_Toc1619359818"/>
      <w:bookmarkStart w:id="131" w:name="_Toc1398169596"/>
      <w:bookmarkStart w:id="132" w:name="_Toc208418027"/>
      <w:bookmarkStart w:id="133" w:name="_Toc209080392"/>
      <w:bookmarkStart w:id="134" w:name="_Toc209703961"/>
      <w:bookmarkStart w:id="135" w:name="_Toc209704014"/>
      <w:bookmarkStart w:id="136" w:name="_Toc209704067"/>
      <w:r>
        <w:t>Our strategy at a glance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4D4C41">
        <w:t xml:space="preserve"> </w:t>
      </w:r>
    </w:p>
    <w:p w14:paraId="43397E86" w14:textId="77777777" w:rsidR="00546041" w:rsidRDefault="00546041" w:rsidP="00D95EEB">
      <w:pPr>
        <w:pStyle w:val="Heading4"/>
        <w:rPr>
          <w:rFonts w:hint="eastAsia"/>
        </w:rPr>
      </w:pPr>
      <w:r>
        <w:t xml:space="preserve">Our purpose </w:t>
      </w:r>
    </w:p>
    <w:p w14:paraId="14841047" w14:textId="1B9A2C46" w:rsidR="00546041" w:rsidRDefault="00546041" w:rsidP="00144519">
      <w:r w:rsidRPr="00E06879">
        <w:t>Working together for renewable, affordable, reliable energy for all Victorians.</w:t>
      </w:r>
    </w:p>
    <w:p w14:paraId="29712EB0" w14:textId="77777777" w:rsidR="00546041" w:rsidRDefault="00546041" w:rsidP="00D95EEB">
      <w:pPr>
        <w:pStyle w:val="Heading4"/>
        <w:rPr>
          <w:rFonts w:hint="eastAsia"/>
        </w:rPr>
      </w:pPr>
      <w:r>
        <w:t>Our vision</w:t>
      </w:r>
    </w:p>
    <w:p w14:paraId="39616851" w14:textId="6759E411" w:rsidR="00E00B8C" w:rsidRDefault="00546041" w:rsidP="00E00B8C">
      <w:r w:rsidRPr="001A450A">
        <w:t>Accelerate Victoria’s transition to an affordable, reliable, equitable and zero-emissions electricity system that enables decarbonisation across the economy, in partnership with Traditional Owners, the private sector and in coordination with government initiatives.</w:t>
      </w:r>
    </w:p>
    <w:p w14:paraId="1D91F04E" w14:textId="77777777" w:rsidR="00F309B9" w:rsidRPr="00F309B9" w:rsidRDefault="00F309B9" w:rsidP="00F309B9">
      <w:pPr>
        <w:rPr>
          <w:i/>
          <w:iCs/>
        </w:rPr>
      </w:pPr>
      <w:r w:rsidRPr="00F309B9">
        <w:rPr>
          <w:i/>
          <w:iCs/>
        </w:rPr>
        <w:t>Our strategic pillars </w:t>
      </w:r>
    </w:p>
    <w:p w14:paraId="02BC9DC8" w14:textId="690EA366" w:rsidR="00F309B9" w:rsidRPr="00F309B9" w:rsidRDefault="00F309B9" w:rsidP="46CFC183">
      <w:pPr>
        <w:rPr>
          <w:i/>
          <w:iCs/>
        </w:rPr>
      </w:pPr>
      <w:r>
        <w:t>Invest an initial $1 billion to deliver 4.5 gigawatts of renewable energy and storage</w:t>
      </w:r>
      <w:r w:rsidR="5659B98B">
        <w:t>.</w:t>
      </w:r>
      <w:r>
        <w:t>   </w:t>
      </w:r>
      <w:r w:rsidRPr="46CFC183">
        <w:rPr>
          <w:i/>
          <w:iCs/>
        </w:rPr>
        <w:t> </w:t>
      </w:r>
    </w:p>
    <w:p w14:paraId="18FDB309" w14:textId="3C17D855" w:rsidR="00F309B9" w:rsidRPr="00F309B9" w:rsidRDefault="00F309B9" w:rsidP="46CFC183">
      <w:pPr>
        <w:rPr>
          <w:i/>
          <w:iCs/>
        </w:rPr>
      </w:pPr>
      <w:r>
        <w:t>Provide Victorian businesses and industry with retail and wholesale electricity solutions to help them decarbonise</w:t>
      </w:r>
      <w:r w:rsidR="5428FF80">
        <w:t>.</w:t>
      </w:r>
      <w:r>
        <w:t> </w:t>
      </w:r>
      <w:r w:rsidRPr="46CFC183">
        <w:rPr>
          <w:i/>
          <w:iCs/>
        </w:rPr>
        <w:t> </w:t>
      </w:r>
    </w:p>
    <w:p w14:paraId="57CA2EA5" w14:textId="77777777" w:rsidR="00F309B9" w:rsidRPr="00F309B9" w:rsidRDefault="00F309B9" w:rsidP="00F309B9">
      <w:pPr>
        <w:rPr>
          <w:i/>
          <w:iCs/>
        </w:rPr>
      </w:pPr>
      <w:r w:rsidRPr="00F309B9">
        <w:t>Support households to go all-electric to reduce their energy bills and emissions.</w:t>
      </w:r>
      <w:r w:rsidRPr="00F309B9">
        <w:rPr>
          <w:i/>
          <w:iCs/>
        </w:rPr>
        <w:t> </w:t>
      </w:r>
    </w:p>
    <w:p w14:paraId="026C60A3" w14:textId="77777777" w:rsidR="00F309B9" w:rsidRPr="00F309B9" w:rsidRDefault="00F309B9" w:rsidP="00F309B9">
      <w:pPr>
        <w:rPr>
          <w:i/>
          <w:iCs/>
        </w:rPr>
      </w:pPr>
      <w:r w:rsidRPr="00F309B9">
        <w:rPr>
          <w:i/>
          <w:iCs/>
        </w:rPr>
        <w:t>(underneath) </w:t>
      </w:r>
    </w:p>
    <w:p w14:paraId="12C407E3" w14:textId="77777777" w:rsidR="00F309B9" w:rsidRPr="00F309B9" w:rsidRDefault="00F309B9" w:rsidP="00F309B9">
      <w:pPr>
        <w:rPr>
          <w:i/>
          <w:iCs/>
        </w:rPr>
      </w:pPr>
      <w:r w:rsidRPr="00F309B9">
        <w:t>Work to attract and build the renewable energy workforce our energy transition requires.</w:t>
      </w:r>
      <w:r w:rsidRPr="00F309B9">
        <w:rPr>
          <w:i/>
          <w:iCs/>
        </w:rPr>
        <w:t> </w:t>
      </w:r>
    </w:p>
    <w:p w14:paraId="7C20E1E9" w14:textId="77777777" w:rsidR="00546041" w:rsidRPr="00560B29" w:rsidRDefault="00546041" w:rsidP="00D95EEB">
      <w:pPr>
        <w:pStyle w:val="Heading4"/>
        <w:rPr>
          <w:rFonts w:hint="eastAsia"/>
        </w:rPr>
      </w:pPr>
      <w:r w:rsidRPr="00560B29">
        <w:t>Our values</w:t>
      </w:r>
    </w:p>
    <w:p w14:paraId="1487986A" w14:textId="77777777" w:rsidR="00546041" w:rsidRDefault="00546041" w:rsidP="008B1F94">
      <w:pPr>
        <w:pStyle w:val="NormalItalics"/>
      </w:pPr>
      <w:r w:rsidRPr="0037475A">
        <w:t xml:space="preserve">Uniting </w:t>
      </w:r>
    </w:p>
    <w:p w14:paraId="30EEDC39" w14:textId="77777777" w:rsidR="00546041" w:rsidRDefault="00546041" w:rsidP="00546041">
      <w:r w:rsidRPr="0037475A">
        <w:t>We’ll accelerate an orderly energy transition, bringing together Traditional Owners, investors, public and private sectors, and all Victorians.</w:t>
      </w:r>
    </w:p>
    <w:p w14:paraId="568335A5" w14:textId="77777777" w:rsidR="00546041" w:rsidRDefault="00546041" w:rsidP="008B1F94">
      <w:pPr>
        <w:pStyle w:val="NormalItalics"/>
      </w:pPr>
      <w:r w:rsidRPr="008544DF">
        <w:t xml:space="preserve">Nimble </w:t>
      </w:r>
    </w:p>
    <w:p w14:paraId="02ADEAF7" w14:textId="77777777" w:rsidR="00546041" w:rsidRDefault="00546041" w:rsidP="00546041">
      <w:r w:rsidRPr="008544DF">
        <w:t>We’ll be open-minded, pragmatic and value agility in our partnerships, investments and operations.</w:t>
      </w:r>
    </w:p>
    <w:p w14:paraId="651BA80C" w14:textId="77777777" w:rsidR="00546041" w:rsidRDefault="00546041" w:rsidP="008B1F94">
      <w:pPr>
        <w:pStyle w:val="NormalItalics"/>
      </w:pPr>
      <w:r w:rsidRPr="002C70DB">
        <w:t xml:space="preserve">Fair </w:t>
      </w:r>
    </w:p>
    <w:p w14:paraId="4691E365" w14:textId="492B138A" w:rsidR="000013A4" w:rsidRPr="006D5BDB" w:rsidRDefault="00546041" w:rsidP="00E7199D">
      <w:r w:rsidRPr="002C70DB">
        <w:t>We’ll share openly and honestly, earning the trust and support of our partners and the community, and ensuring equity and integrity in what and how we deliver for Victorians</w:t>
      </w:r>
      <w:r>
        <w:t>.</w:t>
      </w:r>
    </w:p>
    <w:p w14:paraId="6F2DA580" w14:textId="77777777" w:rsidR="00144519" w:rsidRDefault="00144519">
      <w:pPr>
        <w:rPr>
          <w:rFonts w:eastAsiaTheme="majorEastAsia" w:cstheme="majorBidi"/>
          <w:sz w:val="32"/>
          <w:szCs w:val="32"/>
        </w:rPr>
      </w:pPr>
      <w:bookmarkStart w:id="137" w:name="_Toc200631666"/>
      <w:bookmarkStart w:id="138" w:name="_Toc561715651"/>
      <w:bookmarkStart w:id="139" w:name="_Toc201222690"/>
      <w:bookmarkStart w:id="140" w:name="_Toc1167813192"/>
      <w:bookmarkStart w:id="141" w:name="_Toc252954708"/>
      <w:bookmarkStart w:id="142" w:name="_Toc1516761245"/>
      <w:bookmarkStart w:id="143" w:name="_Toc219796294"/>
      <w:bookmarkStart w:id="144" w:name="_Toc938431208"/>
      <w:bookmarkStart w:id="145" w:name="_Toc1513071704"/>
      <w:r>
        <w:br w:type="page"/>
      </w:r>
    </w:p>
    <w:p w14:paraId="6FFF75C9" w14:textId="01D91C7E" w:rsidR="00873096" w:rsidRDefault="00546041" w:rsidP="008A67FB">
      <w:pPr>
        <w:pStyle w:val="Heading2"/>
      </w:pPr>
      <w:bookmarkStart w:id="146" w:name="_Toc203487524"/>
      <w:bookmarkStart w:id="147" w:name="_Toc203656200"/>
      <w:bookmarkStart w:id="148" w:name="_Toc252487650"/>
      <w:bookmarkStart w:id="149" w:name="_Ref207013894"/>
      <w:bookmarkStart w:id="150" w:name="_Ref207630804"/>
      <w:bookmarkStart w:id="151" w:name="_Ref207630818"/>
      <w:r>
        <w:t>Our governance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45B7EBC" w14:textId="354EBB90" w:rsidR="0089581C" w:rsidRDefault="0089581C">
      <w:r>
        <w:t xml:space="preserve">SEC is a state-owned renewable energy company registered as SEC Victoria Pty Ltd. </w:t>
      </w:r>
      <w:r w:rsidR="294322B9">
        <w:t>SEC</w:t>
      </w:r>
      <w:r>
        <w:t xml:space="preserve"> is led by an executive team with an independent </w:t>
      </w:r>
      <w:r w:rsidR="431873D6">
        <w:t>B</w:t>
      </w:r>
      <w:r>
        <w:t xml:space="preserve">oard of </w:t>
      </w:r>
      <w:r w:rsidR="5520E68F">
        <w:t>D</w:t>
      </w:r>
      <w:r>
        <w:t xml:space="preserve">irectors. </w:t>
      </w:r>
    </w:p>
    <w:p w14:paraId="24CF11D5" w14:textId="021DA1EA" w:rsidR="002C4115" w:rsidRDefault="0089581C">
      <w:r>
        <w:t xml:space="preserve">The </w:t>
      </w:r>
      <w:r w:rsidR="126FF13E">
        <w:t>c</w:t>
      </w:r>
      <w:r>
        <w:t xml:space="preserve">ompany was incorporated under the </w:t>
      </w:r>
      <w:r w:rsidRPr="6FFE9D43">
        <w:rPr>
          <w:i/>
          <w:iCs/>
        </w:rPr>
        <w:t>Corporations Act 2001</w:t>
      </w:r>
      <w:r>
        <w:t xml:space="preserve"> (</w:t>
      </w:r>
      <w:proofErr w:type="spellStart"/>
      <w:r>
        <w:t>Cth</w:t>
      </w:r>
      <w:proofErr w:type="spellEnd"/>
      <w:r>
        <w:t>) on 25 October 2023 and declared a state</w:t>
      </w:r>
      <w:r w:rsidR="418723F6">
        <w:t>-</w:t>
      </w:r>
      <w:r>
        <w:t xml:space="preserve">owned company under the </w:t>
      </w:r>
      <w:r w:rsidRPr="6FFE9D43">
        <w:rPr>
          <w:i/>
          <w:iCs/>
        </w:rPr>
        <w:t>State Owned Enterprises Act 1992</w:t>
      </w:r>
      <w:r>
        <w:t xml:space="preserve"> (Vic) on 14 November 2023. </w:t>
      </w:r>
    </w:p>
    <w:p w14:paraId="43FB27F9" w14:textId="2E53F262" w:rsidR="00F730CF" w:rsidRDefault="00F730CF">
      <w:r>
        <w:t xml:space="preserve">It was enshrined in the Victorian Constitution </w:t>
      </w:r>
      <w:r w:rsidR="4F6C60CA">
        <w:t xml:space="preserve">following passage </w:t>
      </w:r>
      <w:r w:rsidR="3D734CBB" w:rsidRPr="21BE2D0C">
        <w:rPr>
          <w:i/>
          <w:iCs/>
        </w:rPr>
        <w:t>of The</w:t>
      </w:r>
      <w:r w:rsidRPr="21BE2D0C">
        <w:rPr>
          <w:i/>
          <w:iCs/>
        </w:rPr>
        <w:t xml:space="preserve"> Constitution Amendment (SEC) Bill 2023</w:t>
      </w:r>
      <w:r w:rsidR="59F2253A" w:rsidRPr="21BE2D0C">
        <w:rPr>
          <w:i/>
          <w:iCs/>
        </w:rPr>
        <w:t xml:space="preserve"> </w:t>
      </w:r>
      <w:r w:rsidR="59F2253A">
        <w:t>on 15 October 2024</w:t>
      </w:r>
      <w:r>
        <w:t>.</w:t>
      </w:r>
    </w:p>
    <w:p w14:paraId="132B71DE" w14:textId="4B1DCFEE" w:rsidR="002C4115" w:rsidRDefault="0089581C">
      <w:r w:rsidRPr="0089581C">
        <w:t xml:space="preserve">As a state-owned company, SEC is subject to the </w:t>
      </w:r>
      <w:r w:rsidRPr="005E077A">
        <w:rPr>
          <w:i/>
          <w:iCs/>
        </w:rPr>
        <w:t>Financial Management Act</w:t>
      </w:r>
      <w:r w:rsidRPr="0089581C">
        <w:t xml:space="preserve"> </w:t>
      </w:r>
      <w:r w:rsidRPr="005E077A">
        <w:rPr>
          <w:i/>
          <w:iCs/>
        </w:rPr>
        <w:t>1994</w:t>
      </w:r>
      <w:r w:rsidRPr="0089581C">
        <w:t xml:space="preserve"> </w:t>
      </w:r>
      <w:r w:rsidR="006926B0">
        <w:t xml:space="preserve">(FMA) </w:t>
      </w:r>
      <w:r w:rsidRPr="0089581C">
        <w:t xml:space="preserve">and the </w:t>
      </w:r>
      <w:r w:rsidRPr="005E077A">
        <w:rPr>
          <w:i/>
          <w:iCs/>
        </w:rPr>
        <w:t>Public Administration Act 2004</w:t>
      </w:r>
      <w:r w:rsidRPr="0089581C">
        <w:t xml:space="preserve">. It is also required to comply with the legislative framework that governs state-owned companies in Victoria. </w:t>
      </w:r>
    </w:p>
    <w:p w14:paraId="3B097AB6" w14:textId="20E3A819" w:rsidR="002C4115" w:rsidRDefault="0089581C">
      <w:r w:rsidRPr="0089581C">
        <w:t xml:space="preserve">The Premier and Treasurer of Victoria are SEC’s shareholders on behalf of the State of Victoria. The Minister for the State Electricity Commission has portfolio responsibility for SEC. </w:t>
      </w:r>
    </w:p>
    <w:p w14:paraId="4E9C41C2" w14:textId="64690C19" w:rsidR="002C4115" w:rsidRDefault="0089581C">
      <w:r w:rsidRPr="0089581C">
        <w:t xml:space="preserve">A </w:t>
      </w:r>
      <w:r w:rsidR="7E070694">
        <w:t>B</w:t>
      </w:r>
      <w:r w:rsidR="7E45B4DA">
        <w:t>oard</w:t>
      </w:r>
      <w:r w:rsidRPr="0089581C">
        <w:t xml:space="preserve"> of </w:t>
      </w:r>
      <w:r w:rsidR="0EBABE56">
        <w:t>D</w:t>
      </w:r>
      <w:r>
        <w:t>irectors</w:t>
      </w:r>
      <w:r w:rsidRPr="0089581C">
        <w:t xml:space="preserve"> oversees the company’s ongoing operations and the delivery of its strategic plan, while day-to-day management is the responsibility of its CEO, executives and management. </w:t>
      </w:r>
    </w:p>
    <w:p w14:paraId="48971C9C" w14:textId="5A3729AA" w:rsidR="002C4115" w:rsidRDefault="0089581C">
      <w:r w:rsidRPr="0089581C">
        <w:t xml:space="preserve">The company constitution governs the relationship between </w:t>
      </w:r>
      <w:r>
        <w:t>SEC</w:t>
      </w:r>
      <w:r w:rsidR="494A7A51">
        <w:t>’s</w:t>
      </w:r>
      <w:r w:rsidRPr="0089581C">
        <w:t xml:space="preserve"> Board, the shareholding ministers, and the Minister for the State Electricity Commission. </w:t>
      </w:r>
    </w:p>
    <w:p w14:paraId="6B800745" w14:textId="77777777" w:rsidR="004E1159" w:rsidRDefault="004E1159">
      <w:pPr>
        <w:rPr>
          <w:rFonts w:eastAsiaTheme="majorEastAsia" w:cstheme="majorBidi"/>
          <w:b/>
          <w:szCs w:val="28"/>
        </w:rPr>
      </w:pPr>
      <w:bookmarkStart w:id="152" w:name="_Toc200631667"/>
      <w:bookmarkStart w:id="153" w:name="_Toc686379512"/>
      <w:bookmarkStart w:id="154" w:name="_Toc201222691"/>
      <w:bookmarkStart w:id="155" w:name="_Toc2065114890"/>
      <w:bookmarkStart w:id="156" w:name="_Toc1320663121"/>
      <w:bookmarkStart w:id="157" w:name="_Toc842334384"/>
      <w:bookmarkStart w:id="158" w:name="_Toc1159663086"/>
      <w:bookmarkStart w:id="159" w:name="_Toc960133885"/>
      <w:bookmarkStart w:id="160" w:name="_Toc418820433"/>
      <w:r>
        <w:br w:type="page"/>
      </w:r>
    </w:p>
    <w:p w14:paraId="4607F6BE" w14:textId="1FC88AC2" w:rsidR="000068E9" w:rsidRDefault="44B6B96D" w:rsidP="0011000D">
      <w:pPr>
        <w:pStyle w:val="Heading3"/>
      </w:pPr>
      <w:r>
        <w:t>Our Board</w:t>
      </w:r>
      <w:bookmarkEnd w:id="152"/>
      <w:bookmarkEnd w:id="153"/>
      <w:bookmarkEnd w:id="154"/>
      <w:bookmarkEnd w:id="155"/>
      <w:bookmarkEnd w:id="156"/>
      <w:bookmarkEnd w:id="157"/>
      <w:bookmarkEnd w:id="158"/>
      <w:bookmarkEnd w:id="159"/>
      <w:bookmarkEnd w:id="160"/>
    </w:p>
    <w:p w14:paraId="7836136D" w14:textId="2ECEAC9E" w:rsidR="00644B5B" w:rsidRDefault="00C347CC" w:rsidP="00C347CC">
      <w:r>
        <w:t>SEC</w:t>
      </w:r>
      <w:r w:rsidR="6BA37789">
        <w:t>’s</w:t>
      </w:r>
      <w:r>
        <w:t xml:space="preserve"> Board brings a wealth of experience in energy, resources, finance, asset management and investment to the company. </w:t>
      </w:r>
      <w:r w:rsidR="07FED113">
        <w:t>As</w:t>
      </w:r>
      <w:r>
        <w:t xml:space="preserve"> at 30 June 202</w:t>
      </w:r>
      <w:r w:rsidR="0EB39FC2">
        <w:t>5</w:t>
      </w:r>
      <w:r w:rsidR="07FED113">
        <w:t>, t</w:t>
      </w:r>
      <w:r>
        <w:t>he members are:</w:t>
      </w:r>
    </w:p>
    <w:p w14:paraId="44896964" w14:textId="77777777" w:rsidR="003E2910" w:rsidRDefault="003E2910" w:rsidP="00C347CC">
      <w:r w:rsidRPr="003E2910">
        <w:t>Simon Corbell</w:t>
      </w:r>
      <w:r>
        <w:t xml:space="preserve"> </w:t>
      </w:r>
    </w:p>
    <w:p w14:paraId="6AAA3F86" w14:textId="1B591BBA" w:rsidR="00C347CC" w:rsidRDefault="003E2910" w:rsidP="00C347CC">
      <w:r w:rsidRPr="003E2910">
        <w:t>Non-Executive Director and Board Chair</w:t>
      </w:r>
    </w:p>
    <w:p w14:paraId="2CFDED95" w14:textId="77777777" w:rsidR="003E2910" w:rsidRDefault="003E2910" w:rsidP="00C347CC"/>
    <w:p w14:paraId="1B14EA8F" w14:textId="77777777" w:rsidR="003E2910" w:rsidRDefault="003E2910" w:rsidP="00C347CC">
      <w:r w:rsidRPr="003E2910">
        <w:t xml:space="preserve">Joycelyn Morton </w:t>
      </w:r>
    </w:p>
    <w:p w14:paraId="71F32829" w14:textId="1BDA26F3" w:rsidR="003E2910" w:rsidRDefault="003E2910" w:rsidP="00C347CC">
      <w:r w:rsidRPr="003E2910">
        <w:t>Non-Executive Director</w:t>
      </w:r>
    </w:p>
    <w:p w14:paraId="675C244E" w14:textId="77777777" w:rsidR="00A930D7" w:rsidRDefault="00A930D7" w:rsidP="00A930D7"/>
    <w:p w14:paraId="409C30CD" w14:textId="692C6644" w:rsidR="00A930D7" w:rsidRDefault="00A930D7" w:rsidP="00A930D7">
      <w:r w:rsidRPr="006A462A">
        <w:t xml:space="preserve">Damien Barnes </w:t>
      </w:r>
    </w:p>
    <w:p w14:paraId="43090695" w14:textId="77777777" w:rsidR="00A930D7" w:rsidRDefault="00A930D7" w:rsidP="00A930D7">
      <w:r>
        <w:t>Non-Executive Director</w:t>
      </w:r>
    </w:p>
    <w:p w14:paraId="046E0D05" w14:textId="77777777" w:rsidR="00A930D7" w:rsidRDefault="00A930D7" w:rsidP="00A930D7"/>
    <w:p w14:paraId="4F998071" w14:textId="685E4AF2" w:rsidR="00A930D7" w:rsidRDefault="00A930D7" w:rsidP="00A930D7">
      <w:r w:rsidRPr="006A462A">
        <w:t>Jo Benvenuti</w:t>
      </w:r>
    </w:p>
    <w:p w14:paraId="4EE14DE9" w14:textId="77777777" w:rsidR="00A930D7" w:rsidRDefault="00A930D7" w:rsidP="00A930D7">
      <w:r w:rsidRPr="006A462A">
        <w:t>Non-Executive Director</w:t>
      </w:r>
    </w:p>
    <w:p w14:paraId="50E78628" w14:textId="77777777" w:rsidR="003E2910" w:rsidRDefault="003E2910" w:rsidP="00C347CC"/>
    <w:p w14:paraId="4851C0BF" w14:textId="77777777" w:rsidR="00A930D7" w:rsidRDefault="00A930D7" w:rsidP="00A930D7">
      <w:r>
        <w:t xml:space="preserve">Sharan Burrow </w:t>
      </w:r>
    </w:p>
    <w:p w14:paraId="035C461E" w14:textId="77777777" w:rsidR="00A930D7" w:rsidRDefault="00A930D7" w:rsidP="00A930D7">
      <w:r>
        <w:t>Non-Executive Director</w:t>
      </w:r>
    </w:p>
    <w:p w14:paraId="3C674F43" w14:textId="77777777" w:rsidR="00A930D7" w:rsidRDefault="00A930D7" w:rsidP="00A930D7"/>
    <w:p w14:paraId="6404C50A" w14:textId="149F4002" w:rsidR="00A930D7" w:rsidRDefault="00A930D7" w:rsidP="00A930D7">
      <w:r>
        <w:t>Cameron Garnsworthy</w:t>
      </w:r>
    </w:p>
    <w:p w14:paraId="2607F0C5" w14:textId="77777777" w:rsidR="00A930D7" w:rsidRDefault="00A930D7" w:rsidP="00A930D7">
      <w:r>
        <w:t>Non-Executive Director</w:t>
      </w:r>
    </w:p>
    <w:p w14:paraId="61B66B89" w14:textId="77777777" w:rsidR="00A930D7" w:rsidRDefault="00A930D7" w:rsidP="00A930D7"/>
    <w:p w14:paraId="75F11661" w14:textId="77777777" w:rsidR="006A462A" w:rsidRDefault="006A462A" w:rsidP="00C347CC">
      <w:r w:rsidRPr="006A462A">
        <w:t xml:space="preserve">Anna Skarbek </w:t>
      </w:r>
    </w:p>
    <w:p w14:paraId="2DD5F85D" w14:textId="3F067631" w:rsidR="003E2910" w:rsidRDefault="006A462A" w:rsidP="00C347CC">
      <w:r w:rsidRPr="006A462A">
        <w:t>Non-Executive Director</w:t>
      </w:r>
    </w:p>
    <w:p w14:paraId="79524AE5" w14:textId="77777777" w:rsidR="00EE6E7E" w:rsidRDefault="00EE6E7E" w:rsidP="00C347CC"/>
    <w:p w14:paraId="4CE7DC47" w14:textId="77777777" w:rsidR="00EE6E7E" w:rsidRDefault="00EE6E7E" w:rsidP="00C347CC">
      <w:r w:rsidRPr="00EE6E7E">
        <w:t xml:space="preserve">More information and Board member biographies can be found at: www. secvictoria.com.au/about/governance. </w:t>
      </w:r>
    </w:p>
    <w:p w14:paraId="23C9A785" w14:textId="758EAB4D" w:rsidR="000B734B" w:rsidRDefault="00EE6E7E" w:rsidP="00134E27">
      <w:pPr>
        <w:pStyle w:val="Bullet"/>
        <w:numPr>
          <w:ilvl w:val="0"/>
          <w:numId w:val="0"/>
        </w:numPr>
      </w:pPr>
      <w:r>
        <w:t xml:space="preserve">We have worked with the First Peoples' Assembly of Victoria to agree a process for the nomination of a </w:t>
      </w:r>
      <w:r w:rsidR="7653B29D">
        <w:t xml:space="preserve">Victorian </w:t>
      </w:r>
      <w:r>
        <w:t>First Nations' person for appointment to a reserved seat on SEC</w:t>
      </w:r>
      <w:r w:rsidR="242480A1">
        <w:t>’s</w:t>
      </w:r>
      <w:r>
        <w:t xml:space="preserve"> Board</w:t>
      </w:r>
      <w:r w:rsidR="431A5DE9">
        <w:t>.</w:t>
      </w:r>
    </w:p>
    <w:p w14:paraId="14150BFB" w14:textId="77777777" w:rsidR="000F1960" w:rsidRDefault="000F1960" w:rsidP="00134E27">
      <w:pPr>
        <w:pStyle w:val="Bullet"/>
        <w:numPr>
          <w:ilvl w:val="0"/>
          <w:numId w:val="0"/>
        </w:numPr>
      </w:pPr>
    </w:p>
    <w:p w14:paraId="704BC769" w14:textId="77777777" w:rsidR="000F1960" w:rsidRDefault="000F1960" w:rsidP="000F1960">
      <w:pPr>
        <w:pStyle w:val="Heading3"/>
      </w:pPr>
      <w:r w:rsidRPr="00FF1BF8">
        <w:t xml:space="preserve">Board committees </w:t>
      </w:r>
    </w:p>
    <w:p w14:paraId="262DFB0F" w14:textId="77777777" w:rsidR="000F1960" w:rsidRDefault="000F1960" w:rsidP="000F1960">
      <w:pPr>
        <w:pStyle w:val="Heading4"/>
        <w:rPr>
          <w:rFonts w:hint="eastAsia"/>
        </w:rPr>
      </w:pPr>
      <w:r w:rsidRPr="00FF1BF8">
        <w:t xml:space="preserve">Audit and Risk Committee </w:t>
      </w:r>
    </w:p>
    <w:p w14:paraId="4D05484A" w14:textId="3CEA6595" w:rsidR="000F1960" w:rsidRDefault="000F1960" w:rsidP="000F1960">
      <w:r>
        <w:t>Key responsibilities of the Audit and Risk Committee include review</w:t>
      </w:r>
      <w:r w:rsidR="62ECD4F2">
        <w:t>ing</w:t>
      </w:r>
      <w:r>
        <w:t xml:space="preserve"> the annual report and financial information, assist</w:t>
      </w:r>
      <w:r w:rsidR="252E016F">
        <w:t>ing</w:t>
      </w:r>
      <w:r>
        <w:t xml:space="preserve"> in reviewing the effectiveness of internal control environment and oversee</w:t>
      </w:r>
      <w:r w:rsidR="7357F4CB">
        <w:t>ing</w:t>
      </w:r>
      <w:r>
        <w:t xml:space="preserve"> the effective operation of the risk management framework. </w:t>
      </w:r>
    </w:p>
    <w:p w14:paraId="5EB3108E" w14:textId="77777777" w:rsidR="000F1960" w:rsidRDefault="000F1960" w:rsidP="000F1960">
      <w:r>
        <w:t xml:space="preserve">All Board members are also independent members of the Audit and Risk Committee. Joycelyn Morton is the Chair. </w:t>
      </w:r>
    </w:p>
    <w:p w14:paraId="168EF0FA" w14:textId="77777777" w:rsidR="000F1960" w:rsidRDefault="000F1960" w:rsidP="000F1960">
      <w:pPr>
        <w:pStyle w:val="Heading4"/>
        <w:rPr>
          <w:rFonts w:hint="eastAsia"/>
        </w:rPr>
      </w:pPr>
      <w:r w:rsidRPr="00FF1BF8">
        <w:t xml:space="preserve">Investment and Assets Committee </w:t>
      </w:r>
    </w:p>
    <w:p w14:paraId="04BF750D" w14:textId="5C631CE3" w:rsidR="000F1960" w:rsidRDefault="000F1960" w:rsidP="000F1960">
      <w:r>
        <w:t>SEC</w:t>
      </w:r>
      <w:r w:rsidR="10319660">
        <w:t>’s</w:t>
      </w:r>
      <w:r>
        <w:t xml:space="preserve"> Investment and Assets Committee assists the Board to fulfil its responsibilities in decision</w:t>
      </w:r>
      <w:r w:rsidR="5225AAF1">
        <w:t>-</w:t>
      </w:r>
      <w:r>
        <w:t xml:space="preserve">making and oversight of the renewable energy investment, asset development and asset delivery activities of SEC. </w:t>
      </w:r>
    </w:p>
    <w:p w14:paraId="3FFA191D" w14:textId="77777777" w:rsidR="000F1960" w:rsidRDefault="000F1960" w:rsidP="000F1960">
      <w:r w:rsidRPr="00FF1BF8">
        <w:t xml:space="preserve">The committee provides an additional level of assurance through detailed and robust evaluation of proposed investments, ongoing review of energy infrastructure projects, and consideration of significant investment transactions. </w:t>
      </w:r>
    </w:p>
    <w:p w14:paraId="4D5CFAAA" w14:textId="50254323" w:rsidR="00931717" w:rsidRDefault="000F1960" w:rsidP="000F1960">
      <w:r>
        <w:t>All Board members are also independent members of the Investment and Assets Committee. Simon Corbell is the Chair.</w:t>
      </w:r>
    </w:p>
    <w:p w14:paraId="78A23982" w14:textId="222054AB" w:rsidR="000F1960" w:rsidRDefault="000F1960" w:rsidP="000F1960">
      <w:r>
        <w:br w:type="page"/>
      </w:r>
    </w:p>
    <w:p w14:paraId="1D91E12E" w14:textId="77777777" w:rsidR="0011000D" w:rsidRPr="0011000D" w:rsidRDefault="0011000D" w:rsidP="0011000D">
      <w:pPr>
        <w:pStyle w:val="Heading2"/>
      </w:pPr>
      <w:bookmarkStart w:id="161" w:name="_Toc203487525"/>
      <w:bookmarkStart w:id="162" w:name="_Toc203656201"/>
      <w:bookmarkStart w:id="163" w:name="_Toc2089208353"/>
      <w:bookmarkStart w:id="164" w:name="_Ref207013036"/>
      <w:bookmarkStart w:id="165" w:name="_Ref207630795"/>
      <w:bookmarkStart w:id="166" w:name="_Toc200631668"/>
      <w:bookmarkStart w:id="167" w:name="_Toc526166711"/>
      <w:bookmarkStart w:id="168" w:name="_Toc201222692"/>
      <w:bookmarkStart w:id="169" w:name="_Toc1793713068"/>
      <w:bookmarkStart w:id="170" w:name="_Toc1258470966"/>
      <w:bookmarkStart w:id="171" w:name="_Toc298131680"/>
      <w:bookmarkStart w:id="172" w:name="_Toc400577798"/>
      <w:bookmarkStart w:id="173" w:name="_Toc1035055038"/>
      <w:bookmarkStart w:id="174" w:name="_Toc362890220"/>
      <w:r w:rsidRPr="0011000D">
        <w:t>Our operations</w:t>
      </w:r>
      <w:bookmarkEnd w:id="161"/>
      <w:bookmarkEnd w:id="162"/>
      <w:bookmarkEnd w:id="163"/>
      <w:bookmarkEnd w:id="164"/>
      <w:bookmarkEnd w:id="165"/>
    </w:p>
    <w:p w14:paraId="00785BC9" w14:textId="77777777" w:rsidR="0011000D" w:rsidRDefault="0011000D" w:rsidP="0011000D">
      <w:r w:rsidRPr="00020C15">
        <w:t>Since SEC was established in October 2023, we have focused on building the capabilities, policies, processes, and systems to operate as a self-sufficient company that delivers on our strategic plan.</w:t>
      </w:r>
    </w:p>
    <w:p w14:paraId="2465D8BB" w14:textId="6EA6CAAF" w:rsidR="0011000D" w:rsidRDefault="0011000D" w:rsidP="0011000D">
      <w:r>
        <w:t>This includes hiring the right talent, acquiring licences to operate in the energy market,</w:t>
      </w:r>
      <w:r w:rsidR="68D16049">
        <w:t xml:space="preserve"> </w:t>
      </w:r>
      <w:r>
        <w:t>implementing specialised energy and corporate systems, and driving the organisation’s performance and culture.</w:t>
      </w:r>
    </w:p>
    <w:p w14:paraId="723845F0" w14:textId="77777777" w:rsidR="0011000D" w:rsidRDefault="0011000D" w:rsidP="0011000D"/>
    <w:p w14:paraId="072D1B04" w14:textId="7DDB2293" w:rsidR="00D97B44" w:rsidRPr="00D97B44" w:rsidRDefault="00596282" w:rsidP="00596282">
      <w:pPr>
        <w:pStyle w:val="Heading3"/>
      </w:pPr>
      <w:r>
        <w:t>Organisational chart</w:t>
      </w:r>
    </w:p>
    <w:p w14:paraId="356F41B9" w14:textId="77777777" w:rsidR="00F61AD8" w:rsidRDefault="00F61AD8" w:rsidP="00F61AD8">
      <w:r>
        <w:rPr>
          <w:noProof/>
        </w:rPr>
        <mc:AlternateContent>
          <mc:Choice Requires="wps">
            <w:drawing>
              <wp:anchor distT="0" distB="0" distL="114300" distR="114300" simplePos="0" relativeHeight="251658252" behindDoc="0" locked="0" layoutInCell="1" allowOverlap="1" wp14:anchorId="21C9B3B9" wp14:editId="52009327">
                <wp:simplePos x="0" y="0"/>
                <wp:positionH relativeFrom="column">
                  <wp:posOffset>2219326</wp:posOffset>
                </wp:positionH>
                <wp:positionV relativeFrom="paragraph">
                  <wp:posOffset>2082800</wp:posOffset>
                </wp:positionV>
                <wp:extent cx="0" cy="500063"/>
                <wp:effectExtent l="0" t="0" r="38100" b="33655"/>
                <wp:wrapNone/>
                <wp:docPr id="853786615" name="Straight Connector 2"/>
                <wp:cNvGraphicFramePr/>
                <a:graphic xmlns:a="http://schemas.openxmlformats.org/drawingml/2006/main">
                  <a:graphicData uri="http://schemas.microsoft.com/office/word/2010/wordprocessingShape">
                    <wps:wsp>
                      <wps:cNvCnPr/>
                      <wps:spPr>
                        <a:xfrm>
                          <a:off x="0" y="0"/>
                          <a:ext cx="0" cy="500063"/>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1A490590">
              <v:line id="Straight Connector 2"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90a56" strokeweight="1.5pt" from="174.75pt,164pt" to="174.75pt,203.4pt" w14:anchorId="2AFCA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">
                <v:stroke joinstyle="miter"/>
              </v:line>
            </w:pict>
          </mc:Fallback>
        </mc:AlternateContent>
      </w:r>
      <w:r>
        <w:rPr>
          <w:noProof/>
        </w:rPr>
        <mc:AlternateContent>
          <mc:Choice Requires="wps">
            <w:drawing>
              <wp:anchor distT="45720" distB="45720" distL="114300" distR="114300" simplePos="0" relativeHeight="251658245" behindDoc="1" locked="0" layoutInCell="1" allowOverlap="1" wp14:anchorId="7B1A1BED" wp14:editId="33AE4E5B">
                <wp:simplePos x="0" y="0"/>
                <wp:positionH relativeFrom="column">
                  <wp:posOffset>2945765</wp:posOffset>
                </wp:positionH>
                <wp:positionV relativeFrom="paragraph">
                  <wp:posOffset>1521460</wp:posOffset>
                </wp:positionV>
                <wp:extent cx="988060" cy="552450"/>
                <wp:effectExtent l="0" t="0" r="21590" b="19050"/>
                <wp:wrapTight wrapText="bothSides">
                  <wp:wrapPolygon edited="0">
                    <wp:start x="0" y="0"/>
                    <wp:lineTo x="0" y="21600"/>
                    <wp:lineTo x="21656" y="21600"/>
                    <wp:lineTo x="21656" y="0"/>
                    <wp:lineTo x="0" y="0"/>
                  </wp:wrapPolygon>
                </wp:wrapTight>
                <wp:docPr id="75079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524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C5B47B" w14:textId="77777777" w:rsidR="00F61AD8" w:rsidRPr="00810826" w:rsidRDefault="00F61AD8" w:rsidP="00F61AD8">
                            <w:pPr>
                              <w:jc w:val="center"/>
                              <w:rPr>
                                <w:sz w:val="20"/>
                                <w:szCs w:val="20"/>
                              </w:rPr>
                            </w:pPr>
                            <w:r>
                              <w:rPr>
                                <w:sz w:val="20"/>
                                <w:szCs w:val="20"/>
                              </w:rPr>
                              <w:t>Company 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20AEB796">
              <v:shapetype id="_x0000_t202" coordsize="21600,21600" o:spt="202" path="m,l,21600r21600,l21600,xe" w14:anchorId="7B1A1BED">
                <v:stroke joinstyle="miter"/>
                <v:path gradientshapeok="t" o:connecttype="rect"/>
              </v:shapetype>
              <v:shape id="Text Box 2" style="position:absolute;margin-left:231.95pt;margin-top:119.8pt;width:77.8pt;height:4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">
                <v:textbox>
                  <w:txbxContent>
                    <w:p w:rsidRPr="00810826" w:rsidR="00F61AD8" w:rsidP="00F61AD8" w:rsidRDefault="00F61AD8" w14:paraId="26DC0C85" w14:textId="77777777">
                      <w:pPr>
                        <w:jc w:val="center"/>
                        <w:rPr>
                          <w:sz w:val="20"/>
                          <w:szCs w:val="20"/>
                        </w:rPr>
                      </w:pPr>
                      <w:r>
                        <w:rPr>
                          <w:sz w:val="20"/>
                          <w:szCs w:val="20"/>
                        </w:rPr>
                        <w:t>Company Secretary</w:t>
                      </w:r>
                    </w:p>
                  </w:txbxContent>
                </v:textbox>
                <w10:wrap type="tight"/>
              </v:shape>
            </w:pict>
          </mc:Fallback>
        </mc:AlternateContent>
      </w:r>
      <w:r>
        <w:rPr>
          <w:noProof/>
        </w:rPr>
        <mc:AlternateContent>
          <mc:Choice Requires="wps">
            <w:drawing>
              <wp:anchor distT="0" distB="0" distL="114300" distR="114300" simplePos="0" relativeHeight="251658251" behindDoc="1" locked="0" layoutInCell="1" allowOverlap="1" wp14:anchorId="4100CB41" wp14:editId="5682606B">
                <wp:simplePos x="0" y="0"/>
                <wp:positionH relativeFrom="column">
                  <wp:posOffset>2702242</wp:posOffset>
                </wp:positionH>
                <wp:positionV relativeFrom="paragraph">
                  <wp:posOffset>1787207</wp:posOffset>
                </wp:positionV>
                <wp:extent cx="247650" cy="0"/>
                <wp:effectExtent l="0" t="0" r="0" b="0"/>
                <wp:wrapSquare wrapText="bothSides"/>
                <wp:docPr id="750454765" name="Straight Connector 2"/>
                <wp:cNvGraphicFramePr/>
                <a:graphic xmlns:a="http://schemas.openxmlformats.org/drawingml/2006/main">
                  <a:graphicData uri="http://schemas.microsoft.com/office/word/2010/wordprocessingShape">
                    <wps:wsp>
                      <wps:cNvCnPr/>
                      <wps:spPr>
                        <a:xfrm>
                          <a:off x="0" y="0"/>
                          <a:ext cx="247650" cy="0"/>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17F324FE">
              <v:line id="Straight Connector 2"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90a56" strokeweight="1.5pt" from="212.75pt,140.7pt" to="232.25pt,140.7pt" w14:anchorId="0AA50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">
                <v:stroke joinstyle="miter"/>
                <w10:wrap type="square"/>
              </v:line>
            </w:pict>
          </mc:Fallback>
        </mc:AlternateContent>
      </w:r>
      <w:r>
        <w:rPr>
          <w:noProof/>
        </w:rPr>
        <mc:AlternateContent>
          <mc:Choice Requires="wps">
            <w:drawing>
              <wp:anchor distT="0" distB="0" distL="114300" distR="114300" simplePos="0" relativeHeight="251658250" behindDoc="0" locked="0" layoutInCell="1" allowOverlap="1" wp14:anchorId="62B9C09C" wp14:editId="0B1F156A">
                <wp:simplePos x="0" y="0"/>
                <wp:positionH relativeFrom="column">
                  <wp:posOffset>2200276</wp:posOffset>
                </wp:positionH>
                <wp:positionV relativeFrom="paragraph">
                  <wp:posOffset>1301750</wp:posOffset>
                </wp:positionV>
                <wp:extent cx="0" cy="223838"/>
                <wp:effectExtent l="0" t="0" r="38100" b="24130"/>
                <wp:wrapNone/>
                <wp:docPr id="1688333899" name="Straight Connector 2"/>
                <wp:cNvGraphicFramePr/>
                <a:graphic xmlns:a="http://schemas.openxmlformats.org/drawingml/2006/main">
                  <a:graphicData uri="http://schemas.microsoft.com/office/word/2010/wordprocessingShape">
                    <wps:wsp>
                      <wps:cNvCnPr/>
                      <wps:spPr>
                        <a:xfrm>
                          <a:off x="0" y="0"/>
                          <a:ext cx="0" cy="223838"/>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w:pict w14:anchorId="30E20B30">
              <v:line id="Straight Connector 2"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90a56" strokeweight="1.5pt" from="173.25pt,102.5pt" to="173.25pt,120.15pt" w14:anchorId="7C2D6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">
                <v:stroke joinstyle="miter"/>
              </v:line>
            </w:pict>
          </mc:Fallback>
        </mc:AlternateContent>
      </w:r>
      <w:r>
        <w:rPr>
          <w:noProof/>
        </w:rPr>
        <mc:AlternateContent>
          <mc:Choice Requires="wps">
            <w:drawing>
              <wp:anchor distT="45720" distB="45720" distL="114300" distR="114300" simplePos="0" relativeHeight="251658243" behindDoc="1" locked="0" layoutInCell="1" allowOverlap="1" wp14:anchorId="428536D5" wp14:editId="0B95737B">
                <wp:simplePos x="0" y="0"/>
                <wp:positionH relativeFrom="column">
                  <wp:posOffset>1733233</wp:posOffset>
                </wp:positionH>
                <wp:positionV relativeFrom="paragraph">
                  <wp:posOffset>859473</wp:posOffset>
                </wp:positionV>
                <wp:extent cx="988060" cy="428625"/>
                <wp:effectExtent l="0" t="0" r="21590" b="28575"/>
                <wp:wrapTight wrapText="bothSides">
                  <wp:wrapPolygon edited="0">
                    <wp:start x="0" y="0"/>
                    <wp:lineTo x="0" y="22080"/>
                    <wp:lineTo x="21656" y="22080"/>
                    <wp:lineTo x="21656" y="0"/>
                    <wp:lineTo x="0" y="0"/>
                  </wp:wrapPolygon>
                </wp:wrapTight>
                <wp:docPr id="1846379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86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AA9B298" w14:textId="77777777" w:rsidR="00F61AD8" w:rsidRPr="00810826" w:rsidRDefault="00F61AD8" w:rsidP="00F61AD8">
                            <w:pPr>
                              <w:jc w:val="center"/>
                              <w:rPr>
                                <w:sz w:val="20"/>
                                <w:szCs w:val="20"/>
                              </w:rPr>
                            </w:pPr>
                            <w:r>
                              <w:rPr>
                                <w:sz w:val="20"/>
                                <w:szCs w:val="20"/>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0493612E">
              <v:shape id="_x0000_s1027" style="position:absolute;margin-left:136.5pt;margin-top:67.7pt;width:77.8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" w14:anchorId="428536D5">
                <v:textbox>
                  <w:txbxContent>
                    <w:p w:rsidRPr="00810826" w:rsidR="00F61AD8" w:rsidP="00F61AD8" w:rsidRDefault="00F61AD8" w14:paraId="3D37D24D" w14:textId="77777777">
                      <w:pPr>
                        <w:jc w:val="center"/>
                        <w:rPr>
                          <w:sz w:val="20"/>
                          <w:szCs w:val="20"/>
                        </w:rPr>
                      </w:pPr>
                      <w:r>
                        <w:rPr>
                          <w:sz w:val="20"/>
                          <w:szCs w:val="20"/>
                        </w:rPr>
                        <w:t>Board of Directors</w:t>
                      </w:r>
                    </w:p>
                  </w:txbxContent>
                </v:textbox>
                <w10:wrap type="tight"/>
              </v:shape>
            </w:pict>
          </mc:Fallback>
        </mc:AlternateContent>
      </w:r>
      <w:r>
        <w:rPr>
          <w:noProof/>
        </w:rPr>
        <mc:AlternateContent>
          <mc:Choice Requires="wps">
            <w:drawing>
              <wp:anchor distT="45720" distB="45720" distL="114300" distR="114300" simplePos="0" relativeHeight="251658241" behindDoc="1" locked="0" layoutInCell="1" allowOverlap="1" wp14:anchorId="7F7BF0F3" wp14:editId="50D78E1E">
                <wp:simplePos x="0" y="0"/>
                <wp:positionH relativeFrom="column">
                  <wp:posOffset>1099820</wp:posOffset>
                </wp:positionH>
                <wp:positionV relativeFrom="paragraph">
                  <wp:posOffset>197168</wp:posOffset>
                </wp:positionV>
                <wp:extent cx="988060" cy="428625"/>
                <wp:effectExtent l="0" t="0" r="21590" b="28575"/>
                <wp:wrapTight wrapText="bothSides">
                  <wp:wrapPolygon edited="0">
                    <wp:start x="0" y="0"/>
                    <wp:lineTo x="0" y="22080"/>
                    <wp:lineTo x="21656" y="22080"/>
                    <wp:lineTo x="21656" y="0"/>
                    <wp:lineTo x="0" y="0"/>
                  </wp:wrapPolygon>
                </wp:wrapTight>
                <wp:docPr id="1022151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86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B3537DF" w14:textId="77777777" w:rsidR="00F61AD8" w:rsidRPr="00810826" w:rsidRDefault="00F61AD8" w:rsidP="00F61AD8">
                            <w:pPr>
                              <w:jc w:val="center"/>
                              <w:rPr>
                                <w:sz w:val="20"/>
                                <w:szCs w:val="20"/>
                              </w:rPr>
                            </w:pPr>
                            <w:r w:rsidRPr="00810826">
                              <w:rPr>
                                <w:sz w:val="20"/>
                                <w:szCs w:val="20"/>
                              </w:rPr>
                              <w:t>Shareholding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65EBF063">
              <v:shape id="_x0000_s1028" style="position:absolute;margin-left:86.6pt;margin-top:15.55pt;width:77.8pt;height:3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" w14:anchorId="7F7BF0F3">
                <v:textbox>
                  <w:txbxContent>
                    <w:p w:rsidRPr="00810826" w:rsidR="00F61AD8" w:rsidP="00F61AD8" w:rsidRDefault="00F61AD8" w14:paraId="23C2980A" w14:textId="77777777">
                      <w:pPr>
                        <w:jc w:val="center"/>
                        <w:rPr>
                          <w:sz w:val="20"/>
                          <w:szCs w:val="20"/>
                        </w:rPr>
                      </w:pPr>
                      <w:r w:rsidRPr="00810826">
                        <w:rPr>
                          <w:sz w:val="20"/>
                          <w:szCs w:val="20"/>
                        </w:rPr>
                        <w:t>Shareholding Ministers</w:t>
                      </w:r>
                    </w:p>
                  </w:txbxContent>
                </v:textbox>
                <w10:wrap type="tight"/>
              </v:shape>
            </w:pict>
          </mc:Fallback>
        </mc:AlternateContent>
      </w:r>
      <w:r>
        <w:rPr>
          <w:noProof/>
        </w:rPr>
        <mc:AlternateContent>
          <mc:Choice Requires="wps">
            <w:drawing>
              <wp:anchor distT="45720" distB="45720" distL="114300" distR="114300" simplePos="0" relativeHeight="251658242" behindDoc="1" locked="0" layoutInCell="1" allowOverlap="1" wp14:anchorId="7873E7D7" wp14:editId="1192263C">
                <wp:simplePos x="0" y="0"/>
                <wp:positionH relativeFrom="column">
                  <wp:posOffset>2285683</wp:posOffset>
                </wp:positionH>
                <wp:positionV relativeFrom="paragraph">
                  <wp:posOffset>197485</wp:posOffset>
                </wp:positionV>
                <wp:extent cx="988060" cy="428625"/>
                <wp:effectExtent l="0" t="0" r="21590" b="28575"/>
                <wp:wrapTight wrapText="bothSides">
                  <wp:wrapPolygon edited="0">
                    <wp:start x="0" y="0"/>
                    <wp:lineTo x="0" y="22080"/>
                    <wp:lineTo x="21656" y="22080"/>
                    <wp:lineTo x="21656" y="0"/>
                    <wp:lineTo x="0" y="0"/>
                  </wp:wrapPolygon>
                </wp:wrapTight>
                <wp:docPr id="1601824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86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3AD713B" w14:textId="77777777" w:rsidR="00F61AD8" w:rsidRPr="00810826" w:rsidRDefault="00F61AD8" w:rsidP="00F61AD8">
                            <w:pPr>
                              <w:jc w:val="center"/>
                              <w:rPr>
                                <w:sz w:val="20"/>
                                <w:szCs w:val="20"/>
                              </w:rPr>
                            </w:pPr>
                            <w:r>
                              <w:rPr>
                                <w:sz w:val="20"/>
                                <w:szCs w:val="20"/>
                              </w:rPr>
                              <w:t>Portfolio</w:t>
                            </w:r>
                            <w:r w:rsidRPr="00810826">
                              <w:rPr>
                                <w:sz w:val="20"/>
                                <w:szCs w:val="20"/>
                              </w:rPr>
                              <w:t xml:space="preserve"> Minister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75A676C0">
              <v:shape id="_x0000_s1029" style="position:absolute;margin-left:180pt;margin-top:15.55pt;width:77.8pt;height:3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" w14:anchorId="7873E7D7">
                <v:textbox>
                  <w:txbxContent>
                    <w:p w:rsidRPr="00810826" w:rsidR="00F61AD8" w:rsidP="00F61AD8" w:rsidRDefault="00F61AD8" w14:paraId="643D6362" w14:textId="77777777">
                      <w:pPr>
                        <w:jc w:val="center"/>
                        <w:rPr>
                          <w:sz w:val="20"/>
                          <w:szCs w:val="20"/>
                        </w:rPr>
                      </w:pPr>
                      <w:r>
                        <w:rPr>
                          <w:sz w:val="20"/>
                          <w:szCs w:val="20"/>
                        </w:rPr>
                        <w:t>Portfolio</w:t>
                      </w:r>
                      <w:r w:rsidRPr="00810826">
                        <w:rPr>
                          <w:sz w:val="20"/>
                          <w:szCs w:val="20"/>
                        </w:rPr>
                        <w:t xml:space="preserve"> Minister</w:t>
                      </w:r>
                    </w:p>
                  </w:txbxContent>
                </v:textbox>
                <w10:wrap type="tight"/>
              </v:shape>
            </w:pict>
          </mc:Fallback>
        </mc:AlternateContent>
      </w:r>
      <w:r>
        <w:rPr>
          <w:noProof/>
        </w:rPr>
        <mc:AlternateContent>
          <mc:Choice Requires="wps">
            <w:drawing>
              <wp:anchor distT="45720" distB="45720" distL="114300" distR="114300" simplePos="0" relativeHeight="251658244" behindDoc="1" locked="0" layoutInCell="1" allowOverlap="1" wp14:anchorId="2ED17A7B" wp14:editId="35547A61">
                <wp:simplePos x="0" y="0"/>
                <wp:positionH relativeFrom="column">
                  <wp:posOffset>1714500</wp:posOffset>
                </wp:positionH>
                <wp:positionV relativeFrom="paragraph">
                  <wp:posOffset>1520825</wp:posOffset>
                </wp:positionV>
                <wp:extent cx="988060" cy="552450"/>
                <wp:effectExtent l="0" t="0" r="21590" b="19050"/>
                <wp:wrapTight wrapText="bothSides">
                  <wp:wrapPolygon edited="0">
                    <wp:start x="0" y="0"/>
                    <wp:lineTo x="0" y="21600"/>
                    <wp:lineTo x="21656" y="21600"/>
                    <wp:lineTo x="21656" y="0"/>
                    <wp:lineTo x="0" y="0"/>
                  </wp:wrapPolygon>
                </wp:wrapTight>
                <wp:docPr id="171312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524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FDDAACA" w14:textId="77777777" w:rsidR="00F61AD8" w:rsidRPr="00810826" w:rsidRDefault="00F61AD8" w:rsidP="00F61AD8">
                            <w:pPr>
                              <w:jc w:val="center"/>
                              <w:rPr>
                                <w:sz w:val="20"/>
                                <w:szCs w:val="20"/>
                              </w:rPr>
                            </w:pPr>
                            <w:r>
                              <w:rPr>
                                <w:sz w:val="20"/>
                                <w:szCs w:val="20"/>
                              </w:rPr>
                              <w:t>Chief Executive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524B4E2B">
              <v:shape id="_x0000_s1030" style="position:absolute;margin-left:135pt;margin-top:119.75pt;width:77.8pt;height:4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" w14:anchorId="2ED17A7B">
                <v:textbox>
                  <w:txbxContent>
                    <w:p w:rsidRPr="00810826" w:rsidR="00F61AD8" w:rsidP="00F61AD8" w:rsidRDefault="00F61AD8" w14:paraId="7BFF9C96" w14:textId="77777777">
                      <w:pPr>
                        <w:jc w:val="center"/>
                        <w:rPr>
                          <w:sz w:val="20"/>
                          <w:szCs w:val="20"/>
                        </w:rPr>
                      </w:pPr>
                      <w:r>
                        <w:rPr>
                          <w:sz w:val="20"/>
                          <w:szCs w:val="20"/>
                        </w:rPr>
                        <w:t>Chief Executive Officer</w:t>
                      </w:r>
                    </w:p>
                  </w:txbxContent>
                </v:textbox>
                <w10:wrap type="tight"/>
              </v:shape>
            </w:pict>
          </mc:Fallback>
        </mc:AlternateContent>
      </w:r>
    </w:p>
    <w:p w14:paraId="083938AB" w14:textId="77777777" w:rsidR="00F61AD8" w:rsidRDefault="00F61AD8" w:rsidP="00F61AD8">
      <w:r>
        <w:rPr>
          <w:noProof/>
        </w:rPr>
        <mc:AlternateContent>
          <mc:Choice Requires="wps">
            <w:drawing>
              <wp:anchor distT="0" distB="0" distL="114300" distR="114300" simplePos="0" relativeHeight="251658255" behindDoc="0" locked="0" layoutInCell="1" allowOverlap="1" wp14:anchorId="04E7AFD6" wp14:editId="47515AFD">
                <wp:simplePos x="0" y="0"/>
                <wp:positionH relativeFrom="column">
                  <wp:posOffset>4508597</wp:posOffset>
                </wp:positionH>
                <wp:positionV relativeFrom="paragraph">
                  <wp:posOffset>2211607</wp:posOffset>
                </wp:positionV>
                <wp:extent cx="0" cy="223520"/>
                <wp:effectExtent l="0" t="0" r="38100" b="24130"/>
                <wp:wrapNone/>
                <wp:docPr id="1943896763" name="Straight Connector 2"/>
                <wp:cNvGraphicFramePr/>
                <a:graphic xmlns:a="http://schemas.openxmlformats.org/drawingml/2006/main">
                  <a:graphicData uri="http://schemas.microsoft.com/office/word/2010/wordprocessingShape">
                    <wps:wsp>
                      <wps:cNvCnPr/>
                      <wps:spPr>
                        <a:xfrm>
                          <a:off x="0" y="0"/>
                          <a:ext cx="0" cy="223520"/>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w:pict w14:anchorId="391AB8C1">
              <v:line id="Straight Connector 2"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90a56" strokeweight="1.5pt" from="355pt,174.15pt" to="355pt,191.75pt" w14:anchorId="64EA3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">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171C893C" wp14:editId="3CC976CC">
                <wp:simplePos x="0" y="0"/>
                <wp:positionH relativeFrom="column">
                  <wp:posOffset>870585</wp:posOffset>
                </wp:positionH>
                <wp:positionV relativeFrom="paragraph">
                  <wp:posOffset>2198761</wp:posOffset>
                </wp:positionV>
                <wp:extent cx="0" cy="223520"/>
                <wp:effectExtent l="0" t="0" r="38100" b="24130"/>
                <wp:wrapNone/>
                <wp:docPr id="2024135650" name="Straight Connector 2"/>
                <wp:cNvGraphicFramePr/>
                <a:graphic xmlns:a="http://schemas.openxmlformats.org/drawingml/2006/main">
                  <a:graphicData uri="http://schemas.microsoft.com/office/word/2010/wordprocessingShape">
                    <wps:wsp>
                      <wps:cNvCnPr/>
                      <wps:spPr>
                        <a:xfrm>
                          <a:off x="0" y="0"/>
                          <a:ext cx="0" cy="223520"/>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w:pict w14:anchorId="016106DF">
              <v:line id="Straight Connector 2" style="position:absolute;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90a56" strokeweight="1.5pt" from="68.55pt,173.15pt" to="68.55pt,190.75pt" w14:anchorId="7EB9E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">
                <v:stroke joinstyle="miter"/>
              </v:line>
            </w:pict>
          </mc:Fallback>
        </mc:AlternateContent>
      </w:r>
      <w:r>
        <w:rPr>
          <w:noProof/>
        </w:rPr>
        <mc:AlternateContent>
          <mc:Choice Requires="wps">
            <w:drawing>
              <wp:anchor distT="0" distB="0" distL="114300" distR="114300" simplePos="0" relativeHeight="251658254" behindDoc="0" locked="0" layoutInCell="1" allowOverlap="1" wp14:anchorId="17DF4C33" wp14:editId="6C7AFD11">
                <wp:simplePos x="0" y="0"/>
                <wp:positionH relativeFrom="column">
                  <wp:posOffset>-63158</wp:posOffset>
                </wp:positionH>
                <wp:positionV relativeFrom="paragraph">
                  <wp:posOffset>2196856</wp:posOffset>
                </wp:positionV>
                <wp:extent cx="0" cy="223520"/>
                <wp:effectExtent l="0" t="0" r="38100" b="24130"/>
                <wp:wrapNone/>
                <wp:docPr id="477126449" name="Straight Connector 2"/>
                <wp:cNvGraphicFramePr/>
                <a:graphic xmlns:a="http://schemas.openxmlformats.org/drawingml/2006/main">
                  <a:graphicData uri="http://schemas.microsoft.com/office/word/2010/wordprocessingShape">
                    <wps:wsp>
                      <wps:cNvCnPr/>
                      <wps:spPr>
                        <a:xfrm>
                          <a:off x="0" y="0"/>
                          <a:ext cx="0" cy="223520"/>
                        </a:xfrm>
                        <a:prstGeom prst="line">
                          <a:avLst/>
                        </a:prstGeom>
                        <a:ln w="19050">
                          <a:solidFill>
                            <a:srgbClr val="390A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w:pict w14:anchorId="4332DD22">
              <v:line id="Straight Connector 2"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90a56" strokeweight="1.5pt" from="-4.95pt,173pt" to="-4.95pt,190.6pt" w14:anchorId="63976E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">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454B6C63" wp14:editId="7989EB80">
                <wp:simplePos x="0" y="0"/>
                <wp:positionH relativeFrom="margin">
                  <wp:posOffset>-81426</wp:posOffset>
                </wp:positionH>
                <wp:positionV relativeFrom="paragraph">
                  <wp:posOffset>2181323</wp:posOffset>
                </wp:positionV>
                <wp:extent cx="4595055" cy="23153"/>
                <wp:effectExtent l="0" t="0" r="34290" b="34290"/>
                <wp:wrapNone/>
                <wp:docPr id="963082214" name="Straight Connector 2"/>
                <wp:cNvGraphicFramePr/>
                <a:graphic xmlns:a="http://schemas.openxmlformats.org/drawingml/2006/main">
                  <a:graphicData uri="http://schemas.microsoft.com/office/word/2010/wordprocessingShape">
                    <wps:wsp>
                      <wps:cNvCnPr/>
                      <wps:spPr>
                        <a:xfrm>
                          <a:off x="0" y="0"/>
                          <a:ext cx="4595055" cy="23153"/>
                        </a:xfrm>
                        <a:prstGeom prst="line">
                          <a:avLst/>
                        </a:prstGeom>
                        <a:noFill/>
                        <a:ln w="19050" cap="flat" cmpd="sng" algn="ctr">
                          <a:solidFill>
                            <a:srgbClr val="390A5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1E1549F8">
              <v:line id="Straight Connector 2"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390a56" strokeweight="1.5pt" from="-6.4pt,171.75pt" to="355.4pt,173.55pt" w14:anchorId="16DF9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">
                <v:stroke joinstyle="miter"/>
                <w10:wrap anchorx="margin"/>
              </v:line>
            </w:pict>
          </mc:Fallback>
        </mc:AlternateContent>
      </w:r>
      <w:r>
        <w:rPr>
          <w:noProof/>
        </w:rPr>
        <mc:AlternateContent>
          <mc:Choice Requires="wps">
            <w:drawing>
              <wp:anchor distT="45720" distB="45720" distL="114300" distR="114300" simplePos="0" relativeHeight="251658249" behindDoc="1" locked="0" layoutInCell="1" allowOverlap="1" wp14:anchorId="3B1C9007" wp14:editId="51CE2034">
                <wp:simplePos x="0" y="0"/>
                <wp:positionH relativeFrom="margin">
                  <wp:align>right</wp:align>
                </wp:positionH>
                <wp:positionV relativeFrom="paragraph">
                  <wp:posOffset>2508592</wp:posOffset>
                </wp:positionV>
                <wp:extent cx="2806700" cy="2029460"/>
                <wp:effectExtent l="0" t="0" r="12700" b="27940"/>
                <wp:wrapTight wrapText="bothSides">
                  <wp:wrapPolygon edited="0">
                    <wp:start x="0" y="0"/>
                    <wp:lineTo x="0" y="21745"/>
                    <wp:lineTo x="21626" y="21745"/>
                    <wp:lineTo x="21626" y="0"/>
                    <wp:lineTo x="0" y="0"/>
                  </wp:wrapPolygon>
                </wp:wrapTight>
                <wp:docPr id="813114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06700" cy="2029460"/>
                        </a:xfrm>
                        <a:prstGeom prst="rect">
                          <a:avLst/>
                        </a:prstGeom>
                        <a:ln/>
                      </wps:spPr>
                      <wps:style>
                        <a:lnRef idx="2">
                          <a:schemeClr val="accent2"/>
                        </a:lnRef>
                        <a:fillRef idx="1">
                          <a:schemeClr val="lt1"/>
                        </a:fillRef>
                        <a:effectRef idx="0">
                          <a:scrgbClr r="0" g="0" b="0"/>
                        </a:effectRef>
                        <a:fontRef idx="minor">
                          <a:schemeClr val="dk1"/>
                        </a:fontRef>
                      </wps:style>
                      <wps:txbx>
                        <w:txbxContent>
                          <w:p w14:paraId="374AB1FD" w14:textId="77777777" w:rsidR="00F61AD8" w:rsidRDefault="00F61AD8" w:rsidP="00A9349D">
                            <w:pPr>
                              <w:spacing w:line="276" w:lineRule="auto"/>
                              <w:jc w:val="center"/>
                              <w:rPr>
                                <w:rFonts w:eastAsia="Aptos" w:hAnsi="Aptos" w:cs="Aptos"/>
                                <w:color w:val="000000"/>
                                <w:sz w:val="20"/>
                                <w:szCs w:val="20"/>
                              </w:rPr>
                            </w:pPr>
                            <w:r>
                              <w:rPr>
                                <w:rFonts w:eastAsia="Aptos" w:hAnsi="Aptos" w:cs="Aptos"/>
                                <w:color w:val="000000"/>
                                <w:sz w:val="20"/>
                                <w:szCs w:val="20"/>
                              </w:rPr>
                              <w:t xml:space="preserve">Corporate Services: </w:t>
                            </w:r>
                          </w:p>
                          <w:p w14:paraId="479B0CB4" w14:textId="77777777" w:rsidR="00F61AD8" w:rsidRDefault="00F61AD8" w:rsidP="00A9349D">
                            <w:pPr>
                              <w:spacing w:line="276" w:lineRule="auto"/>
                              <w:jc w:val="center"/>
                              <w:rPr>
                                <w:rFonts w:eastAsia="Aptos" w:hAnsi="Aptos" w:cs="Aptos"/>
                                <w:i/>
                                <w:color w:val="000000"/>
                                <w:sz w:val="20"/>
                                <w:szCs w:val="20"/>
                              </w:rPr>
                            </w:pPr>
                            <w:r>
                              <w:rPr>
                                <w:rFonts w:eastAsia="Aptos" w:hAnsi="Aptos" w:cs="Aptos"/>
                                <w:i/>
                                <w:color w:val="000000"/>
                                <w:sz w:val="20"/>
                                <w:szCs w:val="20"/>
                              </w:rPr>
                              <w:t>Finance, Risk and Operations</w:t>
                            </w:r>
                          </w:p>
                          <w:p w14:paraId="22432E68" w14:textId="77777777" w:rsidR="00F61AD8" w:rsidRDefault="00F61AD8" w:rsidP="00A9349D">
                            <w:pPr>
                              <w:spacing w:line="276" w:lineRule="auto"/>
                              <w:jc w:val="center"/>
                              <w:rPr>
                                <w:rFonts w:eastAsia="Aptos" w:hAnsi="Aptos" w:cs="Aptos"/>
                                <w:i/>
                                <w:color w:val="000000"/>
                                <w:sz w:val="20"/>
                                <w:szCs w:val="20"/>
                              </w:rPr>
                            </w:pPr>
                            <w:r>
                              <w:rPr>
                                <w:rFonts w:eastAsia="Aptos" w:hAnsi="Aptos" w:cs="Aptos"/>
                                <w:i/>
                                <w:color w:val="000000"/>
                                <w:sz w:val="20"/>
                                <w:szCs w:val="20"/>
                              </w:rPr>
                              <w:t>Strategy, Performance and People</w:t>
                            </w:r>
                          </w:p>
                          <w:p w14:paraId="06581D88" w14:textId="77777777" w:rsidR="00F61AD8" w:rsidRDefault="00F61AD8" w:rsidP="00A9349D">
                            <w:pPr>
                              <w:spacing w:line="276" w:lineRule="auto"/>
                              <w:jc w:val="center"/>
                              <w:rPr>
                                <w:rFonts w:eastAsia="Aptos" w:hAnsi="Aptos" w:cs="Aptos"/>
                                <w:i/>
                                <w:color w:val="000000"/>
                                <w:sz w:val="20"/>
                                <w:szCs w:val="20"/>
                              </w:rPr>
                            </w:pPr>
                            <w:r>
                              <w:rPr>
                                <w:rFonts w:eastAsia="Aptos" w:hAnsi="Aptos" w:cs="Aptos"/>
                                <w:i/>
                                <w:color w:val="000000"/>
                                <w:sz w:val="20"/>
                                <w:szCs w:val="20"/>
                              </w:rPr>
                              <w:t>Brand and Corporate Affairs</w:t>
                            </w:r>
                          </w:p>
                          <w:p w14:paraId="441E4FBC" w14:textId="77777777" w:rsidR="003C57E7" w:rsidRDefault="003C57E7" w:rsidP="003C57E7">
                            <w:pPr>
                              <w:spacing w:line="276" w:lineRule="auto"/>
                              <w:jc w:val="center"/>
                              <w:rPr>
                                <w:rFonts w:eastAsia="Aptos" w:hAnsi="Aptos" w:cs="Aptos"/>
                                <w:i/>
                                <w:iCs/>
                                <w:color w:val="000000"/>
                                <w:sz w:val="20"/>
                                <w:szCs w:val="20"/>
                              </w:rPr>
                            </w:pPr>
                            <w:r>
                              <w:rPr>
                                <w:rFonts w:eastAsia="Aptos" w:hAnsi="Aptos" w:cs="Aptos"/>
                                <w:i/>
                                <w:iCs/>
                                <w:color w:val="000000"/>
                                <w:sz w:val="20"/>
                                <w:szCs w:val="20"/>
                              </w:rPr>
                              <w:t>Legal and Governance</w:t>
                            </w:r>
                            <w:r>
                              <w:rPr>
                                <w:rFonts w:eastAsia="Aptos" w:hAnsi="Aptos" w:cs="Aptos"/>
                                <w:i/>
                                <w:iCs/>
                                <w:color w:val="000000"/>
                                <w:sz w:val="20"/>
                                <w:szCs w:val="20"/>
                              </w:rPr>
                              <w:t> </w:t>
                            </w:r>
                          </w:p>
                          <w:p w14:paraId="7D71A466" w14:textId="77777777" w:rsidR="00A9349D" w:rsidRDefault="00A9349D" w:rsidP="00A9349D">
                            <w:pPr>
                              <w:spacing w:line="276" w:lineRule="auto"/>
                              <w:jc w:val="center"/>
                              <w:rPr>
                                <w:rFonts w:eastAsia="Aptos" w:hAnsi="Aptos" w:cs="Aptos"/>
                                <w:i/>
                                <w:iCs/>
                                <w:color w:val="000000"/>
                                <w:sz w:val="20"/>
                                <w:szCs w:val="20"/>
                              </w:rPr>
                            </w:pPr>
                            <w:r>
                              <w:rPr>
                                <w:rFonts w:eastAsia="Aptos" w:hAnsi="Aptos" w:cs="Aptos"/>
                                <w:i/>
                                <w:iCs/>
                                <w:color w:val="000000"/>
                                <w:sz w:val="20"/>
                                <w:szCs w:val="20"/>
                              </w:rPr>
                              <w:t>Office of the CEO</w:t>
                            </w:r>
                          </w:p>
                          <w:p w14:paraId="64F60286" w14:textId="127020C8" w:rsidR="00F61AD8" w:rsidRDefault="00A9349D" w:rsidP="00A9349D">
                            <w:pPr>
                              <w:spacing w:line="276" w:lineRule="auto"/>
                              <w:jc w:val="center"/>
                              <w:rPr>
                                <w:rFonts w:eastAsia="Aptos" w:hAnsi="Aptos" w:cs="Aptos"/>
                                <w:color w:val="000000"/>
                                <w:sz w:val="20"/>
                                <w:szCs w:val="20"/>
                              </w:rPr>
                            </w:pPr>
                            <w:r>
                              <w:rPr>
                                <w:rFonts w:eastAsia="Aptos" w:hAnsi="Aptos" w:cs="Aptos"/>
                                <w:color w:val="000000"/>
                                <w:sz w:val="20"/>
                                <w:szCs w:val="20"/>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648E70E3">
              <v:rect id="_x0000_s1031" style="position:absolute;margin-left:169.8pt;margin-top:197.55pt;width:221pt;height:159.8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white [3201]" strokecolor="#e97132 [3205]" strokeweight="1pt" w14:anchorId="3B1C9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">
                <v:textbox>
                  <w:txbxContent>
                    <w:p w:rsidR="00F61AD8" w:rsidP="00A9349D" w:rsidRDefault="00F61AD8" w14:paraId="45F5AD81" w14:textId="77777777">
                      <w:pPr>
                        <w:spacing w:line="276" w:lineRule="auto"/>
                        <w:jc w:val="center"/>
                        <w:rPr>
                          <w:rFonts w:hAnsi="Aptos" w:eastAsia="Aptos" w:cs="Aptos"/>
                          <w:color w:val="000000"/>
                          <w:sz w:val="20"/>
                          <w:szCs w:val="20"/>
                        </w:rPr>
                      </w:pPr>
                      <w:r>
                        <w:rPr>
                          <w:rFonts w:hAnsi="Aptos" w:eastAsia="Aptos" w:cs="Aptos"/>
                          <w:color w:val="000000"/>
                          <w:sz w:val="20"/>
                          <w:szCs w:val="20"/>
                        </w:rPr>
                        <w:t xml:space="preserve">Corporate Services: </w:t>
                      </w:r>
                    </w:p>
                    <w:p w:rsidR="00F61AD8" w:rsidP="00A9349D" w:rsidRDefault="00F61AD8" w14:paraId="034214C5" w14:textId="77777777">
                      <w:pPr>
                        <w:spacing w:line="276" w:lineRule="auto"/>
                        <w:jc w:val="center"/>
                        <w:rPr>
                          <w:rFonts w:hAnsi="Aptos" w:eastAsia="Aptos" w:cs="Aptos"/>
                          <w:i/>
                          <w:color w:val="000000"/>
                          <w:sz w:val="20"/>
                          <w:szCs w:val="20"/>
                        </w:rPr>
                      </w:pPr>
                      <w:r>
                        <w:rPr>
                          <w:rFonts w:hAnsi="Aptos" w:eastAsia="Aptos" w:cs="Aptos"/>
                          <w:i/>
                          <w:color w:val="000000"/>
                          <w:sz w:val="20"/>
                          <w:szCs w:val="20"/>
                        </w:rPr>
                        <w:t>Finance, Risk and Operations</w:t>
                      </w:r>
                    </w:p>
                    <w:p w:rsidR="00F61AD8" w:rsidP="00A9349D" w:rsidRDefault="00F61AD8" w14:paraId="2AE07059" w14:textId="77777777">
                      <w:pPr>
                        <w:spacing w:line="276" w:lineRule="auto"/>
                        <w:jc w:val="center"/>
                        <w:rPr>
                          <w:rFonts w:hAnsi="Aptos" w:eastAsia="Aptos" w:cs="Aptos"/>
                          <w:i/>
                          <w:color w:val="000000"/>
                          <w:sz w:val="20"/>
                          <w:szCs w:val="20"/>
                        </w:rPr>
                      </w:pPr>
                      <w:r>
                        <w:rPr>
                          <w:rFonts w:hAnsi="Aptos" w:eastAsia="Aptos" w:cs="Aptos"/>
                          <w:i/>
                          <w:color w:val="000000"/>
                          <w:sz w:val="20"/>
                          <w:szCs w:val="20"/>
                        </w:rPr>
                        <w:t>Strategy, Performance and People</w:t>
                      </w:r>
                    </w:p>
                    <w:p w:rsidR="00F61AD8" w:rsidP="00A9349D" w:rsidRDefault="00F61AD8" w14:paraId="193E7B55" w14:textId="77777777">
                      <w:pPr>
                        <w:spacing w:line="276" w:lineRule="auto"/>
                        <w:jc w:val="center"/>
                        <w:rPr>
                          <w:rFonts w:hAnsi="Aptos" w:eastAsia="Aptos" w:cs="Aptos"/>
                          <w:i/>
                          <w:color w:val="000000"/>
                          <w:sz w:val="20"/>
                          <w:szCs w:val="20"/>
                        </w:rPr>
                      </w:pPr>
                      <w:r>
                        <w:rPr>
                          <w:rFonts w:hAnsi="Aptos" w:eastAsia="Aptos" w:cs="Aptos"/>
                          <w:i/>
                          <w:color w:val="000000"/>
                          <w:sz w:val="20"/>
                          <w:szCs w:val="20"/>
                        </w:rPr>
                        <w:t>Brand and Corporate Affairs</w:t>
                      </w:r>
                    </w:p>
                    <w:p w:rsidR="003C57E7" w:rsidP="003C57E7" w:rsidRDefault="003C57E7" w14:paraId="1EF72CCF" w14:textId="77777777">
                      <w:pPr>
                        <w:spacing w:line="276" w:lineRule="auto"/>
                        <w:jc w:val="center"/>
                        <w:rPr>
                          <w:rFonts w:hAnsi="Aptos" w:eastAsia="Aptos" w:cs="Aptos"/>
                          <w:i/>
                          <w:iCs/>
                          <w:color w:val="000000"/>
                          <w:sz w:val="20"/>
                          <w:szCs w:val="20"/>
                        </w:rPr>
                      </w:pPr>
                      <w:r>
                        <w:rPr>
                          <w:rFonts w:hAnsi="Aptos" w:eastAsia="Aptos" w:cs="Aptos"/>
                          <w:i/>
                          <w:iCs/>
                          <w:color w:val="000000"/>
                          <w:sz w:val="20"/>
                          <w:szCs w:val="20"/>
                        </w:rPr>
                        <w:t>Legal and Governance</w:t>
                      </w:r>
                      <w:r>
                        <w:rPr>
                          <w:rFonts w:hAnsi="Aptos" w:eastAsia="Aptos" w:cs="Aptos"/>
                          <w:i/>
                          <w:iCs/>
                          <w:color w:val="000000"/>
                          <w:sz w:val="20"/>
                          <w:szCs w:val="20"/>
                        </w:rPr>
                        <w:t> </w:t>
                      </w:r>
                    </w:p>
                    <w:p w:rsidR="00A9349D" w:rsidP="00A9349D" w:rsidRDefault="00A9349D" w14:paraId="03614499" w14:textId="77777777">
                      <w:pPr>
                        <w:spacing w:line="276" w:lineRule="auto"/>
                        <w:jc w:val="center"/>
                        <w:rPr>
                          <w:rFonts w:hAnsi="Aptos" w:eastAsia="Aptos" w:cs="Aptos"/>
                          <w:i/>
                          <w:iCs/>
                          <w:color w:val="000000"/>
                          <w:sz w:val="20"/>
                          <w:szCs w:val="20"/>
                        </w:rPr>
                      </w:pPr>
                      <w:r>
                        <w:rPr>
                          <w:rFonts w:hAnsi="Aptos" w:eastAsia="Aptos" w:cs="Aptos"/>
                          <w:i/>
                          <w:iCs/>
                          <w:color w:val="000000"/>
                          <w:sz w:val="20"/>
                          <w:szCs w:val="20"/>
                        </w:rPr>
                        <w:t>Office of the CEO</w:t>
                      </w:r>
                    </w:p>
                    <w:p w:rsidR="00F61AD8" w:rsidP="00A9349D" w:rsidRDefault="00A9349D" w14:paraId="6E7BEAA2" w14:textId="127020C8">
                      <w:pPr>
                        <w:spacing w:line="276" w:lineRule="auto"/>
                        <w:jc w:val="center"/>
                        <w:rPr>
                          <w:rFonts w:hAnsi="Aptos" w:eastAsia="Aptos" w:cs="Aptos"/>
                          <w:color w:val="000000"/>
                          <w:sz w:val="20"/>
                          <w:szCs w:val="20"/>
                        </w:rPr>
                      </w:pPr>
                      <w:r>
                        <w:rPr>
                          <w:rFonts w:hAnsi="Aptos" w:eastAsia="Aptos" w:cs="Aptos"/>
                          <w:color w:val="000000"/>
                          <w:sz w:val="20"/>
                          <w:szCs w:val="20"/>
                        </w:rPr>
                        <w:t> </w:t>
                      </w:r>
                    </w:p>
                  </w:txbxContent>
                </v:textbox>
                <w10:wrap type="tight" anchorx="margin"/>
              </v:rect>
            </w:pict>
          </mc:Fallback>
        </mc:AlternateContent>
      </w:r>
      <w:r>
        <w:rPr>
          <w:noProof/>
        </w:rPr>
        <mc:AlternateContent>
          <mc:Choice Requires="wps">
            <w:drawing>
              <wp:anchor distT="45720" distB="45720" distL="114300" distR="114300" simplePos="0" relativeHeight="251658248" behindDoc="1" locked="0" layoutInCell="1" allowOverlap="1" wp14:anchorId="6BB6458D" wp14:editId="4A972A2F">
                <wp:simplePos x="0" y="0"/>
                <wp:positionH relativeFrom="column">
                  <wp:posOffset>1655445</wp:posOffset>
                </wp:positionH>
                <wp:positionV relativeFrom="paragraph">
                  <wp:posOffset>2497211</wp:posOffset>
                </wp:positionV>
                <wp:extent cx="1066800" cy="633095"/>
                <wp:effectExtent l="0" t="0" r="19050" b="14605"/>
                <wp:wrapTight wrapText="bothSides">
                  <wp:wrapPolygon edited="0">
                    <wp:start x="0" y="0"/>
                    <wp:lineTo x="0" y="21448"/>
                    <wp:lineTo x="21600" y="21448"/>
                    <wp:lineTo x="21600" y="0"/>
                    <wp:lineTo x="0" y="0"/>
                  </wp:wrapPolygon>
                </wp:wrapTight>
                <wp:docPr id="1884154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330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9309B79" w14:textId="77777777" w:rsidR="00F61AD8" w:rsidRPr="00596282" w:rsidRDefault="00F61AD8" w:rsidP="00F61AD8">
                            <w:pPr>
                              <w:spacing w:after="0"/>
                              <w:jc w:val="center"/>
                              <w:rPr>
                                <w:sz w:val="20"/>
                                <w:szCs w:val="20"/>
                              </w:rPr>
                            </w:pPr>
                            <w:r w:rsidRPr="00596282">
                              <w:rPr>
                                <w:sz w:val="20"/>
                                <w:szCs w:val="20"/>
                              </w:rPr>
                              <w:t>Consumer Energy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1EA562F4">
              <v:shape id="_x0000_s1032" style="position:absolute;margin-left:130.35pt;margin-top:196.65pt;width:84pt;height:49.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" w14:anchorId="6BB6458D">
                <v:textbox>
                  <w:txbxContent>
                    <w:p w:rsidRPr="00596282" w:rsidR="00F61AD8" w:rsidP="00F61AD8" w:rsidRDefault="00F61AD8" w14:paraId="5F6DD29A" w14:textId="77777777">
                      <w:pPr>
                        <w:spacing w:after="0"/>
                        <w:jc w:val="center"/>
                        <w:rPr>
                          <w:sz w:val="20"/>
                          <w:szCs w:val="20"/>
                        </w:rPr>
                      </w:pPr>
                      <w:r w:rsidRPr="00596282">
                        <w:rPr>
                          <w:sz w:val="20"/>
                          <w:szCs w:val="20"/>
                        </w:rPr>
                        <w:t>Consumer Energy Solutions</w:t>
                      </w:r>
                    </w:p>
                  </w:txbxContent>
                </v:textbox>
                <w10:wrap type="tight"/>
              </v:shape>
            </w:pict>
          </mc:Fallback>
        </mc:AlternateContent>
      </w:r>
      <w:r>
        <w:rPr>
          <w:noProof/>
        </w:rPr>
        <mc:AlternateContent>
          <mc:Choice Requires="wps">
            <w:drawing>
              <wp:anchor distT="45720" distB="45720" distL="114300" distR="114300" simplePos="0" relativeHeight="251658247" behindDoc="1" locked="0" layoutInCell="1" allowOverlap="1" wp14:anchorId="243A1F93" wp14:editId="64D9FD5A">
                <wp:simplePos x="0" y="0"/>
                <wp:positionH relativeFrom="column">
                  <wp:posOffset>526366</wp:posOffset>
                </wp:positionH>
                <wp:positionV relativeFrom="paragraph">
                  <wp:posOffset>2500777</wp:posOffset>
                </wp:positionV>
                <wp:extent cx="690245" cy="633095"/>
                <wp:effectExtent l="0" t="0" r="14605" b="14605"/>
                <wp:wrapTight wrapText="bothSides">
                  <wp:wrapPolygon edited="0">
                    <wp:start x="0" y="0"/>
                    <wp:lineTo x="0" y="21448"/>
                    <wp:lineTo x="21461" y="21448"/>
                    <wp:lineTo x="21461" y="0"/>
                    <wp:lineTo x="0" y="0"/>
                  </wp:wrapPolygon>
                </wp:wrapTight>
                <wp:docPr id="1256322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6330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C93AD7" w14:textId="77777777" w:rsidR="00F61AD8" w:rsidRPr="00810826" w:rsidRDefault="00F61AD8" w:rsidP="00F61AD8">
                            <w:pPr>
                              <w:spacing w:after="0"/>
                              <w:rPr>
                                <w:sz w:val="20"/>
                                <w:szCs w:val="20"/>
                              </w:rPr>
                            </w:pPr>
                            <w:r>
                              <w:rPr>
                                <w:sz w:val="20"/>
                                <w:szCs w:val="20"/>
                              </w:rPr>
                              <w:t>Energy Markets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7941B3A0">
              <v:shape id="_x0000_s1033" style="position:absolute;margin-left:41.45pt;margin-top:196.9pt;width:54.35pt;height:4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" w14:anchorId="243A1F93">
                <v:textbox>
                  <w:txbxContent>
                    <w:p w:rsidRPr="00810826" w:rsidR="00F61AD8" w:rsidP="00F61AD8" w:rsidRDefault="00F61AD8" w14:paraId="09E54EF4" w14:textId="77777777">
                      <w:pPr>
                        <w:spacing w:after="0"/>
                        <w:rPr>
                          <w:sz w:val="20"/>
                          <w:szCs w:val="20"/>
                        </w:rPr>
                      </w:pPr>
                      <w:r>
                        <w:rPr>
                          <w:sz w:val="20"/>
                          <w:szCs w:val="20"/>
                        </w:rPr>
                        <w:t>Energy Markets</w:t>
                      </w:r>
                    </w:p>
                  </w:txbxContent>
                </v:textbox>
                <w10:wrap type="tight"/>
              </v:shape>
            </w:pict>
          </mc:Fallback>
        </mc:AlternateContent>
      </w:r>
      <w:r>
        <w:rPr>
          <w:noProof/>
        </w:rPr>
        <mc:AlternateContent>
          <mc:Choice Requires="wps">
            <w:drawing>
              <wp:anchor distT="45720" distB="45720" distL="114300" distR="114300" simplePos="0" relativeHeight="251658246" behindDoc="1" locked="0" layoutInCell="1" allowOverlap="1" wp14:anchorId="19D95351" wp14:editId="415E1A4D">
                <wp:simplePos x="0" y="0"/>
                <wp:positionH relativeFrom="column">
                  <wp:posOffset>-481623</wp:posOffset>
                </wp:positionH>
                <wp:positionV relativeFrom="paragraph">
                  <wp:posOffset>2498286</wp:posOffset>
                </wp:positionV>
                <wp:extent cx="690245" cy="623570"/>
                <wp:effectExtent l="0" t="0" r="14605" b="24130"/>
                <wp:wrapTight wrapText="bothSides">
                  <wp:wrapPolygon edited="0">
                    <wp:start x="0" y="0"/>
                    <wp:lineTo x="0" y="21776"/>
                    <wp:lineTo x="21461" y="21776"/>
                    <wp:lineTo x="21461" y="0"/>
                    <wp:lineTo x="0" y="0"/>
                  </wp:wrapPolygon>
                </wp:wrapTight>
                <wp:docPr id="1937983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6235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E30153" w14:textId="77777777" w:rsidR="00F61AD8" w:rsidRDefault="00F61AD8" w:rsidP="00F61AD8">
                            <w:pPr>
                              <w:spacing w:after="0"/>
                              <w:jc w:val="center"/>
                              <w:rPr>
                                <w:sz w:val="20"/>
                                <w:szCs w:val="20"/>
                              </w:rPr>
                            </w:pPr>
                          </w:p>
                          <w:p w14:paraId="71B6C855" w14:textId="77777777" w:rsidR="00F61AD8" w:rsidRPr="00810826" w:rsidRDefault="00F61AD8" w:rsidP="00F61AD8">
                            <w:pPr>
                              <w:spacing w:after="0"/>
                              <w:jc w:val="center"/>
                              <w:rPr>
                                <w:sz w:val="20"/>
                                <w:szCs w:val="20"/>
                              </w:rPr>
                            </w:pPr>
                            <w:r>
                              <w:rPr>
                                <w:sz w:val="20"/>
                                <w:szCs w:val="20"/>
                              </w:rPr>
                              <w:t>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w:pict w14:anchorId="4B56F2E7">
              <v:shape id="_x0000_s1034" style="position:absolute;margin-left:-37.9pt;margin-top:196.7pt;width:54.35pt;height:4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e97132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" w14:anchorId="19D95351">
                <v:textbox>
                  <w:txbxContent>
                    <w:p w:rsidR="00F61AD8" w:rsidP="00F61AD8" w:rsidRDefault="00F61AD8" w14:paraId="672A6659" w14:textId="77777777">
                      <w:pPr>
                        <w:spacing w:after="0"/>
                        <w:jc w:val="center"/>
                        <w:rPr>
                          <w:sz w:val="20"/>
                          <w:szCs w:val="20"/>
                        </w:rPr>
                      </w:pPr>
                    </w:p>
                    <w:p w:rsidRPr="00810826" w:rsidR="00F61AD8" w:rsidP="00F61AD8" w:rsidRDefault="00F61AD8" w14:paraId="4024C012" w14:textId="77777777">
                      <w:pPr>
                        <w:spacing w:after="0"/>
                        <w:jc w:val="center"/>
                        <w:rPr>
                          <w:sz w:val="20"/>
                          <w:szCs w:val="20"/>
                        </w:rPr>
                      </w:pPr>
                      <w:r>
                        <w:rPr>
                          <w:sz w:val="20"/>
                          <w:szCs w:val="20"/>
                        </w:rPr>
                        <w:t>Assets</w:t>
                      </w:r>
                    </w:p>
                  </w:txbxContent>
                </v:textbox>
                <w10:wrap type="tight"/>
              </v:shape>
            </w:pict>
          </mc:Fallback>
        </mc:AlternateContent>
      </w:r>
      <w:r>
        <w:br w:type="page"/>
      </w:r>
    </w:p>
    <w:p w14:paraId="31EAA58A" w14:textId="516D8A26" w:rsidR="00DD43D3" w:rsidRDefault="00B632B8" w:rsidP="008915B6">
      <w:pPr>
        <w:pStyle w:val="Heading2"/>
      </w:pPr>
      <w:bookmarkStart w:id="175" w:name="_Toc203487526"/>
      <w:bookmarkStart w:id="176" w:name="_Toc203656202"/>
      <w:bookmarkStart w:id="177" w:name="_Toc288591282"/>
      <w:bookmarkStart w:id="178" w:name="_Ref207013825"/>
      <w:bookmarkEnd w:id="166"/>
      <w:bookmarkEnd w:id="167"/>
      <w:bookmarkEnd w:id="168"/>
      <w:bookmarkEnd w:id="169"/>
      <w:bookmarkEnd w:id="170"/>
      <w:bookmarkEnd w:id="171"/>
      <w:bookmarkEnd w:id="172"/>
      <w:bookmarkEnd w:id="173"/>
      <w:bookmarkEnd w:id="174"/>
      <w:r>
        <w:t>Assets</w:t>
      </w:r>
      <w:bookmarkEnd w:id="175"/>
      <w:bookmarkEnd w:id="176"/>
      <w:bookmarkEnd w:id="177"/>
      <w:bookmarkEnd w:id="178"/>
    </w:p>
    <w:p w14:paraId="0F49F732" w14:textId="1609E5D2" w:rsidR="008915B6" w:rsidRDefault="32868237" w:rsidP="00017A42">
      <w:pPr>
        <w:pStyle w:val="Heading3"/>
      </w:pPr>
      <w:bookmarkStart w:id="179" w:name="_Toc183098481"/>
      <w:bookmarkStart w:id="180" w:name="_Toc183098716"/>
      <w:bookmarkStart w:id="181" w:name="_Toc200631669"/>
      <w:bookmarkStart w:id="182" w:name="_Toc201222693"/>
      <w:bookmarkStart w:id="183" w:name="_Toc337613561"/>
      <w:bookmarkStart w:id="184" w:name="_Toc148288367"/>
      <w:r>
        <w:t xml:space="preserve">Building </w:t>
      </w:r>
      <w:r w:rsidR="008D2F67">
        <w:t>Victoria’s renewable energy future</w:t>
      </w:r>
      <w:bookmarkEnd w:id="179"/>
      <w:bookmarkEnd w:id="180"/>
      <w:bookmarkEnd w:id="181"/>
      <w:bookmarkEnd w:id="182"/>
      <w:bookmarkEnd w:id="183"/>
      <w:bookmarkEnd w:id="184"/>
    </w:p>
    <w:p w14:paraId="35DE0086" w14:textId="0C28B5D5" w:rsidR="00A609E8" w:rsidRDefault="07C400C8" w:rsidP="1A1D0738">
      <w:r>
        <w:t xml:space="preserve">SEC </w:t>
      </w:r>
      <w:r w:rsidR="11E3352C">
        <w:t xml:space="preserve">has been established to </w:t>
      </w:r>
      <w:r>
        <w:t>deliver 4.5 gi</w:t>
      </w:r>
      <w:r w:rsidR="291371EF">
        <w:t>gawatts (GW) of new generation</w:t>
      </w:r>
      <w:r w:rsidR="25237F90">
        <w:t xml:space="preserve"> and storage</w:t>
      </w:r>
      <w:r w:rsidR="291371EF">
        <w:t xml:space="preserve"> by 2035, almost 20</w:t>
      </w:r>
      <w:r w:rsidR="6E830627">
        <w:t>% of the 25 GW t</w:t>
      </w:r>
      <w:r w:rsidR="12400339">
        <w:t>he</w:t>
      </w:r>
      <w:r w:rsidR="51B2E4E1">
        <w:t xml:space="preserve"> Australian Energy Market Operator’s </w:t>
      </w:r>
      <w:r w:rsidR="69C62E0F">
        <w:t>2024 Integrated System Plan (ISP)</w:t>
      </w:r>
      <w:r w:rsidR="12400339">
        <w:t xml:space="preserve"> </w:t>
      </w:r>
      <w:r w:rsidR="72802C86">
        <w:t xml:space="preserve">estimates that </w:t>
      </w:r>
      <w:r w:rsidR="6E77BA55">
        <w:t xml:space="preserve">Victoria </w:t>
      </w:r>
      <w:r w:rsidR="22107B48">
        <w:t>will</w:t>
      </w:r>
      <w:r w:rsidR="6E77BA55">
        <w:t xml:space="preserve"> need</w:t>
      </w:r>
      <w:r w:rsidR="6073CB72">
        <w:t>.</w:t>
      </w:r>
      <w:r w:rsidR="6E77BA55">
        <w:t xml:space="preserve"> </w:t>
      </w:r>
      <w:r w:rsidR="55E290B3">
        <w:t xml:space="preserve">Since </w:t>
      </w:r>
      <w:r w:rsidR="46EB4627">
        <w:t xml:space="preserve">this </w:t>
      </w:r>
      <w:r w:rsidR="55E290B3">
        <w:t xml:space="preserve">estimate was reported, </w:t>
      </w:r>
      <w:r w:rsidR="05BF64E1">
        <w:t xml:space="preserve">our first two projects will deliver 819 </w:t>
      </w:r>
      <w:r w:rsidR="0030CAED">
        <w:t>M</w:t>
      </w:r>
      <w:r w:rsidR="05BF64E1">
        <w:t xml:space="preserve">W of this, or almost 20% of our 2035 target. </w:t>
      </w:r>
    </w:p>
    <w:p w14:paraId="3BAD85F9" w14:textId="1F62495C" w:rsidR="00A609E8" w:rsidRDefault="00A609E8" w:rsidP="008915B6">
      <w:r>
        <w:t xml:space="preserve">As an active participant in the energy market, SEC experiences a broad range of factors that affect its operating environment and investment decisions. These include strategic, policy, regulatory and economic settings, changing market needs and changing technology, community sentiment, supply chain availability, and financial markets. These can affect market and investor confidence, our portfolio mix, and revenue streams, and the speed, cost, and financial performance of </w:t>
      </w:r>
      <w:r w:rsidR="2570D0F7">
        <w:t xml:space="preserve">our </w:t>
      </w:r>
      <w:r w:rsidR="622DAC4C">
        <w:t>projects</w:t>
      </w:r>
      <w:r>
        <w:t xml:space="preserve">. </w:t>
      </w:r>
    </w:p>
    <w:p w14:paraId="7F86E249" w14:textId="3AF5AAC7" w:rsidR="00D2077B" w:rsidRDefault="00D2077B" w:rsidP="00D2077B">
      <w:r>
        <w:t xml:space="preserve">Current energy market dynamics and the broader economic outlook </w:t>
      </w:r>
      <w:r w:rsidR="60222614">
        <w:t>indicate</w:t>
      </w:r>
      <w:r>
        <w:t xml:space="preserve"> a clear need for new investment over the next decade to meet transition goals and ensure long-term security and reliability. </w:t>
      </w:r>
    </w:p>
    <w:p w14:paraId="1B3AC62C" w14:textId="23D55335" w:rsidR="00D2077B" w:rsidRDefault="00D2077B" w:rsidP="00D2077B">
      <w:r>
        <w:t xml:space="preserve">We are well placed to support projects where investment is </w:t>
      </w:r>
      <w:r w:rsidR="00261871">
        <w:t>delayed or</w:t>
      </w:r>
      <w:r>
        <w:t xml:space="preserve"> not reaching private investment hurdles</w:t>
      </w:r>
      <w:r w:rsidR="008C273E">
        <w:t xml:space="preserve">. </w:t>
      </w:r>
      <w:r>
        <w:t xml:space="preserve">For example, we can </w:t>
      </w:r>
      <w:r w:rsidR="41E70874">
        <w:t>leverage our</w:t>
      </w:r>
      <w:r>
        <w:t xml:space="preserve"> growing customer book and our longer-term view of market need</w:t>
      </w:r>
      <w:r w:rsidR="00781EA5">
        <w:t>s</w:t>
      </w:r>
      <w:r>
        <w:t>, by investing in and underwriting offtake from renewable energy generation projects to build our portfolio.</w:t>
      </w:r>
    </w:p>
    <w:p w14:paraId="6D184207" w14:textId="77777777" w:rsidR="005C5962" w:rsidRDefault="00A609E8" w:rsidP="008915B6">
      <w:r w:rsidRPr="00A609E8">
        <w:t xml:space="preserve">Our focus is on building a pipeline of assets to support and accelerate the transition. We work closely with the private sector and partner with those that share our commitments to investing in Victoria, decarbonising our electricity system, and creating jobs for Victorians. </w:t>
      </w:r>
    </w:p>
    <w:p w14:paraId="0381441E" w14:textId="3C94B256" w:rsidR="0019306C" w:rsidRDefault="2E08308F" w:rsidP="35B55E14">
      <w:r>
        <w:t xml:space="preserve">We </w:t>
      </w:r>
      <w:r w:rsidR="4E2F6B24">
        <w:t xml:space="preserve">balance a range of criteria when assessing potential </w:t>
      </w:r>
      <w:r w:rsidR="0B56F0AF">
        <w:t>projects</w:t>
      </w:r>
      <w:r w:rsidR="4E2F6B24">
        <w:t xml:space="preserve">. This includes </w:t>
      </w:r>
      <w:r w:rsidR="57B17D88">
        <w:t>its</w:t>
      </w:r>
      <w:r w:rsidR="4E2F6B24">
        <w:t xml:space="preserve"> capacity to deliver against our purpose, the value it brings </w:t>
      </w:r>
      <w:r w:rsidR="766A2F73">
        <w:t xml:space="preserve">to advancing the renewables market and </w:t>
      </w:r>
      <w:r w:rsidR="00380CD0">
        <w:t>its capacity to</w:t>
      </w:r>
      <w:r w:rsidR="07D13BB4">
        <w:t xml:space="preserve"> </w:t>
      </w:r>
      <w:r w:rsidR="766A2F73">
        <w:t>deliver sustainable returns.</w:t>
      </w:r>
      <w:r w:rsidR="4E2F6B24">
        <w:t xml:space="preserve"> </w:t>
      </w:r>
    </w:p>
    <w:p w14:paraId="7EC12410" w14:textId="66EA1E75" w:rsidR="0019306C" w:rsidRDefault="0019306C" w:rsidP="33038FC0">
      <w:r>
        <w:t xml:space="preserve">Progress </w:t>
      </w:r>
      <w:r w:rsidR="00C60DE2">
        <w:t>across the</w:t>
      </w:r>
      <w:r w:rsidR="004313BE">
        <w:t xml:space="preserve"> year</w:t>
      </w:r>
      <w:r>
        <w:t xml:space="preserve">: </w:t>
      </w:r>
    </w:p>
    <w:p w14:paraId="7FAE8BE2" w14:textId="69D0A694" w:rsidR="00FD745A" w:rsidRPr="00FD745A" w:rsidRDefault="7681A6D4" w:rsidP="52B54F2A">
      <w:pPr>
        <w:rPr>
          <w:rFonts w:eastAsiaTheme="minorEastAsia"/>
        </w:rPr>
      </w:pPr>
      <w:r>
        <w:t>We are</w:t>
      </w:r>
      <w:r w:rsidR="00FD745A">
        <w:t xml:space="preserve"> partnering with industry to transform the energy sector, driv</w:t>
      </w:r>
      <w:r w:rsidR="6356A9B4">
        <w:t>e</w:t>
      </w:r>
      <w:r w:rsidR="00FD745A">
        <w:t xml:space="preserve"> further innovation and accelerate investment in renewables. </w:t>
      </w:r>
    </w:p>
    <w:p w14:paraId="43002B85" w14:textId="4BE8DE8C" w:rsidR="00856DDF" w:rsidRPr="00F65403" w:rsidRDefault="00856DDF" w:rsidP="00677B59">
      <w:pPr>
        <w:rPr>
          <w:rFonts w:eastAsiaTheme="minorEastAsia"/>
          <w:b/>
        </w:rPr>
      </w:pPr>
      <w:r w:rsidRPr="29334CB4">
        <w:t xml:space="preserve">We choose our </w:t>
      </w:r>
      <w:r w:rsidR="4C4BEAE2">
        <w:t xml:space="preserve">projects </w:t>
      </w:r>
      <w:r w:rsidRPr="29334CB4">
        <w:t xml:space="preserve">based on clear criteria: </w:t>
      </w:r>
    </w:p>
    <w:p w14:paraId="78926B0C" w14:textId="347211E1" w:rsidR="00856DDF" w:rsidRPr="00F65403" w:rsidRDefault="3922C0A7" w:rsidP="00597C63">
      <w:pPr>
        <w:pStyle w:val="Bullet"/>
        <w:rPr>
          <w:rFonts w:eastAsiaTheme="minorEastAsia"/>
          <w:b/>
        </w:rPr>
      </w:pPr>
      <w:r w:rsidRPr="1EAFB47B">
        <w:t>p</w:t>
      </w:r>
      <w:r w:rsidR="00856DDF" w:rsidRPr="1EAFB47B">
        <w:t>ublic</w:t>
      </w:r>
      <w:r w:rsidR="00856DDF" w:rsidRPr="29334CB4">
        <w:t xml:space="preserve"> purpose, including local content, community,</w:t>
      </w:r>
      <w:r w:rsidR="00856DDF" w:rsidRPr="29334CB4" w:rsidDel="00CF5F00">
        <w:t xml:space="preserve"> </w:t>
      </w:r>
      <w:r w:rsidR="00856DDF" w:rsidRPr="29334CB4">
        <w:t>system and grid benefits</w:t>
      </w:r>
    </w:p>
    <w:p w14:paraId="2421B47B" w14:textId="58914D8D" w:rsidR="00856DDF" w:rsidRPr="00F65403" w:rsidRDefault="56453DEE" w:rsidP="4DA63EBA">
      <w:pPr>
        <w:pStyle w:val="Bullet"/>
        <w:rPr>
          <w:rFonts w:eastAsiaTheme="minorEastAsia"/>
          <w:b/>
          <w:bCs/>
        </w:rPr>
      </w:pPr>
      <w:r>
        <w:t>m</w:t>
      </w:r>
      <w:r w:rsidR="00856DDF">
        <w:t>arket enablement</w:t>
      </w:r>
      <w:r w:rsidR="003D0337">
        <w:t xml:space="preserve">, including that </w:t>
      </w:r>
      <w:r w:rsidR="3EBFA7A9">
        <w:t>our</w:t>
      </w:r>
      <w:r w:rsidR="003D0337">
        <w:t xml:space="preserve"> </w:t>
      </w:r>
      <w:r w:rsidR="57D825BA">
        <w:t>investment</w:t>
      </w:r>
      <w:r w:rsidR="00856DDF">
        <w:t xml:space="preserve"> leverages private capital and unlocks investment opportunities for others</w:t>
      </w:r>
    </w:p>
    <w:p w14:paraId="3C159598" w14:textId="76F9382D" w:rsidR="00856DDF" w:rsidRPr="00F65403" w:rsidRDefault="00856DDF" w:rsidP="00597C63">
      <w:pPr>
        <w:pStyle w:val="Bullet"/>
        <w:rPr>
          <w:rFonts w:eastAsiaTheme="minorEastAsia"/>
          <w:b/>
        </w:rPr>
      </w:pPr>
      <w:r w:rsidRPr="29334CB4">
        <w:t xml:space="preserve">ability to deliver sustainable, risk-adjusted returns, including additionality. </w:t>
      </w:r>
    </w:p>
    <w:p w14:paraId="29600E12" w14:textId="4893B46F" w:rsidR="00856DDF" w:rsidRPr="00F65403" w:rsidRDefault="00856DDF" w:rsidP="00677B59">
      <w:pPr>
        <w:rPr>
          <w:rFonts w:eastAsiaTheme="minorEastAsia"/>
          <w:b/>
        </w:rPr>
      </w:pPr>
      <w:r w:rsidRPr="29334CB4">
        <w:t xml:space="preserve">We now </w:t>
      </w:r>
      <w:r w:rsidR="628756FC">
        <w:t xml:space="preserve">have </w:t>
      </w:r>
      <w:r w:rsidRPr="29334CB4">
        <w:t xml:space="preserve">two significant </w:t>
      </w:r>
      <w:r w:rsidR="36AB7C13">
        <w:t xml:space="preserve">projects </w:t>
      </w:r>
      <w:r w:rsidRPr="29334CB4">
        <w:t>and have updated our pipeline of strategic opportunities</w:t>
      </w:r>
      <w:r w:rsidR="00F91128">
        <w:t xml:space="preserve"> with a view </w:t>
      </w:r>
      <w:r w:rsidR="00DB219B">
        <w:t>to expanding our portfolio.</w:t>
      </w:r>
      <w:r w:rsidRPr="29334CB4">
        <w:t xml:space="preserve"> </w:t>
      </w:r>
    </w:p>
    <w:p w14:paraId="429AA10D" w14:textId="197C838A" w:rsidR="00FD745A" w:rsidRPr="00F65403" w:rsidRDefault="00FD745A" w:rsidP="40D1F9BF">
      <w:pPr>
        <w:rPr>
          <w:rFonts w:eastAsiaTheme="minorEastAsia"/>
          <w:b/>
          <w:bCs/>
        </w:rPr>
      </w:pPr>
      <w:r>
        <w:t xml:space="preserve">In November 2024, we announced a $370 million investment in SEC Renewable Energy Park </w:t>
      </w:r>
      <w:r w:rsidR="00104757">
        <w:t>-</w:t>
      </w:r>
      <w:r>
        <w:t xml:space="preserve"> Horsham, a hybrid solar and battery facility and one of </w:t>
      </w:r>
      <w:r w:rsidR="3AE4CBE8">
        <w:t xml:space="preserve">Australia’s </w:t>
      </w:r>
      <w:r>
        <w:t xml:space="preserve">first 100% publicly owned utility-scale energy projects.   </w:t>
      </w:r>
    </w:p>
    <w:p w14:paraId="336F1DBD" w14:textId="1F4309E1" w:rsidR="00FD745A" w:rsidRPr="00F65403" w:rsidRDefault="00FD745A" w:rsidP="40D1F9BF">
      <w:pPr>
        <w:rPr>
          <w:rFonts w:eastAsiaTheme="minorEastAsia"/>
          <w:b/>
          <w:bCs/>
        </w:rPr>
      </w:pPr>
      <w:r>
        <w:t>Once operational</w:t>
      </w:r>
      <w:r w:rsidR="009A6734">
        <w:t xml:space="preserve"> in 2027</w:t>
      </w:r>
      <w:r>
        <w:t>, the 119</w:t>
      </w:r>
      <w:r w:rsidR="00AD3BE0">
        <w:t xml:space="preserve"> </w:t>
      </w:r>
      <w:r w:rsidR="4953894F">
        <w:t>megawatt (</w:t>
      </w:r>
      <w:r w:rsidR="00AD3BE0">
        <w:t>MW</w:t>
      </w:r>
      <w:r w:rsidR="6A9FAC7C">
        <w:t>)</w:t>
      </w:r>
      <w:r>
        <w:t xml:space="preserve"> solar farm will be capable of generating around 242,000 </w:t>
      </w:r>
      <w:r w:rsidR="5A6C8FC6">
        <w:t>megawatt hours (</w:t>
      </w:r>
      <w:r w:rsidR="00AD3BE0">
        <w:t>MWh</w:t>
      </w:r>
      <w:r w:rsidR="0FF6CD11">
        <w:t>)</w:t>
      </w:r>
      <w:r>
        <w:t xml:space="preserve"> of renewable energy a year </w:t>
      </w:r>
      <w:r w:rsidR="00104757">
        <w:t>-</w:t>
      </w:r>
      <w:r>
        <w:t xml:space="preserve"> enough to power </w:t>
      </w:r>
      <w:r w:rsidR="4910A8E8">
        <w:t xml:space="preserve">about </w:t>
      </w:r>
      <w:r>
        <w:t xml:space="preserve">51,000 homes.  </w:t>
      </w:r>
    </w:p>
    <w:p w14:paraId="20C2BE04" w14:textId="1F00AE4A" w:rsidR="00FD745A" w:rsidRPr="00F65403" w:rsidRDefault="004D1326" w:rsidP="6582C6F5">
      <w:pPr>
        <w:rPr>
          <w:rFonts w:eastAsiaTheme="minorEastAsia"/>
          <w:b/>
          <w:bCs/>
        </w:rPr>
      </w:pPr>
      <w:r>
        <w:t xml:space="preserve">In line with our criteria, our </w:t>
      </w:r>
      <w:r w:rsidR="00FD745A">
        <w:t xml:space="preserve">investment added a new dimension </w:t>
      </w:r>
      <w:r w:rsidR="00104757">
        <w:t>-</w:t>
      </w:r>
      <w:r w:rsidR="00FD745A">
        <w:t xml:space="preserve"> a 100</w:t>
      </w:r>
      <w:r w:rsidR="00AD3BE0">
        <w:t xml:space="preserve"> MW</w:t>
      </w:r>
      <w:r w:rsidR="00FD745A">
        <w:t xml:space="preserve"> two-hour battery energy storage system, along with </w:t>
      </w:r>
      <w:r w:rsidR="002E21D8">
        <w:t xml:space="preserve">a </w:t>
      </w:r>
      <w:r w:rsidR="00FD745A">
        <w:t xml:space="preserve">community benefit fund and increased local </w:t>
      </w:r>
      <w:r w:rsidR="00F41436">
        <w:t>procurement</w:t>
      </w:r>
      <w:r w:rsidR="00FD745A">
        <w:t xml:space="preserve"> commitments.  </w:t>
      </w:r>
    </w:p>
    <w:p w14:paraId="75D0C4AC" w14:textId="7FD7DD0A" w:rsidR="00116EC7" w:rsidRPr="00F65403" w:rsidRDefault="00FD745A" w:rsidP="2B3C3DC4">
      <w:pPr>
        <w:rPr>
          <w:rFonts w:eastAsiaTheme="minorEastAsia"/>
          <w:b/>
          <w:bCs/>
        </w:rPr>
      </w:pPr>
      <w:r>
        <w:t>This followed our $245 million investment</w:t>
      </w:r>
      <w:r w:rsidR="00EF16AE">
        <w:t xml:space="preserve"> </w:t>
      </w:r>
      <w:r w:rsidR="75CFE360">
        <w:t>during 2023</w:t>
      </w:r>
      <w:r w:rsidR="00EF16AE">
        <w:t xml:space="preserve"> </w:t>
      </w:r>
      <w:r>
        <w:t xml:space="preserve">in one of the world’s biggest batteries, the Melbourne Renewable Energy Hub </w:t>
      </w:r>
      <w:r w:rsidR="1129EBD5">
        <w:t xml:space="preserve">(MREH) </w:t>
      </w:r>
      <w:r>
        <w:t xml:space="preserve">in Plumpton. </w:t>
      </w:r>
    </w:p>
    <w:p w14:paraId="2926E9E3" w14:textId="5C87EDEB" w:rsidR="00FD745A" w:rsidRPr="00F65403" w:rsidRDefault="00FD745A" w:rsidP="1524DB43">
      <w:pPr>
        <w:rPr>
          <w:rFonts w:eastAsiaTheme="minorEastAsia"/>
          <w:b/>
          <w:bCs/>
        </w:rPr>
      </w:pPr>
      <w:r>
        <w:t>Th</w:t>
      </w:r>
      <w:r w:rsidR="005A6EA6">
        <w:t xml:space="preserve">e construction of </w:t>
      </w:r>
      <w:r w:rsidR="00504814">
        <w:t>th</w:t>
      </w:r>
      <w:r>
        <w:t xml:space="preserve">is project is well </w:t>
      </w:r>
      <w:r w:rsidR="005A6EA6">
        <w:t>progressed</w:t>
      </w:r>
      <w:r w:rsidR="00504814">
        <w:t>. Once complete, it will provide</w:t>
      </w:r>
      <w:r>
        <w:t xml:space="preserve"> three batteries totalling 600 </w:t>
      </w:r>
      <w:r w:rsidR="00AD3BE0">
        <w:t>MW</w:t>
      </w:r>
      <w:r>
        <w:t xml:space="preserve"> with potential to expand. </w:t>
      </w:r>
      <w:r w:rsidR="0CF1DFB5">
        <w:t xml:space="preserve">The Melbourne Renewable Energy Hub </w:t>
      </w:r>
      <w:r>
        <w:t xml:space="preserve">will have an energy storage capacity of 1.6 </w:t>
      </w:r>
      <w:r w:rsidR="1BA029EC">
        <w:t>gigawatt hour</w:t>
      </w:r>
      <w:r w:rsidR="4A2C7E4F">
        <w:t>s</w:t>
      </w:r>
      <w:r>
        <w:t xml:space="preserve">, enough to power around 200,000 homes during peak evening consumption.  </w:t>
      </w:r>
    </w:p>
    <w:p w14:paraId="6AE9DBE6" w14:textId="598B3F1D" w:rsidR="004D1326" w:rsidRPr="00F65403" w:rsidRDefault="004D1326" w:rsidP="1524DB43">
      <w:pPr>
        <w:rPr>
          <w:rFonts w:eastAsiaTheme="minorEastAsia"/>
          <w:b/>
          <w:bCs/>
        </w:rPr>
      </w:pPr>
      <w:r>
        <w:t xml:space="preserve">In the case of </w:t>
      </w:r>
      <w:r w:rsidR="1988F80B">
        <w:t>MREH</w:t>
      </w:r>
      <w:r>
        <w:t xml:space="preserve">, our investment brought forward the delivery of the project and increased one of its batteries in size from two to four hours </w:t>
      </w:r>
      <w:r w:rsidR="00104757">
        <w:t>-</w:t>
      </w:r>
      <w:r>
        <w:t xml:space="preserve"> beyond what the market would have otherwise delivered.  </w:t>
      </w:r>
    </w:p>
    <w:p w14:paraId="30995BE2" w14:textId="027BE6BB" w:rsidR="007E5588" w:rsidRPr="00F65403" w:rsidRDefault="00FD745A" w:rsidP="63282C35">
      <w:pPr>
        <w:rPr>
          <w:rFonts w:eastAsiaTheme="minorEastAsia"/>
          <w:b/>
          <w:bCs/>
        </w:rPr>
      </w:pPr>
      <w:r>
        <w:t xml:space="preserve">Both </w:t>
      </w:r>
      <w:r w:rsidR="5ED9C4E5">
        <w:t xml:space="preserve">projects </w:t>
      </w:r>
      <w:r>
        <w:t xml:space="preserve">are funded from </w:t>
      </w:r>
      <w:r w:rsidR="3BD0CAC6">
        <w:t xml:space="preserve">our </w:t>
      </w:r>
      <w:r>
        <w:t xml:space="preserve">initial $1 billion allocation and constitute key progress towards building a target 4.5 </w:t>
      </w:r>
      <w:r w:rsidR="000643C8">
        <w:t xml:space="preserve">GW </w:t>
      </w:r>
      <w:r>
        <w:t xml:space="preserve">portfolio of new renewable generation and storage capacity by 2035. </w:t>
      </w:r>
    </w:p>
    <w:p w14:paraId="4C9B9B28" w14:textId="4E4D2A97" w:rsidR="007E5588" w:rsidRDefault="007E5588">
      <w:r>
        <w:t xml:space="preserve">In addition to investing in large-scale assets, we are focused on commercialising new technologies to support Victoria’s long-duration </w:t>
      </w:r>
      <w:r w:rsidR="631F7F9A">
        <w:t xml:space="preserve">energy </w:t>
      </w:r>
      <w:r>
        <w:t>storage</w:t>
      </w:r>
      <w:r w:rsidR="36F05D11">
        <w:t xml:space="preserve"> </w:t>
      </w:r>
      <w:r w:rsidR="00393B0E">
        <w:t>requirements</w:t>
      </w:r>
      <w:r>
        <w:t xml:space="preserve">.  </w:t>
      </w:r>
    </w:p>
    <w:p w14:paraId="2DB2B77B" w14:textId="5507B378" w:rsidR="0048799B" w:rsidRPr="0048799B" w:rsidRDefault="4FE878DD" w:rsidP="0F36108F">
      <w:pPr>
        <w:rPr>
          <w:rFonts w:eastAsia="Arial" w:cs="Arial"/>
        </w:rPr>
      </w:pPr>
      <w:r>
        <w:t xml:space="preserve">Our energy markets team supports our </w:t>
      </w:r>
      <w:r w:rsidR="1CADC94F">
        <w:t xml:space="preserve">project </w:t>
      </w:r>
      <w:r>
        <w:t xml:space="preserve">activities by providing market intelligence and insights to ensure we develop our assets in a way that meets longer-term market and customer needs. </w:t>
      </w:r>
    </w:p>
    <w:p w14:paraId="4C5204BB" w14:textId="77777777" w:rsidR="00F21DEB" w:rsidRDefault="007E5588" w:rsidP="00C56A3B">
      <w:r>
        <w:t xml:space="preserve">These examples all highlight how our public ownership means we work and invest differently from many private entities.  </w:t>
      </w:r>
    </w:p>
    <w:p w14:paraId="5D3F9C7B" w14:textId="03BEDDDC" w:rsidR="00AB652E" w:rsidRDefault="00F61317" w:rsidP="00C56A3B">
      <w:pPr>
        <w:rPr>
          <w:b/>
        </w:rPr>
      </w:pPr>
      <w:r>
        <w:br w:type="page"/>
      </w:r>
    </w:p>
    <w:p w14:paraId="3A303DBF" w14:textId="436317FF" w:rsidR="00E3713A" w:rsidRDefault="008D2F67" w:rsidP="003A4F8A">
      <w:pPr>
        <w:pStyle w:val="Heading3"/>
      </w:pPr>
      <w:bookmarkStart w:id="185" w:name="_Toc183098482"/>
      <w:bookmarkStart w:id="186" w:name="_Toc1285080666"/>
      <w:bookmarkStart w:id="187" w:name="_Toc201222694"/>
      <w:bookmarkStart w:id="188" w:name="_Toc691193102"/>
      <w:bookmarkStart w:id="189" w:name="_Toc1676641960"/>
      <w:bookmarkStart w:id="190" w:name="_Toc1378673341"/>
      <w:bookmarkStart w:id="191" w:name="_Toc851412174"/>
      <w:bookmarkStart w:id="192" w:name="_Toc1170022950"/>
      <w:bookmarkStart w:id="193" w:name="_Toc1021120792"/>
      <w:r>
        <w:t xml:space="preserve">Case </w:t>
      </w:r>
      <w:r w:rsidR="00E40A1F">
        <w:t>s</w:t>
      </w:r>
      <w:r>
        <w:t>tudy:</w:t>
      </w:r>
      <w:r w:rsidR="00B85E6D">
        <w:t xml:space="preserve"> </w:t>
      </w:r>
      <w:bookmarkStart w:id="194" w:name="_Toc183098483"/>
      <w:bookmarkEnd w:id="185"/>
      <w:r>
        <w:t>Melbourne Renewable Energy Hub</w:t>
      </w:r>
      <w:bookmarkEnd w:id="186"/>
      <w:bookmarkEnd w:id="187"/>
      <w:bookmarkEnd w:id="188"/>
      <w:bookmarkEnd w:id="189"/>
      <w:bookmarkEnd w:id="190"/>
      <w:bookmarkEnd w:id="191"/>
      <w:bookmarkEnd w:id="192"/>
      <w:bookmarkEnd w:id="193"/>
      <w:bookmarkEnd w:id="194"/>
    </w:p>
    <w:p w14:paraId="0B61C905" w14:textId="40C6C293" w:rsidR="00D918B5" w:rsidRDefault="3CFD4747" w:rsidP="00D918B5">
      <w:r>
        <w:t xml:space="preserve">SEC has </w:t>
      </w:r>
      <w:r w:rsidR="00430E4A">
        <w:t>co</w:t>
      </w:r>
      <w:r w:rsidR="00A37414">
        <w:t>mmitted to</w:t>
      </w:r>
      <w:r>
        <w:t xml:space="preserve"> invest</w:t>
      </w:r>
      <w:r w:rsidR="5D189189">
        <w:t xml:space="preserve"> $245 </w:t>
      </w:r>
      <w:r w:rsidR="5E42E9ED">
        <w:t>million in</w:t>
      </w:r>
      <w:r>
        <w:t xml:space="preserve"> one of the world’s biggest batteries, the Melbourne Renewable Energy Hub</w:t>
      </w:r>
      <w:r w:rsidR="4B58849A">
        <w:t xml:space="preserve"> (MREH)</w:t>
      </w:r>
      <w:r>
        <w:t xml:space="preserve"> in Plumpton, </w:t>
      </w:r>
      <w:r w:rsidR="3F4BAB92">
        <w:t xml:space="preserve">our </w:t>
      </w:r>
      <w:r>
        <w:t xml:space="preserve">first </w:t>
      </w:r>
      <w:r w:rsidR="296BA578">
        <w:t xml:space="preserve">project </w:t>
      </w:r>
      <w:r>
        <w:t>f</w:t>
      </w:r>
      <w:r w:rsidR="296BA578">
        <w:t xml:space="preserve">unded </w:t>
      </w:r>
      <w:r>
        <w:t xml:space="preserve">from an initial $1 billion </w:t>
      </w:r>
      <w:r w:rsidR="033E318D">
        <w:t xml:space="preserve">to </w:t>
      </w:r>
      <w:r>
        <w:t xml:space="preserve">build 4.5 </w:t>
      </w:r>
      <w:r w:rsidR="23EA66D1">
        <w:t>gigawatts (</w:t>
      </w:r>
      <w:r w:rsidR="008B7B58">
        <w:t>GW</w:t>
      </w:r>
      <w:r w:rsidR="3B3ADD71">
        <w:t>)</w:t>
      </w:r>
      <w:r>
        <w:t xml:space="preserve"> of new renewable energy and storage projects.</w:t>
      </w:r>
    </w:p>
    <w:p w14:paraId="75BBC41E" w14:textId="77B19664" w:rsidR="00D918B5" w:rsidRDefault="3CFD4747">
      <w:r>
        <w:t>Developed in partnership with renewable energy investor Equis Australia, the project is under construction and due to come online in late 2025.</w:t>
      </w:r>
    </w:p>
    <w:p w14:paraId="7E295DD5" w14:textId="1D59FF23" w:rsidR="00D918B5" w:rsidRDefault="3CFD4747">
      <w:r>
        <w:t>Melbourne Renewable Energy Hub will deliver three</w:t>
      </w:r>
      <w:r w:rsidDel="00492C4E">
        <w:t xml:space="preserve"> </w:t>
      </w:r>
      <w:r w:rsidR="00B763BC">
        <w:t>battery</w:t>
      </w:r>
      <w:r w:rsidR="3951BB9A">
        <w:t xml:space="preserve"> components</w:t>
      </w:r>
      <w:r>
        <w:t xml:space="preserve"> totalling 600 </w:t>
      </w:r>
      <w:r w:rsidR="00A62A44">
        <w:t>megawatts (</w:t>
      </w:r>
      <w:r w:rsidR="00AD3BE0">
        <w:t>MW</w:t>
      </w:r>
      <w:r w:rsidR="61E6DEDA">
        <w:t>)</w:t>
      </w:r>
      <w:r>
        <w:t xml:space="preserve"> with potential to expand. It will have an energy storage capacity of 1.6 gigawatt hours, enough to power around 200,000 homes during peak evening consumption.  </w:t>
      </w:r>
    </w:p>
    <w:p w14:paraId="4BEC57B9" w14:textId="6AA02B6F" w:rsidR="00D918B5" w:rsidRDefault="3CFD4747">
      <w:r>
        <w:t xml:space="preserve">It is also expected to create more than 155 full-time jobs, including up to 14 apprentice and training roles. </w:t>
      </w:r>
      <w:r w:rsidR="25B212E8">
        <w:t>The region also benefits from local employment and supplier opportunities, a community benefit sharing fund and best practice engagement with First Peoples.</w:t>
      </w:r>
    </w:p>
    <w:p w14:paraId="2F3DFC8C" w14:textId="49802886" w:rsidR="43C2230D" w:rsidRDefault="43C2230D" w:rsidP="10EA50A5">
      <w:r>
        <w:t>More than a dozen Melbourne-based companies have provided services and supplies to the project such as electrical works, civil construction, traffic management, landscaping and construction materials.</w:t>
      </w:r>
    </w:p>
    <w:p w14:paraId="4EE5DCD8" w14:textId="16403117" w:rsidR="00D918B5" w:rsidRDefault="002A2E47">
      <w:r>
        <w:t>Our</w:t>
      </w:r>
      <w:r w:rsidR="3CFD4747">
        <w:t xml:space="preserve"> investment is pivotal to the delivery of the project, enabling construction to begin and increas</w:t>
      </w:r>
      <w:r w:rsidR="27263024">
        <w:t>ing</w:t>
      </w:r>
      <w:r w:rsidR="3CFD4747">
        <w:t xml:space="preserve"> one of its batteries in size from two to four hours </w:t>
      </w:r>
      <w:r w:rsidR="00104757">
        <w:t>-</w:t>
      </w:r>
      <w:r w:rsidR="3CFD4747">
        <w:t xml:space="preserve"> beyond what the market would have otherwise delivered.  </w:t>
      </w:r>
    </w:p>
    <w:p w14:paraId="35AFB5AE" w14:textId="11EF11C3" w:rsidR="7945368E" w:rsidRDefault="5620290E" w:rsidP="5969B461">
      <w:r>
        <w:t>M</w:t>
      </w:r>
      <w:r w:rsidR="7945368E">
        <w:t xml:space="preserve">ore than </w:t>
      </w:r>
      <w:r w:rsidR="3ABBB3EF">
        <w:t>1,</w:t>
      </w:r>
      <w:r w:rsidR="00E3713A">
        <w:t>23</w:t>
      </w:r>
      <w:r w:rsidR="3ABBB3EF">
        <w:t>0</w:t>
      </w:r>
      <w:r w:rsidR="7945368E">
        <w:t xml:space="preserve"> people have worked across all aspects of the project, including </w:t>
      </w:r>
      <w:r w:rsidR="5EEF2DAC">
        <w:t>7</w:t>
      </w:r>
      <w:r w:rsidR="00F67E12">
        <w:t>1</w:t>
      </w:r>
      <w:r w:rsidR="7945368E">
        <w:t xml:space="preserve"> apprentices, trainees and cadets. </w:t>
      </w:r>
    </w:p>
    <w:p w14:paraId="5D27EAFC" w14:textId="06DBEEBB" w:rsidR="7945368E" w:rsidRDefault="009DBAA7">
      <w:r>
        <w:t xml:space="preserve">In the past year, </w:t>
      </w:r>
      <w:r w:rsidR="476D0930">
        <w:t>workers</w:t>
      </w:r>
      <w:r w:rsidR="7945368E">
        <w:t xml:space="preserve"> have complete</w:t>
      </w:r>
      <w:r w:rsidR="44982604">
        <w:t>d</w:t>
      </w:r>
      <w:r w:rsidR="7945368E">
        <w:t xml:space="preserve"> earthworks and other critical infrastructure to prepare the site for installation of the 444 </w:t>
      </w:r>
      <w:r w:rsidR="73A0CB9C">
        <w:t>Tesla Megapacks</w:t>
      </w:r>
      <w:r w:rsidR="7945368E">
        <w:t>, which will form three giant battery components to strengthen Victoria’s electricity network.</w:t>
      </w:r>
    </w:p>
    <w:p w14:paraId="100BF9D4" w14:textId="141ED74C" w:rsidR="7945368E" w:rsidRDefault="7945368E">
      <w:r>
        <w:t xml:space="preserve">A specialised crew worked </w:t>
      </w:r>
      <w:r w:rsidR="00532C76">
        <w:t>for</w:t>
      </w:r>
      <w:r>
        <w:t xml:space="preserve"> three days to complete a precise ‘jack and skate’ process, lifting three transformer</w:t>
      </w:r>
      <w:r w:rsidR="505DBE5E">
        <w:t>s</w:t>
      </w:r>
      <w:r>
        <w:t xml:space="preserve"> and gliding them on to their foundations. Weighing a massive 335 tonnes each, the transformers travelled to the site in the early hours of the morning to avoid traffic disruption.</w:t>
      </w:r>
    </w:p>
    <w:p w14:paraId="0FCBB89D" w14:textId="688B549C" w:rsidR="7945368E" w:rsidRDefault="7945368E">
      <w:r>
        <w:t>Workers have also extracted more than 15,000 tonnes of rock, which is being reused to build a barrier around the site, landscaped with native vegetation.</w:t>
      </w:r>
    </w:p>
    <w:p w14:paraId="1AE77789" w14:textId="2879E0CC" w:rsidR="00D918B5" w:rsidRDefault="7945368E">
      <w:r>
        <w:t>When it comes</w:t>
      </w:r>
      <w:r w:rsidR="3CFD4747">
        <w:t xml:space="preserve"> online</w:t>
      </w:r>
      <w:r w:rsidR="56F0B794">
        <w:t>,</w:t>
      </w:r>
      <w:r>
        <w:t xml:space="preserve"> </w:t>
      </w:r>
      <w:r w:rsidR="012B7F47">
        <w:t>MREH</w:t>
      </w:r>
      <w:r>
        <w:t xml:space="preserve"> will </w:t>
      </w:r>
      <w:r w:rsidR="262EF5B2">
        <w:t>add</w:t>
      </w:r>
      <w:r w:rsidR="3CFD4747">
        <w:t xml:space="preserve"> critical storage </w:t>
      </w:r>
      <w:r w:rsidR="50C436A5">
        <w:t>to</w:t>
      </w:r>
      <w:r w:rsidR="3CFD4747">
        <w:t xml:space="preserve"> Victoria’s electricity grid and contribute to the government’s target of at least 2.6 </w:t>
      </w:r>
      <w:r w:rsidR="00027217">
        <w:t>GW</w:t>
      </w:r>
      <w:r w:rsidR="3CFD4747">
        <w:t xml:space="preserve"> of energy storage capacity by 2030 and at least 6.3 </w:t>
      </w:r>
      <w:r w:rsidR="00027217">
        <w:t>GW</w:t>
      </w:r>
      <w:r w:rsidR="3CFD4747">
        <w:t xml:space="preserve"> by 2035. </w:t>
      </w:r>
    </w:p>
    <w:p w14:paraId="081A7DCD" w14:textId="63F5C30A" w:rsidR="00C53468" w:rsidRDefault="5F3EA19C" w:rsidP="00C53468">
      <w:r>
        <w:t>It</w:t>
      </w:r>
      <w:r w:rsidR="3CFD4747">
        <w:t xml:space="preserve"> is uniquely positioned at the confluence of several of Victoria's critical transmission routes to the Melbourne metropolitan load</w:t>
      </w:r>
      <w:r w:rsidR="2A07BF69">
        <w:t xml:space="preserve"> and is</w:t>
      </w:r>
      <w:r w:rsidR="3CFD4747">
        <w:t xml:space="preserve"> the only battery energy storage system in Victoria capable of supporting </w:t>
      </w:r>
      <w:r w:rsidR="2BEEF247">
        <w:t xml:space="preserve">numerous </w:t>
      </w:r>
      <w:r w:rsidR="3CFD4747">
        <w:t xml:space="preserve">Victorian Renewable Energy Zones, including </w:t>
      </w:r>
      <w:r w:rsidR="063BFF4D">
        <w:t>Western</w:t>
      </w:r>
      <w:r w:rsidR="133A7E99">
        <w:t xml:space="preserve">, North West, Central </w:t>
      </w:r>
      <w:r w:rsidR="199516A2">
        <w:t xml:space="preserve">North, </w:t>
      </w:r>
      <w:r w:rsidR="0D63DB7F">
        <w:t xml:space="preserve">Central </w:t>
      </w:r>
      <w:r w:rsidR="133A7E99">
        <w:t xml:space="preserve">Highlands and </w:t>
      </w:r>
      <w:r w:rsidR="0AF0D258">
        <w:t>South West</w:t>
      </w:r>
      <w:r w:rsidR="133A7E99">
        <w:t>.</w:t>
      </w:r>
      <w:r w:rsidR="00E71CB6">
        <w:t xml:space="preserve"> </w:t>
      </w:r>
      <w:r w:rsidR="3CFD4747">
        <w:t xml:space="preserve">It will firm up energy generated by wind and solar projects, including the </w:t>
      </w:r>
      <w:r w:rsidR="00D918B5">
        <w:t xml:space="preserve">Victorian Renewable Energy </w:t>
      </w:r>
      <w:r w:rsidR="464EB9EA">
        <w:t>Target</w:t>
      </w:r>
      <w:r w:rsidR="46A5BA21">
        <w:t xml:space="preserve"> auction</w:t>
      </w:r>
      <w:r w:rsidR="00C31751">
        <w:t xml:space="preserve"> projects,</w:t>
      </w:r>
      <w:r w:rsidR="46A5BA21">
        <w:t xml:space="preserve"> commonly known</w:t>
      </w:r>
      <w:r w:rsidR="464EB9EA">
        <w:t xml:space="preserve"> </w:t>
      </w:r>
      <w:r w:rsidR="46A5BA21">
        <w:t xml:space="preserve">as VRET 1 and </w:t>
      </w:r>
      <w:r w:rsidR="3CFD4747">
        <w:t>2</w:t>
      </w:r>
      <w:r w:rsidR="00BF6FF7">
        <w:t>,</w:t>
      </w:r>
      <w:r w:rsidR="3CFD4747">
        <w:t xml:space="preserve"> and </w:t>
      </w:r>
      <w:r w:rsidR="46A5BA21">
        <w:t>the</w:t>
      </w:r>
      <w:r w:rsidR="3CFD4747">
        <w:t xml:space="preserve"> Bulgana </w:t>
      </w:r>
      <w:r w:rsidR="46A5BA21">
        <w:t>Green Power Hub.</w:t>
      </w:r>
      <w:bookmarkStart w:id="195" w:name="_Toc203487527"/>
    </w:p>
    <w:p w14:paraId="21C16BF6" w14:textId="1DD15FEE" w:rsidR="00C53468" w:rsidRPr="00F65403" w:rsidRDefault="00C53468">
      <w:r w:rsidRPr="00F65403">
        <w:br w:type="page"/>
      </w:r>
    </w:p>
    <w:p w14:paraId="6E8880E0" w14:textId="11A70EE5" w:rsidR="00C26354" w:rsidRPr="002A2E47" w:rsidRDefault="3E37BDF2" w:rsidP="003A4F8A">
      <w:pPr>
        <w:pStyle w:val="Heading3"/>
      </w:pPr>
      <w:r>
        <w:t>Case</w:t>
      </w:r>
      <w:r w:rsidRPr="3136A937">
        <w:rPr>
          <w:rStyle w:val="Heading2Char"/>
          <w:sz w:val="24"/>
          <w:szCs w:val="24"/>
        </w:rPr>
        <w:t xml:space="preserve"> </w:t>
      </w:r>
      <w:bookmarkEnd w:id="195"/>
      <w:r w:rsidR="00E40A1F" w:rsidRPr="3136A937">
        <w:rPr>
          <w:rStyle w:val="Heading2Char"/>
          <w:sz w:val="24"/>
          <w:szCs w:val="24"/>
        </w:rPr>
        <w:t>s</w:t>
      </w:r>
      <w:r w:rsidRPr="3136A937">
        <w:rPr>
          <w:rStyle w:val="Heading2Char"/>
          <w:sz w:val="24"/>
          <w:szCs w:val="24"/>
        </w:rPr>
        <w:t xml:space="preserve">tudy: </w:t>
      </w:r>
      <w:r>
        <w:t xml:space="preserve">SEC Renewable Energy Park </w:t>
      </w:r>
      <w:r w:rsidR="00104757">
        <w:t>-</w:t>
      </w:r>
      <w:r>
        <w:t xml:space="preserve"> Horsham</w:t>
      </w:r>
    </w:p>
    <w:p w14:paraId="5AEC0BE4" w14:textId="64AB4895" w:rsidR="00C26354" w:rsidRDefault="4D060AA0" w:rsidP="002A2E47">
      <w:r>
        <w:t xml:space="preserve">SEC </w:t>
      </w:r>
      <w:r w:rsidR="57E5EEFD">
        <w:t>is</w:t>
      </w:r>
      <w:r>
        <w:t xml:space="preserve"> </w:t>
      </w:r>
      <w:r w:rsidR="57E5EEFD">
        <w:t>investing</w:t>
      </w:r>
      <w:r>
        <w:t xml:space="preserve"> $370 million in SEC Renewable Energy Park </w:t>
      </w:r>
      <w:r w:rsidR="00104757">
        <w:t>-</w:t>
      </w:r>
      <w:r>
        <w:t xml:space="preserve"> Horsham, a new solar and renewable energy storage facility near Horsham.      </w:t>
      </w:r>
    </w:p>
    <w:p w14:paraId="4283266F" w14:textId="5C05D7B5" w:rsidR="00C26354" w:rsidRDefault="002A2E47" w:rsidP="002A2E47">
      <w:r>
        <w:t>Our</w:t>
      </w:r>
      <w:r w:rsidR="4D060AA0">
        <w:t xml:space="preserve"> investment delivers one of Australia’s first 100% publicly owned utility-scale energy projects </w:t>
      </w:r>
      <w:r w:rsidR="00104757">
        <w:t>-</w:t>
      </w:r>
      <w:r w:rsidR="4D060AA0">
        <w:t xml:space="preserve"> supplying affordable, renewable, and reliable energy and putting power back into the hands of Victorians.  </w:t>
      </w:r>
    </w:p>
    <w:p w14:paraId="33C752F9" w14:textId="4A6C032B" w:rsidR="7C05A575" w:rsidRDefault="5DAEE4A7">
      <w:r>
        <w:t xml:space="preserve">In the past year, </w:t>
      </w:r>
      <w:r w:rsidR="00325308">
        <w:t>we have</w:t>
      </w:r>
      <w:r>
        <w:t xml:space="preserve"> begun</w:t>
      </w:r>
      <w:r w:rsidR="00143091">
        <w:t xml:space="preserve"> work with developer OX2 to build the facility, </w:t>
      </w:r>
      <w:r w:rsidR="6B45810B">
        <w:t xml:space="preserve">which will </w:t>
      </w:r>
      <w:r w:rsidR="7C1E60F5">
        <w:t>create</w:t>
      </w:r>
      <w:r w:rsidR="00143091">
        <w:t xml:space="preserve"> </w:t>
      </w:r>
      <w:r w:rsidR="4D060AA0">
        <w:t xml:space="preserve">around 246 </w:t>
      </w:r>
      <w:r w:rsidR="50419ED2">
        <w:t>full</w:t>
      </w:r>
      <w:r w:rsidR="7D6435DD">
        <w:t>-</w:t>
      </w:r>
      <w:r w:rsidR="50419ED2">
        <w:t xml:space="preserve">time </w:t>
      </w:r>
      <w:r w:rsidR="4D060AA0">
        <w:t>Victorian jobs during construction, including 20 roles for apprentices, trainees, and cadets</w:t>
      </w:r>
      <w:r w:rsidR="00DD6AF5">
        <w:t xml:space="preserve">, and </w:t>
      </w:r>
      <w:r w:rsidR="4D060AA0">
        <w:t xml:space="preserve">four and a half full-time equivalent jobs in operations and maintenance, including an apprentice. </w:t>
      </w:r>
      <w:r w:rsidR="3E572940">
        <w:t>Already, the project has created 115 job opportunities (</w:t>
      </w:r>
      <w:r w:rsidR="6E6B92BA">
        <w:t>including</w:t>
      </w:r>
      <w:r w:rsidR="3E572940">
        <w:t xml:space="preserve"> 75 </w:t>
      </w:r>
      <w:r w:rsidR="6E6B92BA">
        <w:t>positions for</w:t>
      </w:r>
      <w:r w:rsidR="3E572940">
        <w:t xml:space="preserve"> local </w:t>
      </w:r>
      <w:r w:rsidR="6E6B92BA">
        <w:t>people</w:t>
      </w:r>
      <w:r w:rsidR="3E572940">
        <w:t>) a</w:t>
      </w:r>
      <w:r w:rsidR="4B1B24DC">
        <w:t>s well as</w:t>
      </w:r>
      <w:r w:rsidR="3E572940">
        <w:t xml:space="preserve"> fiv</w:t>
      </w:r>
      <w:r w:rsidR="39E7DB42">
        <w:t xml:space="preserve">e </w:t>
      </w:r>
      <w:r w:rsidR="531514D8">
        <w:t>apprentices</w:t>
      </w:r>
      <w:r w:rsidR="39E7DB42">
        <w:t>.</w:t>
      </w:r>
      <w:r w:rsidR="3E572940">
        <w:t xml:space="preserve"> </w:t>
      </w:r>
      <w:r w:rsidR="4D060AA0">
        <w:t xml:space="preserve"> </w:t>
      </w:r>
    </w:p>
    <w:p w14:paraId="332D6489" w14:textId="210D7B8E" w:rsidR="00C26354" w:rsidRDefault="4D060AA0">
      <w:r>
        <w:t xml:space="preserve">Once operational, the energy park will be capable of generating around 242,000 </w:t>
      </w:r>
      <w:r w:rsidR="56865E72">
        <w:t xml:space="preserve">megawatt hours </w:t>
      </w:r>
      <w:r>
        <w:t xml:space="preserve">of renewable energy a year </w:t>
      </w:r>
      <w:r w:rsidR="00104757" w:rsidRPr="27EA6E55">
        <w:rPr>
          <w:rFonts w:eastAsiaTheme="minorEastAsia"/>
        </w:rPr>
        <w:t>-</w:t>
      </w:r>
      <w:r w:rsidRPr="28B02DC5">
        <w:rPr>
          <w:rFonts w:eastAsiaTheme="minorEastAsia"/>
        </w:rPr>
        <w:t xml:space="preserve"> </w:t>
      </w:r>
      <w:r>
        <w:t xml:space="preserve">enough to power </w:t>
      </w:r>
      <w:r w:rsidR="7ACB81E4">
        <w:t xml:space="preserve">about </w:t>
      </w:r>
      <w:r>
        <w:t xml:space="preserve">51,000 homes.  </w:t>
      </w:r>
    </w:p>
    <w:p w14:paraId="1926E4CE" w14:textId="3304F154" w:rsidR="00C26354" w:rsidRDefault="4D060AA0">
      <w:r>
        <w:t xml:space="preserve">The energy park will be built in two stages, starting with a solar facility comprising more than 212,000 PV solar panels with a total capacity of 119 </w:t>
      </w:r>
      <w:r w:rsidR="7CD76EB1">
        <w:t>megawatts</w:t>
      </w:r>
      <w:r>
        <w:t xml:space="preserve">.   </w:t>
      </w:r>
    </w:p>
    <w:p w14:paraId="58BF9979" w14:textId="4533B4E8" w:rsidR="00C26354" w:rsidRDefault="00964E0C" w:rsidP="00964E0C">
      <w:r>
        <w:t>Our</w:t>
      </w:r>
      <w:r w:rsidR="4D060AA0">
        <w:t xml:space="preserve"> investment allow</w:t>
      </w:r>
      <w:r w:rsidR="589C9D65">
        <w:t>ed</w:t>
      </w:r>
      <w:r w:rsidR="4D060AA0">
        <w:t xml:space="preserve"> work on the solar farm to start immediately and supports the addition of a 100</w:t>
      </w:r>
      <w:r w:rsidR="00AD3BE0">
        <w:t xml:space="preserve"> MW</w:t>
      </w:r>
      <w:r w:rsidR="4D060AA0">
        <w:t xml:space="preserve"> two-hour battery storage system to the project </w:t>
      </w:r>
      <w:r w:rsidR="00104757">
        <w:t>-</w:t>
      </w:r>
      <w:r w:rsidR="4D060AA0">
        <w:t xml:space="preserve"> making it one of Australia’s first integrated solar and </w:t>
      </w:r>
      <w:r w:rsidR="1B1137E2">
        <w:t>batter energy storage system</w:t>
      </w:r>
      <w:r w:rsidR="4D060AA0">
        <w:t xml:space="preserve"> projects with a single connection point.   </w:t>
      </w:r>
    </w:p>
    <w:p w14:paraId="55D44CE8" w14:textId="77777777" w:rsidR="002117FC" w:rsidRDefault="002117FC" w:rsidP="002117FC">
      <w:r>
        <w:t xml:space="preserve">The storage system will firm up the energy the solar farm generates and store renewable energy to be used at times of peak demand.  </w:t>
      </w:r>
    </w:p>
    <w:p w14:paraId="00323273" w14:textId="6A358FD1" w:rsidR="00964E0C" w:rsidRDefault="4D060AA0">
      <w:r>
        <w:t>The region will benefit from local employment and supplier opportunities, a community benefit sharing fund and best practice engagement with First Peoples.</w:t>
      </w:r>
      <w:r w:rsidR="00964E0C">
        <w:t xml:space="preserve"> </w:t>
      </w:r>
    </w:p>
    <w:p w14:paraId="24008FCB" w14:textId="726735E9" w:rsidR="00964E0C" w:rsidRDefault="0BCDDF5F">
      <w:r>
        <w:t>We have developed a benefit</w:t>
      </w:r>
      <w:r w:rsidR="1DEC4094">
        <w:t xml:space="preserve"> </w:t>
      </w:r>
      <w:r>
        <w:t>sharing engagement plan and activity schedule, sent our first project update to 6</w:t>
      </w:r>
      <w:r w:rsidR="00656BAF">
        <w:t>,</w:t>
      </w:r>
      <w:r>
        <w:t>000 residents across the region and have begun hosting community drop-in sessions.</w:t>
      </w:r>
    </w:p>
    <w:p w14:paraId="0702FDA3" w14:textId="77777777" w:rsidR="00964E0C" w:rsidRDefault="00964E0C">
      <w:r>
        <w:br w:type="page"/>
      </w:r>
    </w:p>
    <w:p w14:paraId="667111FD" w14:textId="2F8F8037" w:rsidR="550AFE66" w:rsidRPr="009F421E" w:rsidRDefault="003C1EEA" w:rsidP="6B30DA8F">
      <w:pPr>
        <w:pStyle w:val="Heading2"/>
      </w:pPr>
      <w:bookmarkStart w:id="196" w:name="_Toc203487528"/>
      <w:bookmarkStart w:id="197" w:name="_Toc203656203"/>
      <w:bookmarkStart w:id="198" w:name="_Ref207630831"/>
      <w:bookmarkStart w:id="199" w:name="_Toc747440607"/>
      <w:r>
        <w:t>Energy Markets</w:t>
      </w:r>
      <w:bookmarkEnd w:id="196"/>
      <w:bookmarkEnd w:id="197"/>
      <w:bookmarkEnd w:id="198"/>
    </w:p>
    <w:bookmarkEnd w:id="199"/>
    <w:p w14:paraId="71D93AE9" w14:textId="2362DF80" w:rsidR="550AFE66" w:rsidRPr="009F421E" w:rsidRDefault="670B3CC7" w:rsidP="00F45F3F">
      <w:pPr>
        <w:pStyle w:val="Heading3"/>
      </w:pPr>
      <w:r>
        <w:t>Retailing renewable electricity</w:t>
      </w:r>
      <w:r w:rsidR="00267408">
        <w:t xml:space="preserve"> to government and businesses</w:t>
      </w:r>
    </w:p>
    <w:p w14:paraId="751ECA98" w14:textId="4D347971" w:rsidR="6187D524" w:rsidRDefault="78B0AD5F" w:rsidP="002856BF">
      <w:r>
        <w:t xml:space="preserve">SEC </w:t>
      </w:r>
      <w:r w:rsidR="002856BF">
        <w:t xml:space="preserve">is </w:t>
      </w:r>
      <w:r>
        <w:t xml:space="preserve">helping to accelerate Victoria’s renewable energy transition by investing in wind, solar and storage, and making it easier for businesses to switch to renewable electricity and decarbonise.  </w:t>
      </w:r>
    </w:p>
    <w:p w14:paraId="6C769A0C" w14:textId="425C6F07" w:rsidR="6187D524" w:rsidRDefault="78B0AD5F" w:rsidP="47284B15">
      <w:r>
        <w:t>On 1 July 2025,</w:t>
      </w:r>
      <w:r w:rsidR="4D1CAEEF">
        <w:t xml:space="preserve"> </w:t>
      </w:r>
      <w:r w:rsidR="2D780A52">
        <w:t xml:space="preserve">for </w:t>
      </w:r>
      <w:r>
        <w:t xml:space="preserve">the </w:t>
      </w:r>
      <w:r w:rsidR="2D780A52">
        <w:t>first time in over thirty years, SEC began powering Victoria again, as the government’s retailer</w:t>
      </w:r>
      <w:r w:rsidR="1ACCD81C">
        <w:t xml:space="preserve"> We achieved this</w:t>
      </w:r>
      <w:r>
        <w:t xml:space="preserve"> </w:t>
      </w:r>
      <w:r w:rsidR="22DC0416">
        <w:t>by</w:t>
      </w:r>
      <w:r>
        <w:t xml:space="preserve"> servicing the needs of the Victorian Government, which accounts for</w:t>
      </w:r>
      <w:r w:rsidR="5813B494">
        <w:t xml:space="preserve"> around</w:t>
      </w:r>
      <w:r>
        <w:t xml:space="preserve"> 5% of Victoria’s total electricity use</w:t>
      </w:r>
      <w:r w:rsidR="504CA2CE">
        <w:t>.</w:t>
      </w:r>
    </w:p>
    <w:p w14:paraId="6EDF9A18" w14:textId="1439C4C6" w:rsidR="6187D524" w:rsidRDefault="002856BF" w:rsidP="00C064EE">
      <w:r>
        <w:t>We</w:t>
      </w:r>
      <w:r w:rsidR="78B0AD5F">
        <w:t xml:space="preserve"> </w:t>
      </w:r>
      <w:r w:rsidR="00B45570">
        <w:t xml:space="preserve">are now </w:t>
      </w:r>
      <w:r>
        <w:t>retailing renewable electricity</w:t>
      </w:r>
      <w:r w:rsidR="11C8B822">
        <w:t xml:space="preserve"> to</w:t>
      </w:r>
      <w:r w:rsidR="78B0AD5F">
        <w:t xml:space="preserve"> Victorian </w:t>
      </w:r>
      <w:r w:rsidR="5B6F233D">
        <w:t xml:space="preserve">public </w:t>
      </w:r>
      <w:r w:rsidR="78B0AD5F">
        <w:t xml:space="preserve">schools, hospitals and </w:t>
      </w:r>
      <w:r w:rsidR="00CE308F">
        <w:t>other government operations</w:t>
      </w:r>
      <w:r w:rsidR="78B0AD5F">
        <w:t xml:space="preserve">, </w:t>
      </w:r>
      <w:r w:rsidR="00CE308F">
        <w:t xml:space="preserve">supporting </w:t>
      </w:r>
      <w:r w:rsidR="78B0AD5F">
        <w:t>the Victorian Government</w:t>
      </w:r>
      <w:r w:rsidR="00CE308F">
        <w:t>’s commit</w:t>
      </w:r>
      <w:r w:rsidR="78B0AD5F">
        <w:t xml:space="preserve">ment to </w:t>
      </w:r>
      <w:r w:rsidR="00925AEC">
        <w:t xml:space="preserve">sourcing </w:t>
      </w:r>
      <w:r w:rsidR="78B0AD5F">
        <w:t xml:space="preserve">100% renewable electricity </w:t>
      </w:r>
      <w:r w:rsidR="6EFC7BC5">
        <w:t xml:space="preserve">in </w:t>
      </w:r>
      <w:r w:rsidR="78B0AD5F">
        <w:t xml:space="preserve">its operations </w:t>
      </w:r>
      <w:r w:rsidR="2B1752C7">
        <w:t xml:space="preserve">by </w:t>
      </w:r>
      <w:r w:rsidR="78B0AD5F">
        <w:t>2025.</w:t>
      </w:r>
    </w:p>
    <w:p w14:paraId="77CD09EB" w14:textId="6460EED4" w:rsidR="6187D524" w:rsidRDefault="78B0AD5F" w:rsidP="47284B15">
      <w:r>
        <w:t>This is just the beginning. Soon we will expand our offering to help Victorian commercial and industrial businesses achieve their electricity and decarbonisation goals</w:t>
      </w:r>
      <w:r w:rsidR="53DCB3FC">
        <w:t xml:space="preserve"> as part of a comprehensive market strategy</w:t>
      </w:r>
      <w:r w:rsidR="007516C2">
        <w:t>.</w:t>
      </w:r>
    </w:p>
    <w:p w14:paraId="569661A5" w14:textId="52A4EE64" w:rsidR="200EA286" w:rsidRDefault="48CAC563">
      <w:r>
        <w:t>Our vision is to be an engaged energy partner to Victorian businesses, empowering and enabling them to achieve their net zero objectives faster. We will do this by providing end-to-end energy-as-a-service solutions in partnership with the private sector and by making renewable energy accessible and affordable.</w:t>
      </w:r>
    </w:p>
    <w:p w14:paraId="6FEB6ED8" w14:textId="0EE9CF97" w:rsidR="6187D524" w:rsidRDefault="78B0AD5F" w:rsidP="47284B15">
      <w:r>
        <w:t xml:space="preserve">We will help </w:t>
      </w:r>
      <w:r w:rsidR="00B149A5">
        <w:t>our customers</w:t>
      </w:r>
      <w:r>
        <w:t xml:space="preserve"> to optimise their energy use and access solar and battery solutions through behind-the-meter power purchase agreements. </w:t>
      </w:r>
    </w:p>
    <w:p w14:paraId="3A626F4A" w14:textId="37E04FE3" w:rsidR="00FA5D7F" w:rsidRDefault="78B0AD5F" w:rsidP="02E6B863">
      <w:r>
        <w:t>We will sell renewable energy and distributed energy solutions to commercial and industrial businesses that use more than 40</w:t>
      </w:r>
      <w:r w:rsidR="00C064EE">
        <w:t xml:space="preserve"> </w:t>
      </w:r>
      <w:r w:rsidR="104F3FB5">
        <w:t xml:space="preserve">megawatt hours </w:t>
      </w:r>
      <w:r>
        <w:t xml:space="preserve">of energy </w:t>
      </w:r>
      <w:r w:rsidR="5F74D429">
        <w:t xml:space="preserve">per </w:t>
      </w:r>
      <w:r>
        <w:t xml:space="preserve">year </w:t>
      </w:r>
      <w:r w:rsidR="00104757">
        <w:t>-</w:t>
      </w:r>
      <w:r>
        <w:t xml:space="preserve"> the equivalent of around $10,000 a year. </w:t>
      </w:r>
    </w:p>
    <w:p w14:paraId="572C07E4" w14:textId="79B75B66" w:rsidR="00FA5D7F" w:rsidRDefault="78B0AD5F" w:rsidP="02E6B863">
      <w:r>
        <w:t xml:space="preserve">We will match our customers’ electricity usage with </w:t>
      </w:r>
      <w:r w:rsidR="00DF4C07">
        <w:t>large scale</w:t>
      </w:r>
      <w:r>
        <w:t xml:space="preserve"> </w:t>
      </w:r>
      <w:r w:rsidR="00AE405A">
        <w:t xml:space="preserve">generation </w:t>
      </w:r>
      <w:r>
        <w:t>certificates generated by Victorian renewable energy sources, including our own renewable energy projects, and solar farms and wind farms across the state</w:t>
      </w:r>
      <w:r w:rsidR="00887EBF">
        <w:t xml:space="preserve">. These include projects </w:t>
      </w:r>
      <w:r w:rsidR="00B23408">
        <w:t xml:space="preserve">supported through </w:t>
      </w:r>
      <w:r w:rsidR="00252E61">
        <w:t>the</w:t>
      </w:r>
      <w:r w:rsidR="002A665A">
        <w:t xml:space="preserve"> Victorian Renewable Energy Target </w:t>
      </w:r>
      <w:r w:rsidR="4D0434F1">
        <w:t>(VRET)</w:t>
      </w:r>
      <w:r w:rsidR="3403CBED">
        <w:t xml:space="preserve"> </w:t>
      </w:r>
      <w:r w:rsidR="002A665A">
        <w:t xml:space="preserve">auctions </w:t>
      </w:r>
      <w:r w:rsidR="00EE771F">
        <w:t xml:space="preserve">- </w:t>
      </w:r>
      <w:r>
        <w:t xml:space="preserve">Berrybank Wind Farm, </w:t>
      </w:r>
      <w:proofErr w:type="spellStart"/>
      <w:r>
        <w:t>Dundonnell</w:t>
      </w:r>
      <w:proofErr w:type="spellEnd"/>
      <w:r>
        <w:t xml:space="preserve"> Wind Farm, Winton Solar Farm, Glenrowan Solar Farm</w:t>
      </w:r>
      <w:r w:rsidR="00D50C89">
        <w:t>, Cohuna Solar Farm</w:t>
      </w:r>
      <w:r w:rsidR="00311C2C">
        <w:t xml:space="preserve"> </w:t>
      </w:r>
      <w:r w:rsidR="00104757">
        <w:t>-</w:t>
      </w:r>
      <w:r w:rsidR="00311C2C">
        <w:t xml:space="preserve"> </w:t>
      </w:r>
      <w:r w:rsidR="005469A7">
        <w:t>collectively the VRET projects</w:t>
      </w:r>
      <w:r w:rsidR="00EE771F">
        <w:t xml:space="preserve"> </w:t>
      </w:r>
      <w:r w:rsidR="00104757">
        <w:t>-</w:t>
      </w:r>
      <w:r w:rsidR="002A665A">
        <w:t xml:space="preserve"> </w:t>
      </w:r>
      <w:r w:rsidR="00887EBF">
        <w:t xml:space="preserve">and </w:t>
      </w:r>
      <w:r w:rsidR="00EE771F">
        <w:t>the</w:t>
      </w:r>
      <w:r w:rsidR="00887EBF">
        <w:t xml:space="preserve"> Bulgana Green Power Hub.</w:t>
      </w:r>
    </w:p>
    <w:p w14:paraId="4A69A677" w14:textId="181D18AD" w:rsidR="009769B5" w:rsidRDefault="009769B5">
      <w:r>
        <w:br w:type="page"/>
      </w:r>
    </w:p>
    <w:p w14:paraId="1EE3C72D" w14:textId="77777777" w:rsidR="00F5543F" w:rsidRDefault="00F5543F"/>
    <w:p w14:paraId="5B881993" w14:textId="77777777" w:rsidR="00EE1ED9" w:rsidRPr="00F65403" w:rsidRDefault="00EE1ED9" w:rsidP="00EE1ED9">
      <w:pPr>
        <w:pStyle w:val="Heading3"/>
      </w:pPr>
      <w:r w:rsidRPr="00F65403">
        <w:t xml:space="preserve">Progress across the year: </w:t>
      </w:r>
    </w:p>
    <w:p w14:paraId="360EC88D" w14:textId="57189688" w:rsidR="29BEE4D0" w:rsidRDefault="1CC0246A">
      <w:r>
        <w:t>In the past 12</w:t>
      </w:r>
      <w:r w:rsidR="00B23408">
        <w:t xml:space="preserve"> </w:t>
      </w:r>
      <w:r>
        <w:t xml:space="preserve">months, we </w:t>
      </w:r>
      <w:r w:rsidR="003C5511">
        <w:t xml:space="preserve">have </w:t>
      </w:r>
      <w:r>
        <w:t xml:space="preserve">developed and </w:t>
      </w:r>
      <w:r w:rsidR="003A6CD7">
        <w:t xml:space="preserve">delivered </w:t>
      </w:r>
      <w:r>
        <w:t xml:space="preserve">a comprehensive market readiness program, establishing the </w:t>
      </w:r>
      <w:r w:rsidR="3F03C41F">
        <w:t xml:space="preserve">teams, </w:t>
      </w:r>
      <w:r>
        <w:t xml:space="preserve">systems, processes and capabilities required for market </w:t>
      </w:r>
      <w:r w:rsidR="1F4F3C28">
        <w:t xml:space="preserve">trading and </w:t>
      </w:r>
      <w:r>
        <w:t xml:space="preserve">operations. </w:t>
      </w:r>
    </w:p>
    <w:p w14:paraId="5CD090F0" w14:textId="5D6E0858" w:rsidR="47451ACD" w:rsidRDefault="3500D845">
      <w:r>
        <w:t>W</w:t>
      </w:r>
      <w:r w:rsidR="629EBAFF">
        <w:t>e</w:t>
      </w:r>
      <w:r w:rsidR="6F41BF36">
        <w:t xml:space="preserve"> </w:t>
      </w:r>
      <w:r w:rsidR="629EBAFF">
        <w:t>secured</w:t>
      </w:r>
      <w:r w:rsidR="6F41BF36">
        <w:t xml:space="preserve"> the relevant </w:t>
      </w:r>
      <w:r w:rsidR="003C5511">
        <w:t xml:space="preserve">regulatory approvals and </w:t>
      </w:r>
      <w:r w:rsidR="6F41BF36">
        <w:t>licences</w:t>
      </w:r>
      <w:r w:rsidR="7C3E173B">
        <w:t>,</w:t>
      </w:r>
      <w:r w:rsidR="6F41BF36">
        <w:t xml:space="preserve"> </w:t>
      </w:r>
      <w:r w:rsidR="7C3E173B">
        <w:t>including</w:t>
      </w:r>
      <w:r w:rsidR="6F41BF36">
        <w:t xml:space="preserve"> </w:t>
      </w:r>
      <w:r w:rsidR="003C5511">
        <w:t xml:space="preserve">a retail licence </w:t>
      </w:r>
      <w:r w:rsidR="6F41BF36">
        <w:t>from Victoria's Essential Services Commission</w:t>
      </w:r>
      <w:r w:rsidR="003C5511">
        <w:t>. The</w:t>
      </w:r>
      <w:r w:rsidR="6F41BF36">
        <w:t xml:space="preserve"> Australian Energy Market Operator </w:t>
      </w:r>
      <w:r w:rsidR="00E005DF">
        <w:t xml:space="preserve">has </w:t>
      </w:r>
      <w:r w:rsidR="6F41BF36">
        <w:t xml:space="preserve">registered SEC as a </w:t>
      </w:r>
      <w:r w:rsidR="00E005DF">
        <w:t>market participant</w:t>
      </w:r>
      <w:r w:rsidR="6F41BF36">
        <w:t xml:space="preserve">, which allows us to buy and sell electricity in the National Electricity Market.  </w:t>
      </w:r>
    </w:p>
    <w:p w14:paraId="5CD0EE33" w14:textId="244545AF" w:rsidR="30810469" w:rsidRDefault="00F1291D" w:rsidP="00CC3718">
      <w:pPr>
        <w:rPr>
          <w:rFonts w:eastAsia="Arial" w:cs="Arial"/>
        </w:rPr>
      </w:pPr>
      <w:r w:rsidRPr="4CE240F3">
        <w:rPr>
          <w:rFonts w:eastAsia="Arial" w:cs="Arial"/>
        </w:rPr>
        <w:t>We negotiated and</w:t>
      </w:r>
      <w:r w:rsidR="067B529C" w:rsidRPr="4CE240F3">
        <w:rPr>
          <w:rFonts w:eastAsia="Arial" w:cs="Arial"/>
        </w:rPr>
        <w:t xml:space="preserve"> </w:t>
      </w:r>
      <w:r w:rsidR="4C46F866" w:rsidRPr="4CE240F3">
        <w:rPr>
          <w:rFonts w:eastAsia="Arial" w:cs="Arial"/>
        </w:rPr>
        <w:t xml:space="preserve">signed </w:t>
      </w:r>
      <w:r w:rsidR="30810469" w:rsidRPr="4CE240F3">
        <w:rPr>
          <w:rFonts w:eastAsia="Arial" w:cs="Arial"/>
        </w:rPr>
        <w:t xml:space="preserve">three-year contracts to retail electricity to </w:t>
      </w:r>
      <w:r w:rsidR="00CFE3DA" w:rsidRPr="4CE240F3">
        <w:rPr>
          <w:rFonts w:eastAsia="Arial" w:cs="Arial"/>
        </w:rPr>
        <w:t xml:space="preserve">Victorian </w:t>
      </w:r>
      <w:r w:rsidR="6A3D17A7" w:rsidRPr="4CE240F3">
        <w:rPr>
          <w:rFonts w:eastAsia="Arial" w:cs="Arial"/>
        </w:rPr>
        <w:t>G</w:t>
      </w:r>
      <w:r w:rsidR="30810469" w:rsidRPr="4CE240F3">
        <w:rPr>
          <w:rFonts w:eastAsia="Arial" w:cs="Arial"/>
        </w:rPr>
        <w:t xml:space="preserve">overnment customers. </w:t>
      </w:r>
    </w:p>
    <w:p w14:paraId="02A36DA8" w14:textId="1F29E027" w:rsidR="30810469" w:rsidRDefault="002803BA" w:rsidP="00CC3718">
      <w:pPr>
        <w:rPr>
          <w:rFonts w:eastAsia="Arial" w:cs="Arial"/>
        </w:rPr>
      </w:pPr>
      <w:r w:rsidRPr="71CB0A80">
        <w:rPr>
          <w:rFonts w:eastAsia="Arial" w:cs="Arial"/>
        </w:rPr>
        <w:t xml:space="preserve">On </w:t>
      </w:r>
      <w:r w:rsidR="30810469" w:rsidRPr="71CB0A80">
        <w:rPr>
          <w:rFonts w:eastAsia="Arial" w:cs="Arial"/>
        </w:rPr>
        <w:t>1 July</w:t>
      </w:r>
      <w:r w:rsidR="00606ECB" w:rsidRPr="71CB0A80">
        <w:rPr>
          <w:rFonts w:eastAsia="Arial" w:cs="Arial"/>
        </w:rPr>
        <w:t xml:space="preserve"> 2025</w:t>
      </w:r>
      <w:r w:rsidR="30810469" w:rsidRPr="71CB0A80">
        <w:rPr>
          <w:rFonts w:eastAsia="Arial" w:cs="Arial"/>
        </w:rPr>
        <w:t xml:space="preserve">, we </w:t>
      </w:r>
      <w:r w:rsidR="00E92F4C" w:rsidRPr="71CB0A80">
        <w:rPr>
          <w:rFonts w:eastAsia="Arial" w:cs="Arial"/>
        </w:rPr>
        <w:t xml:space="preserve">started </w:t>
      </w:r>
      <w:r w:rsidR="30810469" w:rsidRPr="71CB0A80">
        <w:rPr>
          <w:rFonts w:eastAsia="Arial" w:cs="Arial"/>
        </w:rPr>
        <w:t>retail</w:t>
      </w:r>
      <w:r w:rsidR="00E92F4C" w:rsidRPr="71CB0A80">
        <w:rPr>
          <w:rFonts w:eastAsia="Arial" w:cs="Arial"/>
        </w:rPr>
        <w:t>ing</w:t>
      </w:r>
      <w:r w:rsidR="30810469" w:rsidRPr="71CB0A80">
        <w:rPr>
          <w:rFonts w:eastAsia="Arial" w:cs="Arial"/>
        </w:rPr>
        <w:t xml:space="preserve"> electricity to sites covered by the State Purchase Contract Large Electricity Contract </w:t>
      </w:r>
      <w:r w:rsidR="00553444" w:rsidRPr="71CB0A80">
        <w:rPr>
          <w:rFonts w:eastAsia="Arial" w:cs="Arial"/>
        </w:rPr>
        <w:t>(</w:t>
      </w:r>
      <w:r w:rsidR="30810469" w:rsidRPr="71CB0A80">
        <w:rPr>
          <w:rFonts w:eastAsia="Arial" w:cs="Arial"/>
        </w:rPr>
        <w:t>managed by the Department of Government Services</w:t>
      </w:r>
      <w:r w:rsidR="00553444" w:rsidRPr="71CB0A80">
        <w:rPr>
          <w:rFonts w:eastAsia="Arial" w:cs="Arial"/>
        </w:rPr>
        <w:t>)</w:t>
      </w:r>
      <w:r w:rsidR="30810469" w:rsidRPr="71CB0A80">
        <w:rPr>
          <w:rFonts w:eastAsia="Arial" w:cs="Arial"/>
        </w:rPr>
        <w:t xml:space="preserve"> and the HSV Large Electricity Contract </w:t>
      </w:r>
      <w:r w:rsidR="00553444" w:rsidRPr="71CB0A80">
        <w:rPr>
          <w:rFonts w:eastAsia="Arial" w:cs="Arial"/>
        </w:rPr>
        <w:t>(</w:t>
      </w:r>
      <w:r w:rsidR="30810469" w:rsidRPr="71CB0A80">
        <w:rPr>
          <w:rFonts w:eastAsia="Arial" w:cs="Arial"/>
        </w:rPr>
        <w:t xml:space="preserve">managed by </w:t>
      </w:r>
      <w:proofErr w:type="spellStart"/>
      <w:r w:rsidR="30810469" w:rsidRPr="71CB0A80">
        <w:rPr>
          <w:rFonts w:eastAsia="Arial" w:cs="Arial"/>
        </w:rPr>
        <w:t>HealthShare</w:t>
      </w:r>
      <w:proofErr w:type="spellEnd"/>
      <w:r w:rsidR="30810469" w:rsidRPr="71CB0A80">
        <w:rPr>
          <w:rFonts w:eastAsia="Arial" w:cs="Arial"/>
        </w:rPr>
        <w:t xml:space="preserve"> Victoria</w:t>
      </w:r>
      <w:r w:rsidR="00553444" w:rsidRPr="71CB0A80">
        <w:rPr>
          <w:rFonts w:eastAsia="Arial" w:cs="Arial"/>
        </w:rPr>
        <w:t>)</w:t>
      </w:r>
      <w:r w:rsidR="30810469" w:rsidRPr="71CB0A80">
        <w:rPr>
          <w:rFonts w:eastAsia="Arial" w:cs="Arial"/>
        </w:rPr>
        <w:t xml:space="preserve">. This includes government departments and offices, </w:t>
      </w:r>
      <w:r w:rsidR="00664171" w:rsidRPr="71CB0A80">
        <w:rPr>
          <w:rFonts w:eastAsia="Arial" w:cs="Arial"/>
        </w:rPr>
        <w:t xml:space="preserve">and </w:t>
      </w:r>
      <w:r w:rsidR="30810469" w:rsidRPr="71CB0A80">
        <w:rPr>
          <w:rFonts w:eastAsia="Arial" w:cs="Arial"/>
        </w:rPr>
        <w:t>services such as Victoria Police, schools, transport, water corporations, and public hospitals.</w:t>
      </w:r>
      <w:r w:rsidR="2AC39887" w:rsidRPr="71CB0A80">
        <w:rPr>
          <w:rFonts w:eastAsia="Arial" w:cs="Arial"/>
        </w:rPr>
        <w:t xml:space="preserve"> </w:t>
      </w:r>
      <w:r w:rsidR="76CE8A7B" w:rsidRPr="71CB0A80">
        <w:rPr>
          <w:rFonts w:eastAsia="Arial" w:cs="Arial"/>
        </w:rPr>
        <w:t>Well known sites include</w:t>
      </w:r>
      <w:r w:rsidR="376CACA4" w:rsidRPr="71CB0A80">
        <w:rPr>
          <w:rFonts w:eastAsia="Arial" w:cs="Arial"/>
        </w:rPr>
        <w:t xml:space="preserve"> the</w:t>
      </w:r>
      <w:r w:rsidR="76CE8A7B" w:rsidRPr="71CB0A80">
        <w:rPr>
          <w:rFonts w:eastAsia="Arial" w:cs="Arial"/>
        </w:rPr>
        <w:t xml:space="preserve"> </w:t>
      </w:r>
      <w:r w:rsidR="6DB68EE7" w:rsidRPr="71CB0A80">
        <w:rPr>
          <w:rFonts w:eastAsia="Arial" w:cs="Arial"/>
        </w:rPr>
        <w:t xml:space="preserve">Royal Botanic Gardens, Melbourne and Werribee </w:t>
      </w:r>
      <w:r w:rsidR="3597D3FC" w:rsidRPr="71CB0A80">
        <w:rPr>
          <w:rFonts w:eastAsia="Arial" w:cs="Arial"/>
        </w:rPr>
        <w:t>z</w:t>
      </w:r>
      <w:r w:rsidR="6DB68EE7" w:rsidRPr="71CB0A80">
        <w:rPr>
          <w:rFonts w:eastAsia="Arial" w:cs="Arial"/>
        </w:rPr>
        <w:t xml:space="preserve">oos, Royal Exhibition </w:t>
      </w:r>
      <w:r w:rsidR="00D1E05E" w:rsidRPr="6C565786">
        <w:rPr>
          <w:rFonts w:eastAsia="Arial" w:cs="Arial"/>
        </w:rPr>
        <w:t>Building</w:t>
      </w:r>
      <w:r w:rsidR="4E27E411" w:rsidRPr="71CB0A80">
        <w:rPr>
          <w:rFonts w:eastAsia="Arial" w:cs="Arial"/>
        </w:rPr>
        <w:t xml:space="preserve"> and the</w:t>
      </w:r>
      <w:r w:rsidR="6DB68EE7" w:rsidRPr="71CB0A80">
        <w:rPr>
          <w:rFonts w:eastAsia="Arial" w:cs="Arial"/>
        </w:rPr>
        <w:t xml:space="preserve"> Arts Centre</w:t>
      </w:r>
      <w:r w:rsidR="5384C114" w:rsidRPr="71CB0A80">
        <w:rPr>
          <w:rFonts w:eastAsia="Arial" w:cs="Arial"/>
        </w:rPr>
        <w:t xml:space="preserve">. </w:t>
      </w:r>
      <w:r w:rsidR="1BDDAFD3" w:rsidRPr="07AA0435">
        <w:rPr>
          <w:rFonts w:eastAsia="Arial" w:cs="Arial"/>
        </w:rPr>
        <w:t>We also power facilities in</w:t>
      </w:r>
      <w:r w:rsidR="5384C114" w:rsidRPr="71CB0A80">
        <w:rPr>
          <w:rFonts w:eastAsia="Arial" w:cs="Arial"/>
        </w:rPr>
        <w:t xml:space="preserve"> regional Victoria </w:t>
      </w:r>
      <w:r w:rsidR="5384C114" w:rsidRPr="07AA0435">
        <w:rPr>
          <w:rFonts w:eastAsia="Arial" w:cs="Arial"/>
        </w:rPr>
        <w:t>includ</w:t>
      </w:r>
      <w:r w:rsidR="3FC1C060" w:rsidRPr="07AA0435">
        <w:rPr>
          <w:rFonts w:eastAsia="Arial" w:cs="Arial"/>
        </w:rPr>
        <w:t>ing</w:t>
      </w:r>
      <w:r w:rsidR="5384C114" w:rsidRPr="71CB0A80">
        <w:rPr>
          <w:rFonts w:eastAsia="Arial" w:cs="Arial"/>
        </w:rPr>
        <w:t xml:space="preserve"> the </w:t>
      </w:r>
      <w:r w:rsidR="6DB68EE7" w:rsidRPr="71CB0A80">
        <w:rPr>
          <w:rFonts w:eastAsia="Arial" w:cs="Arial"/>
        </w:rPr>
        <w:t xml:space="preserve">Morwell </w:t>
      </w:r>
      <w:r w:rsidR="59FDEAE8" w:rsidRPr="71CB0A80">
        <w:rPr>
          <w:rFonts w:eastAsia="Arial" w:cs="Arial"/>
        </w:rPr>
        <w:t>t</w:t>
      </w:r>
      <w:r w:rsidR="6DB68EE7" w:rsidRPr="71CB0A80">
        <w:rPr>
          <w:rFonts w:eastAsia="Arial" w:cs="Arial"/>
        </w:rPr>
        <w:t xml:space="preserve">rain station, Traralgon </w:t>
      </w:r>
      <w:r w:rsidR="3A10552A" w:rsidRPr="71CB0A80">
        <w:rPr>
          <w:rFonts w:eastAsia="Arial" w:cs="Arial"/>
        </w:rPr>
        <w:t>p</w:t>
      </w:r>
      <w:r w:rsidR="6DB68EE7" w:rsidRPr="71CB0A80">
        <w:rPr>
          <w:rFonts w:eastAsia="Arial" w:cs="Arial"/>
        </w:rPr>
        <w:t xml:space="preserve">olice </w:t>
      </w:r>
      <w:r w:rsidR="19620FDE" w:rsidRPr="71CB0A80">
        <w:rPr>
          <w:rFonts w:eastAsia="Arial" w:cs="Arial"/>
        </w:rPr>
        <w:t>s</w:t>
      </w:r>
      <w:r w:rsidR="6DB68EE7" w:rsidRPr="71CB0A80">
        <w:rPr>
          <w:rFonts w:eastAsia="Arial" w:cs="Arial"/>
        </w:rPr>
        <w:t>tation</w:t>
      </w:r>
      <w:r w:rsidR="39A83AE1" w:rsidRPr="71CB0A80">
        <w:rPr>
          <w:rFonts w:eastAsia="Arial" w:cs="Arial"/>
        </w:rPr>
        <w:t xml:space="preserve"> and the</w:t>
      </w:r>
      <w:r w:rsidR="6DB68EE7" w:rsidRPr="71CB0A80">
        <w:rPr>
          <w:rFonts w:eastAsia="Arial" w:cs="Arial"/>
        </w:rPr>
        <w:t xml:space="preserve"> Wimmera Base Hospital</w:t>
      </w:r>
      <w:r w:rsidR="3B087CC8" w:rsidRPr="71CB0A80">
        <w:rPr>
          <w:rFonts w:eastAsia="Arial" w:cs="Arial"/>
        </w:rPr>
        <w:t>.</w:t>
      </w:r>
    </w:p>
    <w:p w14:paraId="3F8D9C9A" w14:textId="78E853A4" w:rsidR="00FA5D7F" w:rsidRPr="00F65403" w:rsidRDefault="3AEF63D9" w:rsidP="3EDEE2AF">
      <w:r>
        <w:t xml:space="preserve">We have also worked closely </w:t>
      </w:r>
      <w:r w:rsidR="66006C0A">
        <w:t xml:space="preserve">with </w:t>
      </w:r>
      <w:r w:rsidR="6FCA68B1">
        <w:t xml:space="preserve">the Department of Energy, Environment and Climate Action </w:t>
      </w:r>
      <w:r w:rsidR="66006C0A">
        <w:t>to progress and finalise the</w:t>
      </w:r>
      <w:r w:rsidR="00F50884">
        <w:t xml:space="preserve"> transfer of</w:t>
      </w:r>
      <w:r w:rsidR="66006C0A">
        <w:t xml:space="preserve"> VRET </w:t>
      </w:r>
      <w:r w:rsidR="00BC6956">
        <w:t>and Bulgana contracts to</w:t>
      </w:r>
      <w:r w:rsidR="6F850404">
        <w:t xml:space="preserve"> </w:t>
      </w:r>
      <w:r w:rsidR="62FED93F">
        <w:t>us.</w:t>
      </w:r>
      <w:r w:rsidR="66006C0A">
        <w:t xml:space="preserve"> </w:t>
      </w:r>
    </w:p>
    <w:p w14:paraId="4D85EAD3" w14:textId="3E122A5F" w:rsidR="00B157D6" w:rsidRPr="00F65403" w:rsidRDefault="24E3D0A3" w:rsidP="3EDEE2AF">
      <w:r>
        <w:t>From 1 July 2025,</w:t>
      </w:r>
      <w:r w:rsidR="3230D3C5">
        <w:t xml:space="preserve"> the Bulgana Green Power Hub </w:t>
      </w:r>
      <w:r w:rsidR="0BCC490F">
        <w:t xml:space="preserve">as well as VRET </w:t>
      </w:r>
      <w:r w:rsidR="3230D3C5">
        <w:t>projects</w:t>
      </w:r>
      <w:r w:rsidR="0BCC490F">
        <w:t xml:space="preserve">, which include </w:t>
      </w:r>
      <w:r w:rsidR="4AF712E4">
        <w:t xml:space="preserve">Berrybank Wind Farm, Cohuna Solar Farm, </w:t>
      </w:r>
      <w:proofErr w:type="spellStart"/>
      <w:r w:rsidR="4AF712E4">
        <w:t>Dundonnell</w:t>
      </w:r>
      <w:proofErr w:type="spellEnd"/>
      <w:r w:rsidR="4AF712E4">
        <w:t xml:space="preserve"> Wind Farm, and Winton Solar </w:t>
      </w:r>
      <w:r w:rsidR="785155CF">
        <w:t>Farm will</w:t>
      </w:r>
      <w:r w:rsidR="66006C0A">
        <w:t xml:space="preserve"> supply </w:t>
      </w:r>
      <w:r w:rsidR="735EA1B0">
        <w:t>us</w:t>
      </w:r>
      <w:r w:rsidR="00F50884">
        <w:t xml:space="preserve"> </w:t>
      </w:r>
      <w:r w:rsidR="66006C0A">
        <w:t>with renewable energy from 1 July 2025.</w:t>
      </w:r>
    </w:p>
    <w:p w14:paraId="55275996" w14:textId="4CA3224D" w:rsidR="00FA5D7F" w:rsidRPr="00F65403" w:rsidRDefault="66006C0A" w:rsidP="1761A973">
      <w:r w:rsidRPr="00F65403">
        <w:t xml:space="preserve">We have also established internal capability to manage the VRET and Bulgana power purchase agreements, </w:t>
      </w:r>
      <w:r w:rsidR="0404A92B" w:rsidRPr="00F65403">
        <w:t>employing</w:t>
      </w:r>
      <w:r w:rsidRPr="00F65403">
        <w:t xml:space="preserve"> skilled people across wholesale trading, market risk, finance and appropriate systems.</w:t>
      </w:r>
    </w:p>
    <w:p w14:paraId="02030BA3" w14:textId="42AA5F31" w:rsidR="6D78C39E" w:rsidRDefault="6D78C39E">
      <w:r>
        <w:t>Graphic</w:t>
      </w:r>
    </w:p>
    <w:p w14:paraId="7A3359CE" w14:textId="7F2C2D25" w:rsidR="6D78C39E" w:rsidRDefault="6D78C39E">
      <w:r>
        <w:t>Our renewable energy generation and storage portfolio</w:t>
      </w:r>
    </w:p>
    <w:p w14:paraId="10436C83" w14:textId="23A87F5D" w:rsidR="6756004E" w:rsidRDefault="6D78C39E" w:rsidP="00AA3AC5">
      <w:pPr>
        <w:pStyle w:val="Bullet"/>
      </w:pPr>
      <w:r>
        <w:t>SEC projects</w:t>
      </w:r>
    </w:p>
    <w:p w14:paraId="1E888E5D" w14:textId="2ED880E8" w:rsidR="6D78C39E" w:rsidRDefault="6D78C39E" w:rsidP="00AA3AC5">
      <w:pPr>
        <w:pStyle w:val="Bullet"/>
      </w:pPr>
      <w:r>
        <w:t>Victorian Renewable Energy Target projects*</w:t>
      </w:r>
    </w:p>
    <w:p w14:paraId="50A47F2E" w14:textId="2D8D7CC1" w:rsidR="6D78C39E" w:rsidRDefault="6D78C39E" w:rsidP="00AA3AC5">
      <w:pPr>
        <w:pStyle w:val="Bullet"/>
      </w:pPr>
      <w:r>
        <w:t>Bulgana Green Power Hub</w:t>
      </w:r>
    </w:p>
    <w:p w14:paraId="45C56D06" w14:textId="627C0F90" w:rsidR="6D78C39E" w:rsidRDefault="6D78C39E" w:rsidP="34804F4D">
      <w:pPr>
        <w:rPr>
          <w:i/>
          <w:iCs/>
        </w:rPr>
      </w:pPr>
      <w:r w:rsidRPr="5510CA3D">
        <w:rPr>
          <w:i/>
          <w:iCs/>
        </w:rPr>
        <w:t>*</w:t>
      </w:r>
      <w:r w:rsidR="77E53A32" w:rsidRPr="5510CA3D">
        <w:rPr>
          <w:i/>
          <w:iCs/>
        </w:rPr>
        <w:t xml:space="preserve">Victorian Renewable Energy Target </w:t>
      </w:r>
      <w:r w:rsidRPr="5510CA3D">
        <w:rPr>
          <w:i/>
          <w:iCs/>
        </w:rPr>
        <w:t>projects, as well as the Bulgana Green Power Hub, provide SEC with renewable electricity and large-scale generation certificates (LGCs</w:t>
      </w:r>
      <w:r w:rsidR="00A162D6" w:rsidRPr="5510CA3D">
        <w:rPr>
          <w:i/>
          <w:iCs/>
        </w:rPr>
        <w:t>).</w:t>
      </w:r>
      <w:r w:rsidR="00A162D6" w:rsidRPr="34804F4D">
        <w:rPr>
          <w:i/>
          <w:iCs/>
        </w:rPr>
        <w:t xml:space="preserve"> This</w:t>
      </w:r>
      <w:r w:rsidRPr="34804F4D">
        <w:rPr>
          <w:i/>
          <w:iCs/>
        </w:rPr>
        <w:t>, together with electricity and LGCs generated from our own projects, will enable us to supply 100% renewable electricity to our government and business customers.</w:t>
      </w:r>
    </w:p>
    <w:p w14:paraId="244B72D1" w14:textId="4CACC159" w:rsidR="00300779" w:rsidRDefault="00300779">
      <w:r>
        <w:br w:type="page"/>
      </w:r>
    </w:p>
    <w:p w14:paraId="1CBFE1BD" w14:textId="481F41D7" w:rsidR="7E186F12" w:rsidRPr="003E714E" w:rsidRDefault="741B0E9F" w:rsidP="0047387C">
      <w:pPr>
        <w:pStyle w:val="Heading3"/>
      </w:pPr>
      <w:bookmarkStart w:id="200" w:name="_Toc983485938"/>
      <w:bookmarkStart w:id="201" w:name="_Toc1450245298"/>
      <w:bookmarkStart w:id="202" w:name="_Toc414955823"/>
      <w:bookmarkStart w:id="203" w:name="_Toc112881242"/>
      <w:bookmarkStart w:id="204" w:name="_Toc816082531"/>
      <w:bookmarkStart w:id="205" w:name="_Toc1784956691"/>
      <w:bookmarkStart w:id="206" w:name="_Toc330428284"/>
      <w:bookmarkStart w:id="207" w:name="_Toc1266125618"/>
      <w:bookmarkStart w:id="208" w:name="_Toc825939607"/>
      <w:r>
        <w:t xml:space="preserve">Case </w:t>
      </w:r>
      <w:r w:rsidR="00FF5D53">
        <w:t>s</w:t>
      </w:r>
      <w:r>
        <w:t>tudy: Preparing to enter the market</w:t>
      </w:r>
      <w:bookmarkEnd w:id="200"/>
      <w:bookmarkEnd w:id="201"/>
      <w:bookmarkEnd w:id="202"/>
      <w:bookmarkEnd w:id="203"/>
      <w:bookmarkEnd w:id="204"/>
      <w:bookmarkEnd w:id="205"/>
      <w:bookmarkEnd w:id="206"/>
      <w:bookmarkEnd w:id="207"/>
      <w:r w:rsidR="489FC52F">
        <w:t xml:space="preserve"> </w:t>
      </w:r>
      <w:bookmarkEnd w:id="208"/>
    </w:p>
    <w:p w14:paraId="3F8F1BED" w14:textId="1D76990A" w:rsidR="003F7042" w:rsidRDefault="3B02F065" w:rsidP="380AAE71">
      <w:pPr>
        <w:rPr>
          <w:rFonts w:eastAsiaTheme="minorEastAsia"/>
        </w:rPr>
      </w:pPr>
      <w:r>
        <w:t xml:space="preserve">SEC </w:t>
      </w:r>
      <w:r w:rsidR="34C71CA5">
        <w:t>undertook</w:t>
      </w:r>
      <w:r>
        <w:t xml:space="preserve"> a power of work</w:t>
      </w:r>
      <w:r w:rsidR="31DDC48E">
        <w:t xml:space="preserve"> to</w:t>
      </w:r>
      <w:r>
        <w:t xml:space="preserve"> </w:t>
      </w:r>
      <w:r w:rsidR="62DAF2B7">
        <w:t xml:space="preserve">enter </w:t>
      </w:r>
      <w:r>
        <w:t>the Victorian market as a renewable electricity retailer</w:t>
      </w:r>
      <w:r w:rsidR="3B2936B3">
        <w:t xml:space="preserve"> to government and commercial and industrial customers</w:t>
      </w:r>
      <w:r>
        <w:t>.</w:t>
      </w:r>
    </w:p>
    <w:p w14:paraId="27D73247" w14:textId="6531257E" w:rsidR="00C920FE" w:rsidRDefault="0986BEB7" w:rsidP="6F103197">
      <w:r>
        <w:t>Importantly</w:t>
      </w:r>
      <w:r w:rsidR="003F7042">
        <w:t xml:space="preserve">, we </w:t>
      </w:r>
      <w:r w:rsidR="00C920FE">
        <w:t xml:space="preserve">secured </w:t>
      </w:r>
      <w:r w:rsidR="008F6C4D">
        <w:t xml:space="preserve">all </w:t>
      </w:r>
      <w:r w:rsidR="00C920FE">
        <w:t>regula</w:t>
      </w:r>
      <w:r w:rsidR="00B157D6">
        <w:t>tory</w:t>
      </w:r>
      <w:r w:rsidR="00C920FE">
        <w:t xml:space="preserve"> approvals to allow </w:t>
      </w:r>
      <w:r w:rsidR="00511610">
        <w:t>us</w:t>
      </w:r>
      <w:r w:rsidR="00C920FE">
        <w:t xml:space="preserve"> to commence retail operations, including a retail licence from the Essential Services Commission and registration from the Australia</w:t>
      </w:r>
      <w:r w:rsidR="1029D060">
        <w:t>n</w:t>
      </w:r>
      <w:r w:rsidR="00C920FE">
        <w:t xml:space="preserve"> Energy Market Operator.</w:t>
      </w:r>
    </w:p>
    <w:p w14:paraId="65218343" w14:textId="77AA83AC" w:rsidR="00C920FE" w:rsidRDefault="00C920FE" w:rsidP="6F103197">
      <w:r>
        <w:t xml:space="preserve">We also secured regulatory approvals to manage financial risks associated with </w:t>
      </w:r>
      <w:r w:rsidR="00511610">
        <w:t>our</w:t>
      </w:r>
      <w:r>
        <w:t xml:space="preserve"> market trading and settlement activities, including an Australian Financial Services Licence from the Australian Securities and Investments Commission and </w:t>
      </w:r>
      <w:proofErr w:type="spellStart"/>
      <w:r>
        <w:t>Austraclear</w:t>
      </w:r>
      <w:proofErr w:type="spellEnd"/>
      <w:r>
        <w:t xml:space="preserve"> Participant status from the Australian Stock Exchange.</w:t>
      </w:r>
    </w:p>
    <w:p w14:paraId="0F06590A" w14:textId="1542DE5F" w:rsidR="00C920FE" w:rsidRPr="00C920FE" w:rsidRDefault="00C920FE" w:rsidP="6F103197">
      <w:r>
        <w:t xml:space="preserve">To support these applications, we </w:t>
      </w:r>
      <w:r w:rsidR="5D9799DC">
        <w:t xml:space="preserve">developed </w:t>
      </w:r>
      <w:r>
        <w:t>and produced policies, procedures, proofs and documentation, such as signed contracts</w:t>
      </w:r>
      <w:r w:rsidR="005D69EF">
        <w:t xml:space="preserve"> and audited financial statements</w:t>
      </w:r>
      <w:r>
        <w:t>. These cover all parts of the business, including governance, finance, energy markets, risk, human resources and legal.</w:t>
      </w:r>
    </w:p>
    <w:p w14:paraId="702F2D3C" w14:textId="16DA64EB" w:rsidR="003F7042" w:rsidRPr="003F7042" w:rsidRDefault="00C920FE" w:rsidP="6F103197">
      <w:pPr>
        <w:rPr>
          <w:rFonts w:eastAsiaTheme="minorEastAsia"/>
        </w:rPr>
      </w:pPr>
      <w:r>
        <w:t>We also</w:t>
      </w:r>
      <w:r w:rsidR="003F7042">
        <w:t xml:space="preserve"> developed and delivered the processes and technology required to </w:t>
      </w:r>
      <w:r>
        <w:t xml:space="preserve">support our retail operations, </w:t>
      </w:r>
      <w:r w:rsidR="003F7042">
        <w:t xml:space="preserve">including recruiting and training a high-performance customer team and </w:t>
      </w:r>
      <w:r w:rsidR="3A6B0658">
        <w:t>partnering</w:t>
      </w:r>
      <w:r w:rsidR="003F7042">
        <w:t xml:space="preserve"> with our utility technology partner, Tally Group.</w:t>
      </w:r>
    </w:p>
    <w:p w14:paraId="5CE74457" w14:textId="77777777" w:rsidR="003F7042" w:rsidRPr="003F7042" w:rsidRDefault="003F7042" w:rsidP="6F103197">
      <w:pPr>
        <w:rPr>
          <w:rFonts w:eastAsiaTheme="minorEastAsia"/>
        </w:rPr>
      </w:pPr>
      <w:r>
        <w:t>We developed a comprehensive customer operations manual, including governance and reporting processes, to define how the team will work to provide accurate and timely billing and an exceptional customer experience.</w:t>
      </w:r>
    </w:p>
    <w:p w14:paraId="2F35AD06" w14:textId="77777777" w:rsidR="003F7042" w:rsidRPr="003F7042" w:rsidRDefault="003F7042" w:rsidP="6F103197">
      <w:pPr>
        <w:rPr>
          <w:rFonts w:eastAsiaTheme="minorEastAsia"/>
          <w:szCs w:val="24"/>
        </w:rPr>
      </w:pPr>
      <w:r>
        <w:t xml:space="preserve">We also developed the processes to ensure Victorian Government customers' safe and effective onboarding. </w:t>
      </w:r>
    </w:p>
    <w:p w14:paraId="393B9CD7" w14:textId="7D6A4CAF" w:rsidR="003F7042" w:rsidRPr="003F7042" w:rsidRDefault="003F7042" w:rsidP="02910CC0">
      <w:pPr>
        <w:rPr>
          <w:rFonts w:eastAsiaTheme="minorEastAsia"/>
        </w:rPr>
      </w:pPr>
      <w:r>
        <w:t xml:space="preserve">Onboarding activities began in April 2025 and included uploading customer account data, setting up accounts in </w:t>
      </w:r>
      <w:r w:rsidR="00582B3E">
        <w:t xml:space="preserve">our </w:t>
      </w:r>
      <w:r>
        <w:t xml:space="preserve">Tally </w:t>
      </w:r>
      <w:r w:rsidR="00582B3E">
        <w:t xml:space="preserve">system </w:t>
      </w:r>
      <w:r>
        <w:t xml:space="preserve">and starting to raise transactions in the market. </w:t>
      </w:r>
    </w:p>
    <w:p w14:paraId="699B52E6" w14:textId="068C00FF" w:rsidR="00AE7015" w:rsidRDefault="003F7042">
      <w:r>
        <w:t xml:space="preserve">In May 2025, we hit our final market readiness targets, ensuring we </w:t>
      </w:r>
      <w:r w:rsidR="00553E1F">
        <w:t>could</w:t>
      </w:r>
      <w:r>
        <w:t xml:space="preserve"> operate as an electricity retailer </w:t>
      </w:r>
      <w:r w:rsidR="00592F34">
        <w:t xml:space="preserve">on </w:t>
      </w:r>
      <w:r>
        <w:t xml:space="preserve">1 July 2025, when our retail contracts </w:t>
      </w:r>
      <w:r w:rsidR="00FA049A">
        <w:t>began</w:t>
      </w:r>
      <w:r>
        <w:t>, and we start</w:t>
      </w:r>
      <w:r w:rsidR="00FA049A">
        <w:t>ed</w:t>
      </w:r>
      <w:r>
        <w:t xml:space="preserve"> to bill our customers.</w:t>
      </w:r>
    </w:p>
    <w:p w14:paraId="5F84DF87" w14:textId="0A2ECDF7" w:rsidR="00AE7015" w:rsidRDefault="00AE7015">
      <w:r>
        <w:br w:type="page"/>
      </w:r>
    </w:p>
    <w:p w14:paraId="5C1D1514" w14:textId="0B186CCF" w:rsidR="00C26354" w:rsidRDefault="006909B7" w:rsidP="008D2F67">
      <w:pPr>
        <w:pStyle w:val="Heading2"/>
      </w:pPr>
      <w:bookmarkStart w:id="209" w:name="_Toc203487529"/>
      <w:bookmarkStart w:id="210" w:name="_Toc203656204"/>
      <w:bookmarkStart w:id="211" w:name="_Toc89945552"/>
      <w:r>
        <w:t>Consumer Energy Solutions</w:t>
      </w:r>
      <w:bookmarkEnd w:id="209"/>
      <w:bookmarkEnd w:id="210"/>
      <w:bookmarkEnd w:id="211"/>
    </w:p>
    <w:p w14:paraId="12297C19" w14:textId="3F354F10" w:rsidR="008D2F67" w:rsidRPr="008D2F67" w:rsidRDefault="008D2F67" w:rsidP="00F70293">
      <w:pPr>
        <w:pStyle w:val="Heading3"/>
      </w:pPr>
      <w:bookmarkStart w:id="212" w:name="_Toc183098485"/>
      <w:bookmarkStart w:id="213" w:name="_Toc183098719"/>
      <w:bookmarkStart w:id="214" w:name="_Toc200631672"/>
      <w:bookmarkStart w:id="215" w:name="_Toc842541748"/>
      <w:bookmarkStart w:id="216" w:name="_Toc656307727"/>
      <w:bookmarkStart w:id="217" w:name="_Toc1549292551"/>
      <w:bookmarkStart w:id="218" w:name="_Toc201222697"/>
      <w:r>
        <w:t>Helping households to go all-electric</w:t>
      </w:r>
      <w:bookmarkEnd w:id="212"/>
      <w:bookmarkEnd w:id="213"/>
      <w:bookmarkEnd w:id="214"/>
      <w:bookmarkEnd w:id="215"/>
      <w:bookmarkEnd w:id="216"/>
      <w:bookmarkEnd w:id="217"/>
      <w:r>
        <w:t xml:space="preserve"> </w:t>
      </w:r>
      <w:bookmarkEnd w:id="218"/>
    </w:p>
    <w:p w14:paraId="0ECFA01A" w14:textId="775A25B3" w:rsidR="008A39C6" w:rsidRDefault="1DF87764" w:rsidP="008A39C6">
      <w:r>
        <w:t xml:space="preserve">SEC </w:t>
      </w:r>
      <w:r w:rsidR="1DDC5577">
        <w:t>is focusing on having</w:t>
      </w:r>
      <w:r w:rsidR="622720FF">
        <w:t xml:space="preserve"> a meaningful impact </w:t>
      </w:r>
      <w:r w:rsidR="2D9CD524">
        <w:t xml:space="preserve">to Victorians </w:t>
      </w:r>
      <w:r w:rsidR="00104757">
        <w:t>-</w:t>
      </w:r>
      <w:r w:rsidR="622720FF">
        <w:t xml:space="preserve"> providing households with trusted, simple information, products and services to help them go electric.</w:t>
      </w:r>
    </w:p>
    <w:p w14:paraId="48894A31" w14:textId="172A457B" w:rsidR="00433D65" w:rsidRDefault="00EC2A70">
      <w:r>
        <w:t xml:space="preserve">Electric homes are cheaper to run, healthier to live in and better for the planet. Switching heating, hot water and other appliances from gas to electric will help reduce energy bills and emissions. In fact, modelling shows that whole home electrification can lower the average detached house energy bills significantly (around </w:t>
      </w:r>
      <w:r w:rsidR="00104FFB">
        <w:t>40</w:t>
      </w:r>
      <w:r w:rsidR="00AD3BE0">
        <w:t>%</w:t>
      </w:r>
      <w:r>
        <w:t>, or $1,</w:t>
      </w:r>
      <w:r w:rsidR="00104FFB">
        <w:t>7</w:t>
      </w:r>
      <w:r>
        <w:t xml:space="preserve">00 a year, by switching to all-electric, or around </w:t>
      </w:r>
      <w:r w:rsidR="00433D65">
        <w:t>66</w:t>
      </w:r>
      <w:r w:rsidR="00AD3BE0">
        <w:t>%</w:t>
      </w:r>
      <w:r>
        <w:t xml:space="preserve"> </w:t>
      </w:r>
      <w:r w:rsidR="00104757">
        <w:t>-</w:t>
      </w:r>
      <w:r>
        <w:t xml:space="preserve"> more than $2,700 a year </w:t>
      </w:r>
      <w:r w:rsidR="00104757">
        <w:t>-</w:t>
      </w:r>
      <w:r>
        <w:t xml:space="preserve"> by </w:t>
      </w:r>
      <w:r w:rsidR="2ED08B84">
        <w:t xml:space="preserve">also </w:t>
      </w:r>
      <w:r>
        <w:t>adding solar)</w:t>
      </w:r>
      <w:r w:rsidRPr="6D95E0BA">
        <w:rPr>
          <w:rStyle w:val="FootnoteReference"/>
        </w:rPr>
        <w:footnoteReference w:id="2"/>
      </w:r>
      <w:r>
        <w:t xml:space="preserve">. </w:t>
      </w:r>
    </w:p>
    <w:p w14:paraId="6F3B48DF" w14:textId="5E89DD8F" w:rsidR="00EC2A70" w:rsidRDefault="00CA5EE5">
      <w:r>
        <w:t>We are</w:t>
      </w:r>
      <w:r w:rsidR="00EC2A70" w:rsidRPr="00EC2A70">
        <w:t xml:space="preserve"> ensuring more Victorians benefit from the renewable energy transition by supporting households to go electric. We’re helping Victorian households to reduce their energy bills and emissions by offering simple and practical solutions to help them switch to electric and improve their understanding of the support available to make the switch. </w:t>
      </w:r>
    </w:p>
    <w:p w14:paraId="6D18D430" w14:textId="447BD385" w:rsidR="47604A01" w:rsidRDefault="00EC2A70" w:rsidP="7C35E150">
      <w:r>
        <w:t xml:space="preserve">We’re creating simple and affordable products and services that unlock financial and environmental benefits, developing products and services that accelerate the switch to all-electric homes and fill market gaps. </w:t>
      </w:r>
    </w:p>
    <w:p w14:paraId="0743D908" w14:textId="6BF62CBF" w:rsidR="47604A01" w:rsidRDefault="4E962068" w:rsidP="7C35E150">
      <w:r>
        <w:t>We are working to address challenges such as:</w:t>
      </w:r>
    </w:p>
    <w:p w14:paraId="405CCEEC" w14:textId="0F40A5F8" w:rsidR="47604A01" w:rsidRPr="006512F3" w:rsidRDefault="3427FC18" w:rsidP="7C35E150">
      <w:pPr>
        <w:pStyle w:val="Bullet"/>
        <w:spacing w:before="0" w:after="160"/>
      </w:pPr>
      <w:r>
        <w:t>a</w:t>
      </w:r>
      <w:r w:rsidR="44AD4E62">
        <w:t xml:space="preserve">vailability of information </w:t>
      </w:r>
      <w:r w:rsidR="00104757">
        <w:t>-</w:t>
      </w:r>
      <w:r w:rsidR="44AD4E62">
        <w:t xml:space="preserve"> there is a genuine lack of awareness and understanding of the benefits of electrification</w:t>
      </w:r>
    </w:p>
    <w:p w14:paraId="77DAAD70" w14:textId="5CDBD733" w:rsidR="47604A01" w:rsidRPr="006512F3" w:rsidRDefault="4F8ED75B" w:rsidP="7C35E150">
      <w:pPr>
        <w:pStyle w:val="Bullet"/>
        <w:spacing w:before="0" w:after="160"/>
        <w:rPr>
          <w:rFonts w:asciiTheme="minorHAnsi" w:eastAsiaTheme="minorEastAsia" w:hAnsiTheme="minorHAnsi" w:hint="eastAsia"/>
        </w:rPr>
      </w:pPr>
      <w:r>
        <w:t>c</w:t>
      </w:r>
      <w:r w:rsidR="44AD4E62">
        <w:t xml:space="preserve">omplexity </w:t>
      </w:r>
      <w:r w:rsidR="00104757">
        <w:t>-</w:t>
      </w:r>
      <w:r w:rsidR="44AD4E62">
        <w:t xml:space="preserve"> consumers want simple solutions</w:t>
      </w:r>
    </w:p>
    <w:p w14:paraId="67530D3D" w14:textId="788D914B" w:rsidR="47604A01" w:rsidRPr="006512F3" w:rsidRDefault="0A20F685" w:rsidP="7C35E150">
      <w:pPr>
        <w:pStyle w:val="Bullet"/>
        <w:spacing w:before="0" w:after="160"/>
      </w:pPr>
      <w:r>
        <w:t>t</w:t>
      </w:r>
      <w:r w:rsidR="44AD4E62">
        <w:t xml:space="preserve">rust - </w:t>
      </w:r>
      <w:r w:rsidR="7C5FE620">
        <w:t xml:space="preserve">how to find reputable, trusted </w:t>
      </w:r>
      <w:r w:rsidR="61702198">
        <w:t>installers</w:t>
      </w:r>
    </w:p>
    <w:p w14:paraId="2855CEB7" w14:textId="2FDB14C0" w:rsidR="47604A01" w:rsidRPr="006512F3" w:rsidRDefault="122E62FE" w:rsidP="7C35E150">
      <w:pPr>
        <w:pStyle w:val="Bullet"/>
        <w:spacing w:before="0" w:after="160"/>
      </w:pPr>
      <w:r>
        <w:t>a</w:t>
      </w:r>
      <w:r w:rsidR="44AD4E62">
        <w:t>ffordability - upfront costs of installing new appliances.</w:t>
      </w:r>
    </w:p>
    <w:p w14:paraId="090F898E" w14:textId="79781FE5" w:rsidR="00A73AD0" w:rsidRDefault="00A73AD0" w:rsidP="69D8D911">
      <w:pPr>
        <w:spacing w:before="240" w:after="240"/>
      </w:pPr>
      <w:r>
        <w:t xml:space="preserve">We can’t solve this alone, and we are working with partners, including financiers, consumer advocacy groups and all levels of government, to overcome these challenges. </w:t>
      </w:r>
    </w:p>
    <w:p w14:paraId="672C7513" w14:textId="77777777" w:rsidR="00F7429D" w:rsidRPr="00F65403" w:rsidRDefault="00F7429D" w:rsidP="00F7429D">
      <w:pPr>
        <w:pStyle w:val="Heading3"/>
      </w:pPr>
      <w:r w:rsidRPr="00F65403">
        <w:t xml:space="preserve">Progress across the year: </w:t>
      </w:r>
    </w:p>
    <w:p w14:paraId="0D748D57" w14:textId="7730A28A" w:rsidR="00253293" w:rsidRPr="00253293" w:rsidRDefault="00253293" w:rsidP="00DB3B50">
      <w:pPr>
        <w:rPr>
          <w:rFonts w:eastAsiaTheme="minorEastAsia"/>
          <w:b/>
        </w:rPr>
      </w:pPr>
      <w:r w:rsidRPr="7A74DAC1">
        <w:t>SEC is developing a one-stop shop to help Victorians navigate the process of going electric to cut their energy bills and emissions.</w:t>
      </w:r>
    </w:p>
    <w:p w14:paraId="137B27AB" w14:textId="6CA8C0B8" w:rsidR="00253293" w:rsidRPr="00253293" w:rsidRDefault="00253293" w:rsidP="4CE240F3">
      <w:pPr>
        <w:rPr>
          <w:rFonts w:eastAsiaTheme="minorEastAsia"/>
          <w:b/>
          <w:bCs/>
        </w:rPr>
      </w:pPr>
      <w:r>
        <w:t>In August 2024, we launched the first of a series of pilots for our electric home planner, which takes the guesswork out of going electric. The online tool walks users through a short survey about their home and energy use and then tailors a plan to cut their energy bills by electrifying their homes and switching to energy efficient electric appliances.</w:t>
      </w:r>
    </w:p>
    <w:p w14:paraId="52D6CAEC" w14:textId="6D192A2E" w:rsidR="05399254" w:rsidRDefault="05399254" w:rsidP="59660013">
      <w:pPr>
        <w:rPr>
          <w:rFonts w:eastAsiaTheme="minorEastAsia"/>
        </w:rPr>
      </w:pPr>
      <w:r>
        <w:t xml:space="preserve">We </w:t>
      </w:r>
      <w:r w:rsidR="7ACBFB17">
        <w:t xml:space="preserve">showcased the planner at the </w:t>
      </w:r>
      <w:r>
        <w:t>Home Show in Melbourne, speaking to 1</w:t>
      </w:r>
      <w:r w:rsidR="6CD6B54E">
        <w:t>,</w:t>
      </w:r>
      <w:r>
        <w:t>500 people over three days. Around 250 people developed a plan to electrify their homes using our tool at SEC's stand.</w:t>
      </w:r>
    </w:p>
    <w:p w14:paraId="4F8A15CE" w14:textId="26911A1D" w:rsidR="00253293" w:rsidRPr="00F65403" w:rsidRDefault="44F95DFF" w:rsidP="2D0C3242">
      <w:pPr>
        <w:rPr>
          <w:rFonts w:eastAsiaTheme="minorEastAsia"/>
          <w:b/>
          <w:bCs/>
        </w:rPr>
      </w:pPr>
      <w:r>
        <w:t xml:space="preserve">Our </w:t>
      </w:r>
      <w:r w:rsidR="084392DA">
        <w:t>planner</w:t>
      </w:r>
      <w:r w:rsidR="15770FA5">
        <w:t>, which</w:t>
      </w:r>
      <w:r w:rsidR="5B798FB9">
        <w:t xml:space="preserve"> has </w:t>
      </w:r>
      <w:r w:rsidR="03369432">
        <w:t xml:space="preserve">since </w:t>
      </w:r>
      <w:r w:rsidR="5B798FB9">
        <w:t>received more than 14,000 visits</w:t>
      </w:r>
      <w:r w:rsidR="084392DA">
        <w:t xml:space="preserve">, calculates all the upfront costs, annual bill savings, return on investment, </w:t>
      </w:r>
      <w:r w:rsidR="75286876">
        <w:t>and</w:t>
      </w:r>
      <w:r w:rsidR="084392DA">
        <w:t xml:space="preserve"> applies government discounts and rebates</w:t>
      </w:r>
      <w:r w:rsidR="215345BD">
        <w:t>.</w:t>
      </w:r>
      <w:r w:rsidR="00A025E3">
        <w:t xml:space="preserve"> </w:t>
      </w:r>
      <w:r w:rsidR="00C2080A">
        <w:t xml:space="preserve">In </w:t>
      </w:r>
      <w:r w:rsidR="00A025E3">
        <w:t xml:space="preserve">select local government areas it </w:t>
      </w:r>
      <w:r w:rsidR="378F147D">
        <w:t xml:space="preserve">connects users to </w:t>
      </w:r>
      <w:r w:rsidR="4F4F84C5">
        <w:t>initial</w:t>
      </w:r>
      <w:r w:rsidR="378F147D">
        <w:t xml:space="preserve"> suppliers and installers. </w:t>
      </w:r>
    </w:p>
    <w:p w14:paraId="09C236D0" w14:textId="77777777" w:rsidR="00253293" w:rsidRPr="00253293" w:rsidRDefault="00253293" w:rsidP="00DB3B50">
      <w:pPr>
        <w:rPr>
          <w:rFonts w:eastAsiaTheme="minorEastAsia"/>
          <w:b/>
        </w:rPr>
      </w:pPr>
      <w:r w:rsidRPr="183987F2">
        <w:t xml:space="preserve">Households only pay installers if they wish to proceed with upgrades, when the time is right for them.  </w:t>
      </w:r>
    </w:p>
    <w:p w14:paraId="4E2A2919" w14:textId="02AA7D52" w:rsidR="3B105E09" w:rsidRDefault="3B105E09">
      <w:r>
        <w:t xml:space="preserve">Since August 2024, we have run pilots in several regional and metropolitan </w:t>
      </w:r>
      <w:r w:rsidR="6030435F">
        <w:t>local government areas, testing different elements of our offering.</w:t>
      </w:r>
      <w:r w:rsidR="00DA217B">
        <w:t xml:space="preserve"> </w:t>
      </w:r>
      <w:r w:rsidR="22071C09" w:rsidRPr="23BA427D">
        <w:rPr>
          <w:rFonts w:eastAsiaTheme="minorEastAsia"/>
        </w:rPr>
        <w:t>The pilots were a key step as we work to develop a full-service SEC one-stop shop to help Victorians cut their energy bills and emissions.</w:t>
      </w:r>
    </w:p>
    <w:p w14:paraId="3A450B65" w14:textId="56A8C57A" w:rsidR="00253293" w:rsidRPr="00253293" w:rsidRDefault="00253293" w:rsidP="00DB3B50">
      <w:pPr>
        <w:rPr>
          <w:rFonts w:eastAsiaTheme="minorEastAsia"/>
          <w:b/>
        </w:rPr>
      </w:pPr>
      <w:r w:rsidRPr="183987F2">
        <w:t xml:space="preserve">The service will ensure Victorian families have all the information they need to make their homes more energy efficient </w:t>
      </w:r>
      <w:r w:rsidR="00104757">
        <w:t>-</w:t>
      </w:r>
      <w:r w:rsidRPr="183987F2">
        <w:t xml:space="preserve"> whether that’s for an appliance that has already broken down or planning for the future.</w:t>
      </w:r>
    </w:p>
    <w:p w14:paraId="3552516F" w14:textId="659BB5CD" w:rsidR="77414E85" w:rsidRDefault="00253293" w:rsidP="00DB3B50">
      <w:r>
        <w:br w:type="page"/>
      </w:r>
    </w:p>
    <w:p w14:paraId="73A76161" w14:textId="3C9686D6" w:rsidR="006E617E" w:rsidRDefault="5A304459" w:rsidP="00652996">
      <w:pPr>
        <w:pStyle w:val="Heading3"/>
      </w:pPr>
      <w:r>
        <w:t>One-stop shop</w:t>
      </w:r>
      <w:r w:rsidR="00652996">
        <w:t xml:space="preserve"> </w:t>
      </w:r>
    </w:p>
    <w:p w14:paraId="3BD5051B" w14:textId="57DA6B34" w:rsidR="4E617EE1" w:rsidRPr="007C538B" w:rsidRDefault="6AA5D9FE" w:rsidP="00AA3AC5">
      <w:pPr>
        <w:pStyle w:val="Heading3"/>
        <w:rPr>
          <w:rFonts w:eastAsiaTheme="minorHAnsi" w:cstheme="minorBidi"/>
          <w:b w:val="0"/>
          <w:szCs w:val="22"/>
        </w:rPr>
      </w:pPr>
      <w:r w:rsidRPr="007C538B">
        <w:rPr>
          <w:rFonts w:eastAsiaTheme="minorHAnsi" w:cstheme="minorBidi"/>
          <w:b w:val="0"/>
          <w:szCs w:val="22"/>
        </w:rPr>
        <w:t xml:space="preserve">From 2026, through the one-stop shop, Victorian households will have access to: </w:t>
      </w:r>
    </w:p>
    <w:p w14:paraId="51995BFD" w14:textId="2D3FC4AF" w:rsidR="4E617EE1" w:rsidRPr="007C538B" w:rsidRDefault="6AA5D9FE" w:rsidP="00ED465D">
      <w:pPr>
        <w:pStyle w:val="Bullet"/>
        <w:rPr>
          <w:b/>
        </w:rPr>
      </w:pPr>
      <w:r w:rsidRPr="007C538B">
        <w:t xml:space="preserve">consumer portal: tailored guidance on the benefits of going all-electric </w:t>
      </w:r>
    </w:p>
    <w:p w14:paraId="7BBC6014" w14:textId="66350814" w:rsidR="4E617EE1" w:rsidRPr="007C538B" w:rsidRDefault="6AA5D9FE" w:rsidP="00ED465D">
      <w:pPr>
        <w:pStyle w:val="Bullet"/>
        <w:rPr>
          <w:b/>
        </w:rPr>
      </w:pPr>
      <w:r w:rsidRPr="007C538B">
        <w:t xml:space="preserve">household electrification recommendations: expert advice from multiple channels </w:t>
      </w:r>
    </w:p>
    <w:p w14:paraId="0DD67FC6" w14:textId="0482B24E" w:rsidR="4E617EE1" w:rsidRPr="007C538B" w:rsidRDefault="6AA5D9FE" w:rsidP="00ED465D">
      <w:pPr>
        <w:pStyle w:val="Bullet"/>
        <w:rPr>
          <w:b/>
        </w:rPr>
      </w:pPr>
      <w:r w:rsidRPr="007C538B">
        <w:t xml:space="preserve">installer marketplace: connection to local and trusted SEC-endorsed installers in select local government areas for obligation-free, tailored quotes </w:t>
      </w:r>
    </w:p>
    <w:p w14:paraId="41C949B9" w14:textId="417E915F" w:rsidR="4E617EE1" w:rsidRPr="007C538B" w:rsidRDefault="6AA5D9FE" w:rsidP="00ED465D">
      <w:pPr>
        <w:pStyle w:val="Bullet"/>
        <w:rPr>
          <w:b/>
        </w:rPr>
      </w:pPr>
      <w:r w:rsidRPr="007C538B">
        <w:t xml:space="preserve">product marketplace: comparisons between endorsed products across various capabilities and price points </w:t>
      </w:r>
    </w:p>
    <w:p w14:paraId="559AEA32" w14:textId="72670AF7" w:rsidR="4E617EE1" w:rsidRPr="007C538B" w:rsidRDefault="6AA5D9FE" w:rsidP="00ED465D">
      <w:pPr>
        <w:pStyle w:val="Bullet"/>
        <w:rPr>
          <w:b/>
        </w:rPr>
      </w:pPr>
      <w:r w:rsidRPr="007C538B">
        <w:t>market information and platforms: streamlined access to government rebates and low-interest financing.</w:t>
      </w:r>
    </w:p>
    <w:p w14:paraId="4B7ECDFE" w14:textId="6C3E541A" w:rsidR="4E617EE1" w:rsidRDefault="4E617EE1" w:rsidP="4E617EE1">
      <w:pPr>
        <w:pStyle w:val="Bullet"/>
        <w:numPr>
          <w:ilvl w:val="0"/>
          <w:numId w:val="0"/>
        </w:numPr>
      </w:pPr>
    </w:p>
    <w:p w14:paraId="7855481A" w14:textId="709B99DE" w:rsidR="53D1273E" w:rsidRPr="00C73584" w:rsidRDefault="447BF374" w:rsidP="003A4F8A">
      <w:pPr>
        <w:pStyle w:val="Heading3"/>
      </w:pPr>
      <w:bookmarkStart w:id="219" w:name="_Toc200631673"/>
      <w:bookmarkStart w:id="220" w:name="_Toc1268801127"/>
      <w:bookmarkStart w:id="221" w:name="_Toc2040384265"/>
      <w:bookmarkStart w:id="222" w:name="_Toc1366589175"/>
      <w:bookmarkStart w:id="223" w:name="_Toc694200670"/>
      <w:bookmarkStart w:id="224" w:name="_Toc2122067757"/>
      <w:bookmarkStart w:id="225" w:name="_Toc402790962"/>
      <w:r>
        <w:t xml:space="preserve">Case </w:t>
      </w:r>
      <w:bookmarkEnd w:id="219"/>
      <w:bookmarkEnd w:id="220"/>
      <w:r w:rsidR="00FF5D53">
        <w:t>s</w:t>
      </w:r>
      <w:r>
        <w:t xml:space="preserve">tudy: </w:t>
      </w:r>
      <w:r w:rsidR="429795B9">
        <w:t>Our pilots in action</w:t>
      </w:r>
      <w:bookmarkEnd w:id="221"/>
      <w:bookmarkEnd w:id="222"/>
      <w:bookmarkEnd w:id="223"/>
      <w:bookmarkEnd w:id="224"/>
      <w:bookmarkEnd w:id="225"/>
    </w:p>
    <w:p w14:paraId="6EDBD8CB" w14:textId="7659F6AB" w:rsidR="00AC798D" w:rsidRDefault="00AC798D" w:rsidP="00AC798D">
      <w:r>
        <w:t>When Veronique and her partner moved into their double-storey Brunswick townhouse in late 2024, they were keen to go electric as soon as possible.</w:t>
      </w:r>
    </w:p>
    <w:p w14:paraId="6AFF4944" w14:textId="30EF3BA0" w:rsidR="00AC798D" w:rsidRDefault="00AC798D" w:rsidP="00AC798D">
      <w:r>
        <w:t>Their motivation for switching to electric was two-fold.</w:t>
      </w:r>
    </w:p>
    <w:p w14:paraId="5409254A" w14:textId="4FBC4336" w:rsidR="00AC798D" w:rsidRDefault="00AC798D" w:rsidP="00AC798D">
      <w:r>
        <w:t xml:space="preserve">“One big motivator was that we're worried about the </w:t>
      </w:r>
      <w:r w:rsidR="00D346AD">
        <w:t>environment,</w:t>
      </w:r>
      <w:r>
        <w:t xml:space="preserve"> and we want to reduce our carbon footprint," Veronique said. "Our second motivator was with the increasing cost of living and energy bills going up, we want to take that into our own control.”</w:t>
      </w:r>
    </w:p>
    <w:p w14:paraId="570DE6F9" w14:textId="77777777" w:rsidR="00AC798D" w:rsidRDefault="00AC798D" w:rsidP="00AC798D">
      <w:r>
        <w:t>Veronique used SEC’s electric home planner to tailor a plan to go electric at a pace that suits her budget.</w:t>
      </w:r>
    </w:p>
    <w:p w14:paraId="6F94F06B" w14:textId="13F3B58E" w:rsidR="79080B00" w:rsidRDefault="0058579F" w:rsidP="00875604">
      <w:r>
        <w:t>Over</w:t>
      </w:r>
      <w:r w:rsidR="00E65723">
        <w:t xml:space="preserve"> 14,000</w:t>
      </w:r>
      <w:r w:rsidR="79080B00">
        <w:t xml:space="preserve"> </w:t>
      </w:r>
      <w:r w:rsidR="00383329">
        <w:t xml:space="preserve">visits </w:t>
      </w:r>
      <w:r>
        <w:t>have been made to</w:t>
      </w:r>
      <w:r w:rsidR="79080B00">
        <w:t xml:space="preserve"> the </w:t>
      </w:r>
      <w:r w:rsidR="777A54B1">
        <w:t>home</w:t>
      </w:r>
      <w:r w:rsidR="79080B00">
        <w:t xml:space="preserve"> planner, which uses simple information about your home to create a personalised plan, including indicative appliance costs, government rebates</w:t>
      </w:r>
      <w:r w:rsidR="00275C67">
        <w:t>.</w:t>
      </w:r>
      <w:r w:rsidR="79080B00">
        <w:t xml:space="preserve"> </w:t>
      </w:r>
      <w:r w:rsidR="00275C67" w:rsidRPr="00275C67">
        <w:t>In select local government areas, the planner also connects users with SEC-endorsed installers</w:t>
      </w:r>
      <w:r w:rsidR="00875604">
        <w:t xml:space="preserve"> </w:t>
      </w:r>
      <w:r w:rsidR="79080B00">
        <w:t>who can provide a detailed in-home assessment and no-obligation quote.</w:t>
      </w:r>
    </w:p>
    <w:p w14:paraId="263C7A2D" w14:textId="7E4F60C2" w:rsidR="00C4417E" w:rsidRDefault="00AC798D" w:rsidP="00AC798D">
      <w:r>
        <w:t>“SEC</w:t>
      </w:r>
      <w:r w:rsidR="3CD88791">
        <w:t>’s</w:t>
      </w:r>
      <w:r>
        <w:t xml:space="preserve"> home planner was really helpful to go through our options and work out the best approach for us</w:t>
      </w:r>
      <w:r w:rsidR="00C4417E">
        <w:t>,” Veronique said</w:t>
      </w:r>
      <w:r>
        <w:t xml:space="preserve">. </w:t>
      </w:r>
    </w:p>
    <w:p w14:paraId="78186DD2" w14:textId="0788D458" w:rsidR="00AC798D" w:rsidRDefault="00C4417E" w:rsidP="00AC798D">
      <w:r>
        <w:t>“</w:t>
      </w:r>
      <w:r w:rsidR="00AC798D">
        <w:t>It was good to have a trusted list of suppliers recommended by SEC.</w:t>
      </w:r>
      <w:r>
        <w:t xml:space="preserve"> </w:t>
      </w:r>
      <w:r w:rsidR="00AC798D">
        <w:t>The planner connected us to Specialized Solar who walked us through the process and tailored options to our own circumstances. We started with a quote for having everything upgraded at once. Then we rolled it backwards to what we felt comfortable spending.”</w:t>
      </w:r>
    </w:p>
    <w:p w14:paraId="377C4607" w14:textId="3B8D97DA" w:rsidR="00AC798D" w:rsidRDefault="00AC798D" w:rsidP="00AC798D">
      <w:r>
        <w:t>The first step for Veronique’s home was to install a heat pump hot water system to replace the gas unit</w:t>
      </w:r>
      <w:r w:rsidR="00601031">
        <w:t xml:space="preserve">. </w:t>
      </w:r>
      <w:r w:rsidR="00601031" w:rsidRPr="00601031">
        <w:t>In Victoria, water heating accounts for around 20% of household energy use. Households can save up to $330 a year on energy bills by upgrading to a heat pump hot water system*</w:t>
      </w:r>
    </w:p>
    <w:p w14:paraId="05A79227" w14:textId="219A7256" w:rsidR="00AC798D" w:rsidRDefault="00AC798D" w:rsidP="00AC798D">
      <w:r>
        <w:t>Next Veronique installed a solar system and battery</w:t>
      </w:r>
      <w:r w:rsidR="00F2490C">
        <w:t>,</w:t>
      </w:r>
      <w:r>
        <w:t xml:space="preserve"> which will reduce her bills even more</w:t>
      </w:r>
      <w:r w:rsidR="59CC4FFC">
        <w:t>.</w:t>
      </w:r>
    </w:p>
    <w:p w14:paraId="4863BB27" w14:textId="77777777" w:rsidR="00AC798D" w:rsidRDefault="00AC798D" w:rsidP="00AC798D">
      <w:r>
        <w:t>With the house heated by split systems, the only remaining gas appliance was the stove top. Upgrading to induction is planned down the track when budget allows, so as an interim solution, Veronique is running two portable induction cooktops.</w:t>
      </w:r>
    </w:p>
    <w:p w14:paraId="568F87CF" w14:textId="77777777" w:rsidR="00CE09D5" w:rsidRPr="00CE09D5" w:rsidRDefault="008471DF" w:rsidP="00CE09D5">
      <w:r>
        <w:t>The</w:t>
      </w:r>
      <w:r w:rsidR="00AC798D">
        <w:t xml:space="preserve"> house </w:t>
      </w:r>
      <w:r>
        <w:t>has been</w:t>
      </w:r>
      <w:r w:rsidR="00AC798D">
        <w:t xml:space="preserve"> disconnected from gas and </w:t>
      </w:r>
      <w:r>
        <w:t>already there are</w:t>
      </w:r>
      <w:r w:rsidR="00AC798D">
        <w:t xml:space="preserve"> savings</w:t>
      </w:r>
      <w:r w:rsidR="63BAFD95">
        <w:t xml:space="preserve"> </w:t>
      </w:r>
      <w:r w:rsidR="63BAFD95" w:rsidRPr="0010235E">
        <w:t>by removing the annual daily supply charge</w:t>
      </w:r>
      <w:r w:rsidR="00CE09D5">
        <w:t xml:space="preserve">. </w:t>
      </w:r>
      <w:r w:rsidR="00CE09D5" w:rsidRPr="00CE09D5">
        <w:t>The annual daily supply charge typically ranges from 65 cents to $1.40 per day, depending on the retailer and plan.</w:t>
      </w:r>
    </w:p>
    <w:p w14:paraId="6D6711B5" w14:textId="6BEB4776" w:rsidR="00AC798D" w:rsidRDefault="00AC798D" w:rsidP="00550FDF">
      <w:r>
        <w:t>“We don't need to pay that daily fee for gas. And with a heat pump, we're now able to harness our solar power during sunshine hours, and we can basically produce free hot water.”</w:t>
      </w:r>
    </w:p>
    <w:p w14:paraId="667EDE53" w14:textId="69282EAD" w:rsidR="00AC798D" w:rsidRDefault="00AC798D" w:rsidP="6B30DA8F">
      <w:r>
        <w:t>*</w:t>
      </w:r>
      <w:r w:rsidRPr="241B785F">
        <w:rPr>
          <w:i/>
          <w:iCs/>
        </w:rPr>
        <w:t>Savings vary based on individual circumstances</w:t>
      </w:r>
    </w:p>
    <w:p w14:paraId="78341798" w14:textId="564A4A98" w:rsidR="6CF4B92B" w:rsidRDefault="6CF4B92B">
      <w:r>
        <w:br w:type="page"/>
      </w:r>
    </w:p>
    <w:p w14:paraId="4DCA9011" w14:textId="50A956EB" w:rsidR="00D75194" w:rsidRDefault="00D75194" w:rsidP="7C42A63A">
      <w:pPr>
        <w:pStyle w:val="Heading2"/>
      </w:pPr>
      <w:bookmarkStart w:id="226" w:name="_Toc203656205"/>
      <w:bookmarkStart w:id="227" w:name="_Toc1159642019"/>
      <w:bookmarkStart w:id="228" w:name="_Toc183098721"/>
      <w:bookmarkStart w:id="229" w:name="_Toc200631675"/>
      <w:bookmarkStart w:id="230" w:name="_Toc201222702"/>
      <w:bookmarkStart w:id="231" w:name="_Toc31385283"/>
      <w:bookmarkStart w:id="232" w:name="_Toc1703258623"/>
      <w:bookmarkStart w:id="233" w:name="_Toc656255477"/>
      <w:bookmarkStart w:id="234" w:name="_Toc387872548"/>
      <w:bookmarkStart w:id="235" w:name="_Toc94772297"/>
      <w:bookmarkStart w:id="236" w:name="_Toc78068066"/>
      <w:r>
        <w:t>Strategy, Performance and People</w:t>
      </w:r>
      <w:bookmarkEnd w:id="226"/>
      <w:bookmarkEnd w:id="227"/>
    </w:p>
    <w:p w14:paraId="36E6635E" w14:textId="1D23EFE2" w:rsidR="00812632" w:rsidRDefault="008D2F67" w:rsidP="008E58F6">
      <w:pPr>
        <w:pStyle w:val="Heading3"/>
      </w:pPr>
      <w:r>
        <w:t>Building the workforce of the future</w:t>
      </w:r>
      <w:bookmarkEnd w:id="228"/>
      <w:bookmarkEnd w:id="229"/>
      <w:bookmarkEnd w:id="230"/>
      <w:bookmarkEnd w:id="231"/>
      <w:bookmarkEnd w:id="232"/>
      <w:bookmarkEnd w:id="233"/>
      <w:bookmarkEnd w:id="234"/>
      <w:bookmarkEnd w:id="235"/>
      <w:r>
        <w:t xml:space="preserve"> </w:t>
      </w:r>
      <w:bookmarkEnd w:id="236"/>
    </w:p>
    <w:p w14:paraId="27B07DD4" w14:textId="7BC33EB7" w:rsidR="004E4744" w:rsidRPr="00191417" w:rsidRDefault="004E4744" w:rsidP="004E4744">
      <w:pPr>
        <w:rPr>
          <w:rFonts w:cs="Arial"/>
        </w:rPr>
      </w:pPr>
      <w:r w:rsidRPr="3F63E442">
        <w:rPr>
          <w:rFonts w:cs="Arial"/>
        </w:rPr>
        <w:t xml:space="preserve">Achieving the Victorian Government’s renewable energy </w:t>
      </w:r>
      <w:r w:rsidR="679B9056" w:rsidRPr="642D69EA">
        <w:rPr>
          <w:rFonts w:cs="Arial"/>
        </w:rPr>
        <w:t xml:space="preserve">and storage </w:t>
      </w:r>
      <w:r w:rsidRPr="642D69EA">
        <w:rPr>
          <w:rFonts w:cs="Arial"/>
        </w:rPr>
        <w:t>target</w:t>
      </w:r>
      <w:r w:rsidR="43D12CF9" w:rsidRPr="642D69EA">
        <w:rPr>
          <w:rFonts w:cs="Arial"/>
        </w:rPr>
        <w:t>s</w:t>
      </w:r>
      <w:r w:rsidRPr="3F63E442">
        <w:rPr>
          <w:rFonts w:cs="Arial"/>
        </w:rPr>
        <w:t xml:space="preserve"> by 2035 requires a massive increase in renewable energy and storage capacity and the skilled workforce to support it.</w:t>
      </w:r>
    </w:p>
    <w:p w14:paraId="523F3367" w14:textId="69C0D499" w:rsidR="004E4744" w:rsidRPr="00F65403" w:rsidRDefault="2D7AC527" w:rsidP="241B785F">
      <w:r>
        <w:t>SE</w:t>
      </w:r>
      <w:r w:rsidR="6C72D736">
        <w:t>C</w:t>
      </w:r>
      <w:r w:rsidR="47B29905">
        <w:t xml:space="preserve"> is already contributing</w:t>
      </w:r>
      <w:r w:rsidR="6FEFF3EA">
        <w:t xml:space="preserve">. </w:t>
      </w:r>
      <w:r w:rsidR="67928FBB">
        <w:t>O</w:t>
      </w:r>
      <w:r w:rsidR="004E4744">
        <w:t xml:space="preserve">ur investments in solar, storage and other projects </w:t>
      </w:r>
      <w:r w:rsidR="3F2519CB">
        <w:t xml:space="preserve">have created </w:t>
      </w:r>
      <w:r w:rsidR="004E4744">
        <w:t>rewarding jobs and training opportunities, including direct and indirect employment.</w:t>
      </w:r>
      <w:r w:rsidR="1D3D7899">
        <w:t xml:space="preserve"> So far, </w:t>
      </w:r>
      <w:r w:rsidR="1D3D7899" w:rsidRPr="594D60D5">
        <w:rPr>
          <w:rFonts w:eastAsia="Arial" w:cs="Arial"/>
        </w:rPr>
        <w:t>1</w:t>
      </w:r>
      <w:r w:rsidR="00536631" w:rsidRPr="594D60D5">
        <w:rPr>
          <w:rFonts w:eastAsia="Arial" w:cs="Arial"/>
        </w:rPr>
        <w:t>,</w:t>
      </w:r>
      <w:r w:rsidR="1D3D7899" w:rsidRPr="594D60D5">
        <w:rPr>
          <w:rFonts w:eastAsia="Arial" w:cs="Arial"/>
        </w:rPr>
        <w:t xml:space="preserve">345 </w:t>
      </w:r>
      <w:r w:rsidR="59CEF334" w:rsidRPr="2AE11150">
        <w:rPr>
          <w:rFonts w:eastAsia="Arial" w:cs="Arial"/>
        </w:rPr>
        <w:t>job</w:t>
      </w:r>
      <w:r w:rsidR="1D3D7899" w:rsidRPr="594D60D5">
        <w:rPr>
          <w:rFonts w:eastAsia="Arial" w:cs="Arial"/>
        </w:rPr>
        <w:t xml:space="preserve"> opportunities have been created across our projects. </w:t>
      </w:r>
    </w:p>
    <w:p w14:paraId="5DA3DB32" w14:textId="16F2DF97" w:rsidR="004E4744" w:rsidRPr="00F65403" w:rsidRDefault="004E4744" w:rsidP="004E4744">
      <w:r>
        <w:t xml:space="preserve">We are partnering with industry to work with schools, TAFEs, universities, government and Traditional Owners to </w:t>
      </w:r>
      <w:r w:rsidR="00C706D7">
        <w:t>identify</w:t>
      </w:r>
      <w:r>
        <w:t xml:space="preserve"> opportunities and address challenges </w:t>
      </w:r>
      <w:r w:rsidR="00740DF1">
        <w:t xml:space="preserve">- </w:t>
      </w:r>
      <w:r>
        <w:t>so we can build the workforce we need.</w:t>
      </w:r>
    </w:p>
    <w:p w14:paraId="721CF2C4" w14:textId="77777777" w:rsidR="004E4744" w:rsidRPr="00F65403" w:rsidRDefault="004E4744" w:rsidP="004E4744">
      <w:r w:rsidRPr="00F65403">
        <w:t>We will support the attraction, training, and retention of a skilled renewable energy workforce.</w:t>
      </w:r>
    </w:p>
    <w:p w14:paraId="5B9A2EBB" w14:textId="1D72DFAA" w:rsidR="004E4744" w:rsidRPr="00191417" w:rsidRDefault="006F1385" w:rsidP="004E4744">
      <w:pPr>
        <w:rPr>
          <w:rFonts w:cs="Arial"/>
        </w:rPr>
      </w:pPr>
      <w:r w:rsidRPr="006F1385">
        <w:rPr>
          <w:rFonts w:cs="Arial"/>
        </w:rPr>
        <w:t>Victoria's renewable energy transition will create thousands of jobs.</w:t>
      </w:r>
      <w:r>
        <w:rPr>
          <w:rFonts w:cs="Arial"/>
        </w:rPr>
        <w:t xml:space="preserve"> </w:t>
      </w:r>
      <w:r w:rsidR="004E4744" w:rsidRPr="00191417">
        <w:rPr>
          <w:rFonts w:cs="Arial"/>
        </w:rPr>
        <w:t xml:space="preserve">This includes apprenticeships, traineeships and graduate programs as well as a wide range of trades, specialist and generalist roles. From electricians, construction, engineering, project managers and machine operators, through to community liaison, operations and administration </w:t>
      </w:r>
      <w:r w:rsidR="00104757" w:rsidRPr="1206F68E">
        <w:rPr>
          <w:rFonts w:cs="Arial"/>
        </w:rPr>
        <w:t>-</w:t>
      </w:r>
      <w:r w:rsidR="004E4744" w:rsidRPr="00191417">
        <w:rPr>
          <w:rFonts w:cs="Arial"/>
        </w:rPr>
        <w:t xml:space="preserve"> as our projects scale up, so will the jobs.</w:t>
      </w:r>
    </w:p>
    <w:p w14:paraId="44FF9A91" w14:textId="77777777" w:rsidR="004E4744" w:rsidRPr="00191417" w:rsidRDefault="004E4744" w:rsidP="004E4744">
      <w:pPr>
        <w:rPr>
          <w:rFonts w:cs="Arial"/>
        </w:rPr>
      </w:pPr>
      <w:r w:rsidRPr="00191417">
        <w:rPr>
          <w:rFonts w:cs="Arial"/>
        </w:rPr>
        <w:t>As a government-owned company with a strong public purpose, we work to ensure that Victorians benefit from the jobs and opportunities the energy transition brings. We’re setting high benchmarks as an employer of choice, role-modelling diversity, inclusion and flexible work practices. Our focus is on bringing more women into historically male-dominated roles and setting up programs for underrepresented groups.</w:t>
      </w:r>
    </w:p>
    <w:p w14:paraId="1CD99654" w14:textId="49A3472E" w:rsidR="004E4744" w:rsidRPr="00191417" w:rsidRDefault="004E4744" w:rsidP="004E4744">
      <w:pPr>
        <w:rPr>
          <w:rFonts w:cs="Arial"/>
        </w:rPr>
      </w:pPr>
      <w:r w:rsidRPr="00191417">
        <w:rPr>
          <w:rFonts w:cs="Arial"/>
        </w:rPr>
        <w:t xml:space="preserve">We’re working with First Peoples to create programs and opportunities that support </w:t>
      </w:r>
      <w:proofErr w:type="spellStart"/>
      <w:r w:rsidR="6135F0F2" w:rsidRPr="2D18AB44">
        <w:rPr>
          <w:rFonts w:cs="Arial"/>
        </w:rPr>
        <w:t>self determination</w:t>
      </w:r>
      <w:proofErr w:type="spellEnd"/>
      <w:r w:rsidRPr="00191417">
        <w:rPr>
          <w:rFonts w:cs="Arial"/>
        </w:rPr>
        <w:t>.</w:t>
      </w:r>
    </w:p>
    <w:p w14:paraId="6268CC56" w14:textId="3BB04163" w:rsidR="004E4744" w:rsidRPr="00191417" w:rsidRDefault="004E4744" w:rsidP="004E4744">
      <w:pPr>
        <w:rPr>
          <w:rFonts w:cs="Arial"/>
        </w:rPr>
      </w:pPr>
      <w:r w:rsidRPr="00191417">
        <w:rPr>
          <w:rFonts w:cs="Arial"/>
        </w:rPr>
        <w:t xml:space="preserve">We’re working with government, industry and training providers to support quality, industry-aligned training and develop the pipeline of skilled workers our energy transition needs while working with students to attract </w:t>
      </w:r>
      <w:r w:rsidR="5CB7010F" w:rsidRPr="7BC42439">
        <w:rPr>
          <w:rFonts w:cs="Arial"/>
        </w:rPr>
        <w:t>them</w:t>
      </w:r>
      <w:r w:rsidRPr="00191417">
        <w:rPr>
          <w:rFonts w:cs="Arial"/>
        </w:rPr>
        <w:t xml:space="preserve"> to renewable energy careers.</w:t>
      </w:r>
    </w:p>
    <w:p w14:paraId="6973E571" w14:textId="01D38F16" w:rsidR="004E4744" w:rsidRPr="00191417" w:rsidRDefault="004E4744" w:rsidP="004E4744">
      <w:pPr>
        <w:rPr>
          <w:rFonts w:cs="Arial"/>
        </w:rPr>
      </w:pPr>
      <w:r w:rsidRPr="00191417">
        <w:rPr>
          <w:rFonts w:cs="Arial"/>
        </w:rPr>
        <w:t>Our comprehensive student education program includes practical examples of jobs and career pathways in renewable energy. We host site visits to our projects so students can experience firsthand the renewable energy industry and the jobs it creates, and we deliver hands-on workshops in schools to inspire students in science and technology.</w:t>
      </w:r>
    </w:p>
    <w:p w14:paraId="1C1BBF53" w14:textId="7BC7E084" w:rsidR="004E4744" w:rsidRPr="00191417" w:rsidRDefault="004E4744" w:rsidP="004E4744">
      <w:pPr>
        <w:rPr>
          <w:rFonts w:cs="Arial"/>
        </w:rPr>
      </w:pPr>
      <w:r w:rsidRPr="00191417">
        <w:rPr>
          <w:rFonts w:cs="Arial"/>
        </w:rPr>
        <w:t>We speak with thousands of students at careers events, raising awareness and interest in renewable energy jobs.</w:t>
      </w:r>
    </w:p>
    <w:p w14:paraId="6BBFDA77" w14:textId="77777777" w:rsidR="00F7429D" w:rsidRPr="00F65403" w:rsidRDefault="00F7429D" w:rsidP="00F7429D">
      <w:pPr>
        <w:pStyle w:val="Heading3"/>
      </w:pPr>
      <w:r w:rsidRPr="00F65403">
        <w:t xml:space="preserve">Progress across the year: </w:t>
      </w:r>
    </w:p>
    <w:p w14:paraId="3F0ACBBA" w14:textId="60AC2793" w:rsidR="004E4744" w:rsidRPr="00191417" w:rsidRDefault="007F1010" w:rsidP="004E4744">
      <w:pPr>
        <w:rPr>
          <w:rFonts w:cs="Arial"/>
        </w:rPr>
      </w:pPr>
      <w:r w:rsidRPr="17722FDF">
        <w:rPr>
          <w:rFonts w:cs="Arial"/>
        </w:rPr>
        <w:t>Our rene</w:t>
      </w:r>
      <w:r w:rsidR="00BC7DA5" w:rsidRPr="17722FDF">
        <w:rPr>
          <w:rFonts w:cs="Arial"/>
        </w:rPr>
        <w:t xml:space="preserve">wable generation and storage </w:t>
      </w:r>
      <w:r w:rsidR="40D57533" w:rsidRPr="17722FDF">
        <w:rPr>
          <w:rFonts w:cs="Arial"/>
        </w:rPr>
        <w:t xml:space="preserve">projects are </w:t>
      </w:r>
      <w:r w:rsidR="004E4744" w:rsidRPr="17722FDF">
        <w:rPr>
          <w:rFonts w:cs="Arial"/>
        </w:rPr>
        <w:t>creating local jobs and content opportunities.</w:t>
      </w:r>
    </w:p>
    <w:p w14:paraId="1C367903" w14:textId="131BECC4" w:rsidR="004E4744" w:rsidRPr="00191417" w:rsidRDefault="004E4744" w:rsidP="004E4744">
      <w:pPr>
        <w:rPr>
          <w:rFonts w:cs="Arial"/>
        </w:rPr>
      </w:pPr>
      <w:r w:rsidRPr="752CE0F8">
        <w:rPr>
          <w:rFonts w:cs="Arial"/>
        </w:rPr>
        <w:t>Our activities to date have created 500 full-time equivalent jobs,</w:t>
      </w:r>
      <w:r w:rsidR="00490F28" w:rsidRPr="752CE0F8">
        <w:rPr>
          <w:rFonts w:cs="Arial"/>
        </w:rPr>
        <w:t xml:space="preserve"> and provided opportunities for </w:t>
      </w:r>
      <w:r w:rsidRPr="752CE0F8">
        <w:rPr>
          <w:rFonts w:cs="Arial"/>
        </w:rPr>
        <w:t>more than 1,</w:t>
      </w:r>
      <w:r w:rsidR="0056730C" w:rsidRPr="752CE0F8">
        <w:rPr>
          <w:rFonts w:cs="Arial"/>
        </w:rPr>
        <w:t>23</w:t>
      </w:r>
      <w:r w:rsidRPr="752CE0F8">
        <w:rPr>
          <w:rFonts w:cs="Arial"/>
        </w:rPr>
        <w:t xml:space="preserve">0 workers </w:t>
      </w:r>
      <w:r w:rsidR="0966519F" w:rsidRPr="752CE0F8">
        <w:rPr>
          <w:rFonts w:cs="Arial"/>
        </w:rPr>
        <w:t>(including</w:t>
      </w:r>
      <w:r w:rsidRPr="752CE0F8">
        <w:rPr>
          <w:rFonts w:cs="Arial"/>
        </w:rPr>
        <w:t xml:space="preserve"> 7</w:t>
      </w:r>
      <w:r w:rsidR="00BC0F2F" w:rsidRPr="752CE0F8">
        <w:rPr>
          <w:rFonts w:cs="Arial"/>
        </w:rPr>
        <w:t>1</w:t>
      </w:r>
      <w:r w:rsidRPr="752CE0F8">
        <w:rPr>
          <w:rFonts w:cs="Arial"/>
        </w:rPr>
        <w:t xml:space="preserve"> apprentices</w:t>
      </w:r>
      <w:r w:rsidR="1BBAE5D8" w:rsidRPr="752CE0F8">
        <w:rPr>
          <w:rFonts w:cs="Arial"/>
        </w:rPr>
        <w:t>)</w:t>
      </w:r>
      <w:r w:rsidRPr="752CE0F8">
        <w:rPr>
          <w:rFonts w:cs="Arial"/>
        </w:rPr>
        <w:t xml:space="preserve"> at the Melbourne Renewable Energy Hub </w:t>
      </w:r>
      <w:r w:rsidR="766B7C4F" w:rsidRPr="752CE0F8">
        <w:rPr>
          <w:rFonts w:cs="Arial"/>
        </w:rPr>
        <w:t xml:space="preserve">(MREH) </w:t>
      </w:r>
      <w:r w:rsidRPr="752CE0F8">
        <w:rPr>
          <w:rFonts w:cs="Arial"/>
        </w:rPr>
        <w:t>at Plumpton</w:t>
      </w:r>
      <w:r w:rsidR="697B1142" w:rsidRPr="752CE0F8">
        <w:rPr>
          <w:rFonts w:cs="Arial"/>
        </w:rPr>
        <w:t>.</w:t>
      </w:r>
    </w:p>
    <w:p w14:paraId="70CD24C7" w14:textId="3103ABCD" w:rsidR="004E4744" w:rsidRDefault="004E4744" w:rsidP="004E4744">
      <w:pPr>
        <w:rPr>
          <w:rFonts w:cs="Arial"/>
        </w:rPr>
      </w:pPr>
      <w:r w:rsidRPr="4BAF42A3">
        <w:rPr>
          <w:rFonts w:cs="Arial"/>
        </w:rPr>
        <w:t xml:space="preserve">Construction is also underway at SEC Renewable Energy Park </w:t>
      </w:r>
      <w:r w:rsidR="00104757" w:rsidRPr="7F13362B">
        <w:rPr>
          <w:rFonts w:cs="Arial"/>
        </w:rPr>
        <w:t>-</w:t>
      </w:r>
      <w:r w:rsidRPr="4BAF42A3">
        <w:rPr>
          <w:rFonts w:cs="Arial"/>
        </w:rPr>
        <w:t xml:space="preserve"> Horsham, which will create 246 construction jobs, including 20 for apprentices, trainees and cadets. </w:t>
      </w:r>
      <w:r w:rsidR="1BA1E511" w:rsidRPr="4BAF42A3">
        <w:rPr>
          <w:rFonts w:cs="Arial"/>
        </w:rPr>
        <w:t>Already 115 opportunities have been created on site (including 75 positions for local people) and 5 apprentices.</w:t>
      </w:r>
    </w:p>
    <w:p w14:paraId="07281C4B" w14:textId="77777777" w:rsidR="006459AC" w:rsidRDefault="00AB0755" w:rsidP="00AB0755">
      <w:r w:rsidRPr="006E7A9D">
        <w:t>We are working to build awareness, interest, and pathways in renewable energy jobs for Victorians of all ages.</w:t>
      </w:r>
      <w:r w:rsidR="006E7A9D" w:rsidRPr="006E7A9D">
        <w:t xml:space="preserve"> </w:t>
      </w:r>
    </w:p>
    <w:p w14:paraId="3D95437E" w14:textId="47771442" w:rsidR="006459AC" w:rsidRDefault="006E7A9D">
      <w:r>
        <w:t xml:space="preserve">SEC </w:t>
      </w:r>
      <w:r w:rsidR="5C64B664">
        <w:t xml:space="preserve">also speaks with thousands of students at </w:t>
      </w:r>
      <w:r w:rsidR="0E365426">
        <w:t xml:space="preserve">school </w:t>
      </w:r>
      <w:r w:rsidR="5C64B664">
        <w:t xml:space="preserve">career </w:t>
      </w:r>
      <w:r w:rsidR="30A242D9">
        <w:t>nights and</w:t>
      </w:r>
      <w:r w:rsidR="5C64B664">
        <w:t xml:space="preserve"> events, raising awareness and interest in renewable energy jobs</w:t>
      </w:r>
      <w:r w:rsidR="77C07A0A">
        <w:t>.</w:t>
      </w:r>
      <w:r w:rsidR="5C64B664">
        <w:t xml:space="preserve"> </w:t>
      </w:r>
    </w:p>
    <w:p w14:paraId="7E718D4F" w14:textId="1CF041B3" w:rsidR="00AB0755" w:rsidRDefault="00AB0755" w:rsidP="00AB0755">
      <w:r>
        <w:t xml:space="preserve">In the past year, </w:t>
      </w:r>
      <w:r w:rsidR="71944788">
        <w:t xml:space="preserve">we </w:t>
      </w:r>
      <w:r>
        <w:t xml:space="preserve">have engaged with more than </w:t>
      </w:r>
      <w:r w:rsidR="00FA5360">
        <w:t>3,</w:t>
      </w:r>
      <w:r w:rsidR="1AB713DC">
        <w:t xml:space="preserve">800 </w:t>
      </w:r>
      <w:r>
        <w:t>students</w:t>
      </w:r>
      <w:r w:rsidR="006D2AF2">
        <w:t xml:space="preserve"> </w:t>
      </w:r>
      <w:r>
        <w:t xml:space="preserve">to </w:t>
      </w:r>
      <w:r w:rsidR="006D2AF2">
        <w:t>raise</w:t>
      </w:r>
      <w:r>
        <w:t xml:space="preserve"> awareness of renewable energy career opportunities and are ramping up engagement this year.  </w:t>
      </w:r>
    </w:p>
    <w:p w14:paraId="68C4296C" w14:textId="3660405E" w:rsidR="3BAE19F4" w:rsidRDefault="5C64B664" w:rsidP="1AFA18B0">
      <w:r>
        <w:t xml:space="preserve">For example, we have </w:t>
      </w:r>
      <w:r w:rsidR="25212935">
        <w:t>attended</w:t>
      </w:r>
      <w:r>
        <w:t xml:space="preserve"> events including the Victorian Careers Show at Melbourne Showgrounds, </w:t>
      </w:r>
      <w:proofErr w:type="spellStart"/>
      <w:r>
        <w:t>Gippy</w:t>
      </w:r>
      <w:proofErr w:type="spellEnd"/>
      <w:r>
        <w:t xml:space="preserve"> Youth Summit, Casey Tech School’s 2025 STEM Futures, Monash Tech School Industry Immersion, VCE and Careers Expo, Department of Education Tech and Trades Fit Expo and Emerging Industries Career Expo </w:t>
      </w:r>
      <w:r w:rsidR="5A6E22E8">
        <w:t xml:space="preserve">in </w:t>
      </w:r>
      <w:r>
        <w:t>Bairnsdale. These events have a combined</w:t>
      </w:r>
      <w:r w:rsidR="3FA3FFCC">
        <w:t xml:space="preserve"> audience</w:t>
      </w:r>
      <w:r>
        <w:t xml:space="preserve"> reach of tens of thousands of students.  </w:t>
      </w:r>
    </w:p>
    <w:p w14:paraId="0F7FF644" w14:textId="68BD5141" w:rsidR="00AB0755" w:rsidRDefault="00AB0755" w:rsidP="00AB0755">
      <w:r>
        <w:t xml:space="preserve">We hear repeatedly from students, teachers and industry that “you can’t be what you can’t see” so we have developed an excursion program where students can get a hands-on feel for our projects and the impact they are having in the community. We hosted our first student site visit at </w:t>
      </w:r>
      <w:r w:rsidR="4C0F6CB5">
        <w:t>MREH in</w:t>
      </w:r>
      <w:r>
        <w:t xml:space="preserve"> late 2024, discussing the energy transition and showcasing the range of careers in the renewable industry. </w:t>
      </w:r>
    </w:p>
    <w:p w14:paraId="3B1759EF" w14:textId="77777777" w:rsidR="00AB0755" w:rsidRDefault="00AB0755" w:rsidP="00AB0755">
      <w:r>
        <w:t>We have scaled this up in 2025 to run site visits twice in a school term.</w:t>
      </w:r>
    </w:p>
    <w:p w14:paraId="09E1E764" w14:textId="77777777" w:rsidR="00AB0755" w:rsidRDefault="00AB0755" w:rsidP="00AB0755">
      <w:r>
        <w:t>As we build out our assets portfolio, we will also host visits at our new sites, so students can experience firsthand the renewable energy industry and the jobs it creates throughout the state.</w:t>
      </w:r>
    </w:p>
    <w:p w14:paraId="3A769855" w14:textId="10CD22E4" w:rsidR="00AB0755" w:rsidRDefault="00AB0755" w:rsidP="00AB0755">
      <w:r>
        <w:t xml:space="preserve">We </w:t>
      </w:r>
      <w:r w:rsidR="006D2AF2">
        <w:t xml:space="preserve">have also laid the groundwork for an </w:t>
      </w:r>
      <w:r>
        <w:t>in-school incursion program, which will reach over 20 schools in its first year. We will use engaging play-based and curriculum-aligned activities to immerse students in the science behind renewable energy. This provides a platform to deeply engage students, educate them about the transition and the types of jobs available in their local region. It will indirectly reach parents and families to share with them the opportunities and benefits of renewable energy.</w:t>
      </w:r>
    </w:p>
    <w:p w14:paraId="1E509DDE" w14:textId="54FEA71F" w:rsidR="00AB0755" w:rsidRDefault="00AB0755" w:rsidP="00AB0755">
      <w:r>
        <w:t xml:space="preserve">We are also building deep relationships with tech schools, which provide high-tech, hands-on science, technology, engineering and maths (STEM) programs to secondary school students in their local areas. </w:t>
      </w:r>
    </w:p>
    <w:p w14:paraId="72BEC6C6" w14:textId="45C8A30D" w:rsidR="00AB0755" w:rsidRDefault="37788007" w:rsidP="00AB0755">
      <w:r>
        <w:t>We have</w:t>
      </w:r>
      <w:r w:rsidR="00AB0755">
        <w:t xml:space="preserve"> developed a Memorandum of Understanding with Monash Tech School to co-design a program that will showcase our renewable energy assets in an immersive learning environment. The program can reach hundreds of students and can be scaled to other tech schools to reach an even broader audience.</w:t>
      </w:r>
    </w:p>
    <w:p w14:paraId="1BDC883A" w14:textId="77777777" w:rsidR="00AB0755" w:rsidRDefault="00AB0755" w:rsidP="00AB0755">
      <w:r w:rsidRPr="006E7A9D">
        <w:t xml:space="preserve">We used interactive activities to bring science to life and build awareness and enthusiasm for STEM and vocational pathways, with a particular emphasis on increasing participation by women and girls. </w:t>
      </w:r>
    </w:p>
    <w:p w14:paraId="61E8763E" w14:textId="5E020C82" w:rsidR="004E4744" w:rsidRPr="00191417" w:rsidRDefault="00AB0755" w:rsidP="004E4744">
      <w:pPr>
        <w:rPr>
          <w:rFonts w:cs="Arial"/>
        </w:rPr>
      </w:pPr>
      <w:r w:rsidRPr="006E7A9D">
        <w:t xml:space="preserve">We are working with education providers, including </w:t>
      </w:r>
      <w:r w:rsidR="000864F6">
        <w:t xml:space="preserve">Victorian </w:t>
      </w:r>
      <w:r w:rsidRPr="006E7A9D">
        <w:t>Tech Schools, to amplify messages on the importance of renewable energy and promote VET and regional pathways</w:t>
      </w:r>
      <w:r>
        <w:t>.</w:t>
      </w:r>
    </w:p>
    <w:p w14:paraId="7BF06811" w14:textId="25DDBB4A" w:rsidR="00810826" w:rsidRDefault="00810826">
      <w:pPr>
        <w:rPr>
          <w:rFonts w:eastAsiaTheme="majorEastAsia" w:cstheme="majorBidi"/>
          <w:b/>
          <w:bCs/>
        </w:rPr>
      </w:pPr>
      <w:r>
        <w:br w:type="page"/>
      </w:r>
    </w:p>
    <w:p w14:paraId="71456F70" w14:textId="7F908DD6" w:rsidR="49E1C8B8" w:rsidRPr="00020D35" w:rsidRDefault="49E1C8B8" w:rsidP="003A4F8A">
      <w:pPr>
        <w:pStyle w:val="Heading3"/>
      </w:pPr>
      <w:bookmarkStart w:id="237" w:name="_Toc662777511"/>
      <w:bookmarkStart w:id="238" w:name="_Toc2136738192"/>
      <w:bookmarkStart w:id="239" w:name="_Toc672036112"/>
      <w:bookmarkStart w:id="240" w:name="_Toc225056511"/>
      <w:bookmarkStart w:id="241" w:name="_Toc930353308"/>
      <w:bookmarkStart w:id="242" w:name="_Toc938051944"/>
      <w:bookmarkStart w:id="243" w:name="_Toc1256571378"/>
      <w:r>
        <w:t xml:space="preserve">Case </w:t>
      </w:r>
      <w:r w:rsidR="00FF5D53">
        <w:t>s</w:t>
      </w:r>
      <w:r>
        <w:t>tudy: Site visits inspire students to work in renewables</w:t>
      </w:r>
      <w:bookmarkEnd w:id="237"/>
      <w:bookmarkEnd w:id="238"/>
      <w:bookmarkEnd w:id="239"/>
      <w:bookmarkEnd w:id="240"/>
      <w:bookmarkEnd w:id="241"/>
      <w:bookmarkEnd w:id="242"/>
      <w:bookmarkEnd w:id="243"/>
    </w:p>
    <w:p w14:paraId="78596808" w14:textId="435F88F8" w:rsidR="00CA5586" w:rsidRDefault="00CA5586" w:rsidP="00CA5586">
      <w:r>
        <w:t xml:space="preserve">Student ambassadors from Engineers Australia </w:t>
      </w:r>
      <w:r w:rsidR="7607CCE0">
        <w:t>were</w:t>
      </w:r>
      <w:r>
        <w:t xml:space="preserve"> given a behind-the-scenes tour of one of the world’s biggest batteries to see what a career in the renewables sector can offer.</w:t>
      </w:r>
    </w:p>
    <w:p w14:paraId="238C89EC" w14:textId="411E4FB3" w:rsidR="00CA5586" w:rsidRDefault="00CA5586" w:rsidP="00CA5586">
      <w:r>
        <w:t>The students from universities across Melbourne visited SEC’s Melbourne Renewable Energy Hub</w:t>
      </w:r>
      <w:r w:rsidR="008B0415">
        <w:t xml:space="preserve"> (MREH)</w:t>
      </w:r>
      <w:r>
        <w:t>, in Plumpton, in March</w:t>
      </w:r>
      <w:r w:rsidR="1D358324">
        <w:t xml:space="preserve"> 2025</w:t>
      </w:r>
      <w:r>
        <w:t>.</w:t>
      </w:r>
    </w:p>
    <w:p w14:paraId="02DDA124" w14:textId="3DFD11AD" w:rsidR="00CA5586" w:rsidRDefault="00CA5586" w:rsidP="00CA5586">
      <w:r>
        <w:t xml:space="preserve">The students were able to see the project’s 444 </w:t>
      </w:r>
      <w:r w:rsidR="0003032B">
        <w:t>Tesla Megapacks</w:t>
      </w:r>
      <w:r>
        <w:t xml:space="preserve"> and massive 335-tonne transformers up close. They had an opportunity to hear the onsite engineers </w:t>
      </w:r>
      <w:r w:rsidR="4B3DAF03">
        <w:t xml:space="preserve">speak </w:t>
      </w:r>
      <w:r>
        <w:t>about how they got into the industry and ask questions about working on one of the world’s biggest batteries.</w:t>
      </w:r>
    </w:p>
    <w:p w14:paraId="20DD067A" w14:textId="77777777" w:rsidR="00CA5586" w:rsidRDefault="00CA5586" w:rsidP="00CA5586">
      <w:r>
        <w:t xml:space="preserve">University of Melbourne engineering student Selini Samaranayake said the visit had opened her eyes to the possibility of a career in renewable energy. </w:t>
      </w:r>
    </w:p>
    <w:p w14:paraId="048622B9" w14:textId="77777777" w:rsidR="00CA5586" w:rsidRDefault="00CA5586" w:rsidP="00CA5586">
      <w:r>
        <w:t>"It helped me to decide that energy is the way to go," Selini said. “A lot of young students, particularly female, are not exposed to experiences like this when they start out. It opens doors and opportunities.”</w:t>
      </w:r>
    </w:p>
    <w:p w14:paraId="6C208F8B" w14:textId="309BFF14" w:rsidR="00CA5586" w:rsidRDefault="00CA5586" w:rsidP="00CA5586">
      <w:r>
        <w:t xml:space="preserve">The visit was one of several to </w:t>
      </w:r>
      <w:r w:rsidR="002522F8">
        <w:t>MREH</w:t>
      </w:r>
      <w:r>
        <w:t xml:space="preserve"> as we ramp up our engagement with students to show them the career opportunities available in renewable energy. </w:t>
      </w:r>
    </w:p>
    <w:p w14:paraId="28C39294" w14:textId="5D4EB171" w:rsidR="002522F8" w:rsidRDefault="00CA5586" w:rsidP="00CA5586">
      <w:r>
        <w:t xml:space="preserve">In November 2024, year 10 students from nearby Melton Specialist School also toured </w:t>
      </w:r>
      <w:r w:rsidR="002522F8">
        <w:t xml:space="preserve">MREH </w:t>
      </w:r>
      <w:r>
        <w:t>to learn about vibrant career paths and opportunities available in the sector.</w:t>
      </w:r>
    </w:p>
    <w:p w14:paraId="6FCE7436" w14:textId="0AC7A9A3" w:rsidR="799AD239" w:rsidRDefault="00CA5586" w:rsidP="00CA5586">
      <w:r>
        <w:t xml:space="preserve"> </w:t>
      </w:r>
      <w:r w:rsidR="799AD239">
        <w:br w:type="page"/>
      </w:r>
    </w:p>
    <w:p w14:paraId="5F7C4C25" w14:textId="7BB3424B" w:rsidR="006010D0" w:rsidRDefault="006010D0" w:rsidP="006010D0">
      <w:pPr>
        <w:pStyle w:val="Heading2"/>
      </w:pPr>
      <w:bookmarkStart w:id="244" w:name="_Toc200631678"/>
      <w:bookmarkStart w:id="245" w:name="_Toc336681394"/>
      <w:bookmarkStart w:id="246" w:name="_Toc201222705"/>
      <w:bookmarkStart w:id="247" w:name="_Toc95046328"/>
      <w:bookmarkStart w:id="248" w:name="_Toc2089890142"/>
      <w:bookmarkStart w:id="249" w:name="_Toc237494644"/>
      <w:bookmarkStart w:id="250" w:name="_Toc1143609700"/>
      <w:bookmarkStart w:id="251" w:name="_Toc956156458"/>
      <w:bookmarkStart w:id="252" w:name="_Toc429657455"/>
      <w:bookmarkStart w:id="253" w:name="_Toc203487531"/>
      <w:bookmarkStart w:id="254" w:name="_Toc203656206"/>
      <w:bookmarkStart w:id="255" w:name="_Toc9912825"/>
      <w:bookmarkStart w:id="256" w:name="_Ref207013129"/>
      <w:bookmarkStart w:id="257" w:name="_Ref207630759"/>
      <w:r>
        <w:t>Our people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B868AFF" w14:textId="09DCBE33" w:rsidR="002754EF" w:rsidRDefault="3CF4217E" w:rsidP="00CD3551">
      <w:r>
        <w:t xml:space="preserve">To achieve the </w:t>
      </w:r>
      <w:r w:rsidR="4EBB2BD7">
        <w:t>progress</w:t>
      </w:r>
      <w:r>
        <w:t xml:space="preserve"> made across the past financial year,</w:t>
      </w:r>
      <w:r w:rsidR="002754EF">
        <w:t xml:space="preserve"> </w:t>
      </w:r>
      <w:r>
        <w:t xml:space="preserve">our </w:t>
      </w:r>
      <w:r w:rsidR="70A6DEEB">
        <w:t>workforce</w:t>
      </w:r>
      <w:r>
        <w:t xml:space="preserve"> has increased. </w:t>
      </w:r>
      <w:r w:rsidR="347281D4">
        <w:t>We are</w:t>
      </w:r>
      <w:r w:rsidR="002754EF">
        <w:t xml:space="preserve"> committed to applying merit and equity principles when appointing staff. The selection processes ensure applicants are assessed and evaluated fairly and equitably based on the key selection criteria and other accountabilities without discrimination.  </w:t>
      </w:r>
    </w:p>
    <w:p w14:paraId="74294B2D" w14:textId="77777777" w:rsidR="002754EF" w:rsidRDefault="002754EF" w:rsidP="00CD3551">
      <w:r>
        <w:t xml:space="preserve">Employees have been correctly classified in workforce data collections. All jobs advertised have the option of being based in Melbourne or Morwell. </w:t>
      </w:r>
    </w:p>
    <w:p w14:paraId="4DC3863D" w14:textId="61136AD7" w:rsidR="00630306" w:rsidRPr="00703FA8" w:rsidRDefault="002754EF" w:rsidP="00CD3551">
      <w:r w:rsidRPr="001E1FB9">
        <w:t>T</w:t>
      </w:r>
      <w:r w:rsidRPr="00703FA8">
        <w:t>he following table discloses the head count of all active employees in the last full pay period in June 202</w:t>
      </w:r>
      <w:r w:rsidR="00360292" w:rsidRPr="00703FA8">
        <w:t>5</w:t>
      </w:r>
      <w:r w:rsidRPr="00703FA8">
        <w:t>:</w:t>
      </w:r>
    </w:p>
    <w:tbl>
      <w:tblPr>
        <w:tblW w:w="9026" w:type="dxa"/>
        <w:tblInd w:w="-28" w:type="dxa"/>
        <w:tblBorders>
          <w:top w:val="outset" w:sz="6" w:space="0" w:color="auto"/>
          <w:left w:val="outset" w:sz="6" w:space="0" w:color="auto"/>
          <w:bottom w:val="outset" w:sz="6" w:space="0" w:color="auto"/>
          <w:right w:val="outset" w:sz="6" w:space="0" w:color="auto"/>
        </w:tblBorders>
        <w:tblLayout w:type="fixed"/>
        <w:tblCellMar>
          <w:top w:w="28" w:type="dxa"/>
          <w:left w:w="28" w:type="dxa"/>
          <w:bottom w:w="28" w:type="dxa"/>
          <w:right w:w="28" w:type="dxa"/>
        </w:tblCellMar>
        <w:tblLook w:val="04A0" w:firstRow="1" w:lastRow="0" w:firstColumn="1" w:lastColumn="0" w:noHBand="0" w:noVBand="1"/>
      </w:tblPr>
      <w:tblGrid>
        <w:gridCol w:w="3714"/>
        <w:gridCol w:w="1328"/>
        <w:gridCol w:w="1328"/>
        <w:gridCol w:w="1328"/>
        <w:gridCol w:w="1328"/>
      </w:tblGrid>
      <w:tr w:rsidR="001C5FBE" w:rsidRPr="00F25770" w14:paraId="0E57C972" w14:textId="77777777" w:rsidTr="6582C6F5">
        <w:tc>
          <w:tcPr>
            <w:tcW w:w="3714" w:type="dxa"/>
            <w:tcBorders>
              <w:top w:val="nil"/>
              <w:left w:val="nil"/>
              <w:bottom w:val="nil"/>
              <w:right w:val="nil"/>
            </w:tcBorders>
          </w:tcPr>
          <w:p w14:paraId="4E6965FA" w14:textId="77777777" w:rsidR="001B5734" w:rsidRPr="00273AF0" w:rsidRDefault="001B5734" w:rsidP="6BFE7076">
            <w:pPr>
              <w:spacing w:after="0" w:line="240" w:lineRule="auto"/>
              <w:ind w:firstLine="90"/>
              <w:textAlignment w:val="baseline"/>
              <w:rPr>
                <w:rFonts w:eastAsia="Arial" w:cs="Arial"/>
                <w:b/>
                <w:color w:val="000000" w:themeColor="text1"/>
                <w:sz w:val="22"/>
                <w:lang w:eastAsia="en-AU"/>
              </w:rPr>
            </w:pPr>
          </w:p>
        </w:tc>
        <w:tc>
          <w:tcPr>
            <w:tcW w:w="2656" w:type="dxa"/>
            <w:gridSpan w:val="2"/>
            <w:tcBorders>
              <w:top w:val="nil"/>
              <w:left w:val="nil"/>
              <w:bottom w:val="nil"/>
              <w:right w:val="nil"/>
            </w:tcBorders>
          </w:tcPr>
          <w:p w14:paraId="09E85B6F" w14:textId="0468EE2C" w:rsidR="001B5734" w:rsidRPr="00273AF0" w:rsidRDefault="001B5734" w:rsidP="001B5734">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2025</w:t>
            </w:r>
          </w:p>
        </w:tc>
        <w:tc>
          <w:tcPr>
            <w:tcW w:w="2656" w:type="dxa"/>
            <w:gridSpan w:val="2"/>
            <w:tcBorders>
              <w:top w:val="nil"/>
              <w:left w:val="nil"/>
              <w:bottom w:val="nil"/>
              <w:right w:val="nil"/>
            </w:tcBorders>
          </w:tcPr>
          <w:p w14:paraId="303F7AD3" w14:textId="791019D5" w:rsidR="001B5734" w:rsidRPr="00273AF0" w:rsidRDefault="001B5734" w:rsidP="6BFE7076">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2024</w:t>
            </w:r>
          </w:p>
        </w:tc>
      </w:tr>
      <w:tr w:rsidR="001C5FBE" w:rsidRPr="00F25770" w14:paraId="6E7D87CE" w14:textId="77777777" w:rsidTr="6582C6F5">
        <w:tc>
          <w:tcPr>
            <w:tcW w:w="3714" w:type="dxa"/>
            <w:tcBorders>
              <w:top w:val="nil"/>
              <w:left w:val="nil"/>
              <w:bottom w:val="nil"/>
              <w:right w:val="nil"/>
            </w:tcBorders>
            <w:hideMark/>
          </w:tcPr>
          <w:p w14:paraId="30730214" w14:textId="7FCD2371" w:rsidR="00F25770" w:rsidRPr="00273AF0" w:rsidRDefault="00F25770" w:rsidP="6582C6F5">
            <w:pPr>
              <w:spacing w:after="0" w:line="240" w:lineRule="auto"/>
              <w:ind w:firstLine="90"/>
              <w:textAlignment w:val="baseline"/>
              <w:rPr>
                <w:rFonts w:eastAsia="Arial" w:cs="Arial"/>
                <w:color w:val="000000"/>
                <w:sz w:val="22"/>
                <w:lang w:eastAsia="en-AU"/>
              </w:rPr>
            </w:pPr>
            <w:r w:rsidRPr="6582C6F5">
              <w:rPr>
                <w:rFonts w:eastAsia="Arial" w:cs="Arial"/>
                <w:b/>
                <w:bCs/>
                <w:color w:val="000000" w:themeColor="text1"/>
                <w:sz w:val="22"/>
                <w:lang w:eastAsia="en-AU"/>
              </w:rPr>
              <w:t>By level</w:t>
            </w:r>
          </w:p>
        </w:tc>
        <w:tc>
          <w:tcPr>
            <w:tcW w:w="1328" w:type="dxa"/>
            <w:tcBorders>
              <w:top w:val="nil"/>
              <w:left w:val="nil"/>
              <w:bottom w:val="nil"/>
              <w:right w:val="nil"/>
            </w:tcBorders>
          </w:tcPr>
          <w:p w14:paraId="47F47663" w14:textId="36FC2CE6" w:rsidR="00273AF0" w:rsidRPr="00273AF0" w:rsidRDefault="00273AF0" w:rsidP="00D154DF">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Headcount</w:t>
            </w:r>
          </w:p>
        </w:tc>
        <w:tc>
          <w:tcPr>
            <w:tcW w:w="1328" w:type="dxa"/>
            <w:tcBorders>
              <w:top w:val="nil"/>
              <w:left w:val="nil"/>
              <w:bottom w:val="nil"/>
              <w:right w:val="nil"/>
            </w:tcBorders>
          </w:tcPr>
          <w:p w14:paraId="086E97FF" w14:textId="7E280483" w:rsidR="00273AF0" w:rsidRPr="00273AF0" w:rsidRDefault="00273AF0" w:rsidP="00D154DF">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FTE</w:t>
            </w:r>
            <w:r w:rsidRPr="00273AF0">
              <w:rPr>
                <w:rFonts w:eastAsia="Arial" w:cs="Arial"/>
                <w:color w:val="000000" w:themeColor="text1"/>
                <w:sz w:val="22"/>
                <w:lang w:eastAsia="en-AU"/>
              </w:rPr>
              <w:t> </w:t>
            </w:r>
          </w:p>
        </w:tc>
        <w:tc>
          <w:tcPr>
            <w:tcW w:w="1328" w:type="dxa"/>
            <w:tcBorders>
              <w:top w:val="nil"/>
              <w:left w:val="nil"/>
              <w:bottom w:val="nil"/>
              <w:right w:val="nil"/>
            </w:tcBorders>
            <w:hideMark/>
          </w:tcPr>
          <w:p w14:paraId="47237522" w14:textId="05211787" w:rsidR="00F25770" w:rsidRPr="00273AF0" w:rsidRDefault="00F25770" w:rsidP="00D154DF">
            <w:pPr>
              <w:spacing w:after="0" w:line="240" w:lineRule="auto"/>
              <w:ind w:firstLine="90"/>
              <w:jc w:val="center"/>
              <w:textAlignment w:val="baseline"/>
              <w:rPr>
                <w:rFonts w:eastAsia="Arial" w:cs="Arial"/>
                <w:color w:val="000000"/>
                <w:sz w:val="22"/>
                <w:lang w:eastAsia="en-AU"/>
              </w:rPr>
            </w:pPr>
            <w:r w:rsidRPr="00273AF0">
              <w:rPr>
                <w:rFonts w:eastAsia="Arial" w:cs="Arial"/>
                <w:b/>
                <w:color w:val="000000" w:themeColor="text1"/>
                <w:sz w:val="22"/>
                <w:lang w:eastAsia="en-AU"/>
              </w:rPr>
              <w:t>Headcount</w:t>
            </w:r>
          </w:p>
        </w:tc>
        <w:tc>
          <w:tcPr>
            <w:tcW w:w="1328" w:type="dxa"/>
            <w:tcBorders>
              <w:top w:val="nil"/>
              <w:left w:val="nil"/>
              <w:bottom w:val="nil"/>
              <w:right w:val="nil"/>
            </w:tcBorders>
            <w:hideMark/>
          </w:tcPr>
          <w:p w14:paraId="36517836" w14:textId="619050C9"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b/>
                <w:color w:val="000000" w:themeColor="text1"/>
                <w:sz w:val="22"/>
                <w:lang w:eastAsia="en-AU"/>
              </w:rPr>
              <w:t>FTE</w:t>
            </w:r>
          </w:p>
        </w:tc>
      </w:tr>
      <w:tr w:rsidR="001C5FBE" w:rsidRPr="00F25770" w14:paraId="266D181A" w14:textId="77777777" w:rsidTr="6582C6F5">
        <w:tc>
          <w:tcPr>
            <w:tcW w:w="3714" w:type="dxa"/>
            <w:tcBorders>
              <w:top w:val="nil"/>
              <w:left w:val="nil"/>
              <w:bottom w:val="nil"/>
              <w:right w:val="nil"/>
            </w:tcBorders>
            <w:hideMark/>
          </w:tcPr>
          <w:p w14:paraId="60CFE205"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Executive* </w:t>
            </w:r>
          </w:p>
        </w:tc>
        <w:tc>
          <w:tcPr>
            <w:tcW w:w="1328" w:type="dxa"/>
            <w:tcBorders>
              <w:top w:val="nil"/>
              <w:left w:val="nil"/>
              <w:bottom w:val="nil"/>
              <w:right w:val="nil"/>
            </w:tcBorders>
          </w:tcPr>
          <w:p w14:paraId="73D6600F" w14:textId="06029D57" w:rsidR="00501D1C" w:rsidRPr="00273AF0" w:rsidRDefault="00501D1C"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9</w:t>
            </w:r>
          </w:p>
        </w:tc>
        <w:tc>
          <w:tcPr>
            <w:tcW w:w="1328" w:type="dxa"/>
            <w:tcBorders>
              <w:top w:val="nil"/>
              <w:left w:val="nil"/>
              <w:bottom w:val="nil"/>
              <w:right w:val="nil"/>
            </w:tcBorders>
          </w:tcPr>
          <w:p w14:paraId="02300FFF" w14:textId="1C82E189" w:rsidR="00501D1C" w:rsidRPr="00273AF0" w:rsidRDefault="00501D1C"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8.6</w:t>
            </w:r>
          </w:p>
        </w:tc>
        <w:tc>
          <w:tcPr>
            <w:tcW w:w="1328" w:type="dxa"/>
            <w:tcBorders>
              <w:top w:val="nil"/>
              <w:left w:val="nil"/>
              <w:bottom w:val="nil"/>
              <w:right w:val="nil"/>
            </w:tcBorders>
            <w:hideMark/>
          </w:tcPr>
          <w:p w14:paraId="221EC125" w14:textId="78781871"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8</w:t>
            </w:r>
          </w:p>
        </w:tc>
        <w:tc>
          <w:tcPr>
            <w:tcW w:w="1328" w:type="dxa"/>
            <w:tcBorders>
              <w:top w:val="nil"/>
              <w:left w:val="nil"/>
              <w:bottom w:val="nil"/>
              <w:right w:val="nil"/>
            </w:tcBorders>
            <w:hideMark/>
          </w:tcPr>
          <w:p w14:paraId="10E46E6D" w14:textId="324E96B2"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7.9</w:t>
            </w:r>
          </w:p>
        </w:tc>
      </w:tr>
      <w:tr w:rsidR="00C85165" w:rsidRPr="00F25770" w14:paraId="33AA2F75" w14:textId="77777777" w:rsidTr="6582C6F5">
        <w:tc>
          <w:tcPr>
            <w:tcW w:w="3714" w:type="dxa"/>
            <w:tcBorders>
              <w:top w:val="nil"/>
              <w:left w:val="nil"/>
              <w:bottom w:val="nil"/>
              <w:right w:val="nil"/>
            </w:tcBorders>
            <w:hideMark/>
          </w:tcPr>
          <w:p w14:paraId="42426261"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Non-executive </w:t>
            </w:r>
          </w:p>
        </w:tc>
        <w:tc>
          <w:tcPr>
            <w:tcW w:w="1328" w:type="dxa"/>
            <w:tcBorders>
              <w:top w:val="nil"/>
              <w:left w:val="nil"/>
              <w:bottom w:val="single" w:sz="6" w:space="0" w:color="auto"/>
              <w:right w:val="nil"/>
            </w:tcBorders>
          </w:tcPr>
          <w:p w14:paraId="57753FC2" w14:textId="36592054" w:rsidR="00501D1C" w:rsidRPr="00273AF0" w:rsidRDefault="00501D1C"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116</w:t>
            </w:r>
          </w:p>
        </w:tc>
        <w:tc>
          <w:tcPr>
            <w:tcW w:w="1328" w:type="dxa"/>
            <w:tcBorders>
              <w:top w:val="nil"/>
              <w:left w:val="nil"/>
              <w:bottom w:val="single" w:sz="6" w:space="0" w:color="auto"/>
              <w:right w:val="nil"/>
            </w:tcBorders>
          </w:tcPr>
          <w:p w14:paraId="481BD0E4" w14:textId="322B69A6" w:rsidR="00501D1C" w:rsidRPr="00273AF0" w:rsidRDefault="00501D1C"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114.8</w:t>
            </w:r>
          </w:p>
        </w:tc>
        <w:tc>
          <w:tcPr>
            <w:tcW w:w="1328" w:type="dxa"/>
            <w:tcBorders>
              <w:top w:val="nil"/>
              <w:left w:val="nil"/>
              <w:bottom w:val="single" w:sz="6" w:space="0" w:color="auto"/>
              <w:right w:val="nil"/>
            </w:tcBorders>
            <w:hideMark/>
          </w:tcPr>
          <w:p w14:paraId="07C50147" w14:textId="0BF7F705"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3</w:t>
            </w:r>
            <w:r w:rsidR="006912DB" w:rsidRPr="00273AF0">
              <w:rPr>
                <w:rFonts w:eastAsia="Arial" w:cs="Arial"/>
                <w:color w:val="000000" w:themeColor="text1"/>
                <w:sz w:val="22"/>
                <w:lang w:eastAsia="en-AU"/>
              </w:rPr>
              <w:t>7</w:t>
            </w:r>
          </w:p>
        </w:tc>
        <w:tc>
          <w:tcPr>
            <w:tcW w:w="1328" w:type="dxa"/>
            <w:tcBorders>
              <w:top w:val="nil"/>
              <w:left w:val="nil"/>
              <w:bottom w:val="single" w:sz="6" w:space="0" w:color="auto"/>
              <w:right w:val="nil"/>
            </w:tcBorders>
            <w:hideMark/>
          </w:tcPr>
          <w:p w14:paraId="2BCEB2B2" w14:textId="42CC31D0"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3</w:t>
            </w:r>
            <w:r w:rsidR="006912DB" w:rsidRPr="00273AF0">
              <w:rPr>
                <w:rFonts w:eastAsia="Arial" w:cs="Arial"/>
                <w:color w:val="000000" w:themeColor="text1"/>
                <w:sz w:val="22"/>
                <w:lang w:eastAsia="en-AU"/>
              </w:rPr>
              <w:t>6</w:t>
            </w:r>
            <w:r w:rsidRPr="00273AF0">
              <w:rPr>
                <w:rFonts w:eastAsia="Arial" w:cs="Arial"/>
                <w:color w:val="000000" w:themeColor="text1"/>
                <w:sz w:val="22"/>
                <w:lang w:eastAsia="en-AU"/>
              </w:rPr>
              <w:t>.8</w:t>
            </w:r>
          </w:p>
        </w:tc>
      </w:tr>
      <w:tr w:rsidR="00C85165" w:rsidRPr="00F25770" w14:paraId="539E07D9" w14:textId="77777777" w:rsidTr="6582C6F5">
        <w:tc>
          <w:tcPr>
            <w:tcW w:w="3714" w:type="dxa"/>
            <w:tcBorders>
              <w:top w:val="nil"/>
              <w:left w:val="nil"/>
              <w:bottom w:val="nil"/>
              <w:right w:val="nil"/>
            </w:tcBorders>
            <w:hideMark/>
          </w:tcPr>
          <w:p w14:paraId="22EB5859"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 </w:t>
            </w:r>
          </w:p>
        </w:tc>
        <w:tc>
          <w:tcPr>
            <w:tcW w:w="1328" w:type="dxa"/>
            <w:tcBorders>
              <w:top w:val="single" w:sz="6" w:space="0" w:color="auto"/>
              <w:left w:val="nil"/>
              <w:bottom w:val="nil"/>
              <w:right w:val="nil"/>
            </w:tcBorders>
          </w:tcPr>
          <w:p w14:paraId="65499151" w14:textId="28A261FF" w:rsidR="00501D1C" w:rsidRPr="00273AF0" w:rsidRDefault="00501D1C" w:rsidP="6BFE7076">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125</w:t>
            </w:r>
          </w:p>
        </w:tc>
        <w:tc>
          <w:tcPr>
            <w:tcW w:w="1328" w:type="dxa"/>
            <w:tcBorders>
              <w:top w:val="single" w:sz="6" w:space="0" w:color="auto"/>
              <w:left w:val="nil"/>
              <w:bottom w:val="nil"/>
              <w:right w:val="nil"/>
            </w:tcBorders>
          </w:tcPr>
          <w:p w14:paraId="5258AFCF" w14:textId="7C6E71DC" w:rsidR="00501D1C" w:rsidRPr="00273AF0" w:rsidRDefault="00501D1C" w:rsidP="6BFE7076">
            <w:pPr>
              <w:spacing w:after="0" w:line="240" w:lineRule="auto"/>
              <w:ind w:firstLine="90"/>
              <w:jc w:val="center"/>
              <w:textAlignment w:val="baseline"/>
              <w:rPr>
                <w:rFonts w:eastAsia="Arial" w:cs="Arial"/>
                <w:b/>
                <w:color w:val="000000" w:themeColor="text1"/>
                <w:sz w:val="22"/>
                <w:lang w:eastAsia="en-AU"/>
              </w:rPr>
            </w:pPr>
            <w:r w:rsidRPr="00273AF0">
              <w:rPr>
                <w:rFonts w:eastAsia="Arial" w:cs="Arial"/>
                <w:b/>
                <w:color w:val="000000" w:themeColor="text1"/>
                <w:sz w:val="22"/>
                <w:lang w:eastAsia="en-AU"/>
              </w:rPr>
              <w:t>123.4</w:t>
            </w:r>
          </w:p>
        </w:tc>
        <w:tc>
          <w:tcPr>
            <w:tcW w:w="1328" w:type="dxa"/>
            <w:tcBorders>
              <w:top w:val="single" w:sz="6" w:space="0" w:color="auto"/>
              <w:left w:val="nil"/>
              <w:bottom w:val="nil"/>
              <w:right w:val="nil"/>
            </w:tcBorders>
            <w:hideMark/>
          </w:tcPr>
          <w:p w14:paraId="39A914B1" w14:textId="2E9FDED7"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b/>
                <w:color w:val="000000" w:themeColor="text1"/>
                <w:sz w:val="22"/>
                <w:lang w:eastAsia="en-AU"/>
              </w:rPr>
              <w:t>45</w:t>
            </w:r>
          </w:p>
        </w:tc>
        <w:tc>
          <w:tcPr>
            <w:tcW w:w="1328" w:type="dxa"/>
            <w:tcBorders>
              <w:top w:val="single" w:sz="6" w:space="0" w:color="auto"/>
              <w:left w:val="nil"/>
              <w:bottom w:val="nil"/>
              <w:right w:val="nil"/>
            </w:tcBorders>
            <w:hideMark/>
          </w:tcPr>
          <w:p w14:paraId="268B9348" w14:textId="4634B59F"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b/>
                <w:color w:val="000000" w:themeColor="text1"/>
                <w:sz w:val="22"/>
                <w:lang w:eastAsia="en-AU"/>
              </w:rPr>
              <w:t>44.7</w:t>
            </w:r>
          </w:p>
        </w:tc>
      </w:tr>
      <w:tr w:rsidR="001C5FBE" w:rsidRPr="00F25770" w14:paraId="2BC76C41" w14:textId="77777777" w:rsidTr="6582C6F5">
        <w:tc>
          <w:tcPr>
            <w:tcW w:w="3714" w:type="dxa"/>
            <w:tcBorders>
              <w:top w:val="nil"/>
              <w:left w:val="nil"/>
              <w:bottom w:val="nil"/>
              <w:right w:val="nil"/>
            </w:tcBorders>
            <w:hideMark/>
          </w:tcPr>
          <w:p w14:paraId="709FEFBD"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b/>
                <w:color w:val="000000" w:themeColor="text1"/>
                <w:sz w:val="22"/>
                <w:lang w:eastAsia="en-AU"/>
              </w:rPr>
              <w:t>By work location</w:t>
            </w:r>
            <w:r w:rsidRPr="00273AF0">
              <w:rPr>
                <w:rFonts w:eastAsia="Arial" w:cs="Arial"/>
                <w:color w:val="000000" w:themeColor="text1"/>
                <w:sz w:val="22"/>
                <w:lang w:eastAsia="en-AU"/>
              </w:rPr>
              <w:t> </w:t>
            </w:r>
          </w:p>
        </w:tc>
        <w:tc>
          <w:tcPr>
            <w:tcW w:w="1328" w:type="dxa"/>
            <w:tcBorders>
              <w:top w:val="nil"/>
              <w:left w:val="nil"/>
              <w:bottom w:val="nil"/>
              <w:right w:val="nil"/>
            </w:tcBorders>
          </w:tcPr>
          <w:p w14:paraId="3C36ED85"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tcPr>
          <w:p w14:paraId="2242DD09"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42BD12AE" w14:textId="6F287498"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c>
          <w:tcPr>
            <w:tcW w:w="1328" w:type="dxa"/>
            <w:tcBorders>
              <w:top w:val="nil"/>
              <w:left w:val="nil"/>
              <w:bottom w:val="nil"/>
              <w:right w:val="nil"/>
            </w:tcBorders>
            <w:hideMark/>
          </w:tcPr>
          <w:p w14:paraId="6A828223" w14:textId="7E0DD145"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5A866644" w14:textId="77777777" w:rsidTr="6582C6F5">
        <w:tc>
          <w:tcPr>
            <w:tcW w:w="3714" w:type="dxa"/>
            <w:tcBorders>
              <w:top w:val="nil"/>
              <w:left w:val="nil"/>
              <w:bottom w:val="nil"/>
              <w:right w:val="nil"/>
            </w:tcBorders>
            <w:hideMark/>
          </w:tcPr>
          <w:p w14:paraId="1C90D6E7"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Melbourne </w:t>
            </w:r>
          </w:p>
        </w:tc>
        <w:tc>
          <w:tcPr>
            <w:tcW w:w="1328" w:type="dxa"/>
            <w:tcBorders>
              <w:top w:val="nil"/>
              <w:left w:val="nil"/>
              <w:bottom w:val="nil"/>
              <w:right w:val="nil"/>
            </w:tcBorders>
          </w:tcPr>
          <w:p w14:paraId="0DFCB2CE" w14:textId="6C376F4B" w:rsidR="00FE5E2D" w:rsidRPr="00273AF0" w:rsidRDefault="00FE5E2D"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119</w:t>
            </w:r>
          </w:p>
        </w:tc>
        <w:tc>
          <w:tcPr>
            <w:tcW w:w="1328" w:type="dxa"/>
            <w:tcBorders>
              <w:top w:val="nil"/>
              <w:left w:val="nil"/>
              <w:bottom w:val="nil"/>
              <w:right w:val="nil"/>
            </w:tcBorders>
          </w:tcPr>
          <w:p w14:paraId="32643B1D"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7B9114DC" w14:textId="73222D30"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44</w:t>
            </w:r>
          </w:p>
        </w:tc>
        <w:tc>
          <w:tcPr>
            <w:tcW w:w="1328" w:type="dxa"/>
            <w:tcBorders>
              <w:top w:val="nil"/>
              <w:left w:val="nil"/>
              <w:bottom w:val="nil"/>
              <w:right w:val="nil"/>
            </w:tcBorders>
            <w:hideMark/>
          </w:tcPr>
          <w:p w14:paraId="07DA3DED" w14:textId="012C84A6"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34871BA0" w14:textId="77777777" w:rsidTr="6582C6F5">
        <w:tc>
          <w:tcPr>
            <w:tcW w:w="3714" w:type="dxa"/>
            <w:tcBorders>
              <w:top w:val="nil"/>
              <w:left w:val="nil"/>
              <w:bottom w:val="nil"/>
              <w:right w:val="nil"/>
            </w:tcBorders>
            <w:hideMark/>
          </w:tcPr>
          <w:p w14:paraId="710E2F3E"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Morwell </w:t>
            </w:r>
          </w:p>
        </w:tc>
        <w:tc>
          <w:tcPr>
            <w:tcW w:w="1328" w:type="dxa"/>
            <w:tcBorders>
              <w:top w:val="nil"/>
              <w:left w:val="nil"/>
              <w:bottom w:val="nil"/>
              <w:right w:val="nil"/>
            </w:tcBorders>
          </w:tcPr>
          <w:p w14:paraId="6060461B" w14:textId="25B58656" w:rsidR="00FE5E2D" w:rsidRPr="00273AF0" w:rsidRDefault="00FE5E2D"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5</w:t>
            </w:r>
          </w:p>
        </w:tc>
        <w:tc>
          <w:tcPr>
            <w:tcW w:w="1328" w:type="dxa"/>
            <w:tcBorders>
              <w:top w:val="nil"/>
              <w:left w:val="nil"/>
              <w:bottom w:val="nil"/>
              <w:right w:val="nil"/>
            </w:tcBorders>
          </w:tcPr>
          <w:p w14:paraId="686E5C90"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483756FB" w14:textId="23E991AC"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1</w:t>
            </w:r>
          </w:p>
        </w:tc>
        <w:tc>
          <w:tcPr>
            <w:tcW w:w="1328" w:type="dxa"/>
            <w:tcBorders>
              <w:top w:val="nil"/>
              <w:left w:val="nil"/>
              <w:bottom w:val="nil"/>
              <w:right w:val="nil"/>
            </w:tcBorders>
            <w:hideMark/>
          </w:tcPr>
          <w:p w14:paraId="0E10C5F6" w14:textId="52864442"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5E8B1374" w14:textId="77777777" w:rsidTr="6582C6F5">
        <w:tc>
          <w:tcPr>
            <w:tcW w:w="3714" w:type="dxa"/>
            <w:tcBorders>
              <w:top w:val="nil"/>
              <w:left w:val="nil"/>
              <w:bottom w:val="nil"/>
              <w:right w:val="nil"/>
            </w:tcBorders>
          </w:tcPr>
          <w:p w14:paraId="2F5E0387" w14:textId="3804BF06" w:rsidR="00011C06" w:rsidRPr="00273AF0" w:rsidRDefault="00011C06" w:rsidP="6BFE7076">
            <w:pPr>
              <w:spacing w:after="0" w:line="240" w:lineRule="auto"/>
              <w:ind w:firstLine="90"/>
              <w:textAlignment w:val="baseline"/>
              <w:rPr>
                <w:rFonts w:eastAsia="Arial" w:cs="Arial"/>
                <w:color w:val="000000" w:themeColor="text1"/>
                <w:sz w:val="22"/>
                <w:lang w:eastAsia="en-AU"/>
              </w:rPr>
            </w:pPr>
            <w:r w:rsidRPr="00273AF0">
              <w:rPr>
                <w:rFonts w:eastAsia="Arial" w:cs="Arial"/>
                <w:color w:val="000000" w:themeColor="text1"/>
                <w:sz w:val="22"/>
                <w:lang w:eastAsia="en-AU"/>
              </w:rPr>
              <w:t>Horsham</w:t>
            </w:r>
          </w:p>
        </w:tc>
        <w:tc>
          <w:tcPr>
            <w:tcW w:w="1328" w:type="dxa"/>
            <w:tcBorders>
              <w:top w:val="nil"/>
              <w:left w:val="nil"/>
              <w:bottom w:val="nil"/>
              <w:right w:val="nil"/>
            </w:tcBorders>
          </w:tcPr>
          <w:p w14:paraId="44BA1C4C" w14:textId="29211DED"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1</w:t>
            </w:r>
          </w:p>
        </w:tc>
        <w:tc>
          <w:tcPr>
            <w:tcW w:w="1328" w:type="dxa"/>
            <w:tcBorders>
              <w:top w:val="nil"/>
              <w:left w:val="nil"/>
              <w:bottom w:val="nil"/>
              <w:right w:val="nil"/>
            </w:tcBorders>
          </w:tcPr>
          <w:p w14:paraId="32DC69AD" w14:textId="77777777"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tcPr>
          <w:p w14:paraId="4CCED210" w14:textId="0C267C8F" w:rsidR="00011C06" w:rsidRPr="00273AF0" w:rsidRDefault="00812163" w:rsidP="6BFE7076">
            <w:pPr>
              <w:spacing w:after="0" w:line="240" w:lineRule="auto"/>
              <w:ind w:firstLine="90"/>
              <w:jc w:val="center"/>
              <w:textAlignment w:val="baseline"/>
              <w:rPr>
                <w:rFonts w:eastAsia="Arial" w:cs="Arial"/>
                <w:color w:val="000000" w:themeColor="text1"/>
                <w:sz w:val="22"/>
                <w:lang w:eastAsia="en-AU"/>
              </w:rPr>
            </w:pPr>
            <w:r w:rsidRPr="00812163">
              <w:rPr>
                <w:rFonts w:eastAsia="Arial" w:cs="Arial"/>
                <w:color w:val="000000" w:themeColor="text1"/>
                <w:sz w:val="22"/>
                <w:lang w:eastAsia="en-AU"/>
              </w:rPr>
              <w:t>-</w:t>
            </w:r>
          </w:p>
        </w:tc>
        <w:tc>
          <w:tcPr>
            <w:tcW w:w="1328" w:type="dxa"/>
            <w:tcBorders>
              <w:top w:val="nil"/>
              <w:left w:val="nil"/>
              <w:bottom w:val="nil"/>
              <w:right w:val="nil"/>
            </w:tcBorders>
          </w:tcPr>
          <w:p w14:paraId="355D7CD7" w14:textId="77777777"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p>
        </w:tc>
      </w:tr>
      <w:tr w:rsidR="001C5FBE" w:rsidRPr="00F25770" w14:paraId="221F046B" w14:textId="77777777" w:rsidTr="6582C6F5">
        <w:tc>
          <w:tcPr>
            <w:tcW w:w="3714" w:type="dxa"/>
            <w:tcBorders>
              <w:top w:val="nil"/>
              <w:left w:val="nil"/>
              <w:bottom w:val="nil"/>
              <w:right w:val="nil"/>
            </w:tcBorders>
            <w:hideMark/>
          </w:tcPr>
          <w:p w14:paraId="3E3B97E0" w14:textId="71B601B2"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b/>
                <w:color w:val="000000" w:themeColor="text1"/>
                <w:sz w:val="22"/>
                <w:lang w:eastAsia="en-AU"/>
              </w:rPr>
              <w:t>By gender</w:t>
            </w:r>
            <w:r w:rsidRPr="00273AF0">
              <w:rPr>
                <w:rFonts w:eastAsia="Arial" w:cs="Arial"/>
                <w:color w:val="000000" w:themeColor="text1"/>
                <w:sz w:val="22"/>
                <w:lang w:eastAsia="en-AU"/>
              </w:rPr>
              <w:t> </w:t>
            </w:r>
          </w:p>
        </w:tc>
        <w:tc>
          <w:tcPr>
            <w:tcW w:w="1328" w:type="dxa"/>
            <w:tcBorders>
              <w:top w:val="nil"/>
              <w:left w:val="nil"/>
              <w:bottom w:val="nil"/>
              <w:right w:val="nil"/>
            </w:tcBorders>
          </w:tcPr>
          <w:p w14:paraId="32928022" w14:textId="7685D148"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tcPr>
          <w:p w14:paraId="394A678D"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0F3E428C" w14:textId="03F575FA"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c>
          <w:tcPr>
            <w:tcW w:w="1328" w:type="dxa"/>
            <w:tcBorders>
              <w:top w:val="nil"/>
              <w:left w:val="nil"/>
              <w:bottom w:val="nil"/>
              <w:right w:val="nil"/>
            </w:tcBorders>
            <w:hideMark/>
          </w:tcPr>
          <w:p w14:paraId="628BA3FD" w14:textId="7ABBB974"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018ECC0D" w14:textId="77777777" w:rsidTr="6582C6F5">
        <w:tc>
          <w:tcPr>
            <w:tcW w:w="3714" w:type="dxa"/>
            <w:tcBorders>
              <w:top w:val="nil"/>
              <w:left w:val="nil"/>
              <w:bottom w:val="nil"/>
              <w:right w:val="nil"/>
            </w:tcBorders>
            <w:hideMark/>
          </w:tcPr>
          <w:p w14:paraId="1AF938BE"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Female </w:t>
            </w:r>
          </w:p>
        </w:tc>
        <w:tc>
          <w:tcPr>
            <w:tcW w:w="1328" w:type="dxa"/>
            <w:tcBorders>
              <w:top w:val="nil"/>
              <w:left w:val="nil"/>
              <w:bottom w:val="nil"/>
              <w:right w:val="nil"/>
            </w:tcBorders>
          </w:tcPr>
          <w:p w14:paraId="2378A92D" w14:textId="3180B684"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61</w:t>
            </w:r>
          </w:p>
        </w:tc>
        <w:tc>
          <w:tcPr>
            <w:tcW w:w="1328" w:type="dxa"/>
            <w:tcBorders>
              <w:top w:val="nil"/>
              <w:left w:val="nil"/>
              <w:bottom w:val="nil"/>
              <w:right w:val="nil"/>
            </w:tcBorders>
          </w:tcPr>
          <w:p w14:paraId="66FEF58B"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66028984" w14:textId="0EC69BD8"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30</w:t>
            </w:r>
          </w:p>
        </w:tc>
        <w:tc>
          <w:tcPr>
            <w:tcW w:w="1328" w:type="dxa"/>
            <w:tcBorders>
              <w:top w:val="nil"/>
              <w:left w:val="nil"/>
              <w:bottom w:val="nil"/>
              <w:right w:val="nil"/>
            </w:tcBorders>
            <w:hideMark/>
          </w:tcPr>
          <w:p w14:paraId="0A628B83" w14:textId="745554F4"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3C600F75" w14:textId="77777777" w:rsidTr="6582C6F5">
        <w:tc>
          <w:tcPr>
            <w:tcW w:w="3714" w:type="dxa"/>
            <w:tcBorders>
              <w:top w:val="nil"/>
              <w:left w:val="nil"/>
              <w:bottom w:val="nil"/>
              <w:right w:val="nil"/>
            </w:tcBorders>
            <w:hideMark/>
          </w:tcPr>
          <w:p w14:paraId="5E36CFAF"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Male </w:t>
            </w:r>
          </w:p>
        </w:tc>
        <w:tc>
          <w:tcPr>
            <w:tcW w:w="1328" w:type="dxa"/>
            <w:tcBorders>
              <w:top w:val="nil"/>
              <w:left w:val="nil"/>
              <w:bottom w:val="nil"/>
              <w:right w:val="nil"/>
            </w:tcBorders>
          </w:tcPr>
          <w:p w14:paraId="6849833F" w14:textId="7A3C38BA"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64</w:t>
            </w:r>
          </w:p>
        </w:tc>
        <w:tc>
          <w:tcPr>
            <w:tcW w:w="1328" w:type="dxa"/>
            <w:tcBorders>
              <w:top w:val="nil"/>
              <w:left w:val="nil"/>
              <w:bottom w:val="nil"/>
              <w:right w:val="nil"/>
            </w:tcBorders>
          </w:tcPr>
          <w:p w14:paraId="673CF1FC"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77CA58EB" w14:textId="08A90A48"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15</w:t>
            </w:r>
          </w:p>
        </w:tc>
        <w:tc>
          <w:tcPr>
            <w:tcW w:w="1328" w:type="dxa"/>
            <w:tcBorders>
              <w:top w:val="nil"/>
              <w:left w:val="nil"/>
              <w:bottom w:val="nil"/>
              <w:right w:val="nil"/>
            </w:tcBorders>
            <w:hideMark/>
          </w:tcPr>
          <w:p w14:paraId="28C22DB4" w14:textId="57FC2686"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r w:rsidR="001C5FBE" w:rsidRPr="00F25770" w14:paraId="58411A2C" w14:textId="77777777" w:rsidTr="6582C6F5">
        <w:tc>
          <w:tcPr>
            <w:tcW w:w="3714" w:type="dxa"/>
            <w:tcBorders>
              <w:top w:val="nil"/>
              <w:left w:val="nil"/>
              <w:bottom w:val="nil"/>
              <w:right w:val="nil"/>
            </w:tcBorders>
            <w:hideMark/>
          </w:tcPr>
          <w:p w14:paraId="4C3DD6C4" w14:textId="77777777" w:rsidR="00F25770" w:rsidRPr="00273AF0" w:rsidRDefault="00F25770" w:rsidP="6BFE7076">
            <w:pPr>
              <w:spacing w:after="0" w:line="240" w:lineRule="auto"/>
              <w:ind w:firstLine="90"/>
              <w:textAlignment w:val="baseline"/>
              <w:rPr>
                <w:rFonts w:eastAsia="Arial" w:cs="Arial"/>
                <w:color w:val="000000"/>
                <w:sz w:val="22"/>
                <w:lang w:eastAsia="en-AU"/>
              </w:rPr>
            </w:pPr>
            <w:r w:rsidRPr="00273AF0">
              <w:rPr>
                <w:rFonts w:eastAsia="Arial" w:cs="Arial"/>
                <w:color w:val="000000" w:themeColor="text1"/>
                <w:sz w:val="22"/>
                <w:lang w:eastAsia="en-AU"/>
              </w:rPr>
              <w:t>Undisclosed </w:t>
            </w:r>
          </w:p>
        </w:tc>
        <w:tc>
          <w:tcPr>
            <w:tcW w:w="1328" w:type="dxa"/>
            <w:tcBorders>
              <w:top w:val="nil"/>
              <w:left w:val="nil"/>
              <w:bottom w:val="nil"/>
              <w:right w:val="nil"/>
            </w:tcBorders>
          </w:tcPr>
          <w:p w14:paraId="0A70FCA0" w14:textId="73593ED0" w:rsidR="00011C06" w:rsidRPr="00273AF0" w:rsidRDefault="00011C06" w:rsidP="6BFE7076">
            <w:pPr>
              <w:spacing w:after="0" w:line="240" w:lineRule="auto"/>
              <w:ind w:firstLine="90"/>
              <w:jc w:val="center"/>
              <w:textAlignment w:val="baseline"/>
              <w:rPr>
                <w:rFonts w:eastAsia="Arial" w:cs="Arial"/>
                <w:color w:val="000000" w:themeColor="text1"/>
                <w:sz w:val="22"/>
                <w:lang w:eastAsia="en-AU"/>
              </w:rPr>
            </w:pPr>
            <w:r w:rsidRPr="00273AF0">
              <w:rPr>
                <w:rFonts w:eastAsia="Arial" w:cs="Arial"/>
                <w:color w:val="000000" w:themeColor="text1"/>
                <w:sz w:val="22"/>
                <w:lang w:eastAsia="en-AU"/>
              </w:rPr>
              <w:t>-</w:t>
            </w:r>
          </w:p>
        </w:tc>
        <w:tc>
          <w:tcPr>
            <w:tcW w:w="1328" w:type="dxa"/>
            <w:tcBorders>
              <w:top w:val="nil"/>
              <w:left w:val="nil"/>
              <w:bottom w:val="nil"/>
              <w:right w:val="nil"/>
            </w:tcBorders>
          </w:tcPr>
          <w:p w14:paraId="2B983CE6" w14:textId="77777777" w:rsidR="001B5734" w:rsidRPr="00273AF0" w:rsidRDefault="001B5734" w:rsidP="6BFE7076">
            <w:pPr>
              <w:spacing w:after="0" w:line="240" w:lineRule="auto"/>
              <w:ind w:firstLine="90"/>
              <w:jc w:val="center"/>
              <w:textAlignment w:val="baseline"/>
              <w:rPr>
                <w:rFonts w:eastAsia="Arial" w:cs="Arial"/>
                <w:color w:val="000000" w:themeColor="text1"/>
                <w:sz w:val="22"/>
                <w:lang w:eastAsia="en-AU"/>
              </w:rPr>
            </w:pPr>
          </w:p>
        </w:tc>
        <w:tc>
          <w:tcPr>
            <w:tcW w:w="1328" w:type="dxa"/>
            <w:tcBorders>
              <w:top w:val="nil"/>
              <w:left w:val="nil"/>
              <w:bottom w:val="nil"/>
              <w:right w:val="nil"/>
            </w:tcBorders>
            <w:hideMark/>
          </w:tcPr>
          <w:p w14:paraId="7B65002E" w14:textId="7F5ECF9F" w:rsidR="00F25770" w:rsidRPr="00273AF0" w:rsidRDefault="00F25770" w:rsidP="6BFE7076">
            <w:pPr>
              <w:spacing w:after="0" w:line="240" w:lineRule="auto"/>
              <w:ind w:firstLine="90"/>
              <w:jc w:val="center"/>
              <w:textAlignment w:val="baseline"/>
              <w:rPr>
                <w:rFonts w:eastAsia="Arial" w:cs="Arial"/>
                <w:color w:val="000000"/>
                <w:sz w:val="22"/>
                <w:lang w:eastAsia="en-AU"/>
              </w:rPr>
            </w:pPr>
            <w:r w:rsidRPr="00273AF0">
              <w:rPr>
                <w:rFonts w:eastAsia="Arial" w:cs="Arial"/>
                <w:color w:val="000000" w:themeColor="text1"/>
                <w:sz w:val="22"/>
                <w:lang w:eastAsia="en-AU"/>
              </w:rPr>
              <w:t>-</w:t>
            </w:r>
          </w:p>
        </w:tc>
        <w:tc>
          <w:tcPr>
            <w:tcW w:w="1328" w:type="dxa"/>
            <w:tcBorders>
              <w:top w:val="nil"/>
              <w:left w:val="nil"/>
              <w:bottom w:val="nil"/>
              <w:right w:val="nil"/>
            </w:tcBorders>
            <w:hideMark/>
          </w:tcPr>
          <w:p w14:paraId="6CC4E2E3" w14:textId="73500B02" w:rsidR="00F25770" w:rsidRPr="00273AF0" w:rsidRDefault="00F25770" w:rsidP="6BFE7076">
            <w:pPr>
              <w:spacing w:after="0" w:line="240" w:lineRule="auto"/>
              <w:ind w:firstLine="90"/>
              <w:jc w:val="center"/>
              <w:textAlignment w:val="baseline"/>
              <w:rPr>
                <w:rFonts w:eastAsia="Arial" w:cs="Arial"/>
                <w:color w:val="000000"/>
                <w:sz w:val="22"/>
                <w:lang w:eastAsia="en-AU"/>
              </w:rPr>
            </w:pPr>
          </w:p>
        </w:tc>
      </w:tr>
    </w:tbl>
    <w:p w14:paraId="19270AE3" w14:textId="31490A0E" w:rsidR="0027747F" w:rsidRPr="00F65403" w:rsidRDefault="00F25770" w:rsidP="14655575">
      <w:pPr>
        <w:spacing w:after="0" w:line="240" w:lineRule="auto"/>
        <w:rPr>
          <w:rFonts w:eastAsia="Times New Roman" w:cs="Arial"/>
          <w:sz w:val="18"/>
          <w:szCs w:val="18"/>
          <w:lang w:eastAsia="en-AU"/>
        </w:rPr>
      </w:pPr>
      <w:r w:rsidRPr="6582C6F5">
        <w:rPr>
          <w:rFonts w:eastAsia="Times New Roman" w:cs="Arial"/>
          <w:sz w:val="18"/>
          <w:szCs w:val="18"/>
          <w:lang w:eastAsia="en-AU"/>
        </w:rPr>
        <w:t xml:space="preserve">* For the purposes of this disclosure, </w:t>
      </w:r>
      <w:r w:rsidR="00720C88" w:rsidRPr="6582C6F5">
        <w:rPr>
          <w:rFonts w:eastAsia="Times New Roman" w:cs="Arial"/>
          <w:sz w:val="18"/>
          <w:szCs w:val="18"/>
          <w:lang w:eastAsia="en-AU"/>
        </w:rPr>
        <w:t>“E</w:t>
      </w:r>
      <w:r w:rsidRPr="6582C6F5">
        <w:rPr>
          <w:rFonts w:eastAsia="Times New Roman" w:cs="Arial"/>
          <w:sz w:val="18"/>
          <w:szCs w:val="18"/>
          <w:lang w:eastAsia="en-AU"/>
        </w:rPr>
        <w:t>xecutive</w:t>
      </w:r>
      <w:r w:rsidR="00720C88" w:rsidRPr="6582C6F5">
        <w:rPr>
          <w:rFonts w:eastAsia="Times New Roman" w:cs="Arial"/>
          <w:sz w:val="18"/>
          <w:szCs w:val="18"/>
          <w:lang w:eastAsia="en-AU"/>
        </w:rPr>
        <w:t>”</w:t>
      </w:r>
      <w:r w:rsidRPr="6582C6F5">
        <w:rPr>
          <w:rFonts w:eastAsia="Times New Roman" w:cs="Arial"/>
          <w:sz w:val="18"/>
          <w:szCs w:val="18"/>
          <w:lang w:eastAsia="en-AU"/>
        </w:rPr>
        <w:t xml:space="preserve"> </w:t>
      </w:r>
      <w:r w:rsidR="0014793F" w:rsidRPr="6582C6F5">
        <w:rPr>
          <w:rFonts w:eastAsia="Times New Roman" w:cs="Arial"/>
          <w:sz w:val="18"/>
          <w:szCs w:val="18"/>
          <w:lang w:eastAsia="en-AU"/>
        </w:rPr>
        <w:t>include</w:t>
      </w:r>
      <w:r w:rsidR="00720C88" w:rsidRPr="6582C6F5">
        <w:rPr>
          <w:rFonts w:eastAsia="Times New Roman" w:cs="Arial"/>
          <w:sz w:val="18"/>
          <w:szCs w:val="18"/>
          <w:lang w:eastAsia="en-AU"/>
        </w:rPr>
        <w:t>s</w:t>
      </w:r>
      <w:r w:rsidR="0014793F" w:rsidRPr="6582C6F5">
        <w:rPr>
          <w:rFonts w:eastAsia="Times New Roman" w:cs="Arial"/>
          <w:sz w:val="18"/>
          <w:szCs w:val="18"/>
          <w:lang w:eastAsia="en-AU"/>
        </w:rPr>
        <w:t xml:space="preserve"> the CEO</w:t>
      </w:r>
      <w:r w:rsidR="00CF601B" w:rsidRPr="6582C6F5">
        <w:rPr>
          <w:rFonts w:eastAsia="Times New Roman" w:cs="Arial"/>
          <w:sz w:val="18"/>
          <w:szCs w:val="18"/>
          <w:lang w:eastAsia="en-AU"/>
        </w:rPr>
        <w:t xml:space="preserve"> and </w:t>
      </w:r>
      <w:r w:rsidR="001D328C" w:rsidRPr="6582C6F5">
        <w:rPr>
          <w:rFonts w:eastAsia="Times New Roman" w:cs="Arial"/>
          <w:sz w:val="18"/>
          <w:szCs w:val="18"/>
          <w:lang w:eastAsia="en-AU"/>
        </w:rPr>
        <w:t>their</w:t>
      </w:r>
      <w:r w:rsidR="00CF601B" w:rsidRPr="6582C6F5">
        <w:rPr>
          <w:rFonts w:eastAsia="Times New Roman" w:cs="Arial"/>
          <w:sz w:val="18"/>
          <w:szCs w:val="18"/>
          <w:lang w:eastAsia="en-AU"/>
        </w:rPr>
        <w:t xml:space="preserve"> direct reports</w:t>
      </w:r>
      <w:r w:rsidR="00FB46BD" w:rsidRPr="6582C6F5">
        <w:rPr>
          <w:rFonts w:eastAsia="Times New Roman" w:cs="Arial"/>
          <w:sz w:val="18"/>
          <w:szCs w:val="18"/>
          <w:lang w:eastAsia="en-AU"/>
        </w:rPr>
        <w:t>, excluding</w:t>
      </w:r>
      <w:r w:rsidR="0014793F" w:rsidRPr="6582C6F5">
        <w:rPr>
          <w:rFonts w:eastAsia="Times New Roman" w:cs="Arial"/>
          <w:sz w:val="18"/>
          <w:szCs w:val="18"/>
          <w:lang w:eastAsia="en-AU"/>
        </w:rPr>
        <w:t xml:space="preserve"> the </w:t>
      </w:r>
      <w:r w:rsidR="00273AF0" w:rsidRPr="6582C6F5">
        <w:rPr>
          <w:rFonts w:eastAsia="Times New Roman" w:cs="Arial"/>
          <w:sz w:val="18"/>
          <w:szCs w:val="18"/>
          <w:lang w:eastAsia="en-AU"/>
        </w:rPr>
        <w:t>executive assistant.</w:t>
      </w:r>
      <w:r w:rsidR="0014793F" w:rsidRPr="6582C6F5">
        <w:rPr>
          <w:rFonts w:eastAsia="Times New Roman" w:cs="Arial"/>
          <w:sz w:val="18"/>
          <w:szCs w:val="18"/>
          <w:lang w:eastAsia="en-AU"/>
        </w:rPr>
        <w:t xml:space="preserve"> </w:t>
      </w:r>
    </w:p>
    <w:p w14:paraId="6187F7A3" w14:textId="77777777" w:rsidR="000034F5" w:rsidRPr="00273AF0" w:rsidRDefault="000034F5" w:rsidP="14655575">
      <w:pPr>
        <w:spacing w:after="0" w:line="240" w:lineRule="auto"/>
        <w:rPr>
          <w:rFonts w:ascii="Segoe UI" w:eastAsia="Times New Roman" w:hAnsi="Segoe UI" w:cs="Segoe UI"/>
          <w:sz w:val="18"/>
          <w:szCs w:val="18"/>
          <w:lang w:eastAsia="en-AU"/>
        </w:rPr>
      </w:pPr>
    </w:p>
    <w:p w14:paraId="19C01C0E" w14:textId="3B75629D" w:rsidR="002754EF" w:rsidRPr="00020D35" w:rsidRDefault="002754EF" w:rsidP="002754EF">
      <w:pPr>
        <w:pStyle w:val="Heading3"/>
      </w:pPr>
      <w:bookmarkStart w:id="258" w:name="_Ref207013136"/>
      <w:r>
        <w:t>Occupational health and safety</w:t>
      </w:r>
      <w:bookmarkEnd w:id="258"/>
      <w:r>
        <w:t xml:space="preserve"> </w:t>
      </w:r>
    </w:p>
    <w:p w14:paraId="7A3170A7" w14:textId="2F437D3B" w:rsidR="00B04C6C" w:rsidRPr="00D10C61" w:rsidRDefault="00A60F2A" w:rsidP="00CD3551">
      <w:pPr>
        <w:rPr>
          <w:highlight w:val="yellow"/>
        </w:rPr>
      </w:pPr>
      <w:r w:rsidRPr="00D10C61">
        <w:t xml:space="preserve">At SEC, we are committed to providing a safe and </w:t>
      </w:r>
      <w:r w:rsidR="00E96481" w:rsidRPr="00D10C61">
        <w:t>healthy</w:t>
      </w:r>
      <w:r w:rsidRPr="00D10C61">
        <w:t xml:space="preserve"> workplace in accordance with occupational health and safety laws. The wellbeing of </w:t>
      </w:r>
      <w:r w:rsidR="2D54DD2F">
        <w:t>our</w:t>
      </w:r>
      <w:r w:rsidRPr="00D10C61">
        <w:t xml:space="preserve"> employees, contractors, agents and other authorised individuals required to conduct work at </w:t>
      </w:r>
      <w:r w:rsidR="43A26A42">
        <w:t>our</w:t>
      </w:r>
      <w:r w:rsidRPr="00D10C61">
        <w:t xml:space="preserve"> premises</w:t>
      </w:r>
      <w:r w:rsidR="00E96481" w:rsidRPr="00D10C61">
        <w:t xml:space="preserve"> will be proactively monitored and considered during all work </w:t>
      </w:r>
      <w:proofErr w:type="spellStart"/>
      <w:r w:rsidR="00E96481">
        <w:t>performed</w:t>
      </w:r>
      <w:r w:rsidR="7F0CB347">
        <w:t>on</w:t>
      </w:r>
      <w:proofErr w:type="spellEnd"/>
      <w:r w:rsidR="7F0CB347">
        <w:t xml:space="preserve"> our</w:t>
      </w:r>
      <w:r w:rsidR="00E96481" w:rsidRPr="00D10C61">
        <w:t xml:space="preserve"> behalf to minimise </w:t>
      </w:r>
      <w:r w:rsidR="00FB5970" w:rsidRPr="00D10C61">
        <w:t>the risk of harm</w:t>
      </w:r>
      <w:r w:rsidR="00C804AC" w:rsidRPr="00D10C61">
        <w:t>.</w:t>
      </w:r>
    </w:p>
    <w:p w14:paraId="72AD3218" w14:textId="105DD617" w:rsidR="00C804AC" w:rsidRPr="00D10C61" w:rsidRDefault="2A35264E" w:rsidP="00CD3551">
      <w:r>
        <w:t>Our</w:t>
      </w:r>
      <w:r w:rsidR="00E85D89" w:rsidRPr="00D10C61">
        <w:t xml:space="preserve"> approach to health, safety and wellbeing </w:t>
      </w:r>
      <w:r w:rsidR="00A53FF8" w:rsidRPr="00D10C61">
        <w:t xml:space="preserve">of </w:t>
      </w:r>
      <w:r w:rsidR="2EAEFCF5">
        <w:t>our</w:t>
      </w:r>
      <w:r w:rsidR="00A53FF8" w:rsidRPr="00D10C61">
        <w:t xml:space="preserve"> people is underpinned by the following principles</w:t>
      </w:r>
      <w:r w:rsidR="00F7018C" w:rsidRPr="00D10C61">
        <w:t>.</w:t>
      </w:r>
    </w:p>
    <w:p w14:paraId="73154E1D" w14:textId="6D6B30F4" w:rsidR="00F7018C" w:rsidRPr="00D10C61" w:rsidRDefault="00F7018C" w:rsidP="00E20FAE">
      <w:pPr>
        <w:pStyle w:val="Heading4"/>
        <w:rPr>
          <w:rFonts w:hint="eastAsia"/>
        </w:rPr>
      </w:pPr>
      <w:r w:rsidRPr="00D10C61">
        <w:t>We will all strive to achieve a safe and healthy workplace by:</w:t>
      </w:r>
    </w:p>
    <w:p w14:paraId="29F18DA4" w14:textId="38598CCC" w:rsidR="00E20FAE" w:rsidRPr="00D10C61" w:rsidRDefault="21D1A95C" w:rsidP="00E20FAE">
      <w:pPr>
        <w:pStyle w:val="Bullet"/>
      </w:pPr>
      <w:r>
        <w:t>u</w:t>
      </w:r>
      <w:r w:rsidR="00E20FAE">
        <w:t>nderstanding</w:t>
      </w:r>
      <w:r w:rsidR="00E20FAE" w:rsidRPr="00D10C61">
        <w:t xml:space="preserve"> individual accountabilities and contributions</w:t>
      </w:r>
    </w:p>
    <w:p w14:paraId="7B623706" w14:textId="33177B0E" w:rsidR="00E20FAE" w:rsidRPr="00D10C61" w:rsidRDefault="67B577D2">
      <w:pPr>
        <w:pStyle w:val="Bullet"/>
      </w:pPr>
      <w:r>
        <w:t>d</w:t>
      </w:r>
      <w:r w:rsidR="00E20FAE">
        <w:t>emonstrating</w:t>
      </w:r>
      <w:r w:rsidR="00E20FAE" w:rsidRPr="00D10C61">
        <w:t xml:space="preserve"> visible and meaningful safety leadership through actions and behaviours</w:t>
      </w:r>
    </w:p>
    <w:p w14:paraId="01E5E223" w14:textId="05B833B0" w:rsidR="00E20FAE" w:rsidRPr="00D10C61" w:rsidRDefault="76971FF4" w:rsidP="00E20FAE">
      <w:pPr>
        <w:pStyle w:val="Bullet"/>
      </w:pPr>
      <w:r>
        <w:t>d</w:t>
      </w:r>
      <w:r w:rsidR="00E20FAE">
        <w:t>riving</w:t>
      </w:r>
      <w:r w:rsidR="00E20FAE" w:rsidRPr="00D10C61">
        <w:t xml:space="preserve"> a culture of safety excellence with our people and business partners</w:t>
      </w:r>
    </w:p>
    <w:p w14:paraId="62C6D582" w14:textId="4DE8586D" w:rsidR="00E20FAE" w:rsidRPr="00D10C61" w:rsidRDefault="2E269FBF">
      <w:pPr>
        <w:pStyle w:val="Bullet"/>
      </w:pPr>
      <w:r>
        <w:t>d</w:t>
      </w:r>
      <w:r w:rsidR="00E20FAE">
        <w:t>eveloping</w:t>
      </w:r>
      <w:r w:rsidR="00E20FAE" w:rsidRPr="00D10C61">
        <w:t xml:space="preserve"> our people and being actively involved in group objectives and targets aimed at continuous improvement and the elimination of work-related injury and illness</w:t>
      </w:r>
    </w:p>
    <w:p w14:paraId="00F9CFD8" w14:textId="5A751138" w:rsidR="00E20FAE" w:rsidRPr="00D10C61" w:rsidRDefault="0964D71C" w:rsidP="00E20FAE">
      <w:pPr>
        <w:pStyle w:val="Bullet"/>
      </w:pPr>
      <w:r>
        <w:t>t</w:t>
      </w:r>
      <w:r w:rsidR="00E20FAE">
        <w:t>aking</w:t>
      </w:r>
      <w:r w:rsidR="00E20FAE" w:rsidRPr="00D10C61">
        <w:t xml:space="preserve"> a proactive approach to the identification of workplace risks</w:t>
      </w:r>
    </w:p>
    <w:p w14:paraId="0AA74F5D" w14:textId="24CA3C57" w:rsidR="00E20FAE" w:rsidRPr="00D10C61" w:rsidRDefault="2A7D5A31" w:rsidP="00E20FAE">
      <w:pPr>
        <w:pStyle w:val="Bullet"/>
      </w:pPr>
      <w:r>
        <w:t>t</w:t>
      </w:r>
      <w:r w:rsidR="00E20FAE">
        <w:t>imely</w:t>
      </w:r>
      <w:r w:rsidR="00E20FAE" w:rsidRPr="00D10C61">
        <w:t xml:space="preserve"> reporting of hazards and incidents</w:t>
      </w:r>
    </w:p>
    <w:p w14:paraId="6B53B30E" w14:textId="210082E0" w:rsidR="00F7018C" w:rsidRPr="00D10C61" w:rsidRDefault="26DDD748">
      <w:pPr>
        <w:pStyle w:val="Bullet"/>
      </w:pPr>
      <w:r>
        <w:t>e</w:t>
      </w:r>
      <w:r w:rsidR="00E20FAE">
        <w:t>nsuring</w:t>
      </w:r>
      <w:r w:rsidR="00E20FAE" w:rsidRPr="00D10C61">
        <w:t xml:space="preserve"> that workstations and work areas are safe (including when working from home</w:t>
      </w:r>
      <w:r w:rsidR="00E20FAE">
        <w:t>)</w:t>
      </w:r>
      <w:r w:rsidR="71AFADAD">
        <w:t>.</w:t>
      </w:r>
    </w:p>
    <w:p w14:paraId="13509102" w14:textId="7646CEAC" w:rsidR="00F7018C" w:rsidRPr="00D10C61" w:rsidRDefault="00E20FAE" w:rsidP="00483755">
      <w:pPr>
        <w:pStyle w:val="Heading4"/>
        <w:rPr>
          <w:rFonts w:hint="eastAsia"/>
        </w:rPr>
      </w:pPr>
      <w:r>
        <w:t xml:space="preserve">SEC will </w:t>
      </w:r>
      <w:r w:rsidR="001D0962">
        <w:t xml:space="preserve">meet </w:t>
      </w:r>
      <w:r>
        <w:t>our safety responsibilities by:</w:t>
      </w:r>
    </w:p>
    <w:p w14:paraId="65A8918D" w14:textId="7B897EA5" w:rsidR="00483755" w:rsidRPr="00D10C61" w:rsidRDefault="5205FB0F" w:rsidP="00483755">
      <w:pPr>
        <w:pStyle w:val="Bullet"/>
      </w:pPr>
      <w:r>
        <w:t>a</w:t>
      </w:r>
      <w:r w:rsidR="00483755">
        <w:t>ctively</w:t>
      </w:r>
      <w:r w:rsidR="00483755" w:rsidRPr="00D10C61">
        <w:t xml:space="preserve"> involving our people in decisions that keep them safe</w:t>
      </w:r>
    </w:p>
    <w:p w14:paraId="7809FD36" w14:textId="1F56FEFD" w:rsidR="00483755" w:rsidRPr="00D10C61" w:rsidRDefault="48859B9C" w:rsidP="00483755">
      <w:pPr>
        <w:pStyle w:val="Bullet"/>
      </w:pPr>
      <w:r>
        <w:t>c</w:t>
      </w:r>
      <w:r w:rsidR="00483755">
        <w:t>ontinually</w:t>
      </w:r>
      <w:r w:rsidR="00483755" w:rsidRPr="00D10C61">
        <w:t xml:space="preserve"> reviewing our performance and implementing improvements based on this knowledge</w:t>
      </w:r>
    </w:p>
    <w:p w14:paraId="732009CB" w14:textId="50448953" w:rsidR="00483755" w:rsidRPr="00D10C61" w:rsidRDefault="175032AE" w:rsidP="00483755">
      <w:pPr>
        <w:pStyle w:val="Bullet"/>
      </w:pPr>
      <w:r>
        <w:t>k</w:t>
      </w:r>
      <w:r w:rsidR="00483755">
        <w:t>nowing</w:t>
      </w:r>
      <w:r w:rsidR="00483755" w:rsidRPr="00D10C61">
        <w:t xml:space="preserve"> our obligations and ensuring we are appropriately resourced to meet and surpass them</w:t>
      </w:r>
    </w:p>
    <w:p w14:paraId="45BFEFF1" w14:textId="4D2A8178" w:rsidR="00E20FAE" w:rsidRPr="00D10C61" w:rsidRDefault="45B638D2" w:rsidP="00483755">
      <w:pPr>
        <w:pStyle w:val="Bullet"/>
      </w:pPr>
      <w:r>
        <w:t>s</w:t>
      </w:r>
      <w:r w:rsidR="00483755">
        <w:t>upporting</w:t>
      </w:r>
      <w:r w:rsidR="00483755" w:rsidRPr="00D10C61">
        <w:t xml:space="preserve"> our people with injuries or illness in achieving their full potential within the workplace.</w:t>
      </w:r>
    </w:p>
    <w:p w14:paraId="2B88F0D0" w14:textId="3AE95D0F" w:rsidR="00483755" w:rsidRPr="00D10C61" w:rsidRDefault="00483755" w:rsidP="00483755">
      <w:pPr>
        <w:pStyle w:val="Heading4"/>
        <w:rPr>
          <w:rFonts w:hint="eastAsia"/>
        </w:rPr>
      </w:pPr>
      <w:r w:rsidRPr="00D10C61">
        <w:t>We will all prevent harm by:</w:t>
      </w:r>
    </w:p>
    <w:p w14:paraId="278E4EFB" w14:textId="667B3972" w:rsidR="00D10C61" w:rsidRPr="00D10C61" w:rsidRDefault="73FE4319" w:rsidP="00D10C61">
      <w:pPr>
        <w:pStyle w:val="Bullet"/>
      </w:pPr>
      <w:r>
        <w:t>t</w:t>
      </w:r>
      <w:r w:rsidR="00D10C61">
        <w:t>he</w:t>
      </w:r>
      <w:r w:rsidR="00D10C61" w:rsidRPr="00D10C61">
        <w:t xml:space="preserve"> systematic identification and management of risk</w:t>
      </w:r>
    </w:p>
    <w:p w14:paraId="1978A876" w14:textId="44222C3B" w:rsidR="00D10C61" w:rsidRPr="00D10C61" w:rsidRDefault="00C5C19A" w:rsidP="00D10C61">
      <w:pPr>
        <w:pStyle w:val="Bullet"/>
      </w:pPr>
      <w:r>
        <w:t>p</w:t>
      </w:r>
      <w:r w:rsidR="00D10C61">
        <w:t>romptly</w:t>
      </w:r>
      <w:r w:rsidR="00D10C61" w:rsidRPr="00D10C61">
        <w:t xml:space="preserve"> responding when health and safety concerns are raised</w:t>
      </w:r>
    </w:p>
    <w:p w14:paraId="644B19F0" w14:textId="71C0C2DA" w:rsidR="00D10C61" w:rsidRPr="00D10C61" w:rsidRDefault="7B640D07">
      <w:pPr>
        <w:pStyle w:val="Bullet"/>
      </w:pPr>
      <w:r>
        <w:t>c</w:t>
      </w:r>
      <w:r w:rsidR="00D10C61">
        <w:t>ontinually</w:t>
      </w:r>
      <w:r w:rsidR="00D10C61" w:rsidRPr="00D10C61">
        <w:t xml:space="preserve"> ensuring that health, safety and wellbeing risks are adequately controlled</w:t>
      </w:r>
    </w:p>
    <w:p w14:paraId="302F09C5" w14:textId="35E66703" w:rsidR="00D10C61" w:rsidRPr="00D10C61" w:rsidRDefault="010BCE23" w:rsidP="00D10C61">
      <w:pPr>
        <w:pStyle w:val="Bullet"/>
      </w:pPr>
      <w:r>
        <w:t>e</w:t>
      </w:r>
      <w:r w:rsidR="00D10C61">
        <w:t>mpowering</w:t>
      </w:r>
      <w:r w:rsidR="00D10C61" w:rsidRPr="00D10C61">
        <w:t xml:space="preserve"> our people to speak up and make safe choices to prevent harm</w:t>
      </w:r>
    </w:p>
    <w:p w14:paraId="17968E87" w14:textId="1008E7B8" w:rsidR="00D10C61" w:rsidRPr="00D10C61" w:rsidRDefault="35464A95" w:rsidP="00D10C61">
      <w:pPr>
        <w:pStyle w:val="Bullet"/>
      </w:pPr>
      <w:r>
        <w:t>e</w:t>
      </w:r>
      <w:r w:rsidR="00D10C61">
        <w:t>nsuring</w:t>
      </w:r>
      <w:r w:rsidR="00D10C61" w:rsidRPr="00D10C61">
        <w:t xml:space="preserve"> our people’s wellbeing is always considered</w:t>
      </w:r>
    </w:p>
    <w:p w14:paraId="770B3000" w14:textId="17451A2D" w:rsidR="00483755" w:rsidRDefault="57C660FE">
      <w:pPr>
        <w:pStyle w:val="Bullet"/>
      </w:pPr>
      <w:r>
        <w:t>c</w:t>
      </w:r>
      <w:r w:rsidR="00D10C61">
        <w:t>omplying</w:t>
      </w:r>
      <w:r w:rsidR="00D10C61" w:rsidRPr="00D10C61">
        <w:t xml:space="preserve"> with our legislative obligations and the values outlined in our Code of Conduct.</w:t>
      </w:r>
    </w:p>
    <w:p w14:paraId="7AEE78BE" w14:textId="1ABBD792" w:rsidR="00D36989" w:rsidRPr="00D10C61" w:rsidRDefault="00D36989" w:rsidP="0010235E">
      <w:pPr>
        <w:pStyle w:val="Bullet"/>
        <w:numPr>
          <w:ilvl w:val="0"/>
          <w:numId w:val="0"/>
        </w:numPr>
      </w:pPr>
      <w:r>
        <w:br/>
        <w:t>Key safety performance indicators are presented below for</w:t>
      </w:r>
      <w:r w:rsidR="004C57D4">
        <w:t xml:space="preserve"> SEC’s</w:t>
      </w:r>
      <w:r>
        <w:t xml:space="preserve"> </w:t>
      </w:r>
      <w:r w:rsidR="004C57D4">
        <w:t>c</w:t>
      </w:r>
      <w:r w:rsidR="006E5628">
        <w:t>orporate locations and the Horsham construction site:</w:t>
      </w:r>
      <w:r w:rsidR="006E562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237"/>
        <w:gridCol w:w="1389"/>
        <w:gridCol w:w="1390"/>
      </w:tblGrid>
      <w:tr w:rsidR="00B04C6C" w:rsidRPr="00351417" w14:paraId="5E3DD461" w14:textId="77777777" w:rsidTr="00E96481">
        <w:tc>
          <w:tcPr>
            <w:tcW w:w="6237" w:type="dxa"/>
            <w:tcBorders>
              <w:bottom w:val="single" w:sz="4" w:space="0" w:color="auto"/>
            </w:tcBorders>
          </w:tcPr>
          <w:p w14:paraId="758D17BB" w14:textId="6C1990DF" w:rsidR="00B04C6C" w:rsidRPr="00E96481" w:rsidRDefault="00B04C6C" w:rsidP="00CD3551">
            <w:pPr>
              <w:rPr>
                <w:b/>
                <w:bCs/>
                <w:sz w:val="22"/>
                <w:szCs w:val="20"/>
              </w:rPr>
            </w:pPr>
            <w:r w:rsidRPr="00E96481">
              <w:rPr>
                <w:b/>
                <w:bCs/>
                <w:sz w:val="22"/>
                <w:szCs w:val="20"/>
              </w:rPr>
              <w:t>Key safety performance indicators</w:t>
            </w:r>
          </w:p>
        </w:tc>
        <w:tc>
          <w:tcPr>
            <w:tcW w:w="1389" w:type="dxa"/>
            <w:tcBorders>
              <w:bottom w:val="single" w:sz="4" w:space="0" w:color="auto"/>
            </w:tcBorders>
          </w:tcPr>
          <w:p w14:paraId="40D44C62" w14:textId="2B2A9C71" w:rsidR="00B04C6C" w:rsidRPr="00E96481" w:rsidRDefault="00B04C6C" w:rsidP="00351417">
            <w:pPr>
              <w:jc w:val="center"/>
              <w:rPr>
                <w:b/>
                <w:bCs/>
                <w:sz w:val="22"/>
                <w:szCs w:val="20"/>
              </w:rPr>
            </w:pPr>
            <w:r w:rsidRPr="00E96481">
              <w:rPr>
                <w:b/>
                <w:bCs/>
                <w:sz w:val="22"/>
                <w:szCs w:val="20"/>
              </w:rPr>
              <w:t>2025</w:t>
            </w:r>
          </w:p>
        </w:tc>
        <w:tc>
          <w:tcPr>
            <w:tcW w:w="1390" w:type="dxa"/>
            <w:tcBorders>
              <w:bottom w:val="single" w:sz="4" w:space="0" w:color="auto"/>
            </w:tcBorders>
          </w:tcPr>
          <w:p w14:paraId="2B83115D" w14:textId="6D6A7150" w:rsidR="00B04C6C" w:rsidRPr="00E96481" w:rsidRDefault="00B04C6C" w:rsidP="00351417">
            <w:pPr>
              <w:jc w:val="center"/>
              <w:rPr>
                <w:b/>
                <w:bCs/>
                <w:sz w:val="22"/>
                <w:szCs w:val="20"/>
              </w:rPr>
            </w:pPr>
            <w:r w:rsidRPr="00E96481">
              <w:rPr>
                <w:b/>
                <w:bCs/>
                <w:sz w:val="22"/>
                <w:szCs w:val="20"/>
              </w:rPr>
              <w:t>2024</w:t>
            </w:r>
          </w:p>
        </w:tc>
      </w:tr>
      <w:tr w:rsidR="00B04C6C" w:rsidRPr="00351417" w14:paraId="4E048FB1" w14:textId="77777777" w:rsidTr="00E96481">
        <w:tc>
          <w:tcPr>
            <w:tcW w:w="6237" w:type="dxa"/>
            <w:tcBorders>
              <w:top w:val="single" w:sz="4" w:space="0" w:color="auto"/>
            </w:tcBorders>
          </w:tcPr>
          <w:p w14:paraId="050984E7" w14:textId="1573822A" w:rsidR="00B04C6C" w:rsidRPr="00D10C61" w:rsidRDefault="00B04C6C" w:rsidP="00CD3551">
            <w:pPr>
              <w:rPr>
                <w:sz w:val="22"/>
                <w:szCs w:val="20"/>
              </w:rPr>
            </w:pPr>
            <w:r w:rsidRPr="00D10C61">
              <w:rPr>
                <w:sz w:val="22"/>
                <w:szCs w:val="20"/>
              </w:rPr>
              <w:t xml:space="preserve">Number of reported hazards for the year per 100 </w:t>
            </w:r>
            <w:r w:rsidR="00CD15BD" w:rsidRPr="00D10C61">
              <w:rPr>
                <w:sz w:val="22"/>
                <w:szCs w:val="20"/>
              </w:rPr>
              <w:t>FTE</w:t>
            </w:r>
            <w:r w:rsidR="00F51C1B">
              <w:rPr>
                <w:sz w:val="22"/>
                <w:szCs w:val="20"/>
              </w:rPr>
              <w:t xml:space="preserve"> </w:t>
            </w:r>
          </w:p>
        </w:tc>
        <w:tc>
          <w:tcPr>
            <w:tcW w:w="1389" w:type="dxa"/>
            <w:tcBorders>
              <w:top w:val="single" w:sz="4" w:space="0" w:color="auto"/>
            </w:tcBorders>
          </w:tcPr>
          <w:p w14:paraId="593C4877" w14:textId="0B554B78" w:rsidR="00B04C6C" w:rsidRPr="0010235E" w:rsidRDefault="00767B01" w:rsidP="00351417">
            <w:pPr>
              <w:jc w:val="center"/>
              <w:rPr>
                <w:sz w:val="22"/>
                <w:szCs w:val="20"/>
              </w:rPr>
            </w:pPr>
            <w:r w:rsidRPr="0010235E">
              <w:rPr>
                <w:sz w:val="22"/>
                <w:szCs w:val="20"/>
              </w:rPr>
              <w:t>18.</w:t>
            </w:r>
            <w:r w:rsidR="00B867B6" w:rsidRPr="0010235E">
              <w:rPr>
                <w:sz w:val="22"/>
                <w:szCs w:val="20"/>
              </w:rPr>
              <w:t>62</w:t>
            </w:r>
          </w:p>
        </w:tc>
        <w:tc>
          <w:tcPr>
            <w:tcW w:w="1390" w:type="dxa"/>
            <w:tcBorders>
              <w:top w:val="single" w:sz="4" w:space="0" w:color="auto"/>
            </w:tcBorders>
          </w:tcPr>
          <w:p w14:paraId="78B4E00F" w14:textId="623CF5A3" w:rsidR="00B04C6C" w:rsidRPr="0010235E" w:rsidRDefault="00783281" w:rsidP="00351417">
            <w:pPr>
              <w:jc w:val="center"/>
              <w:rPr>
                <w:sz w:val="22"/>
                <w:szCs w:val="20"/>
              </w:rPr>
            </w:pPr>
            <w:r w:rsidRPr="0010235E">
              <w:rPr>
                <w:sz w:val="22"/>
                <w:szCs w:val="20"/>
              </w:rPr>
              <w:t>31.15</w:t>
            </w:r>
          </w:p>
        </w:tc>
      </w:tr>
      <w:tr w:rsidR="00B04C6C" w:rsidRPr="00351417" w14:paraId="217C45D9" w14:textId="77777777" w:rsidTr="00351417">
        <w:tc>
          <w:tcPr>
            <w:tcW w:w="6237" w:type="dxa"/>
          </w:tcPr>
          <w:p w14:paraId="2009570A" w14:textId="57A84D26" w:rsidR="00B04C6C" w:rsidRPr="00D10C61" w:rsidRDefault="00752CB5" w:rsidP="00CD3551">
            <w:pPr>
              <w:rPr>
                <w:sz w:val="22"/>
                <w:szCs w:val="20"/>
              </w:rPr>
            </w:pPr>
            <w:r w:rsidRPr="00D10C61">
              <w:rPr>
                <w:sz w:val="22"/>
                <w:szCs w:val="20"/>
              </w:rPr>
              <w:t xml:space="preserve">Number of recordable injuries for the year per 100 </w:t>
            </w:r>
            <w:r w:rsidR="00CD15BD" w:rsidRPr="00D10C61">
              <w:rPr>
                <w:sz w:val="22"/>
                <w:szCs w:val="20"/>
              </w:rPr>
              <w:t>FTE</w:t>
            </w:r>
            <w:r w:rsidR="00F51C1B">
              <w:rPr>
                <w:sz w:val="22"/>
                <w:szCs w:val="20"/>
              </w:rPr>
              <w:t xml:space="preserve"> </w:t>
            </w:r>
          </w:p>
        </w:tc>
        <w:tc>
          <w:tcPr>
            <w:tcW w:w="1389" w:type="dxa"/>
          </w:tcPr>
          <w:p w14:paraId="215CD707" w14:textId="6EA489F6" w:rsidR="00B04C6C" w:rsidRPr="0010235E" w:rsidRDefault="00056D0C" w:rsidP="00351417">
            <w:pPr>
              <w:jc w:val="center"/>
              <w:rPr>
                <w:sz w:val="22"/>
                <w:szCs w:val="20"/>
              </w:rPr>
            </w:pPr>
            <w:r w:rsidRPr="0010235E">
              <w:rPr>
                <w:sz w:val="22"/>
                <w:szCs w:val="20"/>
              </w:rPr>
              <w:t>7.86</w:t>
            </w:r>
          </w:p>
        </w:tc>
        <w:tc>
          <w:tcPr>
            <w:tcW w:w="1390" w:type="dxa"/>
          </w:tcPr>
          <w:p w14:paraId="01B1EA75" w14:textId="394D966F" w:rsidR="00B04C6C" w:rsidRPr="0010235E" w:rsidRDefault="00DE006A" w:rsidP="00351417">
            <w:pPr>
              <w:jc w:val="center"/>
              <w:rPr>
                <w:sz w:val="22"/>
                <w:szCs w:val="20"/>
              </w:rPr>
            </w:pPr>
            <w:r w:rsidRPr="0010235E">
              <w:rPr>
                <w:sz w:val="22"/>
                <w:szCs w:val="20"/>
              </w:rPr>
              <w:t>-</w:t>
            </w:r>
          </w:p>
        </w:tc>
      </w:tr>
      <w:tr w:rsidR="00B04C6C" w:rsidRPr="00351417" w14:paraId="2EFC37CC" w14:textId="77777777" w:rsidTr="00351417">
        <w:tc>
          <w:tcPr>
            <w:tcW w:w="6237" w:type="dxa"/>
          </w:tcPr>
          <w:p w14:paraId="37906A48" w14:textId="7090E1BC" w:rsidR="00B04C6C" w:rsidRPr="00E96481" w:rsidRDefault="00A6425A" w:rsidP="00CD3551">
            <w:pPr>
              <w:rPr>
                <w:sz w:val="22"/>
                <w:szCs w:val="20"/>
              </w:rPr>
            </w:pPr>
            <w:r w:rsidRPr="00E96481">
              <w:rPr>
                <w:sz w:val="22"/>
                <w:szCs w:val="20"/>
              </w:rPr>
              <w:t>Number of ‘lost time’ standard claims for the year per 100 FTE</w:t>
            </w:r>
            <w:r w:rsidR="00F51C1B">
              <w:rPr>
                <w:sz w:val="22"/>
                <w:szCs w:val="20"/>
              </w:rPr>
              <w:t xml:space="preserve"> </w:t>
            </w:r>
          </w:p>
        </w:tc>
        <w:tc>
          <w:tcPr>
            <w:tcW w:w="1389" w:type="dxa"/>
          </w:tcPr>
          <w:p w14:paraId="3A4A0B79" w14:textId="4059DAFA" w:rsidR="00B04C6C" w:rsidRPr="00E96481" w:rsidRDefault="00351417" w:rsidP="00351417">
            <w:pPr>
              <w:jc w:val="center"/>
              <w:rPr>
                <w:sz w:val="22"/>
                <w:szCs w:val="20"/>
              </w:rPr>
            </w:pPr>
            <w:r w:rsidRPr="00E96481">
              <w:rPr>
                <w:sz w:val="22"/>
                <w:szCs w:val="20"/>
              </w:rPr>
              <w:t>-</w:t>
            </w:r>
          </w:p>
        </w:tc>
        <w:tc>
          <w:tcPr>
            <w:tcW w:w="1390" w:type="dxa"/>
          </w:tcPr>
          <w:p w14:paraId="45A6E717" w14:textId="077F49F6" w:rsidR="00B04C6C" w:rsidRPr="00E96481" w:rsidRDefault="00E96481" w:rsidP="00351417">
            <w:pPr>
              <w:jc w:val="center"/>
              <w:rPr>
                <w:sz w:val="22"/>
                <w:szCs w:val="20"/>
              </w:rPr>
            </w:pPr>
            <w:r w:rsidRPr="00E96481">
              <w:rPr>
                <w:sz w:val="22"/>
                <w:szCs w:val="20"/>
              </w:rPr>
              <w:t>-</w:t>
            </w:r>
          </w:p>
        </w:tc>
      </w:tr>
      <w:tr w:rsidR="00B04C6C" w:rsidRPr="00351417" w14:paraId="5AB93778" w14:textId="77777777" w:rsidTr="00E96481">
        <w:tc>
          <w:tcPr>
            <w:tcW w:w="6237" w:type="dxa"/>
          </w:tcPr>
          <w:p w14:paraId="1CF549CE" w14:textId="0130D918" w:rsidR="00B04C6C" w:rsidRPr="00E96481" w:rsidRDefault="00CD15BD" w:rsidP="00CD3551">
            <w:pPr>
              <w:rPr>
                <w:sz w:val="22"/>
                <w:szCs w:val="20"/>
              </w:rPr>
            </w:pPr>
            <w:r w:rsidRPr="00E96481">
              <w:rPr>
                <w:sz w:val="22"/>
                <w:szCs w:val="20"/>
              </w:rPr>
              <w:t>Average cost per claim for the year</w:t>
            </w:r>
            <w:r w:rsidR="00F51C1B">
              <w:rPr>
                <w:sz w:val="22"/>
                <w:szCs w:val="20"/>
              </w:rPr>
              <w:t xml:space="preserve"> </w:t>
            </w:r>
          </w:p>
        </w:tc>
        <w:tc>
          <w:tcPr>
            <w:tcW w:w="1389" w:type="dxa"/>
          </w:tcPr>
          <w:p w14:paraId="091D1C43" w14:textId="493B09B3" w:rsidR="00B04C6C" w:rsidRPr="00E96481" w:rsidRDefault="00CD15BD" w:rsidP="00351417">
            <w:pPr>
              <w:jc w:val="center"/>
              <w:rPr>
                <w:sz w:val="22"/>
                <w:szCs w:val="20"/>
              </w:rPr>
            </w:pPr>
            <w:r w:rsidRPr="00E96481">
              <w:rPr>
                <w:sz w:val="22"/>
                <w:szCs w:val="20"/>
              </w:rPr>
              <w:t>-</w:t>
            </w:r>
          </w:p>
        </w:tc>
        <w:tc>
          <w:tcPr>
            <w:tcW w:w="1390" w:type="dxa"/>
          </w:tcPr>
          <w:p w14:paraId="3CD1E133" w14:textId="54E4AEF6" w:rsidR="00B04C6C" w:rsidRPr="00E96481" w:rsidRDefault="00CD15BD" w:rsidP="00351417">
            <w:pPr>
              <w:jc w:val="center"/>
              <w:rPr>
                <w:sz w:val="22"/>
                <w:szCs w:val="20"/>
              </w:rPr>
            </w:pPr>
            <w:r w:rsidRPr="00E96481">
              <w:rPr>
                <w:sz w:val="22"/>
                <w:szCs w:val="20"/>
              </w:rPr>
              <w:t>-</w:t>
            </w:r>
          </w:p>
        </w:tc>
      </w:tr>
    </w:tbl>
    <w:p w14:paraId="365B0125" w14:textId="5E345604" w:rsidR="002754EF" w:rsidRDefault="002754EF" w:rsidP="002754EF">
      <w:pPr>
        <w:pStyle w:val="Heading3"/>
      </w:pPr>
      <w:bookmarkStart w:id="259" w:name="_Ref207013283"/>
      <w:r w:rsidRPr="002754EF">
        <w:t>Financial management compliance attestation statement</w:t>
      </w:r>
      <w:bookmarkEnd w:id="259"/>
      <w:r w:rsidRPr="002754EF">
        <w:t xml:space="preserve"> </w:t>
      </w:r>
    </w:p>
    <w:p w14:paraId="640B911C" w14:textId="219D4864" w:rsidR="00630306" w:rsidRDefault="002754EF" w:rsidP="00CD3551">
      <w:r w:rsidRPr="002754EF">
        <w:t xml:space="preserve">I, Christopher Francis Miller, on behalf of SEC Victoria Pty Ltd, certify that SEC Victoria Pty Ltd has no Material Compliance Deficiency with respect to the applicable Standing Directions made under the </w:t>
      </w:r>
      <w:r w:rsidRPr="002754EF">
        <w:rPr>
          <w:i/>
          <w:iCs/>
        </w:rPr>
        <w:t>Financial Management Act 1994</w:t>
      </w:r>
      <w:r w:rsidRPr="002754EF">
        <w:t xml:space="preserve"> and </w:t>
      </w:r>
      <w:r w:rsidRPr="0037304F">
        <w:t xml:space="preserve">Instructions. </w:t>
      </w:r>
    </w:p>
    <w:p w14:paraId="343B6108" w14:textId="353C6349" w:rsidR="6BFE7076" w:rsidRPr="00B94E93" w:rsidRDefault="00D5036B">
      <w:r>
        <w:br/>
      </w:r>
      <w:r w:rsidR="007253CB">
        <w:br/>
      </w:r>
      <w:r>
        <w:br/>
      </w:r>
      <w:r w:rsidR="00A2409C" w:rsidRPr="00B94E93">
        <w:t xml:space="preserve">Chris Miller </w:t>
      </w:r>
      <w:r w:rsidR="007253CB">
        <w:br/>
      </w:r>
      <w:r w:rsidR="00A2409C" w:rsidRPr="00B94E93">
        <w:t>CEO, SEC</w:t>
      </w:r>
      <w:r w:rsidR="6BFE7076" w:rsidRPr="00B94E93">
        <w:br w:type="page"/>
      </w:r>
    </w:p>
    <w:p w14:paraId="5D294E36" w14:textId="56881092" w:rsidR="00853D72" w:rsidRPr="00B94E93" w:rsidRDefault="5CEB2423" w:rsidP="00B254AC">
      <w:pPr>
        <w:pStyle w:val="Heading1"/>
      </w:pPr>
      <w:bookmarkStart w:id="260" w:name="_Toc200631679"/>
      <w:bookmarkStart w:id="261" w:name="_Toc1701087467"/>
      <w:bookmarkStart w:id="262" w:name="_Toc201222706"/>
      <w:bookmarkStart w:id="263" w:name="_Toc338562705"/>
      <w:bookmarkStart w:id="264" w:name="_Toc1855335967"/>
      <w:bookmarkStart w:id="265" w:name="_Toc737212095"/>
      <w:bookmarkStart w:id="266" w:name="_Toc1089677075"/>
      <w:bookmarkStart w:id="267" w:name="_Toc574717272"/>
      <w:bookmarkStart w:id="268" w:name="_Toc121402035"/>
      <w:bookmarkStart w:id="269" w:name="_Toc203487532"/>
      <w:bookmarkStart w:id="270" w:name="_Toc203656207"/>
      <w:bookmarkStart w:id="271" w:name="_Toc730384149"/>
      <w:bookmarkStart w:id="272" w:name="_Toc208418028"/>
      <w:bookmarkStart w:id="273" w:name="_Toc209080393"/>
      <w:bookmarkStart w:id="274" w:name="_Toc209703962"/>
      <w:bookmarkStart w:id="275" w:name="_Toc209704015"/>
      <w:bookmarkStart w:id="276" w:name="_Toc209704068"/>
      <w:r>
        <w:t>Directors</w:t>
      </w:r>
      <w:r w:rsidR="43B1FB96">
        <w:t>’</w:t>
      </w:r>
      <w:r w:rsidR="34D23DAA">
        <w:t xml:space="preserve"> report</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4F3AE2DB" w14:textId="45C206A4" w:rsidR="00D93298" w:rsidRDefault="00D93298">
      <w:r w:rsidRPr="00D93298">
        <w:t xml:space="preserve">The directors present their report on the consolidated entity consisting of SEC Victoria Pty Ltd (the Company) and </w:t>
      </w:r>
      <w:r>
        <w:t>it</w:t>
      </w:r>
      <w:r w:rsidR="006F0A18">
        <w:t>s</w:t>
      </w:r>
      <w:r w:rsidRPr="00D93298">
        <w:t xml:space="preserve"> controlled </w:t>
      </w:r>
      <w:r w:rsidR="006F0A18">
        <w:t>entities</w:t>
      </w:r>
      <w:r w:rsidR="66C2B2BA">
        <w:t xml:space="preserve">, </w:t>
      </w:r>
      <w:r w:rsidR="003E6765">
        <w:t xml:space="preserve">including </w:t>
      </w:r>
      <w:r w:rsidR="66C2B2BA">
        <w:t>SEC Energy and SEC Infrastructure</w:t>
      </w:r>
      <w:r w:rsidR="006F0A18">
        <w:t xml:space="preserve"> </w:t>
      </w:r>
      <w:r w:rsidR="00FF0A0F">
        <w:t>(collectively, SEC or the Group)</w:t>
      </w:r>
      <w:r w:rsidDel="006F0A18">
        <w:t xml:space="preserve"> </w:t>
      </w:r>
      <w:r w:rsidR="00601BFF">
        <w:t>for the year ended 30 June 2025</w:t>
      </w:r>
      <w:r w:rsidRPr="00D93298">
        <w:t>.</w:t>
      </w:r>
    </w:p>
    <w:p w14:paraId="37BC03FE" w14:textId="1D8624E1" w:rsidR="00D93298" w:rsidRDefault="7C49A04B" w:rsidP="715E2D1C">
      <w:pPr>
        <w:pStyle w:val="Heading2"/>
      </w:pPr>
      <w:bookmarkStart w:id="277" w:name="_Toc1971393311"/>
      <w:bookmarkStart w:id="278" w:name="_Toc203656208"/>
      <w:r>
        <w:t>Directors</w:t>
      </w:r>
      <w:bookmarkEnd w:id="277"/>
      <w:r>
        <w:t xml:space="preserve"> </w:t>
      </w:r>
      <w:bookmarkEnd w:id="278"/>
    </w:p>
    <w:p w14:paraId="545BB25B" w14:textId="14F9853F" w:rsidR="00D93298" w:rsidRDefault="00D93298">
      <w:r w:rsidRPr="00D93298">
        <w:t xml:space="preserve">The directors </w:t>
      </w:r>
      <w:r w:rsidR="006E2CE4">
        <w:t>of the Company in office</w:t>
      </w:r>
      <w:r w:rsidRPr="00D93298">
        <w:t xml:space="preserve"> during the </w:t>
      </w:r>
      <w:r w:rsidR="00104D97">
        <w:t xml:space="preserve">financial year </w:t>
      </w:r>
      <w:r w:rsidRPr="00D93298">
        <w:t xml:space="preserve">and up to the date of this report </w:t>
      </w:r>
      <w:r w:rsidR="004A66F1">
        <w:t>are set out below. Directors were in office for this entire period unless otherwise stated</w:t>
      </w:r>
      <w:r w:rsidRPr="00D93298">
        <w:t>:</w:t>
      </w:r>
    </w:p>
    <w:p w14:paraId="004C9811" w14:textId="2907DAE3" w:rsidR="00A676DF" w:rsidRPr="00F96FA2" w:rsidRDefault="00A676DF" w:rsidP="00A676DF">
      <w:pPr>
        <w:spacing w:after="0" w:line="240" w:lineRule="auto"/>
        <w:textAlignment w:val="baseline"/>
        <w:rPr>
          <w:rFonts w:eastAsia="Times New Roman" w:cs="Arial"/>
          <w:szCs w:val="24"/>
          <w:lang w:eastAsia="en-AU"/>
        </w:rPr>
      </w:pPr>
      <w:r w:rsidRPr="00F96FA2">
        <w:rPr>
          <w:rFonts w:eastAsia="Times New Roman" w:cs="Arial"/>
          <w:szCs w:val="24"/>
          <w:lang w:eastAsia="en-AU"/>
        </w:rPr>
        <w:t>Simon Corbell</w:t>
      </w:r>
      <w:r w:rsidR="00961FED">
        <w:rPr>
          <w:rFonts w:eastAsia="Times New Roman" w:cs="Arial"/>
          <w:szCs w:val="24"/>
          <w:lang w:eastAsia="en-AU"/>
        </w:rPr>
        <w:t xml:space="preserve">, Non-executive </w:t>
      </w:r>
      <w:r w:rsidRPr="00F96FA2">
        <w:rPr>
          <w:rFonts w:eastAsia="Times New Roman" w:cs="Arial"/>
          <w:szCs w:val="24"/>
          <w:lang w:eastAsia="en-AU"/>
        </w:rPr>
        <w:t>Chair</w:t>
      </w:r>
    </w:p>
    <w:p w14:paraId="15727C73" w14:textId="5A137664" w:rsidR="00A676DF" w:rsidRPr="00F96FA2" w:rsidRDefault="00A676DF" w:rsidP="00A676DF">
      <w:pPr>
        <w:spacing w:after="0" w:line="240" w:lineRule="auto"/>
        <w:textAlignment w:val="baseline"/>
        <w:rPr>
          <w:rFonts w:eastAsia="Times New Roman" w:cs="Arial"/>
          <w:szCs w:val="24"/>
          <w:lang w:eastAsia="en-AU"/>
        </w:rPr>
      </w:pPr>
      <w:r w:rsidRPr="00F96FA2">
        <w:rPr>
          <w:rFonts w:eastAsia="Times New Roman" w:cs="Arial"/>
          <w:szCs w:val="24"/>
          <w:lang w:eastAsia="en-AU"/>
        </w:rPr>
        <w:t>Joycelyn Morton</w:t>
      </w:r>
      <w:r w:rsidR="00961FED">
        <w:rPr>
          <w:rFonts w:eastAsia="Times New Roman" w:cs="Arial"/>
          <w:szCs w:val="24"/>
          <w:lang w:eastAsia="en-AU"/>
        </w:rPr>
        <w:t>, Non-executive director</w:t>
      </w:r>
    </w:p>
    <w:p w14:paraId="641D0B10" w14:textId="206B3DF9" w:rsidR="00A676DF" w:rsidRPr="00F96FA2" w:rsidRDefault="00A676DF" w:rsidP="00A676DF">
      <w:pPr>
        <w:spacing w:after="0" w:line="240" w:lineRule="auto"/>
        <w:textAlignment w:val="baseline"/>
        <w:rPr>
          <w:rFonts w:eastAsia="Times New Roman" w:cs="Arial"/>
          <w:szCs w:val="24"/>
          <w:lang w:eastAsia="en-AU"/>
        </w:rPr>
      </w:pPr>
      <w:r w:rsidRPr="00F96FA2">
        <w:rPr>
          <w:rFonts w:eastAsia="Times New Roman" w:cs="Arial"/>
          <w:szCs w:val="24"/>
          <w:lang w:eastAsia="en-AU"/>
        </w:rPr>
        <w:t>Damien Barnes</w:t>
      </w:r>
      <w:r w:rsidR="00961FED">
        <w:rPr>
          <w:rFonts w:eastAsia="Times New Roman" w:cs="Arial"/>
          <w:szCs w:val="24"/>
          <w:lang w:eastAsia="en-AU"/>
        </w:rPr>
        <w:t>, Non-executive director</w:t>
      </w:r>
    </w:p>
    <w:p w14:paraId="493E515D" w14:textId="24838409" w:rsidR="00A676DF" w:rsidRPr="00F96FA2" w:rsidRDefault="00A676DF" w:rsidP="00A676DF">
      <w:pPr>
        <w:spacing w:after="0" w:line="240" w:lineRule="auto"/>
        <w:textAlignment w:val="baseline"/>
        <w:rPr>
          <w:rFonts w:eastAsia="Times New Roman" w:cs="Arial"/>
          <w:szCs w:val="24"/>
          <w:lang w:eastAsia="en-AU"/>
        </w:rPr>
      </w:pPr>
      <w:r w:rsidRPr="00F96FA2">
        <w:rPr>
          <w:rFonts w:eastAsia="Times New Roman" w:cs="Arial"/>
          <w:szCs w:val="24"/>
          <w:lang w:eastAsia="en-AU"/>
        </w:rPr>
        <w:t>Joanne Benvenuti</w:t>
      </w:r>
      <w:r w:rsidR="00961FED">
        <w:rPr>
          <w:rFonts w:eastAsia="Times New Roman" w:cs="Arial"/>
          <w:szCs w:val="24"/>
          <w:lang w:eastAsia="en-AU"/>
        </w:rPr>
        <w:t>, Non-executive director</w:t>
      </w:r>
    </w:p>
    <w:p w14:paraId="44B91A59" w14:textId="77374DD9" w:rsidR="0059588B" w:rsidRDefault="00A676DF" w:rsidP="00A676DF">
      <w:pPr>
        <w:spacing w:after="0" w:line="240" w:lineRule="auto"/>
        <w:textAlignment w:val="baseline"/>
        <w:rPr>
          <w:rFonts w:eastAsia="Times New Roman" w:cs="Arial"/>
          <w:szCs w:val="24"/>
          <w:lang w:eastAsia="en-AU"/>
        </w:rPr>
      </w:pPr>
      <w:r w:rsidRPr="00F96FA2">
        <w:rPr>
          <w:rFonts w:eastAsia="Times New Roman" w:cs="Arial"/>
          <w:szCs w:val="24"/>
          <w:lang w:eastAsia="en-AU"/>
        </w:rPr>
        <w:t>Anna Skarbek</w:t>
      </w:r>
      <w:r w:rsidR="00961FED">
        <w:rPr>
          <w:rFonts w:eastAsia="Times New Roman" w:cs="Arial"/>
          <w:szCs w:val="24"/>
          <w:lang w:eastAsia="en-AU"/>
        </w:rPr>
        <w:t>, Non-executive director</w:t>
      </w:r>
    </w:p>
    <w:p w14:paraId="30008898" w14:textId="59D25B31" w:rsidR="007A5042" w:rsidRDefault="00155F5C" w:rsidP="00A676DF">
      <w:pPr>
        <w:spacing w:after="0" w:line="240" w:lineRule="auto"/>
        <w:textAlignment w:val="baseline"/>
        <w:rPr>
          <w:rFonts w:eastAsia="Times New Roman" w:cs="Arial"/>
          <w:lang w:eastAsia="en-AU"/>
        </w:rPr>
      </w:pPr>
      <w:r w:rsidRPr="701665F7">
        <w:rPr>
          <w:rFonts w:eastAsia="Times New Roman" w:cs="Arial"/>
          <w:lang w:eastAsia="en-AU"/>
        </w:rPr>
        <w:t>Sharan Burrow</w:t>
      </w:r>
      <w:r w:rsidR="00550273" w:rsidRPr="701665F7">
        <w:rPr>
          <w:rFonts w:eastAsia="Times New Roman" w:cs="Arial"/>
          <w:lang w:eastAsia="en-AU"/>
        </w:rPr>
        <w:t>, Non-executive director</w:t>
      </w:r>
      <w:r w:rsidRPr="701665F7">
        <w:rPr>
          <w:rFonts w:eastAsia="Times New Roman" w:cs="Arial"/>
          <w:lang w:eastAsia="en-AU"/>
        </w:rPr>
        <w:t xml:space="preserve"> </w:t>
      </w:r>
      <w:r w:rsidR="007A5042" w:rsidRPr="701665F7">
        <w:rPr>
          <w:rFonts w:eastAsia="Times New Roman" w:cs="Arial"/>
          <w:lang w:eastAsia="en-AU"/>
        </w:rPr>
        <w:t>(appointed 1 October 2024)</w:t>
      </w:r>
    </w:p>
    <w:p w14:paraId="45019F78" w14:textId="2629BD98" w:rsidR="00A676DF" w:rsidRPr="00F96FA2" w:rsidRDefault="00155F5C" w:rsidP="00A676DF">
      <w:pPr>
        <w:spacing w:after="0" w:line="240" w:lineRule="auto"/>
        <w:textAlignment w:val="baseline"/>
        <w:rPr>
          <w:rFonts w:eastAsia="Times New Roman" w:cs="Arial"/>
          <w:lang w:eastAsia="en-AU"/>
        </w:rPr>
      </w:pPr>
      <w:r w:rsidRPr="701665F7">
        <w:rPr>
          <w:rFonts w:eastAsia="Times New Roman" w:cs="Arial"/>
          <w:lang w:eastAsia="en-AU"/>
        </w:rPr>
        <w:t>Cameron Garnsworthy</w:t>
      </w:r>
      <w:r w:rsidR="00550273" w:rsidRPr="701665F7">
        <w:rPr>
          <w:rFonts w:eastAsia="Times New Roman" w:cs="Arial"/>
          <w:lang w:eastAsia="en-AU"/>
        </w:rPr>
        <w:t>, Non-executive director</w:t>
      </w:r>
      <w:r w:rsidR="007A5042" w:rsidRPr="701665F7">
        <w:rPr>
          <w:rFonts w:eastAsia="Times New Roman" w:cs="Arial"/>
          <w:lang w:eastAsia="en-AU"/>
        </w:rPr>
        <w:t xml:space="preserve"> (appointed 1 October 2024)</w:t>
      </w:r>
    </w:p>
    <w:p w14:paraId="6B8C8901" w14:textId="0FCAFA05" w:rsidR="009D3B26" w:rsidRDefault="645B0F90" w:rsidP="715E2D1C">
      <w:pPr>
        <w:pStyle w:val="Heading2"/>
      </w:pPr>
      <w:bookmarkStart w:id="279" w:name="_Toc203656209"/>
      <w:bookmarkStart w:id="280" w:name="_Toc1308308688"/>
      <w:r>
        <w:t>Company secretary</w:t>
      </w:r>
      <w:bookmarkEnd w:id="279"/>
      <w:bookmarkEnd w:id="280"/>
      <w:r>
        <w:t xml:space="preserve"> </w:t>
      </w:r>
    </w:p>
    <w:p w14:paraId="5F7CB169" w14:textId="77777777" w:rsidR="009D3B26" w:rsidRDefault="009D3B26">
      <w:r w:rsidRPr="009D3B26">
        <w:t>The Company Secretary for the Company at any time during the reporting period was Mr Sam Gifford (current).</w:t>
      </w:r>
    </w:p>
    <w:p w14:paraId="38F71460" w14:textId="4B502BA9" w:rsidR="009F4BF2" w:rsidRPr="009F4BF2" w:rsidRDefault="645B0F90" w:rsidP="715E2D1C">
      <w:pPr>
        <w:pStyle w:val="Heading2"/>
      </w:pPr>
      <w:bookmarkStart w:id="281" w:name="_Toc203656210"/>
      <w:bookmarkStart w:id="282" w:name="_Toc164254539"/>
      <w:r>
        <w:t>Directors’ meetings</w:t>
      </w:r>
      <w:bookmarkEnd w:id="281"/>
      <w:bookmarkEnd w:id="282"/>
    </w:p>
    <w:tbl>
      <w:tblPr>
        <w:tblW w:w="9440" w:type="dxa"/>
        <w:tblLook w:val="04A0" w:firstRow="1" w:lastRow="0" w:firstColumn="1" w:lastColumn="0" w:noHBand="0" w:noVBand="1"/>
      </w:tblPr>
      <w:tblGrid>
        <w:gridCol w:w="2720"/>
        <w:gridCol w:w="1120"/>
        <w:gridCol w:w="1120"/>
        <w:gridCol w:w="1120"/>
        <w:gridCol w:w="1120"/>
        <w:gridCol w:w="1120"/>
        <w:gridCol w:w="1120"/>
      </w:tblGrid>
      <w:tr w:rsidR="005B23C9" w:rsidRPr="009F4BF2" w14:paraId="5DEA638B" w14:textId="77777777" w:rsidTr="49BCD735">
        <w:trPr>
          <w:trHeight w:val="600"/>
        </w:trPr>
        <w:tc>
          <w:tcPr>
            <w:tcW w:w="2720" w:type="dxa"/>
            <w:vMerge w:val="restart"/>
            <w:tcBorders>
              <w:top w:val="nil"/>
              <w:left w:val="nil"/>
              <w:bottom w:val="nil"/>
              <w:right w:val="nil"/>
            </w:tcBorders>
            <w:vAlign w:val="center"/>
            <w:hideMark/>
          </w:tcPr>
          <w:p w14:paraId="4E992064" w14:textId="77777777" w:rsidR="009F4BF2" w:rsidRPr="009F4BF2" w:rsidRDefault="009F4BF2" w:rsidP="009F4BF2">
            <w:pPr>
              <w:spacing w:after="0" w:line="240" w:lineRule="auto"/>
              <w:rPr>
                <w:rFonts w:eastAsia="Times New Roman" w:cs="Arial"/>
                <w:b/>
                <w:bCs/>
                <w:color w:val="000000"/>
                <w:sz w:val="20"/>
                <w:szCs w:val="20"/>
                <w:lang w:eastAsia="en-AU"/>
              </w:rPr>
            </w:pPr>
            <w:r w:rsidRPr="009F4BF2">
              <w:rPr>
                <w:rFonts w:eastAsia="Times New Roman" w:cs="Arial"/>
                <w:b/>
                <w:bCs/>
                <w:color w:val="000000"/>
                <w:sz w:val="20"/>
                <w:szCs w:val="20"/>
                <w:lang w:eastAsia="en-AU"/>
              </w:rPr>
              <w:t>Name</w:t>
            </w:r>
          </w:p>
        </w:tc>
        <w:tc>
          <w:tcPr>
            <w:tcW w:w="2240" w:type="dxa"/>
            <w:gridSpan w:val="2"/>
            <w:tcBorders>
              <w:top w:val="nil"/>
              <w:left w:val="nil"/>
              <w:bottom w:val="nil"/>
              <w:right w:val="nil"/>
            </w:tcBorders>
            <w:vAlign w:val="center"/>
            <w:hideMark/>
          </w:tcPr>
          <w:p w14:paraId="384FA6FC"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Board</w:t>
            </w:r>
          </w:p>
        </w:tc>
        <w:tc>
          <w:tcPr>
            <w:tcW w:w="2240" w:type="dxa"/>
            <w:gridSpan w:val="2"/>
            <w:tcBorders>
              <w:top w:val="nil"/>
              <w:left w:val="nil"/>
              <w:bottom w:val="nil"/>
              <w:right w:val="nil"/>
            </w:tcBorders>
            <w:vAlign w:val="center"/>
            <w:hideMark/>
          </w:tcPr>
          <w:p w14:paraId="62C5E072"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Audit and Risk Committee</w:t>
            </w:r>
            <w:r w:rsidRPr="009F4BF2">
              <w:rPr>
                <w:rFonts w:eastAsia="Times New Roman" w:cs="Arial"/>
                <w:color w:val="000000"/>
                <w:sz w:val="20"/>
                <w:szCs w:val="20"/>
                <w:vertAlign w:val="superscript"/>
                <w:lang w:eastAsia="en-AU"/>
              </w:rPr>
              <w:t>*</w:t>
            </w:r>
          </w:p>
        </w:tc>
        <w:tc>
          <w:tcPr>
            <w:tcW w:w="2240" w:type="dxa"/>
            <w:gridSpan w:val="2"/>
            <w:tcBorders>
              <w:top w:val="nil"/>
              <w:left w:val="nil"/>
              <w:bottom w:val="nil"/>
              <w:right w:val="nil"/>
            </w:tcBorders>
            <w:vAlign w:val="center"/>
            <w:hideMark/>
          </w:tcPr>
          <w:p w14:paraId="5C405984"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Investment and Assets Committee</w:t>
            </w:r>
            <w:r w:rsidRPr="009F4BF2">
              <w:rPr>
                <w:rFonts w:eastAsia="Times New Roman" w:cs="Arial"/>
                <w:color w:val="000000"/>
                <w:sz w:val="20"/>
                <w:szCs w:val="20"/>
                <w:vertAlign w:val="superscript"/>
                <w:lang w:eastAsia="en-AU"/>
              </w:rPr>
              <w:t>*</w:t>
            </w:r>
          </w:p>
        </w:tc>
      </w:tr>
      <w:tr w:rsidR="00933A06" w:rsidRPr="009F4BF2" w14:paraId="5359DAB1" w14:textId="77777777" w:rsidTr="0010235E">
        <w:trPr>
          <w:trHeight w:val="300"/>
        </w:trPr>
        <w:tc>
          <w:tcPr>
            <w:tcW w:w="2720" w:type="dxa"/>
            <w:vMerge/>
            <w:vAlign w:val="center"/>
          </w:tcPr>
          <w:p w14:paraId="650F685A" w14:textId="77777777" w:rsidR="0004781A" w:rsidRPr="009F4BF2" w:rsidRDefault="0004781A" w:rsidP="009F4BF2">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1B2329C7" w14:textId="152A73CE" w:rsidR="0004781A" w:rsidRPr="009F4BF2" w:rsidRDefault="0004781A"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c>
          <w:tcPr>
            <w:tcW w:w="2240" w:type="dxa"/>
            <w:gridSpan w:val="2"/>
            <w:tcBorders>
              <w:top w:val="nil"/>
              <w:left w:val="nil"/>
              <w:bottom w:val="nil"/>
              <w:right w:val="nil"/>
            </w:tcBorders>
            <w:vAlign w:val="center"/>
          </w:tcPr>
          <w:p w14:paraId="2F066C0B" w14:textId="20BCA420" w:rsidR="0004781A" w:rsidRPr="009F4BF2" w:rsidRDefault="0004781A"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c>
          <w:tcPr>
            <w:tcW w:w="2240" w:type="dxa"/>
            <w:gridSpan w:val="2"/>
            <w:tcBorders>
              <w:top w:val="nil"/>
              <w:left w:val="nil"/>
              <w:bottom w:val="nil"/>
              <w:right w:val="nil"/>
            </w:tcBorders>
            <w:vAlign w:val="center"/>
          </w:tcPr>
          <w:p w14:paraId="246BB70B" w14:textId="3CA1F328" w:rsidR="0004781A" w:rsidRPr="009F4BF2" w:rsidRDefault="00933A06"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r>
      <w:tr w:rsidR="00933A06" w:rsidRPr="009F4BF2" w14:paraId="3E13EDB4" w14:textId="77777777" w:rsidTr="0010235E">
        <w:trPr>
          <w:trHeight w:val="300"/>
        </w:trPr>
        <w:tc>
          <w:tcPr>
            <w:tcW w:w="2720" w:type="dxa"/>
            <w:vMerge/>
            <w:vAlign w:val="center"/>
          </w:tcPr>
          <w:p w14:paraId="29EDA81A" w14:textId="77777777" w:rsidR="0004781A" w:rsidRPr="009F4BF2" w:rsidRDefault="0004781A" w:rsidP="009F4BF2">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1D56C963" w14:textId="0AF6D237" w:rsidR="0004781A" w:rsidRPr="009F4BF2" w:rsidRDefault="0004781A"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10</w:t>
            </w:r>
          </w:p>
        </w:tc>
        <w:tc>
          <w:tcPr>
            <w:tcW w:w="2240" w:type="dxa"/>
            <w:gridSpan w:val="2"/>
            <w:tcBorders>
              <w:top w:val="nil"/>
              <w:left w:val="nil"/>
              <w:bottom w:val="nil"/>
              <w:right w:val="nil"/>
            </w:tcBorders>
            <w:vAlign w:val="center"/>
          </w:tcPr>
          <w:p w14:paraId="25788992" w14:textId="4E8526CB" w:rsidR="0004781A" w:rsidRPr="009F4BF2" w:rsidRDefault="0004781A"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4</w:t>
            </w:r>
          </w:p>
        </w:tc>
        <w:tc>
          <w:tcPr>
            <w:tcW w:w="2240" w:type="dxa"/>
            <w:gridSpan w:val="2"/>
            <w:tcBorders>
              <w:top w:val="nil"/>
              <w:left w:val="nil"/>
              <w:bottom w:val="nil"/>
              <w:right w:val="nil"/>
            </w:tcBorders>
            <w:vAlign w:val="center"/>
          </w:tcPr>
          <w:p w14:paraId="1C427F22" w14:textId="1788FB37" w:rsidR="0004781A" w:rsidRPr="009F4BF2" w:rsidRDefault="00933A06"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4</w:t>
            </w:r>
          </w:p>
        </w:tc>
      </w:tr>
      <w:tr w:rsidR="009F4BF2" w:rsidRPr="009F4BF2" w14:paraId="44F4D894" w14:textId="77777777" w:rsidTr="49BCD735">
        <w:trPr>
          <w:trHeight w:val="264"/>
        </w:trPr>
        <w:tc>
          <w:tcPr>
            <w:tcW w:w="2720" w:type="dxa"/>
            <w:vMerge/>
            <w:vAlign w:val="center"/>
            <w:hideMark/>
          </w:tcPr>
          <w:p w14:paraId="29036EEE" w14:textId="77777777" w:rsidR="009F4BF2" w:rsidRPr="009F4BF2" w:rsidRDefault="009F4BF2" w:rsidP="009F4BF2">
            <w:pPr>
              <w:spacing w:after="0" w:line="240" w:lineRule="auto"/>
              <w:rPr>
                <w:rFonts w:eastAsia="Times New Roman" w:cs="Arial"/>
                <w:b/>
                <w:bCs/>
                <w:color w:val="000000"/>
                <w:sz w:val="20"/>
                <w:szCs w:val="20"/>
                <w:lang w:eastAsia="en-AU"/>
              </w:rPr>
            </w:pPr>
          </w:p>
        </w:tc>
        <w:tc>
          <w:tcPr>
            <w:tcW w:w="1120" w:type="dxa"/>
            <w:tcBorders>
              <w:top w:val="nil"/>
              <w:left w:val="nil"/>
              <w:bottom w:val="nil"/>
              <w:right w:val="nil"/>
            </w:tcBorders>
            <w:vAlign w:val="center"/>
            <w:hideMark/>
          </w:tcPr>
          <w:p w14:paraId="7D6B6B50"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1D00DE5E" w14:textId="07095F75" w:rsidR="009F4BF2" w:rsidRPr="009F4BF2" w:rsidRDefault="00933A06"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c>
          <w:tcPr>
            <w:tcW w:w="1120" w:type="dxa"/>
            <w:tcBorders>
              <w:top w:val="nil"/>
              <w:left w:val="nil"/>
              <w:bottom w:val="nil"/>
              <w:right w:val="nil"/>
            </w:tcBorders>
            <w:vAlign w:val="center"/>
            <w:hideMark/>
          </w:tcPr>
          <w:p w14:paraId="455F6AD4"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78922712" w14:textId="0D9FC128" w:rsidR="009F4BF2" w:rsidRPr="009F4BF2" w:rsidRDefault="00933A06"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c>
          <w:tcPr>
            <w:tcW w:w="1120" w:type="dxa"/>
            <w:tcBorders>
              <w:top w:val="nil"/>
              <w:left w:val="nil"/>
              <w:bottom w:val="nil"/>
              <w:right w:val="nil"/>
            </w:tcBorders>
            <w:vAlign w:val="center"/>
            <w:hideMark/>
          </w:tcPr>
          <w:p w14:paraId="19F1D880" w14:textId="77777777" w:rsidR="009F4BF2" w:rsidRPr="009F4BF2" w:rsidRDefault="009F4BF2" w:rsidP="009F4BF2">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6E0B5CD2" w14:textId="44C1D11B" w:rsidR="009F4BF2" w:rsidRPr="009F4BF2" w:rsidRDefault="00933A06" w:rsidP="009F4BF2">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r>
      <w:tr w:rsidR="0037304F" w:rsidRPr="009F4BF2" w14:paraId="09C134DA" w14:textId="77777777" w:rsidTr="49BCD735">
        <w:trPr>
          <w:trHeight w:val="264"/>
        </w:trPr>
        <w:tc>
          <w:tcPr>
            <w:tcW w:w="2720" w:type="dxa"/>
            <w:tcBorders>
              <w:top w:val="nil"/>
              <w:left w:val="nil"/>
              <w:bottom w:val="nil"/>
              <w:right w:val="nil"/>
            </w:tcBorders>
            <w:noWrap/>
            <w:vAlign w:val="center"/>
            <w:hideMark/>
          </w:tcPr>
          <w:p w14:paraId="00257C03" w14:textId="77777777"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Simon Corbell (Chair)</w:t>
            </w:r>
          </w:p>
        </w:tc>
        <w:tc>
          <w:tcPr>
            <w:tcW w:w="1120" w:type="dxa"/>
            <w:tcBorders>
              <w:top w:val="nil"/>
              <w:left w:val="nil"/>
              <w:bottom w:val="nil"/>
              <w:right w:val="nil"/>
            </w:tcBorders>
            <w:vAlign w:val="center"/>
            <w:hideMark/>
          </w:tcPr>
          <w:p w14:paraId="30EC51D3"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750BD647"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62285EB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41C5CB13"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5C0C6DC5"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63DBFE8C"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37304F" w:rsidRPr="009F4BF2" w14:paraId="04913437" w14:textId="77777777" w:rsidTr="49BCD735">
        <w:trPr>
          <w:trHeight w:val="264"/>
        </w:trPr>
        <w:tc>
          <w:tcPr>
            <w:tcW w:w="2720" w:type="dxa"/>
            <w:tcBorders>
              <w:top w:val="nil"/>
              <w:left w:val="nil"/>
              <w:bottom w:val="nil"/>
              <w:right w:val="nil"/>
            </w:tcBorders>
            <w:noWrap/>
            <w:vAlign w:val="center"/>
            <w:hideMark/>
          </w:tcPr>
          <w:p w14:paraId="54154990" w14:textId="77777777"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Joycelyn Morton</w:t>
            </w:r>
          </w:p>
        </w:tc>
        <w:tc>
          <w:tcPr>
            <w:tcW w:w="1120" w:type="dxa"/>
            <w:tcBorders>
              <w:top w:val="nil"/>
              <w:left w:val="nil"/>
              <w:bottom w:val="nil"/>
              <w:right w:val="nil"/>
            </w:tcBorders>
            <w:vAlign w:val="center"/>
            <w:hideMark/>
          </w:tcPr>
          <w:p w14:paraId="4860EFDD"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9DEBB9D"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00D0571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53A909A1"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16E3594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2AE3E9E8"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37304F" w:rsidRPr="009F4BF2" w14:paraId="3FFB435E" w14:textId="77777777" w:rsidTr="49BCD735">
        <w:trPr>
          <w:trHeight w:val="264"/>
        </w:trPr>
        <w:tc>
          <w:tcPr>
            <w:tcW w:w="2720" w:type="dxa"/>
            <w:tcBorders>
              <w:top w:val="nil"/>
              <w:left w:val="nil"/>
              <w:bottom w:val="nil"/>
              <w:right w:val="nil"/>
            </w:tcBorders>
            <w:noWrap/>
            <w:vAlign w:val="center"/>
            <w:hideMark/>
          </w:tcPr>
          <w:p w14:paraId="518CC7AB" w14:textId="77777777" w:rsidR="009F4BF2" w:rsidRPr="009F4BF2" w:rsidRDefault="009F4BF2" w:rsidP="009F4BF2">
            <w:pPr>
              <w:spacing w:after="0" w:line="240" w:lineRule="auto"/>
              <w:rPr>
                <w:rFonts w:eastAsia="Times New Roman" w:cs="Arial"/>
                <w:sz w:val="20"/>
                <w:szCs w:val="20"/>
                <w:lang w:eastAsia="en-AU"/>
              </w:rPr>
            </w:pPr>
            <w:r w:rsidRPr="009F4BF2">
              <w:rPr>
                <w:rFonts w:eastAsia="Times New Roman" w:cs="Arial"/>
                <w:sz w:val="20"/>
                <w:szCs w:val="20"/>
                <w:lang w:eastAsia="en-AU"/>
              </w:rPr>
              <w:t>Damien Barnes</w:t>
            </w:r>
          </w:p>
        </w:tc>
        <w:tc>
          <w:tcPr>
            <w:tcW w:w="1120" w:type="dxa"/>
            <w:tcBorders>
              <w:top w:val="nil"/>
              <w:left w:val="nil"/>
              <w:bottom w:val="nil"/>
              <w:right w:val="nil"/>
            </w:tcBorders>
            <w:vAlign w:val="center"/>
            <w:hideMark/>
          </w:tcPr>
          <w:p w14:paraId="1FAE6ADB"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8</w:t>
            </w:r>
          </w:p>
        </w:tc>
        <w:tc>
          <w:tcPr>
            <w:tcW w:w="1120" w:type="dxa"/>
            <w:tcBorders>
              <w:top w:val="nil"/>
              <w:left w:val="nil"/>
              <w:bottom w:val="nil"/>
              <w:right w:val="nil"/>
            </w:tcBorders>
            <w:vAlign w:val="center"/>
            <w:hideMark/>
          </w:tcPr>
          <w:p w14:paraId="01462995"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7BB5DA5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0A85678A"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3AE1DFCA"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06532D3D"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37304F" w:rsidRPr="009F4BF2" w14:paraId="718C8B1E" w14:textId="77777777" w:rsidTr="49BCD735">
        <w:trPr>
          <w:trHeight w:val="264"/>
        </w:trPr>
        <w:tc>
          <w:tcPr>
            <w:tcW w:w="2720" w:type="dxa"/>
            <w:tcBorders>
              <w:top w:val="nil"/>
              <w:left w:val="nil"/>
              <w:bottom w:val="nil"/>
              <w:right w:val="nil"/>
            </w:tcBorders>
            <w:noWrap/>
            <w:vAlign w:val="center"/>
            <w:hideMark/>
          </w:tcPr>
          <w:p w14:paraId="25544E8F" w14:textId="77777777"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Joanne Benvenuti</w:t>
            </w:r>
          </w:p>
        </w:tc>
        <w:tc>
          <w:tcPr>
            <w:tcW w:w="1120" w:type="dxa"/>
            <w:tcBorders>
              <w:top w:val="nil"/>
              <w:left w:val="nil"/>
              <w:bottom w:val="nil"/>
              <w:right w:val="nil"/>
            </w:tcBorders>
            <w:vAlign w:val="center"/>
            <w:hideMark/>
          </w:tcPr>
          <w:p w14:paraId="46F3D97A"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9</w:t>
            </w:r>
          </w:p>
        </w:tc>
        <w:tc>
          <w:tcPr>
            <w:tcW w:w="1120" w:type="dxa"/>
            <w:tcBorders>
              <w:top w:val="nil"/>
              <w:left w:val="nil"/>
              <w:bottom w:val="nil"/>
              <w:right w:val="nil"/>
            </w:tcBorders>
            <w:vAlign w:val="center"/>
            <w:hideMark/>
          </w:tcPr>
          <w:p w14:paraId="13EAEB06"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36470685"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5DD1DEC7"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575C568D"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0C714C66"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37304F" w:rsidRPr="009F4BF2" w14:paraId="0E8D42E9" w14:textId="77777777" w:rsidTr="49BCD735">
        <w:trPr>
          <w:trHeight w:val="264"/>
        </w:trPr>
        <w:tc>
          <w:tcPr>
            <w:tcW w:w="2720" w:type="dxa"/>
            <w:tcBorders>
              <w:top w:val="nil"/>
              <w:left w:val="nil"/>
              <w:bottom w:val="nil"/>
              <w:right w:val="nil"/>
            </w:tcBorders>
            <w:noWrap/>
            <w:vAlign w:val="center"/>
            <w:hideMark/>
          </w:tcPr>
          <w:p w14:paraId="37C1E23A" w14:textId="7CA35B3C"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Sharan Burrow</w:t>
            </w:r>
          </w:p>
        </w:tc>
        <w:tc>
          <w:tcPr>
            <w:tcW w:w="1120" w:type="dxa"/>
            <w:tcBorders>
              <w:top w:val="nil"/>
              <w:left w:val="nil"/>
              <w:bottom w:val="nil"/>
              <w:right w:val="nil"/>
            </w:tcBorders>
            <w:vAlign w:val="center"/>
            <w:hideMark/>
          </w:tcPr>
          <w:p w14:paraId="2ED541D5"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464B609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54C492DC" w14:textId="1C5105ED" w:rsidR="009F4BF2" w:rsidRPr="009F4BF2" w:rsidRDefault="00F370D4" w:rsidP="009F4BF2">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1442E940"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c>
          <w:tcPr>
            <w:tcW w:w="1120" w:type="dxa"/>
            <w:tcBorders>
              <w:top w:val="nil"/>
              <w:left w:val="nil"/>
              <w:bottom w:val="nil"/>
              <w:right w:val="nil"/>
            </w:tcBorders>
            <w:vAlign w:val="center"/>
            <w:hideMark/>
          </w:tcPr>
          <w:p w14:paraId="65FB023B" w14:textId="6B5D1695" w:rsidR="009F4BF2" w:rsidRPr="009F4BF2" w:rsidRDefault="00877991" w:rsidP="009F4BF2">
            <w:pPr>
              <w:spacing w:after="0" w:line="240" w:lineRule="auto"/>
              <w:jc w:val="center"/>
              <w:rPr>
                <w:rFonts w:eastAsia="Times New Roman" w:cs="Arial"/>
                <w:color w:val="000000"/>
                <w:sz w:val="20"/>
                <w:szCs w:val="20"/>
                <w:lang w:eastAsia="en-AU"/>
              </w:rPr>
            </w:pPr>
            <w:r>
              <w:rPr>
                <w:rFonts w:eastAsia="Times New Roman" w:cs="Arial"/>
                <w:color w:val="000000" w:themeColor="text1"/>
                <w:sz w:val="20"/>
                <w:szCs w:val="20"/>
                <w:lang w:eastAsia="en-AU"/>
              </w:rPr>
              <w:t>1</w:t>
            </w:r>
          </w:p>
        </w:tc>
        <w:tc>
          <w:tcPr>
            <w:tcW w:w="1120" w:type="dxa"/>
            <w:tcBorders>
              <w:top w:val="nil"/>
              <w:left w:val="nil"/>
              <w:bottom w:val="nil"/>
              <w:right w:val="nil"/>
            </w:tcBorders>
            <w:vAlign w:val="center"/>
            <w:hideMark/>
          </w:tcPr>
          <w:p w14:paraId="6991844C"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w:t>
            </w:r>
          </w:p>
        </w:tc>
      </w:tr>
      <w:tr w:rsidR="0037304F" w:rsidRPr="009F4BF2" w14:paraId="058C22E2" w14:textId="77777777" w:rsidTr="49BCD735">
        <w:trPr>
          <w:trHeight w:val="264"/>
        </w:trPr>
        <w:tc>
          <w:tcPr>
            <w:tcW w:w="2720" w:type="dxa"/>
            <w:tcBorders>
              <w:top w:val="nil"/>
              <w:left w:val="nil"/>
              <w:bottom w:val="nil"/>
              <w:right w:val="nil"/>
            </w:tcBorders>
            <w:noWrap/>
            <w:vAlign w:val="center"/>
            <w:hideMark/>
          </w:tcPr>
          <w:p w14:paraId="5C4C9C51" w14:textId="77777777"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Cameron Garnsworthy</w:t>
            </w:r>
          </w:p>
        </w:tc>
        <w:tc>
          <w:tcPr>
            <w:tcW w:w="1120" w:type="dxa"/>
            <w:tcBorders>
              <w:top w:val="nil"/>
              <w:left w:val="nil"/>
              <w:bottom w:val="nil"/>
              <w:right w:val="nil"/>
            </w:tcBorders>
            <w:vAlign w:val="center"/>
            <w:hideMark/>
          </w:tcPr>
          <w:p w14:paraId="13CF0A18"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08C2F791"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3AA02CAC" w14:textId="6D3848E3" w:rsidR="009F4BF2" w:rsidRPr="009F4BF2" w:rsidRDefault="00F370D4" w:rsidP="009F4BF2">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2DDEA8C3"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c>
          <w:tcPr>
            <w:tcW w:w="1120" w:type="dxa"/>
            <w:tcBorders>
              <w:top w:val="nil"/>
              <w:left w:val="nil"/>
              <w:bottom w:val="nil"/>
              <w:right w:val="nil"/>
            </w:tcBorders>
            <w:vAlign w:val="center"/>
            <w:hideMark/>
          </w:tcPr>
          <w:p w14:paraId="51FD185B" w14:textId="235128EC" w:rsidR="009F4BF2" w:rsidRPr="009F4BF2" w:rsidRDefault="00877991" w:rsidP="009F4BF2">
            <w:pPr>
              <w:spacing w:after="0" w:line="240" w:lineRule="auto"/>
              <w:jc w:val="center"/>
              <w:rPr>
                <w:rFonts w:eastAsia="Times New Roman" w:cs="Arial"/>
                <w:color w:val="000000"/>
                <w:sz w:val="20"/>
                <w:szCs w:val="20"/>
                <w:lang w:eastAsia="en-AU"/>
              </w:rPr>
            </w:pPr>
            <w:r>
              <w:rPr>
                <w:rFonts w:eastAsia="Times New Roman" w:cs="Arial"/>
                <w:color w:val="000000" w:themeColor="text1"/>
                <w:sz w:val="20"/>
                <w:szCs w:val="20"/>
                <w:lang w:eastAsia="en-AU"/>
              </w:rPr>
              <w:t>1</w:t>
            </w:r>
          </w:p>
        </w:tc>
        <w:tc>
          <w:tcPr>
            <w:tcW w:w="1120" w:type="dxa"/>
            <w:tcBorders>
              <w:top w:val="nil"/>
              <w:left w:val="nil"/>
              <w:bottom w:val="nil"/>
              <w:right w:val="nil"/>
            </w:tcBorders>
            <w:vAlign w:val="center"/>
            <w:hideMark/>
          </w:tcPr>
          <w:p w14:paraId="759C3AE4"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w:t>
            </w:r>
          </w:p>
        </w:tc>
      </w:tr>
      <w:tr w:rsidR="0037304F" w:rsidRPr="009F4BF2" w14:paraId="1CB6BBC6" w14:textId="77777777" w:rsidTr="49BCD735">
        <w:trPr>
          <w:trHeight w:val="264"/>
        </w:trPr>
        <w:tc>
          <w:tcPr>
            <w:tcW w:w="2720" w:type="dxa"/>
            <w:tcBorders>
              <w:top w:val="nil"/>
              <w:left w:val="nil"/>
              <w:bottom w:val="nil"/>
              <w:right w:val="nil"/>
            </w:tcBorders>
            <w:noWrap/>
            <w:vAlign w:val="center"/>
            <w:hideMark/>
          </w:tcPr>
          <w:p w14:paraId="6C22FADC" w14:textId="77777777" w:rsidR="009F4BF2" w:rsidRPr="009F4BF2" w:rsidRDefault="009F4BF2" w:rsidP="009F4BF2">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Anna Skarbek</w:t>
            </w:r>
          </w:p>
        </w:tc>
        <w:tc>
          <w:tcPr>
            <w:tcW w:w="1120" w:type="dxa"/>
            <w:tcBorders>
              <w:top w:val="nil"/>
              <w:left w:val="nil"/>
              <w:bottom w:val="nil"/>
              <w:right w:val="nil"/>
            </w:tcBorders>
            <w:vAlign w:val="center"/>
            <w:hideMark/>
          </w:tcPr>
          <w:p w14:paraId="0CB429ED"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76B91E98"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36D7A195"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095EAE6B"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1055F7D2"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4D10E890" w14:textId="77777777" w:rsidR="009F4BF2" w:rsidRPr="009F4BF2" w:rsidRDefault="009F4BF2" w:rsidP="009F4BF2">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bl>
    <w:p w14:paraId="65BEB81C" w14:textId="77777777" w:rsidR="00F374E5" w:rsidRDefault="0090273F" w:rsidP="00AC4734">
      <w:pPr>
        <w:spacing w:after="0" w:line="240" w:lineRule="auto"/>
        <w:textAlignment w:val="baseline"/>
        <w:rPr>
          <w:rFonts w:eastAsia="Times New Roman" w:cs="Arial"/>
          <w:i/>
          <w:iCs/>
          <w:sz w:val="18"/>
          <w:szCs w:val="18"/>
          <w:lang w:eastAsia="en-AU"/>
        </w:rPr>
      </w:pPr>
      <w:r>
        <w:br/>
      </w:r>
      <w:r w:rsidR="00D40BFE" w:rsidRPr="00655F6E">
        <w:rPr>
          <w:rFonts w:eastAsia="Times New Roman" w:cs="Arial"/>
          <w:i/>
          <w:iCs/>
          <w:sz w:val="18"/>
          <w:szCs w:val="18"/>
          <w:vertAlign w:val="superscript"/>
          <w:lang w:eastAsia="en-AU"/>
        </w:rPr>
        <w:t>*</w:t>
      </w:r>
      <w:r w:rsidR="00D40BFE" w:rsidRPr="00655F6E">
        <w:rPr>
          <w:rFonts w:eastAsia="Times New Roman" w:cs="Arial"/>
          <w:i/>
          <w:sz w:val="18"/>
          <w:szCs w:val="18"/>
          <w:vertAlign w:val="superscript"/>
          <w:lang w:eastAsia="en-AU"/>
        </w:rPr>
        <w:t xml:space="preserve"> </w:t>
      </w:r>
      <w:r w:rsidR="00D40BFE" w:rsidRPr="00655F6E">
        <w:rPr>
          <w:rFonts w:eastAsia="Times New Roman" w:cs="Arial"/>
          <w:i/>
          <w:iCs/>
          <w:sz w:val="18"/>
          <w:szCs w:val="18"/>
          <w:lang w:eastAsia="en-AU"/>
        </w:rPr>
        <w:t>Joycelyn Morton is the Chair of the Audit and Risk Committee. Simon Corbell is the Chair of the Investments and Assets Committee. </w:t>
      </w:r>
    </w:p>
    <w:p w14:paraId="11887F7C" w14:textId="77777777" w:rsidR="00F374E5" w:rsidRDefault="00F374E5" w:rsidP="00AC4734">
      <w:pPr>
        <w:spacing w:after="0" w:line="240" w:lineRule="auto"/>
        <w:textAlignment w:val="baseline"/>
        <w:rPr>
          <w:rFonts w:eastAsia="Times New Roman" w:cs="Arial"/>
          <w:i/>
          <w:iCs/>
          <w:sz w:val="18"/>
          <w:szCs w:val="18"/>
          <w:lang w:eastAsia="en-AU"/>
        </w:rPr>
      </w:pPr>
    </w:p>
    <w:p w14:paraId="65BD53DF" w14:textId="499D5EC9" w:rsidR="00F75024" w:rsidRDefault="00235C8C" w:rsidP="00AC4734">
      <w:pPr>
        <w:spacing w:after="0" w:line="240" w:lineRule="auto"/>
        <w:textAlignment w:val="baseline"/>
      </w:pPr>
      <w:r>
        <w:t xml:space="preserve">In some instances, </w:t>
      </w:r>
      <w:r w:rsidRPr="00235C8C">
        <w:t>Directors attended committee meetings as an observer, rather than a specific committee member. This has been reflected in the table above.</w:t>
      </w:r>
    </w:p>
    <w:p w14:paraId="0AF3BECC" w14:textId="77777777" w:rsidR="0080702F" w:rsidRDefault="006A1F00" w:rsidP="00AC4734">
      <w:pPr>
        <w:spacing w:after="0" w:line="240" w:lineRule="auto"/>
        <w:textAlignment w:val="baseline"/>
      </w:pPr>
      <w:r w:rsidRPr="006A1F00">
        <w:t xml:space="preserve">In addition to the above, three </w:t>
      </w:r>
      <w:r w:rsidR="001D7B69">
        <w:t xml:space="preserve">Board </w:t>
      </w:r>
      <w:r w:rsidRPr="006A1F00">
        <w:t>meetings were convened solely for the purpose of passing a resolution. No other business was conducted at these meetings</w:t>
      </w:r>
      <w:r>
        <w:t>.</w:t>
      </w:r>
    </w:p>
    <w:p w14:paraId="7CDA5969" w14:textId="585E4DEB" w:rsidR="006D1126" w:rsidRPr="00655F6E" w:rsidRDefault="0080702F" w:rsidP="00AC4734">
      <w:pPr>
        <w:spacing w:after="0" w:line="240" w:lineRule="auto"/>
        <w:textAlignment w:val="baseline"/>
        <w:rPr>
          <w:rFonts w:ascii="Segoe UI" w:eastAsia="Times New Roman" w:hAnsi="Segoe UI" w:cs="Segoe UI"/>
          <w:i/>
          <w:iCs/>
          <w:sz w:val="18"/>
          <w:szCs w:val="18"/>
          <w:lang w:eastAsia="en-AU"/>
        </w:rPr>
      </w:pPr>
      <w:r w:rsidRPr="0080702F">
        <w:t>In addition to attending formal board and committee meetings, directors also participated in briefings with management to discuss and consider strategic issues.</w:t>
      </w:r>
      <w:r w:rsidR="00D40BFE">
        <w:br/>
      </w:r>
    </w:p>
    <w:p w14:paraId="5194F236" w14:textId="7ED3A7A0" w:rsidR="00EB2523" w:rsidRDefault="143196CD" w:rsidP="715E2D1C">
      <w:pPr>
        <w:pStyle w:val="Heading2"/>
      </w:pPr>
      <w:bookmarkStart w:id="283" w:name="_Toc203656211"/>
      <w:bookmarkStart w:id="284" w:name="_Toc596647904"/>
      <w:bookmarkStart w:id="285" w:name="_Ref207013952"/>
      <w:r>
        <w:t>Principal activities</w:t>
      </w:r>
      <w:bookmarkEnd w:id="283"/>
      <w:bookmarkEnd w:id="284"/>
      <w:bookmarkEnd w:id="285"/>
      <w:r>
        <w:t xml:space="preserve"> </w:t>
      </w:r>
    </w:p>
    <w:p w14:paraId="28D9F2EE" w14:textId="7959633C" w:rsidR="004B5691" w:rsidRDefault="00EB2523">
      <w:r w:rsidRPr="00EB2523">
        <w:t>The principal activit</w:t>
      </w:r>
      <w:r w:rsidR="002C7D99">
        <w:t>ies</w:t>
      </w:r>
      <w:r w:rsidRPr="00EB2523">
        <w:t xml:space="preserve"> of the Group during </w:t>
      </w:r>
      <w:r w:rsidRPr="00226AD5">
        <w:t xml:space="preserve">the </w:t>
      </w:r>
      <w:r w:rsidR="002C7D99">
        <w:t>year</w:t>
      </w:r>
      <w:r w:rsidRPr="00EB2523">
        <w:t xml:space="preserve"> </w:t>
      </w:r>
      <w:r w:rsidRPr="00F96FA2">
        <w:t>w</w:t>
      </w:r>
      <w:r w:rsidR="004B5691">
        <w:t>ere:</w:t>
      </w:r>
    </w:p>
    <w:p w14:paraId="61D5DF85" w14:textId="556EB07E" w:rsidR="00177E45" w:rsidRDefault="00416B51" w:rsidP="004B5691">
      <w:pPr>
        <w:pStyle w:val="Bullet"/>
      </w:pPr>
      <w:r>
        <w:t xml:space="preserve">the </w:t>
      </w:r>
      <w:r w:rsidR="00EB2523" w:rsidRPr="00F96FA2">
        <w:t xml:space="preserve">establishment of </w:t>
      </w:r>
      <w:r w:rsidR="00B0126F">
        <w:t xml:space="preserve">energy market </w:t>
      </w:r>
      <w:r w:rsidR="00EB2523" w:rsidRPr="00F96FA2">
        <w:t xml:space="preserve">operations </w:t>
      </w:r>
      <w:r w:rsidR="00D87EA0">
        <w:t xml:space="preserve">ready to commence </w:t>
      </w:r>
      <w:r w:rsidR="004B5691">
        <w:t xml:space="preserve">retailing to </w:t>
      </w:r>
      <w:r w:rsidR="00CD239A">
        <w:t xml:space="preserve">Victorian government </w:t>
      </w:r>
      <w:r w:rsidR="00EB2523">
        <w:t xml:space="preserve">and </w:t>
      </w:r>
      <w:r w:rsidR="00177E45">
        <w:t>accept novation of the VRET and Bulgana contracts from 1 July 2025</w:t>
      </w:r>
    </w:p>
    <w:p w14:paraId="0DC274B2" w14:textId="7192205F" w:rsidR="00B27B37" w:rsidRDefault="00EB2523" w:rsidP="004B5691">
      <w:pPr>
        <w:pStyle w:val="Bullet"/>
      </w:pPr>
      <w:r w:rsidRPr="00F96FA2">
        <w:t xml:space="preserve">the investment in renewable energy </w:t>
      </w:r>
      <w:r w:rsidR="00177E45">
        <w:t xml:space="preserve">generation and storage </w:t>
      </w:r>
      <w:r w:rsidRPr="00F96FA2">
        <w:t>projects</w:t>
      </w:r>
    </w:p>
    <w:p w14:paraId="7ACA7E50" w14:textId="7B9BB455" w:rsidR="00EB2523" w:rsidRPr="00F96FA2" w:rsidRDefault="0016781F" w:rsidP="007514E0">
      <w:pPr>
        <w:pStyle w:val="Bullet"/>
      </w:pPr>
      <w:r>
        <w:t>continued research and development of a one</w:t>
      </w:r>
      <w:r w:rsidR="00E6041B">
        <w:t>-</w:t>
      </w:r>
      <w:r>
        <w:t xml:space="preserve">stop shop </w:t>
      </w:r>
      <w:r w:rsidR="00187C36">
        <w:t xml:space="preserve">to help Victorian households </w:t>
      </w:r>
      <w:r w:rsidR="007514E0">
        <w:t>go all-electric</w:t>
      </w:r>
      <w:r w:rsidR="00EB2523" w:rsidRPr="00F96FA2">
        <w:t>.</w:t>
      </w:r>
      <w:r w:rsidR="00EB2523" w:rsidRPr="00226AD5">
        <w:t xml:space="preserve"> </w:t>
      </w:r>
    </w:p>
    <w:p w14:paraId="0F85BE71" w14:textId="475C11FE" w:rsidR="00EB2523" w:rsidRPr="00D11907" w:rsidRDefault="143196CD" w:rsidP="715E2D1C">
      <w:pPr>
        <w:pStyle w:val="Heading2"/>
      </w:pPr>
      <w:bookmarkStart w:id="286" w:name="_Toc203656212"/>
      <w:bookmarkStart w:id="287" w:name="_Toc239625274"/>
      <w:bookmarkStart w:id="288" w:name="_Ref207013148"/>
      <w:bookmarkStart w:id="289" w:name="_Ref207013171"/>
      <w:r>
        <w:t>Financial and operational performance</w:t>
      </w:r>
      <w:bookmarkEnd w:id="286"/>
      <w:bookmarkEnd w:id="287"/>
      <w:bookmarkEnd w:id="288"/>
      <w:bookmarkEnd w:id="289"/>
      <w:r>
        <w:t xml:space="preserve"> </w:t>
      </w:r>
    </w:p>
    <w:p w14:paraId="792CF9FA" w14:textId="3CBAD90F" w:rsidR="001E7DCE" w:rsidRPr="00F65403" w:rsidRDefault="00EF2B7D" w:rsidP="00816570">
      <w:r>
        <w:t xml:space="preserve">SEC has been set up to operate together for a single, integrated purpose but with each state-owned company having a specific purpose aligned with the Group’s </w:t>
      </w:r>
      <w:r w:rsidR="00861EB3">
        <w:t xml:space="preserve">core </w:t>
      </w:r>
      <w:r>
        <w:t>operating segments</w:t>
      </w:r>
      <w:r w:rsidR="00861EB3">
        <w:t xml:space="preserve"> </w:t>
      </w:r>
      <w:r w:rsidR="00104757">
        <w:t>-</w:t>
      </w:r>
      <w:r w:rsidR="00861EB3">
        <w:t xml:space="preserve"> Assets, Energy Markets and Consumer Energy Solutions </w:t>
      </w:r>
      <w:r w:rsidR="00104757">
        <w:t>-</w:t>
      </w:r>
      <w:r w:rsidR="00861EB3">
        <w:t xml:space="preserve"> supported by our corporate services team, </w:t>
      </w:r>
      <w:r w:rsidR="001E7DCE">
        <w:t>as set out in the table below:</w:t>
      </w:r>
    </w:p>
    <w:tbl>
      <w:tblPr>
        <w:tblStyle w:val="TableGrid"/>
        <w:tblW w:w="9016" w:type="dxa"/>
        <w:tblCellMar>
          <w:top w:w="57" w:type="dxa"/>
          <w:left w:w="57" w:type="dxa"/>
          <w:bottom w:w="57" w:type="dxa"/>
          <w:right w:w="57" w:type="dxa"/>
        </w:tblCellMar>
        <w:tblLook w:val="04A0" w:firstRow="1" w:lastRow="0" w:firstColumn="1" w:lastColumn="0" w:noHBand="0" w:noVBand="1"/>
      </w:tblPr>
      <w:tblGrid>
        <w:gridCol w:w="1528"/>
        <w:gridCol w:w="2153"/>
        <w:gridCol w:w="5335"/>
      </w:tblGrid>
      <w:tr w:rsidR="005A3F85" w:rsidRPr="00F65403" w14:paraId="5227176B" w14:textId="77777777" w:rsidTr="4BAF42A3">
        <w:tc>
          <w:tcPr>
            <w:tcW w:w="1528" w:type="dxa"/>
          </w:tcPr>
          <w:p w14:paraId="7168F254" w14:textId="302FFFF2" w:rsidR="005A3F85" w:rsidRPr="00F65403" w:rsidRDefault="005A3F85" w:rsidP="005A3F85">
            <w:pPr>
              <w:pStyle w:val="BodyText"/>
              <w:rPr>
                <w:b/>
                <w:lang w:val="en-AU"/>
              </w:rPr>
            </w:pPr>
            <w:r w:rsidRPr="00F65403">
              <w:rPr>
                <w:b/>
                <w:lang w:val="en-AU"/>
              </w:rPr>
              <w:t>Entity</w:t>
            </w:r>
          </w:p>
        </w:tc>
        <w:tc>
          <w:tcPr>
            <w:tcW w:w="2153" w:type="dxa"/>
          </w:tcPr>
          <w:p w14:paraId="74CC5781" w14:textId="647A9580" w:rsidR="005A3F85" w:rsidRPr="00F65403" w:rsidRDefault="005A3F85" w:rsidP="005A3F85">
            <w:pPr>
              <w:pStyle w:val="BodyText"/>
              <w:rPr>
                <w:b/>
                <w:lang w:val="en-AU"/>
              </w:rPr>
            </w:pPr>
            <w:r w:rsidRPr="00F65403">
              <w:rPr>
                <w:b/>
                <w:lang w:val="en-AU"/>
              </w:rPr>
              <w:t>Segment</w:t>
            </w:r>
          </w:p>
        </w:tc>
        <w:tc>
          <w:tcPr>
            <w:tcW w:w="5335" w:type="dxa"/>
          </w:tcPr>
          <w:p w14:paraId="622575DA" w14:textId="77777777" w:rsidR="005A3F85" w:rsidRPr="00F65403" w:rsidRDefault="005A3F85" w:rsidP="005A3F85">
            <w:pPr>
              <w:pStyle w:val="BodyText"/>
              <w:rPr>
                <w:b/>
                <w:lang w:val="en-AU"/>
              </w:rPr>
            </w:pPr>
            <w:r w:rsidRPr="00F65403">
              <w:rPr>
                <w:b/>
                <w:lang w:val="en-AU"/>
              </w:rPr>
              <w:t>Details</w:t>
            </w:r>
          </w:p>
        </w:tc>
      </w:tr>
      <w:tr w:rsidR="005A3F85" w:rsidRPr="00F65403" w14:paraId="503B10D1" w14:textId="77777777" w:rsidTr="4BAF42A3">
        <w:tc>
          <w:tcPr>
            <w:tcW w:w="1528" w:type="dxa"/>
          </w:tcPr>
          <w:p w14:paraId="40BA3AF0" w14:textId="60426D10" w:rsidR="005A3F85" w:rsidRPr="00F65403" w:rsidRDefault="005A3F85" w:rsidP="005A3F85">
            <w:pPr>
              <w:pStyle w:val="BodyText"/>
              <w:rPr>
                <w:lang w:val="en-AU"/>
              </w:rPr>
            </w:pPr>
            <w:r w:rsidRPr="00F65403">
              <w:rPr>
                <w:lang w:val="en-AU"/>
              </w:rPr>
              <w:t>SEC Victoria Pty Ltd</w:t>
            </w:r>
          </w:p>
        </w:tc>
        <w:tc>
          <w:tcPr>
            <w:tcW w:w="2153" w:type="dxa"/>
          </w:tcPr>
          <w:p w14:paraId="4610D4D4" w14:textId="7A961618" w:rsidR="005A3F85" w:rsidRPr="00F65403" w:rsidRDefault="005A3F85" w:rsidP="005A3F85">
            <w:pPr>
              <w:pStyle w:val="BodyText"/>
              <w:rPr>
                <w:lang w:val="en-AU"/>
              </w:rPr>
            </w:pPr>
            <w:r w:rsidRPr="00F65403">
              <w:rPr>
                <w:lang w:val="en-AU"/>
              </w:rPr>
              <w:t>Consumer Energy Solutions &amp; Corporate Services</w:t>
            </w:r>
          </w:p>
        </w:tc>
        <w:tc>
          <w:tcPr>
            <w:tcW w:w="5335" w:type="dxa"/>
          </w:tcPr>
          <w:p w14:paraId="4373E593" w14:textId="5A58E822" w:rsidR="005A3F85" w:rsidRPr="00F65403" w:rsidRDefault="005A3F85" w:rsidP="005A3F85">
            <w:pPr>
              <w:pStyle w:val="BodyText"/>
              <w:rPr>
                <w:lang w:val="en-AU"/>
              </w:rPr>
            </w:pPr>
            <w:r w:rsidRPr="00F65403">
              <w:rPr>
                <w:lang w:val="en-AU"/>
              </w:rPr>
              <w:t xml:space="preserve">SEC Victoria Pty Ltd is the parent entity that receives debt and equity funding from the government, employs staff and incurs all other costs on behalf of SEC Group related to corporate </w:t>
            </w:r>
            <w:r w:rsidR="00132711" w:rsidRPr="00F65403">
              <w:rPr>
                <w:lang w:val="en-AU"/>
              </w:rPr>
              <w:t>services</w:t>
            </w:r>
            <w:r w:rsidRPr="00F65403">
              <w:rPr>
                <w:lang w:val="en-AU"/>
              </w:rPr>
              <w:t xml:space="preserve">, such as insurance, accommodation and technology support. </w:t>
            </w:r>
            <w:r w:rsidR="00C47078" w:rsidRPr="00F65403">
              <w:rPr>
                <w:lang w:val="en-AU"/>
              </w:rPr>
              <w:t xml:space="preserve">Consumer Energy Solutions </w:t>
            </w:r>
            <w:r w:rsidR="00E037F6">
              <w:rPr>
                <w:lang w:val="en-AU"/>
              </w:rPr>
              <w:t xml:space="preserve">business activities </w:t>
            </w:r>
            <w:r w:rsidR="000E064F" w:rsidRPr="00F65403">
              <w:rPr>
                <w:lang w:val="en-AU"/>
              </w:rPr>
              <w:t xml:space="preserve">are </w:t>
            </w:r>
            <w:r w:rsidR="0042573C" w:rsidRPr="00F65403">
              <w:rPr>
                <w:lang w:val="en-AU"/>
              </w:rPr>
              <w:t>also incurred by SEC Victoria.</w:t>
            </w:r>
          </w:p>
        </w:tc>
      </w:tr>
      <w:tr w:rsidR="00B763BC" w:rsidRPr="00F65403" w14:paraId="4D278DF4" w14:textId="77777777" w:rsidTr="7D327FE1">
        <w:trPr>
          <w:trHeight w:val="300"/>
        </w:trPr>
        <w:tc>
          <w:tcPr>
            <w:tcW w:w="1528" w:type="dxa"/>
          </w:tcPr>
          <w:p w14:paraId="380C2350" w14:textId="66CF36D7" w:rsidR="00B763BC" w:rsidRPr="00F65403" w:rsidRDefault="00B763BC" w:rsidP="00B763BC">
            <w:pPr>
              <w:pStyle w:val="BodyText"/>
              <w:rPr>
                <w:lang w:val="en-AU"/>
              </w:rPr>
            </w:pPr>
            <w:r w:rsidRPr="00F65403">
              <w:rPr>
                <w:lang w:val="en-AU"/>
              </w:rPr>
              <w:t>SEC Infrastructure Pty Ltd</w:t>
            </w:r>
          </w:p>
        </w:tc>
        <w:tc>
          <w:tcPr>
            <w:tcW w:w="2153" w:type="dxa"/>
          </w:tcPr>
          <w:p w14:paraId="44B3782C" w14:textId="3677BF9B" w:rsidR="00B763BC" w:rsidRPr="00F65403" w:rsidRDefault="00B763BC" w:rsidP="00B763BC">
            <w:pPr>
              <w:pStyle w:val="BodyText"/>
              <w:rPr>
                <w:lang w:val="en-AU"/>
              </w:rPr>
            </w:pPr>
            <w:r w:rsidRPr="00F65403">
              <w:rPr>
                <w:lang w:val="en-AU"/>
              </w:rPr>
              <w:t>Assets</w:t>
            </w:r>
          </w:p>
        </w:tc>
        <w:tc>
          <w:tcPr>
            <w:tcW w:w="5335" w:type="dxa"/>
          </w:tcPr>
          <w:p w14:paraId="34160E18" w14:textId="1F620F7A" w:rsidR="00B763BC" w:rsidRPr="4BAF42A3" w:rsidRDefault="00B763BC" w:rsidP="00B763BC">
            <w:pPr>
              <w:pStyle w:val="BodyText"/>
              <w:rPr>
                <w:lang w:val="en-AU"/>
              </w:rPr>
            </w:pPr>
            <w:r w:rsidRPr="00F65403">
              <w:rPr>
                <w:lang w:val="en-AU"/>
              </w:rPr>
              <w:t xml:space="preserve">SEC Infrastructure Pty Ltd is the entity through which the Group invests in renewable electricity generation and storage infrastructure projects. </w:t>
            </w:r>
            <w:r w:rsidR="00B30E13" w:rsidRPr="00B30E13">
              <w:rPr>
                <w:lang w:val="en-AU"/>
              </w:rPr>
              <w:t>The revenue earned by these projects once they are operational may be via offtake agreement with SEC Energy or sale of output (e.g. electricity generation) to the market</w:t>
            </w:r>
            <w:r w:rsidRPr="00F65403">
              <w:rPr>
                <w:lang w:val="en-AU"/>
              </w:rPr>
              <w:t>.</w:t>
            </w:r>
          </w:p>
        </w:tc>
      </w:tr>
      <w:tr w:rsidR="00B763BC" w:rsidRPr="00F65403" w14:paraId="400512F5" w14:textId="77777777" w:rsidTr="4BAF42A3">
        <w:tc>
          <w:tcPr>
            <w:tcW w:w="1528" w:type="dxa"/>
          </w:tcPr>
          <w:p w14:paraId="050108A8" w14:textId="19080028" w:rsidR="00B763BC" w:rsidRPr="00F65403" w:rsidRDefault="00B763BC" w:rsidP="00B763BC">
            <w:pPr>
              <w:pStyle w:val="BodyText"/>
              <w:rPr>
                <w:lang w:val="en-AU"/>
              </w:rPr>
            </w:pPr>
            <w:r w:rsidRPr="00F65403">
              <w:rPr>
                <w:lang w:val="en-AU"/>
              </w:rPr>
              <w:t>SEC Energy Pty Ltd</w:t>
            </w:r>
          </w:p>
        </w:tc>
        <w:tc>
          <w:tcPr>
            <w:tcW w:w="2153" w:type="dxa"/>
          </w:tcPr>
          <w:p w14:paraId="594BB1A3" w14:textId="592547B7" w:rsidR="00B763BC" w:rsidRPr="00F65403" w:rsidRDefault="00B763BC" w:rsidP="00B763BC">
            <w:pPr>
              <w:pStyle w:val="BodyText"/>
              <w:rPr>
                <w:lang w:val="en-AU"/>
              </w:rPr>
            </w:pPr>
            <w:r w:rsidRPr="00F65403">
              <w:rPr>
                <w:lang w:val="en-AU"/>
              </w:rPr>
              <w:t>Energy Markets</w:t>
            </w:r>
          </w:p>
        </w:tc>
        <w:tc>
          <w:tcPr>
            <w:tcW w:w="5335" w:type="dxa"/>
          </w:tcPr>
          <w:p w14:paraId="13B5C9A2" w14:textId="4954D30E" w:rsidR="00B763BC" w:rsidRPr="00F65403" w:rsidRDefault="00B763BC" w:rsidP="00B763BC">
            <w:pPr>
              <w:pStyle w:val="BodyText"/>
              <w:rPr>
                <w:lang w:val="en-AU"/>
              </w:rPr>
            </w:pPr>
            <w:r w:rsidRPr="4BAF42A3">
              <w:rPr>
                <w:lang w:val="en-AU"/>
              </w:rPr>
              <w:t xml:space="preserve">SEC Energy Pty Ltd holds the electricity retail </w:t>
            </w:r>
            <w:r w:rsidRPr="21B59ADC">
              <w:rPr>
                <w:lang w:val="en-AU"/>
              </w:rPr>
              <w:t>licenc</w:t>
            </w:r>
            <w:r w:rsidRPr="4BAF42A3">
              <w:rPr>
                <w:lang w:val="en-AU"/>
              </w:rPr>
              <w:t xml:space="preserve">e and Australian Financial Services </w:t>
            </w:r>
            <w:r w:rsidRPr="5CE31832">
              <w:rPr>
                <w:lang w:val="en-AU"/>
              </w:rPr>
              <w:t>License</w:t>
            </w:r>
            <w:r w:rsidRPr="4BAF42A3">
              <w:rPr>
                <w:lang w:val="en-AU"/>
              </w:rPr>
              <w:t xml:space="preserve"> and is responsible for participating in wholesale electricity markets and retailing electricity to commercial and industrial customers. SEC Energy</w:t>
            </w:r>
            <w:r w:rsidR="00F922EB">
              <w:rPr>
                <w:lang w:val="en-AU"/>
              </w:rPr>
              <w:t xml:space="preserve"> </w:t>
            </w:r>
            <w:r w:rsidRPr="4BAF42A3">
              <w:rPr>
                <w:lang w:val="en-AU"/>
              </w:rPr>
              <w:t>enter</w:t>
            </w:r>
            <w:r w:rsidR="00F922EB">
              <w:rPr>
                <w:lang w:val="en-AU"/>
              </w:rPr>
              <w:t>s</w:t>
            </w:r>
            <w:r w:rsidRPr="4BAF42A3">
              <w:rPr>
                <w:lang w:val="en-AU"/>
              </w:rPr>
              <w:t xml:space="preserve"> into offtake agreements with projects invested in by SEC Infrastructure and manages the Group’s overall retail and wholesale energy market position through the purchase and sale of energy market derivatives. </w:t>
            </w:r>
          </w:p>
        </w:tc>
      </w:tr>
    </w:tbl>
    <w:p w14:paraId="65D7BEF5" w14:textId="78F23449" w:rsidR="00816570" w:rsidRDefault="008653C2" w:rsidP="00816570">
      <w:r>
        <w:br/>
      </w:r>
      <w:r w:rsidR="00816570">
        <w:t xml:space="preserve">To facilitate the clear and efficient reporting of financial information by SEC Victoria and its related entities, </w:t>
      </w:r>
      <w:r w:rsidR="00E85C9D">
        <w:t>this</w:t>
      </w:r>
      <w:r w:rsidR="00816570">
        <w:t xml:space="preserve"> single, consolidated report has been prepared </w:t>
      </w:r>
      <w:r w:rsidR="00E85C9D">
        <w:t>to</w:t>
      </w:r>
      <w:r w:rsidR="00816570">
        <w:t xml:space="preserve"> meet the requirements for each entity.</w:t>
      </w:r>
    </w:p>
    <w:p w14:paraId="5891A1FA" w14:textId="3CBD0CA7" w:rsidR="00677538" w:rsidRDefault="00677538">
      <w:r w:rsidRPr="00677538">
        <w:t xml:space="preserve">The </w:t>
      </w:r>
      <w:r w:rsidR="79EC3EBF">
        <w:t xml:space="preserve">next </w:t>
      </w:r>
      <w:r w:rsidRPr="00677538">
        <w:t>section presents summary</w:t>
      </w:r>
      <w:r w:rsidR="00AE0260">
        <w:t xml:space="preserve"> </w:t>
      </w:r>
      <w:r w:rsidR="00940F58">
        <w:t>financial information</w:t>
      </w:r>
      <w:r w:rsidR="00933124">
        <w:t xml:space="preserve"> for each of these segments</w:t>
      </w:r>
      <w:r w:rsidR="00940F58">
        <w:t xml:space="preserve"> </w:t>
      </w:r>
      <w:r w:rsidR="00AE0260">
        <w:t>reconciled to the</w:t>
      </w:r>
      <w:r w:rsidR="00EB2523" w:rsidRPr="00EB2523" w:rsidDel="00677538">
        <w:t xml:space="preserve"> </w:t>
      </w:r>
      <w:r w:rsidR="00933124">
        <w:t>Group consolidated</w:t>
      </w:r>
      <w:r w:rsidR="00EB2523" w:rsidRPr="00EB2523" w:rsidDel="00677538">
        <w:t xml:space="preserve"> financial statements </w:t>
      </w:r>
      <w:r w:rsidR="00AE0260">
        <w:t xml:space="preserve">included in </w:t>
      </w:r>
      <w:r w:rsidR="00EB2523" w:rsidRPr="00EB2523" w:rsidDel="00677538">
        <w:t>this Annual Report.</w:t>
      </w:r>
    </w:p>
    <w:p w14:paraId="1D468E60" w14:textId="520943A8" w:rsidR="00444517" w:rsidRDefault="00444517" w:rsidP="001513B5"/>
    <w:p w14:paraId="7EE3C531" w14:textId="77CB5880" w:rsidR="00444517" w:rsidRDefault="00444517">
      <w:pPr>
        <w:rPr>
          <w:rFonts w:eastAsiaTheme="majorEastAsia" w:cstheme="majorBidi"/>
          <w:b/>
        </w:rPr>
      </w:pPr>
      <w:r>
        <w:br w:type="page"/>
      </w:r>
    </w:p>
    <w:p w14:paraId="057A5969" w14:textId="1E654632" w:rsidR="00A955BE" w:rsidRDefault="0AFCF0C8" w:rsidP="715E2D1C">
      <w:pPr>
        <w:pStyle w:val="Heading3"/>
      </w:pPr>
      <w:bookmarkStart w:id="290" w:name="_Ref207013156"/>
      <w:r>
        <w:t xml:space="preserve">Financial position and </w:t>
      </w:r>
      <w:r w:rsidR="29DAEBD0">
        <w:t>c</w:t>
      </w:r>
      <w:r w:rsidR="5C690F6F">
        <w:t xml:space="preserve">apital </w:t>
      </w:r>
      <w:r w:rsidR="29DAEBD0">
        <w:t>management</w:t>
      </w:r>
      <w:bookmarkEnd w:id="290"/>
    </w:p>
    <w:tbl>
      <w:tblPr>
        <w:tblW w:w="5000" w:type="pct"/>
        <w:tblLayout w:type="fixed"/>
        <w:tblCellMar>
          <w:top w:w="28" w:type="dxa"/>
          <w:left w:w="28" w:type="dxa"/>
          <w:bottom w:w="28" w:type="dxa"/>
          <w:right w:w="28" w:type="dxa"/>
        </w:tblCellMar>
        <w:tblLook w:val="04A0" w:firstRow="1" w:lastRow="0" w:firstColumn="1" w:lastColumn="0" w:noHBand="0" w:noVBand="1"/>
      </w:tblPr>
      <w:tblGrid>
        <w:gridCol w:w="5248"/>
        <w:gridCol w:w="1260"/>
        <w:gridCol w:w="1260"/>
        <w:gridCol w:w="1258"/>
      </w:tblGrid>
      <w:tr w:rsidR="007F5DE8" w:rsidRPr="00F65403" w14:paraId="54F8C8F7" w14:textId="77777777" w:rsidTr="00276EAB">
        <w:trPr>
          <w:trHeight w:val="300"/>
        </w:trPr>
        <w:tc>
          <w:tcPr>
            <w:tcW w:w="2906" w:type="pct"/>
            <w:tcBorders>
              <w:top w:val="nil"/>
              <w:left w:val="nil"/>
              <w:bottom w:val="nil"/>
              <w:right w:val="nil"/>
            </w:tcBorders>
            <w:noWrap/>
            <w:vAlign w:val="bottom"/>
            <w:hideMark/>
          </w:tcPr>
          <w:p w14:paraId="0688402A" w14:textId="77777777" w:rsidR="007F5DE8" w:rsidRPr="00F65403" w:rsidRDefault="007F5DE8" w:rsidP="003C6418">
            <w:pPr>
              <w:spacing w:after="0" w:line="240" w:lineRule="auto"/>
              <w:rPr>
                <w:rFonts w:eastAsia="Times New Roman" w:cs="Arial"/>
                <w:b/>
                <w:color w:val="000000"/>
                <w:sz w:val="20"/>
                <w:szCs w:val="20"/>
                <w:lang w:eastAsia="en-AU"/>
              </w:rPr>
            </w:pPr>
          </w:p>
        </w:tc>
        <w:tc>
          <w:tcPr>
            <w:tcW w:w="698" w:type="pct"/>
            <w:tcBorders>
              <w:top w:val="nil"/>
              <w:left w:val="nil"/>
              <w:bottom w:val="nil"/>
              <w:right w:val="nil"/>
            </w:tcBorders>
            <w:vAlign w:val="bottom"/>
            <w:hideMark/>
          </w:tcPr>
          <w:p w14:paraId="34124494" w14:textId="067AAC79"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30 June 2025</w:t>
            </w:r>
          </w:p>
        </w:tc>
        <w:tc>
          <w:tcPr>
            <w:tcW w:w="698" w:type="pct"/>
            <w:tcBorders>
              <w:top w:val="nil"/>
              <w:left w:val="nil"/>
              <w:bottom w:val="nil"/>
              <w:right w:val="nil"/>
            </w:tcBorders>
            <w:vAlign w:val="bottom"/>
            <w:hideMark/>
          </w:tcPr>
          <w:p w14:paraId="3BDDB9E2" w14:textId="154305AD"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30 June 2024</w:t>
            </w:r>
          </w:p>
        </w:tc>
        <w:tc>
          <w:tcPr>
            <w:tcW w:w="697" w:type="pct"/>
            <w:tcBorders>
              <w:top w:val="nil"/>
              <w:left w:val="nil"/>
              <w:bottom w:val="nil"/>
              <w:right w:val="nil"/>
            </w:tcBorders>
            <w:vAlign w:val="bottom"/>
            <w:hideMark/>
          </w:tcPr>
          <w:p w14:paraId="4430DDF4" w14:textId="77777777"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Change</w:t>
            </w:r>
          </w:p>
        </w:tc>
      </w:tr>
      <w:tr w:rsidR="007F5DE8" w:rsidRPr="00F65403" w14:paraId="7B7D6C34" w14:textId="77777777" w:rsidTr="00276EAB">
        <w:trPr>
          <w:trHeight w:val="300"/>
        </w:trPr>
        <w:tc>
          <w:tcPr>
            <w:tcW w:w="2906" w:type="pct"/>
            <w:tcBorders>
              <w:top w:val="nil"/>
              <w:left w:val="nil"/>
              <w:bottom w:val="nil"/>
              <w:right w:val="nil"/>
            </w:tcBorders>
            <w:noWrap/>
            <w:vAlign w:val="center"/>
            <w:hideMark/>
          </w:tcPr>
          <w:p w14:paraId="67427BC0" w14:textId="77777777" w:rsidR="007F5DE8" w:rsidRPr="00F65403" w:rsidRDefault="007F5DE8" w:rsidP="003C6418">
            <w:pPr>
              <w:spacing w:after="0" w:line="240" w:lineRule="auto"/>
              <w:jc w:val="right"/>
              <w:rPr>
                <w:rFonts w:eastAsia="Times New Roman" w:cs="Arial"/>
                <w:b/>
                <w:color w:val="000000"/>
                <w:sz w:val="20"/>
                <w:szCs w:val="20"/>
                <w:lang w:eastAsia="en-AU"/>
              </w:rPr>
            </w:pPr>
          </w:p>
        </w:tc>
        <w:tc>
          <w:tcPr>
            <w:tcW w:w="698" w:type="pct"/>
            <w:tcBorders>
              <w:top w:val="nil"/>
              <w:left w:val="nil"/>
              <w:bottom w:val="nil"/>
              <w:right w:val="nil"/>
            </w:tcBorders>
            <w:vAlign w:val="bottom"/>
            <w:hideMark/>
          </w:tcPr>
          <w:p w14:paraId="7C9274A6" w14:textId="77777777"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98" w:type="pct"/>
            <w:tcBorders>
              <w:top w:val="nil"/>
              <w:left w:val="nil"/>
              <w:bottom w:val="nil"/>
              <w:right w:val="nil"/>
            </w:tcBorders>
            <w:vAlign w:val="bottom"/>
            <w:hideMark/>
          </w:tcPr>
          <w:p w14:paraId="199206D5" w14:textId="77777777"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97" w:type="pct"/>
            <w:tcBorders>
              <w:top w:val="nil"/>
              <w:left w:val="nil"/>
              <w:bottom w:val="nil"/>
              <w:right w:val="nil"/>
            </w:tcBorders>
            <w:vAlign w:val="bottom"/>
            <w:hideMark/>
          </w:tcPr>
          <w:p w14:paraId="121CDD0B" w14:textId="77777777" w:rsidR="007F5DE8" w:rsidRPr="00F65403" w:rsidRDefault="007F5DE8"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7F5DE8" w:rsidRPr="00F65403" w14:paraId="398C60C3" w14:textId="77777777" w:rsidTr="00276EAB">
        <w:trPr>
          <w:trHeight w:val="300"/>
        </w:trPr>
        <w:tc>
          <w:tcPr>
            <w:tcW w:w="2906" w:type="pct"/>
            <w:tcBorders>
              <w:top w:val="nil"/>
              <w:left w:val="nil"/>
              <w:bottom w:val="nil"/>
              <w:right w:val="nil"/>
            </w:tcBorders>
            <w:noWrap/>
            <w:vAlign w:val="center"/>
          </w:tcPr>
          <w:p w14:paraId="15ACFFC1" w14:textId="03CFDC01" w:rsidR="007F5DE8" w:rsidRPr="00F65403" w:rsidRDefault="007F5DE8" w:rsidP="003C6418">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Borrowings</w:t>
            </w:r>
          </w:p>
        </w:tc>
        <w:tc>
          <w:tcPr>
            <w:tcW w:w="698" w:type="pct"/>
            <w:tcBorders>
              <w:top w:val="nil"/>
              <w:left w:val="nil"/>
              <w:bottom w:val="nil"/>
              <w:right w:val="nil"/>
            </w:tcBorders>
            <w:vAlign w:val="bottom"/>
          </w:tcPr>
          <w:p w14:paraId="28DC4224" w14:textId="21C9EA9F" w:rsidR="007F5DE8" w:rsidRPr="00F65403" w:rsidRDefault="007D06AA" w:rsidP="00961567">
            <w:pPr>
              <w:tabs>
                <w:tab w:val="decimal" w:pos="1076"/>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c>
          <w:tcPr>
            <w:tcW w:w="698" w:type="pct"/>
            <w:tcBorders>
              <w:top w:val="nil"/>
              <w:left w:val="nil"/>
              <w:bottom w:val="nil"/>
              <w:right w:val="nil"/>
            </w:tcBorders>
            <w:vAlign w:val="bottom"/>
          </w:tcPr>
          <w:p w14:paraId="24E22D4E" w14:textId="62D1AA1F" w:rsidR="007F5DE8" w:rsidRPr="00F65403" w:rsidRDefault="007D06AA" w:rsidP="00961567">
            <w:pPr>
              <w:tabs>
                <w:tab w:val="decimal" w:pos="1076"/>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c>
          <w:tcPr>
            <w:tcW w:w="697" w:type="pct"/>
            <w:tcBorders>
              <w:top w:val="nil"/>
              <w:left w:val="nil"/>
              <w:bottom w:val="nil"/>
              <w:right w:val="nil"/>
            </w:tcBorders>
            <w:vAlign w:val="bottom"/>
          </w:tcPr>
          <w:p w14:paraId="13F0D517" w14:textId="7AD4244A" w:rsidR="007F5DE8" w:rsidRPr="0034223D" w:rsidRDefault="008676A0" w:rsidP="00961567">
            <w:pPr>
              <w:tabs>
                <w:tab w:val="decimal" w:pos="1076"/>
              </w:tabs>
              <w:spacing w:after="0" w:line="240" w:lineRule="auto"/>
              <w:rPr>
                <w:rFonts w:eastAsia="Times New Roman" w:cs="Arial"/>
                <w:sz w:val="20"/>
                <w:szCs w:val="20"/>
                <w:lang w:eastAsia="en-AU"/>
              </w:rPr>
            </w:pPr>
            <w:r w:rsidRPr="0034223D">
              <w:rPr>
                <w:rFonts w:eastAsia="Times New Roman" w:cs="Arial"/>
                <w:sz w:val="20"/>
                <w:szCs w:val="20"/>
                <w:lang w:eastAsia="en-AU"/>
              </w:rPr>
              <w:t>-</w:t>
            </w:r>
          </w:p>
        </w:tc>
      </w:tr>
      <w:tr w:rsidR="007F5DE8" w:rsidRPr="00F65403" w14:paraId="41A3D9BC" w14:textId="77777777" w:rsidTr="00276EAB">
        <w:trPr>
          <w:trHeight w:val="300"/>
        </w:trPr>
        <w:tc>
          <w:tcPr>
            <w:tcW w:w="2906" w:type="pct"/>
            <w:tcBorders>
              <w:top w:val="nil"/>
              <w:left w:val="nil"/>
              <w:bottom w:val="nil"/>
              <w:right w:val="nil"/>
            </w:tcBorders>
            <w:noWrap/>
            <w:vAlign w:val="center"/>
          </w:tcPr>
          <w:p w14:paraId="5968ED5C" w14:textId="2953BA13" w:rsidR="007F5DE8" w:rsidRPr="00F65403" w:rsidRDefault="007F5DE8" w:rsidP="003C6418">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698" w:type="pct"/>
            <w:tcBorders>
              <w:top w:val="nil"/>
              <w:left w:val="nil"/>
              <w:bottom w:val="single" w:sz="4" w:space="0" w:color="auto"/>
              <w:right w:val="nil"/>
            </w:tcBorders>
            <w:vAlign w:val="bottom"/>
          </w:tcPr>
          <w:p w14:paraId="2966B811" w14:textId="5631A95C" w:rsidR="007F5DE8" w:rsidRPr="00F65403" w:rsidRDefault="005179AE" w:rsidP="00961567">
            <w:pPr>
              <w:tabs>
                <w:tab w:val="decimal" w:pos="1076"/>
              </w:tabs>
              <w:spacing w:after="0" w:line="240" w:lineRule="auto"/>
              <w:rPr>
                <w:rFonts w:eastAsia="Times New Roman" w:cs="Arial"/>
                <w:sz w:val="20"/>
                <w:szCs w:val="20"/>
                <w:lang w:eastAsia="en-AU"/>
              </w:rPr>
            </w:pPr>
            <w:r>
              <w:rPr>
                <w:rFonts w:eastAsia="Times New Roman" w:cs="Arial"/>
                <w:sz w:val="20"/>
                <w:szCs w:val="20"/>
                <w:lang w:eastAsia="en-AU"/>
              </w:rPr>
              <w:t>9,2</w:t>
            </w:r>
            <w:r w:rsidR="00AE4547">
              <w:rPr>
                <w:rFonts w:eastAsia="Times New Roman" w:cs="Arial"/>
                <w:sz w:val="20"/>
                <w:szCs w:val="20"/>
                <w:lang w:eastAsia="en-AU"/>
              </w:rPr>
              <w:t>19</w:t>
            </w:r>
          </w:p>
        </w:tc>
        <w:tc>
          <w:tcPr>
            <w:tcW w:w="698" w:type="pct"/>
            <w:tcBorders>
              <w:top w:val="nil"/>
              <w:left w:val="nil"/>
              <w:bottom w:val="single" w:sz="4" w:space="0" w:color="auto"/>
              <w:right w:val="nil"/>
            </w:tcBorders>
            <w:vAlign w:val="bottom"/>
          </w:tcPr>
          <w:p w14:paraId="64B02F41" w14:textId="5A3A9526" w:rsidR="007F5DE8" w:rsidRPr="00F65403" w:rsidRDefault="007D06AA" w:rsidP="00961567">
            <w:pPr>
              <w:tabs>
                <w:tab w:val="decimal" w:pos="1076"/>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c>
          <w:tcPr>
            <w:tcW w:w="697" w:type="pct"/>
            <w:tcBorders>
              <w:top w:val="nil"/>
              <w:left w:val="nil"/>
              <w:bottom w:val="single" w:sz="4" w:space="0" w:color="auto"/>
              <w:right w:val="nil"/>
            </w:tcBorders>
            <w:vAlign w:val="bottom"/>
          </w:tcPr>
          <w:p w14:paraId="5611AA9A" w14:textId="4A3B1021" w:rsidR="007F5DE8" w:rsidRPr="0034223D" w:rsidRDefault="005179AE" w:rsidP="00961567">
            <w:pPr>
              <w:tabs>
                <w:tab w:val="decimal" w:pos="1076"/>
              </w:tabs>
              <w:spacing w:after="0" w:line="240" w:lineRule="auto"/>
              <w:rPr>
                <w:rFonts w:eastAsia="Times New Roman" w:cs="Arial"/>
                <w:sz w:val="20"/>
                <w:szCs w:val="20"/>
                <w:lang w:eastAsia="en-AU"/>
              </w:rPr>
            </w:pPr>
            <w:r w:rsidRPr="0034223D">
              <w:rPr>
                <w:rFonts w:eastAsia="Times New Roman" w:cs="Arial"/>
                <w:sz w:val="20"/>
                <w:szCs w:val="20"/>
                <w:lang w:eastAsia="en-AU"/>
              </w:rPr>
              <w:t>9,2</w:t>
            </w:r>
            <w:r w:rsidR="002826B4">
              <w:rPr>
                <w:rFonts w:eastAsia="Times New Roman" w:cs="Arial"/>
                <w:sz w:val="20"/>
                <w:szCs w:val="20"/>
                <w:lang w:eastAsia="en-AU"/>
              </w:rPr>
              <w:t>19</w:t>
            </w:r>
          </w:p>
        </w:tc>
      </w:tr>
      <w:tr w:rsidR="005179AE" w:rsidRPr="00F65403" w14:paraId="3772D862" w14:textId="77777777" w:rsidTr="00276EAB">
        <w:trPr>
          <w:trHeight w:val="300"/>
        </w:trPr>
        <w:tc>
          <w:tcPr>
            <w:tcW w:w="2906" w:type="pct"/>
            <w:tcBorders>
              <w:top w:val="nil"/>
              <w:left w:val="nil"/>
              <w:bottom w:val="nil"/>
              <w:right w:val="nil"/>
            </w:tcBorders>
            <w:noWrap/>
            <w:vAlign w:val="center"/>
          </w:tcPr>
          <w:p w14:paraId="19C37580" w14:textId="54702FF9" w:rsidR="005179AE" w:rsidRPr="00F65403" w:rsidRDefault="005179AE" w:rsidP="005179AE">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 debt</w:t>
            </w:r>
          </w:p>
        </w:tc>
        <w:tc>
          <w:tcPr>
            <w:tcW w:w="698" w:type="pct"/>
            <w:tcBorders>
              <w:top w:val="single" w:sz="4" w:space="0" w:color="auto"/>
              <w:left w:val="nil"/>
              <w:bottom w:val="nil"/>
              <w:right w:val="nil"/>
            </w:tcBorders>
            <w:vAlign w:val="bottom"/>
          </w:tcPr>
          <w:p w14:paraId="7A7F71BC" w14:textId="56E6966E" w:rsidR="005179AE" w:rsidRPr="00B142E6" w:rsidRDefault="005179AE"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9,2</w:t>
            </w:r>
            <w:r w:rsidR="00AE4547">
              <w:rPr>
                <w:rFonts w:eastAsia="Times New Roman" w:cs="Arial"/>
                <w:b/>
                <w:bCs/>
                <w:sz w:val="20"/>
                <w:szCs w:val="20"/>
                <w:lang w:eastAsia="en-AU"/>
              </w:rPr>
              <w:t>19</w:t>
            </w:r>
          </w:p>
        </w:tc>
        <w:tc>
          <w:tcPr>
            <w:tcW w:w="698" w:type="pct"/>
            <w:tcBorders>
              <w:top w:val="single" w:sz="4" w:space="0" w:color="auto"/>
              <w:left w:val="nil"/>
              <w:bottom w:val="nil"/>
              <w:right w:val="nil"/>
            </w:tcBorders>
            <w:vAlign w:val="bottom"/>
          </w:tcPr>
          <w:p w14:paraId="063B2905" w14:textId="333118EC" w:rsidR="005179AE" w:rsidRPr="00B142E6" w:rsidRDefault="005179AE"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w:t>
            </w:r>
          </w:p>
        </w:tc>
        <w:tc>
          <w:tcPr>
            <w:tcW w:w="697" w:type="pct"/>
            <w:tcBorders>
              <w:top w:val="single" w:sz="4" w:space="0" w:color="auto"/>
              <w:left w:val="nil"/>
              <w:bottom w:val="nil"/>
              <w:right w:val="nil"/>
            </w:tcBorders>
            <w:vAlign w:val="bottom"/>
          </w:tcPr>
          <w:p w14:paraId="26A151B3" w14:textId="6725EEFF" w:rsidR="005179AE" w:rsidRPr="00B142E6" w:rsidRDefault="005179AE"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9,2</w:t>
            </w:r>
            <w:r w:rsidR="002826B4">
              <w:rPr>
                <w:rFonts w:eastAsia="Times New Roman" w:cs="Arial"/>
                <w:b/>
                <w:bCs/>
                <w:sz w:val="20"/>
                <w:szCs w:val="20"/>
                <w:lang w:eastAsia="en-AU"/>
              </w:rPr>
              <w:t>19</w:t>
            </w:r>
          </w:p>
        </w:tc>
      </w:tr>
      <w:tr w:rsidR="00B142E6" w:rsidRPr="00F65403" w14:paraId="56F849AC" w14:textId="77777777" w:rsidTr="00276EAB">
        <w:trPr>
          <w:trHeight w:val="300"/>
        </w:trPr>
        <w:tc>
          <w:tcPr>
            <w:tcW w:w="2906" w:type="pct"/>
            <w:tcBorders>
              <w:top w:val="nil"/>
              <w:left w:val="nil"/>
              <w:bottom w:val="nil"/>
              <w:right w:val="nil"/>
            </w:tcBorders>
            <w:noWrap/>
            <w:vAlign w:val="center"/>
          </w:tcPr>
          <w:p w14:paraId="43269562" w14:textId="2334AD73" w:rsidR="00B142E6" w:rsidRPr="00F65403" w:rsidRDefault="00B142E6" w:rsidP="00B142E6">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698" w:type="pct"/>
            <w:tcBorders>
              <w:top w:val="nil"/>
              <w:left w:val="nil"/>
              <w:bottom w:val="single" w:sz="4" w:space="0" w:color="auto"/>
              <w:right w:val="nil"/>
            </w:tcBorders>
            <w:vAlign w:val="bottom"/>
          </w:tcPr>
          <w:p w14:paraId="3A3DAF76" w14:textId="68691837" w:rsidR="00B142E6" w:rsidRPr="00F65403" w:rsidRDefault="00B142E6" w:rsidP="00961567">
            <w:pPr>
              <w:tabs>
                <w:tab w:val="decimal" w:pos="1076"/>
              </w:tabs>
              <w:spacing w:after="0" w:line="240" w:lineRule="auto"/>
              <w:rPr>
                <w:rFonts w:eastAsia="Times New Roman" w:cs="Arial"/>
                <w:sz w:val="20"/>
                <w:szCs w:val="20"/>
                <w:lang w:eastAsia="en-AU"/>
              </w:rPr>
            </w:pPr>
            <w:r w:rsidRPr="00B142E6">
              <w:rPr>
                <w:rFonts w:eastAsia="Times New Roman" w:cs="Arial"/>
                <w:sz w:val="20"/>
                <w:szCs w:val="20"/>
                <w:lang w:eastAsia="en-AU"/>
              </w:rPr>
              <w:t>356,300</w:t>
            </w:r>
          </w:p>
        </w:tc>
        <w:tc>
          <w:tcPr>
            <w:tcW w:w="698" w:type="pct"/>
            <w:tcBorders>
              <w:top w:val="nil"/>
              <w:left w:val="nil"/>
              <w:bottom w:val="single" w:sz="4" w:space="0" w:color="auto"/>
              <w:right w:val="nil"/>
            </w:tcBorders>
            <w:vAlign w:val="bottom"/>
          </w:tcPr>
          <w:p w14:paraId="6B811A0E" w14:textId="0DE2CCCC" w:rsidR="00B142E6" w:rsidRPr="00F65403" w:rsidRDefault="00B142E6" w:rsidP="00961567">
            <w:pPr>
              <w:tabs>
                <w:tab w:val="decimal" w:pos="1076"/>
              </w:tabs>
              <w:spacing w:after="0" w:line="240" w:lineRule="auto"/>
              <w:rPr>
                <w:rFonts w:eastAsia="Times New Roman" w:cs="Arial"/>
                <w:sz w:val="20"/>
                <w:szCs w:val="20"/>
                <w:lang w:eastAsia="en-AU"/>
              </w:rPr>
            </w:pPr>
            <w:r w:rsidRPr="00B142E6">
              <w:rPr>
                <w:rFonts w:eastAsia="Times New Roman" w:cs="Arial"/>
                <w:sz w:val="20"/>
                <w:szCs w:val="20"/>
                <w:lang w:eastAsia="en-AU"/>
              </w:rPr>
              <w:t>264,215</w:t>
            </w:r>
          </w:p>
        </w:tc>
        <w:tc>
          <w:tcPr>
            <w:tcW w:w="697" w:type="pct"/>
            <w:tcBorders>
              <w:top w:val="nil"/>
              <w:left w:val="nil"/>
              <w:bottom w:val="single" w:sz="4" w:space="0" w:color="auto"/>
              <w:right w:val="nil"/>
            </w:tcBorders>
            <w:vAlign w:val="bottom"/>
          </w:tcPr>
          <w:p w14:paraId="52D18345" w14:textId="7500840B" w:rsidR="00B142E6" w:rsidRPr="0034223D" w:rsidRDefault="00B142E6" w:rsidP="00961567">
            <w:pPr>
              <w:tabs>
                <w:tab w:val="decimal" w:pos="1076"/>
              </w:tabs>
              <w:spacing w:after="0" w:line="240" w:lineRule="auto"/>
              <w:rPr>
                <w:rFonts w:eastAsia="Times New Roman" w:cs="Arial"/>
                <w:sz w:val="20"/>
                <w:szCs w:val="20"/>
                <w:lang w:eastAsia="en-AU"/>
              </w:rPr>
            </w:pPr>
            <w:r w:rsidRPr="00B142E6">
              <w:rPr>
                <w:rFonts w:eastAsia="Times New Roman" w:cs="Arial"/>
                <w:sz w:val="20"/>
                <w:szCs w:val="20"/>
                <w:lang w:eastAsia="en-AU"/>
              </w:rPr>
              <w:t>92,085</w:t>
            </w:r>
          </w:p>
        </w:tc>
      </w:tr>
      <w:tr w:rsidR="00B142E6" w:rsidRPr="00F65403" w14:paraId="6E3D36A8" w14:textId="77777777" w:rsidTr="00276EAB">
        <w:trPr>
          <w:trHeight w:val="300"/>
        </w:trPr>
        <w:tc>
          <w:tcPr>
            <w:tcW w:w="2906" w:type="pct"/>
            <w:tcBorders>
              <w:top w:val="nil"/>
              <w:left w:val="nil"/>
              <w:bottom w:val="nil"/>
              <w:right w:val="nil"/>
            </w:tcBorders>
            <w:noWrap/>
            <w:vAlign w:val="center"/>
          </w:tcPr>
          <w:p w14:paraId="053FC199" w14:textId="546844FB" w:rsidR="00B142E6" w:rsidRPr="00F65403" w:rsidRDefault="00B142E6" w:rsidP="00B142E6">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Net debt</w:t>
            </w:r>
            <w:r>
              <w:rPr>
                <w:rFonts w:eastAsia="Times New Roman" w:cs="Arial"/>
                <w:b/>
                <w:bCs/>
                <w:color w:val="000000"/>
                <w:sz w:val="20"/>
                <w:szCs w:val="20"/>
                <w:lang w:eastAsia="en-AU"/>
              </w:rPr>
              <w:t xml:space="preserve"> </w:t>
            </w:r>
            <w:r w:rsidRPr="00F65403">
              <w:rPr>
                <w:rFonts w:eastAsia="Times New Roman" w:cs="Arial"/>
                <w:b/>
                <w:bCs/>
                <w:color w:val="000000"/>
                <w:sz w:val="20"/>
                <w:szCs w:val="20"/>
                <w:lang w:eastAsia="en-AU"/>
              </w:rPr>
              <w:t>/</w:t>
            </w:r>
            <w:r>
              <w:rPr>
                <w:rFonts w:eastAsia="Times New Roman" w:cs="Arial"/>
                <w:b/>
                <w:bCs/>
                <w:color w:val="000000"/>
                <w:sz w:val="20"/>
                <w:szCs w:val="20"/>
                <w:lang w:eastAsia="en-AU"/>
              </w:rPr>
              <w:t xml:space="preserve"> </w:t>
            </w:r>
            <w:r w:rsidRPr="00F65403">
              <w:rPr>
                <w:rFonts w:eastAsia="Times New Roman" w:cs="Arial"/>
                <w:b/>
                <w:bCs/>
                <w:color w:val="000000"/>
                <w:sz w:val="20"/>
                <w:szCs w:val="20"/>
                <w:lang w:eastAsia="en-AU"/>
              </w:rPr>
              <w:t>(net cash)</w:t>
            </w:r>
          </w:p>
        </w:tc>
        <w:tc>
          <w:tcPr>
            <w:tcW w:w="698" w:type="pct"/>
            <w:tcBorders>
              <w:top w:val="single" w:sz="4" w:space="0" w:color="auto"/>
              <w:left w:val="nil"/>
              <w:bottom w:val="single" w:sz="4" w:space="0" w:color="auto"/>
              <w:right w:val="nil"/>
            </w:tcBorders>
            <w:vAlign w:val="bottom"/>
          </w:tcPr>
          <w:p w14:paraId="79F2D0F0" w14:textId="354EA233" w:rsidR="00B142E6" w:rsidRPr="00B142E6" w:rsidRDefault="00B142E6"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(347,</w:t>
            </w:r>
            <w:r w:rsidR="002826B4" w:rsidRPr="00B142E6">
              <w:rPr>
                <w:rFonts w:eastAsia="Times New Roman" w:cs="Arial"/>
                <w:b/>
                <w:bCs/>
                <w:sz w:val="20"/>
                <w:szCs w:val="20"/>
                <w:lang w:eastAsia="en-AU"/>
              </w:rPr>
              <w:t>08</w:t>
            </w:r>
            <w:r w:rsidR="002826B4">
              <w:rPr>
                <w:rFonts w:eastAsia="Times New Roman" w:cs="Arial"/>
                <w:b/>
                <w:bCs/>
                <w:sz w:val="20"/>
                <w:szCs w:val="20"/>
                <w:lang w:eastAsia="en-AU"/>
              </w:rPr>
              <w:t>1</w:t>
            </w:r>
            <w:r w:rsidRPr="00B142E6">
              <w:rPr>
                <w:rFonts w:eastAsia="Times New Roman" w:cs="Arial"/>
                <w:b/>
                <w:bCs/>
                <w:sz w:val="20"/>
                <w:szCs w:val="20"/>
                <w:lang w:eastAsia="en-AU"/>
              </w:rPr>
              <w:t>)</w:t>
            </w:r>
          </w:p>
        </w:tc>
        <w:tc>
          <w:tcPr>
            <w:tcW w:w="698" w:type="pct"/>
            <w:tcBorders>
              <w:top w:val="single" w:sz="4" w:space="0" w:color="auto"/>
              <w:left w:val="nil"/>
              <w:bottom w:val="single" w:sz="4" w:space="0" w:color="auto"/>
              <w:right w:val="nil"/>
            </w:tcBorders>
            <w:vAlign w:val="bottom"/>
          </w:tcPr>
          <w:p w14:paraId="73467687" w14:textId="6A4B55A4" w:rsidR="00B142E6" w:rsidRPr="00B142E6" w:rsidRDefault="00B142E6"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(264,215)</w:t>
            </w:r>
          </w:p>
        </w:tc>
        <w:tc>
          <w:tcPr>
            <w:tcW w:w="697" w:type="pct"/>
            <w:tcBorders>
              <w:top w:val="single" w:sz="4" w:space="0" w:color="auto"/>
              <w:left w:val="nil"/>
              <w:bottom w:val="single" w:sz="4" w:space="0" w:color="auto"/>
              <w:right w:val="nil"/>
            </w:tcBorders>
            <w:vAlign w:val="bottom"/>
          </w:tcPr>
          <w:p w14:paraId="713E163F" w14:textId="24B15825" w:rsidR="00B142E6" w:rsidRPr="00B142E6" w:rsidRDefault="00B142E6"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(82,86</w:t>
            </w:r>
            <w:r w:rsidR="007A49B5">
              <w:rPr>
                <w:rFonts w:eastAsia="Times New Roman" w:cs="Arial"/>
                <w:b/>
                <w:bCs/>
                <w:sz w:val="20"/>
                <w:szCs w:val="20"/>
                <w:lang w:eastAsia="en-AU"/>
              </w:rPr>
              <w:t>6</w:t>
            </w:r>
            <w:r w:rsidRPr="00B142E6">
              <w:rPr>
                <w:rFonts w:eastAsia="Times New Roman" w:cs="Arial"/>
                <w:b/>
                <w:bCs/>
                <w:sz w:val="20"/>
                <w:szCs w:val="20"/>
                <w:lang w:eastAsia="en-AU"/>
              </w:rPr>
              <w:t>)</w:t>
            </w:r>
          </w:p>
        </w:tc>
      </w:tr>
      <w:tr w:rsidR="00B142E6" w:rsidRPr="00F65403" w14:paraId="2CB34FC6" w14:textId="77777777" w:rsidTr="00276EAB">
        <w:trPr>
          <w:trHeight w:val="300"/>
        </w:trPr>
        <w:tc>
          <w:tcPr>
            <w:tcW w:w="2906" w:type="pct"/>
            <w:tcBorders>
              <w:top w:val="nil"/>
              <w:left w:val="nil"/>
              <w:bottom w:val="nil"/>
              <w:right w:val="nil"/>
            </w:tcBorders>
            <w:noWrap/>
            <w:vAlign w:val="center"/>
          </w:tcPr>
          <w:p w14:paraId="45E4D059" w14:textId="01EFB77B" w:rsidR="00B142E6" w:rsidRPr="00F65403" w:rsidRDefault="00B142E6" w:rsidP="00B142E6">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Equity</w:t>
            </w:r>
          </w:p>
        </w:tc>
        <w:tc>
          <w:tcPr>
            <w:tcW w:w="698" w:type="pct"/>
            <w:tcBorders>
              <w:top w:val="single" w:sz="4" w:space="0" w:color="auto"/>
              <w:left w:val="nil"/>
              <w:bottom w:val="single" w:sz="4" w:space="0" w:color="auto"/>
              <w:right w:val="nil"/>
            </w:tcBorders>
            <w:vAlign w:val="bottom"/>
          </w:tcPr>
          <w:p w14:paraId="7619B202" w14:textId="428F4035" w:rsidR="00B142E6" w:rsidRPr="00B142E6" w:rsidRDefault="001C68B3" w:rsidP="00961567">
            <w:pPr>
              <w:tabs>
                <w:tab w:val="decimal" w:pos="1076"/>
              </w:tabs>
              <w:spacing w:after="0" w:line="240" w:lineRule="auto"/>
              <w:rPr>
                <w:rFonts w:eastAsia="Times New Roman" w:cs="Arial"/>
                <w:b/>
                <w:bCs/>
                <w:sz w:val="20"/>
                <w:szCs w:val="20"/>
                <w:lang w:eastAsia="en-AU"/>
              </w:rPr>
            </w:pPr>
            <w:r>
              <w:rPr>
                <w:rFonts w:eastAsia="Times New Roman" w:cs="Arial"/>
                <w:b/>
                <w:bCs/>
                <w:sz w:val="20"/>
                <w:szCs w:val="20"/>
                <w:lang w:eastAsia="en-AU"/>
              </w:rPr>
              <w:t>6</w:t>
            </w:r>
            <w:r w:rsidR="00C07542" w:rsidRPr="1F3AD29C">
              <w:rPr>
                <w:rFonts w:eastAsia="Times New Roman" w:cs="Arial"/>
                <w:b/>
                <w:bCs/>
                <w:sz w:val="20"/>
                <w:szCs w:val="20"/>
                <w:lang w:eastAsia="en-AU"/>
              </w:rPr>
              <w:t>75,730</w:t>
            </w:r>
          </w:p>
        </w:tc>
        <w:tc>
          <w:tcPr>
            <w:tcW w:w="698" w:type="pct"/>
            <w:tcBorders>
              <w:top w:val="single" w:sz="4" w:space="0" w:color="auto"/>
              <w:left w:val="nil"/>
              <w:bottom w:val="single" w:sz="4" w:space="0" w:color="auto"/>
              <w:right w:val="nil"/>
            </w:tcBorders>
            <w:vAlign w:val="bottom"/>
          </w:tcPr>
          <w:p w14:paraId="52CEE219" w14:textId="1D446A82" w:rsidR="00B142E6" w:rsidRPr="00B142E6" w:rsidRDefault="00B142E6" w:rsidP="00961567">
            <w:pPr>
              <w:tabs>
                <w:tab w:val="decimal" w:pos="1076"/>
              </w:tabs>
              <w:spacing w:after="0" w:line="240" w:lineRule="auto"/>
              <w:rPr>
                <w:rFonts w:eastAsia="Times New Roman" w:cs="Arial"/>
                <w:b/>
                <w:bCs/>
                <w:sz w:val="20"/>
                <w:szCs w:val="20"/>
                <w:lang w:eastAsia="en-AU"/>
              </w:rPr>
            </w:pPr>
            <w:r w:rsidRPr="00B142E6">
              <w:rPr>
                <w:rFonts w:eastAsia="Times New Roman" w:cs="Arial"/>
                <w:b/>
                <w:bCs/>
                <w:sz w:val="20"/>
                <w:szCs w:val="20"/>
                <w:lang w:eastAsia="en-AU"/>
              </w:rPr>
              <w:t>339,055</w:t>
            </w:r>
          </w:p>
        </w:tc>
        <w:tc>
          <w:tcPr>
            <w:tcW w:w="697" w:type="pct"/>
            <w:tcBorders>
              <w:top w:val="single" w:sz="4" w:space="0" w:color="auto"/>
              <w:left w:val="nil"/>
              <w:bottom w:val="single" w:sz="4" w:space="0" w:color="auto"/>
              <w:right w:val="nil"/>
            </w:tcBorders>
            <w:vAlign w:val="bottom"/>
          </w:tcPr>
          <w:p w14:paraId="65C4BE29" w14:textId="1FFD6352" w:rsidR="00B142E6" w:rsidRPr="00B142E6" w:rsidRDefault="00C07542" w:rsidP="00961567">
            <w:pPr>
              <w:tabs>
                <w:tab w:val="decimal" w:pos="1076"/>
              </w:tabs>
              <w:spacing w:after="0" w:line="240" w:lineRule="auto"/>
              <w:rPr>
                <w:rFonts w:eastAsia="Times New Roman" w:cs="Arial"/>
                <w:b/>
                <w:bCs/>
                <w:sz w:val="20"/>
                <w:szCs w:val="20"/>
                <w:lang w:eastAsia="en-AU"/>
              </w:rPr>
            </w:pPr>
            <w:r w:rsidRPr="1F3AD29C">
              <w:rPr>
                <w:rFonts w:eastAsia="Times New Roman" w:cs="Arial"/>
                <w:b/>
                <w:bCs/>
                <w:sz w:val="20"/>
                <w:szCs w:val="20"/>
                <w:lang w:eastAsia="en-AU"/>
              </w:rPr>
              <w:t>336,675</w:t>
            </w:r>
          </w:p>
        </w:tc>
      </w:tr>
    </w:tbl>
    <w:p w14:paraId="7D5A4F01" w14:textId="76ED21A5" w:rsidR="009A2E41" w:rsidRPr="00F65403" w:rsidRDefault="005552F4" w:rsidP="00E678B4">
      <w:r>
        <w:br/>
      </w:r>
      <w:r w:rsidR="00E678B4" w:rsidRPr="00F65403">
        <w:t>Approved funding contributions of $344 million for the reporting period were received from the state government</w:t>
      </w:r>
      <w:r w:rsidR="009A2E41" w:rsidRPr="00F65403">
        <w:t xml:space="preserve"> (2024: $</w:t>
      </w:r>
      <w:r w:rsidR="00C07542" w:rsidRPr="00F65403">
        <w:t>3</w:t>
      </w:r>
      <w:r w:rsidR="00C07542">
        <w:t>3</w:t>
      </w:r>
      <w:r w:rsidR="00C07542" w:rsidRPr="00F65403">
        <w:t xml:space="preserve">6 </w:t>
      </w:r>
      <w:r w:rsidR="009A2E41" w:rsidRPr="00F65403">
        <w:t>million)</w:t>
      </w:r>
      <w:r w:rsidR="00E678B4" w:rsidRPr="00F65403">
        <w:t xml:space="preserve">, allowing SEC to commit to its second major project, </w:t>
      </w:r>
      <w:r w:rsidR="00456C48" w:rsidRPr="00F65403">
        <w:t xml:space="preserve">SEC </w:t>
      </w:r>
      <w:r w:rsidR="00E678B4" w:rsidRPr="00F65403">
        <w:t xml:space="preserve">Renewable Energy Park </w:t>
      </w:r>
      <w:r w:rsidR="00104757">
        <w:t>-</w:t>
      </w:r>
      <w:r w:rsidR="00456C48" w:rsidRPr="00F65403">
        <w:t xml:space="preserve"> Horsham</w:t>
      </w:r>
      <w:r w:rsidR="009E6F79" w:rsidRPr="00F65403">
        <w:t xml:space="preserve"> (Horsham)</w:t>
      </w:r>
      <w:r w:rsidR="00E678B4" w:rsidRPr="00F65403">
        <w:t>.</w:t>
      </w:r>
    </w:p>
    <w:p w14:paraId="5EBE032F" w14:textId="0C9F1703" w:rsidR="00E678B4" w:rsidRPr="00F65403" w:rsidRDefault="00C97ADE" w:rsidP="00E678B4">
      <w:r w:rsidRPr="00F65403">
        <w:t xml:space="preserve">The </w:t>
      </w:r>
      <w:r w:rsidR="009E6F79" w:rsidRPr="00F65403">
        <w:t xml:space="preserve">capital estimate for </w:t>
      </w:r>
      <w:r w:rsidR="00E22CFF" w:rsidRPr="00F65403">
        <w:t xml:space="preserve">Horsham is $370 million </w:t>
      </w:r>
      <w:r w:rsidR="00546177" w:rsidRPr="00F65403">
        <w:t xml:space="preserve">which will be funded through a combination of </w:t>
      </w:r>
      <w:r w:rsidR="00747A38" w:rsidRPr="00F65403">
        <w:t xml:space="preserve">equity and debt. </w:t>
      </w:r>
      <w:r w:rsidR="00EB5833" w:rsidRPr="00F65403">
        <w:t>A</w:t>
      </w:r>
      <w:r w:rsidR="00F84616" w:rsidRPr="00F65403">
        <w:t xml:space="preserve"> multi</w:t>
      </w:r>
      <w:r w:rsidR="005E79D7" w:rsidRPr="00F65403">
        <w:t xml:space="preserve"> option loan facility was entered into </w:t>
      </w:r>
      <w:r w:rsidR="00260E19" w:rsidRPr="00F65403">
        <w:t xml:space="preserve">during the year </w:t>
      </w:r>
      <w:r w:rsidR="00215ECC" w:rsidRPr="00F65403">
        <w:t xml:space="preserve">between SEC and </w:t>
      </w:r>
      <w:r w:rsidR="00061E78" w:rsidRPr="00F65403">
        <w:t xml:space="preserve">Treasury Corporation of Victoria </w:t>
      </w:r>
      <w:r w:rsidR="00F61D96" w:rsidRPr="00F65403">
        <w:t>with a</w:t>
      </w:r>
      <w:r w:rsidR="00533935" w:rsidRPr="00F65403">
        <w:t xml:space="preserve">n approved limit of </w:t>
      </w:r>
      <w:r w:rsidR="00C05CFB" w:rsidRPr="00F65403">
        <w:t>$2</w:t>
      </w:r>
      <w:r w:rsidR="00045368">
        <w:t>33.8</w:t>
      </w:r>
      <w:r w:rsidR="00C05CFB" w:rsidRPr="00F65403">
        <w:t xml:space="preserve"> million</w:t>
      </w:r>
      <w:r w:rsidR="002A1A55" w:rsidRPr="00F65403">
        <w:t xml:space="preserve">. No amounts have been drawn on this loan facility at 30 June 2025. Refer to </w:t>
      </w:r>
      <w:r w:rsidR="007A49B5">
        <w:t>N</w:t>
      </w:r>
      <w:r w:rsidR="002A1A55" w:rsidRPr="00F65403">
        <w:t xml:space="preserve">ote </w:t>
      </w:r>
      <w:r w:rsidR="00045368">
        <w:t>10</w:t>
      </w:r>
      <w:r w:rsidR="002A1A55" w:rsidRPr="00F65403">
        <w:t xml:space="preserve"> in the accompanying financial statements for further information.</w:t>
      </w:r>
      <w:r w:rsidR="00C05CFB" w:rsidRPr="00F65403">
        <w:t xml:space="preserve"> </w:t>
      </w:r>
    </w:p>
    <w:p w14:paraId="442B5D29" w14:textId="5D74A3D5" w:rsidR="00493874" w:rsidRPr="00F65403" w:rsidRDefault="12B11524" w:rsidP="715E2D1C">
      <w:pPr>
        <w:pStyle w:val="Heading4"/>
        <w:rPr>
          <w:rFonts w:hint="eastAsia"/>
        </w:rPr>
      </w:pPr>
      <w:r>
        <w:t>Liquidity</w:t>
      </w:r>
    </w:p>
    <w:p w14:paraId="5C920707" w14:textId="032B48EA" w:rsidR="00137E53" w:rsidRDefault="00F66D8B" w:rsidP="00137E53">
      <w:r>
        <w:t>At 30 June 2025</w:t>
      </w:r>
      <w:r w:rsidR="00B97E98">
        <w:t>, the Group had $</w:t>
      </w:r>
      <w:r w:rsidR="00A45EF5">
        <w:t xml:space="preserve">356.3 </w:t>
      </w:r>
      <w:r w:rsidR="00C35874">
        <w:t>million</w:t>
      </w:r>
      <w:r w:rsidR="006F600E">
        <w:t xml:space="preserve"> of </w:t>
      </w:r>
      <w:r w:rsidR="00C35874">
        <w:t>liquidity available</w:t>
      </w:r>
      <w:r w:rsidR="00CE6514">
        <w:t xml:space="preserve"> in the form of cash on hand</w:t>
      </w:r>
      <w:r w:rsidR="00817E16">
        <w:t>. Total debt was $</w:t>
      </w:r>
      <w:r w:rsidR="00A45EF5">
        <w:t>9.2</w:t>
      </w:r>
      <w:r w:rsidR="00817E16">
        <w:t xml:space="preserve"> million </w:t>
      </w:r>
      <w:r w:rsidR="005477BB">
        <w:t xml:space="preserve">and </w:t>
      </w:r>
      <w:r w:rsidR="00781D2B">
        <w:t xml:space="preserve">solely comprised lease liabilities. </w:t>
      </w:r>
      <w:r w:rsidR="00C35874">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5145"/>
        <w:gridCol w:w="1294"/>
        <w:gridCol w:w="1294"/>
        <w:gridCol w:w="1293"/>
      </w:tblGrid>
      <w:tr w:rsidR="0099058D" w:rsidRPr="0099058D" w14:paraId="7892D24F" w14:textId="77777777" w:rsidTr="00D85010">
        <w:trPr>
          <w:trHeight w:val="300"/>
          <w:jc w:val="center"/>
        </w:trPr>
        <w:tc>
          <w:tcPr>
            <w:tcW w:w="2850" w:type="pct"/>
            <w:tcBorders>
              <w:top w:val="nil"/>
              <w:left w:val="nil"/>
              <w:bottom w:val="nil"/>
              <w:right w:val="nil"/>
            </w:tcBorders>
            <w:noWrap/>
            <w:vAlign w:val="bottom"/>
            <w:hideMark/>
          </w:tcPr>
          <w:p w14:paraId="567A8162" w14:textId="09E86F08" w:rsidR="00844469" w:rsidRPr="00F65403" w:rsidRDefault="00844469">
            <w:pPr>
              <w:spacing w:after="0" w:line="240" w:lineRule="auto"/>
              <w:rPr>
                <w:rFonts w:eastAsia="Times New Roman" w:cs="Arial"/>
                <w:b/>
                <w:color w:val="000000"/>
                <w:sz w:val="20"/>
                <w:szCs w:val="20"/>
                <w:lang w:eastAsia="en-AU"/>
              </w:rPr>
            </w:pPr>
          </w:p>
        </w:tc>
        <w:tc>
          <w:tcPr>
            <w:tcW w:w="717" w:type="pct"/>
            <w:tcBorders>
              <w:top w:val="nil"/>
              <w:left w:val="nil"/>
              <w:bottom w:val="nil"/>
              <w:right w:val="nil"/>
            </w:tcBorders>
            <w:vAlign w:val="bottom"/>
            <w:hideMark/>
          </w:tcPr>
          <w:p w14:paraId="24E020AF" w14:textId="0B7A1536" w:rsidR="00844469" w:rsidRPr="00F65403" w:rsidRDefault="00370AE2"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Year ended 30 June 2025</w:t>
            </w:r>
          </w:p>
        </w:tc>
        <w:tc>
          <w:tcPr>
            <w:tcW w:w="717" w:type="pct"/>
            <w:tcBorders>
              <w:top w:val="nil"/>
              <w:left w:val="nil"/>
              <w:bottom w:val="nil"/>
              <w:right w:val="nil"/>
            </w:tcBorders>
            <w:vAlign w:val="bottom"/>
            <w:hideMark/>
          </w:tcPr>
          <w:p w14:paraId="4552A9AC" w14:textId="54C5C14A" w:rsidR="00844469" w:rsidRPr="00F65403" w:rsidRDefault="00370AE2"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c>
          <w:tcPr>
            <w:tcW w:w="716" w:type="pct"/>
            <w:tcBorders>
              <w:top w:val="nil"/>
              <w:left w:val="nil"/>
              <w:bottom w:val="nil"/>
              <w:right w:val="nil"/>
            </w:tcBorders>
            <w:vAlign w:val="bottom"/>
            <w:hideMark/>
          </w:tcPr>
          <w:p w14:paraId="0F440BFF" w14:textId="1024EDE6" w:rsidR="00844469" w:rsidRPr="00F65403" w:rsidRDefault="00370AE2"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Change</w:t>
            </w:r>
          </w:p>
        </w:tc>
      </w:tr>
      <w:tr w:rsidR="0099058D" w:rsidRPr="0099058D" w14:paraId="791F8F6B" w14:textId="77777777" w:rsidTr="00D85010">
        <w:trPr>
          <w:trHeight w:val="300"/>
          <w:jc w:val="center"/>
        </w:trPr>
        <w:tc>
          <w:tcPr>
            <w:tcW w:w="2850" w:type="pct"/>
            <w:tcBorders>
              <w:top w:val="nil"/>
              <w:left w:val="nil"/>
              <w:bottom w:val="nil"/>
              <w:right w:val="nil"/>
            </w:tcBorders>
            <w:noWrap/>
            <w:vAlign w:val="center"/>
            <w:hideMark/>
          </w:tcPr>
          <w:p w14:paraId="339B1045" w14:textId="77777777" w:rsidR="00844469" w:rsidRPr="00F65403" w:rsidRDefault="00844469">
            <w:pPr>
              <w:spacing w:after="0" w:line="240" w:lineRule="auto"/>
              <w:jc w:val="right"/>
              <w:rPr>
                <w:rFonts w:eastAsia="Times New Roman" w:cs="Arial"/>
                <w:b/>
                <w:color w:val="000000"/>
                <w:sz w:val="20"/>
                <w:szCs w:val="20"/>
                <w:lang w:eastAsia="en-AU"/>
              </w:rPr>
            </w:pPr>
          </w:p>
        </w:tc>
        <w:tc>
          <w:tcPr>
            <w:tcW w:w="717" w:type="pct"/>
            <w:tcBorders>
              <w:top w:val="nil"/>
              <w:left w:val="nil"/>
              <w:bottom w:val="nil"/>
              <w:right w:val="nil"/>
            </w:tcBorders>
            <w:vAlign w:val="bottom"/>
            <w:hideMark/>
          </w:tcPr>
          <w:p w14:paraId="5037F963" w14:textId="6B19B31C" w:rsidR="00844469" w:rsidRPr="00F65403" w:rsidRDefault="00AD2ACD"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17" w:type="pct"/>
            <w:tcBorders>
              <w:top w:val="nil"/>
              <w:left w:val="nil"/>
              <w:bottom w:val="nil"/>
              <w:right w:val="nil"/>
            </w:tcBorders>
            <w:vAlign w:val="bottom"/>
            <w:hideMark/>
          </w:tcPr>
          <w:p w14:paraId="0E6734FE" w14:textId="16ED99BC" w:rsidR="00844469" w:rsidRPr="00F65403" w:rsidRDefault="00AD2ACD"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16" w:type="pct"/>
            <w:tcBorders>
              <w:top w:val="nil"/>
              <w:left w:val="nil"/>
              <w:bottom w:val="nil"/>
              <w:right w:val="nil"/>
            </w:tcBorders>
            <w:vAlign w:val="bottom"/>
            <w:hideMark/>
          </w:tcPr>
          <w:p w14:paraId="2868A893" w14:textId="1C6038F0" w:rsidR="00844469" w:rsidRPr="00F65403" w:rsidRDefault="00AD2ACD" w:rsidP="00D15B7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C100E8" w:rsidRPr="0099058D" w14:paraId="285C65D9" w14:textId="77777777" w:rsidTr="00D85010">
        <w:trPr>
          <w:trHeight w:val="300"/>
          <w:jc w:val="center"/>
        </w:trPr>
        <w:tc>
          <w:tcPr>
            <w:tcW w:w="2850" w:type="pct"/>
            <w:tcBorders>
              <w:top w:val="nil"/>
              <w:left w:val="nil"/>
              <w:bottom w:val="nil"/>
              <w:right w:val="nil"/>
            </w:tcBorders>
            <w:noWrap/>
            <w:vAlign w:val="center"/>
            <w:hideMark/>
          </w:tcPr>
          <w:p w14:paraId="4ACDF495" w14:textId="10AC35BD" w:rsidR="00C100E8" w:rsidRPr="00F65403" w:rsidRDefault="00C100E8" w:rsidP="00C100E8">
            <w:pPr>
              <w:spacing w:after="0" w:line="240" w:lineRule="auto"/>
              <w:rPr>
                <w:rFonts w:eastAsia="Times New Roman" w:cs="Arial"/>
                <w:color w:val="000000"/>
                <w:sz w:val="20"/>
                <w:szCs w:val="20"/>
                <w:lang w:eastAsia="en-AU"/>
              </w:rPr>
            </w:pPr>
            <w:r w:rsidRPr="5C8FDC64">
              <w:rPr>
                <w:rFonts w:cs="Arial"/>
                <w:color w:val="000000" w:themeColor="text1"/>
                <w:sz w:val="20"/>
                <w:szCs w:val="20"/>
              </w:rPr>
              <w:t>Net cash (used in)</w:t>
            </w:r>
            <w:r w:rsidR="00F65DC6" w:rsidRPr="5C8FDC64">
              <w:rPr>
                <w:rFonts w:cs="Arial"/>
                <w:color w:val="000000" w:themeColor="text1"/>
                <w:sz w:val="20"/>
                <w:szCs w:val="20"/>
              </w:rPr>
              <w:t>/from</w:t>
            </w:r>
            <w:r w:rsidRPr="5C8FDC64">
              <w:rPr>
                <w:rFonts w:cs="Arial"/>
                <w:color w:val="000000" w:themeColor="text1"/>
                <w:sz w:val="20"/>
                <w:szCs w:val="20"/>
              </w:rPr>
              <w:t xml:space="preserve"> operating activities</w:t>
            </w:r>
          </w:p>
        </w:tc>
        <w:tc>
          <w:tcPr>
            <w:tcW w:w="717" w:type="pct"/>
            <w:tcBorders>
              <w:top w:val="nil"/>
              <w:left w:val="nil"/>
              <w:bottom w:val="nil"/>
              <w:right w:val="nil"/>
            </w:tcBorders>
            <w:vAlign w:val="bottom"/>
          </w:tcPr>
          <w:p w14:paraId="0258019A" w14:textId="4E4274D4"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(64,</w:t>
            </w:r>
            <w:r w:rsidR="004558D6" w:rsidRPr="00C100E8">
              <w:rPr>
                <w:sz w:val="20"/>
                <w:szCs w:val="18"/>
              </w:rPr>
              <w:t>74</w:t>
            </w:r>
            <w:r w:rsidR="004558D6">
              <w:rPr>
                <w:sz w:val="20"/>
                <w:szCs w:val="18"/>
              </w:rPr>
              <w:t>7</w:t>
            </w:r>
            <w:r w:rsidRPr="00C100E8">
              <w:rPr>
                <w:sz w:val="20"/>
                <w:szCs w:val="18"/>
              </w:rPr>
              <w:t>)</w:t>
            </w:r>
          </w:p>
        </w:tc>
        <w:tc>
          <w:tcPr>
            <w:tcW w:w="717" w:type="pct"/>
            <w:tcBorders>
              <w:top w:val="nil"/>
              <w:left w:val="nil"/>
              <w:bottom w:val="nil"/>
              <w:right w:val="nil"/>
            </w:tcBorders>
            <w:vAlign w:val="bottom"/>
          </w:tcPr>
          <w:p w14:paraId="05421597" w14:textId="228DD701"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1,310</w:t>
            </w:r>
          </w:p>
        </w:tc>
        <w:tc>
          <w:tcPr>
            <w:tcW w:w="716" w:type="pct"/>
            <w:tcBorders>
              <w:top w:val="nil"/>
              <w:left w:val="nil"/>
              <w:bottom w:val="nil"/>
              <w:right w:val="nil"/>
            </w:tcBorders>
            <w:vAlign w:val="bottom"/>
          </w:tcPr>
          <w:p w14:paraId="5342EE84" w14:textId="6688BF55" w:rsidR="00C100E8" w:rsidRPr="00C100E8" w:rsidRDefault="00C100E8" w:rsidP="00C100E8">
            <w:pPr>
              <w:tabs>
                <w:tab w:val="decimal" w:pos="1085"/>
              </w:tabs>
              <w:spacing w:after="0" w:line="240" w:lineRule="auto"/>
              <w:rPr>
                <w:rFonts w:eastAsia="Times New Roman" w:cs="Arial"/>
                <w:color w:val="000000"/>
                <w:sz w:val="20"/>
                <w:szCs w:val="18"/>
                <w:lang w:eastAsia="en-AU"/>
              </w:rPr>
            </w:pPr>
            <w:r w:rsidRPr="00C100E8">
              <w:rPr>
                <w:sz w:val="20"/>
                <w:szCs w:val="18"/>
              </w:rPr>
              <w:t>(66,</w:t>
            </w:r>
            <w:r w:rsidR="004558D6" w:rsidRPr="00C100E8">
              <w:rPr>
                <w:sz w:val="20"/>
                <w:szCs w:val="18"/>
              </w:rPr>
              <w:t>05</w:t>
            </w:r>
            <w:r w:rsidR="004558D6">
              <w:rPr>
                <w:sz w:val="20"/>
                <w:szCs w:val="18"/>
              </w:rPr>
              <w:t>7</w:t>
            </w:r>
            <w:r w:rsidRPr="00C100E8">
              <w:rPr>
                <w:sz w:val="20"/>
                <w:szCs w:val="18"/>
              </w:rPr>
              <w:t>)</w:t>
            </w:r>
          </w:p>
        </w:tc>
      </w:tr>
      <w:tr w:rsidR="00C100E8" w:rsidRPr="0099058D" w14:paraId="01E325DB" w14:textId="77777777" w:rsidTr="00D85010">
        <w:trPr>
          <w:trHeight w:val="300"/>
          <w:jc w:val="center"/>
        </w:trPr>
        <w:tc>
          <w:tcPr>
            <w:tcW w:w="2850" w:type="pct"/>
            <w:tcBorders>
              <w:top w:val="nil"/>
              <w:left w:val="nil"/>
              <w:bottom w:val="nil"/>
              <w:right w:val="nil"/>
            </w:tcBorders>
            <w:noWrap/>
            <w:vAlign w:val="center"/>
            <w:hideMark/>
          </w:tcPr>
          <w:p w14:paraId="7BBC070D" w14:textId="1CB98013" w:rsidR="00C100E8" w:rsidRPr="00D85010" w:rsidRDefault="00C100E8" w:rsidP="00C100E8">
            <w:pPr>
              <w:spacing w:after="0" w:line="240" w:lineRule="auto"/>
              <w:rPr>
                <w:rFonts w:eastAsia="Times New Roman" w:cs="Arial"/>
                <w:i/>
                <w:iCs/>
                <w:color w:val="000000"/>
                <w:sz w:val="20"/>
                <w:szCs w:val="20"/>
                <w:lang w:eastAsia="en-AU"/>
              </w:rPr>
            </w:pPr>
            <w:r w:rsidRPr="00D85010">
              <w:rPr>
                <w:rFonts w:cs="Arial"/>
                <w:i/>
                <w:iCs/>
                <w:color w:val="000000"/>
                <w:sz w:val="20"/>
                <w:szCs w:val="20"/>
              </w:rPr>
              <w:t>Net cash used in investing activities</w:t>
            </w:r>
          </w:p>
        </w:tc>
        <w:tc>
          <w:tcPr>
            <w:tcW w:w="717" w:type="pct"/>
            <w:tcBorders>
              <w:top w:val="nil"/>
              <w:left w:val="nil"/>
              <w:bottom w:val="nil"/>
              <w:right w:val="nil"/>
            </w:tcBorders>
            <w:vAlign w:val="bottom"/>
          </w:tcPr>
          <w:p w14:paraId="57C14591" w14:textId="77777777" w:rsidR="00C100E8" w:rsidRPr="00C100E8" w:rsidRDefault="00C100E8" w:rsidP="00C100E8">
            <w:pPr>
              <w:tabs>
                <w:tab w:val="decimal" w:pos="1085"/>
              </w:tabs>
              <w:spacing w:after="0" w:line="240" w:lineRule="auto"/>
              <w:rPr>
                <w:rFonts w:eastAsia="Times New Roman" w:cs="Arial"/>
                <w:sz w:val="20"/>
                <w:szCs w:val="18"/>
                <w:lang w:eastAsia="en-AU"/>
              </w:rPr>
            </w:pPr>
          </w:p>
        </w:tc>
        <w:tc>
          <w:tcPr>
            <w:tcW w:w="717" w:type="pct"/>
            <w:tcBorders>
              <w:top w:val="nil"/>
              <w:left w:val="nil"/>
              <w:bottom w:val="nil"/>
              <w:right w:val="nil"/>
            </w:tcBorders>
            <w:vAlign w:val="bottom"/>
          </w:tcPr>
          <w:p w14:paraId="2C96C297" w14:textId="68C88E55" w:rsidR="00C100E8" w:rsidRPr="00C100E8" w:rsidRDefault="00C100E8" w:rsidP="00C100E8">
            <w:pPr>
              <w:tabs>
                <w:tab w:val="decimal" w:pos="1085"/>
              </w:tabs>
              <w:spacing w:after="0" w:line="240" w:lineRule="auto"/>
              <w:rPr>
                <w:rFonts w:eastAsia="Times New Roman" w:cs="Arial"/>
                <w:sz w:val="20"/>
                <w:szCs w:val="18"/>
                <w:lang w:eastAsia="en-AU"/>
              </w:rPr>
            </w:pPr>
          </w:p>
        </w:tc>
        <w:tc>
          <w:tcPr>
            <w:tcW w:w="716" w:type="pct"/>
            <w:tcBorders>
              <w:top w:val="nil"/>
              <w:left w:val="nil"/>
              <w:bottom w:val="nil"/>
              <w:right w:val="nil"/>
            </w:tcBorders>
            <w:vAlign w:val="bottom"/>
          </w:tcPr>
          <w:p w14:paraId="2EB3D873" w14:textId="193ECA89" w:rsidR="00C100E8" w:rsidRPr="00C100E8" w:rsidRDefault="00C100E8" w:rsidP="00C100E8">
            <w:pPr>
              <w:tabs>
                <w:tab w:val="decimal" w:pos="1085"/>
              </w:tabs>
              <w:spacing w:after="0" w:line="240" w:lineRule="auto"/>
              <w:rPr>
                <w:rFonts w:eastAsia="Times New Roman" w:cs="Arial"/>
                <w:color w:val="000000"/>
                <w:sz w:val="20"/>
                <w:szCs w:val="18"/>
                <w:lang w:eastAsia="en-AU"/>
              </w:rPr>
            </w:pPr>
          </w:p>
        </w:tc>
      </w:tr>
      <w:tr w:rsidR="00C100E8" w:rsidRPr="00F65403" w14:paraId="32648450" w14:textId="77777777" w:rsidTr="00D85010">
        <w:trPr>
          <w:trHeight w:val="300"/>
          <w:jc w:val="center"/>
        </w:trPr>
        <w:tc>
          <w:tcPr>
            <w:tcW w:w="2850" w:type="pct"/>
            <w:tcBorders>
              <w:top w:val="nil"/>
              <w:left w:val="nil"/>
              <w:bottom w:val="nil"/>
              <w:right w:val="nil"/>
            </w:tcBorders>
            <w:noWrap/>
            <w:vAlign w:val="center"/>
          </w:tcPr>
          <w:p w14:paraId="115730BA" w14:textId="4A903C36" w:rsidR="00C100E8" w:rsidRPr="00F65403" w:rsidRDefault="00C100E8" w:rsidP="00C100E8">
            <w:pPr>
              <w:spacing w:after="0" w:line="240" w:lineRule="auto"/>
              <w:rPr>
                <w:rFonts w:cs="Arial"/>
                <w:color w:val="000000"/>
                <w:sz w:val="20"/>
                <w:szCs w:val="20"/>
              </w:rPr>
            </w:pPr>
            <w:r w:rsidRPr="00F65403">
              <w:rPr>
                <w:rFonts w:cs="Arial"/>
                <w:color w:val="000000"/>
                <w:sz w:val="20"/>
                <w:szCs w:val="20"/>
              </w:rPr>
              <w:t>- payments for investment in MREH</w:t>
            </w:r>
          </w:p>
        </w:tc>
        <w:tc>
          <w:tcPr>
            <w:tcW w:w="717" w:type="pct"/>
            <w:tcBorders>
              <w:top w:val="nil"/>
              <w:left w:val="nil"/>
              <w:bottom w:val="nil"/>
              <w:right w:val="nil"/>
            </w:tcBorders>
            <w:vAlign w:val="bottom"/>
          </w:tcPr>
          <w:p w14:paraId="58F51B2C" w14:textId="0208D01E"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(119,600)</w:t>
            </w:r>
          </w:p>
        </w:tc>
        <w:tc>
          <w:tcPr>
            <w:tcW w:w="717" w:type="pct"/>
            <w:tcBorders>
              <w:top w:val="nil"/>
              <w:left w:val="nil"/>
              <w:bottom w:val="nil"/>
              <w:right w:val="nil"/>
            </w:tcBorders>
            <w:vAlign w:val="bottom"/>
          </w:tcPr>
          <w:p w14:paraId="4E204B63" w14:textId="47F6F1E9" w:rsidR="00C100E8" w:rsidRPr="00C100E8" w:rsidRDefault="00C100E8" w:rsidP="00C100E8">
            <w:pPr>
              <w:tabs>
                <w:tab w:val="decimal" w:pos="1085"/>
              </w:tabs>
              <w:spacing w:after="0" w:line="240" w:lineRule="auto"/>
              <w:rPr>
                <w:rFonts w:cs="Arial"/>
                <w:sz w:val="20"/>
                <w:szCs w:val="18"/>
              </w:rPr>
            </w:pPr>
            <w:r w:rsidRPr="00C100E8">
              <w:rPr>
                <w:sz w:val="20"/>
                <w:szCs w:val="18"/>
              </w:rPr>
              <w:t>(73,095)</w:t>
            </w:r>
          </w:p>
        </w:tc>
        <w:tc>
          <w:tcPr>
            <w:tcW w:w="716" w:type="pct"/>
            <w:tcBorders>
              <w:top w:val="nil"/>
              <w:left w:val="nil"/>
              <w:bottom w:val="nil"/>
              <w:right w:val="nil"/>
            </w:tcBorders>
            <w:vAlign w:val="bottom"/>
          </w:tcPr>
          <w:p w14:paraId="47F8FE17" w14:textId="67AB6018" w:rsidR="00C100E8" w:rsidRPr="00C100E8" w:rsidRDefault="00C100E8" w:rsidP="00C100E8">
            <w:pPr>
              <w:tabs>
                <w:tab w:val="decimal" w:pos="1085"/>
              </w:tabs>
              <w:spacing w:after="0" w:line="240" w:lineRule="auto"/>
              <w:rPr>
                <w:rFonts w:eastAsia="Times New Roman" w:cs="Arial"/>
                <w:color w:val="000000"/>
                <w:sz w:val="20"/>
                <w:szCs w:val="18"/>
                <w:lang w:eastAsia="en-AU"/>
              </w:rPr>
            </w:pPr>
            <w:r w:rsidRPr="00C100E8">
              <w:rPr>
                <w:sz w:val="20"/>
                <w:szCs w:val="18"/>
              </w:rPr>
              <w:t>(46,505)</w:t>
            </w:r>
          </w:p>
        </w:tc>
      </w:tr>
      <w:tr w:rsidR="00C100E8" w:rsidRPr="00F65403" w14:paraId="1B70CA72" w14:textId="77777777" w:rsidTr="00D85010">
        <w:trPr>
          <w:trHeight w:val="300"/>
          <w:jc w:val="center"/>
        </w:trPr>
        <w:tc>
          <w:tcPr>
            <w:tcW w:w="2850" w:type="pct"/>
            <w:tcBorders>
              <w:top w:val="nil"/>
              <w:left w:val="nil"/>
              <w:bottom w:val="nil"/>
              <w:right w:val="nil"/>
            </w:tcBorders>
            <w:noWrap/>
            <w:vAlign w:val="center"/>
          </w:tcPr>
          <w:p w14:paraId="1CBBE2BD" w14:textId="1A62ADE0" w:rsidR="00C100E8" w:rsidRPr="00F65403" w:rsidRDefault="00C100E8" w:rsidP="00C100E8">
            <w:pPr>
              <w:spacing w:after="0" w:line="240" w:lineRule="auto"/>
              <w:rPr>
                <w:rFonts w:cs="Arial"/>
                <w:color w:val="000000"/>
                <w:sz w:val="20"/>
                <w:szCs w:val="20"/>
              </w:rPr>
            </w:pPr>
            <w:r w:rsidRPr="00F65403">
              <w:rPr>
                <w:rFonts w:cs="Arial"/>
                <w:color w:val="000000"/>
                <w:sz w:val="20"/>
                <w:szCs w:val="20"/>
              </w:rPr>
              <w:t>- capital expenditure on Horsham</w:t>
            </w:r>
          </w:p>
        </w:tc>
        <w:tc>
          <w:tcPr>
            <w:tcW w:w="717" w:type="pct"/>
            <w:tcBorders>
              <w:top w:val="nil"/>
              <w:left w:val="nil"/>
              <w:bottom w:val="single" w:sz="4" w:space="0" w:color="auto"/>
              <w:right w:val="nil"/>
            </w:tcBorders>
            <w:vAlign w:val="bottom"/>
          </w:tcPr>
          <w:p w14:paraId="6EF6303E" w14:textId="27210350"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(67,56</w:t>
            </w:r>
            <w:r w:rsidR="0046292D">
              <w:rPr>
                <w:sz w:val="20"/>
                <w:szCs w:val="18"/>
              </w:rPr>
              <w:t>8</w:t>
            </w:r>
            <w:r w:rsidRPr="00C100E8">
              <w:rPr>
                <w:sz w:val="20"/>
                <w:szCs w:val="18"/>
              </w:rPr>
              <w:t>)</w:t>
            </w:r>
          </w:p>
        </w:tc>
        <w:tc>
          <w:tcPr>
            <w:tcW w:w="717" w:type="pct"/>
            <w:tcBorders>
              <w:top w:val="nil"/>
              <w:left w:val="nil"/>
              <w:bottom w:val="single" w:sz="4" w:space="0" w:color="auto"/>
              <w:right w:val="nil"/>
            </w:tcBorders>
            <w:vAlign w:val="bottom"/>
          </w:tcPr>
          <w:p w14:paraId="75A5B494" w14:textId="7D0F5777" w:rsidR="00C100E8" w:rsidRPr="00C100E8" w:rsidRDefault="00C100E8" w:rsidP="00C100E8">
            <w:pPr>
              <w:tabs>
                <w:tab w:val="decimal" w:pos="1085"/>
              </w:tabs>
              <w:spacing w:after="0" w:line="240" w:lineRule="auto"/>
              <w:rPr>
                <w:rFonts w:cs="Arial"/>
                <w:sz w:val="20"/>
                <w:szCs w:val="18"/>
              </w:rPr>
            </w:pPr>
            <w:r w:rsidRPr="00C100E8">
              <w:rPr>
                <w:sz w:val="20"/>
                <w:szCs w:val="18"/>
              </w:rPr>
              <w:t>-</w:t>
            </w:r>
          </w:p>
        </w:tc>
        <w:tc>
          <w:tcPr>
            <w:tcW w:w="716" w:type="pct"/>
            <w:tcBorders>
              <w:top w:val="nil"/>
              <w:left w:val="nil"/>
              <w:bottom w:val="single" w:sz="4" w:space="0" w:color="auto"/>
              <w:right w:val="nil"/>
            </w:tcBorders>
            <w:vAlign w:val="bottom"/>
          </w:tcPr>
          <w:p w14:paraId="710D8DEB" w14:textId="3888C8F6" w:rsidR="00C100E8" w:rsidRPr="00C100E8" w:rsidRDefault="00C100E8" w:rsidP="00C100E8">
            <w:pPr>
              <w:tabs>
                <w:tab w:val="decimal" w:pos="1085"/>
              </w:tabs>
              <w:spacing w:after="0" w:line="240" w:lineRule="auto"/>
              <w:rPr>
                <w:rFonts w:eastAsia="Times New Roman" w:cs="Arial"/>
                <w:color w:val="000000"/>
                <w:sz w:val="20"/>
                <w:szCs w:val="18"/>
                <w:lang w:eastAsia="en-AU"/>
              </w:rPr>
            </w:pPr>
            <w:r w:rsidRPr="00C100E8">
              <w:rPr>
                <w:sz w:val="20"/>
                <w:szCs w:val="18"/>
              </w:rPr>
              <w:t>(67,</w:t>
            </w:r>
            <w:r w:rsidR="004558D6" w:rsidRPr="00C100E8">
              <w:rPr>
                <w:sz w:val="20"/>
                <w:szCs w:val="18"/>
              </w:rPr>
              <w:t>56</w:t>
            </w:r>
            <w:r w:rsidR="004558D6">
              <w:rPr>
                <w:sz w:val="20"/>
                <w:szCs w:val="18"/>
              </w:rPr>
              <w:t>8</w:t>
            </w:r>
            <w:r w:rsidRPr="00C100E8">
              <w:rPr>
                <w:sz w:val="20"/>
                <w:szCs w:val="18"/>
              </w:rPr>
              <w:t>)</w:t>
            </w:r>
          </w:p>
        </w:tc>
      </w:tr>
      <w:tr w:rsidR="00377020" w:rsidRPr="00F65403" w14:paraId="0D3C3BDB" w14:textId="77777777" w:rsidTr="00D85010">
        <w:trPr>
          <w:trHeight w:val="300"/>
          <w:jc w:val="center"/>
        </w:trPr>
        <w:tc>
          <w:tcPr>
            <w:tcW w:w="2850" w:type="pct"/>
            <w:tcBorders>
              <w:top w:val="nil"/>
              <w:left w:val="nil"/>
              <w:bottom w:val="nil"/>
              <w:right w:val="nil"/>
            </w:tcBorders>
            <w:noWrap/>
            <w:vAlign w:val="center"/>
          </w:tcPr>
          <w:p w14:paraId="31E0D873" w14:textId="1E257E68" w:rsidR="00377020" w:rsidRPr="00D85010" w:rsidRDefault="00D85010" w:rsidP="00C100E8">
            <w:pPr>
              <w:spacing w:after="0" w:line="240" w:lineRule="auto"/>
              <w:rPr>
                <w:rFonts w:cs="Arial"/>
                <w:b/>
                <w:bCs/>
                <w:color w:val="000000"/>
                <w:sz w:val="20"/>
                <w:szCs w:val="20"/>
              </w:rPr>
            </w:pPr>
            <w:r w:rsidRPr="00D85010">
              <w:rPr>
                <w:rFonts w:cs="Arial"/>
                <w:b/>
                <w:bCs/>
                <w:color w:val="000000"/>
                <w:sz w:val="20"/>
                <w:szCs w:val="20"/>
              </w:rPr>
              <w:t>Net cash used in investing activities</w:t>
            </w:r>
          </w:p>
        </w:tc>
        <w:tc>
          <w:tcPr>
            <w:tcW w:w="717" w:type="pct"/>
            <w:tcBorders>
              <w:top w:val="single" w:sz="4" w:space="0" w:color="auto"/>
              <w:left w:val="nil"/>
              <w:bottom w:val="nil"/>
              <w:right w:val="nil"/>
            </w:tcBorders>
            <w:vAlign w:val="bottom"/>
          </w:tcPr>
          <w:p w14:paraId="19DC921D" w14:textId="72926858" w:rsidR="00377020" w:rsidRPr="00D85010" w:rsidRDefault="00582522" w:rsidP="00C100E8">
            <w:pPr>
              <w:tabs>
                <w:tab w:val="decimal" w:pos="1085"/>
              </w:tabs>
              <w:spacing w:after="0" w:line="240" w:lineRule="auto"/>
              <w:rPr>
                <w:b/>
                <w:bCs/>
                <w:sz w:val="20"/>
                <w:szCs w:val="18"/>
              </w:rPr>
            </w:pPr>
            <w:r w:rsidRPr="00D85010">
              <w:rPr>
                <w:b/>
                <w:bCs/>
                <w:sz w:val="20"/>
                <w:szCs w:val="18"/>
              </w:rPr>
              <w:t>(187,16</w:t>
            </w:r>
            <w:r w:rsidR="0046292D">
              <w:rPr>
                <w:b/>
                <w:bCs/>
                <w:sz w:val="20"/>
                <w:szCs w:val="18"/>
              </w:rPr>
              <w:t>8</w:t>
            </w:r>
            <w:r w:rsidRPr="00D85010">
              <w:rPr>
                <w:b/>
                <w:bCs/>
                <w:sz w:val="20"/>
                <w:szCs w:val="18"/>
              </w:rPr>
              <w:t>)</w:t>
            </w:r>
          </w:p>
        </w:tc>
        <w:tc>
          <w:tcPr>
            <w:tcW w:w="717" w:type="pct"/>
            <w:tcBorders>
              <w:top w:val="single" w:sz="4" w:space="0" w:color="auto"/>
              <w:left w:val="nil"/>
              <w:bottom w:val="nil"/>
              <w:right w:val="nil"/>
            </w:tcBorders>
            <w:vAlign w:val="bottom"/>
          </w:tcPr>
          <w:p w14:paraId="3DDE3050" w14:textId="70A9C0CA" w:rsidR="00377020" w:rsidRPr="00D85010" w:rsidRDefault="00582522" w:rsidP="00C100E8">
            <w:pPr>
              <w:tabs>
                <w:tab w:val="decimal" w:pos="1085"/>
              </w:tabs>
              <w:spacing w:after="0" w:line="240" w:lineRule="auto"/>
              <w:rPr>
                <w:b/>
                <w:bCs/>
                <w:sz w:val="20"/>
                <w:szCs w:val="18"/>
              </w:rPr>
            </w:pPr>
            <w:r w:rsidRPr="00D85010">
              <w:rPr>
                <w:b/>
                <w:bCs/>
                <w:sz w:val="20"/>
                <w:szCs w:val="18"/>
              </w:rPr>
              <w:t>(73,095)</w:t>
            </w:r>
          </w:p>
        </w:tc>
        <w:tc>
          <w:tcPr>
            <w:tcW w:w="716" w:type="pct"/>
            <w:tcBorders>
              <w:top w:val="single" w:sz="4" w:space="0" w:color="auto"/>
              <w:left w:val="nil"/>
              <w:bottom w:val="nil"/>
              <w:right w:val="nil"/>
            </w:tcBorders>
            <w:vAlign w:val="bottom"/>
          </w:tcPr>
          <w:p w14:paraId="0FF0355F" w14:textId="75B9F625" w:rsidR="00377020" w:rsidRPr="00D85010" w:rsidRDefault="00D85010" w:rsidP="00C100E8">
            <w:pPr>
              <w:tabs>
                <w:tab w:val="decimal" w:pos="1085"/>
              </w:tabs>
              <w:spacing w:after="0" w:line="240" w:lineRule="auto"/>
              <w:rPr>
                <w:b/>
                <w:bCs/>
                <w:sz w:val="20"/>
                <w:szCs w:val="18"/>
              </w:rPr>
            </w:pPr>
            <w:r w:rsidRPr="00D85010">
              <w:rPr>
                <w:b/>
                <w:bCs/>
                <w:sz w:val="20"/>
                <w:szCs w:val="18"/>
              </w:rPr>
              <w:t>(114,</w:t>
            </w:r>
            <w:r w:rsidR="004558D6" w:rsidRPr="00D85010">
              <w:rPr>
                <w:b/>
                <w:bCs/>
                <w:sz w:val="20"/>
                <w:szCs w:val="18"/>
              </w:rPr>
              <w:t>07</w:t>
            </w:r>
            <w:r w:rsidR="004558D6">
              <w:rPr>
                <w:b/>
                <w:bCs/>
                <w:sz w:val="20"/>
                <w:szCs w:val="18"/>
              </w:rPr>
              <w:t>3</w:t>
            </w:r>
            <w:r w:rsidRPr="00D85010">
              <w:rPr>
                <w:b/>
                <w:bCs/>
                <w:sz w:val="20"/>
                <w:szCs w:val="18"/>
              </w:rPr>
              <w:t>)</w:t>
            </w:r>
          </w:p>
        </w:tc>
      </w:tr>
      <w:tr w:rsidR="00C100E8" w:rsidRPr="0099058D" w14:paraId="7B18FFD5" w14:textId="77777777" w:rsidTr="00D85010">
        <w:trPr>
          <w:trHeight w:val="300"/>
          <w:jc w:val="center"/>
        </w:trPr>
        <w:tc>
          <w:tcPr>
            <w:tcW w:w="2850" w:type="pct"/>
            <w:tcBorders>
              <w:top w:val="nil"/>
              <w:left w:val="nil"/>
              <w:bottom w:val="nil"/>
              <w:right w:val="nil"/>
            </w:tcBorders>
            <w:noWrap/>
            <w:vAlign w:val="center"/>
            <w:hideMark/>
          </w:tcPr>
          <w:p w14:paraId="022FF6A3" w14:textId="5A671711" w:rsidR="00C100E8" w:rsidRPr="00F65403" w:rsidRDefault="00C100E8" w:rsidP="00C100E8">
            <w:pPr>
              <w:spacing w:after="0" w:line="240" w:lineRule="auto"/>
              <w:rPr>
                <w:rFonts w:eastAsia="Times New Roman" w:cs="Arial"/>
                <w:color w:val="000000"/>
                <w:sz w:val="20"/>
                <w:szCs w:val="20"/>
                <w:lang w:eastAsia="en-AU"/>
              </w:rPr>
            </w:pPr>
            <w:r w:rsidRPr="413EB596">
              <w:rPr>
                <w:rFonts w:cs="Arial"/>
                <w:color w:val="000000" w:themeColor="text1"/>
                <w:sz w:val="20"/>
                <w:szCs w:val="20"/>
              </w:rPr>
              <w:t>Net cash from</w:t>
            </w:r>
            <w:r w:rsidR="001B7AE1" w:rsidRPr="413EB596">
              <w:rPr>
                <w:rFonts w:cs="Arial"/>
                <w:color w:val="000000" w:themeColor="text1"/>
                <w:sz w:val="20"/>
                <w:szCs w:val="20"/>
              </w:rPr>
              <w:t xml:space="preserve"> </w:t>
            </w:r>
            <w:r w:rsidRPr="413EB596">
              <w:rPr>
                <w:rFonts w:cs="Arial"/>
                <w:color w:val="000000" w:themeColor="text1"/>
                <w:sz w:val="20"/>
                <w:szCs w:val="20"/>
              </w:rPr>
              <w:t>financing activities</w:t>
            </w:r>
          </w:p>
        </w:tc>
        <w:tc>
          <w:tcPr>
            <w:tcW w:w="717" w:type="pct"/>
            <w:tcBorders>
              <w:top w:val="nil"/>
              <w:left w:val="nil"/>
              <w:bottom w:val="single" w:sz="4" w:space="0" w:color="auto"/>
              <w:right w:val="nil"/>
            </w:tcBorders>
            <w:vAlign w:val="bottom"/>
          </w:tcPr>
          <w:p w14:paraId="260BC511" w14:textId="574DC1D5"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344,000</w:t>
            </w:r>
          </w:p>
        </w:tc>
        <w:tc>
          <w:tcPr>
            <w:tcW w:w="717" w:type="pct"/>
            <w:tcBorders>
              <w:top w:val="nil"/>
              <w:left w:val="nil"/>
              <w:bottom w:val="single" w:sz="4" w:space="0" w:color="auto"/>
              <w:right w:val="nil"/>
            </w:tcBorders>
            <w:vAlign w:val="bottom"/>
          </w:tcPr>
          <w:p w14:paraId="2C93DDB4" w14:textId="153F6C11" w:rsidR="00C100E8" w:rsidRPr="00C100E8" w:rsidRDefault="00C100E8" w:rsidP="00C100E8">
            <w:pPr>
              <w:tabs>
                <w:tab w:val="decimal" w:pos="1085"/>
              </w:tabs>
              <w:spacing w:after="0" w:line="240" w:lineRule="auto"/>
              <w:rPr>
                <w:rFonts w:eastAsia="Times New Roman" w:cs="Arial"/>
                <w:sz w:val="20"/>
                <w:szCs w:val="18"/>
                <w:lang w:eastAsia="en-AU"/>
              </w:rPr>
            </w:pPr>
            <w:r w:rsidRPr="00C100E8">
              <w:rPr>
                <w:sz w:val="20"/>
                <w:szCs w:val="18"/>
              </w:rPr>
              <w:t>336,000</w:t>
            </w:r>
          </w:p>
        </w:tc>
        <w:tc>
          <w:tcPr>
            <w:tcW w:w="716" w:type="pct"/>
            <w:tcBorders>
              <w:top w:val="nil"/>
              <w:left w:val="nil"/>
              <w:bottom w:val="single" w:sz="4" w:space="0" w:color="auto"/>
              <w:right w:val="nil"/>
            </w:tcBorders>
            <w:vAlign w:val="bottom"/>
          </w:tcPr>
          <w:p w14:paraId="3FAD1BD1" w14:textId="3D218073" w:rsidR="00C100E8" w:rsidRPr="00C100E8" w:rsidRDefault="00C100E8" w:rsidP="00C100E8">
            <w:pPr>
              <w:tabs>
                <w:tab w:val="decimal" w:pos="1085"/>
              </w:tabs>
              <w:spacing w:after="0" w:line="240" w:lineRule="auto"/>
              <w:rPr>
                <w:rFonts w:eastAsia="Times New Roman" w:cs="Arial"/>
                <w:color w:val="000000"/>
                <w:sz w:val="20"/>
                <w:szCs w:val="18"/>
                <w:lang w:eastAsia="en-AU"/>
              </w:rPr>
            </w:pPr>
            <w:r w:rsidRPr="00C100E8">
              <w:rPr>
                <w:sz w:val="20"/>
                <w:szCs w:val="18"/>
              </w:rPr>
              <w:t>8,000</w:t>
            </w:r>
          </w:p>
        </w:tc>
      </w:tr>
      <w:tr w:rsidR="00C100E8" w:rsidRPr="0099058D" w14:paraId="7B5756AB" w14:textId="77777777" w:rsidTr="00D85010">
        <w:trPr>
          <w:trHeight w:val="300"/>
          <w:jc w:val="center"/>
        </w:trPr>
        <w:tc>
          <w:tcPr>
            <w:tcW w:w="2850" w:type="pct"/>
            <w:tcBorders>
              <w:top w:val="nil"/>
              <w:left w:val="nil"/>
              <w:bottom w:val="nil"/>
              <w:right w:val="nil"/>
            </w:tcBorders>
            <w:vAlign w:val="center"/>
            <w:hideMark/>
          </w:tcPr>
          <w:p w14:paraId="091B9794" w14:textId="31482410" w:rsidR="00C100E8" w:rsidRPr="00F65403" w:rsidRDefault="00C100E8" w:rsidP="00C100E8">
            <w:pPr>
              <w:spacing w:after="0" w:line="240" w:lineRule="auto"/>
              <w:rPr>
                <w:rFonts w:eastAsia="Times New Roman" w:cs="Arial"/>
                <w:b/>
                <w:color w:val="000000"/>
                <w:sz w:val="20"/>
                <w:szCs w:val="20"/>
                <w:lang w:eastAsia="en-AU"/>
              </w:rPr>
            </w:pPr>
            <w:r w:rsidRPr="00F65403">
              <w:rPr>
                <w:rFonts w:cs="Arial"/>
                <w:b/>
                <w:color w:val="000000"/>
                <w:sz w:val="20"/>
                <w:szCs w:val="20"/>
              </w:rPr>
              <w:t>Net increase in cash</w:t>
            </w:r>
          </w:p>
        </w:tc>
        <w:tc>
          <w:tcPr>
            <w:tcW w:w="717" w:type="pct"/>
            <w:tcBorders>
              <w:top w:val="single" w:sz="4" w:space="0" w:color="auto"/>
              <w:left w:val="nil"/>
              <w:bottom w:val="single" w:sz="4" w:space="0" w:color="auto"/>
              <w:right w:val="nil"/>
            </w:tcBorders>
            <w:vAlign w:val="bottom"/>
          </w:tcPr>
          <w:p w14:paraId="4FEB039D" w14:textId="42282AD7" w:rsidR="00C100E8" w:rsidRPr="00C100E8" w:rsidRDefault="00C100E8" w:rsidP="00C100E8">
            <w:pPr>
              <w:tabs>
                <w:tab w:val="decimal" w:pos="1085"/>
              </w:tabs>
              <w:spacing w:after="0" w:line="240" w:lineRule="auto"/>
              <w:rPr>
                <w:rFonts w:eastAsia="Times New Roman" w:cs="Arial"/>
                <w:b/>
                <w:bCs/>
                <w:color w:val="000000"/>
                <w:sz w:val="20"/>
                <w:szCs w:val="18"/>
                <w:lang w:eastAsia="en-AU"/>
              </w:rPr>
            </w:pPr>
            <w:r w:rsidRPr="00C100E8">
              <w:rPr>
                <w:b/>
                <w:bCs/>
                <w:sz w:val="20"/>
                <w:szCs w:val="18"/>
              </w:rPr>
              <w:t>92,085</w:t>
            </w:r>
          </w:p>
        </w:tc>
        <w:tc>
          <w:tcPr>
            <w:tcW w:w="717" w:type="pct"/>
            <w:tcBorders>
              <w:top w:val="single" w:sz="4" w:space="0" w:color="auto"/>
              <w:left w:val="nil"/>
              <w:bottom w:val="single" w:sz="4" w:space="0" w:color="auto"/>
              <w:right w:val="nil"/>
            </w:tcBorders>
            <w:vAlign w:val="bottom"/>
          </w:tcPr>
          <w:p w14:paraId="05F66EBD" w14:textId="183CCCA0" w:rsidR="00C100E8" w:rsidRPr="00C100E8" w:rsidRDefault="00C100E8" w:rsidP="00C100E8">
            <w:pPr>
              <w:tabs>
                <w:tab w:val="decimal" w:pos="1085"/>
              </w:tabs>
              <w:spacing w:after="0" w:line="240" w:lineRule="auto"/>
              <w:rPr>
                <w:rFonts w:eastAsia="Times New Roman" w:cs="Arial"/>
                <w:b/>
                <w:bCs/>
                <w:color w:val="000000"/>
                <w:sz w:val="20"/>
                <w:szCs w:val="18"/>
                <w:lang w:eastAsia="en-AU"/>
              </w:rPr>
            </w:pPr>
            <w:r w:rsidRPr="00C100E8">
              <w:rPr>
                <w:b/>
                <w:bCs/>
                <w:sz w:val="20"/>
                <w:szCs w:val="18"/>
              </w:rPr>
              <w:t>264,215</w:t>
            </w:r>
          </w:p>
        </w:tc>
        <w:tc>
          <w:tcPr>
            <w:tcW w:w="716" w:type="pct"/>
            <w:tcBorders>
              <w:top w:val="single" w:sz="4" w:space="0" w:color="auto"/>
              <w:left w:val="nil"/>
              <w:bottom w:val="single" w:sz="4" w:space="0" w:color="auto"/>
              <w:right w:val="nil"/>
            </w:tcBorders>
            <w:vAlign w:val="bottom"/>
          </w:tcPr>
          <w:p w14:paraId="5A0304D4" w14:textId="6F82D570" w:rsidR="00C100E8" w:rsidRPr="00C100E8" w:rsidRDefault="00C100E8" w:rsidP="00C100E8">
            <w:pPr>
              <w:tabs>
                <w:tab w:val="decimal" w:pos="1085"/>
              </w:tabs>
              <w:spacing w:after="0" w:line="240" w:lineRule="auto"/>
              <w:rPr>
                <w:rFonts w:eastAsia="Times New Roman" w:cs="Arial"/>
                <w:b/>
                <w:bCs/>
                <w:color w:val="000000"/>
                <w:sz w:val="20"/>
                <w:szCs w:val="18"/>
                <w:lang w:eastAsia="en-AU"/>
              </w:rPr>
            </w:pPr>
            <w:r w:rsidRPr="00C100E8">
              <w:rPr>
                <w:b/>
                <w:bCs/>
                <w:sz w:val="20"/>
                <w:szCs w:val="18"/>
              </w:rPr>
              <w:t>(172,130)</w:t>
            </w:r>
          </w:p>
        </w:tc>
      </w:tr>
    </w:tbl>
    <w:p w14:paraId="460E4639" w14:textId="65473256" w:rsidR="00700D25" w:rsidRPr="00F65403" w:rsidRDefault="00FE2D89" w:rsidP="00781D2B">
      <w:r>
        <w:br/>
      </w:r>
      <w:r w:rsidR="00700D25" w:rsidRPr="00F65403">
        <w:t xml:space="preserve">Cash used in operating </w:t>
      </w:r>
      <w:r w:rsidR="009A2E41" w:rsidRPr="00F65403">
        <w:t xml:space="preserve">activities </w:t>
      </w:r>
      <w:r w:rsidR="00564A69" w:rsidRPr="00F65403">
        <w:t>of $</w:t>
      </w:r>
      <w:r>
        <w:t>64.7</w:t>
      </w:r>
      <w:r w:rsidR="00564A69" w:rsidRPr="00F65403">
        <w:t xml:space="preserve"> million was higher </w:t>
      </w:r>
      <w:r w:rsidR="00B813EB" w:rsidRPr="00F65403">
        <w:t>than the prior period for the following reasons:</w:t>
      </w:r>
    </w:p>
    <w:p w14:paraId="2164C95B" w14:textId="01368CA9" w:rsidR="00B813EB" w:rsidRPr="00F65403" w:rsidRDefault="5CCE7A11" w:rsidP="00B813EB">
      <w:pPr>
        <w:pStyle w:val="Bullet"/>
      </w:pPr>
      <w:r>
        <w:t>t</w:t>
      </w:r>
      <w:r w:rsidR="20021D29">
        <w:t>he</w:t>
      </w:r>
      <w:r w:rsidR="00A8186C" w:rsidRPr="00F65403">
        <w:t xml:space="preserve"> prior period </w:t>
      </w:r>
      <w:r w:rsidR="004A124A" w:rsidRPr="00F65403">
        <w:t xml:space="preserve">does not reflect a full year and </w:t>
      </w:r>
      <w:r w:rsidR="00C45054" w:rsidRPr="00F65403">
        <w:t>covers the early period of establishing SEC</w:t>
      </w:r>
      <w:r w:rsidR="00A25F67" w:rsidRPr="00F65403">
        <w:t xml:space="preserve"> </w:t>
      </w:r>
    </w:p>
    <w:p w14:paraId="223DBDF4" w14:textId="05C3C109" w:rsidR="007F6D9E" w:rsidRPr="00F65403" w:rsidRDefault="6596161C" w:rsidP="00B813EB">
      <w:pPr>
        <w:pStyle w:val="Bullet"/>
      </w:pPr>
      <w:r>
        <w:t>i</w:t>
      </w:r>
      <w:r w:rsidR="08F69090">
        <w:t>n</w:t>
      </w:r>
      <w:r w:rsidR="00E01E5B" w:rsidRPr="00F65403">
        <w:t xml:space="preserve"> addi</w:t>
      </w:r>
      <w:r w:rsidR="001D6907" w:rsidRPr="00F65403">
        <w:t xml:space="preserve">tion to </w:t>
      </w:r>
      <w:r w:rsidR="00CB107C" w:rsidRPr="00F65403">
        <w:t>payment to suppliers and employees, cash used in operating activities in the current year includes the cost of purchas</w:t>
      </w:r>
      <w:r w:rsidR="00421060" w:rsidRPr="00F65403">
        <w:t xml:space="preserve">ing </w:t>
      </w:r>
      <w:r w:rsidR="0024472C" w:rsidRPr="00F65403">
        <w:t xml:space="preserve">financial products to manage the Group’s energy markets risk exposure </w:t>
      </w:r>
      <w:r w:rsidR="009C2723" w:rsidRPr="00F65403">
        <w:t>from 1 July 2025</w:t>
      </w:r>
      <w:r w:rsidR="5274E4A3">
        <w:t>.</w:t>
      </w:r>
    </w:p>
    <w:p w14:paraId="762A1DF9" w14:textId="10AB8EB5" w:rsidR="00F32412" w:rsidRPr="00F65403" w:rsidRDefault="000D1C53" w:rsidP="00F32412">
      <w:r w:rsidRPr="00F65403">
        <w:t>Cash used in investing activities of $</w:t>
      </w:r>
      <w:r w:rsidR="005873D3">
        <w:t>187.2</w:t>
      </w:r>
      <w:r w:rsidRPr="00F65403">
        <w:t xml:space="preserve"> million </w:t>
      </w:r>
      <w:r w:rsidR="008301CD">
        <w:t xml:space="preserve">is </w:t>
      </w:r>
      <w:r w:rsidRPr="00F65403">
        <w:t xml:space="preserve">higher than the prior period </w:t>
      </w:r>
      <w:r w:rsidR="005409D2" w:rsidRPr="00F65403">
        <w:t>as the Group continued to</w:t>
      </w:r>
      <w:r w:rsidR="00A24475" w:rsidRPr="00F65403">
        <w:t xml:space="preserve"> build out its portfolio of </w:t>
      </w:r>
      <w:r w:rsidR="004C71D9" w:rsidRPr="00F65403">
        <w:t>renewable energy generation and storage assets</w:t>
      </w:r>
      <w:r w:rsidR="00282F63">
        <w:t xml:space="preserve"> as noted below:</w:t>
      </w:r>
      <w:r w:rsidR="004C71D9" w:rsidRPr="00F65403">
        <w:t xml:space="preserve"> </w:t>
      </w:r>
    </w:p>
    <w:p w14:paraId="3F2BB6D7" w14:textId="517E3171" w:rsidR="00726801" w:rsidRDefault="00F77C13" w:rsidP="001513B5">
      <w:pPr>
        <w:pStyle w:val="Bullet"/>
      </w:pPr>
      <w:r>
        <w:t>c</w:t>
      </w:r>
      <w:r w:rsidR="003D6234" w:rsidRPr="00F65403">
        <w:t>onstruction continued at MREH, with $119</w:t>
      </w:r>
      <w:r w:rsidR="006502C4">
        <w:t>.6</w:t>
      </w:r>
      <w:r w:rsidR="003D6234" w:rsidRPr="00F65403">
        <w:t xml:space="preserve"> million </w:t>
      </w:r>
      <w:r w:rsidR="006502C4">
        <w:t xml:space="preserve">(2024: $73.1 million) </w:t>
      </w:r>
      <w:r w:rsidR="003D6234" w:rsidRPr="00F65403">
        <w:t>invested</w:t>
      </w:r>
      <w:r w:rsidR="006502C4">
        <w:t xml:space="preserve"> </w:t>
      </w:r>
      <w:r w:rsidR="003D6234" w:rsidRPr="00F65403">
        <w:t>into the project during the year</w:t>
      </w:r>
      <w:r w:rsidR="003B3122">
        <w:t>, taking project to date payments to</w:t>
      </w:r>
      <w:r w:rsidR="003D6234" w:rsidRPr="00F65403">
        <w:t xml:space="preserve"> $193 million against </w:t>
      </w:r>
      <w:r w:rsidR="00444C03" w:rsidRPr="00F65403">
        <w:t xml:space="preserve">the </w:t>
      </w:r>
      <w:r w:rsidR="00D53464" w:rsidRPr="00F65403">
        <w:t>SEC</w:t>
      </w:r>
      <w:r w:rsidR="00444C03" w:rsidRPr="00F65403">
        <w:t>’s</w:t>
      </w:r>
      <w:r w:rsidR="003D6234" w:rsidRPr="00F65403">
        <w:t xml:space="preserve"> total commitment of $245 million. </w:t>
      </w:r>
      <w:r w:rsidR="001937DF" w:rsidRPr="00F65403">
        <w:t xml:space="preserve">The Group’s investment in MREH is accounted for as a </w:t>
      </w:r>
      <w:r w:rsidR="00293F5B" w:rsidRPr="00F65403">
        <w:t>joint venture</w:t>
      </w:r>
      <w:r w:rsidR="00FC37A4" w:rsidRPr="00F65403">
        <w:t xml:space="preserve"> </w:t>
      </w:r>
      <w:r w:rsidR="00307799">
        <w:t>using the equity accounting method</w:t>
      </w:r>
      <w:r w:rsidR="00FC37A4" w:rsidRPr="00F65403">
        <w:t xml:space="preserve"> which mea</w:t>
      </w:r>
      <w:r w:rsidR="00FA7368" w:rsidRPr="00F65403">
        <w:t xml:space="preserve">ns </w:t>
      </w:r>
      <w:r w:rsidR="00307799">
        <w:t xml:space="preserve">the carrying amount of the investment </w:t>
      </w:r>
      <w:r w:rsidR="000F4627">
        <w:t xml:space="preserve">in the statement of financial position </w:t>
      </w:r>
      <w:r w:rsidR="00DF66F8">
        <w:t>is comprised of</w:t>
      </w:r>
      <w:r w:rsidR="00FA7368" w:rsidRPr="00F65403">
        <w:t xml:space="preserve"> </w:t>
      </w:r>
      <w:r w:rsidR="00FA7368">
        <w:t>th</w:t>
      </w:r>
      <w:r w:rsidR="00DF66F8">
        <w:t>e</w:t>
      </w:r>
      <w:r w:rsidR="00FA7368" w:rsidRPr="00F65403">
        <w:t xml:space="preserve"> capital contributions </w:t>
      </w:r>
      <w:r w:rsidR="00034B3B" w:rsidRPr="00F65403">
        <w:t xml:space="preserve">made </w:t>
      </w:r>
      <w:r w:rsidR="00C914A3" w:rsidRPr="00F65403">
        <w:t>towards the investment</w:t>
      </w:r>
      <w:r w:rsidR="00DF66F8">
        <w:t>,</w:t>
      </w:r>
      <w:r w:rsidR="00C914A3" w:rsidRPr="00F65403">
        <w:t xml:space="preserve"> adjusted for the Group’s share of </w:t>
      </w:r>
      <w:r w:rsidR="00FC49FF" w:rsidRPr="00F65403">
        <w:t>MREH profit or loss after tax</w:t>
      </w:r>
      <w:r w:rsidR="003D6234" w:rsidRPr="00F65403">
        <w:t>.</w:t>
      </w:r>
    </w:p>
    <w:p w14:paraId="61CB86F6" w14:textId="065EEB77" w:rsidR="00700D25" w:rsidRPr="00F65403" w:rsidRDefault="00A21557" w:rsidP="001513B5">
      <w:pPr>
        <w:pStyle w:val="Bullet"/>
      </w:pPr>
      <w:r>
        <w:t>i</w:t>
      </w:r>
      <w:r w:rsidR="00B33429" w:rsidRPr="0092164B">
        <w:t xml:space="preserve">n November 2024, </w:t>
      </w:r>
      <w:r w:rsidR="002D6CE4">
        <w:t>w</w:t>
      </w:r>
      <w:r w:rsidR="00700D25">
        <w:t>e</w:t>
      </w:r>
      <w:r w:rsidR="00700D25" w:rsidRPr="0092164B">
        <w:t xml:space="preserve"> announced our second investment</w:t>
      </w:r>
      <w:r w:rsidR="002C5C2C" w:rsidRPr="0092164B">
        <w:t>,</w:t>
      </w:r>
      <w:r w:rsidR="00700D25" w:rsidRPr="0092164B">
        <w:t xml:space="preserve"> the 100% owned SEC Renewable Energy Park </w:t>
      </w:r>
      <w:r w:rsidR="00104757">
        <w:t>-</w:t>
      </w:r>
      <w:r w:rsidR="00700D25" w:rsidRPr="0092164B">
        <w:t xml:space="preserve"> Horsham</w:t>
      </w:r>
      <w:r w:rsidR="00700D25">
        <w:t>.</w:t>
      </w:r>
      <w:r w:rsidR="00700D25" w:rsidRPr="0092164B">
        <w:t xml:space="preserve"> </w:t>
      </w:r>
      <w:r w:rsidR="006F5D8B" w:rsidRPr="0092164B">
        <w:t>T</w:t>
      </w:r>
      <w:r w:rsidR="00256016" w:rsidRPr="0092164B">
        <w:t xml:space="preserve">he </w:t>
      </w:r>
      <w:r w:rsidR="00FF5AED">
        <w:t xml:space="preserve">total construction </w:t>
      </w:r>
      <w:r w:rsidR="009406C3" w:rsidRPr="0092164B">
        <w:t xml:space="preserve">capital </w:t>
      </w:r>
      <w:r w:rsidR="00282DDA" w:rsidRPr="0092164B">
        <w:t>e</w:t>
      </w:r>
      <w:r w:rsidR="00282DDA">
        <w:t>stimate</w:t>
      </w:r>
      <w:r w:rsidR="00282DDA" w:rsidRPr="0092164B">
        <w:t xml:space="preserve"> </w:t>
      </w:r>
      <w:r w:rsidR="00282DDA">
        <w:t>for Horsham</w:t>
      </w:r>
      <w:r w:rsidR="00C60381">
        <w:t xml:space="preserve"> is</w:t>
      </w:r>
      <w:r w:rsidR="00282DDA" w:rsidRPr="0092164B">
        <w:t xml:space="preserve"> </w:t>
      </w:r>
      <w:r w:rsidR="00CC072F" w:rsidRPr="0092164B">
        <w:t>$</w:t>
      </w:r>
      <w:r w:rsidR="00C60381">
        <w:t>370</w:t>
      </w:r>
      <w:r w:rsidR="00C60381" w:rsidRPr="0092164B">
        <w:t xml:space="preserve"> </w:t>
      </w:r>
      <w:r w:rsidR="00CC072F" w:rsidRPr="0092164B">
        <w:t>million</w:t>
      </w:r>
      <w:r w:rsidR="00282F63">
        <w:t xml:space="preserve"> and </w:t>
      </w:r>
      <w:r w:rsidR="00C60381">
        <w:t xml:space="preserve">will be funded through a combination of equity and debt. </w:t>
      </w:r>
      <w:r w:rsidR="002D6CE4">
        <w:t>Capital</w:t>
      </w:r>
      <w:r w:rsidR="00C60381">
        <w:t xml:space="preserve"> expenditure</w:t>
      </w:r>
      <w:r w:rsidR="00210626">
        <w:t xml:space="preserve"> payments</w:t>
      </w:r>
      <w:r w:rsidR="00C60381">
        <w:t xml:space="preserve"> of $</w:t>
      </w:r>
      <w:r w:rsidR="002B45D0">
        <w:t>67.6</w:t>
      </w:r>
      <w:r w:rsidR="00C60381">
        <w:t xml:space="preserve"> million</w:t>
      </w:r>
      <w:r w:rsidR="00CC072F" w:rsidRPr="0092164B">
        <w:t xml:space="preserve"> </w:t>
      </w:r>
      <w:r w:rsidR="00210626">
        <w:t xml:space="preserve">were </w:t>
      </w:r>
      <w:r w:rsidR="00713333">
        <w:t>made</w:t>
      </w:r>
      <w:r w:rsidR="00713333" w:rsidRPr="0092164B">
        <w:t xml:space="preserve"> </w:t>
      </w:r>
      <w:r w:rsidR="00210626">
        <w:t xml:space="preserve">in the current year </w:t>
      </w:r>
      <w:r w:rsidR="00B33429">
        <w:t xml:space="preserve">for </w:t>
      </w:r>
      <w:r w:rsidR="003A1D68">
        <w:t xml:space="preserve">acquisition and </w:t>
      </w:r>
      <w:r w:rsidR="00B33429">
        <w:t>construction of this project</w:t>
      </w:r>
      <w:r w:rsidR="004C0041" w:rsidRPr="0092164B">
        <w:t>.</w:t>
      </w:r>
      <w:r w:rsidR="004C0041">
        <w:t xml:space="preserve"> </w:t>
      </w:r>
    </w:p>
    <w:p w14:paraId="420644C9" w14:textId="2233B194" w:rsidR="002547C4" w:rsidRDefault="002547C4" w:rsidP="002547C4">
      <w:pPr>
        <w:pStyle w:val="Heading3"/>
      </w:pPr>
      <w:r>
        <w:t>Financial performance</w:t>
      </w:r>
    </w:p>
    <w:p w14:paraId="3AC31C55" w14:textId="25A2224F" w:rsidR="002547C4" w:rsidRPr="00F65403" w:rsidRDefault="326CC24F" w:rsidP="00AA3AC5">
      <w:pPr>
        <w:spacing w:after="0"/>
        <w:rPr>
          <w:rFonts w:asciiTheme="minorHAnsi" w:eastAsiaTheme="minorEastAsia" w:hAnsiTheme="minorHAnsi" w:hint="eastAsia"/>
          <w:szCs w:val="24"/>
        </w:rPr>
      </w:pPr>
      <w:r w:rsidRPr="5ABD028F">
        <w:t>Statutory loss after tax attributable to shareholders was $6.8 million, a decrease of $12.6 million compared to statutory profit of $5.8 million in the prior period.</w:t>
      </w:r>
    </w:p>
    <w:p w14:paraId="0589B0AF" w14:textId="52980FA8" w:rsidR="002547C4" w:rsidRPr="00F65403" w:rsidRDefault="002547C4" w:rsidP="002547C4">
      <w:r w:rsidRPr="00F65403">
        <w:t xml:space="preserve">SEC believes that underlying profit/(loss) after tax </w:t>
      </w:r>
      <w:r w:rsidR="3ECF9D2E">
        <w:t xml:space="preserve">can </w:t>
      </w:r>
      <w:r>
        <w:t xml:space="preserve">provide a </w:t>
      </w:r>
      <w:r w:rsidR="310696AE">
        <w:t>clearer</w:t>
      </w:r>
      <w:r w:rsidRPr="00F65403">
        <w:t xml:space="preserve"> understanding of the Group’s financial performance than statutory profit/(loss) after tax and allows for more relevant comparison of financial performance between financial periods. Underlying profit/(loss) is a non-International Financial Reporting Standard (IFRS) measure reflecting statutory profit/(loss) after tax adjusted for:</w:t>
      </w:r>
    </w:p>
    <w:p w14:paraId="0E4BDF00" w14:textId="316FD104" w:rsidR="002547C4" w:rsidRPr="00F65403" w:rsidRDefault="002547C4" w:rsidP="002547C4">
      <w:pPr>
        <w:pStyle w:val="Bullet"/>
      </w:pPr>
      <w:r w:rsidRPr="00F65403">
        <w:t>changes in the fair value of financial instruments recognised in the consolidated statement of profit or loss (to remove the volatility caused by timing mismatches in valuing financial instruments and the underlying transactions they related to)</w:t>
      </w:r>
    </w:p>
    <w:p w14:paraId="05D1DA21" w14:textId="7C0FEA2B" w:rsidR="002547C4" w:rsidRPr="00F65403" w:rsidRDefault="002547C4" w:rsidP="5A9E08BD">
      <w:pPr>
        <w:pStyle w:val="Bullet"/>
      </w:pPr>
      <w:r>
        <w:t>s</w:t>
      </w:r>
      <w:r w:rsidRPr="00F65403">
        <w:t>ignificant items (which are material items of revenue or expense that are unrelated to the underlying performance of the business)</w:t>
      </w:r>
      <w:r>
        <w:t>.</w:t>
      </w:r>
      <w:r w:rsidRPr="00F65403">
        <w:t>The following table reconciles statutory profit/(loss) after tax to underlying profit/(loss) after tax</w:t>
      </w:r>
      <w:r>
        <w:t>,</w:t>
      </w:r>
      <w:r w:rsidRPr="00F65403">
        <w:t xml:space="preserve"> and then to underlying </w:t>
      </w:r>
      <w:r>
        <w:t>earnings before interest, tax, depreciation and amortisation (</w:t>
      </w:r>
      <w:r w:rsidRPr="00F65403">
        <w:t>EBITDA</w:t>
      </w:r>
      <w:r>
        <w:t>)</w:t>
      </w:r>
      <w:r w:rsidRPr="00F65403">
        <w:t>.</w:t>
      </w:r>
    </w:p>
    <w:p w14:paraId="78743489" w14:textId="77777777" w:rsidR="005E1EA4" w:rsidRDefault="005E1EA4">
      <w:pPr>
        <w:rPr>
          <w:rFonts w:asciiTheme="minorHAnsi" w:eastAsiaTheme="majorEastAsia" w:hAnsiTheme="minorHAnsi" w:cstheme="majorBidi" w:hint="eastAsia"/>
          <w:i/>
          <w:iCs/>
        </w:rPr>
      </w:pPr>
      <w:r>
        <w:br w:type="page"/>
      </w:r>
    </w:p>
    <w:p w14:paraId="5EA9E10E" w14:textId="7A24E525" w:rsidR="002547C4" w:rsidRPr="00F65403" w:rsidRDefault="002547C4" w:rsidP="002547C4">
      <w:pPr>
        <w:pStyle w:val="Heading4"/>
        <w:rPr>
          <w:rFonts w:hint="eastAsia"/>
        </w:rPr>
      </w:pPr>
      <w:r>
        <w:t xml:space="preserve">Reconciliation of statutory (loss)/profit to underlying </w:t>
      </w:r>
      <w:r w:rsidR="0A4E8626">
        <w:t>EBITDA</w:t>
      </w:r>
    </w:p>
    <w:tbl>
      <w:tblPr>
        <w:tblW w:w="4907" w:type="pct"/>
        <w:tblLayout w:type="fixed"/>
        <w:tblCellMar>
          <w:top w:w="28" w:type="dxa"/>
          <w:left w:w="28" w:type="dxa"/>
          <w:bottom w:w="28" w:type="dxa"/>
          <w:right w:w="28" w:type="dxa"/>
        </w:tblCellMar>
        <w:tblLook w:val="04A0" w:firstRow="1" w:lastRow="0" w:firstColumn="1" w:lastColumn="0" w:noHBand="0" w:noVBand="1"/>
      </w:tblPr>
      <w:tblGrid>
        <w:gridCol w:w="5387"/>
        <w:gridCol w:w="1157"/>
        <w:gridCol w:w="1157"/>
        <w:gridCol w:w="1157"/>
      </w:tblGrid>
      <w:tr w:rsidR="002547C4" w:rsidRPr="00F65403" w14:paraId="17D74633" w14:textId="77777777" w:rsidTr="0075264E">
        <w:trPr>
          <w:trHeight w:val="300"/>
        </w:trPr>
        <w:tc>
          <w:tcPr>
            <w:tcW w:w="3041" w:type="pct"/>
            <w:tcBorders>
              <w:top w:val="nil"/>
              <w:left w:val="nil"/>
              <w:bottom w:val="nil"/>
              <w:right w:val="nil"/>
            </w:tcBorders>
            <w:noWrap/>
            <w:vAlign w:val="bottom"/>
            <w:hideMark/>
          </w:tcPr>
          <w:p w14:paraId="362BB159" w14:textId="77777777" w:rsidR="002547C4" w:rsidRPr="00F65403" w:rsidRDefault="002547C4" w:rsidP="0075264E">
            <w:pPr>
              <w:spacing w:after="0" w:line="240" w:lineRule="auto"/>
              <w:rPr>
                <w:rFonts w:eastAsia="Times New Roman" w:cs="Arial"/>
                <w:b/>
                <w:bCs/>
                <w:color w:val="000000"/>
                <w:sz w:val="20"/>
                <w:szCs w:val="20"/>
                <w:highlight w:val="yellow"/>
                <w:lang w:eastAsia="en-AU"/>
              </w:rPr>
            </w:pPr>
          </w:p>
        </w:tc>
        <w:tc>
          <w:tcPr>
            <w:tcW w:w="653" w:type="pct"/>
            <w:tcBorders>
              <w:top w:val="nil"/>
              <w:left w:val="nil"/>
              <w:bottom w:val="nil"/>
              <w:right w:val="nil"/>
            </w:tcBorders>
            <w:vAlign w:val="bottom"/>
          </w:tcPr>
          <w:p w14:paraId="453F8650"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Year ended 30 June 2025</w:t>
            </w:r>
          </w:p>
        </w:tc>
        <w:tc>
          <w:tcPr>
            <w:tcW w:w="653" w:type="pct"/>
            <w:tcBorders>
              <w:top w:val="nil"/>
              <w:left w:val="nil"/>
              <w:bottom w:val="nil"/>
              <w:right w:val="nil"/>
            </w:tcBorders>
            <w:vAlign w:val="bottom"/>
          </w:tcPr>
          <w:p w14:paraId="311082E1"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c>
          <w:tcPr>
            <w:tcW w:w="653" w:type="pct"/>
            <w:tcBorders>
              <w:top w:val="nil"/>
              <w:left w:val="nil"/>
              <w:bottom w:val="nil"/>
              <w:right w:val="nil"/>
            </w:tcBorders>
            <w:vAlign w:val="bottom"/>
          </w:tcPr>
          <w:p w14:paraId="6179C714"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Change</w:t>
            </w:r>
          </w:p>
        </w:tc>
      </w:tr>
      <w:tr w:rsidR="002547C4" w:rsidRPr="00F65403" w14:paraId="0127206F" w14:textId="77777777" w:rsidTr="0075264E">
        <w:trPr>
          <w:trHeight w:val="300"/>
        </w:trPr>
        <w:tc>
          <w:tcPr>
            <w:tcW w:w="3041" w:type="pct"/>
            <w:tcBorders>
              <w:top w:val="nil"/>
              <w:left w:val="nil"/>
              <w:bottom w:val="nil"/>
              <w:right w:val="nil"/>
            </w:tcBorders>
            <w:noWrap/>
            <w:vAlign w:val="center"/>
            <w:hideMark/>
          </w:tcPr>
          <w:p w14:paraId="38ACD6A3" w14:textId="77777777" w:rsidR="002547C4" w:rsidRPr="00F65403" w:rsidRDefault="002547C4" w:rsidP="0075264E">
            <w:pPr>
              <w:spacing w:after="0" w:line="240" w:lineRule="auto"/>
              <w:jc w:val="right"/>
              <w:rPr>
                <w:rFonts w:eastAsia="Times New Roman" w:cs="Arial"/>
                <w:b/>
                <w:color w:val="000000"/>
                <w:sz w:val="20"/>
                <w:szCs w:val="20"/>
                <w:lang w:eastAsia="en-AU"/>
              </w:rPr>
            </w:pPr>
          </w:p>
        </w:tc>
        <w:tc>
          <w:tcPr>
            <w:tcW w:w="653" w:type="pct"/>
            <w:tcBorders>
              <w:top w:val="nil"/>
              <w:left w:val="nil"/>
              <w:bottom w:val="nil"/>
              <w:right w:val="nil"/>
            </w:tcBorders>
            <w:vAlign w:val="bottom"/>
            <w:hideMark/>
          </w:tcPr>
          <w:p w14:paraId="59B30953"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53" w:type="pct"/>
            <w:tcBorders>
              <w:top w:val="nil"/>
              <w:left w:val="nil"/>
              <w:bottom w:val="nil"/>
              <w:right w:val="nil"/>
            </w:tcBorders>
            <w:vAlign w:val="bottom"/>
            <w:hideMark/>
          </w:tcPr>
          <w:p w14:paraId="44799463"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53" w:type="pct"/>
            <w:tcBorders>
              <w:top w:val="nil"/>
              <w:left w:val="nil"/>
              <w:bottom w:val="nil"/>
              <w:right w:val="nil"/>
            </w:tcBorders>
            <w:vAlign w:val="bottom"/>
            <w:hideMark/>
          </w:tcPr>
          <w:p w14:paraId="073E6EA3" w14:textId="77777777" w:rsidR="002547C4" w:rsidRPr="00F65403" w:rsidRDefault="002547C4" w:rsidP="0075264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2547C4" w:rsidRPr="00F65403" w14:paraId="2C8A15D9" w14:textId="77777777" w:rsidTr="0075264E">
        <w:trPr>
          <w:trHeight w:val="300"/>
        </w:trPr>
        <w:tc>
          <w:tcPr>
            <w:tcW w:w="3041" w:type="pct"/>
            <w:tcBorders>
              <w:top w:val="nil"/>
              <w:left w:val="nil"/>
              <w:bottom w:val="nil"/>
              <w:right w:val="nil"/>
            </w:tcBorders>
            <w:noWrap/>
            <w:vAlign w:val="center"/>
            <w:hideMark/>
          </w:tcPr>
          <w:p w14:paraId="55140529" w14:textId="2299E9A7" w:rsidR="002547C4" w:rsidRPr="00AA3AC5" w:rsidRDefault="002547C4" w:rsidP="0075264E">
            <w:pPr>
              <w:spacing w:after="0" w:line="240" w:lineRule="auto"/>
              <w:rPr>
                <w:rFonts w:eastAsia="Times New Roman" w:cs="Arial"/>
                <w:b/>
                <w:bCs/>
                <w:color w:val="000000"/>
                <w:sz w:val="20"/>
                <w:szCs w:val="20"/>
                <w:lang w:eastAsia="en-AU"/>
              </w:rPr>
            </w:pPr>
            <w:r w:rsidRPr="00AA3AC5">
              <w:rPr>
                <w:rFonts w:eastAsia="Times New Roman" w:cs="Arial"/>
                <w:b/>
                <w:bCs/>
                <w:color w:val="000000" w:themeColor="text1"/>
                <w:sz w:val="20"/>
                <w:szCs w:val="20"/>
                <w:lang w:eastAsia="en-AU"/>
              </w:rPr>
              <w:t xml:space="preserve">Statutory </w:t>
            </w:r>
            <w:r w:rsidR="00FB180D" w:rsidRPr="00AA3AC5">
              <w:rPr>
                <w:rFonts w:eastAsia="Times New Roman" w:cs="Arial"/>
                <w:b/>
                <w:bCs/>
                <w:color w:val="000000" w:themeColor="text1"/>
                <w:sz w:val="20"/>
                <w:szCs w:val="20"/>
                <w:lang w:eastAsia="en-AU"/>
              </w:rPr>
              <w:t>(loss)/</w:t>
            </w:r>
            <w:r w:rsidRPr="00AA3AC5">
              <w:rPr>
                <w:rFonts w:eastAsia="Times New Roman" w:cs="Arial"/>
                <w:b/>
                <w:bCs/>
                <w:color w:val="000000" w:themeColor="text1"/>
                <w:sz w:val="20"/>
                <w:szCs w:val="20"/>
                <w:lang w:eastAsia="en-AU"/>
              </w:rPr>
              <w:t>profit after tax</w:t>
            </w:r>
          </w:p>
        </w:tc>
        <w:tc>
          <w:tcPr>
            <w:tcW w:w="653" w:type="pct"/>
            <w:tcBorders>
              <w:top w:val="nil"/>
              <w:left w:val="nil"/>
              <w:bottom w:val="nil"/>
              <w:right w:val="nil"/>
            </w:tcBorders>
          </w:tcPr>
          <w:p w14:paraId="7C16D0A1"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6FE1A15E">
              <w:rPr>
                <w:rFonts w:cs="Arial"/>
                <w:sz w:val="20"/>
                <w:szCs w:val="20"/>
              </w:rPr>
              <w:t>(6,819)</w:t>
            </w:r>
          </w:p>
        </w:tc>
        <w:tc>
          <w:tcPr>
            <w:tcW w:w="653" w:type="pct"/>
            <w:tcBorders>
              <w:top w:val="nil"/>
              <w:left w:val="nil"/>
              <w:bottom w:val="nil"/>
              <w:right w:val="nil"/>
            </w:tcBorders>
          </w:tcPr>
          <w:p w14:paraId="124EBAE2"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00CF66B0">
              <w:rPr>
                <w:rFonts w:cs="Arial"/>
                <w:sz w:val="20"/>
                <w:szCs w:val="20"/>
              </w:rPr>
              <w:t>5,828</w:t>
            </w:r>
          </w:p>
        </w:tc>
        <w:tc>
          <w:tcPr>
            <w:tcW w:w="653" w:type="pct"/>
            <w:tcBorders>
              <w:top w:val="nil"/>
              <w:left w:val="nil"/>
              <w:bottom w:val="nil"/>
              <w:right w:val="nil"/>
            </w:tcBorders>
          </w:tcPr>
          <w:p w14:paraId="71643675" w14:textId="77777777" w:rsidR="002547C4" w:rsidRPr="00CF66B0" w:rsidRDefault="002547C4" w:rsidP="0075264E">
            <w:pPr>
              <w:tabs>
                <w:tab w:val="decimal" w:pos="952"/>
              </w:tabs>
              <w:spacing w:after="0" w:line="240" w:lineRule="auto"/>
              <w:rPr>
                <w:rFonts w:eastAsia="Times New Roman" w:cs="Arial"/>
                <w:color w:val="000000"/>
                <w:sz w:val="20"/>
                <w:szCs w:val="20"/>
                <w:lang w:eastAsia="en-AU"/>
              </w:rPr>
            </w:pPr>
            <w:r w:rsidRPr="00CF66B0">
              <w:rPr>
                <w:rFonts w:cs="Arial"/>
                <w:sz w:val="20"/>
                <w:szCs w:val="20"/>
              </w:rPr>
              <w:t>(</w:t>
            </w:r>
            <w:r w:rsidRPr="6FE1A15E">
              <w:rPr>
                <w:rFonts w:cs="Arial"/>
                <w:sz w:val="20"/>
                <w:szCs w:val="20"/>
              </w:rPr>
              <w:t>12</w:t>
            </w:r>
            <w:r>
              <w:rPr>
                <w:rFonts w:cs="Arial"/>
                <w:sz w:val="20"/>
                <w:szCs w:val="20"/>
              </w:rPr>
              <w:t>,647</w:t>
            </w:r>
            <w:r w:rsidRPr="00CF66B0">
              <w:rPr>
                <w:rFonts w:cs="Arial"/>
                <w:sz w:val="20"/>
                <w:szCs w:val="20"/>
              </w:rPr>
              <w:t>)</w:t>
            </w:r>
          </w:p>
        </w:tc>
      </w:tr>
      <w:tr w:rsidR="002547C4" w:rsidRPr="00F65403" w14:paraId="3D15975C" w14:textId="77777777" w:rsidTr="0075264E">
        <w:trPr>
          <w:trHeight w:val="300"/>
        </w:trPr>
        <w:tc>
          <w:tcPr>
            <w:tcW w:w="3041" w:type="pct"/>
            <w:tcBorders>
              <w:top w:val="nil"/>
              <w:left w:val="nil"/>
              <w:bottom w:val="nil"/>
              <w:right w:val="nil"/>
            </w:tcBorders>
            <w:noWrap/>
            <w:vAlign w:val="center"/>
          </w:tcPr>
          <w:p w14:paraId="4874FCAC" w14:textId="77777777" w:rsidR="002547C4" w:rsidRPr="00F65403" w:rsidRDefault="002547C4" w:rsidP="0075264E">
            <w:pPr>
              <w:spacing w:after="0" w:line="240" w:lineRule="auto"/>
              <w:rPr>
                <w:rFonts w:eastAsia="Times New Roman" w:cs="Arial"/>
                <w:i/>
                <w:iCs/>
                <w:color w:val="000000"/>
                <w:sz w:val="20"/>
                <w:szCs w:val="20"/>
                <w:lang w:eastAsia="en-AU"/>
              </w:rPr>
            </w:pPr>
            <w:r w:rsidRPr="00F65403">
              <w:rPr>
                <w:rFonts w:eastAsia="Times New Roman" w:cs="Arial"/>
                <w:i/>
                <w:iCs/>
                <w:color w:val="000000"/>
                <w:sz w:val="20"/>
                <w:szCs w:val="20"/>
                <w:lang w:eastAsia="en-AU"/>
              </w:rPr>
              <w:t>Items excluded from Underlying Profit (post-tax)</w:t>
            </w:r>
          </w:p>
        </w:tc>
        <w:tc>
          <w:tcPr>
            <w:tcW w:w="653" w:type="pct"/>
            <w:tcBorders>
              <w:top w:val="nil"/>
              <w:left w:val="nil"/>
              <w:bottom w:val="nil"/>
              <w:right w:val="nil"/>
            </w:tcBorders>
          </w:tcPr>
          <w:p w14:paraId="4B0E4054" w14:textId="77777777" w:rsidR="002547C4" w:rsidRPr="00CF66B0" w:rsidRDefault="002547C4" w:rsidP="0075264E">
            <w:pPr>
              <w:tabs>
                <w:tab w:val="decimal" w:pos="952"/>
              </w:tabs>
              <w:spacing w:after="0" w:line="240" w:lineRule="auto"/>
              <w:rPr>
                <w:rFonts w:eastAsia="Times New Roman" w:cs="Arial"/>
                <w:sz w:val="20"/>
                <w:szCs w:val="20"/>
                <w:lang w:eastAsia="en-AU"/>
              </w:rPr>
            </w:pPr>
          </w:p>
        </w:tc>
        <w:tc>
          <w:tcPr>
            <w:tcW w:w="653" w:type="pct"/>
            <w:tcBorders>
              <w:top w:val="nil"/>
              <w:left w:val="nil"/>
              <w:bottom w:val="nil"/>
              <w:right w:val="nil"/>
            </w:tcBorders>
          </w:tcPr>
          <w:p w14:paraId="7CC6BB4A" w14:textId="77777777" w:rsidR="002547C4" w:rsidRPr="00CF66B0" w:rsidRDefault="002547C4" w:rsidP="0075264E">
            <w:pPr>
              <w:tabs>
                <w:tab w:val="decimal" w:pos="952"/>
              </w:tabs>
              <w:spacing w:after="0" w:line="240" w:lineRule="auto"/>
              <w:rPr>
                <w:rFonts w:eastAsia="Times New Roman" w:cs="Arial"/>
                <w:sz w:val="20"/>
                <w:szCs w:val="20"/>
                <w:lang w:eastAsia="en-AU"/>
              </w:rPr>
            </w:pPr>
          </w:p>
        </w:tc>
        <w:tc>
          <w:tcPr>
            <w:tcW w:w="653" w:type="pct"/>
            <w:tcBorders>
              <w:top w:val="nil"/>
              <w:left w:val="nil"/>
              <w:bottom w:val="nil"/>
              <w:right w:val="nil"/>
            </w:tcBorders>
          </w:tcPr>
          <w:p w14:paraId="6F0C11D9" w14:textId="77777777" w:rsidR="002547C4" w:rsidRPr="00CF66B0" w:rsidRDefault="002547C4" w:rsidP="0075264E">
            <w:pPr>
              <w:tabs>
                <w:tab w:val="decimal" w:pos="952"/>
              </w:tabs>
              <w:spacing w:after="0" w:line="240" w:lineRule="auto"/>
              <w:rPr>
                <w:rFonts w:eastAsia="Times New Roman" w:cs="Arial"/>
                <w:color w:val="000000"/>
                <w:sz w:val="20"/>
                <w:szCs w:val="20"/>
                <w:lang w:eastAsia="en-AU"/>
              </w:rPr>
            </w:pPr>
          </w:p>
        </w:tc>
      </w:tr>
      <w:tr w:rsidR="002547C4" w:rsidRPr="00F65403" w14:paraId="7EE4F720" w14:textId="77777777" w:rsidTr="0075264E">
        <w:trPr>
          <w:trHeight w:val="300"/>
        </w:trPr>
        <w:tc>
          <w:tcPr>
            <w:tcW w:w="3041" w:type="pct"/>
            <w:tcBorders>
              <w:top w:val="nil"/>
              <w:left w:val="nil"/>
              <w:bottom w:val="nil"/>
              <w:right w:val="nil"/>
            </w:tcBorders>
            <w:noWrap/>
            <w:vAlign w:val="center"/>
          </w:tcPr>
          <w:p w14:paraId="005C830F" w14:textId="77777777" w:rsidR="002547C4" w:rsidRPr="00F65403" w:rsidRDefault="002547C4" w:rsidP="0075264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Changes in fair value of financial instruments</w:t>
            </w:r>
          </w:p>
        </w:tc>
        <w:tc>
          <w:tcPr>
            <w:tcW w:w="653" w:type="pct"/>
            <w:tcBorders>
              <w:top w:val="nil"/>
              <w:left w:val="nil"/>
              <w:bottom w:val="nil"/>
              <w:right w:val="nil"/>
            </w:tcBorders>
          </w:tcPr>
          <w:p w14:paraId="781C99BB"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49BCD735">
              <w:rPr>
                <w:rFonts w:cs="Arial"/>
                <w:sz w:val="20"/>
                <w:szCs w:val="20"/>
              </w:rPr>
              <w:t>(40,821)</w:t>
            </w:r>
          </w:p>
        </w:tc>
        <w:tc>
          <w:tcPr>
            <w:tcW w:w="653" w:type="pct"/>
            <w:tcBorders>
              <w:top w:val="nil"/>
              <w:left w:val="nil"/>
              <w:bottom w:val="nil"/>
              <w:right w:val="nil"/>
            </w:tcBorders>
          </w:tcPr>
          <w:p w14:paraId="7C429F7B"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49BCD735">
              <w:rPr>
                <w:rFonts w:cs="Arial"/>
                <w:sz w:val="20"/>
                <w:szCs w:val="20"/>
              </w:rPr>
              <w:t>(13,830)</w:t>
            </w:r>
          </w:p>
        </w:tc>
        <w:tc>
          <w:tcPr>
            <w:tcW w:w="653" w:type="pct"/>
            <w:tcBorders>
              <w:top w:val="nil"/>
              <w:left w:val="nil"/>
              <w:bottom w:val="nil"/>
              <w:right w:val="nil"/>
            </w:tcBorders>
          </w:tcPr>
          <w:p w14:paraId="22ED2659" w14:textId="77777777" w:rsidR="002547C4" w:rsidRPr="00CF66B0" w:rsidRDefault="002547C4" w:rsidP="0075264E">
            <w:pPr>
              <w:tabs>
                <w:tab w:val="decimal" w:pos="952"/>
              </w:tabs>
              <w:spacing w:after="0" w:line="240" w:lineRule="auto"/>
              <w:rPr>
                <w:rFonts w:eastAsia="Times New Roman" w:cs="Arial"/>
                <w:color w:val="000000"/>
                <w:sz w:val="20"/>
                <w:szCs w:val="20"/>
                <w:lang w:eastAsia="en-AU"/>
              </w:rPr>
            </w:pPr>
            <w:r w:rsidRPr="49BCD735">
              <w:rPr>
                <w:rFonts w:cs="Arial"/>
                <w:sz w:val="20"/>
                <w:szCs w:val="20"/>
              </w:rPr>
              <w:t>(26,991)</w:t>
            </w:r>
          </w:p>
        </w:tc>
      </w:tr>
      <w:tr w:rsidR="002547C4" w:rsidRPr="00F65403" w14:paraId="5A5F0288" w14:textId="77777777" w:rsidTr="0075264E">
        <w:trPr>
          <w:trHeight w:val="300"/>
        </w:trPr>
        <w:tc>
          <w:tcPr>
            <w:tcW w:w="3041" w:type="pct"/>
            <w:tcBorders>
              <w:top w:val="nil"/>
              <w:left w:val="nil"/>
              <w:bottom w:val="nil"/>
              <w:right w:val="nil"/>
            </w:tcBorders>
            <w:noWrap/>
            <w:vAlign w:val="center"/>
          </w:tcPr>
          <w:p w14:paraId="30E97BD0" w14:textId="77777777" w:rsidR="002547C4" w:rsidRPr="00F65403" w:rsidRDefault="002547C4" w:rsidP="0075264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Significant items</w:t>
            </w:r>
          </w:p>
        </w:tc>
        <w:tc>
          <w:tcPr>
            <w:tcW w:w="653" w:type="pct"/>
            <w:tcBorders>
              <w:top w:val="nil"/>
              <w:left w:val="nil"/>
              <w:bottom w:val="nil"/>
              <w:right w:val="nil"/>
            </w:tcBorders>
          </w:tcPr>
          <w:p w14:paraId="083FB7B4"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00CF66B0">
              <w:rPr>
                <w:rFonts w:cs="Arial"/>
                <w:sz w:val="20"/>
                <w:szCs w:val="20"/>
              </w:rPr>
              <w:t xml:space="preserve"> -   </w:t>
            </w:r>
          </w:p>
        </w:tc>
        <w:tc>
          <w:tcPr>
            <w:tcW w:w="653" w:type="pct"/>
            <w:tcBorders>
              <w:top w:val="nil"/>
              <w:left w:val="nil"/>
              <w:bottom w:val="nil"/>
              <w:right w:val="nil"/>
            </w:tcBorders>
          </w:tcPr>
          <w:p w14:paraId="0F771F67" w14:textId="77777777" w:rsidR="002547C4" w:rsidRPr="00CF66B0" w:rsidRDefault="002547C4" w:rsidP="0075264E">
            <w:pPr>
              <w:tabs>
                <w:tab w:val="decimal" w:pos="952"/>
              </w:tabs>
              <w:spacing w:after="0" w:line="240" w:lineRule="auto"/>
              <w:rPr>
                <w:rFonts w:eastAsia="Times New Roman" w:cs="Arial"/>
                <w:sz w:val="20"/>
                <w:szCs w:val="20"/>
                <w:lang w:eastAsia="en-AU"/>
              </w:rPr>
            </w:pPr>
            <w:r w:rsidRPr="00CF66B0">
              <w:rPr>
                <w:rFonts w:cs="Arial"/>
                <w:sz w:val="20"/>
                <w:szCs w:val="20"/>
              </w:rPr>
              <w:t xml:space="preserve"> -   </w:t>
            </w:r>
          </w:p>
        </w:tc>
        <w:tc>
          <w:tcPr>
            <w:tcW w:w="653" w:type="pct"/>
            <w:tcBorders>
              <w:top w:val="nil"/>
              <w:left w:val="nil"/>
              <w:bottom w:val="nil"/>
              <w:right w:val="nil"/>
            </w:tcBorders>
          </w:tcPr>
          <w:p w14:paraId="67FC6FEF" w14:textId="77777777" w:rsidR="002547C4" w:rsidRPr="00CF66B0" w:rsidRDefault="002547C4" w:rsidP="0075264E">
            <w:pPr>
              <w:tabs>
                <w:tab w:val="decimal" w:pos="952"/>
              </w:tabs>
              <w:spacing w:after="0" w:line="240" w:lineRule="auto"/>
              <w:rPr>
                <w:rFonts w:eastAsia="Times New Roman" w:cs="Arial"/>
                <w:color w:val="000000"/>
                <w:sz w:val="20"/>
                <w:szCs w:val="20"/>
                <w:lang w:eastAsia="en-AU"/>
              </w:rPr>
            </w:pPr>
            <w:r w:rsidRPr="00CF66B0">
              <w:rPr>
                <w:rFonts w:cs="Arial"/>
                <w:sz w:val="20"/>
                <w:szCs w:val="20"/>
              </w:rPr>
              <w:t xml:space="preserve"> -   </w:t>
            </w:r>
          </w:p>
        </w:tc>
      </w:tr>
      <w:tr w:rsidR="002547C4" w:rsidRPr="00CF66B0" w14:paraId="3F1B802D" w14:textId="77777777" w:rsidTr="0075264E">
        <w:trPr>
          <w:trHeight w:val="300"/>
        </w:trPr>
        <w:tc>
          <w:tcPr>
            <w:tcW w:w="3041" w:type="pct"/>
            <w:tcBorders>
              <w:top w:val="nil"/>
              <w:left w:val="nil"/>
              <w:bottom w:val="nil"/>
              <w:right w:val="nil"/>
            </w:tcBorders>
            <w:vAlign w:val="center"/>
            <w:hideMark/>
          </w:tcPr>
          <w:p w14:paraId="09F10C07" w14:textId="77777777" w:rsidR="002547C4" w:rsidRPr="00F65403" w:rsidRDefault="002547C4" w:rsidP="0075264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Underlying (loss)/profit after tax</w:t>
            </w:r>
          </w:p>
        </w:tc>
        <w:tc>
          <w:tcPr>
            <w:tcW w:w="653" w:type="pct"/>
            <w:tcBorders>
              <w:top w:val="single" w:sz="4" w:space="0" w:color="auto"/>
              <w:left w:val="nil"/>
              <w:bottom w:val="single" w:sz="4" w:space="0" w:color="auto"/>
              <w:right w:val="nil"/>
            </w:tcBorders>
          </w:tcPr>
          <w:p w14:paraId="7F671C3D"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w:t>
            </w:r>
            <w:r w:rsidRPr="6FE1A15E">
              <w:rPr>
                <w:rFonts w:cs="Arial"/>
                <w:b/>
                <w:bCs/>
                <w:sz w:val="20"/>
                <w:szCs w:val="20"/>
              </w:rPr>
              <w:t>47</w:t>
            </w:r>
            <w:r>
              <w:rPr>
                <w:rFonts w:cs="Arial"/>
                <w:b/>
                <w:bCs/>
                <w:sz w:val="20"/>
                <w:szCs w:val="20"/>
              </w:rPr>
              <w:t>,640</w:t>
            </w:r>
            <w:r w:rsidRPr="00CF66B0">
              <w:rPr>
                <w:rFonts w:cs="Arial"/>
                <w:b/>
                <w:bCs/>
                <w:sz w:val="20"/>
                <w:szCs w:val="20"/>
              </w:rPr>
              <w:t>)</w:t>
            </w:r>
          </w:p>
        </w:tc>
        <w:tc>
          <w:tcPr>
            <w:tcW w:w="653" w:type="pct"/>
            <w:tcBorders>
              <w:top w:val="single" w:sz="4" w:space="0" w:color="auto"/>
              <w:left w:val="nil"/>
              <w:bottom w:val="single" w:sz="4" w:space="0" w:color="auto"/>
              <w:right w:val="nil"/>
            </w:tcBorders>
          </w:tcPr>
          <w:p w14:paraId="31B35D1A"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(8,002)</w:t>
            </w:r>
          </w:p>
        </w:tc>
        <w:tc>
          <w:tcPr>
            <w:tcW w:w="653" w:type="pct"/>
            <w:tcBorders>
              <w:top w:val="single" w:sz="4" w:space="0" w:color="auto"/>
              <w:left w:val="nil"/>
              <w:bottom w:val="single" w:sz="4" w:space="0" w:color="auto"/>
              <w:right w:val="nil"/>
            </w:tcBorders>
          </w:tcPr>
          <w:p w14:paraId="49077B8C"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w:t>
            </w:r>
            <w:r w:rsidRPr="6FE1A15E">
              <w:rPr>
                <w:rFonts w:cs="Arial"/>
                <w:b/>
                <w:bCs/>
                <w:sz w:val="20"/>
                <w:szCs w:val="20"/>
              </w:rPr>
              <w:t>39</w:t>
            </w:r>
            <w:r>
              <w:rPr>
                <w:rFonts w:cs="Arial"/>
                <w:b/>
                <w:bCs/>
                <w:sz w:val="20"/>
                <w:szCs w:val="20"/>
              </w:rPr>
              <w:t>,638</w:t>
            </w:r>
            <w:r w:rsidRPr="00CF66B0">
              <w:rPr>
                <w:rFonts w:cs="Arial"/>
                <w:b/>
                <w:bCs/>
                <w:sz w:val="20"/>
                <w:szCs w:val="20"/>
              </w:rPr>
              <w:t>)</w:t>
            </w:r>
          </w:p>
        </w:tc>
      </w:tr>
      <w:tr w:rsidR="002547C4" w:rsidRPr="00F65403" w14:paraId="2A700D1E" w14:textId="77777777" w:rsidTr="0075264E">
        <w:trPr>
          <w:trHeight w:val="300"/>
        </w:trPr>
        <w:tc>
          <w:tcPr>
            <w:tcW w:w="3041" w:type="pct"/>
            <w:tcBorders>
              <w:top w:val="nil"/>
              <w:left w:val="nil"/>
              <w:bottom w:val="nil"/>
              <w:right w:val="nil"/>
            </w:tcBorders>
            <w:vAlign w:val="center"/>
          </w:tcPr>
          <w:p w14:paraId="1D1121C8" w14:textId="77777777" w:rsidR="002547C4" w:rsidRPr="00285F3D" w:rsidRDefault="002547C4" w:rsidP="0075264E">
            <w:pPr>
              <w:spacing w:after="0" w:line="240" w:lineRule="auto"/>
              <w:rPr>
                <w:rFonts w:eastAsia="Times New Roman" w:cs="Arial"/>
                <w:bCs/>
                <w:i/>
                <w:iCs/>
                <w:color w:val="000000"/>
                <w:sz w:val="20"/>
                <w:szCs w:val="20"/>
                <w:lang w:eastAsia="en-AU"/>
              </w:rPr>
            </w:pPr>
            <w:r w:rsidRPr="00285F3D">
              <w:rPr>
                <w:rFonts w:eastAsia="Times New Roman" w:cs="Arial"/>
                <w:bCs/>
                <w:i/>
                <w:iCs/>
                <w:color w:val="000000"/>
                <w:sz w:val="20"/>
                <w:szCs w:val="20"/>
                <w:lang w:eastAsia="en-AU"/>
              </w:rPr>
              <w:t>Items excluded from Underlying EBITDA</w:t>
            </w:r>
          </w:p>
        </w:tc>
        <w:tc>
          <w:tcPr>
            <w:tcW w:w="653" w:type="pct"/>
            <w:tcBorders>
              <w:top w:val="single" w:sz="4" w:space="0" w:color="auto"/>
              <w:left w:val="nil"/>
              <w:right w:val="nil"/>
            </w:tcBorders>
          </w:tcPr>
          <w:p w14:paraId="3549AA8E" w14:textId="77777777" w:rsidR="002547C4" w:rsidRPr="00CF66B0" w:rsidRDefault="002547C4" w:rsidP="0075264E">
            <w:pPr>
              <w:tabs>
                <w:tab w:val="decimal" w:pos="952"/>
              </w:tabs>
              <w:spacing w:after="0" w:line="240" w:lineRule="auto"/>
              <w:rPr>
                <w:rFonts w:cs="Arial"/>
                <w:sz w:val="20"/>
                <w:szCs w:val="20"/>
              </w:rPr>
            </w:pPr>
          </w:p>
        </w:tc>
        <w:tc>
          <w:tcPr>
            <w:tcW w:w="653" w:type="pct"/>
            <w:tcBorders>
              <w:top w:val="single" w:sz="4" w:space="0" w:color="auto"/>
              <w:left w:val="nil"/>
              <w:right w:val="nil"/>
            </w:tcBorders>
          </w:tcPr>
          <w:p w14:paraId="6620EC90" w14:textId="77777777" w:rsidR="002547C4" w:rsidRPr="00CF66B0" w:rsidRDefault="002547C4" w:rsidP="0075264E">
            <w:pPr>
              <w:tabs>
                <w:tab w:val="decimal" w:pos="952"/>
              </w:tabs>
              <w:spacing w:after="0" w:line="240" w:lineRule="auto"/>
              <w:rPr>
                <w:rFonts w:cs="Arial"/>
                <w:sz w:val="20"/>
                <w:szCs w:val="20"/>
              </w:rPr>
            </w:pPr>
          </w:p>
        </w:tc>
        <w:tc>
          <w:tcPr>
            <w:tcW w:w="653" w:type="pct"/>
            <w:tcBorders>
              <w:top w:val="single" w:sz="4" w:space="0" w:color="auto"/>
              <w:left w:val="nil"/>
              <w:right w:val="nil"/>
            </w:tcBorders>
          </w:tcPr>
          <w:p w14:paraId="18204E7F" w14:textId="77777777" w:rsidR="002547C4" w:rsidRPr="00CF66B0" w:rsidRDefault="002547C4" w:rsidP="0075264E">
            <w:pPr>
              <w:tabs>
                <w:tab w:val="decimal" w:pos="952"/>
              </w:tabs>
              <w:spacing w:after="0" w:line="240" w:lineRule="auto"/>
              <w:rPr>
                <w:rFonts w:cs="Arial"/>
                <w:sz w:val="20"/>
                <w:szCs w:val="20"/>
              </w:rPr>
            </w:pPr>
          </w:p>
        </w:tc>
      </w:tr>
      <w:tr w:rsidR="002547C4" w:rsidRPr="00F65403" w14:paraId="51C9E0F7" w14:textId="77777777" w:rsidTr="0075264E">
        <w:trPr>
          <w:trHeight w:val="300"/>
        </w:trPr>
        <w:tc>
          <w:tcPr>
            <w:tcW w:w="3041" w:type="pct"/>
            <w:tcBorders>
              <w:top w:val="nil"/>
              <w:left w:val="nil"/>
              <w:bottom w:val="nil"/>
              <w:right w:val="nil"/>
            </w:tcBorders>
            <w:vAlign w:val="center"/>
          </w:tcPr>
          <w:p w14:paraId="27B40D78"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Depreciation and amortisation</w:t>
            </w:r>
          </w:p>
        </w:tc>
        <w:tc>
          <w:tcPr>
            <w:tcW w:w="653" w:type="pct"/>
            <w:tcBorders>
              <w:left w:val="nil"/>
              <w:right w:val="nil"/>
            </w:tcBorders>
          </w:tcPr>
          <w:p w14:paraId="417578B4"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164</w:t>
            </w:r>
          </w:p>
        </w:tc>
        <w:tc>
          <w:tcPr>
            <w:tcW w:w="653" w:type="pct"/>
            <w:tcBorders>
              <w:left w:val="nil"/>
              <w:right w:val="nil"/>
            </w:tcBorders>
          </w:tcPr>
          <w:p w14:paraId="52A46F80"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 xml:space="preserve"> -   </w:t>
            </w:r>
          </w:p>
        </w:tc>
        <w:tc>
          <w:tcPr>
            <w:tcW w:w="653" w:type="pct"/>
            <w:tcBorders>
              <w:left w:val="nil"/>
              <w:right w:val="nil"/>
            </w:tcBorders>
          </w:tcPr>
          <w:p w14:paraId="095660BD"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164</w:t>
            </w:r>
          </w:p>
        </w:tc>
      </w:tr>
      <w:tr w:rsidR="002547C4" w:rsidRPr="00F65403" w14:paraId="2581AEDD" w14:textId="77777777" w:rsidTr="0075264E">
        <w:trPr>
          <w:trHeight w:val="300"/>
        </w:trPr>
        <w:tc>
          <w:tcPr>
            <w:tcW w:w="3041" w:type="pct"/>
            <w:tcBorders>
              <w:top w:val="nil"/>
              <w:left w:val="nil"/>
              <w:bottom w:val="nil"/>
              <w:right w:val="nil"/>
            </w:tcBorders>
            <w:vAlign w:val="center"/>
          </w:tcPr>
          <w:p w14:paraId="48C8474F" w14:textId="2B44B3E7" w:rsidR="002547C4" w:rsidRPr="00F65403" w:rsidRDefault="002547C4" w:rsidP="0075264E">
            <w:pPr>
              <w:spacing w:after="0" w:line="240" w:lineRule="auto"/>
              <w:rPr>
                <w:rFonts w:eastAsia="Times New Roman" w:cs="Arial"/>
                <w:bCs/>
                <w:color w:val="000000"/>
                <w:sz w:val="20"/>
                <w:szCs w:val="20"/>
                <w:lang w:eastAsia="en-AU"/>
              </w:rPr>
            </w:pPr>
            <w:r w:rsidRPr="108E660E">
              <w:rPr>
                <w:rFonts w:eastAsia="Times New Roman" w:cs="Arial"/>
                <w:color w:val="000000" w:themeColor="text1"/>
                <w:sz w:val="20"/>
                <w:szCs w:val="20"/>
                <w:lang w:eastAsia="en-AU"/>
              </w:rPr>
              <w:t>Net finance income</w:t>
            </w:r>
          </w:p>
        </w:tc>
        <w:tc>
          <w:tcPr>
            <w:tcW w:w="653" w:type="pct"/>
            <w:tcBorders>
              <w:left w:val="nil"/>
              <w:right w:val="nil"/>
            </w:tcBorders>
          </w:tcPr>
          <w:p w14:paraId="46648AE6"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(19,291)</w:t>
            </w:r>
          </w:p>
        </w:tc>
        <w:tc>
          <w:tcPr>
            <w:tcW w:w="653" w:type="pct"/>
            <w:tcBorders>
              <w:left w:val="nil"/>
              <w:right w:val="nil"/>
            </w:tcBorders>
          </w:tcPr>
          <w:p w14:paraId="1A31744C"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(2,032)</w:t>
            </w:r>
          </w:p>
        </w:tc>
        <w:tc>
          <w:tcPr>
            <w:tcW w:w="653" w:type="pct"/>
            <w:tcBorders>
              <w:left w:val="nil"/>
              <w:right w:val="nil"/>
            </w:tcBorders>
          </w:tcPr>
          <w:p w14:paraId="764739CF"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(17,259)</w:t>
            </w:r>
          </w:p>
        </w:tc>
      </w:tr>
      <w:tr w:rsidR="002547C4" w:rsidRPr="00F65403" w14:paraId="2D77C224" w14:textId="77777777" w:rsidTr="0075264E">
        <w:trPr>
          <w:trHeight w:val="300"/>
        </w:trPr>
        <w:tc>
          <w:tcPr>
            <w:tcW w:w="3041" w:type="pct"/>
            <w:tcBorders>
              <w:top w:val="nil"/>
              <w:left w:val="nil"/>
              <w:bottom w:val="nil"/>
              <w:right w:val="nil"/>
            </w:tcBorders>
            <w:vAlign w:val="center"/>
          </w:tcPr>
          <w:p w14:paraId="7B1E2714"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Income tax expense</w:t>
            </w:r>
          </w:p>
        </w:tc>
        <w:tc>
          <w:tcPr>
            <w:tcW w:w="653" w:type="pct"/>
            <w:tcBorders>
              <w:left w:val="nil"/>
              <w:bottom w:val="single" w:sz="4" w:space="0" w:color="auto"/>
              <w:right w:val="nil"/>
            </w:tcBorders>
          </w:tcPr>
          <w:p w14:paraId="4ECE1F74"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sidDel="00A3320F">
              <w:rPr>
                <w:rFonts w:cs="Arial"/>
                <w:sz w:val="20"/>
                <w:szCs w:val="20"/>
              </w:rPr>
              <w:t xml:space="preserve"> </w:t>
            </w:r>
            <w:r>
              <w:rPr>
                <w:rFonts w:cs="Arial"/>
                <w:sz w:val="20"/>
                <w:szCs w:val="20"/>
              </w:rPr>
              <w:t>5,239</w:t>
            </w:r>
            <w:r w:rsidRPr="00CF66B0">
              <w:rPr>
                <w:rFonts w:cs="Arial"/>
                <w:sz w:val="20"/>
                <w:szCs w:val="20"/>
              </w:rPr>
              <w:t xml:space="preserve">   </w:t>
            </w:r>
          </w:p>
        </w:tc>
        <w:tc>
          <w:tcPr>
            <w:tcW w:w="653" w:type="pct"/>
            <w:tcBorders>
              <w:left w:val="nil"/>
              <w:bottom w:val="single" w:sz="4" w:space="0" w:color="auto"/>
              <w:right w:val="nil"/>
            </w:tcBorders>
          </w:tcPr>
          <w:p w14:paraId="54998247"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 xml:space="preserve"> -   </w:t>
            </w:r>
          </w:p>
        </w:tc>
        <w:tc>
          <w:tcPr>
            <w:tcW w:w="653" w:type="pct"/>
            <w:tcBorders>
              <w:left w:val="nil"/>
              <w:bottom w:val="single" w:sz="4" w:space="0" w:color="auto"/>
              <w:right w:val="nil"/>
            </w:tcBorders>
          </w:tcPr>
          <w:p w14:paraId="2027AF2B"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Pr>
                <w:rFonts w:cs="Arial"/>
                <w:sz w:val="20"/>
                <w:szCs w:val="20"/>
              </w:rPr>
              <w:t>5,239</w:t>
            </w:r>
            <w:r w:rsidRPr="00CF66B0">
              <w:rPr>
                <w:rFonts w:cs="Arial"/>
                <w:sz w:val="20"/>
                <w:szCs w:val="20"/>
              </w:rPr>
              <w:t xml:space="preserve">   </w:t>
            </w:r>
          </w:p>
        </w:tc>
      </w:tr>
      <w:tr w:rsidR="002547C4" w:rsidRPr="00CF66B0" w14:paraId="3FEE855B" w14:textId="77777777" w:rsidTr="0075264E">
        <w:trPr>
          <w:trHeight w:val="300"/>
        </w:trPr>
        <w:tc>
          <w:tcPr>
            <w:tcW w:w="3041" w:type="pct"/>
            <w:tcBorders>
              <w:top w:val="nil"/>
              <w:left w:val="nil"/>
              <w:bottom w:val="nil"/>
              <w:right w:val="nil"/>
            </w:tcBorders>
            <w:vAlign w:val="center"/>
          </w:tcPr>
          <w:p w14:paraId="665F976C" w14:textId="77777777" w:rsidR="002547C4" w:rsidRPr="00F65403" w:rsidRDefault="002547C4" w:rsidP="0075264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Underlying EBITDA</w:t>
            </w:r>
          </w:p>
        </w:tc>
        <w:tc>
          <w:tcPr>
            <w:tcW w:w="653" w:type="pct"/>
            <w:tcBorders>
              <w:top w:val="single" w:sz="4" w:space="0" w:color="auto"/>
              <w:left w:val="nil"/>
              <w:bottom w:val="single" w:sz="4" w:space="0" w:color="auto"/>
              <w:right w:val="nil"/>
            </w:tcBorders>
          </w:tcPr>
          <w:p w14:paraId="7C40FAD9"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(61,528)</w:t>
            </w:r>
          </w:p>
        </w:tc>
        <w:tc>
          <w:tcPr>
            <w:tcW w:w="653" w:type="pct"/>
            <w:tcBorders>
              <w:top w:val="single" w:sz="4" w:space="0" w:color="auto"/>
              <w:left w:val="nil"/>
              <w:bottom w:val="single" w:sz="4" w:space="0" w:color="auto"/>
              <w:right w:val="nil"/>
            </w:tcBorders>
          </w:tcPr>
          <w:p w14:paraId="63E45742"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(10,034)</w:t>
            </w:r>
          </w:p>
        </w:tc>
        <w:tc>
          <w:tcPr>
            <w:tcW w:w="653" w:type="pct"/>
            <w:tcBorders>
              <w:top w:val="single" w:sz="4" w:space="0" w:color="auto"/>
              <w:left w:val="nil"/>
              <w:bottom w:val="single" w:sz="4" w:space="0" w:color="auto"/>
              <w:right w:val="nil"/>
            </w:tcBorders>
          </w:tcPr>
          <w:p w14:paraId="49F465B4"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(51,494)</w:t>
            </w:r>
          </w:p>
        </w:tc>
      </w:tr>
      <w:tr w:rsidR="002547C4" w:rsidRPr="00F65403" w14:paraId="4F5F9F39" w14:textId="77777777" w:rsidTr="0075264E">
        <w:trPr>
          <w:trHeight w:val="300"/>
        </w:trPr>
        <w:tc>
          <w:tcPr>
            <w:tcW w:w="3041" w:type="pct"/>
            <w:tcBorders>
              <w:top w:val="nil"/>
              <w:left w:val="nil"/>
              <w:bottom w:val="nil"/>
              <w:right w:val="nil"/>
            </w:tcBorders>
            <w:vAlign w:val="center"/>
          </w:tcPr>
          <w:p w14:paraId="3C7EBB2B" w14:textId="77777777" w:rsidR="002547C4" w:rsidRPr="00F65403" w:rsidRDefault="002547C4" w:rsidP="0075264E">
            <w:pPr>
              <w:spacing w:after="0" w:line="240" w:lineRule="auto"/>
              <w:rPr>
                <w:rFonts w:eastAsia="Times New Roman" w:cs="Arial"/>
                <w:bCs/>
                <w:i/>
                <w:iCs/>
                <w:color w:val="000000"/>
                <w:sz w:val="20"/>
                <w:szCs w:val="20"/>
                <w:lang w:eastAsia="en-AU"/>
              </w:rPr>
            </w:pPr>
            <w:r w:rsidRPr="00F65403">
              <w:rPr>
                <w:rFonts w:eastAsia="Times New Roman" w:cs="Arial"/>
                <w:bCs/>
                <w:i/>
                <w:iCs/>
                <w:color w:val="000000"/>
                <w:sz w:val="20"/>
                <w:szCs w:val="20"/>
                <w:lang w:eastAsia="en-AU"/>
              </w:rPr>
              <w:t>By segment:</w:t>
            </w:r>
          </w:p>
        </w:tc>
        <w:tc>
          <w:tcPr>
            <w:tcW w:w="653" w:type="pct"/>
            <w:tcBorders>
              <w:top w:val="single" w:sz="4" w:space="0" w:color="auto"/>
              <w:left w:val="nil"/>
              <w:right w:val="nil"/>
            </w:tcBorders>
          </w:tcPr>
          <w:p w14:paraId="64DF228E"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p>
        </w:tc>
        <w:tc>
          <w:tcPr>
            <w:tcW w:w="653" w:type="pct"/>
            <w:tcBorders>
              <w:top w:val="single" w:sz="4" w:space="0" w:color="auto"/>
              <w:left w:val="nil"/>
              <w:right w:val="nil"/>
            </w:tcBorders>
          </w:tcPr>
          <w:p w14:paraId="5F3D9BCB"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p>
        </w:tc>
        <w:tc>
          <w:tcPr>
            <w:tcW w:w="653" w:type="pct"/>
            <w:tcBorders>
              <w:top w:val="single" w:sz="4" w:space="0" w:color="auto"/>
              <w:left w:val="nil"/>
              <w:right w:val="nil"/>
            </w:tcBorders>
          </w:tcPr>
          <w:p w14:paraId="598E9E66"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p>
        </w:tc>
      </w:tr>
      <w:tr w:rsidR="002547C4" w:rsidRPr="00F65403" w14:paraId="7905BF33" w14:textId="77777777" w:rsidTr="0075264E">
        <w:trPr>
          <w:trHeight w:val="300"/>
        </w:trPr>
        <w:tc>
          <w:tcPr>
            <w:tcW w:w="3041" w:type="pct"/>
            <w:tcBorders>
              <w:top w:val="nil"/>
              <w:left w:val="nil"/>
              <w:bottom w:val="nil"/>
              <w:right w:val="nil"/>
            </w:tcBorders>
            <w:vAlign w:val="center"/>
          </w:tcPr>
          <w:p w14:paraId="226C2454"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Assets</w:t>
            </w:r>
          </w:p>
        </w:tc>
        <w:tc>
          <w:tcPr>
            <w:tcW w:w="653" w:type="pct"/>
            <w:tcBorders>
              <w:left w:val="nil"/>
              <w:right w:val="nil"/>
            </w:tcBorders>
          </w:tcPr>
          <w:p w14:paraId="29BA5D18"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(13,078)</w:t>
            </w:r>
          </w:p>
        </w:tc>
        <w:tc>
          <w:tcPr>
            <w:tcW w:w="653" w:type="pct"/>
            <w:tcBorders>
              <w:left w:val="nil"/>
              <w:right w:val="nil"/>
            </w:tcBorders>
          </w:tcPr>
          <w:p w14:paraId="6D922C7F"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(5,880)</w:t>
            </w:r>
          </w:p>
        </w:tc>
        <w:tc>
          <w:tcPr>
            <w:tcW w:w="653" w:type="pct"/>
            <w:tcBorders>
              <w:left w:val="nil"/>
              <w:right w:val="nil"/>
            </w:tcBorders>
          </w:tcPr>
          <w:p w14:paraId="1BC1E89E"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(7,198)</w:t>
            </w:r>
          </w:p>
        </w:tc>
      </w:tr>
      <w:tr w:rsidR="002547C4" w:rsidRPr="00F65403" w14:paraId="6D2E1863" w14:textId="77777777" w:rsidTr="0075264E">
        <w:trPr>
          <w:trHeight w:val="300"/>
        </w:trPr>
        <w:tc>
          <w:tcPr>
            <w:tcW w:w="3041" w:type="pct"/>
            <w:tcBorders>
              <w:top w:val="nil"/>
              <w:left w:val="nil"/>
              <w:bottom w:val="nil"/>
              <w:right w:val="nil"/>
            </w:tcBorders>
            <w:vAlign w:val="center"/>
          </w:tcPr>
          <w:p w14:paraId="6C850481"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Energy markets</w:t>
            </w:r>
          </w:p>
        </w:tc>
        <w:tc>
          <w:tcPr>
            <w:tcW w:w="653" w:type="pct"/>
            <w:tcBorders>
              <w:left w:val="nil"/>
              <w:right w:val="nil"/>
            </w:tcBorders>
          </w:tcPr>
          <w:p w14:paraId="460AC82B"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(4,079)</w:t>
            </w:r>
          </w:p>
        </w:tc>
        <w:tc>
          <w:tcPr>
            <w:tcW w:w="653" w:type="pct"/>
            <w:tcBorders>
              <w:left w:val="nil"/>
              <w:right w:val="nil"/>
            </w:tcBorders>
          </w:tcPr>
          <w:p w14:paraId="26ADE47A"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(337)</w:t>
            </w:r>
          </w:p>
        </w:tc>
        <w:tc>
          <w:tcPr>
            <w:tcW w:w="653" w:type="pct"/>
            <w:tcBorders>
              <w:left w:val="nil"/>
              <w:right w:val="nil"/>
            </w:tcBorders>
          </w:tcPr>
          <w:p w14:paraId="7822E167"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(3,742)</w:t>
            </w:r>
          </w:p>
        </w:tc>
      </w:tr>
      <w:tr w:rsidR="002547C4" w:rsidRPr="00F65403" w14:paraId="3B049F0A" w14:textId="77777777" w:rsidTr="0075264E">
        <w:trPr>
          <w:trHeight w:val="285"/>
        </w:trPr>
        <w:tc>
          <w:tcPr>
            <w:tcW w:w="3041" w:type="pct"/>
            <w:tcBorders>
              <w:top w:val="nil"/>
              <w:left w:val="nil"/>
              <w:bottom w:val="nil"/>
              <w:right w:val="nil"/>
            </w:tcBorders>
            <w:vAlign w:val="center"/>
          </w:tcPr>
          <w:p w14:paraId="1C6A846E"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Consumer energy solutions</w:t>
            </w:r>
          </w:p>
        </w:tc>
        <w:tc>
          <w:tcPr>
            <w:tcW w:w="653" w:type="pct"/>
            <w:tcBorders>
              <w:left w:val="nil"/>
              <w:right w:val="nil"/>
            </w:tcBorders>
          </w:tcPr>
          <w:p w14:paraId="3D672A2E"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(5,231)</w:t>
            </w:r>
          </w:p>
        </w:tc>
        <w:tc>
          <w:tcPr>
            <w:tcW w:w="653" w:type="pct"/>
            <w:tcBorders>
              <w:left w:val="nil"/>
              <w:right w:val="nil"/>
            </w:tcBorders>
          </w:tcPr>
          <w:p w14:paraId="39CA05B9"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(294)</w:t>
            </w:r>
          </w:p>
        </w:tc>
        <w:tc>
          <w:tcPr>
            <w:tcW w:w="653" w:type="pct"/>
            <w:tcBorders>
              <w:left w:val="nil"/>
              <w:right w:val="nil"/>
            </w:tcBorders>
          </w:tcPr>
          <w:p w14:paraId="164A49F9"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(4,937)</w:t>
            </w:r>
          </w:p>
        </w:tc>
      </w:tr>
      <w:tr w:rsidR="002547C4" w:rsidRPr="00F65403" w14:paraId="046A378A" w14:textId="77777777" w:rsidTr="0075264E">
        <w:trPr>
          <w:trHeight w:val="300"/>
        </w:trPr>
        <w:tc>
          <w:tcPr>
            <w:tcW w:w="3041" w:type="pct"/>
            <w:tcBorders>
              <w:top w:val="nil"/>
              <w:left w:val="nil"/>
              <w:bottom w:val="nil"/>
              <w:right w:val="nil"/>
            </w:tcBorders>
            <w:vAlign w:val="center"/>
          </w:tcPr>
          <w:p w14:paraId="3B560458" w14:textId="77777777" w:rsidR="002547C4" w:rsidRPr="00F65403" w:rsidRDefault="002547C4" w:rsidP="0075264E">
            <w:pPr>
              <w:spacing w:after="0" w:line="240" w:lineRule="auto"/>
              <w:rPr>
                <w:rFonts w:eastAsia="Times New Roman" w:cs="Arial"/>
                <w:bCs/>
                <w:color w:val="000000"/>
                <w:sz w:val="20"/>
                <w:szCs w:val="20"/>
                <w:lang w:eastAsia="en-AU"/>
              </w:rPr>
            </w:pPr>
            <w:r w:rsidRPr="00F65403">
              <w:rPr>
                <w:rFonts w:eastAsia="Times New Roman" w:cs="Arial"/>
                <w:bCs/>
                <w:color w:val="000000"/>
                <w:sz w:val="20"/>
                <w:szCs w:val="20"/>
                <w:lang w:eastAsia="en-AU"/>
              </w:rPr>
              <w:t>Corporate services</w:t>
            </w:r>
          </w:p>
        </w:tc>
        <w:tc>
          <w:tcPr>
            <w:tcW w:w="653" w:type="pct"/>
            <w:tcBorders>
              <w:left w:val="nil"/>
              <w:bottom w:val="single" w:sz="4" w:space="0" w:color="auto"/>
              <w:right w:val="nil"/>
            </w:tcBorders>
          </w:tcPr>
          <w:p w14:paraId="6DF18945"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(39,140)</w:t>
            </w:r>
          </w:p>
        </w:tc>
        <w:tc>
          <w:tcPr>
            <w:tcW w:w="653" w:type="pct"/>
            <w:tcBorders>
              <w:left w:val="nil"/>
              <w:bottom w:val="single" w:sz="4" w:space="0" w:color="auto"/>
              <w:right w:val="nil"/>
            </w:tcBorders>
          </w:tcPr>
          <w:p w14:paraId="662C0C15"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(3,523)</w:t>
            </w:r>
          </w:p>
        </w:tc>
        <w:tc>
          <w:tcPr>
            <w:tcW w:w="653" w:type="pct"/>
            <w:tcBorders>
              <w:left w:val="nil"/>
              <w:bottom w:val="single" w:sz="4" w:space="0" w:color="auto"/>
              <w:right w:val="nil"/>
            </w:tcBorders>
          </w:tcPr>
          <w:p w14:paraId="42D870BF" w14:textId="77777777" w:rsidR="002547C4" w:rsidRPr="00CF66B0" w:rsidRDefault="002547C4" w:rsidP="0075264E">
            <w:pPr>
              <w:tabs>
                <w:tab w:val="decimal" w:pos="952"/>
              </w:tabs>
              <w:spacing w:after="0" w:line="240" w:lineRule="auto"/>
              <w:rPr>
                <w:rFonts w:eastAsia="Times New Roman" w:cs="Arial"/>
                <w:bCs/>
                <w:color w:val="000000"/>
                <w:sz w:val="20"/>
                <w:szCs w:val="20"/>
                <w:lang w:eastAsia="en-AU"/>
              </w:rPr>
            </w:pPr>
            <w:r w:rsidRPr="00CF66B0">
              <w:rPr>
                <w:rFonts w:cs="Arial"/>
                <w:sz w:val="20"/>
                <w:szCs w:val="20"/>
              </w:rPr>
              <w:t>(35,617)</w:t>
            </w:r>
          </w:p>
        </w:tc>
      </w:tr>
      <w:tr w:rsidR="002547C4" w:rsidRPr="00CF66B0" w14:paraId="2DA2A2D5" w14:textId="77777777" w:rsidTr="0075264E">
        <w:trPr>
          <w:trHeight w:val="300"/>
        </w:trPr>
        <w:tc>
          <w:tcPr>
            <w:tcW w:w="3041" w:type="pct"/>
            <w:tcBorders>
              <w:top w:val="nil"/>
              <w:left w:val="nil"/>
              <w:bottom w:val="nil"/>
              <w:right w:val="nil"/>
            </w:tcBorders>
            <w:vAlign w:val="center"/>
          </w:tcPr>
          <w:p w14:paraId="79E16F0A" w14:textId="77777777" w:rsidR="002547C4" w:rsidRPr="00F65403" w:rsidRDefault="002547C4" w:rsidP="0075264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Underlying EBITDA</w:t>
            </w:r>
          </w:p>
        </w:tc>
        <w:tc>
          <w:tcPr>
            <w:tcW w:w="653" w:type="pct"/>
            <w:tcBorders>
              <w:top w:val="single" w:sz="4" w:space="0" w:color="auto"/>
              <w:left w:val="nil"/>
              <w:bottom w:val="single" w:sz="4" w:space="0" w:color="auto"/>
              <w:right w:val="nil"/>
            </w:tcBorders>
          </w:tcPr>
          <w:p w14:paraId="586DBE87"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(61,528)</w:t>
            </w:r>
          </w:p>
        </w:tc>
        <w:tc>
          <w:tcPr>
            <w:tcW w:w="653" w:type="pct"/>
            <w:tcBorders>
              <w:top w:val="single" w:sz="4" w:space="0" w:color="auto"/>
              <w:left w:val="nil"/>
              <w:bottom w:val="single" w:sz="4" w:space="0" w:color="auto"/>
              <w:right w:val="nil"/>
            </w:tcBorders>
          </w:tcPr>
          <w:p w14:paraId="05333077"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(10,034)</w:t>
            </w:r>
          </w:p>
        </w:tc>
        <w:tc>
          <w:tcPr>
            <w:tcW w:w="653" w:type="pct"/>
            <w:tcBorders>
              <w:top w:val="single" w:sz="4" w:space="0" w:color="auto"/>
              <w:left w:val="nil"/>
              <w:bottom w:val="single" w:sz="4" w:space="0" w:color="auto"/>
              <w:right w:val="nil"/>
            </w:tcBorders>
          </w:tcPr>
          <w:p w14:paraId="17D6FC88" w14:textId="77777777" w:rsidR="002547C4" w:rsidRPr="00CF66B0" w:rsidRDefault="002547C4" w:rsidP="0075264E">
            <w:pPr>
              <w:tabs>
                <w:tab w:val="decimal" w:pos="952"/>
              </w:tabs>
              <w:spacing w:after="0" w:line="240" w:lineRule="auto"/>
              <w:rPr>
                <w:rFonts w:eastAsia="Times New Roman" w:cs="Arial"/>
                <w:b/>
                <w:bCs/>
                <w:color w:val="000000"/>
                <w:sz w:val="20"/>
                <w:szCs w:val="20"/>
                <w:lang w:eastAsia="en-AU"/>
              </w:rPr>
            </w:pPr>
            <w:r w:rsidRPr="00CF66B0">
              <w:rPr>
                <w:rFonts w:cs="Arial"/>
                <w:b/>
                <w:bCs/>
                <w:sz w:val="20"/>
                <w:szCs w:val="20"/>
              </w:rPr>
              <w:t>(51,494)</w:t>
            </w:r>
          </w:p>
        </w:tc>
      </w:tr>
    </w:tbl>
    <w:p w14:paraId="5005EE8D" w14:textId="77777777" w:rsidR="00474EE7" w:rsidRDefault="002547C4" w:rsidP="002547C4">
      <w:r>
        <w:br/>
      </w:r>
      <w:r w:rsidRPr="00F65403">
        <w:t>Th</w:t>
      </w:r>
      <w:r>
        <w:t>e</w:t>
      </w:r>
      <w:r w:rsidRPr="00F65403">
        <w:t xml:space="preserve"> </w:t>
      </w:r>
      <w:r w:rsidR="00CF4D9A">
        <w:t>Group recorded an Underlying loss after tax of $47.6</w:t>
      </w:r>
      <w:r w:rsidR="00441ADA">
        <w:t xml:space="preserve"> </w:t>
      </w:r>
      <w:r w:rsidR="00CF4D9A">
        <w:t>m</w:t>
      </w:r>
      <w:r w:rsidR="00441ADA">
        <w:t xml:space="preserve">illion (2024: </w:t>
      </w:r>
      <w:r w:rsidR="00C4756A">
        <w:t>$8.0 million)</w:t>
      </w:r>
      <w:r w:rsidR="00CF4D9A">
        <w:t xml:space="preserve"> </w:t>
      </w:r>
      <w:r w:rsidR="00CB47C3">
        <w:t>for the current year</w:t>
      </w:r>
      <w:r w:rsidR="00441ADA">
        <w:t xml:space="preserve"> and an Underlying EBITDA</w:t>
      </w:r>
      <w:r w:rsidR="00971A95">
        <w:t xml:space="preserve"> loss</w:t>
      </w:r>
      <w:r w:rsidR="00441ADA">
        <w:t xml:space="preserve"> of $61.5 </w:t>
      </w:r>
      <w:r w:rsidR="00C4756A">
        <w:t xml:space="preserve">million (2024: </w:t>
      </w:r>
      <w:r w:rsidR="00971A95">
        <w:t xml:space="preserve">loss </w:t>
      </w:r>
      <w:r w:rsidR="00C4756A">
        <w:t>$10.0 million)</w:t>
      </w:r>
      <w:r w:rsidR="00CB47C3">
        <w:t>.</w:t>
      </w:r>
      <w:r w:rsidR="000F1DBF">
        <w:t xml:space="preserve"> Expenditure increased across all </w:t>
      </w:r>
      <w:r w:rsidR="00204B91">
        <w:t xml:space="preserve">segments </w:t>
      </w:r>
      <w:r w:rsidR="00575B50">
        <w:t xml:space="preserve">as activities ramped up </w:t>
      </w:r>
      <w:r w:rsidR="009A4755">
        <w:t xml:space="preserve">to deliver on </w:t>
      </w:r>
      <w:r w:rsidR="00F36F75">
        <w:t xml:space="preserve">SEC’s </w:t>
      </w:r>
      <w:r w:rsidR="005A712C">
        <w:t>strategic pillars</w:t>
      </w:r>
      <w:r w:rsidR="00474EE7">
        <w:t xml:space="preserve"> as follows:</w:t>
      </w:r>
    </w:p>
    <w:p w14:paraId="04509560" w14:textId="7477B872" w:rsidR="00474EE7" w:rsidRDefault="002C43E6" w:rsidP="00474EE7">
      <w:pPr>
        <w:pStyle w:val="Bullet"/>
      </w:pPr>
      <w:r>
        <w:rPr>
          <w:b/>
          <w:bCs/>
        </w:rPr>
        <w:t>A</w:t>
      </w:r>
      <w:r w:rsidR="00474EE7" w:rsidRPr="70ECB249">
        <w:rPr>
          <w:b/>
          <w:bCs/>
        </w:rPr>
        <w:t>ssets:</w:t>
      </w:r>
      <w:r w:rsidR="001023B8">
        <w:t xml:space="preserve"> </w:t>
      </w:r>
      <w:r w:rsidR="5931B7C4">
        <w:t>t</w:t>
      </w:r>
      <w:r w:rsidR="00825FE3">
        <w:t>his segment includes t</w:t>
      </w:r>
      <w:r w:rsidR="001023B8">
        <w:t xml:space="preserve">he Group’s </w:t>
      </w:r>
      <w:r w:rsidR="000C7F31">
        <w:t xml:space="preserve">equity accounted </w:t>
      </w:r>
      <w:r w:rsidR="001023B8">
        <w:t xml:space="preserve">share of MREH loss </w:t>
      </w:r>
      <w:r w:rsidR="00CA3404">
        <w:t xml:space="preserve">of </w:t>
      </w:r>
      <w:r w:rsidR="005F39B8">
        <w:t xml:space="preserve">$7.8 million </w:t>
      </w:r>
      <w:r w:rsidR="00CA3404">
        <w:t xml:space="preserve">for the current year </w:t>
      </w:r>
      <w:r w:rsidR="005F39B8">
        <w:t>(2024</w:t>
      </w:r>
      <w:r w:rsidR="00B745A9">
        <w:t>:</w:t>
      </w:r>
      <w:r w:rsidR="005F39B8">
        <w:t xml:space="preserve"> $5.4 million) </w:t>
      </w:r>
      <w:r w:rsidR="001023B8">
        <w:t>as construction activities continued</w:t>
      </w:r>
      <w:r w:rsidR="000B0193">
        <w:t>,</w:t>
      </w:r>
      <w:r w:rsidR="001023B8">
        <w:t xml:space="preserve"> </w:t>
      </w:r>
      <w:r w:rsidR="00F42235">
        <w:t xml:space="preserve">ready for the commencement of operations in </w:t>
      </w:r>
      <w:r w:rsidR="00B907CA">
        <w:t xml:space="preserve">FY26. </w:t>
      </w:r>
      <w:r w:rsidR="008350BD">
        <w:t xml:space="preserve">Other costs </w:t>
      </w:r>
      <w:r w:rsidR="00834028">
        <w:t xml:space="preserve">relate to the </w:t>
      </w:r>
      <w:r w:rsidR="005868D2">
        <w:t>ongoing</w:t>
      </w:r>
      <w:r w:rsidR="004E4C3C">
        <w:t xml:space="preserve"> assess</w:t>
      </w:r>
      <w:r w:rsidR="005868D2">
        <w:t>ment</w:t>
      </w:r>
      <w:r w:rsidR="00896C15">
        <w:t>, due diligence</w:t>
      </w:r>
      <w:r w:rsidR="005868D2">
        <w:t xml:space="preserve"> </w:t>
      </w:r>
      <w:r w:rsidR="001F7B7B">
        <w:t xml:space="preserve">and negotiation </w:t>
      </w:r>
      <w:r w:rsidR="004E4C3C">
        <w:t xml:space="preserve">of potential </w:t>
      </w:r>
      <w:r w:rsidR="00594DC4">
        <w:t xml:space="preserve">investment opportunities in </w:t>
      </w:r>
      <w:r w:rsidR="000716CF">
        <w:t>renewable energy ge</w:t>
      </w:r>
      <w:r w:rsidR="00594DC4">
        <w:t>ner</w:t>
      </w:r>
      <w:r w:rsidR="000716CF">
        <w:t xml:space="preserve">ation </w:t>
      </w:r>
      <w:r w:rsidR="00594DC4">
        <w:t xml:space="preserve">and storage </w:t>
      </w:r>
      <w:r w:rsidR="004E4C3C">
        <w:t>projects</w:t>
      </w:r>
      <w:r w:rsidR="00317244">
        <w:t xml:space="preserve">, </w:t>
      </w:r>
      <w:r w:rsidR="001F7B7B">
        <w:t>includ</w:t>
      </w:r>
      <w:r w:rsidR="00317244">
        <w:t>in</w:t>
      </w:r>
      <w:r w:rsidR="002D7686">
        <w:t>g</w:t>
      </w:r>
      <w:r w:rsidR="00317244">
        <w:t xml:space="preserve"> the decision to acquire 100% of </w:t>
      </w:r>
      <w:r w:rsidR="00A00850">
        <w:t xml:space="preserve">Horsham </w:t>
      </w:r>
      <w:r w:rsidR="005C47D1">
        <w:t>in the current year</w:t>
      </w:r>
      <w:r>
        <w:t>.</w:t>
      </w:r>
      <w:r w:rsidR="005C47D1">
        <w:t xml:space="preserve"> </w:t>
      </w:r>
    </w:p>
    <w:p w14:paraId="2F3EB015" w14:textId="06D4317F" w:rsidR="008A061A" w:rsidRDefault="002C43E6" w:rsidP="00474EE7">
      <w:pPr>
        <w:pStyle w:val="Bullet"/>
      </w:pPr>
      <w:r>
        <w:rPr>
          <w:b/>
          <w:bCs/>
        </w:rPr>
        <w:t>E</w:t>
      </w:r>
      <w:r w:rsidR="00474EE7" w:rsidRPr="70ECB249">
        <w:rPr>
          <w:b/>
          <w:bCs/>
        </w:rPr>
        <w:t>nergy</w:t>
      </w:r>
      <w:r w:rsidR="00474EE7" w:rsidRPr="00240A59">
        <w:rPr>
          <w:b/>
          <w:bCs/>
        </w:rPr>
        <w:t xml:space="preserve"> </w:t>
      </w:r>
      <w:r w:rsidR="004358A2">
        <w:rPr>
          <w:b/>
          <w:bCs/>
        </w:rPr>
        <w:t>M</w:t>
      </w:r>
      <w:r w:rsidRPr="00240A59">
        <w:rPr>
          <w:b/>
          <w:bCs/>
        </w:rPr>
        <w:t>arkets</w:t>
      </w:r>
      <w:r w:rsidR="00474EE7" w:rsidRPr="00240A59">
        <w:rPr>
          <w:b/>
          <w:bCs/>
        </w:rPr>
        <w:t>:</w:t>
      </w:r>
      <w:r w:rsidR="00474EE7">
        <w:t xml:space="preserve"> </w:t>
      </w:r>
      <w:r w:rsidR="5A830F2A">
        <w:t>t</w:t>
      </w:r>
      <w:r w:rsidR="0056177E">
        <w:t xml:space="preserve">his </w:t>
      </w:r>
      <w:r w:rsidR="009E01D7">
        <w:t xml:space="preserve">segment includes the Customer, Trading and </w:t>
      </w:r>
      <w:r w:rsidR="00AA702E">
        <w:t xml:space="preserve">Analytics teams </w:t>
      </w:r>
      <w:r w:rsidR="005D1194">
        <w:t xml:space="preserve">responsible for </w:t>
      </w:r>
      <w:r w:rsidR="00EA6808">
        <w:t xml:space="preserve">the </w:t>
      </w:r>
      <w:r w:rsidR="005B365D">
        <w:t xml:space="preserve">operation and management of SEC’s energy markets activities. </w:t>
      </w:r>
      <w:r w:rsidR="004120E0">
        <w:t xml:space="preserve">During the current year, this team </w:t>
      </w:r>
      <w:r w:rsidR="003618FD">
        <w:t>delivered</w:t>
      </w:r>
      <w:r w:rsidR="004120E0">
        <w:t xml:space="preserve"> the </w:t>
      </w:r>
      <w:r w:rsidR="00426862">
        <w:t xml:space="preserve">retail contracts with </w:t>
      </w:r>
      <w:r w:rsidR="00155DCA">
        <w:t>the Victorian Government</w:t>
      </w:r>
      <w:r w:rsidR="00F339FF">
        <w:t xml:space="preserve">, </w:t>
      </w:r>
      <w:r w:rsidR="00293767">
        <w:t xml:space="preserve">onboarded over 4,000 government sites </w:t>
      </w:r>
      <w:r w:rsidR="008679EA">
        <w:t xml:space="preserve">ready for </w:t>
      </w:r>
      <w:r w:rsidR="00256761">
        <w:t xml:space="preserve">1 July 2025, </w:t>
      </w:r>
      <w:r w:rsidR="00F339FF">
        <w:t>analysed expected</w:t>
      </w:r>
      <w:r w:rsidR="004F1127">
        <w:t xml:space="preserve"> generation supply and </w:t>
      </w:r>
      <w:r w:rsidR="00C83B22">
        <w:t xml:space="preserve">retail </w:t>
      </w:r>
      <w:r w:rsidR="004F1127">
        <w:t xml:space="preserve">demand to inform </w:t>
      </w:r>
      <w:r w:rsidR="00C83B22">
        <w:t xml:space="preserve">market risk metrics </w:t>
      </w:r>
      <w:r w:rsidR="00293767">
        <w:t>and ex</w:t>
      </w:r>
      <w:r w:rsidR="003604C3">
        <w:t xml:space="preserve">ecuted over-the-counter and ASX </w:t>
      </w:r>
      <w:r w:rsidR="002240AE">
        <w:t xml:space="preserve">electricity derivative </w:t>
      </w:r>
      <w:r w:rsidR="003604C3">
        <w:t xml:space="preserve">trades </w:t>
      </w:r>
      <w:r w:rsidR="002240AE">
        <w:t xml:space="preserve">to </w:t>
      </w:r>
      <w:r w:rsidR="00F15D27">
        <w:t xml:space="preserve">hedge the Group’s </w:t>
      </w:r>
      <w:r w:rsidR="001F24B1">
        <w:t xml:space="preserve">net </w:t>
      </w:r>
      <w:r w:rsidR="00F15D27">
        <w:t>exposure t</w:t>
      </w:r>
      <w:r w:rsidR="001F24B1">
        <w:t xml:space="preserve">o market risks </w:t>
      </w:r>
      <w:r w:rsidR="002F1E51">
        <w:t>over the next 3 years</w:t>
      </w:r>
      <w:r w:rsidR="00B745A9">
        <w:t>.</w:t>
      </w:r>
    </w:p>
    <w:p w14:paraId="66928F90" w14:textId="157B913B" w:rsidR="008A061A" w:rsidRDefault="002C43E6" w:rsidP="00474EE7">
      <w:pPr>
        <w:pStyle w:val="Bullet"/>
      </w:pPr>
      <w:r>
        <w:rPr>
          <w:b/>
          <w:bCs/>
        </w:rPr>
        <w:t>C</w:t>
      </w:r>
      <w:r w:rsidR="008A061A" w:rsidRPr="70ECB249">
        <w:rPr>
          <w:b/>
          <w:bCs/>
        </w:rPr>
        <w:t>onsumer</w:t>
      </w:r>
      <w:r w:rsidR="008A061A" w:rsidRPr="00240A59">
        <w:rPr>
          <w:b/>
          <w:bCs/>
        </w:rPr>
        <w:t xml:space="preserve"> energy solutions:</w:t>
      </w:r>
      <w:r w:rsidR="008A061A">
        <w:t xml:space="preserve"> </w:t>
      </w:r>
      <w:r w:rsidR="5EE7B1FF">
        <w:t>t</w:t>
      </w:r>
      <w:r w:rsidR="00812323">
        <w:t xml:space="preserve">his segment includes the cost of </w:t>
      </w:r>
      <w:r w:rsidR="008A061A" w:rsidRPr="00F65403">
        <w:t xml:space="preserve">completing a series of pilots </w:t>
      </w:r>
      <w:r w:rsidR="009261E8">
        <w:t xml:space="preserve">and other market data gathering activities </w:t>
      </w:r>
      <w:r w:rsidR="00812323">
        <w:t xml:space="preserve">designed </w:t>
      </w:r>
      <w:r w:rsidR="008A061A" w:rsidRPr="00F65403">
        <w:t>to inform the development of our electric home planne</w:t>
      </w:r>
      <w:r w:rsidR="00641CF6">
        <w:t>r</w:t>
      </w:r>
      <w:r w:rsidR="009261E8">
        <w:t xml:space="preserve">. </w:t>
      </w:r>
      <w:r w:rsidR="00AE42AA">
        <w:t xml:space="preserve">Towards the end of the current financial year, </w:t>
      </w:r>
      <w:r w:rsidR="004B2A4A">
        <w:t xml:space="preserve">we launched an EOI </w:t>
      </w:r>
      <w:r w:rsidR="00240A59">
        <w:t>for installers</w:t>
      </w:r>
      <w:r w:rsidR="004358A2">
        <w:t>.</w:t>
      </w:r>
    </w:p>
    <w:p w14:paraId="2890B92F" w14:textId="350095FC" w:rsidR="001023B8" w:rsidRDefault="002C43E6" w:rsidP="00474EE7">
      <w:pPr>
        <w:pStyle w:val="Bullet"/>
      </w:pPr>
      <w:r>
        <w:rPr>
          <w:b/>
          <w:bCs/>
        </w:rPr>
        <w:t>C</w:t>
      </w:r>
      <w:r w:rsidRPr="70ECB249">
        <w:rPr>
          <w:b/>
          <w:bCs/>
        </w:rPr>
        <w:t>orporate</w:t>
      </w:r>
      <w:r w:rsidRPr="00240A59">
        <w:rPr>
          <w:b/>
          <w:bCs/>
        </w:rPr>
        <w:t xml:space="preserve"> </w:t>
      </w:r>
      <w:r w:rsidR="008A061A" w:rsidRPr="00240A59">
        <w:rPr>
          <w:b/>
          <w:bCs/>
        </w:rPr>
        <w:t>services:</w:t>
      </w:r>
      <w:r w:rsidR="008A061A">
        <w:t xml:space="preserve"> </w:t>
      </w:r>
      <w:r w:rsidR="33AA34CA">
        <w:t>t</w:t>
      </w:r>
      <w:r w:rsidR="00CE0481">
        <w:t xml:space="preserve">his segment includes the </w:t>
      </w:r>
      <w:r w:rsidR="0056177E">
        <w:t>core supporting functions underlying business operations</w:t>
      </w:r>
      <w:r w:rsidR="00046FCD">
        <w:t xml:space="preserve"> and as such, will have no </w:t>
      </w:r>
      <w:r w:rsidR="00F40889">
        <w:t xml:space="preserve">significant </w:t>
      </w:r>
      <w:r w:rsidR="00046FCD">
        <w:t>future sources of revenue</w:t>
      </w:r>
      <w:r w:rsidR="00B3669D">
        <w:t xml:space="preserve">. </w:t>
      </w:r>
      <w:r w:rsidR="00767FA4">
        <w:t>C</w:t>
      </w:r>
      <w:r w:rsidR="000F2D62">
        <w:t>urrent year</w:t>
      </w:r>
      <w:r w:rsidR="00767FA4">
        <w:t xml:space="preserve"> result</w:t>
      </w:r>
      <w:r w:rsidR="000F2D62">
        <w:t xml:space="preserve"> reflects the cost of </w:t>
      </w:r>
      <w:r w:rsidR="00570451">
        <w:t>implementing robust</w:t>
      </w:r>
      <w:r w:rsidR="002547C4" w:rsidRPr="00F65403">
        <w:t xml:space="preserve"> systems and processes</w:t>
      </w:r>
      <w:r w:rsidR="00351CEA">
        <w:t xml:space="preserve"> across </w:t>
      </w:r>
      <w:r w:rsidR="00567F48">
        <w:t xml:space="preserve">customer billing, </w:t>
      </w:r>
      <w:r w:rsidR="00B00969">
        <w:t>finance, procurement, payroll, trading and risk management</w:t>
      </w:r>
      <w:r w:rsidR="001559DD">
        <w:t xml:space="preserve">, </w:t>
      </w:r>
      <w:r w:rsidR="00B3669D">
        <w:t xml:space="preserve">as well as </w:t>
      </w:r>
      <w:r w:rsidR="001559DD">
        <w:t>obtaining all necessary licenses</w:t>
      </w:r>
      <w:r w:rsidR="002547C4" w:rsidRPr="00F65403">
        <w:t xml:space="preserve"> needed to become a</w:t>
      </w:r>
      <w:r w:rsidR="0050773E">
        <w:t xml:space="preserve"> retail and wholesale</w:t>
      </w:r>
      <w:r w:rsidR="002547C4" w:rsidRPr="00F65403">
        <w:t xml:space="preserve"> energy market participant from 1 July 2025.</w:t>
      </w:r>
    </w:p>
    <w:p w14:paraId="534D8C69" w14:textId="7286C161" w:rsidR="002547C4" w:rsidRPr="00F65403" w:rsidRDefault="002547C4" w:rsidP="001023B8">
      <w:r w:rsidRPr="00F65403">
        <w:t>We will commence earning revenue from</w:t>
      </w:r>
      <w:r w:rsidR="00C4662B">
        <w:t xml:space="preserve"> our operating </w:t>
      </w:r>
      <w:r w:rsidRPr="00F65403">
        <w:t>segments in the next financial year</w:t>
      </w:r>
      <w:r w:rsidR="00F15E0E">
        <w:t xml:space="preserve"> </w:t>
      </w:r>
      <w:r w:rsidR="00104757">
        <w:t>-</w:t>
      </w:r>
      <w:r w:rsidR="00F15E0E">
        <w:t xml:space="preserve"> from Assets as the MREH batteries are commissioned and start operating, from </w:t>
      </w:r>
      <w:r w:rsidR="00A62398">
        <w:t>E</w:t>
      </w:r>
      <w:r w:rsidR="00F15E0E">
        <w:t xml:space="preserve">nergy </w:t>
      </w:r>
      <w:r w:rsidR="00A62398">
        <w:t>M</w:t>
      </w:r>
      <w:r w:rsidR="00F15E0E">
        <w:t xml:space="preserve">arkets as a retailer to </w:t>
      </w:r>
      <w:r w:rsidR="007A4771">
        <w:t>government and other commercial and industrial customers, and from Consumer Energy Solutions as the one</w:t>
      </w:r>
      <w:r w:rsidR="00B934CB">
        <w:t>-</w:t>
      </w:r>
      <w:r w:rsidR="007A4771">
        <w:t>stop shop is launched</w:t>
      </w:r>
      <w:r w:rsidRPr="00F65403">
        <w:t>.</w:t>
      </w:r>
    </w:p>
    <w:p w14:paraId="6110797A" w14:textId="4888C39B" w:rsidR="002547C4" w:rsidRDefault="002547C4" w:rsidP="002547C4">
      <w:r>
        <w:t>As the Group was only formed in October 2023, the prior period does not represent a full year of activity</w:t>
      </w:r>
      <w:r w:rsidR="00AF76D6">
        <w:t>. This year</w:t>
      </w:r>
      <w:r>
        <w:t xml:space="preserve"> was characterised by a period of rapid growth in people and operations in preparation for the current year’s focus on market entry</w:t>
      </w:r>
      <w:r w:rsidR="00DC32A2">
        <w:t xml:space="preserve"> and continued renewable energy investment</w:t>
      </w:r>
      <w:r>
        <w:t xml:space="preserve">.  </w:t>
      </w:r>
    </w:p>
    <w:p w14:paraId="50111549" w14:textId="7DCF3FCD" w:rsidR="002547C4" w:rsidRPr="00E326C0" w:rsidRDefault="002547C4" w:rsidP="002547C4">
      <w:pPr>
        <w:rPr>
          <w:i/>
          <w:iCs/>
        </w:rPr>
      </w:pPr>
      <w:r w:rsidRPr="413EB596">
        <w:rPr>
          <w:i/>
          <w:iCs/>
        </w:rPr>
        <w:t>Changes in fair value of financial instruments</w:t>
      </w:r>
    </w:p>
    <w:p w14:paraId="3A6A74CD" w14:textId="61CCD51C" w:rsidR="002547C4" w:rsidRDefault="002547C4" w:rsidP="002547C4">
      <w:r>
        <w:t>Changes in the fair value of financial instruments recognised in profit or loss (excluded from Underlying (loss)/profit) was an unrealised gain of $40.8 million, up from an unrealised gain of $13.8 million in the prior period. The net gain reflects a positive fair value movement in level 3 electricity derivatives due to upward movements in medium to long term energy revenue expectations</w:t>
      </w:r>
      <w:r w:rsidR="00DC32A2">
        <w:t xml:space="preserve"> (a key valuation input)</w:t>
      </w:r>
      <w:r>
        <w:t xml:space="preserve"> since last year end. </w:t>
      </w:r>
    </w:p>
    <w:p w14:paraId="210FA9CD" w14:textId="55C9D2BC" w:rsidR="002547C4" w:rsidRPr="00323357" w:rsidRDefault="002547C4" w:rsidP="002547C4">
      <w:pPr>
        <w:rPr>
          <w:i/>
          <w:iCs/>
        </w:rPr>
      </w:pPr>
      <w:r w:rsidRPr="00323357">
        <w:rPr>
          <w:i/>
          <w:iCs/>
        </w:rPr>
        <w:t>Depreciation, interest and tax</w:t>
      </w:r>
    </w:p>
    <w:p w14:paraId="70F1E254" w14:textId="4D0382DA" w:rsidR="002547C4" w:rsidRDefault="002547C4" w:rsidP="002547C4">
      <w:r>
        <w:t>Key non-operating matters forming part of the financial result include:</w:t>
      </w:r>
    </w:p>
    <w:p w14:paraId="0A84ADF3" w14:textId="4E3260AE" w:rsidR="002547C4" w:rsidRPr="003A706C" w:rsidRDefault="002547C4" w:rsidP="002547C4">
      <w:pPr>
        <w:pStyle w:val="Bullet"/>
      </w:pPr>
      <w:r>
        <w:t>d</w:t>
      </w:r>
      <w:r w:rsidRPr="003A706C">
        <w:t>epreciation expense</w:t>
      </w:r>
      <w:r>
        <w:t xml:space="preserve"> of $164,000</w:t>
      </w:r>
      <w:r w:rsidRPr="003A706C">
        <w:t xml:space="preserve"> recognised for the first time in the current period in relation to right-of-use assets</w:t>
      </w:r>
    </w:p>
    <w:p w14:paraId="1F11F974" w14:textId="3071E967" w:rsidR="002547C4" w:rsidRPr="003A706C" w:rsidRDefault="002547C4" w:rsidP="002547C4">
      <w:pPr>
        <w:pStyle w:val="Bullet"/>
      </w:pPr>
      <w:r>
        <w:t>n</w:t>
      </w:r>
      <w:r w:rsidRPr="003A706C">
        <w:t>et finance income of $19.3 million reflecting interest earned on cash at bank partially offset by interest expense recognised on lease liabilities</w:t>
      </w:r>
    </w:p>
    <w:p w14:paraId="0F9B9722" w14:textId="0DE414FF" w:rsidR="002547C4" w:rsidRPr="003A706C" w:rsidRDefault="002547C4" w:rsidP="002547C4">
      <w:pPr>
        <w:pStyle w:val="Bullet"/>
      </w:pPr>
      <w:r>
        <w:t>i</w:t>
      </w:r>
      <w:r w:rsidRPr="003A706C">
        <w:t xml:space="preserve">ncome tax expense </w:t>
      </w:r>
      <w:r>
        <w:t>of $5.2 million has been recognised for the first time in the current period following the Group’s entry into the National Tax Equivalent Regime. Income tax expense is made up entirely of deferred tax expense, reflecting the temporary differences between the accounting carrying amount of an asset or liability in the statement of financial position and its tax base.</w:t>
      </w:r>
      <w:r w:rsidR="00211617">
        <w:t xml:space="preserve"> No current tax is payable.</w:t>
      </w:r>
    </w:p>
    <w:p w14:paraId="6BA99EA8" w14:textId="244C5411" w:rsidR="00EC31CA" w:rsidRPr="0010235E" w:rsidRDefault="544B1F24" w:rsidP="715E2D1C">
      <w:pPr>
        <w:pStyle w:val="Heading3"/>
      </w:pPr>
      <w:r w:rsidRPr="0010235E">
        <w:t>FY26 Outlook</w:t>
      </w:r>
    </w:p>
    <w:p w14:paraId="245A9546" w14:textId="77777777" w:rsidR="00610283" w:rsidRPr="0010235E" w:rsidRDefault="00EB2523">
      <w:r w:rsidRPr="0010235E">
        <w:t xml:space="preserve">Given SEC was being established during the </w:t>
      </w:r>
      <w:r w:rsidR="00893EE4" w:rsidRPr="0010235E">
        <w:t xml:space="preserve">current and prior </w:t>
      </w:r>
      <w:r w:rsidRPr="0010235E">
        <w:t>reporting period</w:t>
      </w:r>
      <w:r w:rsidR="00893EE4" w:rsidRPr="0010235E">
        <w:t>s</w:t>
      </w:r>
      <w:r w:rsidRPr="0010235E">
        <w:t>, these results are not indicative of the future performance of the business.</w:t>
      </w:r>
    </w:p>
    <w:p w14:paraId="0CAE0135" w14:textId="28B4F7C3" w:rsidR="00EB2523" w:rsidRPr="0010235E" w:rsidRDefault="00A36FB5">
      <w:r w:rsidRPr="0010235E">
        <w:t xml:space="preserve">From 1 July 2025, SEC </w:t>
      </w:r>
      <w:r w:rsidR="00611F9E" w:rsidRPr="0010235E">
        <w:t>commence</w:t>
      </w:r>
      <w:r w:rsidR="003A1D68">
        <w:t>d</w:t>
      </w:r>
      <w:r w:rsidR="00611F9E" w:rsidRPr="0010235E">
        <w:t xml:space="preserve"> retailing </w:t>
      </w:r>
      <w:r w:rsidR="002879B9" w:rsidRPr="0010235E">
        <w:t xml:space="preserve">100% renewable electricity to </w:t>
      </w:r>
      <w:r w:rsidR="00D07821" w:rsidRPr="0010235E">
        <w:t>its Victorian government customers</w:t>
      </w:r>
      <w:r w:rsidR="00511934" w:rsidRPr="0010235E">
        <w:t xml:space="preserve">, supported by the </w:t>
      </w:r>
      <w:r w:rsidR="00D56B05" w:rsidRPr="0010235E">
        <w:t xml:space="preserve">synthetic generation offtake from </w:t>
      </w:r>
      <w:r w:rsidR="00CD65F9" w:rsidRPr="0010235E">
        <w:t>the Victorian Renewable Energy Target and Bulgana contracts.</w:t>
      </w:r>
      <w:r w:rsidR="00D07821" w:rsidRPr="0010235E">
        <w:t xml:space="preserve"> </w:t>
      </w:r>
    </w:p>
    <w:p w14:paraId="6301D74A" w14:textId="36B5A877" w:rsidR="00CA7099" w:rsidRDefault="00303E54">
      <w:r>
        <w:t xml:space="preserve">In early 2026 we will </w:t>
      </w:r>
      <w:r w:rsidR="00D510A0" w:rsidRPr="0010235E">
        <w:t xml:space="preserve">launch our </w:t>
      </w:r>
      <w:r w:rsidR="00BE45BB" w:rsidRPr="0010235E">
        <w:t>‘one</w:t>
      </w:r>
      <w:r w:rsidR="00B934CB">
        <w:t>-</w:t>
      </w:r>
      <w:r w:rsidR="00BE45BB" w:rsidRPr="0010235E">
        <w:t xml:space="preserve">stop shop’ </w:t>
      </w:r>
      <w:r w:rsidR="006D2BEA" w:rsidRPr="0010235E">
        <w:t>electric</w:t>
      </w:r>
      <w:r w:rsidR="00BE45BB" w:rsidRPr="0010235E">
        <w:t xml:space="preserve"> home planner </w:t>
      </w:r>
      <w:r w:rsidR="003F6C54" w:rsidRPr="0010235E">
        <w:t xml:space="preserve">and commence </w:t>
      </w:r>
      <w:r w:rsidR="0008200E" w:rsidRPr="0010235E">
        <w:t xml:space="preserve">earning </w:t>
      </w:r>
      <w:r w:rsidR="00EA7E4D" w:rsidRPr="0010235E">
        <w:t>revenue</w:t>
      </w:r>
      <w:r w:rsidR="003F6389" w:rsidRPr="0010235E">
        <w:t xml:space="preserve">s </w:t>
      </w:r>
      <w:r w:rsidR="00C2572A" w:rsidRPr="0010235E">
        <w:t>from this segment.</w:t>
      </w:r>
      <w:r w:rsidR="00C2572A">
        <w:t xml:space="preserve"> </w:t>
      </w:r>
    </w:p>
    <w:p w14:paraId="77A0CB91" w14:textId="0E320ECA" w:rsidR="002A519B" w:rsidRDefault="6284FF87" w:rsidP="715E2D1C">
      <w:pPr>
        <w:pStyle w:val="Heading2"/>
      </w:pPr>
      <w:bookmarkStart w:id="291" w:name="_Toc203656213"/>
      <w:bookmarkStart w:id="292" w:name="_Toc1365050294"/>
      <w:r>
        <w:t>Climate-related risk disclosure statement</w:t>
      </w:r>
      <w:bookmarkEnd w:id="291"/>
      <w:bookmarkEnd w:id="292"/>
      <w:r>
        <w:t xml:space="preserve"> </w:t>
      </w:r>
    </w:p>
    <w:p w14:paraId="637DA2BD" w14:textId="720CAB61" w:rsidR="002A519B" w:rsidRDefault="002A519B">
      <w:r w:rsidRPr="002A519B">
        <w:t>Management considers that climate change and the associated energy transition has both risks and opportunities for SEC. In preparing for the forthcoming mandatory climate-related financial disclosures</w:t>
      </w:r>
      <w:r w:rsidR="00C7491A">
        <w:t xml:space="preserve"> </w:t>
      </w:r>
      <w:r w:rsidR="00C7491A" w:rsidRPr="00C7491A">
        <w:t>required under the Corporations Act 2001 and Australian Sustainability Reporting Standards</w:t>
      </w:r>
      <w:r w:rsidRPr="002A519B">
        <w:t xml:space="preserve">, appropriate governance </w:t>
      </w:r>
      <w:r w:rsidR="00CD39F4">
        <w:t>a</w:t>
      </w:r>
      <w:r w:rsidRPr="002A519B">
        <w:t xml:space="preserve">rrangements, capability and data requirements are being considered with a view to having a more progressed assessment available for reporting next year. </w:t>
      </w:r>
      <w:r w:rsidR="00322781" w:rsidRPr="00322781">
        <w:t>Based on forecast financial information, management expects the mandatory climate-related sustainability reporting requirements to apply to SEC for the first time in the year ending 30 June 2027.</w:t>
      </w:r>
    </w:p>
    <w:p w14:paraId="5508A992" w14:textId="38058F2D" w:rsidR="002A519B" w:rsidRDefault="1FDBFF50" w:rsidP="715E2D1C">
      <w:pPr>
        <w:pStyle w:val="Heading2"/>
      </w:pPr>
      <w:bookmarkStart w:id="293" w:name="_Toc403819693"/>
      <w:bookmarkStart w:id="294" w:name="_Ref207013180"/>
      <w:bookmarkStart w:id="295" w:name="_Toc203656214"/>
      <w:r>
        <w:t>E</w:t>
      </w:r>
      <w:r w:rsidR="6284FF87">
        <w:t>vents occurring after the Balance Sheet date</w:t>
      </w:r>
      <w:bookmarkEnd w:id="293"/>
      <w:bookmarkEnd w:id="294"/>
      <w:r w:rsidR="6284FF87">
        <w:t xml:space="preserve"> </w:t>
      </w:r>
      <w:bookmarkEnd w:id="295"/>
    </w:p>
    <w:p w14:paraId="64587C46" w14:textId="77777777" w:rsidR="001041FE" w:rsidRDefault="001041FE" w:rsidP="001041FE">
      <w:pPr>
        <w:pStyle w:val="Heading3"/>
      </w:pPr>
      <w:r>
        <w:t>Retail operations commenced</w:t>
      </w:r>
    </w:p>
    <w:p w14:paraId="330021E3" w14:textId="3ECC083E" w:rsidR="003D4DC0" w:rsidRPr="00F96FA2" w:rsidRDefault="001041FE" w:rsidP="715E2D1C">
      <w:pPr>
        <w:pStyle w:val="Heading3"/>
        <w:rPr>
          <w:highlight w:val="yellow"/>
        </w:rPr>
      </w:pPr>
      <w:r w:rsidRPr="001513B5">
        <w:rPr>
          <w:b w:val="0"/>
          <w:bCs/>
        </w:rPr>
        <w:t>From 1 July 2025, SEC commenced retailing operations to government commercial and industrial sites, servicing around 5% of Victoria’s total energy load. Effective from the same date, Victorian Renewable Energy Target (VRET) and Bulgana power purchase contracts were novated from the Department of Energy, Environment and Climate Action (DEECA) to SEC Energy to act as a synthetic hedge against the cost of energy for this load, as described below.</w:t>
      </w:r>
      <w:r>
        <w:t xml:space="preserve"> </w:t>
      </w:r>
      <w:r>
        <w:br/>
      </w:r>
      <w:r>
        <w:br/>
      </w:r>
      <w:r w:rsidR="1D2D724C">
        <w:t>VRET novation</w:t>
      </w:r>
    </w:p>
    <w:p w14:paraId="21D95481" w14:textId="32959C6B" w:rsidR="007C4F8B" w:rsidRPr="007C4F8B" w:rsidRDefault="00702065" w:rsidP="001513B5">
      <w:r w:rsidRPr="00CC4690">
        <w:t>To support the VRET, DEECA</w:t>
      </w:r>
      <w:r w:rsidR="002A7292" w:rsidRPr="00CC4690">
        <w:rPr>
          <w:bCs/>
        </w:rPr>
        <w:t xml:space="preserve"> (formerly the Department of Environment, Land, Water and Planning)</w:t>
      </w:r>
      <w:r w:rsidRPr="00CC4690">
        <w:t xml:space="preserve"> entered contracts to support the construction of renewable energy projects in Victoria. </w:t>
      </w:r>
      <w:r w:rsidR="002A7292" w:rsidRPr="00CC4690">
        <w:rPr>
          <w:bCs/>
        </w:rPr>
        <w:t xml:space="preserve">These contracts were entered into between </w:t>
      </w:r>
      <w:r w:rsidR="00894226" w:rsidRPr="00CC4690">
        <w:rPr>
          <w:bCs/>
        </w:rPr>
        <w:t>201</w:t>
      </w:r>
      <w:r w:rsidR="00894226">
        <w:rPr>
          <w:bCs/>
        </w:rPr>
        <w:t>7</w:t>
      </w:r>
      <w:r w:rsidR="00894226" w:rsidRPr="00CC4690">
        <w:rPr>
          <w:bCs/>
        </w:rPr>
        <w:t xml:space="preserve"> </w:t>
      </w:r>
      <w:r w:rsidR="002A7292" w:rsidRPr="00CC4690">
        <w:rPr>
          <w:bCs/>
        </w:rPr>
        <w:t>and 2024 and are contracts for difference for purchase of electricity and large-scale generation certificates (LGCs) from/to private sector parties.  Effective from 1 July 2025, to align with the commencement of retailing operations, the rights and obligations under 6 VRET</w:t>
      </w:r>
      <w:r w:rsidR="00DD7FFB">
        <w:rPr>
          <w:bCs/>
        </w:rPr>
        <w:t xml:space="preserve"> and Bulgana</w:t>
      </w:r>
      <w:r w:rsidR="002A7292" w:rsidRPr="00CC4690">
        <w:rPr>
          <w:bCs/>
        </w:rPr>
        <w:t xml:space="preserve"> contracts transfer from DEECA to SEC Energy Pty Ltd.</w:t>
      </w:r>
      <w:r w:rsidR="0031742D">
        <w:rPr>
          <w:bCs/>
        </w:rPr>
        <w:t xml:space="preserve"> </w:t>
      </w:r>
      <w:r w:rsidR="002A7292" w:rsidRPr="00CC4690">
        <w:rPr>
          <w:bCs/>
        </w:rPr>
        <w:t xml:space="preserve">The $381.1 million fair value of the contracts transferred at 1 July 2025 will be </w:t>
      </w:r>
      <w:r w:rsidR="00330463">
        <w:rPr>
          <w:bCs/>
        </w:rPr>
        <w:t xml:space="preserve">initially </w:t>
      </w:r>
      <w:r w:rsidR="002A7292" w:rsidRPr="00CC4690">
        <w:rPr>
          <w:bCs/>
        </w:rPr>
        <w:t xml:space="preserve">recognised as a capital contribution from DEECA </w:t>
      </w:r>
      <w:r w:rsidR="00F633D1">
        <w:rPr>
          <w:bCs/>
        </w:rPr>
        <w:t>and</w:t>
      </w:r>
      <w:r w:rsidR="002A7292" w:rsidRPr="00CC4690">
        <w:rPr>
          <w:bCs/>
        </w:rPr>
        <w:t xml:space="preserve"> </w:t>
      </w:r>
      <w:r w:rsidR="008D1853">
        <w:rPr>
          <w:bCs/>
        </w:rPr>
        <w:t xml:space="preserve">a </w:t>
      </w:r>
      <w:r w:rsidR="002A7292" w:rsidRPr="00CC4690">
        <w:rPr>
          <w:bCs/>
        </w:rPr>
        <w:t>corresponding other financial asset</w:t>
      </w:r>
      <w:r w:rsidR="00A35F54">
        <w:rPr>
          <w:bCs/>
        </w:rPr>
        <w:t xml:space="preserve">, </w:t>
      </w:r>
      <w:r w:rsidR="002A7292" w:rsidRPr="00CC4690">
        <w:rPr>
          <w:bCs/>
        </w:rPr>
        <w:t>in the statement of financial position.</w:t>
      </w:r>
      <w:r w:rsidR="00A35F54">
        <w:rPr>
          <w:bCs/>
        </w:rPr>
        <w:t xml:space="preserve"> </w:t>
      </w:r>
      <w:r w:rsidR="002A7292" w:rsidRPr="00CC4690">
        <w:rPr>
          <w:bCs/>
        </w:rPr>
        <w:t>Subsequent changes in fair value, using SEC’s valuation techniques, inputs and assumptions, will be recognised through profit or loss.</w:t>
      </w:r>
    </w:p>
    <w:p w14:paraId="792D3FAD" w14:textId="7EB7A0DB" w:rsidR="00702065" w:rsidRPr="00F96FA2" w:rsidRDefault="1D2D724C" w:rsidP="715E2D1C">
      <w:pPr>
        <w:pStyle w:val="Heading3"/>
        <w:rPr>
          <w:highlight w:val="yellow"/>
        </w:rPr>
      </w:pPr>
      <w:r>
        <w:t>Other</w:t>
      </w:r>
    </w:p>
    <w:p w14:paraId="18FC6EC3" w14:textId="06F7350C" w:rsidR="00FE72EB" w:rsidRPr="00FE72EB" w:rsidRDefault="00FE72EB" w:rsidP="00AA3AC5">
      <w:pPr>
        <w:rPr>
          <w:szCs w:val="24"/>
        </w:rPr>
      </w:pPr>
      <w:r w:rsidRPr="18A67940">
        <w:t>On 4 August 2025, a floating rate $150 million working capital facility was executed with Treasury Corporation</w:t>
      </w:r>
      <w:r w:rsidR="00DD7FFB">
        <w:t xml:space="preserve"> of</w:t>
      </w:r>
      <w:r w:rsidRPr="18A67940">
        <w:t xml:space="preserve"> Victoria. This facility provides ready access to short term funds to support operational activity, specifically AEMO prudential support or ASX margin calls, if required, and is repayab</w:t>
      </w:r>
      <w:r w:rsidR="00CB036E" w:rsidRPr="18A67940">
        <w:t>le by 30 June each year.</w:t>
      </w:r>
      <w:r w:rsidR="00D34BEA">
        <w:t xml:space="preserve"> No amounts have been drawn on this facility in the period to the date </w:t>
      </w:r>
      <w:r w:rsidR="00F311A4">
        <w:t>of this report.</w:t>
      </w:r>
    </w:p>
    <w:p w14:paraId="37ECC5FB" w14:textId="61A7CC47" w:rsidR="002A519B" w:rsidRDefault="002A519B">
      <w:r w:rsidRPr="002A519B">
        <w:t>There is no other circumstance that has arisen since 30 June 202</w:t>
      </w:r>
      <w:r w:rsidR="3E42866F">
        <w:t>5</w:t>
      </w:r>
      <w:r w:rsidRPr="002A519B">
        <w:t xml:space="preserve"> that has significantly affected or may significantly affect in future years: </w:t>
      </w:r>
    </w:p>
    <w:p w14:paraId="27B8AA25" w14:textId="5EE4F3ED" w:rsidR="002A519B" w:rsidRDefault="002A519B" w:rsidP="00F96FA2">
      <w:pPr>
        <w:pStyle w:val="ListParagraph"/>
        <w:numPr>
          <w:ilvl w:val="2"/>
          <w:numId w:val="66"/>
        </w:numPr>
        <w:ind w:left="709"/>
      </w:pPr>
      <w:r w:rsidRPr="002A519B">
        <w:t xml:space="preserve">the Group’s operations </w:t>
      </w:r>
    </w:p>
    <w:p w14:paraId="022DA16B" w14:textId="1D4113F4" w:rsidR="002A519B" w:rsidRDefault="002A519B" w:rsidP="00F96FA2">
      <w:pPr>
        <w:pStyle w:val="ListParagraph"/>
        <w:numPr>
          <w:ilvl w:val="2"/>
          <w:numId w:val="66"/>
        </w:numPr>
        <w:ind w:left="709"/>
      </w:pPr>
      <w:r w:rsidRPr="002A519B">
        <w:t>the results of those operations</w:t>
      </w:r>
    </w:p>
    <w:p w14:paraId="3B233407" w14:textId="042F8985" w:rsidR="002A519B" w:rsidRDefault="002A519B" w:rsidP="00F96FA2">
      <w:pPr>
        <w:pStyle w:val="ListParagraph"/>
        <w:numPr>
          <w:ilvl w:val="2"/>
          <w:numId w:val="66"/>
        </w:numPr>
        <w:ind w:left="709"/>
      </w:pPr>
      <w:r w:rsidRPr="002A519B">
        <w:t>the state of affairs of the Group.</w:t>
      </w:r>
    </w:p>
    <w:p w14:paraId="3795FF21" w14:textId="022E5241" w:rsidR="00536BBE" w:rsidRPr="00E25323" w:rsidRDefault="56C1EF0B" w:rsidP="715E2D1C">
      <w:pPr>
        <w:pStyle w:val="Heading2"/>
      </w:pPr>
      <w:bookmarkStart w:id="296" w:name="_Toc203656215"/>
      <w:bookmarkStart w:id="297" w:name="_Toc1203312757"/>
      <w:r>
        <w:t>Dividends</w:t>
      </w:r>
      <w:bookmarkEnd w:id="296"/>
      <w:bookmarkEnd w:id="297"/>
      <w:r>
        <w:t xml:space="preserve"> </w:t>
      </w:r>
    </w:p>
    <w:p w14:paraId="7DD23AEA" w14:textId="4B4E5C42" w:rsidR="00424D7F" w:rsidRPr="00F96FA2" w:rsidRDefault="00424D7F" w:rsidP="00424D7F">
      <w:r>
        <w:t xml:space="preserve">The </w:t>
      </w:r>
      <w:r w:rsidRPr="00925F86">
        <w:rPr>
          <w:i/>
          <w:iCs/>
        </w:rPr>
        <w:t>Constitution Amendment (SEC) Act 2024</w:t>
      </w:r>
      <w:r>
        <w:t xml:space="preserve"> prohibits SEC from paying any dividend or making any other distribution of profits to its shareholders or the State.</w:t>
      </w:r>
    </w:p>
    <w:p w14:paraId="7A9DC4CF" w14:textId="7D54B62D" w:rsidR="00536BBE" w:rsidRPr="00F96FA2" w:rsidRDefault="00424D7F">
      <w:r>
        <w:t>Accordingly, t</w:t>
      </w:r>
      <w:r w:rsidR="00536BBE">
        <w:t>he</w:t>
      </w:r>
      <w:r w:rsidR="00713333">
        <w:t xml:space="preserve"> Board of</w:t>
      </w:r>
      <w:r w:rsidR="00536BBE">
        <w:t xml:space="preserve"> </w:t>
      </w:r>
      <w:r w:rsidR="0052751E">
        <w:t>D</w:t>
      </w:r>
      <w:r w:rsidR="00536BBE">
        <w:t>irectors have neither declared nor recommended a dividend, and no dividend has been paid for the reporting period ended 30 June 202</w:t>
      </w:r>
      <w:r w:rsidR="46FAFDFE">
        <w:t>5</w:t>
      </w:r>
      <w:r w:rsidR="00536BBE">
        <w:t xml:space="preserve">. </w:t>
      </w:r>
    </w:p>
    <w:p w14:paraId="7BB07583" w14:textId="333991DD" w:rsidR="00536BBE" w:rsidRDefault="56C1EF0B" w:rsidP="715E2D1C">
      <w:pPr>
        <w:pStyle w:val="Heading2"/>
      </w:pPr>
      <w:bookmarkStart w:id="298" w:name="_Toc203656216"/>
      <w:bookmarkStart w:id="299" w:name="_Toc524384465"/>
      <w:r>
        <w:t>Impact of legislation and other external requirements</w:t>
      </w:r>
      <w:bookmarkEnd w:id="298"/>
      <w:bookmarkEnd w:id="299"/>
      <w:r>
        <w:t xml:space="preserve"> </w:t>
      </w:r>
    </w:p>
    <w:p w14:paraId="179FA7FA" w14:textId="5E94358A" w:rsidR="00536BBE" w:rsidRDefault="00536BBE">
      <w:r>
        <w:t xml:space="preserve">In addition to the </w:t>
      </w:r>
      <w:r w:rsidRPr="413EB596">
        <w:rPr>
          <w:i/>
          <w:iCs/>
        </w:rPr>
        <w:t>Corporations Act 2001</w:t>
      </w:r>
      <w:r>
        <w:t xml:space="preserve">, the Group is required to comply with additional legislation, detailed from </w:t>
      </w:r>
      <w:r w:rsidRPr="00AA3AC5">
        <w:t xml:space="preserve">page </w:t>
      </w:r>
      <w:r w:rsidRPr="00AA3AC5">
        <w:fldChar w:fldCharType="begin"/>
      </w:r>
      <w:r w:rsidRPr="00AA3AC5">
        <w:instrText xml:space="preserve"> PAGEREF _Ref207011108 \h </w:instrText>
      </w:r>
      <w:r w:rsidRPr="00AA3AC5">
        <w:fldChar w:fldCharType="separate"/>
      </w:r>
      <w:r w:rsidR="00BC7653">
        <w:rPr>
          <w:noProof/>
        </w:rPr>
        <w:t>88</w:t>
      </w:r>
      <w:r w:rsidRPr="00AA3AC5">
        <w:fldChar w:fldCharType="end"/>
      </w:r>
      <w:r w:rsidR="00265B15" w:rsidRPr="00AA3AC5">
        <w:t xml:space="preserve"> </w:t>
      </w:r>
      <w:r w:rsidRPr="00AA3AC5">
        <w:t>(corporate compliance section)</w:t>
      </w:r>
      <w:r w:rsidRPr="001D7765">
        <w:t>. This</w:t>
      </w:r>
      <w:r>
        <w:t xml:space="preserve"> legislative framework reflects SEC’s status as a state-owned entity of Victoria. </w:t>
      </w:r>
    </w:p>
    <w:p w14:paraId="726653F3" w14:textId="2413A427" w:rsidR="00536BBE" w:rsidRDefault="56C1EF0B" w:rsidP="715E2D1C">
      <w:pPr>
        <w:pStyle w:val="Heading2"/>
      </w:pPr>
      <w:bookmarkStart w:id="300" w:name="_Toc203656217"/>
      <w:bookmarkStart w:id="301" w:name="_Toc293315707"/>
      <w:r>
        <w:t>Directors’ interests</w:t>
      </w:r>
      <w:bookmarkEnd w:id="300"/>
      <w:bookmarkEnd w:id="301"/>
      <w:r>
        <w:t xml:space="preserve"> </w:t>
      </w:r>
    </w:p>
    <w:p w14:paraId="43F349C8" w14:textId="64A744E4" w:rsidR="00536BBE" w:rsidRDefault="00536BBE">
      <w:r w:rsidRPr="00536BBE">
        <w:t xml:space="preserve">No </w:t>
      </w:r>
      <w:r w:rsidR="5D130E8A">
        <w:t>D</w:t>
      </w:r>
      <w:r>
        <w:t>irector</w:t>
      </w:r>
      <w:r w:rsidRPr="00536BBE">
        <w:t xml:space="preserve"> holds an interest in any shares in SEC Victoria. The beneficial shareholders are the Premier and Treasurer of the State of Victoria. </w:t>
      </w:r>
    </w:p>
    <w:p w14:paraId="443EE3BD" w14:textId="769E433B" w:rsidR="00536BBE" w:rsidRDefault="56C1EF0B" w:rsidP="715E2D1C">
      <w:pPr>
        <w:pStyle w:val="Heading2"/>
      </w:pPr>
      <w:bookmarkStart w:id="302" w:name="_Toc203656218"/>
      <w:bookmarkStart w:id="303" w:name="_Toc1841183335"/>
      <w:r>
        <w:t>Indemnification and insurance of officers and auditors</w:t>
      </w:r>
      <w:bookmarkEnd w:id="302"/>
      <w:bookmarkEnd w:id="303"/>
      <w:r>
        <w:t xml:space="preserve"> </w:t>
      </w:r>
    </w:p>
    <w:p w14:paraId="47CC4C85" w14:textId="77777777" w:rsidR="00536BBE" w:rsidRDefault="00536BBE">
      <w:r w:rsidRPr="00536BBE">
        <w:t xml:space="preserve">The Company has not, during or since the reporting period, except to the extent permitted by law, indemnified or agreed to indemnify any current or former officer or auditor of SEC Victoria against a liability incurred. </w:t>
      </w:r>
    </w:p>
    <w:p w14:paraId="3CE6F06B" w14:textId="5EA4F24F" w:rsidR="00536BBE" w:rsidRDefault="56C1EF0B" w:rsidP="715E2D1C">
      <w:pPr>
        <w:pStyle w:val="Heading2"/>
      </w:pPr>
      <w:bookmarkStart w:id="304" w:name="_Toc203656219"/>
      <w:bookmarkStart w:id="305" w:name="_Toc1672278312"/>
      <w:r>
        <w:t>Non-audit services</w:t>
      </w:r>
      <w:bookmarkEnd w:id="304"/>
      <w:bookmarkEnd w:id="305"/>
      <w:r>
        <w:t xml:space="preserve"> </w:t>
      </w:r>
    </w:p>
    <w:p w14:paraId="62464B3C" w14:textId="1FE025F9" w:rsidR="00536BBE" w:rsidRDefault="00536BBE">
      <w:r w:rsidRPr="00536BBE">
        <w:t xml:space="preserve">The Victorian Auditor-General’s Office has not performed any services for the Company other than the audit of the annual financial report. </w:t>
      </w:r>
    </w:p>
    <w:p w14:paraId="3851060E" w14:textId="0B9E35EF" w:rsidR="00536BBE" w:rsidRDefault="56C1EF0B" w:rsidP="715E2D1C">
      <w:pPr>
        <w:pStyle w:val="Heading2"/>
      </w:pPr>
      <w:bookmarkStart w:id="306" w:name="_Toc203656220"/>
      <w:bookmarkStart w:id="307" w:name="_Toc1329783891"/>
      <w:r>
        <w:t>Proceedings on behalf of the Company</w:t>
      </w:r>
      <w:bookmarkEnd w:id="306"/>
      <w:bookmarkEnd w:id="307"/>
      <w:r>
        <w:t xml:space="preserve"> </w:t>
      </w:r>
    </w:p>
    <w:p w14:paraId="76851FA8" w14:textId="77777777" w:rsidR="00536BBE" w:rsidRDefault="00536BBE">
      <w:r w:rsidRPr="00536BBE">
        <w:t xml:space="preserve">No person has applied to the Court under Section 237 of the </w:t>
      </w:r>
      <w:r w:rsidRPr="00303057">
        <w:rPr>
          <w:i/>
          <w:iCs/>
        </w:rPr>
        <w:t>Corporations Act 2001</w:t>
      </w:r>
      <w:r w:rsidRPr="00536BBE">
        <w:t xml:space="preserve"> for leave to bring proceedings on behalf of the Company, or to intervene in any proceedings to which the Company is a party, for the purpose of taking responsibility on behalf of the Company for all or part of those proceedings. </w:t>
      </w:r>
    </w:p>
    <w:p w14:paraId="167868AC" w14:textId="6FA2C0C4" w:rsidR="00536BBE" w:rsidRDefault="56C1EF0B" w:rsidP="715E2D1C">
      <w:pPr>
        <w:pStyle w:val="Heading2"/>
      </w:pPr>
      <w:bookmarkStart w:id="308" w:name="_Toc203656221"/>
      <w:bookmarkStart w:id="309" w:name="_Toc1827201286"/>
      <w:bookmarkStart w:id="310" w:name="_Ref207011042"/>
      <w:bookmarkStart w:id="311" w:name="_Ref207011047"/>
      <w:r>
        <w:t>Auditor’s independence declaration</w:t>
      </w:r>
      <w:bookmarkEnd w:id="308"/>
      <w:bookmarkEnd w:id="309"/>
      <w:bookmarkEnd w:id="310"/>
      <w:bookmarkEnd w:id="311"/>
      <w:r>
        <w:t xml:space="preserve"> </w:t>
      </w:r>
    </w:p>
    <w:p w14:paraId="583D33CE" w14:textId="2BCB88E5" w:rsidR="00536BBE" w:rsidRDefault="00536BBE">
      <w:r w:rsidRPr="00536BBE">
        <w:t>The auditor’s independence declaration i</w:t>
      </w:r>
      <w:r w:rsidRPr="0053602E">
        <w:t xml:space="preserve">s set out </w:t>
      </w:r>
      <w:r w:rsidRPr="003C76D0">
        <w:t xml:space="preserve">in </w:t>
      </w:r>
      <w:r w:rsidRPr="00AA3AC5">
        <w:t xml:space="preserve">page </w:t>
      </w:r>
      <w:r w:rsidR="009F238F" w:rsidRPr="00AA3AC5">
        <w:rPr>
          <w:caps/>
        </w:rPr>
        <w:fldChar w:fldCharType="begin"/>
      </w:r>
      <w:r w:rsidR="009F238F" w:rsidRPr="00AA3AC5">
        <w:rPr>
          <w:caps/>
        </w:rPr>
        <w:instrText xml:space="preserve"> PAGEREF _Ref209704206 \h </w:instrText>
      </w:r>
      <w:r w:rsidR="009F238F" w:rsidRPr="00AA3AC5">
        <w:rPr>
          <w:caps/>
        </w:rPr>
      </w:r>
      <w:r w:rsidR="009F238F" w:rsidRPr="00AA3AC5">
        <w:rPr>
          <w:caps/>
        </w:rPr>
        <w:fldChar w:fldCharType="separate"/>
      </w:r>
      <w:r w:rsidR="00BC7653">
        <w:rPr>
          <w:caps/>
          <w:noProof/>
        </w:rPr>
        <w:t>47</w:t>
      </w:r>
      <w:r w:rsidR="009F238F" w:rsidRPr="00AA3AC5">
        <w:rPr>
          <w:caps/>
        </w:rPr>
        <w:fldChar w:fldCharType="end"/>
      </w:r>
      <w:r w:rsidR="7E62D34D" w:rsidRPr="00AA3AC5">
        <w:t xml:space="preserve"> </w:t>
      </w:r>
      <w:r w:rsidRPr="00AA3AC5">
        <w:t>of</w:t>
      </w:r>
      <w:r w:rsidRPr="003C76D0">
        <w:t xml:space="preserve"> this report</w:t>
      </w:r>
      <w:r w:rsidRPr="00536BBE">
        <w:t xml:space="preserve"> and forms part of the financial report for the reporting period. </w:t>
      </w:r>
    </w:p>
    <w:p w14:paraId="7DBE827A" w14:textId="17E50B1A" w:rsidR="00536BBE" w:rsidRDefault="56C1EF0B" w:rsidP="715E2D1C">
      <w:pPr>
        <w:pStyle w:val="Heading2"/>
      </w:pPr>
      <w:bookmarkStart w:id="312" w:name="_Toc203656222"/>
      <w:bookmarkStart w:id="313" w:name="_Toc1878166315"/>
      <w:r>
        <w:t>Rounding of amounts</w:t>
      </w:r>
      <w:bookmarkEnd w:id="312"/>
      <w:bookmarkEnd w:id="313"/>
      <w:r>
        <w:t xml:space="preserve"> </w:t>
      </w:r>
    </w:p>
    <w:p w14:paraId="7EE90097" w14:textId="000AC316" w:rsidR="00536BBE" w:rsidRDefault="00536BBE">
      <w:r w:rsidRPr="00536BBE">
        <w:t xml:space="preserve">In accordance with Financial Reporting Direction 30, relating to the ‘rounding off’ of amounts in the financial statements. Amounts in the </w:t>
      </w:r>
      <w:r w:rsidR="0CD3A96B">
        <w:t>D</w:t>
      </w:r>
      <w:r>
        <w:t>irectors’</w:t>
      </w:r>
      <w:r w:rsidRPr="00536BBE">
        <w:t xml:space="preserve"> report and financial statements have been rounded off in accordance with the instrument to the nearest thousand dollars, or in certain cases, to the nearest dollar. </w:t>
      </w:r>
    </w:p>
    <w:p w14:paraId="6AAC700F" w14:textId="37EAD7D1" w:rsidR="00536BBE" w:rsidRDefault="00536BBE">
      <w:r w:rsidRPr="00536BBE">
        <w:t xml:space="preserve">This Directors’ </w:t>
      </w:r>
      <w:r w:rsidR="7429B8F7">
        <w:t>r</w:t>
      </w:r>
      <w:r w:rsidRPr="00536BBE">
        <w:t>eport is made in accordance with a resolution of the directors.</w:t>
      </w:r>
    </w:p>
    <w:p w14:paraId="37F5ECE8" w14:textId="77777777" w:rsidR="002D2BB2" w:rsidRDefault="002D2BB2"/>
    <w:p w14:paraId="5E161BF0" w14:textId="77777777" w:rsidR="002D2BB2" w:rsidRDefault="002D2BB2"/>
    <w:p w14:paraId="394346EC" w14:textId="7CB89C6F" w:rsidR="00020190" w:rsidRPr="001D7765" w:rsidRDefault="00CF6E15">
      <w:r w:rsidRPr="001D7765">
        <w:t>Simon Corbell</w:t>
      </w:r>
    </w:p>
    <w:p w14:paraId="7873D2C0" w14:textId="6CFFD219" w:rsidR="00020190" w:rsidRPr="001D7765" w:rsidRDefault="13491BFF">
      <w:r w:rsidRPr="001D7765">
        <w:t xml:space="preserve">Board </w:t>
      </w:r>
      <w:r w:rsidR="00CF6E15" w:rsidRPr="001D7765">
        <w:t xml:space="preserve">Chair, SEC </w:t>
      </w:r>
    </w:p>
    <w:p w14:paraId="18095FF4" w14:textId="571B0B8A" w:rsidR="00602056" w:rsidRDefault="00626EE3">
      <w:r w:rsidRPr="00AA3AC5">
        <w:t xml:space="preserve">6 </w:t>
      </w:r>
      <w:r w:rsidR="00453E85" w:rsidRPr="00AA3AC5">
        <w:t>October</w:t>
      </w:r>
      <w:r w:rsidR="00CF6E15" w:rsidRPr="00AA3AC5">
        <w:t xml:space="preserve"> 202</w:t>
      </w:r>
      <w:r w:rsidR="6C17F092" w:rsidRPr="00AA3AC5">
        <w:t>5</w:t>
      </w:r>
      <w:r w:rsidR="00602056">
        <w:br w:type="page"/>
      </w:r>
    </w:p>
    <w:p w14:paraId="4491963C" w14:textId="77777777" w:rsidR="004B5CB1" w:rsidRPr="004246CD" w:rsidRDefault="004B5CB1" w:rsidP="00B254AC">
      <w:pPr>
        <w:pStyle w:val="Heading1"/>
      </w:pPr>
      <w:bookmarkStart w:id="314" w:name="_Toc900295111"/>
      <w:bookmarkStart w:id="315" w:name="_Toc208418029"/>
      <w:bookmarkStart w:id="316" w:name="_Toc209080394"/>
      <w:bookmarkStart w:id="317" w:name="_Toc209703963"/>
      <w:bookmarkStart w:id="318" w:name="_Toc209704016"/>
      <w:bookmarkStart w:id="319" w:name="_Toc209704069"/>
      <w:bookmarkStart w:id="320" w:name="_Ref209704206"/>
      <w:bookmarkStart w:id="321" w:name="_Toc203487533"/>
      <w:bookmarkStart w:id="322" w:name="_Toc203656223"/>
      <w:r w:rsidRPr="004246CD">
        <w:t>Auditors’ Independence declaration</w:t>
      </w:r>
      <w:bookmarkEnd w:id="314"/>
      <w:bookmarkEnd w:id="315"/>
      <w:bookmarkEnd w:id="316"/>
      <w:bookmarkEnd w:id="317"/>
      <w:bookmarkEnd w:id="318"/>
      <w:bookmarkEnd w:id="319"/>
      <w:bookmarkEnd w:id="320"/>
    </w:p>
    <w:p w14:paraId="203D454E" w14:textId="77777777" w:rsidR="004B5CB1" w:rsidRPr="00F65403" w:rsidRDefault="004B5CB1" w:rsidP="004B5CB1">
      <w:pPr>
        <w:pStyle w:val="BodyText"/>
        <w:spacing w:before="154"/>
        <w:ind w:left="444"/>
        <w:rPr>
          <w:color w:val="39004E"/>
          <w:w w:val="105"/>
          <w:lang w:val="en-AU"/>
        </w:rPr>
      </w:pPr>
    </w:p>
    <w:p w14:paraId="69987C14" w14:textId="03026944" w:rsidR="004B5CB1" w:rsidRPr="00F65403" w:rsidRDefault="007F4705" w:rsidP="00AA3AC5">
      <w:pPr>
        <w:pStyle w:val="BodyText"/>
        <w:spacing w:before="154"/>
        <w:ind w:left="444"/>
        <w:rPr>
          <w:color w:val="39004E"/>
          <w:w w:val="105"/>
          <w:lang w:val="en-AU"/>
        </w:rPr>
      </w:pPr>
      <w:r w:rsidRPr="007F4705">
        <w:rPr>
          <w:noProof/>
          <w:color w:val="39004E"/>
          <w:w w:val="105"/>
          <w:lang w:val="en-AU"/>
        </w:rPr>
        <w:drawing>
          <wp:inline distT="0" distB="0" distL="0" distR="0" wp14:anchorId="0E8D17DE" wp14:editId="4ADD18A9">
            <wp:extent cx="5799522" cy="8001000"/>
            <wp:effectExtent l="0" t="0" r="0" b="0"/>
            <wp:docPr id="1377985946"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5946" name="Picture 1" descr="A document with a signature&#10;&#10;AI-generated content may be incorrect."/>
                    <pic:cNvPicPr/>
                  </pic:nvPicPr>
                  <pic:blipFill>
                    <a:blip r:embed="rId11"/>
                    <a:stretch>
                      <a:fillRect/>
                    </a:stretch>
                  </pic:blipFill>
                  <pic:spPr>
                    <a:xfrm>
                      <a:off x="0" y="0"/>
                      <a:ext cx="5810823" cy="8016591"/>
                    </a:xfrm>
                    <a:prstGeom prst="rect">
                      <a:avLst/>
                    </a:prstGeom>
                  </pic:spPr>
                </pic:pic>
              </a:graphicData>
            </a:graphic>
          </wp:inline>
        </w:drawing>
      </w:r>
    </w:p>
    <w:p w14:paraId="2EBC33CF" w14:textId="65979458" w:rsidR="007868D4" w:rsidRPr="004246CD" w:rsidRDefault="008B5B84" w:rsidP="007F4705">
      <w:pPr>
        <w:pStyle w:val="Heading1"/>
      </w:pPr>
      <w:bookmarkStart w:id="323" w:name="_Toc141476898"/>
      <w:bookmarkStart w:id="324" w:name="_Toc208418030"/>
      <w:bookmarkStart w:id="325" w:name="_Toc209080395"/>
      <w:bookmarkStart w:id="326" w:name="_Toc209703964"/>
      <w:bookmarkStart w:id="327" w:name="_Toc209704017"/>
      <w:bookmarkStart w:id="328" w:name="_Toc209704070"/>
      <w:r w:rsidRPr="004246CD">
        <w:t>Audit</w:t>
      </w:r>
      <w:r w:rsidR="007868D4" w:rsidRPr="004246CD">
        <w:t xml:space="preserve"> report</w:t>
      </w:r>
      <w:bookmarkEnd w:id="321"/>
      <w:bookmarkEnd w:id="322"/>
      <w:bookmarkEnd w:id="323"/>
      <w:bookmarkEnd w:id="324"/>
      <w:bookmarkEnd w:id="325"/>
      <w:bookmarkEnd w:id="326"/>
      <w:bookmarkEnd w:id="327"/>
      <w:bookmarkEnd w:id="328"/>
    </w:p>
    <w:p w14:paraId="005DD0B5" w14:textId="7C72AFA9" w:rsidR="008B5B84" w:rsidRDefault="00B75739">
      <w:pPr>
        <w:rPr>
          <w:sz w:val="32"/>
          <w:szCs w:val="32"/>
        </w:rPr>
      </w:pPr>
      <w:r w:rsidRPr="00B75739">
        <w:rPr>
          <w:noProof/>
          <w:sz w:val="32"/>
          <w:szCs w:val="32"/>
        </w:rPr>
        <w:drawing>
          <wp:inline distT="0" distB="0" distL="0" distR="0" wp14:anchorId="56C9D85C" wp14:editId="444147EF">
            <wp:extent cx="5459037" cy="8213271"/>
            <wp:effectExtent l="0" t="0" r="8890" b="0"/>
            <wp:docPr id="141592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26243" name=""/>
                    <pic:cNvPicPr/>
                  </pic:nvPicPr>
                  <pic:blipFill>
                    <a:blip r:embed="rId12"/>
                    <a:stretch>
                      <a:fillRect/>
                    </a:stretch>
                  </pic:blipFill>
                  <pic:spPr>
                    <a:xfrm>
                      <a:off x="0" y="0"/>
                      <a:ext cx="5476317" cy="8239269"/>
                    </a:xfrm>
                    <a:prstGeom prst="rect">
                      <a:avLst/>
                    </a:prstGeom>
                  </pic:spPr>
                </pic:pic>
              </a:graphicData>
            </a:graphic>
          </wp:inline>
        </w:drawing>
      </w:r>
      <w:r w:rsidR="008B5B84">
        <w:rPr>
          <w:sz w:val="32"/>
          <w:szCs w:val="32"/>
        </w:rPr>
        <w:br w:type="page"/>
      </w:r>
    </w:p>
    <w:p w14:paraId="3C37BC58" w14:textId="28057FB5" w:rsidR="007868D4" w:rsidRPr="00F96FA2" w:rsidRDefault="00E80A81" w:rsidP="00F96FA2">
      <w:r w:rsidRPr="00E80A81">
        <w:rPr>
          <w:noProof/>
        </w:rPr>
        <w:drawing>
          <wp:inline distT="0" distB="0" distL="0" distR="0" wp14:anchorId="7600F82D" wp14:editId="715909F8">
            <wp:extent cx="5644243" cy="7769901"/>
            <wp:effectExtent l="0" t="0" r="0" b="2540"/>
            <wp:docPr id="2278274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740" name="Picture 1" descr="A document with text on it&#10;&#10;AI-generated content may be incorrect."/>
                    <pic:cNvPicPr/>
                  </pic:nvPicPr>
                  <pic:blipFill>
                    <a:blip r:embed="rId13"/>
                    <a:stretch>
                      <a:fillRect/>
                    </a:stretch>
                  </pic:blipFill>
                  <pic:spPr>
                    <a:xfrm>
                      <a:off x="0" y="0"/>
                      <a:ext cx="5656802" cy="7787190"/>
                    </a:xfrm>
                    <a:prstGeom prst="rect">
                      <a:avLst/>
                    </a:prstGeom>
                  </pic:spPr>
                </pic:pic>
              </a:graphicData>
            </a:graphic>
          </wp:inline>
        </w:drawing>
      </w:r>
    </w:p>
    <w:p w14:paraId="32745E92" w14:textId="54EB0465" w:rsidR="49B15E20" w:rsidRDefault="007868D4" w:rsidP="00AA3AC5">
      <w:pPr>
        <w:rPr>
          <w:sz w:val="32"/>
          <w:szCs w:val="32"/>
        </w:rPr>
      </w:pPr>
      <w:r w:rsidRPr="00126819">
        <w:rPr>
          <w:color w:val="39004E"/>
          <w:w w:val="105"/>
          <w:szCs w:val="24"/>
        </w:rPr>
        <w:br w:type="page"/>
      </w:r>
      <w:r w:rsidR="49B15E20" w:rsidRPr="49BCD735">
        <w:rPr>
          <w:sz w:val="32"/>
          <w:szCs w:val="32"/>
        </w:rPr>
        <w:t>Financ</w:t>
      </w:r>
      <w:r w:rsidR="00FC176B" w:rsidRPr="49BCD735">
        <w:rPr>
          <w:sz w:val="32"/>
          <w:szCs w:val="32"/>
        </w:rPr>
        <w:t>ial Statements</w:t>
      </w:r>
    </w:p>
    <w:p w14:paraId="45DBD887" w14:textId="77777777" w:rsidR="003F1549" w:rsidRDefault="003F1549">
      <w:pPr>
        <w:rPr>
          <w:sz w:val="32"/>
          <w:szCs w:val="32"/>
        </w:rPr>
      </w:pPr>
      <w:r>
        <w:rPr>
          <w:sz w:val="32"/>
          <w:szCs w:val="32"/>
        </w:rPr>
        <w:br w:type="page"/>
      </w:r>
    </w:p>
    <w:p w14:paraId="79790D2D" w14:textId="265EB138" w:rsidR="00284360" w:rsidRPr="00F96FA2" w:rsidRDefault="00284360" w:rsidP="00B254AC">
      <w:pPr>
        <w:pStyle w:val="Heading1"/>
      </w:pPr>
      <w:bookmarkStart w:id="329" w:name="_Toc203487535"/>
      <w:bookmarkStart w:id="330" w:name="_Toc203656225"/>
      <w:bookmarkStart w:id="331" w:name="_Toc1584140648"/>
      <w:bookmarkStart w:id="332" w:name="_Toc208418031"/>
      <w:bookmarkStart w:id="333" w:name="_Toc209080396"/>
      <w:bookmarkStart w:id="334" w:name="_Toc209703965"/>
      <w:bookmarkStart w:id="335" w:name="_Toc209704018"/>
      <w:bookmarkStart w:id="336" w:name="_Toc209704071"/>
      <w:r w:rsidRPr="00F96FA2">
        <w:t xml:space="preserve">Consolidated statement of profit or loss and </w:t>
      </w:r>
      <w:r w:rsidR="00F76C98">
        <w:t xml:space="preserve">other </w:t>
      </w:r>
      <w:r w:rsidRPr="00F96FA2">
        <w:t>comprehensive income</w:t>
      </w:r>
      <w:bookmarkEnd w:id="329"/>
      <w:bookmarkEnd w:id="330"/>
      <w:bookmarkEnd w:id="331"/>
      <w:r w:rsidRPr="00F96FA2">
        <w:t> </w:t>
      </w:r>
      <w:bookmarkEnd w:id="332"/>
      <w:bookmarkEnd w:id="333"/>
      <w:bookmarkEnd w:id="334"/>
      <w:bookmarkEnd w:id="335"/>
      <w:bookmarkEnd w:id="336"/>
    </w:p>
    <w:p w14:paraId="67FAC371" w14:textId="5C48B2C0" w:rsidR="007B3A6E" w:rsidRDefault="00284360" w:rsidP="00C77AB0">
      <w:pPr>
        <w:pStyle w:val="Heading3"/>
      </w:pPr>
      <w:r w:rsidRPr="00F65403">
        <w:t xml:space="preserve">For the </w:t>
      </w:r>
      <w:r w:rsidR="005A395E" w:rsidRPr="00F65403">
        <w:t>year ended</w:t>
      </w:r>
      <w:r w:rsidRPr="00F65403">
        <w:t xml:space="preserve"> 30 June 202</w:t>
      </w:r>
      <w:r w:rsidR="005A395E" w:rsidRPr="00F96FA2">
        <w:t>5</w:t>
      </w:r>
    </w:p>
    <w:tbl>
      <w:tblPr>
        <w:tblW w:w="4878" w:type="pct"/>
        <w:tblLayout w:type="fixed"/>
        <w:tblCellMar>
          <w:top w:w="28" w:type="dxa"/>
          <w:left w:w="28" w:type="dxa"/>
          <w:bottom w:w="28" w:type="dxa"/>
          <w:right w:w="28" w:type="dxa"/>
        </w:tblCellMar>
        <w:tblLook w:val="04A0" w:firstRow="1" w:lastRow="0" w:firstColumn="1" w:lastColumn="0" w:noHBand="0" w:noVBand="1"/>
      </w:tblPr>
      <w:tblGrid>
        <w:gridCol w:w="5529"/>
        <w:gridCol w:w="889"/>
        <w:gridCol w:w="1194"/>
        <w:gridCol w:w="1194"/>
      </w:tblGrid>
      <w:tr w:rsidR="00F66D3F" w:rsidRPr="00F66D3F" w14:paraId="7C860209" w14:textId="77777777" w:rsidTr="413EB596">
        <w:tc>
          <w:tcPr>
            <w:tcW w:w="3139" w:type="pct"/>
            <w:tcBorders>
              <w:top w:val="nil"/>
              <w:left w:val="nil"/>
              <w:bottom w:val="nil"/>
              <w:right w:val="nil"/>
            </w:tcBorders>
            <w:noWrap/>
            <w:vAlign w:val="bottom"/>
            <w:hideMark/>
          </w:tcPr>
          <w:p w14:paraId="5E70289A" w14:textId="77777777" w:rsidR="007B3A6E" w:rsidRPr="00FD5BEA" w:rsidRDefault="007B3A6E" w:rsidP="00B4321A">
            <w:pPr>
              <w:spacing w:after="0" w:line="240" w:lineRule="auto"/>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19A3FEAF"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vAlign w:val="bottom"/>
            <w:hideMark/>
          </w:tcPr>
          <w:p w14:paraId="436E3A9E" w14:textId="7906DCAE" w:rsidR="007B3A6E" w:rsidRPr="00FD5BEA" w:rsidRDefault="007B3A6E" w:rsidP="00FD5BE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Year ended</w:t>
            </w:r>
            <w:r w:rsidR="001E62AD">
              <w:rPr>
                <w:rFonts w:eastAsia="Times New Roman" w:cs="Arial"/>
                <w:b/>
                <w:bCs/>
                <w:color w:val="000000"/>
                <w:sz w:val="20"/>
                <w:szCs w:val="20"/>
                <w:lang w:eastAsia="en-AU"/>
              </w:rPr>
              <w:t xml:space="preserve"> 30 June 2025</w:t>
            </w:r>
          </w:p>
        </w:tc>
        <w:tc>
          <w:tcPr>
            <w:tcW w:w="678" w:type="pct"/>
            <w:tcBorders>
              <w:top w:val="nil"/>
              <w:left w:val="nil"/>
              <w:bottom w:val="nil"/>
              <w:right w:val="nil"/>
            </w:tcBorders>
            <w:vAlign w:val="bottom"/>
            <w:hideMark/>
          </w:tcPr>
          <w:p w14:paraId="76CB9E54" w14:textId="01668B1E" w:rsidR="007B3A6E" w:rsidRPr="00FD5BEA" w:rsidRDefault="00FD5BEA" w:rsidP="00FD5BEA">
            <w:pPr>
              <w:spacing w:after="0" w:line="240" w:lineRule="auto"/>
              <w:jc w:val="center"/>
              <w:rPr>
                <w:rFonts w:eastAsia="Times New Roman" w:cs="Arial"/>
                <w:b/>
                <w:color w:val="000000"/>
                <w:sz w:val="20"/>
                <w:szCs w:val="20"/>
                <w:lang w:eastAsia="en-AU"/>
              </w:rPr>
            </w:pPr>
            <w:r w:rsidRPr="00FD5BEA">
              <w:rPr>
                <w:rFonts w:eastAsia="Times New Roman" w:cs="Arial"/>
                <w:b/>
                <w:bCs/>
                <w:color w:val="000000"/>
                <w:sz w:val="20"/>
                <w:szCs w:val="20"/>
                <w:lang w:eastAsia="en-AU"/>
              </w:rPr>
              <w:t>25 Oct</w:t>
            </w:r>
            <w:r w:rsidR="001E62AD">
              <w:rPr>
                <w:rFonts w:eastAsia="Times New Roman" w:cs="Arial"/>
                <w:b/>
                <w:bCs/>
                <w:color w:val="000000"/>
                <w:sz w:val="20"/>
                <w:szCs w:val="20"/>
                <w:lang w:eastAsia="en-AU"/>
              </w:rPr>
              <w:t>ober</w:t>
            </w:r>
            <w:r w:rsidRPr="00FD5BEA">
              <w:rPr>
                <w:rFonts w:eastAsia="Times New Roman" w:cs="Arial"/>
                <w:b/>
                <w:bCs/>
                <w:color w:val="000000"/>
                <w:sz w:val="20"/>
                <w:szCs w:val="20"/>
                <w:lang w:eastAsia="en-AU"/>
              </w:rPr>
              <w:t xml:space="preserve"> </w:t>
            </w:r>
            <w:r w:rsidR="001E62AD">
              <w:rPr>
                <w:rFonts w:eastAsia="Times New Roman" w:cs="Arial"/>
                <w:b/>
                <w:bCs/>
                <w:color w:val="000000"/>
                <w:sz w:val="20"/>
                <w:szCs w:val="20"/>
                <w:lang w:eastAsia="en-AU"/>
              </w:rPr>
              <w:t>20</w:t>
            </w:r>
            <w:r w:rsidRPr="00FD5BEA">
              <w:rPr>
                <w:rFonts w:eastAsia="Times New Roman" w:cs="Arial"/>
                <w:b/>
                <w:bCs/>
                <w:color w:val="000000"/>
                <w:sz w:val="20"/>
                <w:szCs w:val="20"/>
                <w:lang w:eastAsia="en-AU"/>
              </w:rPr>
              <w:t>23</w:t>
            </w:r>
            <w:r w:rsidR="001E62AD">
              <w:rPr>
                <w:rFonts w:eastAsia="Times New Roman" w:cs="Arial"/>
                <w:b/>
                <w:bCs/>
                <w:color w:val="000000"/>
                <w:sz w:val="20"/>
                <w:szCs w:val="20"/>
                <w:lang w:eastAsia="en-AU"/>
              </w:rPr>
              <w:t xml:space="preserve"> </w:t>
            </w:r>
            <w:r w:rsidRPr="00FD5BEA">
              <w:rPr>
                <w:rFonts w:eastAsia="Times New Roman" w:cs="Arial"/>
                <w:b/>
                <w:bCs/>
                <w:color w:val="000000"/>
                <w:sz w:val="20"/>
                <w:szCs w:val="20"/>
                <w:lang w:eastAsia="en-AU"/>
              </w:rPr>
              <w:t>to 30 Jun</w:t>
            </w:r>
            <w:r w:rsidR="001E62AD">
              <w:rPr>
                <w:rFonts w:eastAsia="Times New Roman" w:cs="Arial"/>
                <w:b/>
                <w:bCs/>
                <w:color w:val="000000"/>
                <w:sz w:val="20"/>
                <w:szCs w:val="20"/>
                <w:lang w:eastAsia="en-AU"/>
              </w:rPr>
              <w:t>e</w:t>
            </w:r>
            <w:r w:rsidRPr="00FD5BEA">
              <w:rPr>
                <w:rFonts w:eastAsia="Times New Roman" w:cs="Arial"/>
                <w:b/>
                <w:bCs/>
                <w:color w:val="000000"/>
                <w:sz w:val="20"/>
                <w:szCs w:val="20"/>
                <w:lang w:eastAsia="en-AU"/>
              </w:rPr>
              <w:t xml:space="preserve"> </w:t>
            </w:r>
            <w:r w:rsidR="001E62AD">
              <w:rPr>
                <w:rFonts w:eastAsia="Times New Roman" w:cs="Arial"/>
                <w:b/>
                <w:bCs/>
                <w:color w:val="000000"/>
                <w:sz w:val="20"/>
                <w:szCs w:val="20"/>
                <w:lang w:eastAsia="en-AU"/>
              </w:rPr>
              <w:t>20</w:t>
            </w:r>
            <w:r w:rsidRPr="00FD5BEA">
              <w:rPr>
                <w:rFonts w:eastAsia="Times New Roman" w:cs="Arial"/>
                <w:b/>
                <w:bCs/>
                <w:color w:val="000000"/>
                <w:sz w:val="20"/>
                <w:szCs w:val="20"/>
                <w:lang w:eastAsia="en-AU"/>
              </w:rPr>
              <w:t>24</w:t>
            </w:r>
          </w:p>
        </w:tc>
      </w:tr>
      <w:tr w:rsidR="00F66D3F" w:rsidRPr="00F66D3F" w14:paraId="223EBB3C" w14:textId="77777777" w:rsidTr="413EB596">
        <w:tc>
          <w:tcPr>
            <w:tcW w:w="3139" w:type="pct"/>
            <w:tcBorders>
              <w:top w:val="nil"/>
              <w:left w:val="nil"/>
              <w:bottom w:val="nil"/>
              <w:right w:val="nil"/>
            </w:tcBorders>
            <w:noWrap/>
            <w:vAlign w:val="bottom"/>
            <w:hideMark/>
          </w:tcPr>
          <w:p w14:paraId="3C09077C" w14:textId="77777777" w:rsidR="007B3A6E" w:rsidRPr="00FD5BEA" w:rsidRDefault="007B3A6E" w:rsidP="00B4321A">
            <w:pPr>
              <w:spacing w:after="0" w:line="240" w:lineRule="auto"/>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249CDD3F" w14:textId="77777777" w:rsidR="007B3A6E" w:rsidRPr="00FD5BEA" w:rsidRDefault="007B3A6E" w:rsidP="007B3A6E">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Note</w:t>
            </w:r>
          </w:p>
        </w:tc>
        <w:tc>
          <w:tcPr>
            <w:tcW w:w="678" w:type="pct"/>
            <w:tcBorders>
              <w:top w:val="nil"/>
              <w:left w:val="nil"/>
              <w:bottom w:val="nil"/>
              <w:right w:val="nil"/>
            </w:tcBorders>
            <w:noWrap/>
            <w:vAlign w:val="bottom"/>
            <w:hideMark/>
          </w:tcPr>
          <w:p w14:paraId="30E06E6A" w14:textId="77777777" w:rsidR="007B3A6E" w:rsidRPr="00FD5BEA" w:rsidRDefault="007B3A6E" w:rsidP="00FD5BE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$000's</w:t>
            </w:r>
          </w:p>
        </w:tc>
        <w:tc>
          <w:tcPr>
            <w:tcW w:w="678" w:type="pct"/>
            <w:tcBorders>
              <w:top w:val="nil"/>
              <w:left w:val="nil"/>
              <w:bottom w:val="nil"/>
              <w:right w:val="nil"/>
            </w:tcBorders>
            <w:noWrap/>
            <w:vAlign w:val="bottom"/>
            <w:hideMark/>
          </w:tcPr>
          <w:p w14:paraId="2CF898A6" w14:textId="77777777" w:rsidR="007B3A6E" w:rsidRPr="00FD5BEA" w:rsidRDefault="007B3A6E" w:rsidP="00FD5BE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$000's</w:t>
            </w:r>
          </w:p>
        </w:tc>
      </w:tr>
      <w:tr w:rsidR="00F66D3F" w:rsidRPr="00F66D3F" w14:paraId="6E4D3F1F" w14:textId="77777777" w:rsidTr="413EB596">
        <w:tc>
          <w:tcPr>
            <w:tcW w:w="3139" w:type="pct"/>
            <w:tcBorders>
              <w:top w:val="nil"/>
              <w:left w:val="nil"/>
              <w:bottom w:val="nil"/>
              <w:right w:val="nil"/>
            </w:tcBorders>
            <w:noWrap/>
            <w:vAlign w:val="bottom"/>
            <w:hideMark/>
          </w:tcPr>
          <w:p w14:paraId="306CE17C" w14:textId="77777777" w:rsidR="007B3A6E" w:rsidRPr="00FD5BEA" w:rsidRDefault="007B3A6E" w:rsidP="007B3A6E">
            <w:pPr>
              <w:spacing w:after="0" w:line="240" w:lineRule="auto"/>
              <w:rPr>
                <w:rFonts w:eastAsia="Times New Roman" w:cs="Arial"/>
                <w:sz w:val="20"/>
                <w:szCs w:val="20"/>
                <w:lang w:eastAsia="en-AU"/>
              </w:rPr>
            </w:pPr>
          </w:p>
        </w:tc>
        <w:tc>
          <w:tcPr>
            <w:tcW w:w="505" w:type="pct"/>
            <w:tcBorders>
              <w:top w:val="nil"/>
              <w:left w:val="nil"/>
              <w:bottom w:val="nil"/>
              <w:right w:val="nil"/>
            </w:tcBorders>
            <w:noWrap/>
            <w:vAlign w:val="bottom"/>
            <w:hideMark/>
          </w:tcPr>
          <w:p w14:paraId="64934BA3"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01C9A022" w14:textId="6A110E37" w:rsidR="007B3A6E" w:rsidRPr="00F65403" w:rsidRDefault="007B3A6E" w:rsidP="00FD5BEA">
            <w:pPr>
              <w:tabs>
                <w:tab w:val="decimal" w:pos="921"/>
              </w:tabs>
              <w:spacing w:after="0" w:line="240" w:lineRule="auto"/>
              <w:rPr>
                <w:rFonts w:eastAsia="Times New Roman" w:cs="Arial"/>
                <w:sz w:val="20"/>
                <w:szCs w:val="20"/>
                <w:highlight w:val="yellow"/>
                <w:lang w:eastAsia="en-AU"/>
              </w:rPr>
            </w:pPr>
          </w:p>
        </w:tc>
        <w:tc>
          <w:tcPr>
            <w:tcW w:w="678" w:type="pct"/>
            <w:tcBorders>
              <w:top w:val="nil"/>
              <w:left w:val="nil"/>
              <w:bottom w:val="nil"/>
              <w:right w:val="nil"/>
            </w:tcBorders>
            <w:noWrap/>
            <w:vAlign w:val="bottom"/>
            <w:hideMark/>
          </w:tcPr>
          <w:p w14:paraId="2F10EBC1"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r>
      <w:tr w:rsidR="00EA215B" w:rsidRPr="00F66D3F" w14:paraId="25EF3BDA" w14:textId="77777777" w:rsidTr="413EB596">
        <w:trPr>
          <w:trHeight w:val="300"/>
        </w:trPr>
        <w:tc>
          <w:tcPr>
            <w:tcW w:w="3139" w:type="pct"/>
            <w:tcBorders>
              <w:top w:val="nil"/>
              <w:left w:val="nil"/>
              <w:bottom w:val="nil"/>
              <w:right w:val="nil"/>
            </w:tcBorders>
            <w:noWrap/>
            <w:vAlign w:val="bottom"/>
            <w:hideMark/>
          </w:tcPr>
          <w:p w14:paraId="711EE770" w14:textId="3B0D8ACC" w:rsidR="00EA215B" w:rsidRPr="00FD5BEA" w:rsidRDefault="00EA215B" w:rsidP="00EA215B">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 xml:space="preserve">Other </w:t>
            </w:r>
            <w:r>
              <w:rPr>
                <w:rFonts w:eastAsia="Times New Roman" w:cs="Arial"/>
                <w:color w:val="000000"/>
                <w:sz w:val="20"/>
                <w:szCs w:val="20"/>
                <w:lang w:eastAsia="en-AU"/>
              </w:rPr>
              <w:t xml:space="preserve">operating </w:t>
            </w:r>
            <w:r w:rsidRPr="00FD5BEA">
              <w:rPr>
                <w:rFonts w:eastAsia="Times New Roman" w:cs="Arial"/>
                <w:color w:val="000000"/>
                <w:sz w:val="20"/>
                <w:szCs w:val="20"/>
                <w:lang w:eastAsia="en-AU"/>
              </w:rPr>
              <w:t>income</w:t>
            </w:r>
          </w:p>
        </w:tc>
        <w:tc>
          <w:tcPr>
            <w:tcW w:w="505" w:type="pct"/>
            <w:tcBorders>
              <w:top w:val="nil"/>
              <w:left w:val="nil"/>
              <w:bottom w:val="nil"/>
              <w:right w:val="nil"/>
            </w:tcBorders>
            <w:noWrap/>
            <w:vAlign w:val="bottom"/>
            <w:hideMark/>
          </w:tcPr>
          <w:p w14:paraId="585747FD" w14:textId="68FCD9F4" w:rsidR="00EA215B" w:rsidRPr="00FD5BEA" w:rsidRDefault="00EA215B" w:rsidP="00EA215B">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2771A35B" w14:textId="0D066CDE"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BD5C2A">
              <w:rPr>
                <w:sz w:val="20"/>
                <w:szCs w:val="20"/>
              </w:rPr>
              <w:t xml:space="preserve"> 1,680 </w:t>
            </w:r>
          </w:p>
        </w:tc>
        <w:tc>
          <w:tcPr>
            <w:tcW w:w="678" w:type="pct"/>
            <w:tcBorders>
              <w:top w:val="nil"/>
              <w:left w:val="nil"/>
              <w:bottom w:val="nil"/>
              <w:right w:val="nil"/>
            </w:tcBorders>
            <w:noWrap/>
            <w:vAlign w:val="bottom"/>
            <w:hideMark/>
          </w:tcPr>
          <w:p w14:paraId="4D94A9DB" w14:textId="6061E716"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0B5FD7">
              <w:rPr>
                <w:rFonts w:eastAsia="Times New Roman" w:cs="Arial"/>
                <w:color w:val="000000"/>
                <w:sz w:val="20"/>
                <w:szCs w:val="20"/>
                <w:lang w:eastAsia="en-AU"/>
              </w:rPr>
              <w:t xml:space="preserve">1,500 </w:t>
            </w:r>
          </w:p>
        </w:tc>
      </w:tr>
      <w:tr w:rsidR="00EA215B" w:rsidRPr="00F66D3F" w14:paraId="7D2A9270" w14:textId="77777777" w:rsidTr="413EB596">
        <w:trPr>
          <w:trHeight w:val="300"/>
        </w:trPr>
        <w:tc>
          <w:tcPr>
            <w:tcW w:w="3139" w:type="pct"/>
            <w:tcBorders>
              <w:top w:val="nil"/>
              <w:left w:val="nil"/>
              <w:bottom w:val="nil"/>
              <w:right w:val="nil"/>
            </w:tcBorders>
            <w:noWrap/>
            <w:vAlign w:val="bottom"/>
            <w:hideMark/>
          </w:tcPr>
          <w:p w14:paraId="06252D1D" w14:textId="5F4961A5" w:rsidR="00EA215B" w:rsidRPr="00FD5BEA" w:rsidRDefault="00EA215B" w:rsidP="00EA215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Operating e</w:t>
            </w:r>
            <w:r w:rsidRPr="00FD5BEA">
              <w:rPr>
                <w:rFonts w:eastAsia="Times New Roman" w:cs="Arial"/>
                <w:color w:val="000000"/>
                <w:sz w:val="20"/>
                <w:szCs w:val="20"/>
                <w:lang w:eastAsia="en-AU"/>
              </w:rPr>
              <w:t>xpenses</w:t>
            </w:r>
          </w:p>
        </w:tc>
        <w:tc>
          <w:tcPr>
            <w:tcW w:w="505" w:type="pct"/>
            <w:tcBorders>
              <w:top w:val="nil"/>
              <w:left w:val="nil"/>
              <w:bottom w:val="nil"/>
              <w:right w:val="nil"/>
            </w:tcBorders>
            <w:noWrap/>
            <w:vAlign w:val="bottom"/>
            <w:hideMark/>
          </w:tcPr>
          <w:p w14:paraId="52ABFC06" w14:textId="77777777" w:rsidR="00EA215B" w:rsidRPr="00FD5BEA" w:rsidRDefault="00EA215B" w:rsidP="00EA215B">
            <w:pPr>
              <w:spacing w:after="0" w:line="240" w:lineRule="auto"/>
              <w:jc w:val="center"/>
              <w:rPr>
                <w:rFonts w:eastAsia="Times New Roman" w:cs="Arial"/>
                <w:color w:val="000000"/>
                <w:sz w:val="20"/>
                <w:szCs w:val="20"/>
                <w:lang w:eastAsia="en-AU"/>
              </w:rPr>
            </w:pPr>
            <w:r w:rsidRPr="00FD5BEA">
              <w:rPr>
                <w:rFonts w:eastAsia="Times New Roman" w:cs="Arial"/>
                <w:color w:val="000000"/>
                <w:sz w:val="20"/>
                <w:szCs w:val="20"/>
                <w:lang w:eastAsia="en-AU"/>
              </w:rPr>
              <w:t>3</w:t>
            </w:r>
          </w:p>
        </w:tc>
        <w:tc>
          <w:tcPr>
            <w:tcW w:w="678" w:type="pct"/>
            <w:tcBorders>
              <w:top w:val="nil"/>
              <w:left w:val="nil"/>
              <w:right w:val="nil"/>
            </w:tcBorders>
            <w:noWrap/>
            <w:vAlign w:val="bottom"/>
            <w:hideMark/>
          </w:tcPr>
          <w:p w14:paraId="2AF06379" w14:textId="4A8B30D4"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BD5C2A">
              <w:rPr>
                <w:sz w:val="20"/>
                <w:szCs w:val="20"/>
              </w:rPr>
              <w:t>(14,608)</w:t>
            </w:r>
          </w:p>
        </w:tc>
        <w:tc>
          <w:tcPr>
            <w:tcW w:w="678" w:type="pct"/>
            <w:tcBorders>
              <w:top w:val="nil"/>
              <w:left w:val="nil"/>
              <w:right w:val="nil"/>
            </w:tcBorders>
            <w:noWrap/>
            <w:vAlign w:val="bottom"/>
            <w:hideMark/>
          </w:tcPr>
          <w:p w14:paraId="6324E502" w14:textId="77777777"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0B5FD7">
              <w:rPr>
                <w:rFonts w:eastAsia="Times New Roman" w:cs="Arial"/>
                <w:color w:val="000000"/>
                <w:sz w:val="20"/>
                <w:szCs w:val="20"/>
                <w:lang w:eastAsia="en-AU"/>
              </w:rPr>
              <w:t>7,705</w:t>
            </w:r>
          </w:p>
        </w:tc>
      </w:tr>
      <w:tr w:rsidR="00EA215B" w:rsidRPr="00F66D3F" w14:paraId="6FE72C2D" w14:textId="77777777" w:rsidTr="413EB596">
        <w:trPr>
          <w:trHeight w:val="300"/>
        </w:trPr>
        <w:tc>
          <w:tcPr>
            <w:tcW w:w="3139" w:type="pct"/>
            <w:tcBorders>
              <w:top w:val="nil"/>
              <w:left w:val="nil"/>
              <w:bottom w:val="nil"/>
              <w:right w:val="nil"/>
            </w:tcBorders>
            <w:vAlign w:val="bottom"/>
            <w:hideMark/>
          </w:tcPr>
          <w:p w14:paraId="54AFAF2A" w14:textId="77777777" w:rsidR="00EA215B" w:rsidRPr="00FD5BEA" w:rsidRDefault="00EA215B" w:rsidP="00EA215B">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Results of equity accounted investees</w:t>
            </w:r>
          </w:p>
        </w:tc>
        <w:tc>
          <w:tcPr>
            <w:tcW w:w="505" w:type="pct"/>
            <w:tcBorders>
              <w:top w:val="nil"/>
              <w:left w:val="nil"/>
              <w:bottom w:val="nil"/>
              <w:right w:val="nil"/>
            </w:tcBorders>
            <w:noWrap/>
            <w:vAlign w:val="bottom"/>
            <w:hideMark/>
          </w:tcPr>
          <w:p w14:paraId="0B13CF5A" w14:textId="6C894B00" w:rsidR="00EA215B" w:rsidRPr="00FD5BEA" w:rsidRDefault="00385631" w:rsidP="00EA215B">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1</w:t>
            </w:r>
            <w:r w:rsidR="00EA215B" w:rsidRPr="413EB596">
              <w:rPr>
                <w:rFonts w:eastAsia="Times New Roman" w:cs="Arial"/>
                <w:color w:val="000000" w:themeColor="text1"/>
                <w:sz w:val="20"/>
                <w:szCs w:val="20"/>
                <w:lang w:eastAsia="en-AU"/>
              </w:rPr>
              <w:t>8</w:t>
            </w:r>
          </w:p>
        </w:tc>
        <w:tc>
          <w:tcPr>
            <w:tcW w:w="678" w:type="pct"/>
            <w:tcBorders>
              <w:top w:val="nil"/>
              <w:left w:val="nil"/>
              <w:bottom w:val="single" w:sz="4" w:space="0" w:color="auto"/>
              <w:right w:val="nil"/>
            </w:tcBorders>
            <w:noWrap/>
            <w:vAlign w:val="bottom"/>
            <w:hideMark/>
          </w:tcPr>
          <w:p w14:paraId="12067528" w14:textId="28B15FBC"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BD5C2A">
              <w:rPr>
                <w:sz w:val="20"/>
                <w:szCs w:val="20"/>
              </w:rPr>
              <w:t>(</w:t>
            </w:r>
            <w:r w:rsidR="00E965B7">
              <w:rPr>
                <w:sz w:val="20"/>
                <w:szCs w:val="20"/>
              </w:rPr>
              <w:t>7,779</w:t>
            </w:r>
            <w:r w:rsidRPr="00BD5C2A">
              <w:rPr>
                <w:sz w:val="20"/>
                <w:szCs w:val="20"/>
              </w:rPr>
              <w:t>)</w:t>
            </w:r>
          </w:p>
        </w:tc>
        <w:tc>
          <w:tcPr>
            <w:tcW w:w="678" w:type="pct"/>
            <w:tcBorders>
              <w:top w:val="nil"/>
              <w:left w:val="nil"/>
              <w:bottom w:val="single" w:sz="4" w:space="0" w:color="auto"/>
              <w:right w:val="nil"/>
            </w:tcBorders>
            <w:noWrap/>
            <w:vAlign w:val="bottom"/>
            <w:hideMark/>
          </w:tcPr>
          <w:p w14:paraId="1CC9419F" w14:textId="77777777" w:rsidR="00EA215B" w:rsidRPr="000B5FD7" w:rsidRDefault="00EA215B" w:rsidP="00EA215B">
            <w:pPr>
              <w:tabs>
                <w:tab w:val="decimal" w:pos="921"/>
              </w:tabs>
              <w:spacing w:after="0" w:line="240" w:lineRule="auto"/>
              <w:rPr>
                <w:rFonts w:eastAsia="Times New Roman" w:cs="Arial"/>
                <w:color w:val="000000"/>
                <w:sz w:val="20"/>
                <w:szCs w:val="20"/>
                <w:lang w:eastAsia="en-AU"/>
              </w:rPr>
            </w:pPr>
            <w:r w:rsidRPr="000B5FD7">
              <w:rPr>
                <w:rFonts w:eastAsia="Times New Roman" w:cs="Arial"/>
                <w:color w:val="000000"/>
                <w:sz w:val="20"/>
                <w:szCs w:val="20"/>
                <w:lang w:eastAsia="en-AU"/>
              </w:rPr>
              <w:t>(5,409)</w:t>
            </w:r>
          </w:p>
        </w:tc>
      </w:tr>
      <w:tr w:rsidR="000B5FD7" w:rsidRPr="00FD5BEA" w14:paraId="1DFA727E" w14:textId="77777777" w:rsidTr="413EB596">
        <w:trPr>
          <w:trHeight w:val="300"/>
        </w:trPr>
        <w:tc>
          <w:tcPr>
            <w:tcW w:w="3139" w:type="pct"/>
            <w:tcBorders>
              <w:top w:val="nil"/>
              <w:left w:val="nil"/>
              <w:bottom w:val="nil"/>
              <w:right w:val="nil"/>
            </w:tcBorders>
            <w:vAlign w:val="bottom"/>
            <w:hideMark/>
          </w:tcPr>
          <w:p w14:paraId="0F669AFE" w14:textId="646B0246" w:rsidR="000B5FD7" w:rsidRPr="00B94E93" w:rsidRDefault="000B5FD7" w:rsidP="000B5FD7">
            <w:pPr>
              <w:spacing w:after="0" w:line="240" w:lineRule="auto"/>
              <w:rPr>
                <w:rFonts w:eastAsia="Times New Roman" w:cs="Arial"/>
                <w:b/>
                <w:bCs/>
                <w:color w:val="000000"/>
                <w:sz w:val="20"/>
                <w:szCs w:val="20"/>
                <w:lang w:eastAsia="en-AU"/>
              </w:rPr>
            </w:pPr>
            <w:r w:rsidRPr="00B94E93">
              <w:rPr>
                <w:rFonts w:eastAsia="Times New Roman" w:cs="Arial"/>
                <w:b/>
                <w:bCs/>
                <w:color w:val="000000"/>
                <w:sz w:val="20"/>
                <w:szCs w:val="20"/>
                <w:lang w:eastAsia="en-AU"/>
              </w:rPr>
              <w:t>Operating (loss)/profit</w:t>
            </w:r>
            <w:r>
              <w:rPr>
                <w:rFonts w:eastAsia="Times New Roman" w:cs="Arial"/>
                <w:b/>
                <w:bCs/>
                <w:color w:val="000000"/>
                <w:sz w:val="20"/>
                <w:szCs w:val="20"/>
                <w:lang w:eastAsia="en-AU"/>
              </w:rPr>
              <w:t xml:space="preserve"> before depreciation and amortisation and net financing costs</w:t>
            </w:r>
          </w:p>
        </w:tc>
        <w:tc>
          <w:tcPr>
            <w:tcW w:w="505" w:type="pct"/>
            <w:tcBorders>
              <w:top w:val="nil"/>
              <w:left w:val="nil"/>
              <w:bottom w:val="nil"/>
              <w:right w:val="nil"/>
            </w:tcBorders>
            <w:noWrap/>
            <w:vAlign w:val="bottom"/>
            <w:hideMark/>
          </w:tcPr>
          <w:p w14:paraId="6E54B97E" w14:textId="77777777" w:rsidR="000B5FD7" w:rsidRPr="00B94E93" w:rsidRDefault="000B5FD7" w:rsidP="000B5FD7">
            <w:pPr>
              <w:spacing w:after="0" w:line="240" w:lineRule="auto"/>
              <w:jc w:val="center"/>
              <w:rPr>
                <w:rFonts w:eastAsia="Times New Roman" w:cs="Arial"/>
                <w:b/>
                <w:bCs/>
                <w:color w:val="000000"/>
                <w:sz w:val="20"/>
                <w:szCs w:val="20"/>
                <w:lang w:eastAsia="en-AU"/>
              </w:rPr>
            </w:pPr>
          </w:p>
        </w:tc>
        <w:tc>
          <w:tcPr>
            <w:tcW w:w="678" w:type="pct"/>
            <w:tcBorders>
              <w:top w:val="single" w:sz="4" w:space="0" w:color="auto"/>
              <w:left w:val="nil"/>
              <w:right w:val="nil"/>
            </w:tcBorders>
            <w:noWrap/>
            <w:vAlign w:val="bottom"/>
            <w:hideMark/>
          </w:tcPr>
          <w:p w14:paraId="435D11F5" w14:textId="1C48BE56"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w:t>
            </w:r>
            <w:r w:rsidR="00E965B7">
              <w:rPr>
                <w:b/>
                <w:bCs/>
                <w:sz w:val="20"/>
                <w:szCs w:val="20"/>
              </w:rPr>
              <w:t>20,707</w:t>
            </w:r>
            <w:r w:rsidRPr="00BD5C2A">
              <w:rPr>
                <w:b/>
                <w:bCs/>
                <w:sz w:val="20"/>
                <w:szCs w:val="20"/>
              </w:rPr>
              <w:t>)</w:t>
            </w:r>
          </w:p>
        </w:tc>
        <w:tc>
          <w:tcPr>
            <w:tcW w:w="678" w:type="pct"/>
            <w:tcBorders>
              <w:top w:val="single" w:sz="4" w:space="0" w:color="auto"/>
              <w:left w:val="nil"/>
              <w:right w:val="nil"/>
            </w:tcBorders>
            <w:noWrap/>
            <w:vAlign w:val="bottom"/>
            <w:hideMark/>
          </w:tcPr>
          <w:p w14:paraId="6486AF28" w14:textId="65E91DDF"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3,796</w:t>
            </w:r>
          </w:p>
        </w:tc>
      </w:tr>
      <w:tr w:rsidR="000B5FD7" w:rsidRPr="00FD5BEA" w14:paraId="1E412F71" w14:textId="77777777" w:rsidTr="413EB596">
        <w:trPr>
          <w:trHeight w:val="300"/>
        </w:trPr>
        <w:tc>
          <w:tcPr>
            <w:tcW w:w="3139" w:type="pct"/>
            <w:tcBorders>
              <w:top w:val="nil"/>
              <w:left w:val="nil"/>
              <w:bottom w:val="nil"/>
              <w:right w:val="nil"/>
            </w:tcBorders>
            <w:vAlign w:val="bottom"/>
          </w:tcPr>
          <w:p w14:paraId="0583E47F" w14:textId="4FE1967B" w:rsidR="000B5FD7" w:rsidRPr="00D24E6A" w:rsidRDefault="000B5FD7" w:rsidP="000B5FD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Depreciation and amortisation</w:t>
            </w:r>
          </w:p>
        </w:tc>
        <w:tc>
          <w:tcPr>
            <w:tcW w:w="505" w:type="pct"/>
            <w:tcBorders>
              <w:top w:val="nil"/>
              <w:left w:val="nil"/>
              <w:bottom w:val="nil"/>
              <w:right w:val="nil"/>
            </w:tcBorders>
            <w:noWrap/>
            <w:vAlign w:val="bottom"/>
          </w:tcPr>
          <w:p w14:paraId="2FE1A079" w14:textId="77777777" w:rsidR="000B5FD7" w:rsidRPr="00D24E6A" w:rsidRDefault="000B5FD7" w:rsidP="000B5FD7">
            <w:pPr>
              <w:spacing w:after="0" w:line="240" w:lineRule="auto"/>
              <w:jc w:val="center"/>
              <w:rPr>
                <w:rFonts w:eastAsia="Times New Roman" w:cs="Arial"/>
                <w:color w:val="000000"/>
                <w:sz w:val="20"/>
                <w:szCs w:val="20"/>
                <w:lang w:eastAsia="en-AU"/>
              </w:rPr>
            </w:pPr>
          </w:p>
        </w:tc>
        <w:tc>
          <w:tcPr>
            <w:tcW w:w="678" w:type="pct"/>
            <w:tcBorders>
              <w:top w:val="nil"/>
              <w:left w:val="nil"/>
              <w:bottom w:val="single" w:sz="4" w:space="0" w:color="auto"/>
              <w:right w:val="nil"/>
            </w:tcBorders>
            <w:noWrap/>
            <w:vAlign w:val="bottom"/>
          </w:tcPr>
          <w:p w14:paraId="7DD60E9B" w14:textId="3261E6D0"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(164)</w:t>
            </w:r>
          </w:p>
        </w:tc>
        <w:tc>
          <w:tcPr>
            <w:tcW w:w="678" w:type="pct"/>
            <w:tcBorders>
              <w:top w:val="nil"/>
              <w:left w:val="nil"/>
              <w:bottom w:val="single" w:sz="4" w:space="0" w:color="auto"/>
              <w:right w:val="nil"/>
            </w:tcBorders>
            <w:noWrap/>
            <w:vAlign w:val="bottom"/>
          </w:tcPr>
          <w:p w14:paraId="17FB498C" w14:textId="50DCC17C"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0B5FD7" w:rsidRPr="00FD5BEA" w14:paraId="7825312E" w14:textId="77777777" w:rsidTr="413EB596">
        <w:trPr>
          <w:trHeight w:val="300"/>
        </w:trPr>
        <w:tc>
          <w:tcPr>
            <w:tcW w:w="3139" w:type="pct"/>
            <w:tcBorders>
              <w:top w:val="nil"/>
              <w:left w:val="nil"/>
              <w:bottom w:val="nil"/>
              <w:right w:val="nil"/>
            </w:tcBorders>
            <w:vAlign w:val="bottom"/>
          </w:tcPr>
          <w:p w14:paraId="5DD2FB65" w14:textId="66457907" w:rsidR="000B5FD7" w:rsidRPr="00B94E93" w:rsidRDefault="000B5FD7" w:rsidP="000B5FD7">
            <w:pPr>
              <w:spacing w:after="0" w:line="240" w:lineRule="auto"/>
              <w:rPr>
                <w:rFonts w:eastAsia="Times New Roman" w:cs="Arial"/>
                <w:b/>
                <w:bCs/>
                <w:color w:val="000000"/>
                <w:sz w:val="20"/>
                <w:szCs w:val="20"/>
                <w:lang w:eastAsia="en-AU"/>
              </w:rPr>
            </w:pPr>
            <w:r w:rsidRPr="00B94E93">
              <w:rPr>
                <w:rFonts w:eastAsia="Times New Roman" w:cs="Arial"/>
                <w:b/>
                <w:bCs/>
                <w:color w:val="000000"/>
                <w:sz w:val="20"/>
                <w:szCs w:val="20"/>
                <w:lang w:eastAsia="en-AU"/>
              </w:rPr>
              <w:t>(Loss)/profit before net financing costs</w:t>
            </w:r>
          </w:p>
        </w:tc>
        <w:tc>
          <w:tcPr>
            <w:tcW w:w="505" w:type="pct"/>
            <w:tcBorders>
              <w:top w:val="nil"/>
              <w:left w:val="nil"/>
              <w:bottom w:val="nil"/>
              <w:right w:val="nil"/>
            </w:tcBorders>
            <w:noWrap/>
            <w:vAlign w:val="bottom"/>
          </w:tcPr>
          <w:p w14:paraId="02033F17" w14:textId="77777777" w:rsidR="000B5FD7" w:rsidRPr="00B94E93" w:rsidRDefault="000B5FD7" w:rsidP="000B5FD7">
            <w:pPr>
              <w:spacing w:after="0" w:line="240" w:lineRule="auto"/>
              <w:jc w:val="center"/>
              <w:rPr>
                <w:rFonts w:eastAsia="Times New Roman" w:cs="Arial"/>
                <w:b/>
                <w:bCs/>
                <w:color w:val="000000"/>
                <w:sz w:val="20"/>
                <w:szCs w:val="20"/>
                <w:lang w:eastAsia="en-AU"/>
              </w:rPr>
            </w:pPr>
          </w:p>
        </w:tc>
        <w:tc>
          <w:tcPr>
            <w:tcW w:w="678" w:type="pct"/>
            <w:tcBorders>
              <w:top w:val="single" w:sz="4" w:space="0" w:color="auto"/>
              <w:left w:val="nil"/>
              <w:bottom w:val="nil"/>
              <w:right w:val="nil"/>
            </w:tcBorders>
            <w:noWrap/>
            <w:vAlign w:val="bottom"/>
          </w:tcPr>
          <w:p w14:paraId="51981053" w14:textId="2DBAAAA8"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w:t>
            </w:r>
            <w:r w:rsidR="00E965B7">
              <w:rPr>
                <w:b/>
                <w:bCs/>
                <w:sz w:val="20"/>
                <w:szCs w:val="20"/>
              </w:rPr>
              <w:t>20,871</w:t>
            </w:r>
            <w:r w:rsidRPr="00BD5C2A">
              <w:rPr>
                <w:b/>
                <w:bCs/>
                <w:sz w:val="20"/>
                <w:szCs w:val="20"/>
              </w:rPr>
              <w:t>)</w:t>
            </w:r>
          </w:p>
        </w:tc>
        <w:tc>
          <w:tcPr>
            <w:tcW w:w="678" w:type="pct"/>
            <w:tcBorders>
              <w:top w:val="single" w:sz="4" w:space="0" w:color="auto"/>
              <w:left w:val="nil"/>
              <w:bottom w:val="nil"/>
              <w:right w:val="nil"/>
            </w:tcBorders>
            <w:noWrap/>
            <w:vAlign w:val="bottom"/>
          </w:tcPr>
          <w:p w14:paraId="51B7181F" w14:textId="58A3BA13"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3,796</w:t>
            </w:r>
          </w:p>
        </w:tc>
      </w:tr>
      <w:tr w:rsidR="000B5FD7" w:rsidRPr="00F66D3F" w14:paraId="669D9429" w14:textId="77777777" w:rsidTr="413EB596">
        <w:trPr>
          <w:trHeight w:val="300"/>
        </w:trPr>
        <w:tc>
          <w:tcPr>
            <w:tcW w:w="3139" w:type="pct"/>
            <w:tcBorders>
              <w:top w:val="nil"/>
              <w:left w:val="nil"/>
              <w:bottom w:val="nil"/>
              <w:right w:val="nil"/>
            </w:tcBorders>
            <w:noWrap/>
            <w:vAlign w:val="bottom"/>
            <w:hideMark/>
          </w:tcPr>
          <w:p w14:paraId="1296BC20" w14:textId="77777777" w:rsidR="000B5FD7" w:rsidRPr="00FD5BEA" w:rsidRDefault="000B5FD7" w:rsidP="000B5FD7">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Interest expense</w:t>
            </w:r>
          </w:p>
        </w:tc>
        <w:tc>
          <w:tcPr>
            <w:tcW w:w="505" w:type="pct"/>
            <w:tcBorders>
              <w:top w:val="nil"/>
              <w:left w:val="nil"/>
              <w:bottom w:val="nil"/>
              <w:right w:val="nil"/>
            </w:tcBorders>
            <w:noWrap/>
            <w:vAlign w:val="bottom"/>
            <w:hideMark/>
          </w:tcPr>
          <w:p w14:paraId="31E0CE49" w14:textId="3EA9040A" w:rsidR="000B5FD7" w:rsidRPr="00FD5BEA" w:rsidRDefault="00B43CA6" w:rsidP="000B5FD7">
            <w:pPr>
              <w:spacing w:after="0" w:line="240" w:lineRule="auto"/>
              <w:jc w:val="center"/>
              <w:rPr>
                <w:rFonts w:eastAsia="Times New Roman" w:cs="Arial"/>
                <w:sz w:val="20"/>
                <w:szCs w:val="20"/>
                <w:lang w:eastAsia="en-AU"/>
              </w:rPr>
            </w:pPr>
            <w:r>
              <w:rPr>
                <w:rFonts w:eastAsia="Times New Roman" w:cs="Arial"/>
                <w:sz w:val="20"/>
                <w:szCs w:val="20"/>
                <w:lang w:eastAsia="en-AU"/>
              </w:rPr>
              <w:t>4</w:t>
            </w:r>
          </w:p>
        </w:tc>
        <w:tc>
          <w:tcPr>
            <w:tcW w:w="678" w:type="pct"/>
            <w:tcBorders>
              <w:top w:val="nil"/>
              <w:left w:val="nil"/>
              <w:bottom w:val="nil"/>
              <w:right w:val="nil"/>
            </w:tcBorders>
            <w:noWrap/>
            <w:vAlign w:val="bottom"/>
            <w:hideMark/>
          </w:tcPr>
          <w:p w14:paraId="18569C9D" w14:textId="63386741"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(350)</w:t>
            </w:r>
          </w:p>
        </w:tc>
        <w:tc>
          <w:tcPr>
            <w:tcW w:w="678" w:type="pct"/>
            <w:tcBorders>
              <w:top w:val="nil"/>
              <w:left w:val="nil"/>
              <w:bottom w:val="nil"/>
              <w:right w:val="nil"/>
            </w:tcBorders>
            <w:noWrap/>
            <w:vAlign w:val="bottom"/>
            <w:hideMark/>
          </w:tcPr>
          <w:p w14:paraId="4DC3018F" w14:textId="4DF0F718"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0B5FD7" w:rsidRPr="00F66D3F" w14:paraId="75AA5C64" w14:textId="77777777" w:rsidTr="413EB596">
        <w:trPr>
          <w:trHeight w:val="300"/>
        </w:trPr>
        <w:tc>
          <w:tcPr>
            <w:tcW w:w="3139" w:type="pct"/>
            <w:tcBorders>
              <w:top w:val="nil"/>
              <w:left w:val="nil"/>
              <w:bottom w:val="nil"/>
              <w:right w:val="nil"/>
            </w:tcBorders>
            <w:noWrap/>
            <w:vAlign w:val="bottom"/>
            <w:hideMark/>
          </w:tcPr>
          <w:p w14:paraId="54129342" w14:textId="77777777" w:rsidR="000B5FD7" w:rsidRPr="00FD5BEA" w:rsidRDefault="000B5FD7" w:rsidP="000B5FD7">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Interest income</w:t>
            </w:r>
          </w:p>
        </w:tc>
        <w:tc>
          <w:tcPr>
            <w:tcW w:w="505" w:type="pct"/>
            <w:tcBorders>
              <w:top w:val="nil"/>
              <w:left w:val="nil"/>
              <w:bottom w:val="nil"/>
              <w:right w:val="nil"/>
            </w:tcBorders>
            <w:noWrap/>
            <w:vAlign w:val="bottom"/>
            <w:hideMark/>
          </w:tcPr>
          <w:p w14:paraId="39E0E8DB" w14:textId="408E0904" w:rsidR="000B5FD7" w:rsidRPr="00FD5BEA" w:rsidRDefault="004B693C" w:rsidP="000B5FD7">
            <w:pPr>
              <w:spacing w:after="0" w:line="240" w:lineRule="auto"/>
              <w:jc w:val="center"/>
              <w:rPr>
                <w:rFonts w:eastAsia="Times New Roman" w:cs="Arial"/>
                <w:sz w:val="20"/>
                <w:szCs w:val="20"/>
                <w:lang w:eastAsia="en-AU"/>
              </w:rPr>
            </w:pPr>
            <w:r w:rsidRPr="413EB596">
              <w:rPr>
                <w:rFonts w:eastAsia="Times New Roman" w:cs="Arial"/>
                <w:sz w:val="20"/>
                <w:szCs w:val="20"/>
                <w:lang w:eastAsia="en-AU"/>
              </w:rPr>
              <w:t>4</w:t>
            </w:r>
          </w:p>
        </w:tc>
        <w:tc>
          <w:tcPr>
            <w:tcW w:w="678" w:type="pct"/>
            <w:tcBorders>
              <w:top w:val="nil"/>
              <w:left w:val="nil"/>
              <w:bottom w:val="single" w:sz="4" w:space="0" w:color="auto"/>
              <w:right w:val="nil"/>
            </w:tcBorders>
            <w:noWrap/>
            <w:vAlign w:val="bottom"/>
            <w:hideMark/>
          </w:tcPr>
          <w:p w14:paraId="0451E983" w14:textId="30442012"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19,641 </w:t>
            </w:r>
          </w:p>
        </w:tc>
        <w:tc>
          <w:tcPr>
            <w:tcW w:w="678" w:type="pct"/>
            <w:tcBorders>
              <w:top w:val="nil"/>
              <w:left w:val="nil"/>
              <w:bottom w:val="single" w:sz="4" w:space="0" w:color="auto"/>
              <w:right w:val="nil"/>
            </w:tcBorders>
            <w:noWrap/>
            <w:vAlign w:val="bottom"/>
            <w:hideMark/>
          </w:tcPr>
          <w:p w14:paraId="5577F2CC" w14:textId="408F2FE6"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2,032 </w:t>
            </w:r>
          </w:p>
        </w:tc>
      </w:tr>
      <w:tr w:rsidR="000B5FD7" w:rsidRPr="00F66D3F" w14:paraId="3832514A" w14:textId="77777777" w:rsidTr="413EB596">
        <w:trPr>
          <w:trHeight w:val="300"/>
        </w:trPr>
        <w:tc>
          <w:tcPr>
            <w:tcW w:w="3139" w:type="pct"/>
            <w:tcBorders>
              <w:top w:val="nil"/>
              <w:left w:val="nil"/>
              <w:bottom w:val="nil"/>
              <w:right w:val="nil"/>
            </w:tcBorders>
            <w:noWrap/>
            <w:vAlign w:val="bottom"/>
            <w:hideMark/>
          </w:tcPr>
          <w:p w14:paraId="23A751D4" w14:textId="4647ECBE" w:rsidR="000B5FD7" w:rsidRPr="00FD5BEA" w:rsidRDefault="000B5FD7" w:rsidP="000B5FD7">
            <w:pPr>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(Loss)/p</w:t>
            </w:r>
            <w:r w:rsidRPr="00FD5BEA">
              <w:rPr>
                <w:rFonts w:eastAsia="Times New Roman" w:cs="Arial"/>
                <w:b/>
                <w:bCs/>
                <w:color w:val="000000"/>
                <w:sz w:val="20"/>
                <w:szCs w:val="20"/>
                <w:lang w:eastAsia="en-AU"/>
              </w:rPr>
              <w:t>rofit</w:t>
            </w:r>
            <w:r w:rsidRPr="00FD5BEA">
              <w:rPr>
                <w:rFonts w:eastAsia="Times New Roman" w:cs="Arial"/>
                <w:b/>
                <w:color w:val="000000"/>
                <w:sz w:val="20"/>
                <w:szCs w:val="20"/>
                <w:lang w:eastAsia="en-AU"/>
              </w:rPr>
              <w:t xml:space="preserve"> before income tax</w:t>
            </w:r>
          </w:p>
        </w:tc>
        <w:tc>
          <w:tcPr>
            <w:tcW w:w="505" w:type="pct"/>
            <w:tcBorders>
              <w:top w:val="nil"/>
              <w:left w:val="nil"/>
              <w:bottom w:val="nil"/>
              <w:right w:val="nil"/>
            </w:tcBorders>
            <w:noWrap/>
            <w:vAlign w:val="bottom"/>
            <w:hideMark/>
          </w:tcPr>
          <w:p w14:paraId="0C92B2CA" w14:textId="77777777" w:rsidR="000B5FD7" w:rsidRPr="00FD5BEA" w:rsidRDefault="000B5FD7" w:rsidP="000B5FD7">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72E198D1" w14:textId="6D31B875" w:rsidR="000B5FD7" w:rsidRPr="000B5FD7" w:rsidRDefault="00E965B7" w:rsidP="000B5FD7">
            <w:pPr>
              <w:tabs>
                <w:tab w:val="decimal" w:pos="921"/>
              </w:tabs>
              <w:spacing w:after="0" w:line="240" w:lineRule="auto"/>
              <w:rPr>
                <w:rFonts w:eastAsia="Times New Roman" w:cs="Arial"/>
                <w:b/>
                <w:bCs/>
                <w:color w:val="000000"/>
                <w:sz w:val="20"/>
                <w:szCs w:val="20"/>
                <w:lang w:eastAsia="en-AU"/>
              </w:rPr>
            </w:pPr>
            <w:r>
              <w:rPr>
                <w:b/>
                <w:bCs/>
                <w:sz w:val="20"/>
                <w:szCs w:val="20"/>
              </w:rPr>
              <w:t>(1,580)</w:t>
            </w:r>
          </w:p>
        </w:tc>
        <w:tc>
          <w:tcPr>
            <w:tcW w:w="678" w:type="pct"/>
            <w:tcBorders>
              <w:top w:val="nil"/>
              <w:left w:val="nil"/>
              <w:bottom w:val="nil"/>
              <w:right w:val="nil"/>
            </w:tcBorders>
            <w:noWrap/>
            <w:vAlign w:val="bottom"/>
            <w:hideMark/>
          </w:tcPr>
          <w:p w14:paraId="53B074EC" w14:textId="7A4E72E4"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5,828</w:t>
            </w:r>
          </w:p>
        </w:tc>
      </w:tr>
      <w:tr w:rsidR="000B5FD7" w:rsidRPr="00F66D3F" w14:paraId="113787E1" w14:textId="77777777" w:rsidTr="413EB596">
        <w:trPr>
          <w:trHeight w:val="300"/>
        </w:trPr>
        <w:tc>
          <w:tcPr>
            <w:tcW w:w="3139" w:type="pct"/>
            <w:tcBorders>
              <w:top w:val="nil"/>
              <w:left w:val="nil"/>
              <w:bottom w:val="nil"/>
              <w:right w:val="nil"/>
            </w:tcBorders>
            <w:noWrap/>
            <w:vAlign w:val="bottom"/>
            <w:hideMark/>
          </w:tcPr>
          <w:p w14:paraId="2D334EBA" w14:textId="0635B3D5" w:rsidR="000B5FD7" w:rsidRPr="00FD5BEA" w:rsidRDefault="000B5FD7" w:rsidP="000B5FD7">
            <w:pPr>
              <w:spacing w:after="0" w:line="240" w:lineRule="auto"/>
              <w:rPr>
                <w:rFonts w:eastAsia="Times New Roman" w:cs="Arial"/>
                <w:color w:val="000000"/>
                <w:sz w:val="20"/>
                <w:szCs w:val="20"/>
                <w:lang w:eastAsia="en-AU"/>
              </w:rPr>
            </w:pPr>
            <w:r w:rsidRPr="6E2EC491">
              <w:rPr>
                <w:rFonts w:eastAsia="Times New Roman" w:cs="Arial"/>
                <w:color w:val="000000" w:themeColor="text1"/>
                <w:sz w:val="20"/>
                <w:szCs w:val="20"/>
                <w:lang w:eastAsia="en-AU"/>
              </w:rPr>
              <w:t>Income tax expense</w:t>
            </w:r>
          </w:p>
        </w:tc>
        <w:tc>
          <w:tcPr>
            <w:tcW w:w="505" w:type="pct"/>
            <w:tcBorders>
              <w:top w:val="nil"/>
              <w:left w:val="nil"/>
              <w:bottom w:val="nil"/>
              <w:right w:val="nil"/>
            </w:tcBorders>
            <w:noWrap/>
            <w:vAlign w:val="bottom"/>
            <w:hideMark/>
          </w:tcPr>
          <w:p w14:paraId="13DA4537" w14:textId="402269AD" w:rsidR="000B5FD7" w:rsidRPr="00FD5BEA" w:rsidRDefault="003848E7" w:rsidP="000B5FD7">
            <w:pPr>
              <w:spacing w:after="0" w:line="240" w:lineRule="auto"/>
              <w:jc w:val="center"/>
              <w:rPr>
                <w:rFonts w:eastAsia="Times New Roman" w:cs="Arial"/>
                <w:sz w:val="20"/>
                <w:szCs w:val="20"/>
                <w:lang w:eastAsia="en-AU"/>
              </w:rPr>
            </w:pPr>
            <w:r>
              <w:rPr>
                <w:rFonts w:eastAsia="Times New Roman" w:cs="Arial"/>
                <w:sz w:val="20"/>
                <w:szCs w:val="20"/>
                <w:lang w:eastAsia="en-AU"/>
              </w:rPr>
              <w:t>14</w:t>
            </w:r>
          </w:p>
        </w:tc>
        <w:tc>
          <w:tcPr>
            <w:tcW w:w="678" w:type="pct"/>
            <w:tcBorders>
              <w:top w:val="nil"/>
              <w:left w:val="nil"/>
              <w:bottom w:val="single" w:sz="4" w:space="0" w:color="auto"/>
              <w:right w:val="nil"/>
            </w:tcBorders>
            <w:noWrap/>
            <w:vAlign w:val="bottom"/>
            <w:hideMark/>
          </w:tcPr>
          <w:p w14:paraId="379E1B09" w14:textId="385C5A7A"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w:t>
            </w:r>
            <w:r w:rsidR="00186C7D">
              <w:rPr>
                <w:sz w:val="20"/>
                <w:szCs w:val="20"/>
              </w:rPr>
              <w:t>(5,239</w:t>
            </w:r>
            <w:r w:rsidR="00186C7D" w:rsidRPr="6FE1A15E">
              <w:rPr>
                <w:sz w:val="20"/>
                <w:szCs w:val="20"/>
              </w:rPr>
              <w:t>)</w:t>
            </w:r>
            <w:r w:rsidRPr="00BD5C2A">
              <w:rPr>
                <w:sz w:val="20"/>
                <w:szCs w:val="20"/>
              </w:rPr>
              <w:t xml:space="preserve">  </w:t>
            </w:r>
          </w:p>
        </w:tc>
        <w:tc>
          <w:tcPr>
            <w:tcW w:w="678" w:type="pct"/>
            <w:tcBorders>
              <w:top w:val="nil"/>
              <w:left w:val="nil"/>
              <w:bottom w:val="single" w:sz="4" w:space="0" w:color="auto"/>
              <w:right w:val="nil"/>
            </w:tcBorders>
            <w:noWrap/>
            <w:vAlign w:val="bottom"/>
            <w:hideMark/>
          </w:tcPr>
          <w:p w14:paraId="477FE9C2" w14:textId="7C3A1B4E" w:rsidR="000B5FD7" w:rsidRPr="000B5FD7" w:rsidRDefault="000B5FD7" w:rsidP="000B5FD7">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0B5FD7" w:rsidRPr="00F66D3F" w14:paraId="773075B1" w14:textId="77777777" w:rsidTr="413EB596">
        <w:trPr>
          <w:trHeight w:val="300"/>
        </w:trPr>
        <w:tc>
          <w:tcPr>
            <w:tcW w:w="3139" w:type="pct"/>
            <w:tcBorders>
              <w:top w:val="nil"/>
              <w:left w:val="nil"/>
              <w:bottom w:val="nil"/>
              <w:right w:val="nil"/>
            </w:tcBorders>
            <w:noWrap/>
            <w:vAlign w:val="bottom"/>
            <w:hideMark/>
          </w:tcPr>
          <w:p w14:paraId="1A647265" w14:textId="50521BF9" w:rsidR="000B5FD7" w:rsidRPr="00FD5BEA" w:rsidRDefault="000B5FD7" w:rsidP="000B5FD7">
            <w:pPr>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(Loss)/p</w:t>
            </w:r>
            <w:r w:rsidRPr="00FD5BEA">
              <w:rPr>
                <w:rFonts w:eastAsia="Times New Roman" w:cs="Arial"/>
                <w:b/>
                <w:bCs/>
                <w:color w:val="000000"/>
                <w:sz w:val="20"/>
                <w:szCs w:val="20"/>
                <w:lang w:eastAsia="en-AU"/>
              </w:rPr>
              <w:t>rofit</w:t>
            </w:r>
            <w:r w:rsidRPr="00FD5BEA">
              <w:rPr>
                <w:rFonts w:eastAsia="Times New Roman" w:cs="Arial"/>
                <w:b/>
                <w:color w:val="000000"/>
                <w:sz w:val="20"/>
                <w:szCs w:val="20"/>
                <w:lang w:eastAsia="en-AU"/>
              </w:rPr>
              <w:t xml:space="preserve"> for the period</w:t>
            </w:r>
          </w:p>
        </w:tc>
        <w:tc>
          <w:tcPr>
            <w:tcW w:w="505" w:type="pct"/>
            <w:tcBorders>
              <w:top w:val="nil"/>
              <w:left w:val="nil"/>
              <w:bottom w:val="nil"/>
              <w:right w:val="nil"/>
            </w:tcBorders>
            <w:noWrap/>
            <w:vAlign w:val="bottom"/>
            <w:hideMark/>
          </w:tcPr>
          <w:p w14:paraId="07FDE0A3" w14:textId="77777777" w:rsidR="000B5FD7" w:rsidRPr="00FD5BEA" w:rsidRDefault="000B5FD7" w:rsidP="000B5FD7">
            <w:pPr>
              <w:spacing w:after="0" w:line="240" w:lineRule="auto"/>
              <w:jc w:val="center"/>
              <w:rPr>
                <w:rFonts w:eastAsia="Times New Roman" w:cs="Arial"/>
                <w:sz w:val="20"/>
                <w:szCs w:val="20"/>
                <w:lang w:eastAsia="en-AU"/>
              </w:rPr>
            </w:pPr>
          </w:p>
        </w:tc>
        <w:tc>
          <w:tcPr>
            <w:tcW w:w="678" w:type="pct"/>
            <w:tcBorders>
              <w:top w:val="nil"/>
              <w:left w:val="nil"/>
              <w:bottom w:val="single" w:sz="4" w:space="0" w:color="auto"/>
              <w:right w:val="nil"/>
            </w:tcBorders>
            <w:noWrap/>
            <w:vAlign w:val="bottom"/>
            <w:hideMark/>
          </w:tcPr>
          <w:p w14:paraId="319F8856" w14:textId="4B80CE6C" w:rsidR="000B5FD7" w:rsidRPr="000B5FD7" w:rsidRDefault="00E965B7" w:rsidP="000B5FD7">
            <w:pPr>
              <w:tabs>
                <w:tab w:val="decimal" w:pos="921"/>
              </w:tabs>
              <w:spacing w:after="0" w:line="240" w:lineRule="auto"/>
              <w:rPr>
                <w:rFonts w:eastAsia="Times New Roman" w:cs="Arial"/>
                <w:b/>
                <w:bCs/>
                <w:color w:val="000000"/>
                <w:sz w:val="20"/>
                <w:szCs w:val="20"/>
                <w:lang w:eastAsia="en-AU"/>
              </w:rPr>
            </w:pPr>
            <w:r>
              <w:rPr>
                <w:b/>
                <w:bCs/>
                <w:sz w:val="20"/>
                <w:szCs w:val="20"/>
              </w:rPr>
              <w:t>(</w:t>
            </w:r>
            <w:r w:rsidR="00186C7D" w:rsidRPr="6FE1A15E">
              <w:rPr>
                <w:b/>
                <w:bCs/>
                <w:sz w:val="20"/>
                <w:szCs w:val="20"/>
              </w:rPr>
              <w:t>6</w:t>
            </w:r>
            <w:r w:rsidR="00186C7D">
              <w:rPr>
                <w:b/>
                <w:bCs/>
                <w:sz w:val="20"/>
                <w:szCs w:val="20"/>
              </w:rPr>
              <w:t>,819</w:t>
            </w:r>
            <w:r>
              <w:rPr>
                <w:b/>
                <w:bCs/>
                <w:sz w:val="20"/>
                <w:szCs w:val="20"/>
              </w:rPr>
              <w:t>)</w:t>
            </w:r>
          </w:p>
        </w:tc>
        <w:tc>
          <w:tcPr>
            <w:tcW w:w="678" w:type="pct"/>
            <w:tcBorders>
              <w:top w:val="nil"/>
              <w:left w:val="nil"/>
              <w:bottom w:val="single" w:sz="4" w:space="0" w:color="auto"/>
              <w:right w:val="nil"/>
            </w:tcBorders>
            <w:noWrap/>
            <w:vAlign w:val="bottom"/>
            <w:hideMark/>
          </w:tcPr>
          <w:p w14:paraId="503E0AC8" w14:textId="2F57DF05" w:rsidR="000B5FD7" w:rsidRPr="000B5FD7" w:rsidRDefault="000B5FD7" w:rsidP="000B5FD7">
            <w:pPr>
              <w:tabs>
                <w:tab w:val="decimal" w:pos="921"/>
              </w:tabs>
              <w:spacing w:after="0" w:line="240" w:lineRule="auto"/>
              <w:rPr>
                <w:rFonts w:eastAsia="Times New Roman" w:cs="Arial"/>
                <w:b/>
                <w:bCs/>
                <w:color w:val="000000"/>
                <w:sz w:val="20"/>
                <w:szCs w:val="20"/>
                <w:lang w:eastAsia="en-AU"/>
              </w:rPr>
            </w:pPr>
            <w:r w:rsidRPr="00BD5C2A">
              <w:rPr>
                <w:b/>
                <w:bCs/>
                <w:sz w:val="20"/>
                <w:szCs w:val="20"/>
              </w:rPr>
              <w:t>5,828</w:t>
            </w:r>
          </w:p>
        </w:tc>
      </w:tr>
      <w:tr w:rsidR="00F66D3F" w:rsidRPr="00F66D3F" w14:paraId="60E9B7A0" w14:textId="77777777" w:rsidTr="413EB596">
        <w:tc>
          <w:tcPr>
            <w:tcW w:w="3139" w:type="pct"/>
            <w:tcBorders>
              <w:top w:val="nil"/>
              <w:left w:val="nil"/>
              <w:bottom w:val="nil"/>
              <w:right w:val="nil"/>
            </w:tcBorders>
            <w:noWrap/>
            <w:vAlign w:val="bottom"/>
            <w:hideMark/>
          </w:tcPr>
          <w:p w14:paraId="191FFBBE" w14:textId="77777777" w:rsidR="007B3A6E" w:rsidRPr="00FD5BEA" w:rsidRDefault="007B3A6E" w:rsidP="007B3A6E">
            <w:pPr>
              <w:spacing w:after="0" w:line="240" w:lineRule="auto"/>
              <w:jc w:val="right"/>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329A7D11"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6BBCCD37"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4519A13B"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r>
      <w:tr w:rsidR="00F66D3F" w:rsidRPr="00F66D3F" w14:paraId="114E9259" w14:textId="77777777" w:rsidTr="413EB596">
        <w:tc>
          <w:tcPr>
            <w:tcW w:w="3139" w:type="pct"/>
            <w:tcBorders>
              <w:top w:val="nil"/>
              <w:left w:val="nil"/>
              <w:bottom w:val="nil"/>
              <w:right w:val="nil"/>
            </w:tcBorders>
            <w:noWrap/>
            <w:vAlign w:val="bottom"/>
            <w:hideMark/>
          </w:tcPr>
          <w:p w14:paraId="73C2A18D" w14:textId="77777777" w:rsidR="007B3A6E" w:rsidRPr="00FD5BEA" w:rsidRDefault="007B3A6E" w:rsidP="007B3A6E">
            <w:pPr>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Other comprehensive income</w:t>
            </w:r>
          </w:p>
        </w:tc>
        <w:tc>
          <w:tcPr>
            <w:tcW w:w="505" w:type="pct"/>
            <w:tcBorders>
              <w:top w:val="nil"/>
              <w:left w:val="nil"/>
              <w:bottom w:val="nil"/>
              <w:right w:val="nil"/>
            </w:tcBorders>
            <w:noWrap/>
            <w:vAlign w:val="bottom"/>
            <w:hideMark/>
          </w:tcPr>
          <w:p w14:paraId="38E8FD5D"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5D4CA2F6"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6014B0D3"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r>
      <w:tr w:rsidR="00F66D3F" w:rsidRPr="00F66D3F" w14:paraId="2B194719" w14:textId="77777777" w:rsidTr="413EB596">
        <w:tc>
          <w:tcPr>
            <w:tcW w:w="3139" w:type="pct"/>
            <w:tcBorders>
              <w:top w:val="nil"/>
              <w:left w:val="nil"/>
              <w:bottom w:val="nil"/>
              <w:right w:val="nil"/>
            </w:tcBorders>
            <w:noWrap/>
            <w:vAlign w:val="bottom"/>
            <w:hideMark/>
          </w:tcPr>
          <w:p w14:paraId="1CCC3E59" w14:textId="77777777" w:rsidR="007B3A6E" w:rsidRPr="00FD5BEA" w:rsidRDefault="007B3A6E" w:rsidP="007B3A6E">
            <w:pPr>
              <w:spacing w:after="0" w:line="240" w:lineRule="auto"/>
              <w:rPr>
                <w:rFonts w:eastAsia="Times New Roman" w:cs="Arial"/>
                <w:sz w:val="20"/>
                <w:szCs w:val="20"/>
                <w:lang w:eastAsia="en-AU"/>
              </w:rPr>
            </w:pPr>
          </w:p>
        </w:tc>
        <w:tc>
          <w:tcPr>
            <w:tcW w:w="505" w:type="pct"/>
            <w:tcBorders>
              <w:top w:val="nil"/>
              <w:left w:val="nil"/>
              <w:bottom w:val="nil"/>
              <w:right w:val="nil"/>
            </w:tcBorders>
            <w:noWrap/>
            <w:vAlign w:val="bottom"/>
            <w:hideMark/>
          </w:tcPr>
          <w:p w14:paraId="7DCE33AE"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6AA19996"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548E079A" w14:textId="77777777" w:rsidR="007B3A6E" w:rsidRPr="00FD5BEA" w:rsidRDefault="007B3A6E" w:rsidP="00FD5BEA">
            <w:pPr>
              <w:tabs>
                <w:tab w:val="decimal" w:pos="921"/>
              </w:tabs>
              <w:spacing w:after="0" w:line="240" w:lineRule="auto"/>
              <w:rPr>
                <w:rFonts w:eastAsia="Times New Roman" w:cs="Arial"/>
                <w:sz w:val="20"/>
                <w:szCs w:val="20"/>
                <w:lang w:eastAsia="en-AU"/>
              </w:rPr>
            </w:pPr>
          </w:p>
        </w:tc>
      </w:tr>
      <w:tr w:rsidR="00FD5BEA" w:rsidRPr="00FD5BEA" w14:paraId="132EF438" w14:textId="77777777" w:rsidTr="413EB596">
        <w:tc>
          <w:tcPr>
            <w:tcW w:w="3139" w:type="pct"/>
            <w:tcBorders>
              <w:top w:val="nil"/>
              <w:left w:val="nil"/>
              <w:bottom w:val="nil"/>
              <w:right w:val="nil"/>
            </w:tcBorders>
            <w:noWrap/>
            <w:vAlign w:val="bottom"/>
          </w:tcPr>
          <w:p w14:paraId="12E603FB" w14:textId="79080F52" w:rsidR="00FD5BEA" w:rsidRPr="00FD5BEA" w:rsidRDefault="00FD5BEA" w:rsidP="007B3A6E">
            <w:pPr>
              <w:spacing w:after="0" w:line="240" w:lineRule="auto"/>
              <w:rPr>
                <w:rFonts w:eastAsia="Times New Roman" w:cs="Arial"/>
                <w:color w:val="000000"/>
                <w:sz w:val="20"/>
                <w:szCs w:val="20"/>
                <w:lang w:eastAsia="en-AU"/>
              </w:rPr>
            </w:pPr>
            <w:r w:rsidRPr="00FD5BEA">
              <w:rPr>
                <w:rFonts w:eastAsia="Times New Roman" w:cs="Arial"/>
                <w:b/>
                <w:bCs/>
                <w:i/>
                <w:iCs/>
                <w:color w:val="000000"/>
                <w:sz w:val="20"/>
                <w:szCs w:val="20"/>
                <w:lang w:eastAsia="en-AU"/>
              </w:rPr>
              <w:t xml:space="preserve">Items that </w:t>
            </w:r>
            <w:r w:rsidR="00DD1647">
              <w:rPr>
                <w:rFonts w:eastAsia="Times New Roman" w:cs="Arial"/>
                <w:b/>
                <w:bCs/>
                <w:i/>
                <w:iCs/>
                <w:color w:val="000000"/>
                <w:sz w:val="20"/>
                <w:szCs w:val="20"/>
                <w:lang w:eastAsia="en-AU"/>
              </w:rPr>
              <w:t>may</w:t>
            </w:r>
            <w:r w:rsidRPr="00FD5BEA">
              <w:rPr>
                <w:rFonts w:eastAsia="Times New Roman" w:cs="Arial"/>
                <w:b/>
                <w:bCs/>
                <w:i/>
                <w:iCs/>
                <w:color w:val="000000"/>
                <w:sz w:val="20"/>
                <w:szCs w:val="20"/>
                <w:lang w:eastAsia="en-AU"/>
              </w:rPr>
              <w:t xml:space="preserve"> be reclassified to profit or loss, net of tax</w:t>
            </w:r>
          </w:p>
        </w:tc>
        <w:tc>
          <w:tcPr>
            <w:tcW w:w="505" w:type="pct"/>
            <w:tcBorders>
              <w:top w:val="nil"/>
              <w:left w:val="nil"/>
              <w:bottom w:val="nil"/>
              <w:right w:val="nil"/>
            </w:tcBorders>
            <w:noWrap/>
            <w:vAlign w:val="bottom"/>
          </w:tcPr>
          <w:p w14:paraId="5C2481A3" w14:textId="77777777" w:rsidR="00FD5BEA" w:rsidRPr="00FD5BEA" w:rsidRDefault="00FD5BEA" w:rsidP="00FD5BE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tcPr>
          <w:p w14:paraId="7F8E344F" w14:textId="77777777" w:rsidR="00FD5BEA" w:rsidRPr="00FD5BEA" w:rsidRDefault="00FD5BEA" w:rsidP="00FD5BEA">
            <w:pPr>
              <w:tabs>
                <w:tab w:val="decimal" w:pos="921"/>
              </w:tabs>
              <w:spacing w:after="0" w:line="240" w:lineRule="auto"/>
              <w:rPr>
                <w:rFonts w:eastAsia="Times New Roman" w:cs="Arial"/>
                <w:color w:val="000000"/>
                <w:sz w:val="20"/>
                <w:szCs w:val="20"/>
                <w:lang w:eastAsia="en-AU"/>
              </w:rPr>
            </w:pPr>
          </w:p>
        </w:tc>
        <w:tc>
          <w:tcPr>
            <w:tcW w:w="678" w:type="pct"/>
            <w:tcBorders>
              <w:top w:val="nil"/>
              <w:left w:val="nil"/>
              <w:bottom w:val="nil"/>
              <w:right w:val="nil"/>
            </w:tcBorders>
            <w:noWrap/>
            <w:vAlign w:val="bottom"/>
          </w:tcPr>
          <w:p w14:paraId="0D79C2B3" w14:textId="77777777" w:rsidR="00FD5BEA" w:rsidRPr="00FD5BEA" w:rsidRDefault="00FD5BEA" w:rsidP="00FD5BEA">
            <w:pPr>
              <w:tabs>
                <w:tab w:val="decimal" w:pos="921"/>
              </w:tabs>
              <w:spacing w:after="0" w:line="240" w:lineRule="auto"/>
              <w:rPr>
                <w:rFonts w:eastAsia="Times New Roman" w:cs="Arial"/>
                <w:color w:val="000000"/>
                <w:sz w:val="20"/>
                <w:szCs w:val="20"/>
                <w:lang w:eastAsia="en-AU"/>
              </w:rPr>
            </w:pPr>
          </w:p>
        </w:tc>
      </w:tr>
      <w:tr w:rsidR="00F66D3F" w:rsidRPr="00F66D3F" w14:paraId="6FD01EE2" w14:textId="77777777" w:rsidTr="00E326C0">
        <w:trPr>
          <w:trHeight w:val="300"/>
        </w:trPr>
        <w:tc>
          <w:tcPr>
            <w:tcW w:w="3139" w:type="pct"/>
            <w:tcBorders>
              <w:top w:val="nil"/>
              <w:left w:val="nil"/>
              <w:bottom w:val="nil"/>
              <w:right w:val="nil"/>
            </w:tcBorders>
            <w:noWrap/>
            <w:vAlign w:val="bottom"/>
            <w:hideMark/>
          </w:tcPr>
          <w:p w14:paraId="6D2C1FF2" w14:textId="3A0FD0F3" w:rsidR="007B3A6E" w:rsidRPr="00FD5BEA" w:rsidRDefault="1749178A" w:rsidP="00B94E93">
            <w:pPr>
              <w:spacing w:after="0" w:line="240" w:lineRule="auto"/>
              <w:ind w:left="113"/>
              <w:rPr>
                <w:rFonts w:eastAsia="Times New Roman" w:cs="Arial"/>
                <w:color w:val="000000"/>
                <w:sz w:val="20"/>
                <w:szCs w:val="20"/>
                <w:lang w:eastAsia="en-AU"/>
              </w:rPr>
            </w:pPr>
            <w:r w:rsidRPr="5EB7682C">
              <w:rPr>
                <w:rFonts w:eastAsia="Times New Roman" w:cs="Arial"/>
                <w:color w:val="000000" w:themeColor="text1"/>
                <w:sz w:val="20"/>
                <w:szCs w:val="20"/>
                <w:lang w:eastAsia="en-AU"/>
              </w:rPr>
              <w:t>L</w:t>
            </w:r>
            <w:r w:rsidR="007B3A6E" w:rsidRPr="5EB7682C">
              <w:rPr>
                <w:rFonts w:eastAsia="Times New Roman" w:cs="Arial"/>
                <w:color w:val="000000" w:themeColor="text1"/>
                <w:sz w:val="20"/>
                <w:szCs w:val="20"/>
                <w:lang w:eastAsia="en-AU"/>
              </w:rPr>
              <w:t>oss in fair value of cash flow hedges</w:t>
            </w:r>
          </w:p>
        </w:tc>
        <w:tc>
          <w:tcPr>
            <w:tcW w:w="505" w:type="pct"/>
            <w:tcBorders>
              <w:top w:val="nil"/>
              <w:left w:val="nil"/>
              <w:bottom w:val="nil"/>
              <w:right w:val="nil"/>
            </w:tcBorders>
            <w:noWrap/>
            <w:vAlign w:val="bottom"/>
            <w:hideMark/>
          </w:tcPr>
          <w:p w14:paraId="3451E135"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right w:val="nil"/>
            </w:tcBorders>
            <w:noWrap/>
            <w:vAlign w:val="bottom"/>
            <w:hideMark/>
          </w:tcPr>
          <w:p w14:paraId="44396B3F" w14:textId="34F0C931" w:rsidR="007B3A6E" w:rsidRPr="00FD5BEA" w:rsidRDefault="007B3A6E" w:rsidP="00FD5BEA">
            <w:pPr>
              <w:tabs>
                <w:tab w:val="decimal" w:pos="921"/>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w:t>
            </w:r>
            <w:r w:rsidR="00186C7D" w:rsidRPr="6FE1A15E">
              <w:rPr>
                <w:rFonts w:eastAsia="Times New Roman" w:cs="Arial"/>
                <w:color w:val="000000" w:themeColor="text1"/>
                <w:sz w:val="20"/>
                <w:szCs w:val="20"/>
                <w:lang w:eastAsia="en-AU"/>
              </w:rPr>
              <w:t>526</w:t>
            </w:r>
            <w:r w:rsidRPr="6FE1A15E">
              <w:rPr>
                <w:rFonts w:eastAsia="Times New Roman" w:cs="Arial"/>
                <w:color w:val="000000" w:themeColor="text1"/>
                <w:sz w:val="20"/>
                <w:szCs w:val="20"/>
                <w:lang w:eastAsia="en-AU"/>
              </w:rPr>
              <w:t>)</w:t>
            </w:r>
          </w:p>
        </w:tc>
        <w:tc>
          <w:tcPr>
            <w:tcW w:w="678" w:type="pct"/>
            <w:tcBorders>
              <w:top w:val="nil"/>
              <w:left w:val="nil"/>
              <w:right w:val="nil"/>
            </w:tcBorders>
            <w:noWrap/>
            <w:vAlign w:val="bottom"/>
            <w:hideMark/>
          </w:tcPr>
          <w:p w14:paraId="69D4242E" w14:textId="07A0681D" w:rsidR="007B3A6E" w:rsidRPr="00FD5BEA" w:rsidRDefault="00FD5BEA" w:rsidP="00FD5BE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w:t>
            </w:r>
          </w:p>
        </w:tc>
      </w:tr>
      <w:tr w:rsidR="00F66D3F" w:rsidRPr="00F66D3F" w14:paraId="7C4E637F" w14:textId="77777777" w:rsidTr="00E326C0">
        <w:trPr>
          <w:trHeight w:val="300"/>
        </w:trPr>
        <w:tc>
          <w:tcPr>
            <w:tcW w:w="3139" w:type="pct"/>
            <w:tcBorders>
              <w:top w:val="nil"/>
              <w:left w:val="nil"/>
              <w:bottom w:val="nil"/>
              <w:right w:val="nil"/>
            </w:tcBorders>
            <w:vAlign w:val="bottom"/>
            <w:hideMark/>
          </w:tcPr>
          <w:p w14:paraId="73A30600" w14:textId="3A0908C3" w:rsidR="007B3A6E" w:rsidRPr="00FD5BEA" w:rsidRDefault="007B3A6E" w:rsidP="00B94E93">
            <w:pPr>
              <w:spacing w:after="0" w:line="240" w:lineRule="auto"/>
              <w:ind w:left="113"/>
              <w:rPr>
                <w:rFonts w:eastAsia="Times New Roman" w:cs="Arial"/>
                <w:color w:val="000000"/>
                <w:sz w:val="20"/>
                <w:szCs w:val="20"/>
                <w:lang w:eastAsia="en-AU"/>
              </w:rPr>
            </w:pPr>
            <w:r w:rsidRPr="00FD5BEA">
              <w:rPr>
                <w:rFonts w:eastAsia="Times New Roman" w:cs="Arial"/>
                <w:color w:val="000000"/>
                <w:sz w:val="20"/>
                <w:szCs w:val="20"/>
                <w:lang w:eastAsia="en-AU"/>
              </w:rPr>
              <w:t xml:space="preserve">Share of </w:t>
            </w:r>
            <w:r w:rsidR="00055E29">
              <w:rPr>
                <w:rFonts w:eastAsia="Times New Roman" w:cs="Arial"/>
                <w:color w:val="000000"/>
                <w:sz w:val="20"/>
                <w:szCs w:val="20"/>
                <w:lang w:eastAsia="en-AU"/>
              </w:rPr>
              <w:t xml:space="preserve">other comprehensive </w:t>
            </w:r>
            <w:r w:rsidR="00336539">
              <w:rPr>
                <w:rFonts w:eastAsia="Times New Roman" w:cs="Arial"/>
                <w:color w:val="000000"/>
                <w:sz w:val="20"/>
                <w:szCs w:val="20"/>
                <w:lang w:eastAsia="en-AU"/>
              </w:rPr>
              <w:t>income</w:t>
            </w:r>
            <w:r w:rsidRPr="00FD5BEA">
              <w:rPr>
                <w:rFonts w:eastAsia="Times New Roman" w:cs="Arial"/>
                <w:color w:val="000000"/>
                <w:sz w:val="20"/>
                <w:szCs w:val="20"/>
                <w:lang w:eastAsia="en-AU"/>
              </w:rPr>
              <w:t xml:space="preserve">/(loss) </w:t>
            </w:r>
            <w:r w:rsidR="00A940F1">
              <w:rPr>
                <w:rFonts w:eastAsia="Times New Roman" w:cs="Arial"/>
                <w:color w:val="000000"/>
                <w:sz w:val="20"/>
                <w:szCs w:val="20"/>
                <w:lang w:eastAsia="en-AU"/>
              </w:rPr>
              <w:t>of</w:t>
            </w:r>
            <w:r w:rsidRPr="00FD5BEA">
              <w:rPr>
                <w:rFonts w:eastAsia="Times New Roman" w:cs="Arial"/>
                <w:color w:val="000000"/>
                <w:sz w:val="20"/>
                <w:szCs w:val="20"/>
                <w:lang w:eastAsia="en-AU"/>
              </w:rPr>
              <w:t xml:space="preserve"> equity accounted investees</w:t>
            </w:r>
          </w:p>
        </w:tc>
        <w:tc>
          <w:tcPr>
            <w:tcW w:w="505" w:type="pct"/>
            <w:tcBorders>
              <w:top w:val="nil"/>
              <w:left w:val="nil"/>
              <w:bottom w:val="nil"/>
              <w:right w:val="nil"/>
            </w:tcBorders>
            <w:noWrap/>
            <w:vAlign w:val="bottom"/>
            <w:hideMark/>
          </w:tcPr>
          <w:p w14:paraId="7D15F464" w14:textId="15D8512D" w:rsidR="007B3A6E" w:rsidRPr="00FD5BEA" w:rsidRDefault="00217E6C" w:rsidP="007B3A6E">
            <w:pPr>
              <w:spacing w:after="0" w:line="240" w:lineRule="auto"/>
              <w:jc w:val="center"/>
              <w:rPr>
                <w:rFonts w:eastAsia="Times New Roman" w:cs="Arial"/>
                <w:color w:val="000000"/>
                <w:sz w:val="20"/>
                <w:szCs w:val="20"/>
                <w:lang w:eastAsia="en-AU"/>
              </w:rPr>
            </w:pPr>
            <w:r w:rsidRPr="5EB7682C">
              <w:rPr>
                <w:rFonts w:eastAsia="Times New Roman" w:cs="Arial"/>
                <w:color w:val="000000" w:themeColor="text1"/>
                <w:sz w:val="20"/>
                <w:szCs w:val="20"/>
                <w:lang w:eastAsia="en-AU"/>
              </w:rPr>
              <w:t>1</w:t>
            </w:r>
            <w:r w:rsidR="007B3A6E" w:rsidRPr="5EB7682C">
              <w:rPr>
                <w:rFonts w:eastAsia="Times New Roman" w:cs="Arial"/>
                <w:color w:val="000000" w:themeColor="text1"/>
                <w:sz w:val="20"/>
                <w:szCs w:val="20"/>
                <w:lang w:eastAsia="en-AU"/>
              </w:rPr>
              <w:t>8</w:t>
            </w:r>
          </w:p>
        </w:tc>
        <w:tc>
          <w:tcPr>
            <w:tcW w:w="678" w:type="pct"/>
            <w:tcBorders>
              <w:top w:val="nil"/>
              <w:left w:val="nil"/>
              <w:bottom w:val="single" w:sz="4" w:space="0" w:color="auto"/>
              <w:right w:val="nil"/>
            </w:tcBorders>
            <w:noWrap/>
            <w:vAlign w:val="bottom"/>
            <w:hideMark/>
          </w:tcPr>
          <w:p w14:paraId="4E4D96DD" w14:textId="5DFEB52E" w:rsidR="007B3A6E" w:rsidRPr="00FD5BEA" w:rsidRDefault="00BD5C2A" w:rsidP="00FD5BEA">
            <w:pPr>
              <w:tabs>
                <w:tab w:val="decimal" w:pos="92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20</w:t>
            </w:r>
            <w:r w:rsidR="00FD5BEA" w:rsidRPr="00FD5BEA">
              <w:rPr>
                <w:rFonts w:eastAsia="Times New Roman" w:cs="Arial"/>
                <w:color w:val="000000"/>
                <w:sz w:val="20"/>
                <w:szCs w:val="20"/>
                <w:lang w:eastAsia="en-AU"/>
              </w:rPr>
              <w:t xml:space="preserve"> </w:t>
            </w:r>
          </w:p>
        </w:tc>
        <w:tc>
          <w:tcPr>
            <w:tcW w:w="678" w:type="pct"/>
            <w:tcBorders>
              <w:top w:val="nil"/>
              <w:left w:val="nil"/>
              <w:bottom w:val="single" w:sz="4" w:space="0" w:color="auto"/>
              <w:right w:val="nil"/>
            </w:tcBorders>
            <w:noWrap/>
            <w:vAlign w:val="bottom"/>
            <w:hideMark/>
          </w:tcPr>
          <w:p w14:paraId="11A183EA" w14:textId="77777777" w:rsidR="007B3A6E" w:rsidRPr="00FD5BEA" w:rsidRDefault="007B3A6E" w:rsidP="00FD5BE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(2,773)</w:t>
            </w:r>
          </w:p>
        </w:tc>
      </w:tr>
      <w:tr w:rsidR="00F66D3F" w:rsidRPr="00F66D3F" w14:paraId="4987DF40" w14:textId="77777777" w:rsidTr="00E326C0">
        <w:trPr>
          <w:trHeight w:val="300"/>
        </w:trPr>
        <w:tc>
          <w:tcPr>
            <w:tcW w:w="3139" w:type="pct"/>
            <w:tcBorders>
              <w:top w:val="nil"/>
              <w:left w:val="nil"/>
              <w:bottom w:val="nil"/>
              <w:right w:val="nil"/>
            </w:tcBorders>
            <w:vAlign w:val="bottom"/>
            <w:hideMark/>
          </w:tcPr>
          <w:p w14:paraId="664C07E1" w14:textId="4E8D963E" w:rsidR="007B3A6E" w:rsidRPr="00FD5BEA" w:rsidRDefault="007B3A6E"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other comprehensive </w:t>
            </w:r>
            <w:r w:rsidR="004902B1" w:rsidRPr="413EB596">
              <w:rPr>
                <w:rFonts w:eastAsia="Times New Roman" w:cs="Arial"/>
                <w:b/>
                <w:bCs/>
                <w:color w:val="000000" w:themeColor="text1"/>
                <w:sz w:val="20"/>
                <w:szCs w:val="20"/>
                <w:lang w:eastAsia="en-AU"/>
              </w:rPr>
              <w:t>loss</w:t>
            </w:r>
            <w:r w:rsidR="009856B4" w:rsidRPr="413EB596">
              <w:rPr>
                <w:rFonts w:eastAsia="Times New Roman" w:cs="Arial"/>
                <w:b/>
                <w:bCs/>
                <w:color w:val="000000" w:themeColor="text1"/>
                <w:sz w:val="20"/>
                <w:szCs w:val="20"/>
                <w:lang w:eastAsia="en-AU"/>
              </w:rPr>
              <w:t>, net of tax</w:t>
            </w:r>
          </w:p>
        </w:tc>
        <w:tc>
          <w:tcPr>
            <w:tcW w:w="505" w:type="pct"/>
            <w:tcBorders>
              <w:top w:val="nil"/>
              <w:left w:val="nil"/>
              <w:bottom w:val="nil"/>
              <w:right w:val="nil"/>
            </w:tcBorders>
            <w:noWrap/>
            <w:vAlign w:val="bottom"/>
            <w:hideMark/>
          </w:tcPr>
          <w:p w14:paraId="134A4A97"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single" w:sz="4" w:space="0" w:color="auto"/>
              <w:left w:val="nil"/>
              <w:bottom w:val="nil"/>
              <w:right w:val="nil"/>
            </w:tcBorders>
            <w:noWrap/>
            <w:vAlign w:val="bottom"/>
            <w:hideMark/>
          </w:tcPr>
          <w:p w14:paraId="241C514F" w14:textId="531C90D2" w:rsidR="007B3A6E" w:rsidRPr="00FD5BEA" w:rsidRDefault="007B3A6E" w:rsidP="00FD5BEA">
            <w:pPr>
              <w:tabs>
                <w:tab w:val="decimal" w:pos="921"/>
              </w:tabs>
              <w:spacing w:after="0" w:line="240" w:lineRule="auto"/>
              <w:rPr>
                <w:rFonts w:eastAsia="Times New Roman" w:cs="Arial"/>
                <w:b/>
                <w:color w:val="000000"/>
                <w:sz w:val="20"/>
                <w:szCs w:val="20"/>
                <w:lang w:eastAsia="en-AU"/>
              </w:rPr>
            </w:pPr>
            <w:r w:rsidRPr="6FE1A15E">
              <w:rPr>
                <w:rFonts w:eastAsia="Times New Roman" w:cs="Arial"/>
                <w:b/>
                <w:bCs/>
                <w:color w:val="000000" w:themeColor="text1"/>
                <w:sz w:val="20"/>
                <w:szCs w:val="20"/>
                <w:lang w:eastAsia="en-AU"/>
              </w:rPr>
              <w:t>(</w:t>
            </w:r>
            <w:r w:rsidR="00186C7D" w:rsidRPr="6FE1A15E">
              <w:rPr>
                <w:rFonts w:eastAsia="Times New Roman" w:cs="Arial"/>
                <w:b/>
                <w:bCs/>
                <w:color w:val="000000" w:themeColor="text1"/>
                <w:sz w:val="20"/>
                <w:szCs w:val="20"/>
                <w:lang w:eastAsia="en-AU"/>
              </w:rPr>
              <w:t>506</w:t>
            </w:r>
            <w:r w:rsidRPr="6FE1A15E">
              <w:rPr>
                <w:rFonts w:eastAsia="Times New Roman" w:cs="Arial"/>
                <w:b/>
                <w:bCs/>
                <w:color w:val="000000" w:themeColor="text1"/>
                <w:sz w:val="20"/>
                <w:szCs w:val="20"/>
                <w:lang w:eastAsia="en-AU"/>
              </w:rPr>
              <w:t>)</w:t>
            </w:r>
          </w:p>
        </w:tc>
        <w:tc>
          <w:tcPr>
            <w:tcW w:w="678" w:type="pct"/>
            <w:tcBorders>
              <w:top w:val="single" w:sz="4" w:space="0" w:color="auto"/>
              <w:left w:val="nil"/>
              <w:bottom w:val="nil"/>
              <w:right w:val="nil"/>
            </w:tcBorders>
            <w:noWrap/>
            <w:vAlign w:val="bottom"/>
            <w:hideMark/>
          </w:tcPr>
          <w:p w14:paraId="6D67FDFE" w14:textId="77777777" w:rsidR="007B3A6E" w:rsidRPr="00FD5BEA" w:rsidRDefault="007B3A6E" w:rsidP="00FD5BEA">
            <w:pPr>
              <w:tabs>
                <w:tab w:val="decimal" w:pos="921"/>
              </w:tabs>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(2,773)</w:t>
            </w:r>
          </w:p>
        </w:tc>
      </w:tr>
      <w:tr w:rsidR="00F66D3F" w:rsidRPr="00F66D3F" w14:paraId="5F16180C" w14:textId="77777777" w:rsidTr="00E326C0">
        <w:trPr>
          <w:trHeight w:val="300"/>
        </w:trPr>
        <w:tc>
          <w:tcPr>
            <w:tcW w:w="3139" w:type="pct"/>
            <w:tcBorders>
              <w:top w:val="nil"/>
              <w:left w:val="nil"/>
              <w:bottom w:val="nil"/>
              <w:right w:val="nil"/>
            </w:tcBorders>
            <w:noWrap/>
            <w:vAlign w:val="bottom"/>
            <w:hideMark/>
          </w:tcPr>
          <w:p w14:paraId="7C8C7C54" w14:textId="77777777" w:rsidR="007B3A6E" w:rsidRPr="00FD5BEA" w:rsidRDefault="007B3A6E" w:rsidP="007B3A6E">
            <w:pPr>
              <w:spacing w:after="0" w:line="240" w:lineRule="auto"/>
              <w:jc w:val="right"/>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443B2DE8"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nil"/>
              <w:left w:val="nil"/>
              <w:bottom w:val="single" w:sz="4" w:space="0" w:color="auto"/>
              <w:right w:val="nil"/>
            </w:tcBorders>
            <w:noWrap/>
            <w:vAlign w:val="bottom"/>
            <w:hideMark/>
          </w:tcPr>
          <w:p w14:paraId="2D5CEE5B" w14:textId="77777777" w:rsidR="007B3A6E" w:rsidRPr="00FD5BEA" w:rsidRDefault="007B3A6E" w:rsidP="00FD5BE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 </w:t>
            </w:r>
          </w:p>
        </w:tc>
        <w:tc>
          <w:tcPr>
            <w:tcW w:w="678" w:type="pct"/>
            <w:tcBorders>
              <w:top w:val="nil"/>
              <w:left w:val="nil"/>
              <w:bottom w:val="single" w:sz="4" w:space="0" w:color="auto"/>
              <w:right w:val="nil"/>
            </w:tcBorders>
            <w:noWrap/>
            <w:vAlign w:val="bottom"/>
            <w:hideMark/>
          </w:tcPr>
          <w:p w14:paraId="6130E110" w14:textId="77777777" w:rsidR="007B3A6E" w:rsidRPr="00FD5BEA" w:rsidRDefault="007B3A6E" w:rsidP="00FD5BEA">
            <w:pPr>
              <w:tabs>
                <w:tab w:val="decimal" w:pos="921"/>
              </w:tabs>
              <w:spacing w:after="0" w:line="240" w:lineRule="auto"/>
              <w:rPr>
                <w:rFonts w:eastAsia="Times New Roman" w:cs="Arial"/>
                <w:color w:val="000000"/>
                <w:sz w:val="20"/>
                <w:szCs w:val="20"/>
                <w:lang w:eastAsia="en-AU"/>
              </w:rPr>
            </w:pPr>
          </w:p>
        </w:tc>
      </w:tr>
      <w:tr w:rsidR="00F66D3F" w:rsidRPr="00F66D3F" w14:paraId="5B790960" w14:textId="77777777" w:rsidTr="00E326C0">
        <w:trPr>
          <w:trHeight w:val="300"/>
        </w:trPr>
        <w:tc>
          <w:tcPr>
            <w:tcW w:w="3139" w:type="pct"/>
            <w:tcBorders>
              <w:top w:val="nil"/>
              <w:left w:val="nil"/>
              <w:bottom w:val="nil"/>
              <w:right w:val="nil"/>
            </w:tcBorders>
            <w:noWrap/>
            <w:vAlign w:val="bottom"/>
            <w:hideMark/>
          </w:tcPr>
          <w:p w14:paraId="7ABA9F7B" w14:textId="4540C442" w:rsidR="007B3A6E" w:rsidRPr="00FD5BEA" w:rsidRDefault="007B3A6E" w:rsidP="007B3A6E">
            <w:pPr>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 xml:space="preserve">Total comprehensive </w:t>
            </w:r>
            <w:r w:rsidR="00D46A91">
              <w:rPr>
                <w:rFonts w:eastAsia="Times New Roman" w:cs="Arial"/>
                <w:b/>
                <w:bCs/>
                <w:color w:val="000000"/>
                <w:sz w:val="20"/>
                <w:szCs w:val="20"/>
                <w:lang w:eastAsia="en-AU"/>
              </w:rPr>
              <w:t>(loss)/income for the year</w:t>
            </w:r>
          </w:p>
        </w:tc>
        <w:tc>
          <w:tcPr>
            <w:tcW w:w="505" w:type="pct"/>
            <w:tcBorders>
              <w:top w:val="nil"/>
              <w:left w:val="nil"/>
              <w:bottom w:val="nil"/>
              <w:right w:val="nil"/>
            </w:tcBorders>
            <w:noWrap/>
            <w:vAlign w:val="bottom"/>
            <w:hideMark/>
          </w:tcPr>
          <w:p w14:paraId="613CECCC" w14:textId="77777777" w:rsidR="007B3A6E" w:rsidRPr="00FD5BEA" w:rsidRDefault="007B3A6E" w:rsidP="00FD5BEA">
            <w:pPr>
              <w:spacing w:after="0" w:line="240" w:lineRule="auto"/>
              <w:jc w:val="center"/>
              <w:rPr>
                <w:rFonts w:eastAsia="Times New Roman" w:cs="Arial"/>
                <w:sz w:val="20"/>
                <w:szCs w:val="20"/>
                <w:lang w:eastAsia="en-AU"/>
              </w:rPr>
            </w:pPr>
          </w:p>
        </w:tc>
        <w:tc>
          <w:tcPr>
            <w:tcW w:w="678" w:type="pct"/>
            <w:tcBorders>
              <w:top w:val="single" w:sz="4" w:space="0" w:color="auto"/>
              <w:left w:val="nil"/>
              <w:bottom w:val="double" w:sz="4" w:space="0" w:color="auto"/>
              <w:right w:val="nil"/>
            </w:tcBorders>
            <w:noWrap/>
            <w:vAlign w:val="bottom"/>
            <w:hideMark/>
          </w:tcPr>
          <w:p w14:paraId="795547F1" w14:textId="20A1AD71" w:rsidR="007B3A6E" w:rsidRPr="00FD5BEA" w:rsidRDefault="009B417B" w:rsidP="00FD5BEA">
            <w:pPr>
              <w:tabs>
                <w:tab w:val="decimal" w:pos="921"/>
              </w:tabs>
              <w:spacing w:after="0" w:line="240" w:lineRule="auto"/>
              <w:rPr>
                <w:rFonts w:eastAsia="Times New Roman" w:cs="Arial"/>
                <w:b/>
                <w:color w:val="000000"/>
                <w:sz w:val="20"/>
                <w:szCs w:val="20"/>
                <w:lang w:eastAsia="en-AU"/>
              </w:rPr>
            </w:pPr>
            <w:r w:rsidRPr="6FE1A15E">
              <w:rPr>
                <w:rFonts w:eastAsia="Times New Roman" w:cs="Arial"/>
                <w:b/>
                <w:color w:val="000000" w:themeColor="text1"/>
                <w:sz w:val="20"/>
                <w:szCs w:val="20"/>
                <w:lang w:eastAsia="en-AU"/>
              </w:rPr>
              <w:t>(</w:t>
            </w:r>
            <w:r w:rsidR="00186C7D" w:rsidRPr="6FE1A15E">
              <w:rPr>
                <w:rFonts w:eastAsia="Times New Roman" w:cs="Arial"/>
                <w:b/>
                <w:bCs/>
                <w:color w:val="000000" w:themeColor="text1"/>
                <w:sz w:val="20"/>
                <w:szCs w:val="20"/>
                <w:lang w:eastAsia="en-AU"/>
              </w:rPr>
              <w:t>7</w:t>
            </w:r>
            <w:r w:rsidR="00186C7D" w:rsidRPr="6FE1A15E">
              <w:rPr>
                <w:rFonts w:eastAsia="Times New Roman" w:cs="Arial"/>
                <w:b/>
                <w:color w:val="000000" w:themeColor="text1"/>
                <w:sz w:val="20"/>
                <w:szCs w:val="20"/>
                <w:lang w:eastAsia="en-AU"/>
              </w:rPr>
              <w:t>,325</w:t>
            </w:r>
            <w:r w:rsidRPr="6FE1A15E">
              <w:rPr>
                <w:rFonts w:eastAsia="Times New Roman" w:cs="Arial"/>
                <w:b/>
                <w:color w:val="000000" w:themeColor="text1"/>
                <w:sz w:val="20"/>
                <w:szCs w:val="20"/>
                <w:lang w:eastAsia="en-AU"/>
              </w:rPr>
              <w:t>)</w:t>
            </w:r>
          </w:p>
        </w:tc>
        <w:tc>
          <w:tcPr>
            <w:tcW w:w="678" w:type="pct"/>
            <w:tcBorders>
              <w:top w:val="single" w:sz="4" w:space="0" w:color="auto"/>
              <w:left w:val="nil"/>
              <w:bottom w:val="double" w:sz="4" w:space="0" w:color="auto"/>
              <w:right w:val="nil"/>
            </w:tcBorders>
            <w:noWrap/>
            <w:vAlign w:val="bottom"/>
            <w:hideMark/>
          </w:tcPr>
          <w:p w14:paraId="57B5CFBA" w14:textId="77777777" w:rsidR="007B3A6E" w:rsidRPr="00FD5BEA" w:rsidRDefault="007B3A6E" w:rsidP="00FD5BEA">
            <w:pPr>
              <w:tabs>
                <w:tab w:val="decimal" w:pos="921"/>
              </w:tabs>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3,055</w:t>
            </w:r>
          </w:p>
        </w:tc>
      </w:tr>
    </w:tbl>
    <w:p w14:paraId="4D747898" w14:textId="6851479C" w:rsidR="00284360" w:rsidRPr="00F65403" w:rsidRDefault="00284360" w:rsidP="001C1467">
      <w:pPr>
        <w:pStyle w:val="BodyText"/>
        <w:rPr>
          <w:lang w:val="en-AU"/>
        </w:rPr>
      </w:pPr>
    </w:p>
    <w:p w14:paraId="7E9AC46C" w14:textId="0CE2098D" w:rsidR="00284360" w:rsidRPr="001C1467" w:rsidRDefault="00284360" w:rsidP="001C1467">
      <w:pPr>
        <w:pStyle w:val="BodyText"/>
        <w:rPr>
          <w:i/>
          <w:lang w:val="en-AU"/>
        </w:rPr>
      </w:pPr>
      <w:r w:rsidRPr="4B8613CA">
        <w:rPr>
          <w:i/>
          <w:lang w:val="en-AU"/>
        </w:rPr>
        <w:t xml:space="preserve">The above consolidated statement of profit or loss and </w:t>
      </w:r>
      <w:r w:rsidR="00F76C98" w:rsidRPr="4B8613CA">
        <w:rPr>
          <w:i/>
          <w:lang w:val="en-AU"/>
        </w:rPr>
        <w:t>other</w:t>
      </w:r>
      <w:r w:rsidR="00B27512" w:rsidRPr="4B8613CA">
        <w:rPr>
          <w:i/>
          <w:lang w:val="en-AU"/>
        </w:rPr>
        <w:t xml:space="preserve"> </w:t>
      </w:r>
      <w:r w:rsidRPr="4B8613CA">
        <w:rPr>
          <w:i/>
          <w:lang w:val="en-AU"/>
        </w:rPr>
        <w:t>comprehensive income should be read in conjunction with the accompanying notes. </w:t>
      </w:r>
    </w:p>
    <w:p w14:paraId="76F76081" w14:textId="5CD51116" w:rsidR="25A44329" w:rsidRDefault="25A44329">
      <w:r>
        <w:br w:type="page"/>
      </w:r>
    </w:p>
    <w:p w14:paraId="75D232FD" w14:textId="2A0C9B15" w:rsidR="00D443AE" w:rsidRPr="0048780B" w:rsidRDefault="00D443AE" w:rsidP="00B254AC">
      <w:pPr>
        <w:pStyle w:val="Heading1"/>
      </w:pPr>
      <w:bookmarkStart w:id="337" w:name="_Toc203487536"/>
      <w:bookmarkStart w:id="338" w:name="_Toc203656226"/>
      <w:bookmarkStart w:id="339" w:name="_Toc1422178197"/>
      <w:bookmarkStart w:id="340" w:name="_Toc208418032"/>
      <w:bookmarkStart w:id="341" w:name="_Toc209080397"/>
      <w:bookmarkStart w:id="342" w:name="_Toc209703966"/>
      <w:bookmarkStart w:id="343" w:name="_Toc209704019"/>
      <w:bookmarkStart w:id="344" w:name="_Toc209704072"/>
      <w:r w:rsidRPr="0048780B">
        <w:t>Consolidated statement of financial position</w:t>
      </w:r>
      <w:bookmarkEnd w:id="337"/>
      <w:bookmarkEnd w:id="338"/>
      <w:bookmarkEnd w:id="339"/>
      <w:bookmarkEnd w:id="340"/>
      <w:bookmarkEnd w:id="341"/>
      <w:bookmarkEnd w:id="342"/>
      <w:bookmarkEnd w:id="343"/>
      <w:bookmarkEnd w:id="344"/>
      <w:r w:rsidRPr="0048780B">
        <w:t> </w:t>
      </w:r>
    </w:p>
    <w:p w14:paraId="24E04B5C" w14:textId="6CE6BC2A" w:rsidR="00C77AB0" w:rsidRPr="0048780B" w:rsidRDefault="00C77AB0" w:rsidP="00C77AB0">
      <w:pPr>
        <w:pStyle w:val="Heading3"/>
      </w:pPr>
      <w:r>
        <w:t>As at 30 June 2025</w:t>
      </w:r>
    </w:p>
    <w:tbl>
      <w:tblPr>
        <w:tblW w:w="8222" w:type="dxa"/>
        <w:tblCellMar>
          <w:top w:w="28" w:type="dxa"/>
          <w:left w:w="28" w:type="dxa"/>
          <w:bottom w:w="28" w:type="dxa"/>
          <w:right w:w="28" w:type="dxa"/>
        </w:tblCellMar>
        <w:tblLook w:val="04A0" w:firstRow="1" w:lastRow="0" w:firstColumn="1" w:lastColumn="0" w:noHBand="0" w:noVBand="1"/>
      </w:tblPr>
      <w:tblGrid>
        <w:gridCol w:w="4276"/>
        <w:gridCol w:w="1099"/>
        <w:gridCol w:w="1502"/>
        <w:gridCol w:w="1345"/>
      </w:tblGrid>
      <w:tr w:rsidR="003F1549" w:rsidRPr="00167C2B" w14:paraId="37BE6D45" w14:textId="77777777" w:rsidTr="00AA3AC5">
        <w:trPr>
          <w:trHeight w:val="170"/>
        </w:trPr>
        <w:tc>
          <w:tcPr>
            <w:tcW w:w="4276" w:type="dxa"/>
            <w:tcBorders>
              <w:top w:val="nil"/>
              <w:left w:val="nil"/>
              <w:bottom w:val="nil"/>
              <w:right w:val="nil"/>
            </w:tcBorders>
            <w:noWrap/>
            <w:vAlign w:val="bottom"/>
            <w:hideMark/>
          </w:tcPr>
          <w:p w14:paraId="2B3B1C20" w14:textId="1E5EB50B" w:rsidR="003F1549" w:rsidRPr="00F65403" w:rsidRDefault="003F1549">
            <w:pPr>
              <w:spacing w:after="0" w:line="240" w:lineRule="auto"/>
              <w:rPr>
                <w:rFonts w:eastAsia="Times New Roman" w:cs="Arial"/>
                <w:sz w:val="20"/>
                <w:szCs w:val="20"/>
                <w:lang w:eastAsia="en-AU"/>
              </w:rPr>
            </w:pPr>
          </w:p>
        </w:tc>
        <w:tc>
          <w:tcPr>
            <w:tcW w:w="1099" w:type="dxa"/>
            <w:tcBorders>
              <w:top w:val="nil"/>
              <w:left w:val="nil"/>
              <w:bottom w:val="nil"/>
              <w:right w:val="nil"/>
            </w:tcBorders>
            <w:noWrap/>
            <w:vAlign w:val="bottom"/>
            <w:hideMark/>
          </w:tcPr>
          <w:p w14:paraId="037D290F" w14:textId="77777777" w:rsidR="003F1549" w:rsidRPr="00F65403" w:rsidRDefault="003F1549">
            <w:pPr>
              <w:spacing w:after="0" w:line="240" w:lineRule="auto"/>
              <w:rPr>
                <w:rFonts w:eastAsia="Times New Roman" w:cs="Arial"/>
                <w:sz w:val="20"/>
                <w:szCs w:val="20"/>
                <w:lang w:eastAsia="en-AU"/>
              </w:rPr>
            </w:pPr>
          </w:p>
        </w:tc>
        <w:tc>
          <w:tcPr>
            <w:tcW w:w="1502" w:type="dxa"/>
            <w:tcBorders>
              <w:top w:val="nil"/>
              <w:left w:val="nil"/>
              <w:bottom w:val="nil"/>
              <w:right w:val="nil"/>
            </w:tcBorders>
            <w:noWrap/>
            <w:vAlign w:val="bottom"/>
            <w:hideMark/>
          </w:tcPr>
          <w:p w14:paraId="739CDD3E" w14:textId="77777777" w:rsidR="003F1549" w:rsidRPr="00C77AB0" w:rsidRDefault="003F1549" w:rsidP="00C77AB0">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2025</w:t>
            </w:r>
          </w:p>
        </w:tc>
        <w:tc>
          <w:tcPr>
            <w:tcW w:w="1345" w:type="dxa"/>
            <w:tcBorders>
              <w:top w:val="nil"/>
              <w:left w:val="nil"/>
              <w:bottom w:val="nil"/>
              <w:right w:val="nil"/>
            </w:tcBorders>
            <w:noWrap/>
            <w:vAlign w:val="bottom"/>
            <w:hideMark/>
          </w:tcPr>
          <w:p w14:paraId="63E08796" w14:textId="77777777" w:rsidR="003F1549" w:rsidRPr="00C77AB0" w:rsidRDefault="003F1549" w:rsidP="00C77AB0">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2024</w:t>
            </w:r>
          </w:p>
        </w:tc>
      </w:tr>
      <w:tr w:rsidR="003F1549" w:rsidRPr="00167C2B" w14:paraId="73CDA9FF" w14:textId="77777777" w:rsidTr="00AA3AC5">
        <w:trPr>
          <w:trHeight w:val="170"/>
        </w:trPr>
        <w:tc>
          <w:tcPr>
            <w:tcW w:w="4276" w:type="dxa"/>
            <w:tcBorders>
              <w:top w:val="nil"/>
              <w:left w:val="nil"/>
              <w:bottom w:val="nil"/>
              <w:right w:val="nil"/>
            </w:tcBorders>
            <w:noWrap/>
            <w:vAlign w:val="bottom"/>
            <w:hideMark/>
          </w:tcPr>
          <w:p w14:paraId="1F72B980" w14:textId="77777777" w:rsidR="003F1549" w:rsidRPr="00C77AB0" w:rsidRDefault="003F1549">
            <w:pPr>
              <w:spacing w:after="0" w:line="240" w:lineRule="auto"/>
              <w:jc w:val="right"/>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1BE0C5FA" w14:textId="77777777" w:rsidR="003F1549" w:rsidRPr="00C77AB0" w:rsidRDefault="003F1549">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Note</w:t>
            </w:r>
          </w:p>
        </w:tc>
        <w:tc>
          <w:tcPr>
            <w:tcW w:w="1502" w:type="dxa"/>
            <w:tcBorders>
              <w:top w:val="nil"/>
              <w:left w:val="nil"/>
              <w:bottom w:val="nil"/>
              <w:right w:val="nil"/>
            </w:tcBorders>
            <w:noWrap/>
            <w:vAlign w:val="bottom"/>
            <w:hideMark/>
          </w:tcPr>
          <w:p w14:paraId="1917D0BA" w14:textId="77777777" w:rsidR="003F1549" w:rsidRPr="00C77AB0" w:rsidRDefault="003F1549" w:rsidP="00C77AB0">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c>
          <w:tcPr>
            <w:tcW w:w="1345" w:type="dxa"/>
            <w:tcBorders>
              <w:top w:val="nil"/>
              <w:left w:val="nil"/>
              <w:bottom w:val="nil"/>
              <w:right w:val="nil"/>
            </w:tcBorders>
            <w:noWrap/>
            <w:vAlign w:val="bottom"/>
            <w:hideMark/>
          </w:tcPr>
          <w:p w14:paraId="41AF3F4B" w14:textId="77777777" w:rsidR="003F1549" w:rsidRPr="00C77AB0" w:rsidRDefault="003F1549" w:rsidP="00C77AB0">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r>
      <w:tr w:rsidR="003F1549" w:rsidRPr="00167C2B" w14:paraId="4DF2B3E1" w14:textId="77777777" w:rsidTr="00AA3AC5">
        <w:trPr>
          <w:trHeight w:val="170"/>
        </w:trPr>
        <w:tc>
          <w:tcPr>
            <w:tcW w:w="4276" w:type="dxa"/>
            <w:tcBorders>
              <w:top w:val="nil"/>
              <w:left w:val="nil"/>
              <w:bottom w:val="nil"/>
              <w:right w:val="nil"/>
            </w:tcBorders>
            <w:noWrap/>
            <w:vAlign w:val="bottom"/>
            <w:hideMark/>
          </w:tcPr>
          <w:p w14:paraId="7CDCDE13"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Assets</w:t>
            </w:r>
          </w:p>
        </w:tc>
        <w:tc>
          <w:tcPr>
            <w:tcW w:w="1099" w:type="dxa"/>
            <w:tcBorders>
              <w:top w:val="nil"/>
              <w:left w:val="nil"/>
              <w:bottom w:val="nil"/>
              <w:right w:val="nil"/>
            </w:tcBorders>
            <w:noWrap/>
            <w:vAlign w:val="bottom"/>
            <w:hideMark/>
          </w:tcPr>
          <w:p w14:paraId="01CCA96D"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238C727F" w14:textId="2B4F69AC"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5E1138F2"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4B62F903" w14:textId="77777777" w:rsidTr="00AA3AC5">
        <w:trPr>
          <w:trHeight w:val="170"/>
        </w:trPr>
        <w:tc>
          <w:tcPr>
            <w:tcW w:w="4276" w:type="dxa"/>
            <w:tcBorders>
              <w:top w:val="nil"/>
              <w:left w:val="nil"/>
              <w:bottom w:val="nil"/>
              <w:right w:val="nil"/>
            </w:tcBorders>
            <w:noWrap/>
            <w:vAlign w:val="bottom"/>
            <w:hideMark/>
          </w:tcPr>
          <w:p w14:paraId="219C2E3C"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Assets</w:t>
            </w:r>
          </w:p>
        </w:tc>
        <w:tc>
          <w:tcPr>
            <w:tcW w:w="1099" w:type="dxa"/>
            <w:tcBorders>
              <w:top w:val="nil"/>
              <w:left w:val="nil"/>
              <w:bottom w:val="nil"/>
              <w:right w:val="nil"/>
            </w:tcBorders>
            <w:noWrap/>
            <w:vAlign w:val="bottom"/>
            <w:hideMark/>
          </w:tcPr>
          <w:p w14:paraId="2F336A53"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6282C77E"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4E2C28B4"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524E5E62" w14:textId="77777777" w:rsidTr="00AA3AC5">
        <w:trPr>
          <w:trHeight w:val="170"/>
        </w:trPr>
        <w:tc>
          <w:tcPr>
            <w:tcW w:w="4276" w:type="dxa"/>
            <w:tcBorders>
              <w:top w:val="nil"/>
              <w:left w:val="nil"/>
              <w:bottom w:val="nil"/>
              <w:right w:val="nil"/>
            </w:tcBorders>
            <w:noWrap/>
            <w:vAlign w:val="bottom"/>
            <w:hideMark/>
          </w:tcPr>
          <w:p w14:paraId="3690DB65"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Cash and cash equivalents</w:t>
            </w:r>
          </w:p>
        </w:tc>
        <w:tc>
          <w:tcPr>
            <w:tcW w:w="1099" w:type="dxa"/>
            <w:tcBorders>
              <w:top w:val="nil"/>
              <w:left w:val="nil"/>
              <w:bottom w:val="nil"/>
              <w:right w:val="nil"/>
            </w:tcBorders>
            <w:noWrap/>
            <w:vAlign w:val="bottom"/>
            <w:hideMark/>
          </w:tcPr>
          <w:p w14:paraId="4AEDA8C4" w14:textId="011698CD" w:rsidR="003F1549" w:rsidRPr="00C77AB0" w:rsidRDefault="00417ACB">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5</w:t>
            </w:r>
          </w:p>
        </w:tc>
        <w:tc>
          <w:tcPr>
            <w:tcW w:w="1502" w:type="dxa"/>
            <w:tcBorders>
              <w:top w:val="nil"/>
              <w:left w:val="nil"/>
              <w:bottom w:val="nil"/>
              <w:right w:val="nil"/>
            </w:tcBorders>
            <w:noWrap/>
            <w:vAlign w:val="bottom"/>
            <w:hideMark/>
          </w:tcPr>
          <w:p w14:paraId="1A704AEF" w14:textId="3C62E742" w:rsidR="003F1549" w:rsidRPr="00C77AB0" w:rsidRDefault="00DD716B"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356,300</w:t>
            </w:r>
            <w:r w:rsidR="003F1549" w:rsidRPr="00C77AB0">
              <w:rPr>
                <w:rFonts w:eastAsia="Times New Roman" w:cs="Arial"/>
                <w:color w:val="000000"/>
                <w:sz w:val="20"/>
                <w:szCs w:val="20"/>
                <w:lang w:eastAsia="en-AU"/>
              </w:rPr>
              <w:t xml:space="preserve"> </w:t>
            </w:r>
          </w:p>
        </w:tc>
        <w:tc>
          <w:tcPr>
            <w:tcW w:w="1345" w:type="dxa"/>
            <w:tcBorders>
              <w:top w:val="nil"/>
              <w:left w:val="nil"/>
              <w:bottom w:val="nil"/>
              <w:right w:val="nil"/>
            </w:tcBorders>
            <w:noWrap/>
            <w:vAlign w:val="bottom"/>
            <w:hideMark/>
          </w:tcPr>
          <w:p w14:paraId="60F78398" w14:textId="55A9587C"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264,215</w:t>
            </w:r>
          </w:p>
        </w:tc>
      </w:tr>
      <w:tr w:rsidR="003F1549" w:rsidRPr="00167C2B" w14:paraId="1AA144F6" w14:textId="77777777" w:rsidTr="00AA3AC5">
        <w:trPr>
          <w:trHeight w:val="170"/>
        </w:trPr>
        <w:tc>
          <w:tcPr>
            <w:tcW w:w="4276" w:type="dxa"/>
            <w:tcBorders>
              <w:top w:val="nil"/>
              <w:left w:val="nil"/>
              <w:bottom w:val="nil"/>
              <w:right w:val="nil"/>
            </w:tcBorders>
            <w:noWrap/>
            <w:vAlign w:val="bottom"/>
            <w:hideMark/>
          </w:tcPr>
          <w:p w14:paraId="60997394"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Receivables</w:t>
            </w:r>
          </w:p>
        </w:tc>
        <w:tc>
          <w:tcPr>
            <w:tcW w:w="1099" w:type="dxa"/>
            <w:tcBorders>
              <w:top w:val="nil"/>
              <w:left w:val="nil"/>
              <w:bottom w:val="nil"/>
              <w:right w:val="nil"/>
            </w:tcBorders>
            <w:noWrap/>
            <w:vAlign w:val="bottom"/>
            <w:hideMark/>
          </w:tcPr>
          <w:p w14:paraId="1C40BFD7"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7B0C66DB" w14:textId="240D8EF7" w:rsidR="003F1549" w:rsidRPr="00C77AB0" w:rsidRDefault="00DD716B"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3,200</w:t>
            </w:r>
            <w:r w:rsidR="003F1549" w:rsidRPr="00C77AB0">
              <w:rPr>
                <w:rFonts w:eastAsia="Times New Roman" w:cs="Arial"/>
                <w:color w:val="000000"/>
                <w:sz w:val="20"/>
                <w:szCs w:val="20"/>
                <w:lang w:eastAsia="en-AU"/>
              </w:rPr>
              <w:t xml:space="preserve"> </w:t>
            </w:r>
          </w:p>
        </w:tc>
        <w:tc>
          <w:tcPr>
            <w:tcW w:w="1345" w:type="dxa"/>
            <w:tcBorders>
              <w:top w:val="nil"/>
              <w:left w:val="nil"/>
              <w:bottom w:val="nil"/>
              <w:right w:val="nil"/>
            </w:tcBorders>
            <w:noWrap/>
            <w:vAlign w:val="bottom"/>
            <w:hideMark/>
          </w:tcPr>
          <w:p w14:paraId="25D2D1E7" w14:textId="2B40E16A"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126</w:t>
            </w:r>
          </w:p>
        </w:tc>
      </w:tr>
      <w:tr w:rsidR="003F1549" w:rsidRPr="00167C2B" w14:paraId="1A5F051F" w14:textId="77777777" w:rsidTr="00AA3AC5">
        <w:trPr>
          <w:trHeight w:val="170"/>
        </w:trPr>
        <w:tc>
          <w:tcPr>
            <w:tcW w:w="4276" w:type="dxa"/>
            <w:tcBorders>
              <w:top w:val="nil"/>
              <w:left w:val="nil"/>
              <w:bottom w:val="nil"/>
              <w:right w:val="nil"/>
            </w:tcBorders>
            <w:noWrap/>
            <w:vAlign w:val="bottom"/>
            <w:hideMark/>
          </w:tcPr>
          <w:p w14:paraId="48396DF3"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assets</w:t>
            </w:r>
          </w:p>
        </w:tc>
        <w:tc>
          <w:tcPr>
            <w:tcW w:w="1099" w:type="dxa"/>
            <w:tcBorders>
              <w:top w:val="nil"/>
              <w:left w:val="nil"/>
              <w:bottom w:val="nil"/>
              <w:right w:val="nil"/>
            </w:tcBorders>
            <w:noWrap/>
            <w:vAlign w:val="bottom"/>
            <w:hideMark/>
          </w:tcPr>
          <w:p w14:paraId="37C16F0A" w14:textId="573B675F" w:rsidR="003F1549" w:rsidRPr="00C77AB0" w:rsidRDefault="000814ED">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1502" w:type="dxa"/>
            <w:tcBorders>
              <w:top w:val="nil"/>
              <w:left w:val="nil"/>
              <w:bottom w:val="nil"/>
              <w:right w:val="nil"/>
            </w:tcBorders>
            <w:noWrap/>
            <w:vAlign w:val="bottom"/>
            <w:hideMark/>
          </w:tcPr>
          <w:p w14:paraId="12CDA595" w14:textId="16549263" w:rsidR="003F1549" w:rsidRPr="00C77AB0" w:rsidRDefault="00DD716B"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38,034</w:t>
            </w:r>
            <w:r w:rsidR="003F1549" w:rsidRPr="00C77AB0">
              <w:rPr>
                <w:rFonts w:eastAsia="Times New Roman" w:cs="Arial"/>
                <w:color w:val="000000"/>
                <w:sz w:val="20"/>
                <w:szCs w:val="20"/>
                <w:lang w:eastAsia="en-AU"/>
              </w:rPr>
              <w:t xml:space="preserve"> </w:t>
            </w:r>
          </w:p>
        </w:tc>
        <w:tc>
          <w:tcPr>
            <w:tcW w:w="1345" w:type="dxa"/>
            <w:tcBorders>
              <w:top w:val="nil"/>
              <w:left w:val="nil"/>
              <w:bottom w:val="nil"/>
              <w:right w:val="nil"/>
            </w:tcBorders>
            <w:noWrap/>
            <w:vAlign w:val="bottom"/>
            <w:hideMark/>
          </w:tcPr>
          <w:p w14:paraId="7655FB86" w14:textId="0C070F73"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D31D72" w:rsidRPr="00167C2B" w14:paraId="0104C239" w14:textId="77777777" w:rsidTr="00AA3AC5">
        <w:trPr>
          <w:trHeight w:val="170"/>
        </w:trPr>
        <w:tc>
          <w:tcPr>
            <w:tcW w:w="4276" w:type="dxa"/>
            <w:tcBorders>
              <w:top w:val="nil"/>
              <w:left w:val="nil"/>
              <w:bottom w:val="nil"/>
              <w:right w:val="nil"/>
            </w:tcBorders>
            <w:noWrap/>
            <w:vAlign w:val="bottom"/>
            <w:hideMark/>
          </w:tcPr>
          <w:p w14:paraId="073E4F63"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assets</w:t>
            </w:r>
          </w:p>
        </w:tc>
        <w:tc>
          <w:tcPr>
            <w:tcW w:w="1099" w:type="dxa"/>
            <w:tcBorders>
              <w:top w:val="nil"/>
              <w:left w:val="nil"/>
              <w:bottom w:val="nil"/>
              <w:right w:val="nil"/>
            </w:tcBorders>
            <w:noWrap/>
            <w:vAlign w:val="bottom"/>
            <w:hideMark/>
          </w:tcPr>
          <w:p w14:paraId="2D31DB86"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single" w:sz="4" w:space="0" w:color="auto"/>
              <w:right w:val="nil"/>
            </w:tcBorders>
            <w:noWrap/>
            <w:vAlign w:val="bottom"/>
            <w:hideMark/>
          </w:tcPr>
          <w:p w14:paraId="6CBF7221" w14:textId="0D74C249" w:rsidR="003F1549" w:rsidRPr="00C77AB0" w:rsidRDefault="00DD716B"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425</w:t>
            </w:r>
            <w:r w:rsidRPr="00C77AB0">
              <w:rPr>
                <w:rFonts w:eastAsia="Times New Roman" w:cs="Arial"/>
                <w:color w:val="000000"/>
                <w:sz w:val="20"/>
                <w:szCs w:val="20"/>
                <w:lang w:eastAsia="en-AU"/>
              </w:rPr>
              <w:t xml:space="preserve"> </w:t>
            </w:r>
          </w:p>
        </w:tc>
        <w:tc>
          <w:tcPr>
            <w:tcW w:w="1345" w:type="dxa"/>
            <w:tcBorders>
              <w:top w:val="nil"/>
              <w:left w:val="nil"/>
              <w:bottom w:val="single" w:sz="4" w:space="0" w:color="auto"/>
              <w:right w:val="nil"/>
            </w:tcBorders>
            <w:noWrap/>
            <w:vAlign w:val="bottom"/>
            <w:hideMark/>
          </w:tcPr>
          <w:p w14:paraId="078A3CA6" w14:textId="68333192"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3F1549" w:rsidRPr="00167C2B" w14:paraId="7754F016" w14:textId="77777777" w:rsidTr="00AA3AC5">
        <w:trPr>
          <w:trHeight w:val="170"/>
        </w:trPr>
        <w:tc>
          <w:tcPr>
            <w:tcW w:w="4276" w:type="dxa"/>
            <w:tcBorders>
              <w:top w:val="nil"/>
              <w:left w:val="nil"/>
              <w:bottom w:val="nil"/>
              <w:right w:val="nil"/>
            </w:tcBorders>
            <w:noWrap/>
            <w:vAlign w:val="bottom"/>
            <w:hideMark/>
          </w:tcPr>
          <w:p w14:paraId="4B4FB81E"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assets</w:t>
            </w:r>
          </w:p>
        </w:tc>
        <w:tc>
          <w:tcPr>
            <w:tcW w:w="1099" w:type="dxa"/>
            <w:tcBorders>
              <w:top w:val="nil"/>
              <w:left w:val="nil"/>
              <w:bottom w:val="nil"/>
              <w:right w:val="nil"/>
            </w:tcBorders>
            <w:noWrap/>
            <w:vAlign w:val="bottom"/>
            <w:hideMark/>
          </w:tcPr>
          <w:p w14:paraId="4A17BBC3"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0B8AF17F" w14:textId="15B5294D" w:rsidR="003F1549" w:rsidRPr="00C77AB0" w:rsidRDefault="00DD716B" w:rsidP="00C77AB0">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397,959</w:t>
            </w:r>
            <w:r w:rsidR="003F1549" w:rsidRPr="00C77AB0">
              <w:rPr>
                <w:rFonts w:eastAsia="Times New Roman" w:cs="Arial"/>
                <w:b/>
                <w:color w:val="000000"/>
                <w:sz w:val="20"/>
                <w:szCs w:val="20"/>
                <w:lang w:eastAsia="en-AU"/>
              </w:rPr>
              <w:t xml:space="preserve"> </w:t>
            </w:r>
          </w:p>
        </w:tc>
        <w:tc>
          <w:tcPr>
            <w:tcW w:w="1345" w:type="dxa"/>
            <w:tcBorders>
              <w:top w:val="nil"/>
              <w:left w:val="nil"/>
              <w:bottom w:val="nil"/>
              <w:right w:val="nil"/>
            </w:tcBorders>
            <w:noWrap/>
            <w:vAlign w:val="bottom"/>
            <w:hideMark/>
          </w:tcPr>
          <w:p w14:paraId="6C5F5DD1"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 xml:space="preserve">264,341 </w:t>
            </w:r>
          </w:p>
        </w:tc>
      </w:tr>
      <w:tr w:rsidR="003F1549" w:rsidRPr="00167C2B" w14:paraId="68843030" w14:textId="77777777" w:rsidTr="00AA3AC5">
        <w:trPr>
          <w:trHeight w:val="170"/>
        </w:trPr>
        <w:tc>
          <w:tcPr>
            <w:tcW w:w="4276" w:type="dxa"/>
            <w:tcBorders>
              <w:top w:val="nil"/>
              <w:left w:val="nil"/>
              <w:bottom w:val="nil"/>
              <w:right w:val="nil"/>
            </w:tcBorders>
            <w:noWrap/>
            <w:vAlign w:val="bottom"/>
            <w:hideMark/>
          </w:tcPr>
          <w:p w14:paraId="6B3A8846" w14:textId="77777777" w:rsidR="003F1549" w:rsidRPr="00C77AB0" w:rsidRDefault="003F1549">
            <w:pPr>
              <w:spacing w:after="0" w:line="240" w:lineRule="auto"/>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4C8A4131"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6EF3C113"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1842F2A9"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3ABBDC7F" w14:textId="77777777" w:rsidTr="00AA3AC5">
        <w:trPr>
          <w:trHeight w:val="170"/>
        </w:trPr>
        <w:tc>
          <w:tcPr>
            <w:tcW w:w="4276" w:type="dxa"/>
            <w:tcBorders>
              <w:top w:val="nil"/>
              <w:left w:val="nil"/>
              <w:bottom w:val="nil"/>
              <w:right w:val="nil"/>
            </w:tcBorders>
            <w:noWrap/>
            <w:vAlign w:val="bottom"/>
            <w:hideMark/>
          </w:tcPr>
          <w:p w14:paraId="269A8FFA"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assets</w:t>
            </w:r>
          </w:p>
        </w:tc>
        <w:tc>
          <w:tcPr>
            <w:tcW w:w="1099" w:type="dxa"/>
            <w:tcBorders>
              <w:top w:val="nil"/>
              <w:left w:val="nil"/>
              <w:bottom w:val="nil"/>
              <w:right w:val="nil"/>
            </w:tcBorders>
            <w:noWrap/>
            <w:vAlign w:val="bottom"/>
            <w:hideMark/>
          </w:tcPr>
          <w:p w14:paraId="0B49B4F9"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25B071AD"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7D05BCAE"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2645A7" w:rsidRPr="00167C2B" w14:paraId="63F93D64" w14:textId="77777777" w:rsidTr="00AA3AC5">
        <w:trPr>
          <w:trHeight w:val="170"/>
        </w:trPr>
        <w:tc>
          <w:tcPr>
            <w:tcW w:w="4276" w:type="dxa"/>
            <w:tcBorders>
              <w:top w:val="nil"/>
              <w:left w:val="nil"/>
              <w:bottom w:val="nil"/>
              <w:right w:val="nil"/>
            </w:tcBorders>
            <w:noWrap/>
            <w:vAlign w:val="bottom"/>
          </w:tcPr>
          <w:p w14:paraId="52E536DB" w14:textId="05C55122" w:rsidR="002645A7" w:rsidRPr="00C77AB0" w:rsidRDefault="002645A7" w:rsidP="002645A7">
            <w:pPr>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Property, plant and equipment</w:t>
            </w:r>
          </w:p>
        </w:tc>
        <w:tc>
          <w:tcPr>
            <w:tcW w:w="1099" w:type="dxa"/>
            <w:tcBorders>
              <w:top w:val="nil"/>
              <w:left w:val="nil"/>
              <w:bottom w:val="nil"/>
              <w:right w:val="nil"/>
            </w:tcBorders>
            <w:noWrap/>
            <w:vAlign w:val="bottom"/>
          </w:tcPr>
          <w:p w14:paraId="3E763E9C" w14:textId="362B88D0" w:rsidR="002645A7" w:rsidRPr="009F3AE1" w:rsidDel="006F5BE1" w:rsidRDefault="000814ED" w:rsidP="002645A7">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6</w:t>
            </w:r>
          </w:p>
        </w:tc>
        <w:tc>
          <w:tcPr>
            <w:tcW w:w="1502" w:type="dxa"/>
            <w:tcBorders>
              <w:top w:val="nil"/>
              <w:left w:val="nil"/>
              <w:bottom w:val="nil"/>
              <w:right w:val="nil"/>
            </w:tcBorders>
            <w:noWrap/>
            <w:vAlign w:val="bottom"/>
          </w:tcPr>
          <w:p w14:paraId="594CB259" w14:textId="6D2960CA" w:rsidR="002645A7" w:rsidRPr="00C77AB0" w:rsidRDefault="00DD716B" w:rsidP="002645A7">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105,781</w:t>
            </w:r>
            <w:r w:rsidR="002645A7" w:rsidRPr="00C77AB0">
              <w:rPr>
                <w:rFonts w:eastAsia="Times New Roman" w:cs="Arial"/>
                <w:color w:val="000000"/>
                <w:sz w:val="20"/>
                <w:szCs w:val="20"/>
                <w:lang w:eastAsia="en-AU"/>
              </w:rPr>
              <w:t xml:space="preserve"> </w:t>
            </w:r>
          </w:p>
        </w:tc>
        <w:tc>
          <w:tcPr>
            <w:tcW w:w="1345" w:type="dxa"/>
            <w:tcBorders>
              <w:top w:val="nil"/>
              <w:left w:val="nil"/>
              <w:bottom w:val="nil"/>
              <w:right w:val="nil"/>
            </w:tcBorders>
            <w:noWrap/>
            <w:vAlign w:val="bottom"/>
          </w:tcPr>
          <w:p w14:paraId="6E62EBB4" w14:textId="1D94685E" w:rsidR="002645A7" w:rsidRPr="00C77AB0" w:rsidRDefault="002645A7" w:rsidP="002645A7">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47524D" w:rsidRPr="00167C2B" w14:paraId="40114361" w14:textId="77777777" w:rsidTr="00AA3AC5">
        <w:trPr>
          <w:trHeight w:val="170"/>
        </w:trPr>
        <w:tc>
          <w:tcPr>
            <w:tcW w:w="4276" w:type="dxa"/>
            <w:tcBorders>
              <w:top w:val="nil"/>
              <w:left w:val="nil"/>
              <w:bottom w:val="nil"/>
              <w:right w:val="nil"/>
            </w:tcBorders>
            <w:noWrap/>
            <w:vAlign w:val="bottom"/>
            <w:hideMark/>
          </w:tcPr>
          <w:p w14:paraId="6E8FB5B3" w14:textId="77777777" w:rsidR="0047524D" w:rsidRPr="00C77AB0" w:rsidRDefault="0047524D" w:rsidP="0047524D">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assets</w:t>
            </w:r>
          </w:p>
        </w:tc>
        <w:tc>
          <w:tcPr>
            <w:tcW w:w="1099" w:type="dxa"/>
            <w:tcBorders>
              <w:top w:val="nil"/>
              <w:left w:val="nil"/>
              <w:bottom w:val="nil"/>
              <w:right w:val="nil"/>
            </w:tcBorders>
            <w:noWrap/>
            <w:vAlign w:val="bottom"/>
            <w:hideMark/>
          </w:tcPr>
          <w:p w14:paraId="53A61525" w14:textId="19F62DBF" w:rsidR="0047524D" w:rsidRPr="00C77AB0" w:rsidRDefault="000814ED" w:rsidP="0047524D">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1502" w:type="dxa"/>
            <w:tcBorders>
              <w:top w:val="nil"/>
              <w:left w:val="nil"/>
              <w:right w:val="nil"/>
            </w:tcBorders>
            <w:noWrap/>
            <w:vAlign w:val="bottom"/>
            <w:hideMark/>
          </w:tcPr>
          <w:p w14:paraId="2586029C" w14:textId="39E5DD70" w:rsidR="0047524D" w:rsidRPr="00C77AB0" w:rsidRDefault="0047524D" w:rsidP="0047524D">
            <w:pPr>
              <w:tabs>
                <w:tab w:val="decimal" w:pos="1155"/>
              </w:tabs>
              <w:spacing w:after="0" w:line="240" w:lineRule="auto"/>
              <w:rPr>
                <w:rFonts w:eastAsia="Times New Roman" w:cs="Arial"/>
                <w:color w:val="000000"/>
                <w:sz w:val="20"/>
                <w:szCs w:val="20"/>
                <w:lang w:eastAsia="en-AU"/>
              </w:rPr>
            </w:pPr>
            <w:r w:rsidRPr="00D15AF6">
              <w:rPr>
                <w:rFonts w:eastAsia="Times New Roman" w:cs="Arial"/>
                <w:color w:val="000000"/>
                <w:sz w:val="20"/>
                <w:szCs w:val="20"/>
                <w:lang w:eastAsia="en-AU"/>
              </w:rPr>
              <w:t>46,400</w:t>
            </w:r>
          </w:p>
        </w:tc>
        <w:tc>
          <w:tcPr>
            <w:tcW w:w="1345" w:type="dxa"/>
            <w:tcBorders>
              <w:top w:val="nil"/>
              <w:left w:val="nil"/>
              <w:right w:val="nil"/>
            </w:tcBorders>
            <w:noWrap/>
            <w:vAlign w:val="bottom"/>
            <w:hideMark/>
          </w:tcPr>
          <w:p w14:paraId="211EF02B" w14:textId="77777777" w:rsidR="0047524D" w:rsidRPr="00C77AB0" w:rsidRDefault="0047524D" w:rsidP="0047524D">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13,830</w:t>
            </w:r>
          </w:p>
        </w:tc>
      </w:tr>
      <w:tr w:rsidR="0047524D" w:rsidRPr="00C77AB0" w14:paraId="4216A399" w14:textId="77777777" w:rsidTr="00AA3AC5">
        <w:trPr>
          <w:trHeight w:val="170"/>
        </w:trPr>
        <w:tc>
          <w:tcPr>
            <w:tcW w:w="4276" w:type="dxa"/>
            <w:tcBorders>
              <w:top w:val="nil"/>
              <w:left w:val="nil"/>
              <w:bottom w:val="nil"/>
              <w:right w:val="nil"/>
            </w:tcBorders>
            <w:noWrap/>
            <w:vAlign w:val="bottom"/>
          </w:tcPr>
          <w:p w14:paraId="23C696C4" w14:textId="7852B9C9" w:rsidR="0047524D" w:rsidRPr="00C77AB0" w:rsidRDefault="0047524D" w:rsidP="0047524D">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Investments accounted for using the equity method</w:t>
            </w:r>
          </w:p>
        </w:tc>
        <w:tc>
          <w:tcPr>
            <w:tcW w:w="1099" w:type="dxa"/>
            <w:tcBorders>
              <w:top w:val="nil"/>
              <w:left w:val="nil"/>
              <w:bottom w:val="nil"/>
              <w:right w:val="nil"/>
            </w:tcBorders>
            <w:noWrap/>
            <w:vAlign w:val="bottom"/>
          </w:tcPr>
          <w:p w14:paraId="55D3943C" w14:textId="0E7FCEA4" w:rsidR="0047524D" w:rsidRPr="00C77AB0" w:rsidRDefault="00106E73" w:rsidP="0047524D">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18</w:t>
            </w:r>
          </w:p>
        </w:tc>
        <w:tc>
          <w:tcPr>
            <w:tcW w:w="1502" w:type="dxa"/>
            <w:tcBorders>
              <w:top w:val="nil"/>
              <w:left w:val="nil"/>
              <w:right w:val="nil"/>
            </w:tcBorders>
            <w:noWrap/>
            <w:vAlign w:val="bottom"/>
          </w:tcPr>
          <w:p w14:paraId="30EAACF2" w14:textId="584B13FD" w:rsidR="0047524D" w:rsidRPr="00C77AB0" w:rsidRDefault="007500D7" w:rsidP="0047524D">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176,</w:t>
            </w:r>
            <w:r w:rsidR="00DF033C">
              <w:rPr>
                <w:rFonts w:eastAsia="Times New Roman" w:cs="Arial"/>
                <w:color w:val="000000"/>
                <w:sz w:val="20"/>
                <w:szCs w:val="20"/>
                <w:lang w:eastAsia="en-AU"/>
              </w:rPr>
              <w:t>756</w:t>
            </w:r>
          </w:p>
        </w:tc>
        <w:tc>
          <w:tcPr>
            <w:tcW w:w="1345" w:type="dxa"/>
            <w:tcBorders>
              <w:top w:val="nil"/>
              <w:left w:val="nil"/>
              <w:right w:val="nil"/>
            </w:tcBorders>
            <w:noWrap/>
            <w:vAlign w:val="bottom"/>
          </w:tcPr>
          <w:p w14:paraId="35F99003" w14:textId="4F8824B9" w:rsidR="0047524D" w:rsidRPr="00C77AB0" w:rsidRDefault="0047524D" w:rsidP="0047524D">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64,913</w:t>
            </w:r>
          </w:p>
        </w:tc>
      </w:tr>
      <w:tr w:rsidR="003F1549" w:rsidRPr="00167C2B" w14:paraId="632D68EF" w14:textId="77777777" w:rsidTr="00AA3AC5">
        <w:trPr>
          <w:trHeight w:val="170"/>
        </w:trPr>
        <w:tc>
          <w:tcPr>
            <w:tcW w:w="4276" w:type="dxa"/>
            <w:tcBorders>
              <w:top w:val="nil"/>
              <w:left w:val="nil"/>
              <w:bottom w:val="nil"/>
              <w:right w:val="nil"/>
            </w:tcBorders>
            <w:noWrap/>
            <w:vAlign w:val="bottom"/>
            <w:hideMark/>
          </w:tcPr>
          <w:p w14:paraId="781B5F66"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assets</w:t>
            </w:r>
          </w:p>
        </w:tc>
        <w:tc>
          <w:tcPr>
            <w:tcW w:w="1099" w:type="dxa"/>
            <w:tcBorders>
              <w:top w:val="nil"/>
              <w:left w:val="nil"/>
              <w:bottom w:val="nil"/>
              <w:right w:val="nil"/>
            </w:tcBorders>
            <w:noWrap/>
            <w:vAlign w:val="bottom"/>
            <w:hideMark/>
          </w:tcPr>
          <w:p w14:paraId="0AA8B398"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single" w:sz="4" w:space="0" w:color="auto"/>
              <w:left w:val="nil"/>
              <w:bottom w:val="nil"/>
              <w:right w:val="nil"/>
            </w:tcBorders>
            <w:noWrap/>
            <w:vAlign w:val="bottom"/>
            <w:hideMark/>
          </w:tcPr>
          <w:p w14:paraId="04FE7257" w14:textId="566E49C2" w:rsidR="003F1549" w:rsidRPr="00C77AB0" w:rsidRDefault="005B7C62" w:rsidP="00C77AB0">
            <w:pPr>
              <w:tabs>
                <w:tab w:val="decimal" w:pos="1155"/>
              </w:tabs>
              <w:spacing w:after="0" w:line="240" w:lineRule="auto"/>
              <w:rPr>
                <w:rFonts w:eastAsia="Times New Roman" w:cs="Arial"/>
                <w:b/>
                <w:color w:val="000000"/>
                <w:sz w:val="20"/>
                <w:szCs w:val="20"/>
                <w:lang w:eastAsia="en-AU"/>
              </w:rPr>
            </w:pPr>
            <w:r>
              <w:rPr>
                <w:rFonts w:eastAsia="Times New Roman" w:cs="Arial"/>
                <w:b/>
                <w:color w:val="000000" w:themeColor="text1"/>
                <w:sz w:val="20"/>
                <w:szCs w:val="20"/>
                <w:lang w:eastAsia="en-AU"/>
              </w:rPr>
              <w:t>328,937</w:t>
            </w:r>
            <w:r w:rsidR="003F1549" w:rsidRPr="6FE1A15E">
              <w:rPr>
                <w:rFonts w:eastAsia="Times New Roman" w:cs="Arial"/>
                <w:b/>
                <w:color w:val="000000" w:themeColor="text1"/>
                <w:sz w:val="20"/>
                <w:szCs w:val="20"/>
                <w:lang w:eastAsia="en-AU"/>
              </w:rPr>
              <w:t xml:space="preserve"> </w:t>
            </w:r>
          </w:p>
        </w:tc>
        <w:tc>
          <w:tcPr>
            <w:tcW w:w="1345" w:type="dxa"/>
            <w:tcBorders>
              <w:top w:val="single" w:sz="4" w:space="0" w:color="auto"/>
              <w:left w:val="nil"/>
              <w:bottom w:val="nil"/>
              <w:right w:val="nil"/>
            </w:tcBorders>
            <w:noWrap/>
            <w:vAlign w:val="bottom"/>
            <w:hideMark/>
          </w:tcPr>
          <w:p w14:paraId="307515D9"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78,743</w:t>
            </w:r>
          </w:p>
        </w:tc>
      </w:tr>
      <w:tr w:rsidR="00D31D72" w:rsidRPr="00167C2B" w14:paraId="1F667FE6" w14:textId="77777777" w:rsidTr="00AA3AC5">
        <w:trPr>
          <w:trHeight w:val="170"/>
        </w:trPr>
        <w:tc>
          <w:tcPr>
            <w:tcW w:w="4276" w:type="dxa"/>
            <w:tcBorders>
              <w:top w:val="nil"/>
              <w:left w:val="nil"/>
              <w:bottom w:val="nil"/>
              <w:right w:val="nil"/>
            </w:tcBorders>
            <w:noWrap/>
            <w:vAlign w:val="bottom"/>
            <w:hideMark/>
          </w:tcPr>
          <w:p w14:paraId="5E129A82"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assets</w:t>
            </w:r>
          </w:p>
        </w:tc>
        <w:tc>
          <w:tcPr>
            <w:tcW w:w="1099" w:type="dxa"/>
            <w:tcBorders>
              <w:top w:val="nil"/>
              <w:left w:val="nil"/>
              <w:bottom w:val="nil"/>
              <w:right w:val="nil"/>
            </w:tcBorders>
            <w:noWrap/>
            <w:vAlign w:val="bottom"/>
            <w:hideMark/>
          </w:tcPr>
          <w:p w14:paraId="43512AF9"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single" w:sz="4" w:space="0" w:color="auto"/>
              <w:left w:val="nil"/>
              <w:bottom w:val="single" w:sz="4" w:space="0" w:color="auto"/>
              <w:right w:val="nil"/>
            </w:tcBorders>
            <w:noWrap/>
            <w:vAlign w:val="bottom"/>
            <w:hideMark/>
          </w:tcPr>
          <w:p w14:paraId="1BEA72F8" w14:textId="57147028" w:rsidR="003F1549" w:rsidRPr="00C77AB0" w:rsidRDefault="005B7C62" w:rsidP="49BCD735">
            <w:pPr>
              <w:tabs>
                <w:tab w:val="decimal" w:pos="1155"/>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726</w:t>
            </w:r>
            <w:r w:rsidR="00E837A5">
              <w:rPr>
                <w:rFonts w:eastAsia="Times New Roman" w:cs="Arial"/>
                <w:b/>
                <w:bCs/>
                <w:color w:val="000000" w:themeColor="text1"/>
                <w:sz w:val="20"/>
                <w:szCs w:val="20"/>
                <w:lang w:eastAsia="en-AU"/>
              </w:rPr>
              <w:t>,</w:t>
            </w:r>
            <w:r w:rsidR="00FB48EC">
              <w:rPr>
                <w:rFonts w:eastAsia="Times New Roman" w:cs="Arial"/>
                <w:b/>
                <w:bCs/>
                <w:color w:val="000000" w:themeColor="text1"/>
                <w:sz w:val="20"/>
                <w:szCs w:val="20"/>
                <w:lang w:eastAsia="en-AU"/>
              </w:rPr>
              <w:t>896</w:t>
            </w:r>
          </w:p>
        </w:tc>
        <w:tc>
          <w:tcPr>
            <w:tcW w:w="1345" w:type="dxa"/>
            <w:tcBorders>
              <w:top w:val="single" w:sz="4" w:space="0" w:color="auto"/>
              <w:left w:val="nil"/>
              <w:bottom w:val="single" w:sz="4" w:space="0" w:color="auto"/>
              <w:right w:val="nil"/>
            </w:tcBorders>
            <w:noWrap/>
            <w:vAlign w:val="bottom"/>
            <w:hideMark/>
          </w:tcPr>
          <w:p w14:paraId="0C4945C6"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343,084</w:t>
            </w:r>
          </w:p>
        </w:tc>
      </w:tr>
      <w:tr w:rsidR="003F1549" w:rsidRPr="00167C2B" w14:paraId="222362E5" w14:textId="77777777" w:rsidTr="00AA3AC5">
        <w:trPr>
          <w:trHeight w:val="170"/>
        </w:trPr>
        <w:tc>
          <w:tcPr>
            <w:tcW w:w="4276" w:type="dxa"/>
            <w:tcBorders>
              <w:top w:val="nil"/>
              <w:left w:val="nil"/>
              <w:bottom w:val="nil"/>
              <w:right w:val="nil"/>
            </w:tcBorders>
            <w:noWrap/>
            <w:vAlign w:val="bottom"/>
            <w:hideMark/>
          </w:tcPr>
          <w:p w14:paraId="7E889B21" w14:textId="77777777" w:rsidR="003F1549" w:rsidRPr="00C77AB0" w:rsidRDefault="003F1549">
            <w:pPr>
              <w:spacing w:after="0" w:line="240" w:lineRule="auto"/>
              <w:jc w:val="right"/>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702229FB"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69B1732C"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579C5BE4"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383A4850" w14:textId="77777777" w:rsidTr="00AA3AC5">
        <w:trPr>
          <w:trHeight w:val="170"/>
        </w:trPr>
        <w:tc>
          <w:tcPr>
            <w:tcW w:w="4276" w:type="dxa"/>
            <w:tcBorders>
              <w:top w:val="nil"/>
              <w:left w:val="nil"/>
              <w:bottom w:val="nil"/>
              <w:right w:val="nil"/>
            </w:tcBorders>
            <w:noWrap/>
            <w:vAlign w:val="bottom"/>
            <w:hideMark/>
          </w:tcPr>
          <w:p w14:paraId="12978660"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Liabilities</w:t>
            </w:r>
          </w:p>
        </w:tc>
        <w:tc>
          <w:tcPr>
            <w:tcW w:w="1099" w:type="dxa"/>
            <w:tcBorders>
              <w:top w:val="nil"/>
              <w:left w:val="nil"/>
              <w:bottom w:val="nil"/>
              <w:right w:val="nil"/>
            </w:tcBorders>
            <w:noWrap/>
            <w:vAlign w:val="bottom"/>
            <w:hideMark/>
          </w:tcPr>
          <w:p w14:paraId="6BA550A6"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4013D48F"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53CE4D49"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242B6935" w14:textId="77777777" w:rsidTr="00AA3AC5">
        <w:trPr>
          <w:trHeight w:val="170"/>
        </w:trPr>
        <w:tc>
          <w:tcPr>
            <w:tcW w:w="4276" w:type="dxa"/>
            <w:tcBorders>
              <w:top w:val="nil"/>
              <w:left w:val="nil"/>
              <w:bottom w:val="nil"/>
              <w:right w:val="nil"/>
            </w:tcBorders>
            <w:noWrap/>
            <w:vAlign w:val="bottom"/>
            <w:hideMark/>
          </w:tcPr>
          <w:p w14:paraId="0BF8764B"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liabilities</w:t>
            </w:r>
          </w:p>
        </w:tc>
        <w:tc>
          <w:tcPr>
            <w:tcW w:w="1099" w:type="dxa"/>
            <w:tcBorders>
              <w:top w:val="nil"/>
              <w:left w:val="nil"/>
              <w:bottom w:val="nil"/>
              <w:right w:val="nil"/>
            </w:tcBorders>
            <w:noWrap/>
            <w:vAlign w:val="bottom"/>
            <w:hideMark/>
          </w:tcPr>
          <w:p w14:paraId="5F0F47FD"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6849B124"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6E1D920F"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789038D3" w14:textId="77777777" w:rsidTr="00AA3AC5">
        <w:trPr>
          <w:trHeight w:val="170"/>
        </w:trPr>
        <w:tc>
          <w:tcPr>
            <w:tcW w:w="4276" w:type="dxa"/>
            <w:tcBorders>
              <w:top w:val="nil"/>
              <w:left w:val="nil"/>
              <w:bottom w:val="nil"/>
              <w:right w:val="nil"/>
            </w:tcBorders>
            <w:noWrap/>
            <w:vAlign w:val="bottom"/>
            <w:hideMark/>
          </w:tcPr>
          <w:p w14:paraId="6936D26B"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Payables</w:t>
            </w:r>
          </w:p>
        </w:tc>
        <w:tc>
          <w:tcPr>
            <w:tcW w:w="1099" w:type="dxa"/>
            <w:tcBorders>
              <w:top w:val="nil"/>
              <w:left w:val="nil"/>
              <w:bottom w:val="nil"/>
              <w:right w:val="nil"/>
            </w:tcBorders>
            <w:noWrap/>
            <w:vAlign w:val="bottom"/>
            <w:hideMark/>
          </w:tcPr>
          <w:p w14:paraId="0426F2B0" w14:textId="05022AD3" w:rsidR="003F1549" w:rsidRPr="00C77AB0" w:rsidRDefault="000814ED">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7</w:t>
            </w:r>
          </w:p>
        </w:tc>
        <w:tc>
          <w:tcPr>
            <w:tcW w:w="1502" w:type="dxa"/>
            <w:tcBorders>
              <w:top w:val="nil"/>
              <w:left w:val="nil"/>
              <w:bottom w:val="nil"/>
              <w:right w:val="nil"/>
            </w:tcBorders>
            <w:noWrap/>
            <w:vAlign w:val="bottom"/>
            <w:hideMark/>
          </w:tcPr>
          <w:p w14:paraId="6538E9EE" w14:textId="653D0FAD" w:rsidR="003F1549" w:rsidRPr="00C77AB0" w:rsidRDefault="0047524D"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24,235</w:t>
            </w:r>
            <w:r w:rsidR="003F1549" w:rsidRPr="00C77AB0">
              <w:rPr>
                <w:rFonts w:eastAsia="Times New Roman" w:cs="Arial"/>
                <w:color w:val="000000"/>
                <w:sz w:val="20"/>
                <w:szCs w:val="20"/>
                <w:lang w:eastAsia="en-AU"/>
              </w:rPr>
              <w:t xml:space="preserve"> </w:t>
            </w:r>
          </w:p>
        </w:tc>
        <w:tc>
          <w:tcPr>
            <w:tcW w:w="1345" w:type="dxa"/>
            <w:tcBorders>
              <w:top w:val="nil"/>
              <w:left w:val="nil"/>
              <w:bottom w:val="nil"/>
              <w:right w:val="nil"/>
            </w:tcBorders>
            <w:noWrap/>
            <w:vAlign w:val="bottom"/>
            <w:hideMark/>
          </w:tcPr>
          <w:p w14:paraId="53733ECE" w14:textId="77777777"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3,164 </w:t>
            </w:r>
          </w:p>
        </w:tc>
      </w:tr>
      <w:tr w:rsidR="00753AA5" w:rsidRPr="00C77AB0" w14:paraId="6BB81777" w14:textId="77777777" w:rsidTr="00AA3AC5">
        <w:trPr>
          <w:trHeight w:val="170"/>
        </w:trPr>
        <w:tc>
          <w:tcPr>
            <w:tcW w:w="4276" w:type="dxa"/>
            <w:tcBorders>
              <w:top w:val="nil"/>
              <w:left w:val="nil"/>
              <w:bottom w:val="nil"/>
              <w:right w:val="nil"/>
            </w:tcBorders>
            <w:noWrap/>
            <w:vAlign w:val="bottom"/>
          </w:tcPr>
          <w:p w14:paraId="4969EB66" w14:textId="364787D1" w:rsidR="00753AA5" w:rsidRPr="00C77AB0" w:rsidRDefault="00753AA5" w:rsidP="00753AA5">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Provisions</w:t>
            </w:r>
          </w:p>
        </w:tc>
        <w:tc>
          <w:tcPr>
            <w:tcW w:w="1099" w:type="dxa"/>
            <w:tcBorders>
              <w:top w:val="nil"/>
              <w:left w:val="nil"/>
              <w:bottom w:val="nil"/>
              <w:right w:val="nil"/>
            </w:tcBorders>
            <w:noWrap/>
            <w:vAlign w:val="bottom"/>
          </w:tcPr>
          <w:p w14:paraId="7F787FDE" w14:textId="170E364F" w:rsidR="00753AA5" w:rsidRPr="009F3AE1" w:rsidDel="006F5BE1" w:rsidRDefault="000814ED" w:rsidP="00753AA5">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8</w:t>
            </w:r>
          </w:p>
        </w:tc>
        <w:tc>
          <w:tcPr>
            <w:tcW w:w="1502" w:type="dxa"/>
            <w:tcBorders>
              <w:top w:val="nil"/>
              <w:left w:val="nil"/>
              <w:bottom w:val="nil"/>
              <w:right w:val="nil"/>
            </w:tcBorders>
            <w:noWrap/>
            <w:vAlign w:val="bottom"/>
          </w:tcPr>
          <w:p w14:paraId="4CCE635B" w14:textId="11F822F0" w:rsidR="00753AA5" w:rsidRPr="00753AA5" w:rsidRDefault="00753AA5" w:rsidP="00753AA5">
            <w:pPr>
              <w:tabs>
                <w:tab w:val="decimal" w:pos="1155"/>
              </w:tabs>
              <w:spacing w:after="0" w:line="240" w:lineRule="auto"/>
              <w:rPr>
                <w:rFonts w:eastAsia="Times New Roman" w:cs="Arial"/>
                <w:color w:val="000000"/>
                <w:sz w:val="20"/>
                <w:szCs w:val="18"/>
                <w:lang w:eastAsia="en-AU"/>
              </w:rPr>
            </w:pPr>
            <w:r w:rsidRPr="00D15AF6">
              <w:rPr>
                <w:sz w:val="20"/>
                <w:szCs w:val="18"/>
              </w:rPr>
              <w:t>7,964</w:t>
            </w:r>
          </w:p>
        </w:tc>
        <w:tc>
          <w:tcPr>
            <w:tcW w:w="1345" w:type="dxa"/>
            <w:tcBorders>
              <w:top w:val="nil"/>
              <w:left w:val="nil"/>
              <w:bottom w:val="nil"/>
              <w:right w:val="nil"/>
            </w:tcBorders>
            <w:noWrap/>
            <w:vAlign w:val="bottom"/>
          </w:tcPr>
          <w:p w14:paraId="24C66FB4" w14:textId="3470F125" w:rsidR="00753AA5" w:rsidRPr="00C77AB0" w:rsidRDefault="00753AA5" w:rsidP="00753AA5">
            <w:pPr>
              <w:tabs>
                <w:tab w:val="decimal" w:pos="1155"/>
              </w:tabs>
              <w:spacing w:after="0" w:line="240" w:lineRule="auto"/>
              <w:rPr>
                <w:rFonts w:eastAsia="Times New Roman" w:cs="Arial"/>
                <w:color w:val="000000"/>
                <w:sz w:val="20"/>
                <w:szCs w:val="20"/>
                <w:lang w:eastAsia="en-AU"/>
              </w:rPr>
            </w:pPr>
            <w:r w:rsidRPr="59D983C2">
              <w:rPr>
                <w:rFonts w:eastAsia="Times New Roman" w:cs="Arial"/>
                <w:color w:val="000000" w:themeColor="text1"/>
                <w:sz w:val="20"/>
                <w:szCs w:val="20"/>
                <w:lang w:eastAsia="en-AU"/>
              </w:rPr>
              <w:t>759</w:t>
            </w:r>
          </w:p>
        </w:tc>
      </w:tr>
      <w:tr w:rsidR="00753AA5" w:rsidRPr="00C77AB0" w14:paraId="169F8143" w14:textId="77777777" w:rsidTr="00AA3AC5">
        <w:trPr>
          <w:trHeight w:val="170"/>
        </w:trPr>
        <w:tc>
          <w:tcPr>
            <w:tcW w:w="4276" w:type="dxa"/>
            <w:tcBorders>
              <w:top w:val="nil"/>
              <w:left w:val="nil"/>
              <w:bottom w:val="nil"/>
              <w:right w:val="nil"/>
            </w:tcBorders>
            <w:noWrap/>
            <w:vAlign w:val="bottom"/>
          </w:tcPr>
          <w:p w14:paraId="10693096" w14:textId="2283EBAD" w:rsidR="00753AA5" w:rsidRPr="00C77AB0" w:rsidRDefault="00753AA5" w:rsidP="00753AA5">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liabilities</w:t>
            </w:r>
          </w:p>
        </w:tc>
        <w:tc>
          <w:tcPr>
            <w:tcW w:w="1099" w:type="dxa"/>
            <w:tcBorders>
              <w:top w:val="nil"/>
              <w:left w:val="nil"/>
              <w:bottom w:val="nil"/>
              <w:right w:val="nil"/>
            </w:tcBorders>
            <w:noWrap/>
            <w:vAlign w:val="bottom"/>
          </w:tcPr>
          <w:p w14:paraId="2E79A3D0" w14:textId="46B1D048" w:rsidR="00753AA5" w:rsidRPr="009F3AE1" w:rsidDel="006F5BE1" w:rsidRDefault="000814ED" w:rsidP="00753AA5">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1502" w:type="dxa"/>
            <w:tcBorders>
              <w:top w:val="nil"/>
              <w:left w:val="nil"/>
              <w:right w:val="nil"/>
            </w:tcBorders>
            <w:noWrap/>
            <w:vAlign w:val="bottom"/>
          </w:tcPr>
          <w:p w14:paraId="0B8E3AAF" w14:textId="3C3CC9A7" w:rsidR="00753AA5" w:rsidRPr="00753AA5" w:rsidRDefault="00753AA5" w:rsidP="00753AA5">
            <w:pPr>
              <w:tabs>
                <w:tab w:val="decimal" w:pos="1155"/>
              </w:tabs>
              <w:spacing w:after="0" w:line="240" w:lineRule="auto"/>
              <w:rPr>
                <w:rFonts w:eastAsia="Times New Roman" w:cs="Arial"/>
                <w:color w:val="000000"/>
                <w:sz w:val="20"/>
                <w:szCs w:val="18"/>
                <w:lang w:eastAsia="en-AU"/>
              </w:rPr>
            </w:pPr>
            <w:r w:rsidRPr="00D15AF6">
              <w:rPr>
                <w:sz w:val="20"/>
                <w:szCs w:val="18"/>
              </w:rPr>
              <w:t>752</w:t>
            </w:r>
          </w:p>
        </w:tc>
        <w:tc>
          <w:tcPr>
            <w:tcW w:w="1345" w:type="dxa"/>
            <w:tcBorders>
              <w:top w:val="nil"/>
              <w:left w:val="nil"/>
              <w:right w:val="nil"/>
            </w:tcBorders>
            <w:noWrap/>
            <w:vAlign w:val="bottom"/>
          </w:tcPr>
          <w:p w14:paraId="6A6DF010" w14:textId="72E057A3" w:rsidR="00753AA5" w:rsidRPr="00C77AB0" w:rsidRDefault="00753AA5" w:rsidP="00753AA5">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753AA5" w:rsidRPr="00C77AB0" w14:paraId="2A13B891" w14:textId="77777777" w:rsidTr="00AA3AC5">
        <w:trPr>
          <w:trHeight w:val="170"/>
        </w:trPr>
        <w:tc>
          <w:tcPr>
            <w:tcW w:w="4276" w:type="dxa"/>
            <w:tcBorders>
              <w:top w:val="nil"/>
              <w:left w:val="nil"/>
              <w:bottom w:val="nil"/>
              <w:right w:val="nil"/>
            </w:tcBorders>
            <w:noWrap/>
            <w:vAlign w:val="bottom"/>
            <w:hideMark/>
          </w:tcPr>
          <w:p w14:paraId="69CF9CE5" w14:textId="77777777" w:rsidR="00753AA5" w:rsidRPr="00C77AB0" w:rsidRDefault="00753AA5" w:rsidP="00753AA5">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Interest bearing liabilities</w:t>
            </w:r>
          </w:p>
        </w:tc>
        <w:tc>
          <w:tcPr>
            <w:tcW w:w="1099" w:type="dxa"/>
            <w:tcBorders>
              <w:top w:val="nil"/>
              <w:left w:val="nil"/>
              <w:bottom w:val="nil"/>
              <w:right w:val="nil"/>
            </w:tcBorders>
            <w:noWrap/>
            <w:vAlign w:val="bottom"/>
            <w:hideMark/>
          </w:tcPr>
          <w:p w14:paraId="5CC2F24E" w14:textId="7EB33359" w:rsidR="00753AA5" w:rsidRPr="00C77AB0" w:rsidRDefault="003074C3" w:rsidP="00753AA5">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10</w:t>
            </w:r>
          </w:p>
        </w:tc>
        <w:tc>
          <w:tcPr>
            <w:tcW w:w="1502" w:type="dxa"/>
            <w:tcBorders>
              <w:top w:val="nil"/>
              <w:left w:val="nil"/>
              <w:bottom w:val="single" w:sz="4" w:space="0" w:color="auto"/>
              <w:right w:val="nil"/>
            </w:tcBorders>
            <w:noWrap/>
            <w:vAlign w:val="bottom"/>
            <w:hideMark/>
          </w:tcPr>
          <w:p w14:paraId="3DD67081" w14:textId="46C48A07" w:rsidR="00753AA5" w:rsidRPr="00753AA5" w:rsidRDefault="00753AA5" w:rsidP="00753AA5">
            <w:pPr>
              <w:tabs>
                <w:tab w:val="decimal" w:pos="1155"/>
              </w:tabs>
              <w:spacing w:after="0" w:line="240" w:lineRule="auto"/>
              <w:rPr>
                <w:rFonts w:eastAsia="Times New Roman" w:cs="Arial"/>
                <w:color w:val="000000"/>
                <w:sz w:val="20"/>
                <w:szCs w:val="18"/>
                <w:lang w:eastAsia="en-AU"/>
              </w:rPr>
            </w:pPr>
            <w:r w:rsidRPr="00D15AF6">
              <w:rPr>
                <w:sz w:val="20"/>
                <w:szCs w:val="18"/>
              </w:rPr>
              <w:t>917</w:t>
            </w:r>
          </w:p>
        </w:tc>
        <w:tc>
          <w:tcPr>
            <w:tcW w:w="1345" w:type="dxa"/>
            <w:tcBorders>
              <w:top w:val="nil"/>
              <w:left w:val="nil"/>
              <w:bottom w:val="single" w:sz="4" w:space="0" w:color="auto"/>
              <w:right w:val="nil"/>
            </w:tcBorders>
            <w:noWrap/>
            <w:vAlign w:val="bottom"/>
            <w:hideMark/>
          </w:tcPr>
          <w:p w14:paraId="66A6DA5B" w14:textId="77777777" w:rsidR="00753AA5" w:rsidRPr="00C77AB0" w:rsidRDefault="00753AA5" w:rsidP="00753AA5">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3F1549" w:rsidRPr="00167C2B" w14:paraId="7F5BE204" w14:textId="77777777" w:rsidTr="00AA3AC5">
        <w:trPr>
          <w:trHeight w:val="170"/>
        </w:trPr>
        <w:tc>
          <w:tcPr>
            <w:tcW w:w="4276" w:type="dxa"/>
            <w:tcBorders>
              <w:top w:val="nil"/>
              <w:left w:val="nil"/>
              <w:bottom w:val="nil"/>
              <w:right w:val="nil"/>
            </w:tcBorders>
            <w:vAlign w:val="bottom"/>
            <w:hideMark/>
          </w:tcPr>
          <w:p w14:paraId="1FE8E9E9"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liabilities</w:t>
            </w:r>
          </w:p>
        </w:tc>
        <w:tc>
          <w:tcPr>
            <w:tcW w:w="1099" w:type="dxa"/>
            <w:tcBorders>
              <w:top w:val="nil"/>
              <w:left w:val="nil"/>
              <w:bottom w:val="nil"/>
              <w:right w:val="nil"/>
            </w:tcBorders>
            <w:noWrap/>
            <w:vAlign w:val="bottom"/>
            <w:hideMark/>
          </w:tcPr>
          <w:p w14:paraId="6805F34A" w14:textId="77777777" w:rsidR="003F1549" w:rsidRPr="00F65403" w:rsidRDefault="003F1549" w:rsidP="00C77AB0">
            <w:pPr>
              <w:spacing w:after="0" w:line="240" w:lineRule="auto"/>
              <w:jc w:val="center"/>
              <w:rPr>
                <w:rFonts w:eastAsia="Times New Roman" w:cs="Arial"/>
                <w:sz w:val="20"/>
                <w:szCs w:val="20"/>
                <w:highlight w:val="yellow"/>
                <w:lang w:eastAsia="en-AU"/>
              </w:rPr>
            </w:pPr>
          </w:p>
        </w:tc>
        <w:tc>
          <w:tcPr>
            <w:tcW w:w="1502" w:type="dxa"/>
            <w:tcBorders>
              <w:top w:val="single" w:sz="4" w:space="0" w:color="auto"/>
              <w:left w:val="nil"/>
              <w:bottom w:val="nil"/>
              <w:right w:val="nil"/>
            </w:tcBorders>
            <w:noWrap/>
            <w:vAlign w:val="bottom"/>
            <w:hideMark/>
          </w:tcPr>
          <w:p w14:paraId="475358B1" w14:textId="7CEFFF16" w:rsidR="003F1549" w:rsidRPr="00C77AB0" w:rsidRDefault="00753AA5" w:rsidP="00C77AB0">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33,868</w:t>
            </w:r>
            <w:r w:rsidR="003F1549" w:rsidRPr="00C77AB0">
              <w:rPr>
                <w:rFonts w:eastAsia="Times New Roman" w:cs="Arial"/>
                <w:b/>
                <w:color w:val="000000"/>
                <w:sz w:val="20"/>
                <w:szCs w:val="20"/>
                <w:lang w:eastAsia="en-AU"/>
              </w:rPr>
              <w:t xml:space="preserve"> </w:t>
            </w:r>
          </w:p>
        </w:tc>
        <w:tc>
          <w:tcPr>
            <w:tcW w:w="1345" w:type="dxa"/>
            <w:tcBorders>
              <w:top w:val="single" w:sz="4" w:space="0" w:color="auto"/>
              <w:left w:val="nil"/>
              <w:bottom w:val="nil"/>
              <w:right w:val="nil"/>
            </w:tcBorders>
            <w:noWrap/>
            <w:vAlign w:val="bottom"/>
            <w:hideMark/>
          </w:tcPr>
          <w:p w14:paraId="637E4CF9"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 xml:space="preserve">3,923 </w:t>
            </w:r>
          </w:p>
        </w:tc>
      </w:tr>
      <w:tr w:rsidR="003F1549" w:rsidRPr="00167C2B" w14:paraId="64D1DB40" w14:textId="77777777" w:rsidTr="00AA3AC5">
        <w:trPr>
          <w:trHeight w:val="170"/>
        </w:trPr>
        <w:tc>
          <w:tcPr>
            <w:tcW w:w="4276" w:type="dxa"/>
            <w:tcBorders>
              <w:top w:val="nil"/>
              <w:left w:val="nil"/>
              <w:bottom w:val="nil"/>
              <w:right w:val="nil"/>
            </w:tcBorders>
            <w:vAlign w:val="bottom"/>
            <w:hideMark/>
          </w:tcPr>
          <w:p w14:paraId="02FAB36F" w14:textId="77777777" w:rsidR="003F1549" w:rsidRPr="00C77AB0" w:rsidRDefault="003F1549">
            <w:pPr>
              <w:spacing w:after="0" w:line="240" w:lineRule="auto"/>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4AD3661C" w14:textId="77777777" w:rsidR="003F1549" w:rsidRPr="00F65403" w:rsidRDefault="003F1549" w:rsidP="00C77AB0">
            <w:pPr>
              <w:spacing w:after="0" w:line="240" w:lineRule="auto"/>
              <w:jc w:val="center"/>
              <w:rPr>
                <w:rFonts w:eastAsia="Times New Roman" w:cs="Arial"/>
                <w:sz w:val="20"/>
                <w:szCs w:val="20"/>
                <w:highlight w:val="yellow"/>
                <w:lang w:eastAsia="en-AU"/>
              </w:rPr>
            </w:pPr>
          </w:p>
        </w:tc>
        <w:tc>
          <w:tcPr>
            <w:tcW w:w="1502" w:type="dxa"/>
            <w:tcBorders>
              <w:top w:val="nil"/>
              <w:left w:val="nil"/>
              <w:bottom w:val="nil"/>
              <w:right w:val="nil"/>
            </w:tcBorders>
            <w:noWrap/>
            <w:vAlign w:val="bottom"/>
            <w:hideMark/>
          </w:tcPr>
          <w:p w14:paraId="2B012447"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65D9850B"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0D13071E" w14:textId="77777777" w:rsidTr="00AA3AC5">
        <w:trPr>
          <w:trHeight w:val="170"/>
        </w:trPr>
        <w:tc>
          <w:tcPr>
            <w:tcW w:w="4276" w:type="dxa"/>
            <w:tcBorders>
              <w:top w:val="nil"/>
              <w:left w:val="nil"/>
              <w:bottom w:val="nil"/>
              <w:right w:val="nil"/>
            </w:tcBorders>
            <w:noWrap/>
            <w:vAlign w:val="bottom"/>
            <w:hideMark/>
          </w:tcPr>
          <w:p w14:paraId="61D50170"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liabilities</w:t>
            </w:r>
          </w:p>
        </w:tc>
        <w:tc>
          <w:tcPr>
            <w:tcW w:w="1099" w:type="dxa"/>
            <w:tcBorders>
              <w:top w:val="nil"/>
              <w:left w:val="nil"/>
              <w:bottom w:val="nil"/>
              <w:right w:val="nil"/>
            </w:tcBorders>
            <w:noWrap/>
            <w:vAlign w:val="bottom"/>
            <w:hideMark/>
          </w:tcPr>
          <w:p w14:paraId="2C3F0BF7" w14:textId="77777777" w:rsidR="003F1549" w:rsidRPr="00F65403" w:rsidRDefault="003F1549" w:rsidP="00C77AB0">
            <w:pPr>
              <w:spacing w:after="0" w:line="240" w:lineRule="auto"/>
              <w:jc w:val="center"/>
              <w:rPr>
                <w:rFonts w:eastAsia="Times New Roman" w:cs="Arial"/>
                <w:sz w:val="20"/>
                <w:szCs w:val="20"/>
                <w:highlight w:val="yellow"/>
                <w:lang w:eastAsia="en-AU"/>
              </w:rPr>
            </w:pPr>
          </w:p>
        </w:tc>
        <w:tc>
          <w:tcPr>
            <w:tcW w:w="1502" w:type="dxa"/>
            <w:tcBorders>
              <w:top w:val="nil"/>
              <w:left w:val="nil"/>
              <w:bottom w:val="nil"/>
              <w:right w:val="nil"/>
            </w:tcBorders>
            <w:noWrap/>
            <w:vAlign w:val="bottom"/>
            <w:hideMark/>
          </w:tcPr>
          <w:p w14:paraId="09BAD7B4"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5FF1C71E"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2645A7" w:rsidRPr="00167C2B" w14:paraId="2CC15362" w14:textId="77777777" w:rsidTr="00AA3AC5">
        <w:trPr>
          <w:trHeight w:val="170"/>
        </w:trPr>
        <w:tc>
          <w:tcPr>
            <w:tcW w:w="4276" w:type="dxa"/>
            <w:tcBorders>
              <w:top w:val="nil"/>
              <w:left w:val="nil"/>
              <w:bottom w:val="nil"/>
              <w:right w:val="nil"/>
            </w:tcBorders>
            <w:noWrap/>
            <w:vAlign w:val="bottom"/>
          </w:tcPr>
          <w:p w14:paraId="3B1C5258" w14:textId="0773C510" w:rsidR="002645A7" w:rsidRPr="00C77AB0" w:rsidRDefault="002645A7" w:rsidP="002645A7">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Provisions</w:t>
            </w:r>
          </w:p>
        </w:tc>
        <w:tc>
          <w:tcPr>
            <w:tcW w:w="1099" w:type="dxa"/>
            <w:tcBorders>
              <w:top w:val="nil"/>
              <w:left w:val="nil"/>
              <w:bottom w:val="nil"/>
              <w:right w:val="nil"/>
            </w:tcBorders>
            <w:noWrap/>
            <w:vAlign w:val="bottom"/>
          </w:tcPr>
          <w:p w14:paraId="488FCCB0" w14:textId="7004AE56" w:rsidR="002645A7" w:rsidRPr="009F3AE1" w:rsidDel="006F5BE1" w:rsidRDefault="000814ED" w:rsidP="002645A7">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8</w:t>
            </w:r>
          </w:p>
        </w:tc>
        <w:tc>
          <w:tcPr>
            <w:tcW w:w="1502" w:type="dxa"/>
            <w:tcBorders>
              <w:top w:val="nil"/>
              <w:left w:val="nil"/>
              <w:bottom w:val="nil"/>
              <w:right w:val="nil"/>
            </w:tcBorders>
            <w:noWrap/>
            <w:vAlign w:val="bottom"/>
          </w:tcPr>
          <w:p w14:paraId="4FAC6A28" w14:textId="7F120185" w:rsidR="002645A7" w:rsidRPr="00C77AB0" w:rsidRDefault="002645A7" w:rsidP="002645A7">
            <w:pPr>
              <w:tabs>
                <w:tab w:val="decimal" w:pos="1155"/>
              </w:tabs>
              <w:spacing w:after="0" w:line="240" w:lineRule="auto"/>
              <w:rPr>
                <w:rFonts w:eastAsia="Times New Roman" w:cs="Arial"/>
                <w:color w:val="000000"/>
                <w:sz w:val="20"/>
                <w:szCs w:val="20"/>
                <w:lang w:eastAsia="en-AU"/>
              </w:rPr>
            </w:pPr>
            <w:r w:rsidRPr="59D983C2">
              <w:rPr>
                <w:rFonts w:eastAsia="Times New Roman" w:cs="Arial"/>
                <w:color w:val="000000" w:themeColor="text1"/>
                <w:sz w:val="20"/>
                <w:szCs w:val="20"/>
                <w:lang w:eastAsia="en-AU"/>
              </w:rPr>
              <w:t>3,</w:t>
            </w:r>
            <w:r w:rsidR="00E93CF1">
              <w:rPr>
                <w:rFonts w:eastAsia="Times New Roman" w:cs="Arial"/>
                <w:color w:val="000000" w:themeColor="text1"/>
                <w:sz w:val="20"/>
                <w:szCs w:val="20"/>
                <w:lang w:eastAsia="en-AU"/>
              </w:rPr>
              <w:t>983</w:t>
            </w:r>
          </w:p>
        </w:tc>
        <w:tc>
          <w:tcPr>
            <w:tcW w:w="1345" w:type="dxa"/>
            <w:tcBorders>
              <w:top w:val="nil"/>
              <w:left w:val="nil"/>
              <w:bottom w:val="nil"/>
              <w:right w:val="nil"/>
            </w:tcBorders>
            <w:noWrap/>
            <w:vAlign w:val="bottom"/>
          </w:tcPr>
          <w:p w14:paraId="247161CA" w14:textId="6C9A3982" w:rsidR="002645A7" w:rsidRPr="00C77AB0" w:rsidRDefault="00047E1B" w:rsidP="002645A7">
            <w:pPr>
              <w:tabs>
                <w:tab w:val="decimal" w:pos="1155"/>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10</w:t>
            </w:r>
            <w:r w:rsidR="003740D6" w:rsidRPr="49BCD735">
              <w:rPr>
                <w:rFonts w:eastAsia="Times New Roman" w:cs="Arial"/>
                <w:color w:val="000000" w:themeColor="text1"/>
                <w:sz w:val="20"/>
                <w:szCs w:val="20"/>
                <w:lang w:eastAsia="en-AU"/>
              </w:rPr>
              <w:t>6</w:t>
            </w:r>
          </w:p>
        </w:tc>
      </w:tr>
      <w:tr w:rsidR="003F1549" w:rsidRPr="00167C2B" w14:paraId="3EDF7CBE" w14:textId="77777777" w:rsidTr="00AA3AC5">
        <w:trPr>
          <w:trHeight w:val="170"/>
        </w:trPr>
        <w:tc>
          <w:tcPr>
            <w:tcW w:w="4276" w:type="dxa"/>
            <w:tcBorders>
              <w:top w:val="nil"/>
              <w:left w:val="nil"/>
              <w:bottom w:val="nil"/>
              <w:right w:val="nil"/>
            </w:tcBorders>
            <w:noWrap/>
            <w:vAlign w:val="bottom"/>
            <w:hideMark/>
          </w:tcPr>
          <w:p w14:paraId="3049CD37"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Interest bearing liabilities</w:t>
            </w:r>
          </w:p>
        </w:tc>
        <w:tc>
          <w:tcPr>
            <w:tcW w:w="1099" w:type="dxa"/>
            <w:tcBorders>
              <w:top w:val="nil"/>
              <w:left w:val="nil"/>
              <w:bottom w:val="nil"/>
              <w:right w:val="nil"/>
            </w:tcBorders>
            <w:noWrap/>
            <w:vAlign w:val="bottom"/>
            <w:hideMark/>
          </w:tcPr>
          <w:p w14:paraId="69E1589C" w14:textId="1AF4FEB3" w:rsidR="003F1549" w:rsidRPr="00C77AB0" w:rsidRDefault="002645A7">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1</w:t>
            </w:r>
            <w:r w:rsidR="002540FA" w:rsidRPr="413EB596">
              <w:rPr>
                <w:rFonts w:eastAsia="Times New Roman" w:cs="Arial"/>
                <w:color w:val="000000" w:themeColor="text1"/>
                <w:sz w:val="20"/>
                <w:szCs w:val="20"/>
                <w:lang w:eastAsia="en-AU"/>
              </w:rPr>
              <w:t>0</w:t>
            </w:r>
          </w:p>
        </w:tc>
        <w:tc>
          <w:tcPr>
            <w:tcW w:w="1502" w:type="dxa"/>
            <w:tcBorders>
              <w:top w:val="nil"/>
              <w:left w:val="nil"/>
              <w:right w:val="nil"/>
            </w:tcBorders>
            <w:noWrap/>
            <w:vAlign w:val="bottom"/>
            <w:hideMark/>
          </w:tcPr>
          <w:p w14:paraId="051143AC" w14:textId="410A108E" w:rsidR="003F1549" w:rsidRPr="00C77AB0" w:rsidRDefault="00E93CF1"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8,302</w:t>
            </w:r>
            <w:r w:rsidR="003F1549" w:rsidRPr="00C77AB0">
              <w:rPr>
                <w:rFonts w:eastAsia="Times New Roman" w:cs="Arial"/>
                <w:color w:val="000000"/>
                <w:sz w:val="20"/>
                <w:szCs w:val="20"/>
                <w:lang w:eastAsia="en-AU"/>
              </w:rPr>
              <w:t xml:space="preserve"> </w:t>
            </w:r>
          </w:p>
        </w:tc>
        <w:tc>
          <w:tcPr>
            <w:tcW w:w="1345" w:type="dxa"/>
            <w:tcBorders>
              <w:top w:val="nil"/>
              <w:left w:val="nil"/>
              <w:right w:val="nil"/>
            </w:tcBorders>
            <w:noWrap/>
            <w:vAlign w:val="bottom"/>
            <w:hideMark/>
          </w:tcPr>
          <w:p w14:paraId="025DDFA6" w14:textId="1A7AC240"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186C7D" w:rsidRPr="00167C2B" w14:paraId="797F3E00" w14:textId="77777777" w:rsidTr="00AA3AC5">
        <w:trPr>
          <w:trHeight w:val="170"/>
        </w:trPr>
        <w:tc>
          <w:tcPr>
            <w:tcW w:w="4276" w:type="dxa"/>
            <w:tcBorders>
              <w:top w:val="nil"/>
              <w:left w:val="nil"/>
              <w:bottom w:val="nil"/>
              <w:right w:val="nil"/>
            </w:tcBorders>
            <w:noWrap/>
            <w:vAlign w:val="bottom"/>
          </w:tcPr>
          <w:p w14:paraId="030FCC08" w14:textId="2719B119" w:rsidR="00186C7D" w:rsidRPr="00C77AB0" w:rsidRDefault="00186C7D">
            <w:pPr>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Deferred tax liabilities</w:t>
            </w:r>
          </w:p>
        </w:tc>
        <w:tc>
          <w:tcPr>
            <w:tcW w:w="1099" w:type="dxa"/>
            <w:tcBorders>
              <w:top w:val="nil"/>
              <w:left w:val="nil"/>
              <w:bottom w:val="nil"/>
              <w:right w:val="nil"/>
            </w:tcBorders>
            <w:noWrap/>
            <w:vAlign w:val="bottom"/>
          </w:tcPr>
          <w:p w14:paraId="101307A1" w14:textId="3EB8CFAB" w:rsidR="00186C7D" w:rsidRPr="009F3AE1" w:rsidRDefault="003848E7">
            <w:pPr>
              <w:spacing w:after="0" w:line="240" w:lineRule="auto"/>
              <w:jc w:val="center"/>
              <w:rPr>
                <w:rFonts w:eastAsia="Times New Roman" w:cs="Arial"/>
                <w:color w:val="000000"/>
                <w:sz w:val="20"/>
                <w:szCs w:val="20"/>
                <w:lang w:eastAsia="en-AU"/>
              </w:rPr>
            </w:pPr>
            <w:r w:rsidRPr="6FE1A15E">
              <w:rPr>
                <w:rFonts w:eastAsia="Times New Roman" w:cs="Arial"/>
                <w:color w:val="000000" w:themeColor="text1"/>
                <w:sz w:val="20"/>
                <w:szCs w:val="20"/>
                <w:lang w:eastAsia="en-AU"/>
              </w:rPr>
              <w:t>14</w:t>
            </w:r>
          </w:p>
        </w:tc>
        <w:tc>
          <w:tcPr>
            <w:tcW w:w="1502" w:type="dxa"/>
            <w:tcBorders>
              <w:left w:val="nil"/>
              <w:bottom w:val="single" w:sz="4" w:space="0" w:color="auto"/>
              <w:right w:val="nil"/>
            </w:tcBorders>
            <w:noWrap/>
            <w:vAlign w:val="bottom"/>
          </w:tcPr>
          <w:p w14:paraId="45187239" w14:textId="6B4D993B" w:rsidR="00186C7D" w:rsidRDefault="00B84596" w:rsidP="00C77AB0">
            <w:pPr>
              <w:tabs>
                <w:tab w:val="decimal" w:pos="1155"/>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5,013</w:t>
            </w:r>
          </w:p>
        </w:tc>
        <w:tc>
          <w:tcPr>
            <w:tcW w:w="1345" w:type="dxa"/>
            <w:tcBorders>
              <w:left w:val="nil"/>
              <w:bottom w:val="single" w:sz="4" w:space="0" w:color="auto"/>
              <w:right w:val="nil"/>
            </w:tcBorders>
            <w:noWrap/>
            <w:vAlign w:val="bottom"/>
          </w:tcPr>
          <w:p w14:paraId="55E2D12B" w14:textId="566E73AD" w:rsidR="00186C7D" w:rsidRPr="00C77AB0" w:rsidRDefault="003848E7" w:rsidP="00C77AB0">
            <w:pPr>
              <w:tabs>
                <w:tab w:val="decimal" w:pos="1155"/>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w:t>
            </w:r>
          </w:p>
        </w:tc>
      </w:tr>
      <w:tr w:rsidR="00D31D72" w:rsidRPr="00167C2B" w14:paraId="3C66773C" w14:textId="77777777" w:rsidTr="00AA3AC5">
        <w:trPr>
          <w:trHeight w:val="170"/>
        </w:trPr>
        <w:tc>
          <w:tcPr>
            <w:tcW w:w="4276" w:type="dxa"/>
            <w:tcBorders>
              <w:top w:val="nil"/>
              <w:left w:val="nil"/>
              <w:bottom w:val="nil"/>
              <w:right w:val="nil"/>
            </w:tcBorders>
            <w:vAlign w:val="bottom"/>
            <w:hideMark/>
          </w:tcPr>
          <w:p w14:paraId="1FFBCAFC"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liabilities</w:t>
            </w:r>
          </w:p>
        </w:tc>
        <w:tc>
          <w:tcPr>
            <w:tcW w:w="1099" w:type="dxa"/>
            <w:tcBorders>
              <w:top w:val="nil"/>
              <w:left w:val="nil"/>
              <w:bottom w:val="nil"/>
              <w:right w:val="nil"/>
            </w:tcBorders>
            <w:noWrap/>
            <w:vAlign w:val="bottom"/>
            <w:hideMark/>
          </w:tcPr>
          <w:p w14:paraId="35B1C0E0"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single" w:sz="4" w:space="0" w:color="auto"/>
              <w:left w:val="nil"/>
              <w:bottom w:val="single" w:sz="4" w:space="0" w:color="auto"/>
              <w:right w:val="nil"/>
            </w:tcBorders>
            <w:noWrap/>
            <w:vAlign w:val="bottom"/>
            <w:hideMark/>
          </w:tcPr>
          <w:p w14:paraId="7F410FD3" w14:textId="5D9640ED" w:rsidR="003F1549" w:rsidRPr="00C77AB0" w:rsidRDefault="002E1A2C" w:rsidP="00C77AB0">
            <w:pPr>
              <w:tabs>
                <w:tab w:val="decimal" w:pos="1155"/>
              </w:tabs>
              <w:spacing w:after="0" w:line="240" w:lineRule="auto"/>
              <w:rPr>
                <w:rFonts w:eastAsia="Times New Roman" w:cs="Arial"/>
                <w:b/>
                <w:color w:val="000000"/>
                <w:sz w:val="20"/>
                <w:szCs w:val="20"/>
                <w:lang w:eastAsia="en-AU"/>
              </w:rPr>
            </w:pPr>
            <w:r>
              <w:rPr>
                <w:rFonts w:eastAsia="Times New Roman" w:cs="Arial"/>
                <w:b/>
                <w:bCs/>
                <w:color w:val="000000" w:themeColor="text1"/>
                <w:sz w:val="20"/>
                <w:szCs w:val="20"/>
                <w:lang w:eastAsia="en-AU"/>
              </w:rPr>
              <w:t>17,298</w:t>
            </w:r>
            <w:r w:rsidR="003F1549" w:rsidRPr="6FE1A15E">
              <w:rPr>
                <w:rFonts w:eastAsia="Times New Roman" w:cs="Arial"/>
                <w:b/>
                <w:color w:val="000000" w:themeColor="text1"/>
                <w:sz w:val="20"/>
                <w:szCs w:val="20"/>
                <w:lang w:eastAsia="en-AU"/>
              </w:rPr>
              <w:t xml:space="preserve"> </w:t>
            </w:r>
          </w:p>
        </w:tc>
        <w:tc>
          <w:tcPr>
            <w:tcW w:w="1345" w:type="dxa"/>
            <w:tcBorders>
              <w:top w:val="single" w:sz="4" w:space="0" w:color="auto"/>
              <w:left w:val="nil"/>
              <w:bottom w:val="single" w:sz="4" w:space="0" w:color="auto"/>
              <w:right w:val="nil"/>
            </w:tcBorders>
            <w:noWrap/>
            <w:vAlign w:val="bottom"/>
            <w:hideMark/>
          </w:tcPr>
          <w:p w14:paraId="7E090DE1"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 xml:space="preserve">106 </w:t>
            </w:r>
          </w:p>
        </w:tc>
      </w:tr>
      <w:tr w:rsidR="00D31D72" w:rsidRPr="00167C2B" w14:paraId="32022FAA" w14:textId="77777777" w:rsidTr="00AA3AC5">
        <w:trPr>
          <w:trHeight w:val="170"/>
        </w:trPr>
        <w:tc>
          <w:tcPr>
            <w:tcW w:w="4276" w:type="dxa"/>
            <w:tcBorders>
              <w:top w:val="nil"/>
              <w:left w:val="nil"/>
              <w:bottom w:val="nil"/>
              <w:right w:val="nil"/>
            </w:tcBorders>
            <w:vAlign w:val="bottom"/>
            <w:hideMark/>
          </w:tcPr>
          <w:p w14:paraId="41F9146F"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liabilities</w:t>
            </w:r>
          </w:p>
        </w:tc>
        <w:tc>
          <w:tcPr>
            <w:tcW w:w="1099" w:type="dxa"/>
            <w:tcBorders>
              <w:top w:val="nil"/>
              <w:left w:val="nil"/>
              <w:bottom w:val="nil"/>
              <w:right w:val="nil"/>
            </w:tcBorders>
            <w:noWrap/>
            <w:vAlign w:val="bottom"/>
            <w:hideMark/>
          </w:tcPr>
          <w:p w14:paraId="725D733A"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single" w:sz="4" w:space="0" w:color="auto"/>
              <w:right w:val="nil"/>
            </w:tcBorders>
            <w:noWrap/>
            <w:vAlign w:val="bottom"/>
            <w:hideMark/>
          </w:tcPr>
          <w:p w14:paraId="061A75A7" w14:textId="420D3E34" w:rsidR="003F1549" w:rsidRPr="00C77AB0" w:rsidRDefault="002E1A2C" w:rsidP="49BCD735">
            <w:pPr>
              <w:tabs>
                <w:tab w:val="decimal" w:pos="1155"/>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51,</w:t>
            </w:r>
            <w:r w:rsidR="00FB48EC">
              <w:rPr>
                <w:rFonts w:eastAsia="Times New Roman" w:cs="Arial"/>
                <w:b/>
                <w:bCs/>
                <w:color w:val="000000" w:themeColor="text1"/>
                <w:sz w:val="20"/>
                <w:szCs w:val="20"/>
                <w:lang w:eastAsia="en-AU"/>
              </w:rPr>
              <w:t>166</w:t>
            </w:r>
            <w:r w:rsidR="00FB48EC" w:rsidRPr="49BCD735">
              <w:rPr>
                <w:rFonts w:eastAsia="Times New Roman" w:cs="Arial"/>
                <w:b/>
                <w:bCs/>
                <w:color w:val="000000" w:themeColor="text1"/>
                <w:sz w:val="20"/>
                <w:szCs w:val="20"/>
                <w:lang w:eastAsia="en-AU"/>
              </w:rPr>
              <w:t xml:space="preserve"> </w:t>
            </w:r>
          </w:p>
        </w:tc>
        <w:tc>
          <w:tcPr>
            <w:tcW w:w="1345" w:type="dxa"/>
            <w:tcBorders>
              <w:top w:val="nil"/>
              <w:left w:val="nil"/>
              <w:bottom w:val="single" w:sz="4" w:space="0" w:color="auto"/>
              <w:right w:val="nil"/>
            </w:tcBorders>
            <w:noWrap/>
            <w:vAlign w:val="bottom"/>
            <w:hideMark/>
          </w:tcPr>
          <w:p w14:paraId="40204BA1"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 xml:space="preserve">4,029 </w:t>
            </w:r>
          </w:p>
        </w:tc>
      </w:tr>
      <w:tr w:rsidR="003F1549" w:rsidRPr="00167C2B" w14:paraId="58A1CF8A" w14:textId="77777777" w:rsidTr="00AA3AC5">
        <w:trPr>
          <w:trHeight w:val="170"/>
        </w:trPr>
        <w:tc>
          <w:tcPr>
            <w:tcW w:w="4276" w:type="dxa"/>
            <w:tcBorders>
              <w:top w:val="nil"/>
              <w:left w:val="nil"/>
              <w:bottom w:val="nil"/>
              <w:right w:val="nil"/>
            </w:tcBorders>
            <w:noWrap/>
            <w:vAlign w:val="bottom"/>
            <w:hideMark/>
          </w:tcPr>
          <w:p w14:paraId="18EB4DE0" w14:textId="77777777" w:rsidR="003F1549" w:rsidRPr="00C77AB0" w:rsidRDefault="003F1549">
            <w:pPr>
              <w:spacing w:after="0" w:line="240" w:lineRule="auto"/>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13C99016"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36A961AD"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1B1500D8"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D31D72" w:rsidRPr="00167C2B" w14:paraId="18F01700" w14:textId="77777777" w:rsidTr="00AA3AC5">
        <w:trPr>
          <w:trHeight w:val="170"/>
        </w:trPr>
        <w:tc>
          <w:tcPr>
            <w:tcW w:w="4276" w:type="dxa"/>
            <w:tcBorders>
              <w:top w:val="nil"/>
              <w:left w:val="nil"/>
              <w:bottom w:val="nil"/>
              <w:right w:val="nil"/>
            </w:tcBorders>
            <w:noWrap/>
            <w:vAlign w:val="bottom"/>
            <w:hideMark/>
          </w:tcPr>
          <w:p w14:paraId="6EE9AA37"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Net assets</w:t>
            </w:r>
          </w:p>
        </w:tc>
        <w:tc>
          <w:tcPr>
            <w:tcW w:w="1099" w:type="dxa"/>
            <w:tcBorders>
              <w:top w:val="nil"/>
              <w:left w:val="nil"/>
              <w:bottom w:val="nil"/>
              <w:right w:val="nil"/>
            </w:tcBorders>
            <w:noWrap/>
            <w:vAlign w:val="bottom"/>
            <w:hideMark/>
          </w:tcPr>
          <w:p w14:paraId="03182984"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double" w:sz="6" w:space="0" w:color="auto"/>
              <w:right w:val="nil"/>
            </w:tcBorders>
            <w:noWrap/>
            <w:vAlign w:val="bottom"/>
            <w:hideMark/>
          </w:tcPr>
          <w:p w14:paraId="50FD703D" w14:textId="56B747AE" w:rsidR="003F1549" w:rsidRPr="00C77AB0" w:rsidRDefault="00736437" w:rsidP="00C77AB0">
            <w:pPr>
              <w:tabs>
                <w:tab w:val="decimal" w:pos="1155"/>
              </w:tabs>
              <w:spacing w:after="0" w:line="240" w:lineRule="auto"/>
              <w:rPr>
                <w:rFonts w:eastAsia="Times New Roman" w:cs="Arial"/>
                <w:b/>
                <w:color w:val="000000"/>
                <w:sz w:val="20"/>
                <w:szCs w:val="20"/>
                <w:lang w:eastAsia="en-AU"/>
              </w:rPr>
            </w:pPr>
            <w:r w:rsidRPr="6FE1A15E">
              <w:rPr>
                <w:rFonts w:eastAsia="Times New Roman" w:cs="Arial"/>
                <w:b/>
                <w:bCs/>
                <w:color w:val="000000" w:themeColor="text1"/>
                <w:sz w:val="20"/>
                <w:szCs w:val="20"/>
                <w:lang w:eastAsia="en-AU"/>
              </w:rPr>
              <w:t>6</w:t>
            </w:r>
            <w:r w:rsidR="000E7D84" w:rsidRPr="6FE1A15E">
              <w:rPr>
                <w:rFonts w:eastAsia="Times New Roman" w:cs="Arial"/>
                <w:b/>
                <w:bCs/>
                <w:color w:val="000000" w:themeColor="text1"/>
                <w:sz w:val="20"/>
                <w:szCs w:val="20"/>
                <w:lang w:eastAsia="en-AU"/>
              </w:rPr>
              <w:t>75</w:t>
            </w:r>
            <w:r w:rsidR="000E7D84" w:rsidRPr="6FE1A15E">
              <w:rPr>
                <w:rFonts w:eastAsia="Times New Roman" w:cs="Arial"/>
                <w:b/>
                <w:color w:val="000000" w:themeColor="text1"/>
                <w:sz w:val="20"/>
                <w:szCs w:val="20"/>
                <w:lang w:eastAsia="en-AU"/>
              </w:rPr>
              <w:t>,730</w:t>
            </w:r>
            <w:r w:rsidR="003F1549" w:rsidRPr="6FE1A15E">
              <w:rPr>
                <w:rFonts w:eastAsia="Times New Roman" w:cs="Arial"/>
                <w:b/>
                <w:color w:val="000000" w:themeColor="text1"/>
                <w:sz w:val="20"/>
                <w:szCs w:val="20"/>
                <w:lang w:eastAsia="en-AU"/>
              </w:rPr>
              <w:t xml:space="preserve"> </w:t>
            </w:r>
          </w:p>
        </w:tc>
        <w:tc>
          <w:tcPr>
            <w:tcW w:w="1345" w:type="dxa"/>
            <w:tcBorders>
              <w:top w:val="nil"/>
              <w:left w:val="nil"/>
              <w:bottom w:val="double" w:sz="6" w:space="0" w:color="auto"/>
              <w:right w:val="nil"/>
            </w:tcBorders>
            <w:noWrap/>
            <w:vAlign w:val="bottom"/>
            <w:hideMark/>
          </w:tcPr>
          <w:p w14:paraId="25C7B259"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 xml:space="preserve">339,055 </w:t>
            </w:r>
          </w:p>
        </w:tc>
      </w:tr>
      <w:tr w:rsidR="003F1549" w:rsidRPr="00167C2B" w14:paraId="28B5D68A" w14:textId="77777777" w:rsidTr="00AA3AC5">
        <w:trPr>
          <w:trHeight w:val="170"/>
        </w:trPr>
        <w:tc>
          <w:tcPr>
            <w:tcW w:w="4276" w:type="dxa"/>
            <w:tcBorders>
              <w:top w:val="nil"/>
              <w:left w:val="nil"/>
              <w:bottom w:val="nil"/>
              <w:right w:val="nil"/>
            </w:tcBorders>
            <w:noWrap/>
            <w:vAlign w:val="bottom"/>
            <w:hideMark/>
          </w:tcPr>
          <w:p w14:paraId="3C78A0D4" w14:textId="77777777" w:rsidR="003F1549" w:rsidRPr="00C77AB0" w:rsidRDefault="003F1549">
            <w:pPr>
              <w:spacing w:after="0" w:line="240" w:lineRule="auto"/>
              <w:rPr>
                <w:rFonts w:eastAsia="Times New Roman" w:cs="Arial"/>
                <w:b/>
                <w:color w:val="000000"/>
                <w:sz w:val="20"/>
                <w:szCs w:val="20"/>
                <w:lang w:eastAsia="en-AU"/>
              </w:rPr>
            </w:pPr>
          </w:p>
        </w:tc>
        <w:tc>
          <w:tcPr>
            <w:tcW w:w="1099" w:type="dxa"/>
            <w:tcBorders>
              <w:top w:val="nil"/>
              <w:left w:val="nil"/>
              <w:bottom w:val="nil"/>
              <w:right w:val="nil"/>
            </w:tcBorders>
            <w:noWrap/>
            <w:vAlign w:val="bottom"/>
            <w:hideMark/>
          </w:tcPr>
          <w:p w14:paraId="04561618"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759A4DCA"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3BA72BA1"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355E99B1" w14:textId="77777777" w:rsidTr="00AA3AC5">
        <w:trPr>
          <w:trHeight w:val="170"/>
        </w:trPr>
        <w:tc>
          <w:tcPr>
            <w:tcW w:w="4276" w:type="dxa"/>
            <w:tcBorders>
              <w:top w:val="nil"/>
              <w:left w:val="nil"/>
              <w:bottom w:val="nil"/>
              <w:right w:val="nil"/>
            </w:tcBorders>
            <w:noWrap/>
            <w:vAlign w:val="bottom"/>
            <w:hideMark/>
          </w:tcPr>
          <w:p w14:paraId="49B2880D"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Equity</w:t>
            </w:r>
          </w:p>
        </w:tc>
        <w:tc>
          <w:tcPr>
            <w:tcW w:w="1099" w:type="dxa"/>
            <w:tcBorders>
              <w:top w:val="nil"/>
              <w:left w:val="nil"/>
              <w:bottom w:val="nil"/>
              <w:right w:val="nil"/>
            </w:tcBorders>
            <w:noWrap/>
            <w:vAlign w:val="bottom"/>
            <w:hideMark/>
          </w:tcPr>
          <w:p w14:paraId="45708935"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094C9D49"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c>
          <w:tcPr>
            <w:tcW w:w="1345" w:type="dxa"/>
            <w:tcBorders>
              <w:top w:val="nil"/>
              <w:left w:val="nil"/>
              <w:bottom w:val="nil"/>
              <w:right w:val="nil"/>
            </w:tcBorders>
            <w:noWrap/>
            <w:vAlign w:val="bottom"/>
            <w:hideMark/>
          </w:tcPr>
          <w:p w14:paraId="5B3AA3A1" w14:textId="77777777" w:rsidR="003F1549" w:rsidRPr="00F65403" w:rsidRDefault="003F1549" w:rsidP="00C77AB0">
            <w:pPr>
              <w:tabs>
                <w:tab w:val="decimal" w:pos="1155"/>
              </w:tabs>
              <w:spacing w:after="0" w:line="240" w:lineRule="auto"/>
              <w:rPr>
                <w:rFonts w:eastAsia="Times New Roman" w:cs="Arial"/>
                <w:sz w:val="20"/>
                <w:szCs w:val="20"/>
                <w:lang w:eastAsia="en-AU"/>
              </w:rPr>
            </w:pPr>
          </w:p>
        </w:tc>
      </w:tr>
      <w:tr w:rsidR="003F1549" w:rsidRPr="00167C2B" w14:paraId="69EB17BD" w14:textId="77777777" w:rsidTr="00AA3AC5">
        <w:trPr>
          <w:trHeight w:val="170"/>
        </w:trPr>
        <w:tc>
          <w:tcPr>
            <w:tcW w:w="4276" w:type="dxa"/>
            <w:tcBorders>
              <w:top w:val="nil"/>
              <w:left w:val="nil"/>
              <w:bottom w:val="nil"/>
              <w:right w:val="nil"/>
            </w:tcBorders>
            <w:noWrap/>
            <w:vAlign w:val="bottom"/>
            <w:hideMark/>
          </w:tcPr>
          <w:p w14:paraId="7D7DEFC1"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Contributed capital</w:t>
            </w:r>
          </w:p>
        </w:tc>
        <w:tc>
          <w:tcPr>
            <w:tcW w:w="1099" w:type="dxa"/>
            <w:tcBorders>
              <w:top w:val="nil"/>
              <w:left w:val="nil"/>
              <w:bottom w:val="nil"/>
              <w:right w:val="nil"/>
            </w:tcBorders>
            <w:noWrap/>
            <w:vAlign w:val="bottom"/>
            <w:hideMark/>
          </w:tcPr>
          <w:p w14:paraId="01ACFAD6" w14:textId="21A37E6D" w:rsidR="003F1549" w:rsidRPr="00F65403" w:rsidRDefault="00F937F6" w:rsidP="00C77AB0">
            <w:pPr>
              <w:spacing w:after="0" w:line="240" w:lineRule="auto"/>
              <w:jc w:val="center"/>
              <w:rPr>
                <w:rFonts w:eastAsia="Times New Roman" w:cs="Arial"/>
                <w:sz w:val="20"/>
                <w:szCs w:val="20"/>
                <w:lang w:eastAsia="en-AU"/>
              </w:rPr>
            </w:pPr>
            <w:r w:rsidRPr="413EB596">
              <w:rPr>
                <w:rFonts w:eastAsia="Times New Roman" w:cs="Arial"/>
                <w:sz w:val="20"/>
                <w:szCs w:val="20"/>
                <w:lang w:eastAsia="en-AU"/>
              </w:rPr>
              <w:t>11</w:t>
            </w:r>
          </w:p>
        </w:tc>
        <w:tc>
          <w:tcPr>
            <w:tcW w:w="1502" w:type="dxa"/>
            <w:tcBorders>
              <w:top w:val="nil"/>
              <w:left w:val="nil"/>
              <w:bottom w:val="nil"/>
              <w:right w:val="nil"/>
            </w:tcBorders>
            <w:noWrap/>
            <w:vAlign w:val="bottom"/>
            <w:hideMark/>
          </w:tcPr>
          <w:p w14:paraId="641F95A4" w14:textId="77777777"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680,000 </w:t>
            </w:r>
          </w:p>
        </w:tc>
        <w:tc>
          <w:tcPr>
            <w:tcW w:w="1345" w:type="dxa"/>
            <w:tcBorders>
              <w:top w:val="nil"/>
              <w:left w:val="nil"/>
              <w:bottom w:val="nil"/>
              <w:right w:val="nil"/>
            </w:tcBorders>
            <w:noWrap/>
            <w:vAlign w:val="bottom"/>
            <w:hideMark/>
          </w:tcPr>
          <w:p w14:paraId="2ABCB3BC" w14:textId="77777777"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336,000 </w:t>
            </w:r>
          </w:p>
        </w:tc>
      </w:tr>
      <w:tr w:rsidR="003F1549" w:rsidRPr="00167C2B" w14:paraId="687D4CFD" w14:textId="77777777" w:rsidTr="00AA3AC5">
        <w:trPr>
          <w:trHeight w:val="170"/>
        </w:trPr>
        <w:tc>
          <w:tcPr>
            <w:tcW w:w="4276" w:type="dxa"/>
            <w:tcBorders>
              <w:top w:val="nil"/>
              <w:left w:val="nil"/>
              <w:bottom w:val="nil"/>
              <w:right w:val="nil"/>
            </w:tcBorders>
            <w:noWrap/>
            <w:vAlign w:val="bottom"/>
            <w:hideMark/>
          </w:tcPr>
          <w:p w14:paraId="7A46D3BB" w14:textId="77777777" w:rsidR="003F1549" w:rsidRPr="00C77AB0" w:rsidRDefault="003F1549">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Reserves </w:t>
            </w:r>
          </w:p>
        </w:tc>
        <w:tc>
          <w:tcPr>
            <w:tcW w:w="1099" w:type="dxa"/>
            <w:tcBorders>
              <w:top w:val="nil"/>
              <w:left w:val="nil"/>
              <w:bottom w:val="nil"/>
              <w:right w:val="nil"/>
            </w:tcBorders>
            <w:noWrap/>
            <w:vAlign w:val="bottom"/>
            <w:hideMark/>
          </w:tcPr>
          <w:p w14:paraId="45D8C523"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280FAFA0" w14:textId="51A02F59"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w:t>
            </w:r>
            <w:r w:rsidRPr="6FE1A15E" w:rsidDel="00051BF8">
              <w:rPr>
                <w:rFonts w:eastAsia="Times New Roman" w:cs="Arial"/>
                <w:color w:val="000000" w:themeColor="text1"/>
                <w:sz w:val="20"/>
                <w:szCs w:val="20"/>
                <w:lang w:eastAsia="en-AU"/>
              </w:rPr>
              <w:t>3,</w:t>
            </w:r>
            <w:r w:rsidR="00051BF8" w:rsidRPr="6FE1A15E">
              <w:rPr>
                <w:rFonts w:eastAsia="Times New Roman" w:cs="Arial"/>
                <w:color w:val="000000" w:themeColor="text1"/>
                <w:sz w:val="20"/>
                <w:szCs w:val="20"/>
                <w:lang w:eastAsia="en-AU"/>
              </w:rPr>
              <w:t>279</w:t>
            </w:r>
            <w:r w:rsidRPr="6FE1A15E">
              <w:rPr>
                <w:rFonts w:eastAsia="Times New Roman" w:cs="Arial"/>
                <w:color w:val="000000" w:themeColor="text1"/>
                <w:sz w:val="20"/>
                <w:szCs w:val="20"/>
                <w:lang w:eastAsia="en-AU"/>
              </w:rPr>
              <w:t>)</w:t>
            </w:r>
          </w:p>
        </w:tc>
        <w:tc>
          <w:tcPr>
            <w:tcW w:w="1345" w:type="dxa"/>
            <w:tcBorders>
              <w:top w:val="nil"/>
              <w:left w:val="nil"/>
              <w:bottom w:val="nil"/>
              <w:right w:val="nil"/>
            </w:tcBorders>
            <w:noWrap/>
            <w:vAlign w:val="bottom"/>
            <w:hideMark/>
          </w:tcPr>
          <w:p w14:paraId="7CD153C7" w14:textId="77777777"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(2,773)</w:t>
            </w:r>
          </w:p>
        </w:tc>
      </w:tr>
      <w:tr w:rsidR="00D31D72" w:rsidRPr="00167C2B" w14:paraId="4183722B" w14:textId="77777777" w:rsidTr="00AA3AC5">
        <w:trPr>
          <w:trHeight w:val="170"/>
        </w:trPr>
        <w:tc>
          <w:tcPr>
            <w:tcW w:w="4276" w:type="dxa"/>
            <w:tcBorders>
              <w:top w:val="nil"/>
              <w:left w:val="nil"/>
              <w:bottom w:val="nil"/>
              <w:right w:val="nil"/>
            </w:tcBorders>
            <w:vAlign w:val="bottom"/>
            <w:hideMark/>
          </w:tcPr>
          <w:p w14:paraId="4E21DBF2" w14:textId="7420EECE" w:rsidR="003F1549" w:rsidRPr="00C77AB0" w:rsidRDefault="002263BD">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(Accumulated losses)/</w:t>
            </w:r>
            <w:r w:rsidR="001246E8" w:rsidRPr="6A467120">
              <w:rPr>
                <w:rFonts w:eastAsia="Times New Roman" w:cs="Arial"/>
                <w:color w:val="000000" w:themeColor="text1"/>
                <w:sz w:val="20"/>
                <w:szCs w:val="20"/>
                <w:lang w:eastAsia="en-AU"/>
              </w:rPr>
              <w:t>r</w:t>
            </w:r>
            <w:r w:rsidR="003F1549" w:rsidRPr="6A467120">
              <w:rPr>
                <w:rFonts w:eastAsia="Times New Roman" w:cs="Arial"/>
                <w:color w:val="000000" w:themeColor="text1"/>
                <w:sz w:val="20"/>
                <w:szCs w:val="20"/>
                <w:lang w:eastAsia="en-AU"/>
              </w:rPr>
              <w:t>etained</w:t>
            </w:r>
            <w:r w:rsidR="003F1549" w:rsidRPr="413EB596">
              <w:rPr>
                <w:rFonts w:eastAsia="Times New Roman" w:cs="Arial"/>
                <w:color w:val="000000" w:themeColor="text1"/>
                <w:sz w:val="20"/>
                <w:szCs w:val="20"/>
                <w:lang w:eastAsia="en-AU"/>
              </w:rPr>
              <w:t xml:space="preserve"> earnings</w:t>
            </w:r>
          </w:p>
        </w:tc>
        <w:tc>
          <w:tcPr>
            <w:tcW w:w="1099" w:type="dxa"/>
            <w:tcBorders>
              <w:top w:val="nil"/>
              <w:left w:val="nil"/>
              <w:bottom w:val="nil"/>
              <w:right w:val="nil"/>
            </w:tcBorders>
            <w:noWrap/>
            <w:vAlign w:val="bottom"/>
            <w:hideMark/>
          </w:tcPr>
          <w:p w14:paraId="05CC34AC"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nil"/>
              <w:left w:val="nil"/>
              <w:bottom w:val="nil"/>
              <w:right w:val="nil"/>
            </w:tcBorders>
            <w:noWrap/>
            <w:vAlign w:val="bottom"/>
            <w:hideMark/>
          </w:tcPr>
          <w:p w14:paraId="060D6408" w14:textId="339A64C4" w:rsidR="003F1549" w:rsidRPr="00C77AB0" w:rsidRDefault="00051BF8" w:rsidP="00C77AB0">
            <w:pPr>
              <w:tabs>
                <w:tab w:val="decimal" w:pos="1155"/>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(991)</w:t>
            </w:r>
          </w:p>
        </w:tc>
        <w:tc>
          <w:tcPr>
            <w:tcW w:w="1345" w:type="dxa"/>
            <w:tcBorders>
              <w:top w:val="nil"/>
              <w:left w:val="nil"/>
              <w:bottom w:val="single" w:sz="4" w:space="0" w:color="auto"/>
              <w:right w:val="nil"/>
            </w:tcBorders>
            <w:noWrap/>
            <w:vAlign w:val="bottom"/>
            <w:hideMark/>
          </w:tcPr>
          <w:p w14:paraId="4AC34D90" w14:textId="77777777" w:rsidR="003F1549" w:rsidRPr="00C77AB0" w:rsidRDefault="003F1549" w:rsidP="00C77AB0">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5,828</w:t>
            </w:r>
          </w:p>
        </w:tc>
      </w:tr>
      <w:tr w:rsidR="00501BB8" w:rsidRPr="00167C2B" w14:paraId="63A85658" w14:textId="77777777" w:rsidTr="00AA3AC5">
        <w:trPr>
          <w:trHeight w:val="170"/>
        </w:trPr>
        <w:tc>
          <w:tcPr>
            <w:tcW w:w="4276" w:type="dxa"/>
            <w:tcBorders>
              <w:top w:val="nil"/>
              <w:left w:val="nil"/>
              <w:bottom w:val="nil"/>
              <w:right w:val="nil"/>
            </w:tcBorders>
            <w:vAlign w:val="bottom"/>
            <w:hideMark/>
          </w:tcPr>
          <w:p w14:paraId="6ABFA1D4" w14:textId="77777777" w:rsidR="003F1549" w:rsidRPr="00C77AB0" w:rsidRDefault="003F1549">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Equity</w:t>
            </w:r>
          </w:p>
        </w:tc>
        <w:tc>
          <w:tcPr>
            <w:tcW w:w="1099" w:type="dxa"/>
            <w:tcBorders>
              <w:top w:val="nil"/>
              <w:left w:val="nil"/>
              <w:bottom w:val="nil"/>
              <w:right w:val="nil"/>
            </w:tcBorders>
            <w:noWrap/>
            <w:vAlign w:val="bottom"/>
            <w:hideMark/>
          </w:tcPr>
          <w:p w14:paraId="044BC52C" w14:textId="77777777" w:rsidR="003F1549" w:rsidRPr="00F65403" w:rsidRDefault="003F1549" w:rsidP="00C77AB0">
            <w:pPr>
              <w:spacing w:after="0" w:line="240" w:lineRule="auto"/>
              <w:jc w:val="center"/>
              <w:rPr>
                <w:rFonts w:eastAsia="Times New Roman" w:cs="Arial"/>
                <w:sz w:val="20"/>
                <w:szCs w:val="20"/>
                <w:lang w:eastAsia="en-AU"/>
              </w:rPr>
            </w:pPr>
          </w:p>
        </w:tc>
        <w:tc>
          <w:tcPr>
            <w:tcW w:w="1502" w:type="dxa"/>
            <w:tcBorders>
              <w:top w:val="single" w:sz="4" w:space="0" w:color="auto"/>
              <w:left w:val="nil"/>
              <w:bottom w:val="double" w:sz="6" w:space="0" w:color="auto"/>
              <w:right w:val="nil"/>
            </w:tcBorders>
            <w:noWrap/>
            <w:vAlign w:val="bottom"/>
            <w:hideMark/>
          </w:tcPr>
          <w:p w14:paraId="69D7E1C7" w14:textId="4744A878" w:rsidR="003F1549" w:rsidRPr="00C77AB0" w:rsidRDefault="00736437" w:rsidP="00C77AB0">
            <w:pPr>
              <w:tabs>
                <w:tab w:val="decimal" w:pos="1155"/>
              </w:tabs>
              <w:spacing w:after="0" w:line="240" w:lineRule="auto"/>
              <w:rPr>
                <w:rFonts w:eastAsia="Times New Roman" w:cs="Arial"/>
                <w:b/>
                <w:color w:val="000000"/>
                <w:sz w:val="20"/>
                <w:szCs w:val="20"/>
                <w:lang w:eastAsia="en-AU"/>
              </w:rPr>
            </w:pPr>
            <w:r w:rsidRPr="6FE1A15E">
              <w:rPr>
                <w:rFonts w:eastAsia="Times New Roman" w:cs="Arial"/>
                <w:b/>
                <w:bCs/>
                <w:color w:val="000000" w:themeColor="text1"/>
                <w:sz w:val="20"/>
                <w:szCs w:val="20"/>
                <w:lang w:eastAsia="en-AU"/>
              </w:rPr>
              <w:t>6</w:t>
            </w:r>
            <w:r w:rsidR="00051BF8" w:rsidRPr="6FE1A15E">
              <w:rPr>
                <w:rFonts w:eastAsia="Times New Roman" w:cs="Arial"/>
                <w:b/>
                <w:bCs/>
                <w:color w:val="000000" w:themeColor="text1"/>
                <w:sz w:val="20"/>
                <w:szCs w:val="20"/>
                <w:lang w:eastAsia="en-AU"/>
              </w:rPr>
              <w:t>75,730</w:t>
            </w:r>
          </w:p>
        </w:tc>
        <w:tc>
          <w:tcPr>
            <w:tcW w:w="1345" w:type="dxa"/>
            <w:tcBorders>
              <w:top w:val="nil"/>
              <w:left w:val="nil"/>
              <w:bottom w:val="double" w:sz="6" w:space="0" w:color="auto"/>
              <w:right w:val="nil"/>
            </w:tcBorders>
            <w:noWrap/>
            <w:vAlign w:val="bottom"/>
            <w:hideMark/>
          </w:tcPr>
          <w:p w14:paraId="19FD835C" w14:textId="77777777" w:rsidR="003F1549" w:rsidRPr="00C77AB0" w:rsidRDefault="003F1549" w:rsidP="00C77AB0">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339,055</w:t>
            </w:r>
          </w:p>
        </w:tc>
      </w:tr>
    </w:tbl>
    <w:p w14:paraId="7F0F869E" w14:textId="6EFB3014" w:rsidR="00D443AE" w:rsidRPr="001C1467" w:rsidRDefault="00740166" w:rsidP="001C1467">
      <w:pPr>
        <w:pStyle w:val="BodyText"/>
        <w:rPr>
          <w:i/>
          <w:lang w:val="en-AU"/>
        </w:rPr>
      </w:pPr>
      <w:r>
        <w:br/>
      </w:r>
      <w:r w:rsidR="00D443AE" w:rsidRPr="00F65403">
        <w:rPr>
          <w:i/>
          <w:lang w:val="en-AU"/>
        </w:rPr>
        <w:t>The above consolidated statement of financial position should be read in conjunction with the accompanying notes. </w:t>
      </w:r>
    </w:p>
    <w:p w14:paraId="05F04D73" w14:textId="77777777" w:rsidR="00892A7A" w:rsidRDefault="00892A7A" w:rsidP="3411B552">
      <w:pPr>
        <w:rPr>
          <w:rFonts w:eastAsiaTheme="majorEastAsia" w:cstheme="majorBidi"/>
          <w:sz w:val="32"/>
          <w:szCs w:val="32"/>
        </w:rPr>
      </w:pPr>
      <w:bookmarkStart w:id="345" w:name="_Toc203487537"/>
      <w:bookmarkStart w:id="346" w:name="_Toc203656227"/>
      <w:r>
        <w:br w:type="page"/>
      </w:r>
    </w:p>
    <w:p w14:paraId="1FAE0AE0" w14:textId="7AF45F08" w:rsidR="00061A24" w:rsidRPr="0048780B" w:rsidRDefault="00061A24" w:rsidP="00B254AC">
      <w:pPr>
        <w:pStyle w:val="Heading1"/>
      </w:pPr>
      <w:bookmarkStart w:id="347" w:name="_Toc570522012"/>
      <w:bookmarkStart w:id="348" w:name="_Toc208418033"/>
      <w:bookmarkStart w:id="349" w:name="_Toc209080398"/>
      <w:bookmarkStart w:id="350" w:name="_Toc209703967"/>
      <w:bookmarkStart w:id="351" w:name="_Toc209704020"/>
      <w:bookmarkStart w:id="352" w:name="_Toc209704073"/>
      <w:r w:rsidRPr="0048780B">
        <w:t>Consolidated statement of changes in equity</w:t>
      </w:r>
      <w:bookmarkEnd w:id="345"/>
      <w:bookmarkEnd w:id="346"/>
      <w:bookmarkEnd w:id="347"/>
      <w:bookmarkEnd w:id="348"/>
      <w:bookmarkEnd w:id="349"/>
      <w:bookmarkEnd w:id="350"/>
      <w:bookmarkEnd w:id="351"/>
      <w:bookmarkEnd w:id="352"/>
      <w:r w:rsidRPr="0048780B">
        <w:t> </w:t>
      </w:r>
    </w:p>
    <w:p w14:paraId="7798CA23" w14:textId="54566F20" w:rsidR="003D7E2B" w:rsidRPr="00F65403" w:rsidRDefault="00061A24" w:rsidP="003346E5">
      <w:pPr>
        <w:pStyle w:val="Heading3"/>
        <w:rPr>
          <w:rFonts w:cs="Arial"/>
          <w:sz w:val="22"/>
          <w:szCs w:val="22"/>
        </w:rPr>
      </w:pPr>
      <w:r w:rsidRPr="4FD260F1">
        <w:rPr>
          <w:rFonts w:cs="Arial"/>
        </w:rPr>
        <w:t xml:space="preserve">For the </w:t>
      </w:r>
      <w:r w:rsidR="00FC176B" w:rsidRPr="4FD260F1">
        <w:rPr>
          <w:rFonts w:cs="Arial"/>
        </w:rPr>
        <w:t xml:space="preserve">year ended </w:t>
      </w:r>
      <w:r w:rsidRPr="4FD260F1">
        <w:rPr>
          <w:rFonts w:cs="Arial"/>
        </w:rPr>
        <w:t>30 June 202</w:t>
      </w:r>
      <w:r w:rsidR="00FC176B" w:rsidRPr="4FD260F1">
        <w:rPr>
          <w:rFonts w:cs="Arial"/>
        </w:rPr>
        <w:t>5</w:t>
      </w:r>
    </w:p>
    <w:tbl>
      <w:tblPr>
        <w:tblW w:w="4854" w:type="pct"/>
        <w:tblCellMar>
          <w:top w:w="28" w:type="dxa"/>
          <w:left w:w="28" w:type="dxa"/>
          <w:bottom w:w="28" w:type="dxa"/>
          <w:right w:w="28" w:type="dxa"/>
        </w:tblCellMar>
        <w:tblLook w:val="04A0" w:firstRow="1" w:lastRow="0" w:firstColumn="1" w:lastColumn="0" w:noHBand="0" w:noVBand="1"/>
      </w:tblPr>
      <w:tblGrid>
        <w:gridCol w:w="3476"/>
        <w:gridCol w:w="1231"/>
        <w:gridCol w:w="1477"/>
        <w:gridCol w:w="1346"/>
        <w:gridCol w:w="1232"/>
      </w:tblGrid>
      <w:tr w:rsidR="00196EAE" w:rsidRPr="003D7E2B" w14:paraId="435DE683" w14:textId="77777777" w:rsidTr="49BCD735">
        <w:tc>
          <w:tcPr>
            <w:tcW w:w="1994" w:type="pct"/>
            <w:tcBorders>
              <w:top w:val="nil"/>
              <w:left w:val="nil"/>
              <w:bottom w:val="nil"/>
              <w:right w:val="nil"/>
            </w:tcBorders>
            <w:noWrap/>
            <w:vAlign w:val="bottom"/>
            <w:hideMark/>
          </w:tcPr>
          <w:p w14:paraId="3B8F92C2" w14:textId="77777777" w:rsidR="003D7E2B" w:rsidRPr="008F1B1D" w:rsidRDefault="003D7E2B" w:rsidP="003D7E2B">
            <w:pPr>
              <w:spacing w:after="0" w:line="240" w:lineRule="auto"/>
              <w:rPr>
                <w:rFonts w:eastAsia="Times New Roman" w:cs="Arial"/>
                <w:sz w:val="20"/>
                <w:szCs w:val="20"/>
                <w:lang w:eastAsia="en-AU"/>
              </w:rPr>
            </w:pPr>
          </w:p>
        </w:tc>
        <w:tc>
          <w:tcPr>
            <w:tcW w:w="713" w:type="pct"/>
            <w:tcBorders>
              <w:top w:val="nil"/>
              <w:left w:val="nil"/>
              <w:bottom w:val="nil"/>
              <w:right w:val="nil"/>
            </w:tcBorders>
            <w:vAlign w:val="bottom"/>
            <w:hideMark/>
          </w:tcPr>
          <w:p w14:paraId="0DFDE1A4"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Contributed capital</w:t>
            </w:r>
          </w:p>
        </w:tc>
        <w:tc>
          <w:tcPr>
            <w:tcW w:w="853" w:type="pct"/>
            <w:tcBorders>
              <w:top w:val="nil"/>
              <w:left w:val="nil"/>
              <w:bottom w:val="nil"/>
              <w:right w:val="nil"/>
            </w:tcBorders>
            <w:noWrap/>
            <w:vAlign w:val="bottom"/>
            <w:hideMark/>
          </w:tcPr>
          <w:p w14:paraId="5FC5F6CA"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Reserves</w:t>
            </w:r>
          </w:p>
        </w:tc>
        <w:tc>
          <w:tcPr>
            <w:tcW w:w="727" w:type="pct"/>
            <w:tcBorders>
              <w:top w:val="nil"/>
              <w:left w:val="nil"/>
              <w:bottom w:val="nil"/>
              <w:right w:val="nil"/>
            </w:tcBorders>
            <w:vAlign w:val="bottom"/>
            <w:hideMark/>
          </w:tcPr>
          <w:p w14:paraId="489995A6" w14:textId="11181D3F" w:rsidR="003D7E2B" w:rsidRPr="008F1B1D" w:rsidRDefault="003D7E2B" w:rsidP="005B3C40">
            <w:pPr>
              <w:spacing w:after="0" w:line="240" w:lineRule="auto"/>
              <w:jc w:val="center"/>
              <w:rPr>
                <w:rFonts w:eastAsia="Times New Roman" w:cs="Arial"/>
                <w:b/>
                <w:color w:val="000000"/>
                <w:sz w:val="20"/>
                <w:szCs w:val="20"/>
                <w:lang w:eastAsia="en-AU"/>
              </w:rPr>
            </w:pPr>
            <w:r w:rsidRPr="7F1A92DC">
              <w:rPr>
                <w:rFonts w:eastAsia="Times New Roman" w:cs="Arial"/>
                <w:b/>
                <w:color w:val="000000" w:themeColor="text1"/>
                <w:sz w:val="20"/>
                <w:szCs w:val="20"/>
                <w:lang w:eastAsia="en-AU"/>
              </w:rPr>
              <w:t>Retained earnings</w:t>
            </w:r>
            <w:r w:rsidR="00EE4C44">
              <w:rPr>
                <w:rFonts w:eastAsia="Times New Roman" w:cs="Arial"/>
                <w:b/>
                <w:color w:val="000000" w:themeColor="text1"/>
                <w:sz w:val="20"/>
                <w:szCs w:val="20"/>
                <w:lang w:eastAsia="en-AU"/>
              </w:rPr>
              <w:t>/</w:t>
            </w:r>
            <w:r w:rsidR="007A1DF5">
              <w:br/>
            </w:r>
            <w:r w:rsidR="007A1DF5" w:rsidRPr="7F1A92DC">
              <w:rPr>
                <w:rFonts w:eastAsia="Times New Roman" w:cs="Arial"/>
                <w:b/>
                <w:color w:val="000000" w:themeColor="text1"/>
                <w:sz w:val="20"/>
                <w:szCs w:val="20"/>
                <w:lang w:eastAsia="en-AU"/>
              </w:rPr>
              <w:t>(accumulated</w:t>
            </w:r>
            <w:r w:rsidR="007A1DF5">
              <w:br/>
            </w:r>
            <w:r w:rsidR="007A1DF5" w:rsidRPr="7F1A92DC">
              <w:rPr>
                <w:rFonts w:eastAsia="Times New Roman" w:cs="Arial"/>
                <w:b/>
                <w:color w:val="000000" w:themeColor="text1"/>
                <w:sz w:val="20"/>
                <w:szCs w:val="20"/>
                <w:lang w:eastAsia="en-AU"/>
              </w:rPr>
              <w:t>losses)</w:t>
            </w:r>
          </w:p>
        </w:tc>
        <w:tc>
          <w:tcPr>
            <w:tcW w:w="713" w:type="pct"/>
            <w:tcBorders>
              <w:top w:val="nil"/>
              <w:left w:val="nil"/>
              <w:bottom w:val="nil"/>
              <w:right w:val="nil"/>
            </w:tcBorders>
            <w:noWrap/>
            <w:vAlign w:val="bottom"/>
            <w:hideMark/>
          </w:tcPr>
          <w:p w14:paraId="470EDB38"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Total</w:t>
            </w:r>
          </w:p>
        </w:tc>
      </w:tr>
      <w:tr w:rsidR="00886B3E" w:rsidRPr="003D7E2B" w14:paraId="1CB65F0D" w14:textId="77777777" w:rsidTr="49BCD735">
        <w:tc>
          <w:tcPr>
            <w:tcW w:w="1994" w:type="pct"/>
            <w:tcBorders>
              <w:top w:val="nil"/>
              <w:left w:val="nil"/>
              <w:bottom w:val="nil"/>
              <w:right w:val="nil"/>
            </w:tcBorders>
            <w:vAlign w:val="bottom"/>
            <w:hideMark/>
          </w:tcPr>
          <w:p w14:paraId="402A57D1" w14:textId="77777777" w:rsidR="003D7E2B" w:rsidRPr="008F1B1D" w:rsidRDefault="003D7E2B" w:rsidP="00D90CA7">
            <w:pPr>
              <w:spacing w:after="0" w:line="240" w:lineRule="auto"/>
              <w:rPr>
                <w:rFonts w:eastAsia="Times New Roman" w:cs="Arial"/>
                <w:b/>
                <w:color w:val="000000"/>
                <w:sz w:val="20"/>
                <w:szCs w:val="20"/>
                <w:lang w:eastAsia="en-AU"/>
              </w:rPr>
            </w:pPr>
          </w:p>
        </w:tc>
        <w:tc>
          <w:tcPr>
            <w:tcW w:w="713" w:type="pct"/>
            <w:tcBorders>
              <w:top w:val="nil"/>
              <w:left w:val="nil"/>
              <w:bottom w:val="nil"/>
              <w:right w:val="nil"/>
            </w:tcBorders>
            <w:noWrap/>
            <w:vAlign w:val="bottom"/>
            <w:hideMark/>
          </w:tcPr>
          <w:p w14:paraId="3377BB87"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853" w:type="pct"/>
            <w:tcBorders>
              <w:top w:val="nil"/>
              <w:left w:val="nil"/>
              <w:bottom w:val="nil"/>
              <w:right w:val="nil"/>
            </w:tcBorders>
            <w:noWrap/>
            <w:vAlign w:val="bottom"/>
            <w:hideMark/>
          </w:tcPr>
          <w:p w14:paraId="1361F247"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727" w:type="pct"/>
            <w:tcBorders>
              <w:top w:val="nil"/>
              <w:left w:val="nil"/>
              <w:bottom w:val="nil"/>
              <w:right w:val="nil"/>
            </w:tcBorders>
            <w:noWrap/>
            <w:vAlign w:val="bottom"/>
            <w:hideMark/>
          </w:tcPr>
          <w:p w14:paraId="2F98452B"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713" w:type="pct"/>
            <w:tcBorders>
              <w:top w:val="nil"/>
              <w:left w:val="nil"/>
              <w:bottom w:val="nil"/>
              <w:right w:val="nil"/>
            </w:tcBorders>
            <w:noWrap/>
            <w:vAlign w:val="bottom"/>
            <w:hideMark/>
          </w:tcPr>
          <w:p w14:paraId="7FA23F02" w14:textId="77777777" w:rsidR="003D7E2B" w:rsidRPr="008F1B1D" w:rsidRDefault="003D7E2B" w:rsidP="005B3C40">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r>
      <w:tr w:rsidR="00886B3E" w:rsidRPr="003D7E2B" w14:paraId="4EC98CFD" w14:textId="77777777" w:rsidTr="49BCD735">
        <w:tc>
          <w:tcPr>
            <w:tcW w:w="1994" w:type="pct"/>
            <w:tcBorders>
              <w:top w:val="nil"/>
              <w:left w:val="nil"/>
              <w:bottom w:val="nil"/>
              <w:right w:val="nil"/>
            </w:tcBorders>
            <w:noWrap/>
            <w:vAlign w:val="bottom"/>
            <w:hideMark/>
          </w:tcPr>
          <w:p w14:paraId="6A83B490" w14:textId="77777777" w:rsidR="003D7E2B" w:rsidRPr="008F1B1D" w:rsidRDefault="003D7E2B" w:rsidP="00D90CA7">
            <w:pPr>
              <w:spacing w:after="0" w:line="240" w:lineRule="auto"/>
              <w:rPr>
                <w:rFonts w:eastAsia="Times New Roman" w:cs="Arial"/>
                <w:b/>
                <w:color w:val="000000"/>
                <w:sz w:val="20"/>
                <w:szCs w:val="20"/>
                <w:lang w:eastAsia="en-AU"/>
              </w:rPr>
            </w:pPr>
          </w:p>
        </w:tc>
        <w:tc>
          <w:tcPr>
            <w:tcW w:w="713" w:type="pct"/>
            <w:tcBorders>
              <w:top w:val="nil"/>
              <w:left w:val="nil"/>
              <w:bottom w:val="nil"/>
              <w:right w:val="nil"/>
            </w:tcBorders>
            <w:noWrap/>
            <w:vAlign w:val="bottom"/>
            <w:hideMark/>
          </w:tcPr>
          <w:p w14:paraId="59B2FA16" w14:textId="77777777" w:rsidR="003D7E2B" w:rsidRPr="008F1B1D" w:rsidRDefault="003D7E2B" w:rsidP="005B3C40">
            <w:pPr>
              <w:tabs>
                <w:tab w:val="decimal" w:pos="1048"/>
              </w:tabs>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hideMark/>
          </w:tcPr>
          <w:p w14:paraId="42310EE9" w14:textId="77777777" w:rsidR="003D7E2B" w:rsidRPr="008F1B1D" w:rsidRDefault="003D7E2B" w:rsidP="005B3C40">
            <w:pPr>
              <w:tabs>
                <w:tab w:val="decimal" w:pos="1048"/>
              </w:tabs>
              <w:spacing w:after="0" w:line="240" w:lineRule="auto"/>
              <w:rPr>
                <w:rFonts w:eastAsia="Times New Roman" w:cs="Arial"/>
                <w:sz w:val="20"/>
                <w:szCs w:val="20"/>
                <w:lang w:eastAsia="en-AU"/>
              </w:rPr>
            </w:pPr>
          </w:p>
        </w:tc>
        <w:tc>
          <w:tcPr>
            <w:tcW w:w="727" w:type="pct"/>
            <w:tcBorders>
              <w:top w:val="nil"/>
              <w:left w:val="nil"/>
              <w:bottom w:val="nil"/>
              <w:right w:val="nil"/>
            </w:tcBorders>
            <w:noWrap/>
            <w:vAlign w:val="bottom"/>
            <w:hideMark/>
          </w:tcPr>
          <w:p w14:paraId="6F15D037" w14:textId="77777777" w:rsidR="003D7E2B" w:rsidRPr="008F1B1D" w:rsidRDefault="003D7E2B" w:rsidP="005B3C40">
            <w:pPr>
              <w:tabs>
                <w:tab w:val="decimal" w:pos="1048"/>
              </w:tabs>
              <w:spacing w:after="0" w:line="240" w:lineRule="auto"/>
              <w:rPr>
                <w:rFonts w:eastAsia="Times New Roman" w:cs="Arial"/>
                <w:sz w:val="20"/>
                <w:szCs w:val="20"/>
                <w:lang w:eastAsia="en-AU"/>
              </w:rPr>
            </w:pPr>
          </w:p>
        </w:tc>
        <w:tc>
          <w:tcPr>
            <w:tcW w:w="713" w:type="pct"/>
            <w:tcBorders>
              <w:top w:val="nil"/>
              <w:left w:val="nil"/>
              <w:bottom w:val="nil"/>
              <w:right w:val="nil"/>
            </w:tcBorders>
            <w:noWrap/>
            <w:vAlign w:val="bottom"/>
            <w:hideMark/>
          </w:tcPr>
          <w:p w14:paraId="32E1CA70" w14:textId="77777777" w:rsidR="003D7E2B" w:rsidRPr="008F1B1D" w:rsidRDefault="003D7E2B" w:rsidP="005B3C40">
            <w:pPr>
              <w:tabs>
                <w:tab w:val="decimal" w:pos="1048"/>
              </w:tabs>
              <w:spacing w:after="0" w:line="240" w:lineRule="auto"/>
              <w:rPr>
                <w:rFonts w:eastAsia="Times New Roman" w:cs="Arial"/>
                <w:sz w:val="20"/>
                <w:szCs w:val="20"/>
                <w:lang w:eastAsia="en-AU"/>
              </w:rPr>
            </w:pPr>
          </w:p>
        </w:tc>
      </w:tr>
      <w:tr w:rsidR="00886B3E" w:rsidRPr="003D7E2B" w14:paraId="676B90EB" w14:textId="77777777" w:rsidTr="49BCD735">
        <w:tc>
          <w:tcPr>
            <w:tcW w:w="1994" w:type="pct"/>
            <w:tcBorders>
              <w:top w:val="nil"/>
              <w:left w:val="nil"/>
              <w:bottom w:val="nil"/>
              <w:right w:val="nil"/>
            </w:tcBorders>
            <w:noWrap/>
            <w:vAlign w:val="bottom"/>
            <w:hideMark/>
          </w:tcPr>
          <w:p w14:paraId="34AB541D" w14:textId="13BC0BB9" w:rsidR="003D7E2B" w:rsidRPr="008F1B1D" w:rsidRDefault="00196EAE" w:rsidP="003D7E2B">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w:t>
            </w:r>
            <w:r w:rsidR="003D7E2B" w:rsidRPr="008F1B1D">
              <w:rPr>
                <w:rFonts w:eastAsia="Times New Roman" w:cs="Arial"/>
                <w:b/>
                <w:color w:val="000000"/>
                <w:sz w:val="20"/>
                <w:szCs w:val="20"/>
                <w:lang w:eastAsia="en-AU"/>
              </w:rPr>
              <w:t xml:space="preserve"> at 25 October 2023</w:t>
            </w:r>
          </w:p>
        </w:tc>
        <w:tc>
          <w:tcPr>
            <w:tcW w:w="713" w:type="pct"/>
            <w:tcBorders>
              <w:top w:val="nil"/>
              <w:left w:val="nil"/>
              <w:bottom w:val="nil"/>
              <w:right w:val="nil"/>
            </w:tcBorders>
            <w:noWrap/>
            <w:vAlign w:val="bottom"/>
            <w:hideMark/>
          </w:tcPr>
          <w:p w14:paraId="2BC6BA46" w14:textId="23C7185A" w:rsidR="003D7E2B" w:rsidRPr="008F1B1D" w:rsidRDefault="003D7E2B" w:rsidP="005B3C40">
            <w:pPr>
              <w:tabs>
                <w:tab w:val="decimal" w:pos="1048"/>
              </w:tabs>
              <w:spacing w:after="0" w:line="240" w:lineRule="auto"/>
              <w:rPr>
                <w:rFonts w:eastAsia="Times New Roman" w:cs="Arial"/>
                <w:b/>
                <w:color w:val="000000"/>
                <w:sz w:val="20"/>
                <w:szCs w:val="20"/>
                <w:lang w:eastAsia="en-AU"/>
              </w:rPr>
            </w:pPr>
            <w:r w:rsidRPr="008F1B1D">
              <w:rPr>
                <w:rFonts w:eastAsia="Times New Roman" w:cs="Arial"/>
                <w:b/>
                <w:bCs/>
                <w:color w:val="000000"/>
                <w:sz w:val="20"/>
                <w:szCs w:val="20"/>
                <w:lang w:eastAsia="en-AU"/>
              </w:rPr>
              <w:t>-</w:t>
            </w:r>
          </w:p>
        </w:tc>
        <w:tc>
          <w:tcPr>
            <w:tcW w:w="853" w:type="pct"/>
            <w:tcBorders>
              <w:top w:val="nil"/>
              <w:left w:val="nil"/>
              <w:bottom w:val="nil"/>
              <w:right w:val="nil"/>
            </w:tcBorders>
            <w:noWrap/>
            <w:vAlign w:val="bottom"/>
            <w:hideMark/>
          </w:tcPr>
          <w:p w14:paraId="01E4CBD3" w14:textId="3950E595" w:rsidR="003D7E2B" w:rsidRPr="008F1B1D" w:rsidRDefault="003D7E2B" w:rsidP="005B3C40">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27" w:type="pct"/>
            <w:tcBorders>
              <w:top w:val="nil"/>
              <w:left w:val="nil"/>
              <w:bottom w:val="nil"/>
              <w:right w:val="nil"/>
            </w:tcBorders>
            <w:noWrap/>
            <w:vAlign w:val="bottom"/>
            <w:hideMark/>
          </w:tcPr>
          <w:p w14:paraId="416C2090" w14:textId="052E9886" w:rsidR="003D7E2B" w:rsidRPr="008F1B1D" w:rsidRDefault="00674C76" w:rsidP="005B3C40">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13" w:type="pct"/>
            <w:tcBorders>
              <w:top w:val="nil"/>
              <w:left w:val="nil"/>
              <w:bottom w:val="nil"/>
              <w:right w:val="nil"/>
            </w:tcBorders>
            <w:noWrap/>
            <w:vAlign w:val="bottom"/>
            <w:hideMark/>
          </w:tcPr>
          <w:p w14:paraId="6C2A1605" w14:textId="490675A9" w:rsidR="003D7E2B" w:rsidRPr="008F1B1D" w:rsidRDefault="003D7E2B" w:rsidP="005B3C40">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w:t>
            </w:r>
          </w:p>
        </w:tc>
      </w:tr>
      <w:tr w:rsidR="00886B3E" w:rsidRPr="003D7E2B" w14:paraId="6AA7701B" w14:textId="77777777" w:rsidTr="49BCD735">
        <w:tc>
          <w:tcPr>
            <w:tcW w:w="1994" w:type="pct"/>
            <w:tcBorders>
              <w:top w:val="nil"/>
              <w:left w:val="nil"/>
              <w:bottom w:val="nil"/>
              <w:right w:val="nil"/>
            </w:tcBorders>
            <w:noWrap/>
            <w:vAlign w:val="bottom"/>
            <w:hideMark/>
          </w:tcPr>
          <w:p w14:paraId="5FB95B76" w14:textId="23D856F1" w:rsidR="003D7E2B" w:rsidRPr="008F1B1D" w:rsidRDefault="003D7E2B" w:rsidP="003D7E2B">
            <w:pPr>
              <w:spacing w:after="0" w:line="240" w:lineRule="auto"/>
              <w:rPr>
                <w:rFonts w:eastAsia="Times New Roman" w:cs="Arial"/>
                <w:color w:val="000000"/>
                <w:sz w:val="20"/>
                <w:szCs w:val="20"/>
                <w:lang w:eastAsia="en-AU"/>
              </w:rPr>
            </w:pPr>
            <w:r w:rsidRPr="7F1A92DC">
              <w:rPr>
                <w:rFonts w:eastAsia="Times New Roman" w:cs="Arial"/>
                <w:color w:val="000000" w:themeColor="text1"/>
                <w:sz w:val="20"/>
                <w:szCs w:val="20"/>
                <w:lang w:eastAsia="en-AU"/>
              </w:rPr>
              <w:t>Profit for the period</w:t>
            </w:r>
          </w:p>
        </w:tc>
        <w:tc>
          <w:tcPr>
            <w:tcW w:w="713" w:type="pct"/>
            <w:tcBorders>
              <w:top w:val="nil"/>
              <w:left w:val="nil"/>
              <w:bottom w:val="nil"/>
              <w:right w:val="nil"/>
            </w:tcBorders>
            <w:noWrap/>
            <w:vAlign w:val="bottom"/>
            <w:hideMark/>
          </w:tcPr>
          <w:p w14:paraId="64F69BD3" w14:textId="221521BD" w:rsidR="003D7E2B" w:rsidRPr="008F1B1D" w:rsidRDefault="003D7E2B" w:rsidP="005B3C40">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nil"/>
              <w:right w:val="nil"/>
            </w:tcBorders>
            <w:noWrap/>
            <w:vAlign w:val="bottom"/>
            <w:hideMark/>
          </w:tcPr>
          <w:p w14:paraId="63C4E550" w14:textId="40B25FFF" w:rsidR="003D7E2B" w:rsidRPr="008F1B1D" w:rsidRDefault="003D7E2B" w:rsidP="005B3C40">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27" w:type="pct"/>
            <w:tcBorders>
              <w:top w:val="nil"/>
              <w:left w:val="nil"/>
              <w:bottom w:val="nil"/>
              <w:right w:val="nil"/>
            </w:tcBorders>
            <w:noWrap/>
            <w:vAlign w:val="bottom"/>
            <w:hideMark/>
          </w:tcPr>
          <w:p w14:paraId="139E0AFA" w14:textId="06E8BB51" w:rsidR="003D7E2B" w:rsidRPr="008F1B1D" w:rsidRDefault="003D7E2B" w:rsidP="005B3C40">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 xml:space="preserve">5,828 </w:t>
            </w:r>
          </w:p>
        </w:tc>
        <w:tc>
          <w:tcPr>
            <w:tcW w:w="713" w:type="pct"/>
            <w:tcBorders>
              <w:top w:val="nil"/>
              <w:left w:val="nil"/>
              <w:bottom w:val="nil"/>
              <w:right w:val="nil"/>
            </w:tcBorders>
            <w:noWrap/>
            <w:vAlign w:val="bottom"/>
            <w:hideMark/>
          </w:tcPr>
          <w:p w14:paraId="3117D54A" w14:textId="65987332" w:rsidR="003D7E2B" w:rsidRPr="008F1B1D" w:rsidRDefault="003D7E2B" w:rsidP="005B3C40">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 xml:space="preserve">5,828 </w:t>
            </w:r>
          </w:p>
        </w:tc>
      </w:tr>
      <w:tr w:rsidR="00886B3E" w:rsidRPr="003D7E2B" w14:paraId="47006F4C" w14:textId="77777777" w:rsidTr="49BCD735">
        <w:tc>
          <w:tcPr>
            <w:tcW w:w="1994" w:type="pct"/>
            <w:tcBorders>
              <w:top w:val="nil"/>
              <w:left w:val="nil"/>
              <w:bottom w:val="nil"/>
              <w:right w:val="nil"/>
            </w:tcBorders>
            <w:vAlign w:val="bottom"/>
            <w:hideMark/>
          </w:tcPr>
          <w:p w14:paraId="0D0DB36E" w14:textId="48194FAD" w:rsidR="003D7E2B" w:rsidRPr="008F1B1D" w:rsidRDefault="003D7E2B" w:rsidP="003D7E2B">
            <w:pPr>
              <w:spacing w:after="0" w:line="240" w:lineRule="auto"/>
              <w:rPr>
                <w:rFonts w:eastAsia="Times New Roman" w:cs="Arial"/>
                <w:color w:val="000000"/>
                <w:sz w:val="20"/>
                <w:szCs w:val="20"/>
                <w:lang w:eastAsia="en-AU"/>
              </w:rPr>
            </w:pPr>
            <w:r w:rsidRPr="7F1A92DC">
              <w:rPr>
                <w:rFonts w:eastAsia="Times New Roman" w:cs="Arial"/>
                <w:color w:val="000000" w:themeColor="text1"/>
                <w:sz w:val="20"/>
                <w:szCs w:val="20"/>
                <w:lang w:eastAsia="en-AU"/>
              </w:rPr>
              <w:t xml:space="preserve">Other comprehensive loss for the </w:t>
            </w:r>
            <w:r w:rsidR="00192691" w:rsidRPr="7F1A92DC">
              <w:rPr>
                <w:rFonts w:eastAsia="Times New Roman" w:cs="Arial"/>
                <w:color w:val="000000" w:themeColor="text1"/>
                <w:sz w:val="20"/>
                <w:szCs w:val="20"/>
                <w:lang w:eastAsia="en-AU"/>
              </w:rPr>
              <w:t>period</w:t>
            </w:r>
            <w:r w:rsidRPr="7F1A92DC">
              <w:rPr>
                <w:rFonts w:eastAsia="Times New Roman" w:cs="Arial"/>
                <w:color w:val="000000" w:themeColor="text1"/>
                <w:sz w:val="20"/>
                <w:szCs w:val="20"/>
                <w:lang w:eastAsia="en-AU"/>
              </w:rPr>
              <w:t>, net of income tax</w:t>
            </w:r>
          </w:p>
        </w:tc>
        <w:tc>
          <w:tcPr>
            <w:tcW w:w="713" w:type="pct"/>
            <w:tcBorders>
              <w:top w:val="nil"/>
              <w:left w:val="nil"/>
              <w:bottom w:val="nil"/>
              <w:right w:val="nil"/>
            </w:tcBorders>
            <w:noWrap/>
            <w:vAlign w:val="bottom"/>
            <w:hideMark/>
          </w:tcPr>
          <w:p w14:paraId="61A9317D" w14:textId="0B4016A8" w:rsidR="003D7E2B" w:rsidRPr="008F1B1D" w:rsidRDefault="003D7E2B" w:rsidP="005B3C40">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nil"/>
              <w:right w:val="nil"/>
            </w:tcBorders>
            <w:noWrap/>
            <w:vAlign w:val="bottom"/>
            <w:hideMark/>
          </w:tcPr>
          <w:p w14:paraId="32DC80E5" w14:textId="77777777" w:rsidR="003D7E2B" w:rsidRPr="008F1B1D" w:rsidRDefault="003D7E2B" w:rsidP="005B3C40">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(2,773)</w:t>
            </w:r>
          </w:p>
        </w:tc>
        <w:tc>
          <w:tcPr>
            <w:tcW w:w="727" w:type="pct"/>
            <w:tcBorders>
              <w:top w:val="nil"/>
              <w:left w:val="nil"/>
              <w:bottom w:val="nil"/>
              <w:right w:val="nil"/>
            </w:tcBorders>
            <w:noWrap/>
            <w:vAlign w:val="bottom"/>
            <w:hideMark/>
          </w:tcPr>
          <w:p w14:paraId="5049AE07" w14:textId="04847090" w:rsidR="003D7E2B" w:rsidRPr="008F1B1D" w:rsidRDefault="00674C76" w:rsidP="005B3C40">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3" w:type="pct"/>
            <w:tcBorders>
              <w:top w:val="nil"/>
              <w:left w:val="nil"/>
              <w:bottom w:val="nil"/>
              <w:right w:val="nil"/>
            </w:tcBorders>
            <w:noWrap/>
            <w:vAlign w:val="bottom"/>
            <w:hideMark/>
          </w:tcPr>
          <w:p w14:paraId="35A61E68" w14:textId="77777777" w:rsidR="003D7E2B" w:rsidRPr="008F1B1D" w:rsidRDefault="003D7E2B" w:rsidP="005B3C40">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r>
      <w:tr w:rsidR="00412099" w:rsidRPr="008F1B1D" w14:paraId="01005264" w14:textId="77777777" w:rsidTr="49BCD735">
        <w:tc>
          <w:tcPr>
            <w:tcW w:w="1994" w:type="pct"/>
            <w:tcBorders>
              <w:top w:val="nil"/>
              <w:left w:val="nil"/>
              <w:bottom w:val="nil"/>
              <w:right w:val="nil"/>
            </w:tcBorders>
            <w:vAlign w:val="bottom"/>
          </w:tcPr>
          <w:p w14:paraId="686D072D" w14:textId="583DBA33" w:rsidR="00412099" w:rsidRPr="00D15AF6" w:rsidRDefault="00412099" w:rsidP="003D7E2B">
            <w:pPr>
              <w:spacing w:after="0" w:line="240" w:lineRule="auto"/>
              <w:rPr>
                <w:rFonts w:eastAsia="Times New Roman" w:cs="Arial"/>
                <w:b/>
                <w:color w:val="000000"/>
                <w:sz w:val="20"/>
                <w:szCs w:val="20"/>
                <w:lang w:eastAsia="en-AU"/>
              </w:rPr>
            </w:pPr>
            <w:r w:rsidRPr="7F1A92DC">
              <w:rPr>
                <w:rFonts w:eastAsia="Times New Roman" w:cs="Arial"/>
                <w:b/>
                <w:color w:val="000000" w:themeColor="text1"/>
                <w:sz w:val="20"/>
                <w:szCs w:val="20"/>
                <w:lang w:eastAsia="en-AU"/>
              </w:rPr>
              <w:t>Total comprehensive</w:t>
            </w:r>
            <w:r w:rsidR="00F03927" w:rsidRPr="7F1A92DC">
              <w:rPr>
                <w:rFonts w:eastAsia="Times New Roman" w:cs="Arial"/>
                <w:b/>
                <w:color w:val="000000" w:themeColor="text1"/>
                <w:sz w:val="20"/>
                <w:szCs w:val="20"/>
                <w:lang w:eastAsia="en-AU"/>
              </w:rPr>
              <w:t xml:space="preserve"> (loss)/</w:t>
            </w:r>
            <w:r w:rsidRPr="7F1A92DC">
              <w:rPr>
                <w:rFonts w:eastAsia="Times New Roman" w:cs="Arial"/>
                <w:b/>
                <w:color w:val="000000" w:themeColor="text1"/>
                <w:sz w:val="20"/>
                <w:szCs w:val="20"/>
                <w:lang w:eastAsia="en-AU"/>
              </w:rPr>
              <w:t>income</w:t>
            </w:r>
          </w:p>
        </w:tc>
        <w:tc>
          <w:tcPr>
            <w:tcW w:w="713" w:type="pct"/>
            <w:tcBorders>
              <w:top w:val="nil"/>
              <w:left w:val="nil"/>
              <w:bottom w:val="nil"/>
              <w:right w:val="nil"/>
            </w:tcBorders>
            <w:noWrap/>
            <w:vAlign w:val="bottom"/>
          </w:tcPr>
          <w:p w14:paraId="39B9425C" w14:textId="606409F7" w:rsidR="00412099" w:rsidRPr="00D15AF6" w:rsidRDefault="00412099" w:rsidP="005B3C40">
            <w:pPr>
              <w:tabs>
                <w:tab w:val="decimal" w:pos="1048"/>
              </w:tabs>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w:t>
            </w:r>
          </w:p>
        </w:tc>
        <w:tc>
          <w:tcPr>
            <w:tcW w:w="853" w:type="pct"/>
            <w:tcBorders>
              <w:top w:val="nil"/>
              <w:left w:val="nil"/>
              <w:bottom w:val="nil"/>
              <w:right w:val="nil"/>
            </w:tcBorders>
            <w:noWrap/>
            <w:vAlign w:val="bottom"/>
          </w:tcPr>
          <w:p w14:paraId="13338450" w14:textId="29531AF6" w:rsidR="00412099" w:rsidRPr="00D15AF6" w:rsidRDefault="00412099" w:rsidP="005B3C40">
            <w:pPr>
              <w:tabs>
                <w:tab w:val="decimal" w:pos="1048"/>
              </w:tabs>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(2,773)</w:t>
            </w:r>
          </w:p>
        </w:tc>
        <w:tc>
          <w:tcPr>
            <w:tcW w:w="727" w:type="pct"/>
            <w:tcBorders>
              <w:top w:val="nil"/>
              <w:left w:val="nil"/>
              <w:bottom w:val="nil"/>
              <w:right w:val="nil"/>
            </w:tcBorders>
            <w:noWrap/>
            <w:vAlign w:val="bottom"/>
          </w:tcPr>
          <w:p w14:paraId="3A67B014" w14:textId="74C75503" w:rsidR="00412099" w:rsidRPr="00D15AF6" w:rsidRDefault="00412099" w:rsidP="005B3C40">
            <w:pPr>
              <w:tabs>
                <w:tab w:val="decimal" w:pos="1048"/>
              </w:tabs>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5,828</w:t>
            </w:r>
          </w:p>
        </w:tc>
        <w:tc>
          <w:tcPr>
            <w:tcW w:w="713" w:type="pct"/>
            <w:tcBorders>
              <w:top w:val="nil"/>
              <w:left w:val="nil"/>
              <w:bottom w:val="nil"/>
              <w:right w:val="nil"/>
            </w:tcBorders>
            <w:noWrap/>
            <w:vAlign w:val="bottom"/>
          </w:tcPr>
          <w:p w14:paraId="36DABFE4" w14:textId="3BC57BEF" w:rsidR="00412099" w:rsidRPr="00FA41CC" w:rsidRDefault="00FF42EE" w:rsidP="005B3C40">
            <w:pPr>
              <w:tabs>
                <w:tab w:val="decimal" w:pos="1048"/>
              </w:tabs>
              <w:spacing w:after="0" w:line="240" w:lineRule="auto"/>
              <w:rPr>
                <w:rFonts w:eastAsia="Times New Roman" w:cs="Arial"/>
                <w:b/>
                <w:bCs/>
                <w:color w:val="000000"/>
                <w:sz w:val="20"/>
                <w:szCs w:val="20"/>
                <w:lang w:eastAsia="en-AU"/>
              </w:rPr>
            </w:pPr>
            <w:r w:rsidRPr="00FA41CC">
              <w:rPr>
                <w:rFonts w:eastAsia="Times New Roman" w:cs="Arial"/>
                <w:b/>
                <w:bCs/>
                <w:color w:val="000000"/>
                <w:sz w:val="20"/>
                <w:szCs w:val="20"/>
                <w:lang w:eastAsia="en-AU"/>
              </w:rPr>
              <w:t>3,055</w:t>
            </w:r>
          </w:p>
        </w:tc>
      </w:tr>
      <w:tr w:rsidR="00FF42EE" w:rsidRPr="008F1B1D" w14:paraId="12312022" w14:textId="77777777" w:rsidTr="49BCD735">
        <w:tc>
          <w:tcPr>
            <w:tcW w:w="1994" w:type="pct"/>
            <w:tcBorders>
              <w:top w:val="nil"/>
              <w:left w:val="nil"/>
              <w:bottom w:val="nil"/>
              <w:right w:val="nil"/>
            </w:tcBorders>
            <w:vAlign w:val="bottom"/>
          </w:tcPr>
          <w:p w14:paraId="0A4F1E05" w14:textId="6CD27913" w:rsidR="00FF42EE" w:rsidRPr="0080075C" w:rsidRDefault="00FF42EE" w:rsidP="003D7E2B">
            <w:pPr>
              <w:spacing w:after="0" w:line="240" w:lineRule="auto"/>
              <w:rPr>
                <w:rFonts w:eastAsia="Times New Roman" w:cs="Arial"/>
                <w:i/>
                <w:iCs/>
                <w:color w:val="000000"/>
                <w:sz w:val="20"/>
                <w:szCs w:val="20"/>
                <w:lang w:eastAsia="en-AU"/>
              </w:rPr>
            </w:pPr>
            <w:r w:rsidRPr="0080075C">
              <w:rPr>
                <w:rFonts w:eastAsia="Times New Roman" w:cs="Arial"/>
                <w:i/>
                <w:iCs/>
                <w:color w:val="000000"/>
                <w:sz w:val="20"/>
                <w:szCs w:val="20"/>
                <w:lang w:eastAsia="en-AU"/>
              </w:rPr>
              <w:t>Transactions with owners:</w:t>
            </w:r>
          </w:p>
        </w:tc>
        <w:tc>
          <w:tcPr>
            <w:tcW w:w="713" w:type="pct"/>
            <w:tcBorders>
              <w:top w:val="nil"/>
              <w:left w:val="nil"/>
              <w:right w:val="nil"/>
            </w:tcBorders>
            <w:noWrap/>
            <w:vAlign w:val="bottom"/>
          </w:tcPr>
          <w:p w14:paraId="183F4A4F" w14:textId="77777777" w:rsidR="00FF42EE" w:rsidRDefault="00FF42EE" w:rsidP="005B3C40">
            <w:pPr>
              <w:tabs>
                <w:tab w:val="decimal" w:pos="1048"/>
              </w:tabs>
              <w:spacing w:after="0" w:line="240" w:lineRule="auto"/>
              <w:rPr>
                <w:rFonts w:eastAsia="Times New Roman" w:cs="Arial"/>
                <w:color w:val="000000"/>
                <w:sz w:val="20"/>
                <w:szCs w:val="20"/>
                <w:lang w:eastAsia="en-AU"/>
              </w:rPr>
            </w:pPr>
          </w:p>
        </w:tc>
        <w:tc>
          <w:tcPr>
            <w:tcW w:w="853" w:type="pct"/>
            <w:tcBorders>
              <w:top w:val="nil"/>
              <w:left w:val="nil"/>
              <w:right w:val="nil"/>
            </w:tcBorders>
            <w:noWrap/>
            <w:vAlign w:val="bottom"/>
          </w:tcPr>
          <w:p w14:paraId="4F127DC8" w14:textId="77777777" w:rsidR="00FF42EE" w:rsidRDefault="00FF42EE" w:rsidP="005B3C40">
            <w:pPr>
              <w:tabs>
                <w:tab w:val="decimal" w:pos="1048"/>
              </w:tabs>
              <w:spacing w:after="0" w:line="240" w:lineRule="auto"/>
              <w:rPr>
                <w:rFonts w:eastAsia="Times New Roman" w:cs="Arial"/>
                <w:color w:val="000000"/>
                <w:sz w:val="20"/>
                <w:szCs w:val="20"/>
                <w:lang w:eastAsia="en-AU"/>
              </w:rPr>
            </w:pPr>
          </w:p>
        </w:tc>
        <w:tc>
          <w:tcPr>
            <w:tcW w:w="727" w:type="pct"/>
            <w:tcBorders>
              <w:top w:val="nil"/>
              <w:left w:val="nil"/>
              <w:right w:val="nil"/>
            </w:tcBorders>
            <w:noWrap/>
            <w:vAlign w:val="bottom"/>
          </w:tcPr>
          <w:p w14:paraId="13704DA2" w14:textId="77777777" w:rsidR="00FF42EE" w:rsidRDefault="00FF42EE" w:rsidP="005B3C40">
            <w:pPr>
              <w:tabs>
                <w:tab w:val="decimal" w:pos="1048"/>
              </w:tabs>
              <w:spacing w:after="0" w:line="240" w:lineRule="auto"/>
              <w:rPr>
                <w:rFonts w:eastAsia="Times New Roman" w:cs="Arial"/>
                <w:color w:val="000000"/>
                <w:sz w:val="20"/>
                <w:szCs w:val="20"/>
                <w:lang w:eastAsia="en-AU"/>
              </w:rPr>
            </w:pPr>
          </w:p>
        </w:tc>
        <w:tc>
          <w:tcPr>
            <w:tcW w:w="713" w:type="pct"/>
            <w:tcBorders>
              <w:top w:val="nil"/>
              <w:left w:val="nil"/>
              <w:right w:val="nil"/>
            </w:tcBorders>
            <w:noWrap/>
            <w:vAlign w:val="bottom"/>
          </w:tcPr>
          <w:p w14:paraId="565EE983" w14:textId="77777777" w:rsidR="00FF42EE" w:rsidRDefault="00FF42EE" w:rsidP="005B3C40">
            <w:pPr>
              <w:tabs>
                <w:tab w:val="decimal" w:pos="1048"/>
              </w:tabs>
              <w:spacing w:after="0" w:line="240" w:lineRule="auto"/>
              <w:rPr>
                <w:rFonts w:eastAsia="Times New Roman" w:cs="Arial"/>
                <w:b/>
                <w:bCs/>
                <w:color w:val="000000"/>
                <w:sz w:val="20"/>
                <w:szCs w:val="20"/>
                <w:lang w:eastAsia="en-AU"/>
              </w:rPr>
            </w:pPr>
          </w:p>
        </w:tc>
      </w:tr>
      <w:tr w:rsidR="001C4A84" w:rsidRPr="003D7E2B" w14:paraId="7FC41B01" w14:textId="77777777" w:rsidTr="49BCD735">
        <w:tc>
          <w:tcPr>
            <w:tcW w:w="1994" w:type="pct"/>
            <w:tcBorders>
              <w:top w:val="nil"/>
              <w:left w:val="nil"/>
              <w:bottom w:val="nil"/>
              <w:right w:val="nil"/>
            </w:tcBorders>
            <w:noWrap/>
            <w:vAlign w:val="bottom"/>
            <w:hideMark/>
          </w:tcPr>
          <w:p w14:paraId="50C05ADE" w14:textId="77777777" w:rsidR="001C4A84" w:rsidRPr="008F1B1D" w:rsidRDefault="001C4A84" w:rsidP="001C4A84">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Contributed capital</w:t>
            </w:r>
          </w:p>
        </w:tc>
        <w:tc>
          <w:tcPr>
            <w:tcW w:w="713" w:type="pct"/>
            <w:tcBorders>
              <w:top w:val="nil"/>
              <w:left w:val="nil"/>
              <w:bottom w:val="single" w:sz="4" w:space="0" w:color="auto"/>
              <w:right w:val="nil"/>
            </w:tcBorders>
            <w:noWrap/>
            <w:vAlign w:val="bottom"/>
            <w:hideMark/>
          </w:tcPr>
          <w:p w14:paraId="7E6ACEFC" w14:textId="16DE7868"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336,000</w:t>
            </w:r>
          </w:p>
        </w:tc>
        <w:tc>
          <w:tcPr>
            <w:tcW w:w="853" w:type="pct"/>
            <w:tcBorders>
              <w:top w:val="nil"/>
              <w:left w:val="nil"/>
              <w:bottom w:val="single" w:sz="4" w:space="0" w:color="auto"/>
              <w:right w:val="nil"/>
            </w:tcBorders>
            <w:noWrap/>
            <w:vAlign w:val="bottom"/>
            <w:hideMark/>
          </w:tcPr>
          <w:p w14:paraId="62939FAB" w14:textId="0E878BD7"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27" w:type="pct"/>
            <w:tcBorders>
              <w:top w:val="nil"/>
              <w:left w:val="nil"/>
              <w:bottom w:val="single" w:sz="4" w:space="0" w:color="auto"/>
              <w:right w:val="nil"/>
            </w:tcBorders>
            <w:noWrap/>
            <w:vAlign w:val="bottom"/>
            <w:hideMark/>
          </w:tcPr>
          <w:p w14:paraId="5461425B" w14:textId="533E03C0"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3" w:type="pct"/>
            <w:tcBorders>
              <w:top w:val="nil"/>
              <w:left w:val="nil"/>
              <w:bottom w:val="single" w:sz="4" w:space="0" w:color="auto"/>
              <w:right w:val="nil"/>
            </w:tcBorders>
            <w:noWrap/>
            <w:vAlign w:val="bottom"/>
            <w:hideMark/>
          </w:tcPr>
          <w:p w14:paraId="323B71BB" w14:textId="5D5DC4EF" w:rsidR="001C4A84" w:rsidRPr="0010235E" w:rsidRDefault="001C4A84" w:rsidP="001C4A84">
            <w:pPr>
              <w:tabs>
                <w:tab w:val="decimal" w:pos="1048"/>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336,000</w:t>
            </w:r>
          </w:p>
        </w:tc>
      </w:tr>
      <w:tr w:rsidR="001C4A84" w:rsidRPr="003D7E2B" w14:paraId="2476EECA" w14:textId="77777777" w:rsidTr="49BCD735">
        <w:tc>
          <w:tcPr>
            <w:tcW w:w="1994" w:type="pct"/>
            <w:tcBorders>
              <w:top w:val="nil"/>
              <w:left w:val="nil"/>
              <w:bottom w:val="nil"/>
              <w:right w:val="nil"/>
            </w:tcBorders>
            <w:noWrap/>
            <w:vAlign w:val="bottom"/>
            <w:hideMark/>
          </w:tcPr>
          <w:p w14:paraId="27EC2B01" w14:textId="77777777" w:rsidR="001C4A84" w:rsidRPr="008F1B1D" w:rsidRDefault="001C4A84" w:rsidP="001C4A84">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2024</w:t>
            </w:r>
          </w:p>
        </w:tc>
        <w:tc>
          <w:tcPr>
            <w:tcW w:w="713" w:type="pct"/>
            <w:tcBorders>
              <w:top w:val="nil"/>
              <w:left w:val="nil"/>
              <w:bottom w:val="nil"/>
              <w:right w:val="nil"/>
            </w:tcBorders>
            <w:noWrap/>
            <w:vAlign w:val="bottom"/>
            <w:hideMark/>
          </w:tcPr>
          <w:p w14:paraId="2A3AA01A" w14:textId="4D4A0505"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336,000</w:t>
            </w:r>
          </w:p>
        </w:tc>
        <w:tc>
          <w:tcPr>
            <w:tcW w:w="853" w:type="pct"/>
            <w:tcBorders>
              <w:top w:val="nil"/>
              <w:left w:val="nil"/>
              <w:bottom w:val="nil"/>
              <w:right w:val="nil"/>
            </w:tcBorders>
            <w:noWrap/>
            <w:vAlign w:val="bottom"/>
            <w:hideMark/>
          </w:tcPr>
          <w:p w14:paraId="261CDE03" w14:textId="77777777"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c>
          <w:tcPr>
            <w:tcW w:w="727" w:type="pct"/>
            <w:tcBorders>
              <w:top w:val="nil"/>
              <w:left w:val="nil"/>
              <w:bottom w:val="nil"/>
              <w:right w:val="nil"/>
            </w:tcBorders>
            <w:noWrap/>
            <w:vAlign w:val="bottom"/>
            <w:hideMark/>
          </w:tcPr>
          <w:p w14:paraId="3C7DE764" w14:textId="2525D189"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 xml:space="preserve">5,828 </w:t>
            </w:r>
          </w:p>
        </w:tc>
        <w:tc>
          <w:tcPr>
            <w:tcW w:w="713" w:type="pct"/>
            <w:tcBorders>
              <w:top w:val="nil"/>
              <w:left w:val="nil"/>
              <w:bottom w:val="nil"/>
              <w:right w:val="nil"/>
            </w:tcBorders>
            <w:noWrap/>
            <w:vAlign w:val="bottom"/>
            <w:hideMark/>
          </w:tcPr>
          <w:p w14:paraId="4522BA0D" w14:textId="2DCF0357"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 xml:space="preserve">339,055 </w:t>
            </w:r>
          </w:p>
        </w:tc>
      </w:tr>
      <w:tr w:rsidR="001C4A84" w:rsidRPr="003D7E2B" w14:paraId="5E2D99FB" w14:textId="77777777" w:rsidTr="49BCD735">
        <w:tc>
          <w:tcPr>
            <w:tcW w:w="1994" w:type="pct"/>
            <w:tcBorders>
              <w:top w:val="nil"/>
              <w:left w:val="nil"/>
              <w:bottom w:val="nil"/>
              <w:right w:val="nil"/>
            </w:tcBorders>
            <w:noWrap/>
            <w:vAlign w:val="bottom"/>
            <w:hideMark/>
          </w:tcPr>
          <w:p w14:paraId="50AEAB06" w14:textId="532B8B01" w:rsidR="001C4A84" w:rsidRPr="00F65403" w:rsidRDefault="001C4A84" w:rsidP="001C4A84">
            <w:pPr>
              <w:spacing w:after="0" w:line="240" w:lineRule="auto"/>
              <w:rPr>
                <w:rFonts w:eastAsia="Times New Roman" w:cs="Arial"/>
                <w:b/>
                <w:color w:val="000000"/>
                <w:sz w:val="20"/>
                <w:szCs w:val="20"/>
                <w:highlight w:val="yellow"/>
                <w:lang w:eastAsia="en-AU"/>
              </w:rPr>
            </w:pPr>
          </w:p>
        </w:tc>
        <w:tc>
          <w:tcPr>
            <w:tcW w:w="713" w:type="pct"/>
            <w:tcBorders>
              <w:top w:val="nil"/>
              <w:left w:val="nil"/>
              <w:bottom w:val="nil"/>
              <w:right w:val="nil"/>
            </w:tcBorders>
            <w:noWrap/>
            <w:vAlign w:val="bottom"/>
            <w:hideMark/>
          </w:tcPr>
          <w:p w14:paraId="57E3D62D" w14:textId="77777777" w:rsidR="001C4A84" w:rsidRPr="008F1B1D" w:rsidRDefault="001C4A84" w:rsidP="001C4A84">
            <w:pPr>
              <w:tabs>
                <w:tab w:val="decimal" w:pos="1048"/>
              </w:tabs>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hideMark/>
          </w:tcPr>
          <w:p w14:paraId="5A9C63BF" w14:textId="77777777" w:rsidR="001C4A84" w:rsidRPr="008F1B1D" w:rsidRDefault="001C4A84" w:rsidP="001C4A84">
            <w:pPr>
              <w:tabs>
                <w:tab w:val="decimal" w:pos="1048"/>
              </w:tabs>
              <w:spacing w:after="0" w:line="240" w:lineRule="auto"/>
              <w:rPr>
                <w:rFonts w:eastAsia="Times New Roman" w:cs="Arial"/>
                <w:sz w:val="20"/>
                <w:szCs w:val="20"/>
                <w:lang w:eastAsia="en-AU"/>
              </w:rPr>
            </w:pPr>
          </w:p>
        </w:tc>
        <w:tc>
          <w:tcPr>
            <w:tcW w:w="727" w:type="pct"/>
            <w:tcBorders>
              <w:top w:val="nil"/>
              <w:left w:val="nil"/>
              <w:bottom w:val="nil"/>
              <w:right w:val="nil"/>
            </w:tcBorders>
            <w:noWrap/>
            <w:vAlign w:val="bottom"/>
            <w:hideMark/>
          </w:tcPr>
          <w:p w14:paraId="3CAB89B4" w14:textId="77777777" w:rsidR="001C4A84" w:rsidRPr="008F1B1D" w:rsidRDefault="001C4A84" w:rsidP="001C4A84">
            <w:pPr>
              <w:tabs>
                <w:tab w:val="decimal" w:pos="1048"/>
              </w:tabs>
              <w:spacing w:after="0" w:line="240" w:lineRule="auto"/>
              <w:rPr>
                <w:rFonts w:eastAsia="Times New Roman" w:cs="Arial"/>
                <w:sz w:val="20"/>
                <w:szCs w:val="20"/>
                <w:lang w:eastAsia="en-AU"/>
              </w:rPr>
            </w:pPr>
          </w:p>
        </w:tc>
        <w:tc>
          <w:tcPr>
            <w:tcW w:w="713" w:type="pct"/>
            <w:tcBorders>
              <w:top w:val="nil"/>
              <w:left w:val="nil"/>
              <w:bottom w:val="nil"/>
              <w:right w:val="nil"/>
            </w:tcBorders>
            <w:noWrap/>
            <w:vAlign w:val="bottom"/>
            <w:hideMark/>
          </w:tcPr>
          <w:p w14:paraId="1BCE86C6" w14:textId="77777777" w:rsidR="001C4A84" w:rsidRPr="008F1B1D" w:rsidRDefault="001C4A84" w:rsidP="001C4A84">
            <w:pPr>
              <w:tabs>
                <w:tab w:val="decimal" w:pos="1048"/>
              </w:tabs>
              <w:spacing w:after="0" w:line="240" w:lineRule="auto"/>
              <w:rPr>
                <w:rFonts w:eastAsia="Times New Roman" w:cs="Arial"/>
                <w:sz w:val="20"/>
                <w:szCs w:val="20"/>
                <w:lang w:eastAsia="en-AU"/>
              </w:rPr>
            </w:pPr>
          </w:p>
        </w:tc>
      </w:tr>
      <w:tr w:rsidR="001C4A84" w:rsidRPr="003D7E2B" w14:paraId="13C6B7FE" w14:textId="77777777" w:rsidTr="49BCD735">
        <w:tc>
          <w:tcPr>
            <w:tcW w:w="1994" w:type="pct"/>
            <w:tcBorders>
              <w:top w:val="nil"/>
              <w:left w:val="nil"/>
              <w:bottom w:val="nil"/>
              <w:right w:val="nil"/>
            </w:tcBorders>
            <w:noWrap/>
            <w:vAlign w:val="bottom"/>
            <w:hideMark/>
          </w:tcPr>
          <w:p w14:paraId="0E5C41AD" w14:textId="77777777" w:rsidR="001C4A84" w:rsidRPr="008F1B1D" w:rsidRDefault="001C4A84" w:rsidP="001C4A84">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1 July 2024</w:t>
            </w:r>
          </w:p>
        </w:tc>
        <w:tc>
          <w:tcPr>
            <w:tcW w:w="713" w:type="pct"/>
            <w:tcBorders>
              <w:top w:val="nil"/>
              <w:left w:val="nil"/>
              <w:bottom w:val="nil"/>
              <w:right w:val="nil"/>
            </w:tcBorders>
            <w:noWrap/>
            <w:vAlign w:val="bottom"/>
            <w:hideMark/>
          </w:tcPr>
          <w:p w14:paraId="04504D83" w14:textId="4B516F80"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336,000</w:t>
            </w:r>
          </w:p>
        </w:tc>
        <w:tc>
          <w:tcPr>
            <w:tcW w:w="853" w:type="pct"/>
            <w:tcBorders>
              <w:top w:val="nil"/>
              <w:left w:val="nil"/>
              <w:bottom w:val="nil"/>
              <w:right w:val="nil"/>
            </w:tcBorders>
            <w:noWrap/>
            <w:vAlign w:val="bottom"/>
            <w:hideMark/>
          </w:tcPr>
          <w:p w14:paraId="17BA4EE5" w14:textId="77777777"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c>
          <w:tcPr>
            <w:tcW w:w="727" w:type="pct"/>
            <w:tcBorders>
              <w:top w:val="nil"/>
              <w:left w:val="nil"/>
              <w:bottom w:val="nil"/>
              <w:right w:val="nil"/>
            </w:tcBorders>
            <w:noWrap/>
            <w:vAlign w:val="bottom"/>
            <w:hideMark/>
          </w:tcPr>
          <w:p w14:paraId="6171526C" w14:textId="0318F4CC"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 xml:space="preserve">5,828 </w:t>
            </w:r>
          </w:p>
        </w:tc>
        <w:tc>
          <w:tcPr>
            <w:tcW w:w="713" w:type="pct"/>
            <w:tcBorders>
              <w:top w:val="nil"/>
              <w:left w:val="nil"/>
              <w:bottom w:val="nil"/>
              <w:right w:val="nil"/>
            </w:tcBorders>
            <w:noWrap/>
            <w:vAlign w:val="bottom"/>
            <w:hideMark/>
          </w:tcPr>
          <w:p w14:paraId="5373F205" w14:textId="4C64EFEE"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 xml:space="preserve">339,055 </w:t>
            </w:r>
          </w:p>
        </w:tc>
      </w:tr>
      <w:tr w:rsidR="001C4A84" w:rsidRPr="003D7E2B" w14:paraId="7016D852" w14:textId="77777777" w:rsidTr="49BCD735">
        <w:tc>
          <w:tcPr>
            <w:tcW w:w="1994" w:type="pct"/>
            <w:tcBorders>
              <w:top w:val="nil"/>
              <w:left w:val="nil"/>
              <w:bottom w:val="nil"/>
              <w:right w:val="nil"/>
            </w:tcBorders>
            <w:noWrap/>
            <w:vAlign w:val="bottom"/>
            <w:hideMark/>
          </w:tcPr>
          <w:p w14:paraId="206022A3" w14:textId="6AAB8E6C" w:rsidR="001C4A84" w:rsidRPr="008F1B1D" w:rsidRDefault="00192691" w:rsidP="001C4A84">
            <w:pPr>
              <w:spacing w:after="0" w:line="240" w:lineRule="auto"/>
              <w:rPr>
                <w:rFonts w:eastAsia="Times New Roman" w:cs="Arial"/>
                <w:color w:val="000000"/>
                <w:sz w:val="20"/>
                <w:szCs w:val="20"/>
                <w:lang w:eastAsia="en-AU"/>
              </w:rPr>
            </w:pPr>
            <w:r w:rsidRPr="7F1A92DC">
              <w:rPr>
                <w:rFonts w:eastAsia="Times New Roman" w:cs="Arial"/>
                <w:color w:val="000000" w:themeColor="text1"/>
                <w:sz w:val="20"/>
                <w:szCs w:val="20"/>
                <w:lang w:eastAsia="en-AU"/>
              </w:rPr>
              <w:t>L</w:t>
            </w:r>
            <w:r w:rsidR="001C4A84" w:rsidRPr="7F1A92DC">
              <w:rPr>
                <w:rFonts w:eastAsia="Times New Roman" w:cs="Arial"/>
                <w:color w:val="000000" w:themeColor="text1"/>
                <w:sz w:val="20"/>
                <w:szCs w:val="20"/>
                <w:lang w:eastAsia="en-AU"/>
              </w:rPr>
              <w:t>oss for the year</w:t>
            </w:r>
          </w:p>
        </w:tc>
        <w:tc>
          <w:tcPr>
            <w:tcW w:w="713" w:type="pct"/>
            <w:tcBorders>
              <w:top w:val="nil"/>
              <w:left w:val="nil"/>
              <w:bottom w:val="nil"/>
              <w:right w:val="nil"/>
            </w:tcBorders>
            <w:noWrap/>
            <w:vAlign w:val="bottom"/>
            <w:hideMark/>
          </w:tcPr>
          <w:p w14:paraId="231D96B7" w14:textId="7E34321E"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nil"/>
              <w:right w:val="nil"/>
            </w:tcBorders>
            <w:noWrap/>
            <w:vAlign w:val="bottom"/>
            <w:hideMark/>
          </w:tcPr>
          <w:p w14:paraId="412BB99B" w14:textId="2650DBBC"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27" w:type="pct"/>
            <w:tcBorders>
              <w:top w:val="nil"/>
              <w:left w:val="nil"/>
              <w:bottom w:val="nil"/>
              <w:right w:val="nil"/>
            </w:tcBorders>
            <w:noWrap/>
            <w:vAlign w:val="bottom"/>
            <w:hideMark/>
          </w:tcPr>
          <w:p w14:paraId="457C41F4" w14:textId="540BA110"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w:t>
            </w:r>
            <w:r w:rsidR="00763346" w:rsidRPr="6FE1A15E">
              <w:rPr>
                <w:rFonts w:eastAsia="Times New Roman" w:cs="Arial"/>
                <w:color w:val="000000" w:themeColor="text1"/>
                <w:sz w:val="20"/>
                <w:szCs w:val="20"/>
                <w:lang w:eastAsia="en-AU"/>
              </w:rPr>
              <w:t>6,819</w:t>
            </w:r>
            <w:r w:rsidRPr="6FE1A15E">
              <w:rPr>
                <w:rFonts w:eastAsia="Times New Roman" w:cs="Arial"/>
                <w:color w:val="000000" w:themeColor="text1"/>
                <w:sz w:val="20"/>
                <w:szCs w:val="20"/>
                <w:lang w:eastAsia="en-AU"/>
              </w:rPr>
              <w:t>)</w:t>
            </w:r>
          </w:p>
        </w:tc>
        <w:tc>
          <w:tcPr>
            <w:tcW w:w="713" w:type="pct"/>
            <w:tcBorders>
              <w:top w:val="nil"/>
              <w:left w:val="nil"/>
              <w:bottom w:val="nil"/>
              <w:right w:val="nil"/>
            </w:tcBorders>
            <w:noWrap/>
            <w:vAlign w:val="bottom"/>
            <w:hideMark/>
          </w:tcPr>
          <w:p w14:paraId="4AFB14E4" w14:textId="4ACC209A"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6FE1A15E">
              <w:rPr>
                <w:rFonts w:eastAsia="Times New Roman" w:cs="Arial"/>
                <w:b/>
                <w:color w:val="000000" w:themeColor="text1"/>
                <w:sz w:val="20"/>
                <w:szCs w:val="20"/>
                <w:lang w:eastAsia="en-AU"/>
              </w:rPr>
              <w:t>(</w:t>
            </w:r>
            <w:r w:rsidR="00763346" w:rsidRPr="6FE1A15E">
              <w:rPr>
                <w:rFonts w:eastAsia="Times New Roman" w:cs="Arial"/>
                <w:b/>
                <w:bCs/>
                <w:color w:val="000000" w:themeColor="text1"/>
                <w:sz w:val="20"/>
                <w:szCs w:val="20"/>
                <w:lang w:eastAsia="en-AU"/>
              </w:rPr>
              <w:t>6</w:t>
            </w:r>
            <w:r w:rsidR="00763346" w:rsidRPr="6FE1A15E">
              <w:rPr>
                <w:rFonts w:eastAsia="Times New Roman" w:cs="Arial"/>
                <w:b/>
                <w:color w:val="000000" w:themeColor="text1"/>
                <w:sz w:val="20"/>
                <w:szCs w:val="20"/>
                <w:lang w:eastAsia="en-AU"/>
              </w:rPr>
              <w:t>,819</w:t>
            </w:r>
            <w:r w:rsidRPr="6FE1A15E">
              <w:rPr>
                <w:rFonts w:eastAsia="Times New Roman" w:cs="Arial"/>
                <w:b/>
                <w:color w:val="000000" w:themeColor="text1"/>
                <w:sz w:val="20"/>
                <w:szCs w:val="20"/>
                <w:lang w:eastAsia="en-AU"/>
              </w:rPr>
              <w:t>)</w:t>
            </w:r>
          </w:p>
        </w:tc>
      </w:tr>
      <w:tr w:rsidR="001C4A84" w:rsidRPr="003D7E2B" w14:paraId="5F42BEB8" w14:textId="77777777" w:rsidTr="49BCD735">
        <w:tc>
          <w:tcPr>
            <w:tcW w:w="1994" w:type="pct"/>
            <w:tcBorders>
              <w:top w:val="nil"/>
              <w:left w:val="nil"/>
              <w:bottom w:val="nil"/>
              <w:right w:val="nil"/>
            </w:tcBorders>
            <w:vAlign w:val="bottom"/>
            <w:hideMark/>
          </w:tcPr>
          <w:p w14:paraId="207445E1" w14:textId="19C9F64C" w:rsidR="001C4A84" w:rsidRPr="008F1B1D" w:rsidRDefault="001C4A84" w:rsidP="001C4A84">
            <w:pPr>
              <w:spacing w:after="0" w:line="240" w:lineRule="auto"/>
              <w:rPr>
                <w:rFonts w:eastAsia="Times New Roman" w:cs="Arial"/>
                <w:color w:val="000000"/>
                <w:sz w:val="20"/>
                <w:szCs w:val="20"/>
                <w:lang w:eastAsia="en-AU"/>
              </w:rPr>
            </w:pPr>
            <w:r w:rsidRPr="7F1A92DC">
              <w:rPr>
                <w:rFonts w:eastAsia="Times New Roman" w:cs="Arial"/>
                <w:color w:val="000000" w:themeColor="text1"/>
                <w:sz w:val="20"/>
                <w:szCs w:val="20"/>
                <w:lang w:eastAsia="en-AU"/>
              </w:rPr>
              <w:t>Other comprehensive loss for the year, net of income tax</w:t>
            </w:r>
          </w:p>
        </w:tc>
        <w:tc>
          <w:tcPr>
            <w:tcW w:w="713" w:type="pct"/>
            <w:tcBorders>
              <w:top w:val="nil"/>
              <w:left w:val="nil"/>
              <w:bottom w:val="nil"/>
              <w:right w:val="nil"/>
            </w:tcBorders>
            <w:noWrap/>
            <w:vAlign w:val="bottom"/>
            <w:hideMark/>
          </w:tcPr>
          <w:p w14:paraId="27A98D4D" w14:textId="3B77AEE4"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nil"/>
              <w:right w:val="nil"/>
            </w:tcBorders>
            <w:noWrap/>
            <w:vAlign w:val="bottom"/>
            <w:hideMark/>
          </w:tcPr>
          <w:p w14:paraId="2E9E7E2B" w14:textId="6C45D835"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6FE1A15E">
              <w:rPr>
                <w:rFonts w:eastAsia="Times New Roman" w:cs="Arial"/>
                <w:color w:val="000000" w:themeColor="text1"/>
                <w:sz w:val="20"/>
                <w:szCs w:val="20"/>
                <w:lang w:eastAsia="en-AU"/>
              </w:rPr>
              <w:t>(</w:t>
            </w:r>
            <w:r w:rsidR="0088581A" w:rsidRPr="6FE1A15E">
              <w:rPr>
                <w:rFonts w:eastAsia="Times New Roman" w:cs="Arial"/>
                <w:color w:val="000000" w:themeColor="text1"/>
                <w:sz w:val="20"/>
                <w:szCs w:val="20"/>
                <w:lang w:eastAsia="en-AU"/>
              </w:rPr>
              <w:t>506</w:t>
            </w:r>
            <w:r w:rsidRPr="6FE1A15E">
              <w:rPr>
                <w:rFonts w:eastAsia="Times New Roman" w:cs="Arial"/>
                <w:color w:val="000000" w:themeColor="text1"/>
                <w:sz w:val="20"/>
                <w:szCs w:val="20"/>
                <w:lang w:eastAsia="en-AU"/>
              </w:rPr>
              <w:t>)</w:t>
            </w:r>
          </w:p>
        </w:tc>
        <w:tc>
          <w:tcPr>
            <w:tcW w:w="727" w:type="pct"/>
            <w:tcBorders>
              <w:top w:val="nil"/>
              <w:left w:val="nil"/>
              <w:bottom w:val="nil"/>
              <w:right w:val="nil"/>
            </w:tcBorders>
            <w:noWrap/>
            <w:vAlign w:val="bottom"/>
            <w:hideMark/>
          </w:tcPr>
          <w:p w14:paraId="115AFE22" w14:textId="65CF5E47"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3" w:type="pct"/>
            <w:tcBorders>
              <w:top w:val="nil"/>
              <w:left w:val="nil"/>
              <w:bottom w:val="nil"/>
              <w:right w:val="nil"/>
            </w:tcBorders>
            <w:noWrap/>
            <w:vAlign w:val="bottom"/>
            <w:hideMark/>
          </w:tcPr>
          <w:p w14:paraId="6AD40EE7" w14:textId="046078FE"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6FE1A15E">
              <w:rPr>
                <w:rFonts w:eastAsia="Times New Roman" w:cs="Arial"/>
                <w:b/>
                <w:bCs/>
                <w:color w:val="000000" w:themeColor="text1"/>
                <w:sz w:val="20"/>
                <w:szCs w:val="20"/>
                <w:lang w:eastAsia="en-AU"/>
              </w:rPr>
              <w:t>(</w:t>
            </w:r>
            <w:r w:rsidR="0088581A" w:rsidRPr="6FE1A15E">
              <w:rPr>
                <w:rFonts w:eastAsia="Times New Roman" w:cs="Arial"/>
                <w:b/>
                <w:bCs/>
                <w:color w:val="000000" w:themeColor="text1"/>
                <w:sz w:val="20"/>
                <w:szCs w:val="20"/>
                <w:lang w:eastAsia="en-AU"/>
              </w:rPr>
              <w:t>506</w:t>
            </w:r>
            <w:r w:rsidRPr="6FE1A15E">
              <w:rPr>
                <w:rFonts w:eastAsia="Times New Roman" w:cs="Arial"/>
                <w:b/>
                <w:bCs/>
                <w:color w:val="000000" w:themeColor="text1"/>
                <w:sz w:val="20"/>
                <w:szCs w:val="20"/>
                <w:lang w:eastAsia="en-AU"/>
              </w:rPr>
              <w:t>)</w:t>
            </w:r>
          </w:p>
        </w:tc>
      </w:tr>
      <w:tr w:rsidR="001C4A84" w:rsidRPr="008F1B1D" w14:paraId="6A980551" w14:textId="77777777" w:rsidTr="49BCD735">
        <w:tc>
          <w:tcPr>
            <w:tcW w:w="1994" w:type="pct"/>
            <w:tcBorders>
              <w:top w:val="nil"/>
              <w:left w:val="nil"/>
              <w:bottom w:val="nil"/>
              <w:right w:val="nil"/>
            </w:tcBorders>
            <w:vAlign w:val="bottom"/>
          </w:tcPr>
          <w:p w14:paraId="69AE641B" w14:textId="638FF36B" w:rsidR="001C4A84" w:rsidRPr="00BD112F" w:rsidRDefault="001C4A84" w:rsidP="001C4A84">
            <w:pPr>
              <w:spacing w:after="0" w:line="240" w:lineRule="auto"/>
              <w:rPr>
                <w:rFonts w:eastAsia="Times New Roman" w:cs="Arial"/>
                <w:b/>
                <w:bCs/>
                <w:color w:val="000000"/>
                <w:sz w:val="20"/>
                <w:szCs w:val="20"/>
                <w:lang w:eastAsia="en-AU"/>
              </w:rPr>
            </w:pPr>
            <w:r w:rsidRPr="7F1A92DC">
              <w:rPr>
                <w:rFonts w:eastAsia="Times New Roman" w:cs="Arial"/>
                <w:b/>
                <w:color w:val="000000" w:themeColor="text1"/>
                <w:sz w:val="20"/>
                <w:szCs w:val="20"/>
                <w:lang w:eastAsia="en-AU"/>
              </w:rPr>
              <w:t xml:space="preserve">Total comprehensive </w:t>
            </w:r>
            <w:r w:rsidR="00192691" w:rsidRPr="7F1A92DC">
              <w:rPr>
                <w:rFonts w:eastAsia="Times New Roman" w:cs="Arial"/>
                <w:b/>
                <w:bCs/>
                <w:color w:val="000000" w:themeColor="text1"/>
                <w:sz w:val="20"/>
                <w:szCs w:val="20"/>
                <w:lang w:eastAsia="en-AU"/>
              </w:rPr>
              <w:t>loss</w:t>
            </w:r>
          </w:p>
        </w:tc>
        <w:tc>
          <w:tcPr>
            <w:tcW w:w="713" w:type="pct"/>
            <w:tcBorders>
              <w:top w:val="nil"/>
              <w:left w:val="nil"/>
              <w:bottom w:val="nil"/>
              <w:right w:val="nil"/>
            </w:tcBorders>
            <w:noWrap/>
            <w:vAlign w:val="bottom"/>
          </w:tcPr>
          <w:p w14:paraId="62434675" w14:textId="2AF0CF93" w:rsidR="001C4A84" w:rsidRPr="00BD112F" w:rsidRDefault="001C4A84" w:rsidP="001C4A84">
            <w:pPr>
              <w:tabs>
                <w:tab w:val="decimal" w:pos="1048"/>
              </w:tabs>
              <w:spacing w:after="0" w:line="240" w:lineRule="auto"/>
              <w:rPr>
                <w:rFonts w:eastAsia="Times New Roman" w:cs="Arial"/>
                <w:b/>
                <w:bCs/>
                <w:color w:val="000000"/>
                <w:sz w:val="20"/>
                <w:szCs w:val="20"/>
                <w:lang w:eastAsia="en-AU"/>
              </w:rPr>
            </w:pPr>
            <w:r w:rsidRPr="00BD112F">
              <w:rPr>
                <w:rFonts w:eastAsia="Times New Roman" w:cs="Arial"/>
                <w:b/>
                <w:bCs/>
                <w:color w:val="000000"/>
                <w:sz w:val="20"/>
                <w:szCs w:val="20"/>
                <w:lang w:eastAsia="en-AU"/>
              </w:rPr>
              <w:t>-</w:t>
            </w:r>
          </w:p>
        </w:tc>
        <w:tc>
          <w:tcPr>
            <w:tcW w:w="853" w:type="pct"/>
            <w:tcBorders>
              <w:top w:val="nil"/>
              <w:left w:val="nil"/>
              <w:bottom w:val="nil"/>
              <w:right w:val="nil"/>
            </w:tcBorders>
            <w:noWrap/>
            <w:vAlign w:val="bottom"/>
          </w:tcPr>
          <w:p w14:paraId="49F2F0DD" w14:textId="39EB8A3B" w:rsidR="001C4A84" w:rsidRPr="00BD112F" w:rsidRDefault="001C4A84" w:rsidP="001C4A84">
            <w:pPr>
              <w:tabs>
                <w:tab w:val="decimal" w:pos="1048"/>
              </w:tabs>
              <w:spacing w:after="0" w:line="240" w:lineRule="auto"/>
              <w:rPr>
                <w:rFonts w:eastAsia="Times New Roman" w:cs="Arial"/>
                <w:b/>
                <w:bCs/>
                <w:color w:val="000000"/>
                <w:sz w:val="20"/>
                <w:szCs w:val="20"/>
                <w:lang w:eastAsia="en-AU"/>
              </w:rPr>
            </w:pPr>
            <w:r w:rsidRPr="6FE1A15E">
              <w:rPr>
                <w:rFonts w:eastAsia="Times New Roman" w:cs="Arial"/>
                <w:b/>
                <w:bCs/>
                <w:color w:val="000000" w:themeColor="text1"/>
                <w:sz w:val="20"/>
                <w:szCs w:val="20"/>
                <w:lang w:eastAsia="en-AU"/>
              </w:rPr>
              <w:t>(</w:t>
            </w:r>
            <w:r w:rsidR="0088581A" w:rsidRPr="6FE1A15E">
              <w:rPr>
                <w:rFonts w:eastAsia="Times New Roman" w:cs="Arial"/>
                <w:b/>
                <w:bCs/>
                <w:color w:val="000000" w:themeColor="text1"/>
                <w:sz w:val="20"/>
                <w:szCs w:val="20"/>
                <w:lang w:eastAsia="en-AU"/>
              </w:rPr>
              <w:t>506</w:t>
            </w:r>
            <w:r w:rsidRPr="6FE1A15E">
              <w:rPr>
                <w:rFonts w:eastAsia="Times New Roman" w:cs="Arial"/>
                <w:b/>
                <w:bCs/>
                <w:color w:val="000000" w:themeColor="text1"/>
                <w:sz w:val="20"/>
                <w:szCs w:val="20"/>
                <w:lang w:eastAsia="en-AU"/>
              </w:rPr>
              <w:t>)</w:t>
            </w:r>
          </w:p>
        </w:tc>
        <w:tc>
          <w:tcPr>
            <w:tcW w:w="727" w:type="pct"/>
            <w:tcBorders>
              <w:top w:val="nil"/>
              <w:left w:val="nil"/>
              <w:bottom w:val="nil"/>
              <w:right w:val="nil"/>
            </w:tcBorders>
            <w:noWrap/>
            <w:vAlign w:val="bottom"/>
          </w:tcPr>
          <w:p w14:paraId="080F1984" w14:textId="6345026D" w:rsidR="001C4A84" w:rsidRPr="00BD112F" w:rsidRDefault="0088581A" w:rsidP="001C4A84">
            <w:pPr>
              <w:tabs>
                <w:tab w:val="decimal" w:pos="1048"/>
              </w:tabs>
              <w:spacing w:after="0" w:line="240" w:lineRule="auto"/>
              <w:rPr>
                <w:rFonts w:eastAsia="Times New Roman" w:cs="Arial"/>
                <w:b/>
                <w:bCs/>
                <w:color w:val="000000"/>
                <w:sz w:val="20"/>
                <w:szCs w:val="20"/>
                <w:lang w:eastAsia="en-AU"/>
              </w:rPr>
            </w:pPr>
            <w:r w:rsidRPr="6FE1A15E">
              <w:rPr>
                <w:rFonts w:eastAsia="Times New Roman" w:cs="Arial"/>
                <w:b/>
                <w:bCs/>
                <w:color w:val="000000" w:themeColor="text1"/>
                <w:sz w:val="20"/>
                <w:szCs w:val="20"/>
                <w:lang w:eastAsia="en-AU"/>
              </w:rPr>
              <w:t>(</w:t>
            </w:r>
            <w:r w:rsidRPr="6FE1A15E">
              <w:rPr>
                <w:rFonts w:eastAsia="Times New Roman" w:cs="Arial"/>
                <w:b/>
                <w:color w:val="000000" w:themeColor="text1"/>
                <w:sz w:val="20"/>
                <w:szCs w:val="20"/>
                <w:lang w:eastAsia="en-AU"/>
              </w:rPr>
              <w:t>6,819)</w:t>
            </w:r>
          </w:p>
        </w:tc>
        <w:tc>
          <w:tcPr>
            <w:tcW w:w="713" w:type="pct"/>
            <w:tcBorders>
              <w:top w:val="nil"/>
              <w:left w:val="nil"/>
              <w:bottom w:val="nil"/>
              <w:right w:val="nil"/>
            </w:tcBorders>
            <w:noWrap/>
            <w:vAlign w:val="bottom"/>
          </w:tcPr>
          <w:p w14:paraId="46529E84" w14:textId="75951FC2" w:rsidR="001C4A84" w:rsidRPr="00FA41CC" w:rsidRDefault="001C4A84" w:rsidP="001C4A84">
            <w:pPr>
              <w:tabs>
                <w:tab w:val="decimal" w:pos="1048"/>
              </w:tabs>
              <w:spacing w:after="0" w:line="240" w:lineRule="auto"/>
              <w:rPr>
                <w:rFonts w:eastAsia="Times New Roman" w:cs="Arial"/>
                <w:b/>
                <w:bCs/>
                <w:color w:val="000000"/>
                <w:sz w:val="20"/>
                <w:szCs w:val="20"/>
                <w:lang w:eastAsia="en-AU"/>
              </w:rPr>
            </w:pPr>
            <w:r w:rsidRPr="6FE1A15E">
              <w:rPr>
                <w:rFonts w:eastAsia="Times New Roman" w:cs="Arial"/>
                <w:b/>
                <w:color w:val="000000" w:themeColor="text1"/>
                <w:sz w:val="20"/>
                <w:szCs w:val="20"/>
                <w:lang w:eastAsia="en-AU"/>
              </w:rPr>
              <w:t>(7</w:t>
            </w:r>
            <w:r w:rsidR="0088581A" w:rsidRPr="6FE1A15E">
              <w:rPr>
                <w:rFonts w:eastAsia="Times New Roman" w:cs="Arial"/>
                <w:b/>
                <w:color w:val="000000" w:themeColor="text1"/>
                <w:sz w:val="20"/>
                <w:szCs w:val="20"/>
                <w:lang w:eastAsia="en-AU"/>
              </w:rPr>
              <w:t>,</w:t>
            </w:r>
            <w:r w:rsidR="0088581A" w:rsidRPr="6FE1A15E">
              <w:rPr>
                <w:rFonts w:eastAsia="Times New Roman" w:cs="Arial"/>
                <w:b/>
                <w:bCs/>
                <w:color w:val="000000" w:themeColor="text1"/>
                <w:sz w:val="20"/>
                <w:szCs w:val="20"/>
                <w:lang w:eastAsia="en-AU"/>
              </w:rPr>
              <w:t>325</w:t>
            </w:r>
            <w:r w:rsidRPr="6FE1A15E">
              <w:rPr>
                <w:rFonts w:eastAsia="Times New Roman" w:cs="Arial"/>
                <w:b/>
                <w:color w:val="000000" w:themeColor="text1"/>
                <w:sz w:val="20"/>
                <w:szCs w:val="20"/>
                <w:lang w:eastAsia="en-AU"/>
              </w:rPr>
              <w:t>)</w:t>
            </w:r>
          </w:p>
        </w:tc>
      </w:tr>
      <w:tr w:rsidR="001C4A84" w:rsidRPr="008F1B1D" w14:paraId="00D1F241" w14:textId="77777777" w:rsidTr="49BCD735">
        <w:tc>
          <w:tcPr>
            <w:tcW w:w="1994" w:type="pct"/>
            <w:tcBorders>
              <w:top w:val="nil"/>
              <w:left w:val="nil"/>
              <w:bottom w:val="nil"/>
              <w:right w:val="nil"/>
            </w:tcBorders>
            <w:vAlign w:val="bottom"/>
          </w:tcPr>
          <w:p w14:paraId="3918BBC6" w14:textId="1FA1DE7B" w:rsidR="001C4A84" w:rsidRPr="00B94E93" w:rsidRDefault="001C4A84" w:rsidP="001C4A84">
            <w:pPr>
              <w:spacing w:after="0" w:line="240" w:lineRule="auto"/>
              <w:rPr>
                <w:rFonts w:eastAsia="Times New Roman" w:cs="Arial"/>
                <w:i/>
                <w:iCs/>
                <w:color w:val="000000"/>
                <w:sz w:val="20"/>
                <w:szCs w:val="20"/>
                <w:lang w:eastAsia="en-AU"/>
              </w:rPr>
            </w:pPr>
            <w:r w:rsidRPr="00B94E93">
              <w:rPr>
                <w:rFonts w:eastAsia="Times New Roman" w:cs="Arial"/>
                <w:i/>
                <w:iCs/>
                <w:color w:val="000000"/>
                <w:sz w:val="20"/>
                <w:szCs w:val="20"/>
                <w:lang w:eastAsia="en-AU"/>
              </w:rPr>
              <w:t>Transactions with owners:</w:t>
            </w:r>
          </w:p>
        </w:tc>
        <w:tc>
          <w:tcPr>
            <w:tcW w:w="713" w:type="pct"/>
            <w:tcBorders>
              <w:top w:val="nil"/>
              <w:left w:val="nil"/>
              <w:bottom w:val="nil"/>
              <w:right w:val="nil"/>
            </w:tcBorders>
            <w:noWrap/>
            <w:vAlign w:val="bottom"/>
          </w:tcPr>
          <w:p w14:paraId="04E86BC8" w14:textId="77777777" w:rsidR="001C4A84" w:rsidRDefault="001C4A84" w:rsidP="001C4A84">
            <w:pPr>
              <w:tabs>
                <w:tab w:val="decimal" w:pos="1048"/>
              </w:tabs>
              <w:spacing w:after="0" w:line="240" w:lineRule="auto"/>
              <w:rPr>
                <w:rFonts w:eastAsia="Times New Roman" w:cs="Arial"/>
                <w:color w:val="000000"/>
                <w:sz w:val="20"/>
                <w:szCs w:val="20"/>
                <w:lang w:eastAsia="en-AU"/>
              </w:rPr>
            </w:pPr>
          </w:p>
        </w:tc>
        <w:tc>
          <w:tcPr>
            <w:tcW w:w="853" w:type="pct"/>
            <w:tcBorders>
              <w:top w:val="nil"/>
              <w:left w:val="nil"/>
              <w:bottom w:val="nil"/>
              <w:right w:val="nil"/>
            </w:tcBorders>
            <w:noWrap/>
            <w:vAlign w:val="bottom"/>
          </w:tcPr>
          <w:p w14:paraId="637B8AC1" w14:textId="77777777" w:rsidR="001C4A84" w:rsidRDefault="001C4A84" w:rsidP="001C4A84">
            <w:pPr>
              <w:tabs>
                <w:tab w:val="decimal" w:pos="1048"/>
              </w:tabs>
              <w:spacing w:after="0" w:line="240" w:lineRule="auto"/>
              <w:rPr>
                <w:rFonts w:eastAsia="Times New Roman" w:cs="Arial"/>
                <w:color w:val="000000"/>
                <w:sz w:val="20"/>
                <w:szCs w:val="20"/>
                <w:lang w:eastAsia="en-AU"/>
              </w:rPr>
            </w:pPr>
          </w:p>
        </w:tc>
        <w:tc>
          <w:tcPr>
            <w:tcW w:w="727" w:type="pct"/>
            <w:tcBorders>
              <w:top w:val="nil"/>
              <w:left w:val="nil"/>
              <w:bottom w:val="nil"/>
              <w:right w:val="nil"/>
            </w:tcBorders>
            <w:noWrap/>
            <w:vAlign w:val="bottom"/>
          </w:tcPr>
          <w:p w14:paraId="158709AC" w14:textId="77777777" w:rsidR="001C4A84" w:rsidRDefault="001C4A84" w:rsidP="001C4A84">
            <w:pPr>
              <w:tabs>
                <w:tab w:val="decimal" w:pos="1048"/>
              </w:tabs>
              <w:spacing w:after="0" w:line="240" w:lineRule="auto"/>
              <w:rPr>
                <w:rFonts w:eastAsia="Times New Roman" w:cs="Arial"/>
                <w:color w:val="000000"/>
                <w:sz w:val="20"/>
                <w:szCs w:val="20"/>
                <w:lang w:eastAsia="en-AU"/>
              </w:rPr>
            </w:pPr>
          </w:p>
        </w:tc>
        <w:tc>
          <w:tcPr>
            <w:tcW w:w="713" w:type="pct"/>
            <w:tcBorders>
              <w:top w:val="nil"/>
              <w:left w:val="nil"/>
              <w:bottom w:val="nil"/>
              <w:right w:val="nil"/>
            </w:tcBorders>
            <w:noWrap/>
            <w:vAlign w:val="bottom"/>
          </w:tcPr>
          <w:p w14:paraId="788AD31D" w14:textId="77777777" w:rsidR="001C4A84" w:rsidRDefault="001C4A84" w:rsidP="001C4A84">
            <w:pPr>
              <w:tabs>
                <w:tab w:val="decimal" w:pos="1048"/>
              </w:tabs>
              <w:spacing w:after="0" w:line="240" w:lineRule="auto"/>
              <w:rPr>
                <w:rFonts w:eastAsia="Times New Roman" w:cs="Arial"/>
                <w:b/>
                <w:bCs/>
                <w:color w:val="000000"/>
                <w:sz w:val="20"/>
                <w:szCs w:val="20"/>
                <w:lang w:eastAsia="en-AU"/>
              </w:rPr>
            </w:pPr>
          </w:p>
        </w:tc>
      </w:tr>
      <w:tr w:rsidR="001C4A84" w:rsidRPr="003D7E2B" w14:paraId="103E3F63" w14:textId="77777777" w:rsidTr="49BCD735">
        <w:tc>
          <w:tcPr>
            <w:tcW w:w="1994" w:type="pct"/>
            <w:tcBorders>
              <w:top w:val="nil"/>
              <w:left w:val="nil"/>
              <w:bottom w:val="nil"/>
              <w:right w:val="nil"/>
            </w:tcBorders>
            <w:noWrap/>
            <w:vAlign w:val="bottom"/>
            <w:hideMark/>
          </w:tcPr>
          <w:p w14:paraId="6BF1EEAA" w14:textId="77777777" w:rsidR="001C4A84" w:rsidRPr="008F1B1D" w:rsidRDefault="001C4A84" w:rsidP="001C4A84">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Contributed capital</w:t>
            </w:r>
          </w:p>
        </w:tc>
        <w:tc>
          <w:tcPr>
            <w:tcW w:w="713" w:type="pct"/>
            <w:tcBorders>
              <w:top w:val="nil"/>
              <w:left w:val="nil"/>
              <w:bottom w:val="single" w:sz="4" w:space="0" w:color="auto"/>
              <w:right w:val="nil"/>
            </w:tcBorders>
            <w:noWrap/>
            <w:vAlign w:val="bottom"/>
            <w:hideMark/>
          </w:tcPr>
          <w:p w14:paraId="3B5DDCB4" w14:textId="5248CBF7"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344,000</w:t>
            </w:r>
          </w:p>
        </w:tc>
        <w:tc>
          <w:tcPr>
            <w:tcW w:w="853" w:type="pct"/>
            <w:tcBorders>
              <w:top w:val="nil"/>
              <w:left w:val="nil"/>
              <w:bottom w:val="single" w:sz="4" w:space="0" w:color="auto"/>
              <w:right w:val="nil"/>
            </w:tcBorders>
            <w:noWrap/>
            <w:vAlign w:val="bottom"/>
            <w:hideMark/>
          </w:tcPr>
          <w:p w14:paraId="1AE8C36E" w14:textId="41F319CF"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27" w:type="pct"/>
            <w:tcBorders>
              <w:top w:val="nil"/>
              <w:left w:val="nil"/>
              <w:bottom w:val="single" w:sz="4" w:space="0" w:color="auto"/>
              <w:right w:val="nil"/>
            </w:tcBorders>
            <w:noWrap/>
            <w:vAlign w:val="bottom"/>
            <w:hideMark/>
          </w:tcPr>
          <w:p w14:paraId="6E9E04DC" w14:textId="683B56B9" w:rsidR="001C4A84" w:rsidRPr="008F1B1D" w:rsidRDefault="001C4A84" w:rsidP="001C4A84">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3" w:type="pct"/>
            <w:tcBorders>
              <w:top w:val="nil"/>
              <w:left w:val="nil"/>
              <w:bottom w:val="single" w:sz="4" w:space="0" w:color="auto"/>
              <w:right w:val="nil"/>
            </w:tcBorders>
            <w:noWrap/>
            <w:vAlign w:val="bottom"/>
            <w:hideMark/>
          </w:tcPr>
          <w:p w14:paraId="3F2D6B13" w14:textId="77777777"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344,000</w:t>
            </w:r>
          </w:p>
        </w:tc>
      </w:tr>
      <w:tr w:rsidR="001C4A84" w:rsidRPr="003D7E2B" w14:paraId="74E192D3" w14:textId="77777777" w:rsidTr="49BCD735">
        <w:tc>
          <w:tcPr>
            <w:tcW w:w="1994" w:type="pct"/>
            <w:tcBorders>
              <w:top w:val="nil"/>
              <w:left w:val="nil"/>
              <w:bottom w:val="nil"/>
              <w:right w:val="nil"/>
            </w:tcBorders>
            <w:noWrap/>
            <w:vAlign w:val="bottom"/>
            <w:hideMark/>
          </w:tcPr>
          <w:p w14:paraId="3D5B2767" w14:textId="77777777" w:rsidR="001C4A84" w:rsidRPr="008F1B1D" w:rsidRDefault="001C4A84" w:rsidP="001C4A84">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2025</w:t>
            </w:r>
          </w:p>
        </w:tc>
        <w:tc>
          <w:tcPr>
            <w:tcW w:w="713" w:type="pct"/>
            <w:tcBorders>
              <w:top w:val="single" w:sz="4" w:space="0" w:color="auto"/>
              <w:left w:val="nil"/>
              <w:bottom w:val="double" w:sz="4" w:space="0" w:color="auto"/>
              <w:right w:val="nil"/>
            </w:tcBorders>
            <w:noWrap/>
            <w:vAlign w:val="bottom"/>
            <w:hideMark/>
          </w:tcPr>
          <w:p w14:paraId="6D035F46" w14:textId="7BB1DF57"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680,000</w:t>
            </w:r>
          </w:p>
        </w:tc>
        <w:tc>
          <w:tcPr>
            <w:tcW w:w="853" w:type="pct"/>
            <w:tcBorders>
              <w:top w:val="single" w:sz="4" w:space="0" w:color="auto"/>
              <w:left w:val="nil"/>
              <w:bottom w:val="double" w:sz="4" w:space="0" w:color="auto"/>
              <w:right w:val="nil"/>
            </w:tcBorders>
            <w:noWrap/>
            <w:vAlign w:val="bottom"/>
            <w:hideMark/>
          </w:tcPr>
          <w:p w14:paraId="356AFDDC" w14:textId="7AF796B1" w:rsidR="001C4A84" w:rsidRPr="008F1B1D" w:rsidRDefault="001C4A84" w:rsidP="001C4A84">
            <w:pPr>
              <w:tabs>
                <w:tab w:val="decimal" w:pos="1048"/>
              </w:tabs>
              <w:spacing w:after="0" w:line="240" w:lineRule="auto"/>
              <w:rPr>
                <w:rFonts w:eastAsia="Times New Roman" w:cs="Arial"/>
                <w:b/>
                <w:color w:val="000000"/>
                <w:sz w:val="20"/>
                <w:szCs w:val="20"/>
                <w:lang w:eastAsia="en-AU"/>
              </w:rPr>
            </w:pPr>
            <w:r w:rsidRPr="6FE1A15E">
              <w:rPr>
                <w:rFonts w:eastAsia="Times New Roman" w:cs="Arial"/>
                <w:b/>
                <w:color w:val="000000" w:themeColor="text1"/>
                <w:sz w:val="20"/>
                <w:szCs w:val="20"/>
                <w:lang w:eastAsia="en-AU"/>
              </w:rPr>
              <w:t>(3,</w:t>
            </w:r>
            <w:r w:rsidR="00780282" w:rsidRPr="6FE1A15E">
              <w:rPr>
                <w:rFonts w:eastAsia="Times New Roman" w:cs="Arial"/>
                <w:b/>
                <w:bCs/>
                <w:color w:val="000000" w:themeColor="text1"/>
                <w:sz w:val="20"/>
                <w:szCs w:val="20"/>
                <w:lang w:eastAsia="en-AU"/>
              </w:rPr>
              <w:t>279</w:t>
            </w:r>
            <w:r w:rsidRPr="6FE1A15E">
              <w:rPr>
                <w:rFonts w:eastAsia="Times New Roman" w:cs="Arial"/>
                <w:b/>
                <w:color w:val="000000" w:themeColor="text1"/>
                <w:sz w:val="20"/>
                <w:szCs w:val="20"/>
                <w:lang w:eastAsia="en-AU"/>
              </w:rPr>
              <w:t>)</w:t>
            </w:r>
          </w:p>
        </w:tc>
        <w:tc>
          <w:tcPr>
            <w:tcW w:w="727" w:type="pct"/>
            <w:tcBorders>
              <w:top w:val="single" w:sz="4" w:space="0" w:color="auto"/>
              <w:left w:val="nil"/>
              <w:bottom w:val="double" w:sz="4" w:space="0" w:color="auto"/>
              <w:right w:val="nil"/>
            </w:tcBorders>
            <w:noWrap/>
            <w:vAlign w:val="bottom"/>
            <w:hideMark/>
          </w:tcPr>
          <w:p w14:paraId="6499BD75" w14:textId="371DCFBA" w:rsidR="001C4A84" w:rsidRPr="008F1B1D" w:rsidRDefault="00780282" w:rsidP="001C4A84">
            <w:pPr>
              <w:tabs>
                <w:tab w:val="decimal" w:pos="1048"/>
              </w:tabs>
              <w:spacing w:after="0" w:line="240" w:lineRule="auto"/>
              <w:rPr>
                <w:rFonts w:eastAsia="Times New Roman" w:cs="Arial"/>
                <w:b/>
                <w:color w:val="000000"/>
                <w:sz w:val="20"/>
                <w:szCs w:val="20"/>
                <w:lang w:eastAsia="en-AU"/>
              </w:rPr>
            </w:pPr>
            <w:r w:rsidRPr="6FE1A15E">
              <w:rPr>
                <w:rFonts w:eastAsia="Times New Roman" w:cs="Arial"/>
                <w:b/>
                <w:color w:val="000000" w:themeColor="text1"/>
                <w:sz w:val="20"/>
                <w:szCs w:val="20"/>
                <w:lang w:eastAsia="en-AU"/>
              </w:rPr>
              <w:t>(991)</w:t>
            </w:r>
          </w:p>
        </w:tc>
        <w:tc>
          <w:tcPr>
            <w:tcW w:w="713" w:type="pct"/>
            <w:tcBorders>
              <w:top w:val="single" w:sz="4" w:space="0" w:color="auto"/>
              <w:left w:val="nil"/>
              <w:bottom w:val="double" w:sz="4" w:space="0" w:color="auto"/>
              <w:right w:val="nil"/>
            </w:tcBorders>
            <w:noWrap/>
            <w:vAlign w:val="bottom"/>
            <w:hideMark/>
          </w:tcPr>
          <w:p w14:paraId="790617DA" w14:textId="05232D1D" w:rsidR="001C4A84" w:rsidRPr="008F1B1D" w:rsidRDefault="00780282" w:rsidP="001C4A84">
            <w:pPr>
              <w:tabs>
                <w:tab w:val="decimal" w:pos="1048"/>
              </w:tabs>
              <w:spacing w:after="0" w:line="240" w:lineRule="auto"/>
              <w:rPr>
                <w:rFonts w:eastAsia="Times New Roman" w:cs="Arial"/>
                <w:b/>
                <w:color w:val="000000"/>
                <w:sz w:val="20"/>
                <w:szCs w:val="20"/>
                <w:lang w:eastAsia="en-AU"/>
              </w:rPr>
            </w:pPr>
            <w:r w:rsidRPr="6FE1A15E">
              <w:rPr>
                <w:rFonts w:eastAsia="Times New Roman" w:cs="Arial"/>
                <w:b/>
                <w:bCs/>
                <w:color w:val="000000" w:themeColor="text1"/>
                <w:sz w:val="20"/>
                <w:szCs w:val="20"/>
                <w:lang w:eastAsia="en-AU"/>
              </w:rPr>
              <w:t>675</w:t>
            </w:r>
            <w:r w:rsidR="001C4A84" w:rsidRPr="6FE1A15E">
              <w:rPr>
                <w:rFonts w:eastAsia="Times New Roman" w:cs="Arial"/>
                <w:b/>
                <w:bCs/>
                <w:color w:val="000000" w:themeColor="text1"/>
                <w:sz w:val="20"/>
                <w:szCs w:val="20"/>
                <w:lang w:eastAsia="en-AU"/>
              </w:rPr>
              <w:t>,</w:t>
            </w:r>
            <w:r w:rsidRPr="6FE1A15E">
              <w:rPr>
                <w:rFonts w:eastAsia="Times New Roman" w:cs="Arial"/>
                <w:b/>
                <w:bCs/>
                <w:color w:val="000000" w:themeColor="text1"/>
                <w:sz w:val="20"/>
                <w:szCs w:val="20"/>
                <w:lang w:eastAsia="en-AU"/>
              </w:rPr>
              <w:t xml:space="preserve">730 </w:t>
            </w:r>
          </w:p>
        </w:tc>
      </w:tr>
    </w:tbl>
    <w:p w14:paraId="19019978" w14:textId="77777777" w:rsidR="00061A24" w:rsidRPr="00F65403" w:rsidDel="00196EAE" w:rsidRDefault="00061A24" w:rsidP="001C1467">
      <w:pPr>
        <w:pStyle w:val="BodyText"/>
        <w:rPr>
          <w:i/>
          <w:lang w:val="en-AU"/>
        </w:rPr>
      </w:pPr>
    </w:p>
    <w:p w14:paraId="55D8135E" w14:textId="4343BEF5" w:rsidR="00061A24" w:rsidRPr="001C1467" w:rsidRDefault="00061A24" w:rsidP="001C1467">
      <w:pPr>
        <w:pStyle w:val="BodyText"/>
        <w:rPr>
          <w:i/>
          <w:lang w:val="en-AU"/>
        </w:rPr>
      </w:pPr>
      <w:r w:rsidRPr="00F65403">
        <w:rPr>
          <w:i/>
          <w:lang w:val="en-AU"/>
        </w:rPr>
        <w:t>The above consolidated statement of changes in equity should be read in conjunction with the accompanying notes.</w:t>
      </w:r>
    </w:p>
    <w:p w14:paraId="4964E30F" w14:textId="77777777" w:rsidR="00B2204F" w:rsidRPr="00F65403" w:rsidRDefault="00B2204F"/>
    <w:p w14:paraId="03D0CEDD" w14:textId="2915EE54" w:rsidR="00E16213" w:rsidRDefault="00E16213">
      <w:r>
        <w:br w:type="page"/>
      </w:r>
    </w:p>
    <w:p w14:paraId="1CFF4DE2" w14:textId="77777777" w:rsidR="0086233D" w:rsidRPr="0048780B" w:rsidRDefault="0086233D" w:rsidP="00B254AC">
      <w:pPr>
        <w:pStyle w:val="Heading1"/>
      </w:pPr>
      <w:bookmarkStart w:id="353" w:name="_Toc203487538"/>
      <w:bookmarkStart w:id="354" w:name="_Toc203656228"/>
      <w:bookmarkStart w:id="355" w:name="_Toc104263606"/>
      <w:bookmarkStart w:id="356" w:name="_Ref207013500"/>
      <w:bookmarkStart w:id="357" w:name="_Toc208418034"/>
      <w:bookmarkStart w:id="358" w:name="_Toc209080399"/>
      <w:bookmarkStart w:id="359" w:name="_Toc209703968"/>
      <w:bookmarkStart w:id="360" w:name="_Toc209704021"/>
      <w:bookmarkStart w:id="361" w:name="_Toc209704074"/>
      <w:r w:rsidRPr="0048780B">
        <w:t>Consolidated statement of cash flows</w:t>
      </w:r>
      <w:bookmarkEnd w:id="353"/>
      <w:bookmarkEnd w:id="354"/>
      <w:bookmarkEnd w:id="355"/>
      <w:bookmarkEnd w:id="356"/>
      <w:bookmarkEnd w:id="357"/>
      <w:bookmarkEnd w:id="358"/>
      <w:bookmarkEnd w:id="359"/>
      <w:bookmarkEnd w:id="360"/>
      <w:bookmarkEnd w:id="361"/>
      <w:r w:rsidRPr="0048780B">
        <w:t> </w:t>
      </w:r>
    </w:p>
    <w:p w14:paraId="095B888F" w14:textId="1B0DA07D" w:rsidR="0086233D" w:rsidRPr="00F65403" w:rsidRDefault="0086233D" w:rsidP="000E1B25">
      <w:pPr>
        <w:pStyle w:val="Heading3"/>
        <w:rPr>
          <w:rFonts w:cs="Arial"/>
        </w:rPr>
      </w:pPr>
      <w:r w:rsidRPr="4FD260F1">
        <w:rPr>
          <w:rFonts w:cs="Arial"/>
        </w:rPr>
        <w:t xml:space="preserve">For the </w:t>
      </w:r>
      <w:r w:rsidR="0055369F" w:rsidRPr="4FD260F1">
        <w:rPr>
          <w:rFonts w:cs="Arial"/>
        </w:rPr>
        <w:t xml:space="preserve">year ended </w:t>
      </w:r>
      <w:r w:rsidRPr="4FD260F1">
        <w:rPr>
          <w:rFonts w:cs="Arial"/>
        </w:rPr>
        <w:t>30 June 202</w:t>
      </w:r>
      <w:r w:rsidR="0055369F" w:rsidRPr="4FD260F1">
        <w:rPr>
          <w:rFonts w:cs="Arial"/>
        </w:rPr>
        <w:t>5</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387"/>
        <w:gridCol w:w="709"/>
        <w:gridCol w:w="1465"/>
        <w:gridCol w:w="1465"/>
      </w:tblGrid>
      <w:tr w:rsidR="00886B3E" w:rsidRPr="00886B3E" w14:paraId="5A84E08D" w14:textId="77777777" w:rsidTr="413EB596">
        <w:tc>
          <w:tcPr>
            <w:tcW w:w="5387" w:type="dxa"/>
            <w:tcBorders>
              <w:top w:val="nil"/>
              <w:left w:val="nil"/>
              <w:bottom w:val="nil"/>
              <w:right w:val="nil"/>
            </w:tcBorders>
            <w:noWrap/>
            <w:vAlign w:val="bottom"/>
            <w:hideMark/>
          </w:tcPr>
          <w:p w14:paraId="05CBF1B3" w14:textId="77777777" w:rsidR="00886B3E" w:rsidRPr="000E1B25" w:rsidRDefault="00886B3E" w:rsidP="00886B3E">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7C041A51" w14:textId="77777777" w:rsidR="00886B3E" w:rsidRPr="000E1B25" w:rsidRDefault="00886B3E"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vAlign w:val="bottom"/>
            <w:hideMark/>
          </w:tcPr>
          <w:p w14:paraId="4472A1C4" w14:textId="451B2ECA" w:rsidR="00886B3E" w:rsidRPr="000E1B25" w:rsidRDefault="00886B3E" w:rsidP="000E1B25">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Year ended</w:t>
            </w:r>
            <w:r w:rsidR="00572AB8">
              <w:rPr>
                <w:rFonts w:eastAsia="Times New Roman" w:cs="Arial"/>
                <w:b/>
                <w:bCs/>
                <w:color w:val="000000"/>
                <w:sz w:val="20"/>
                <w:szCs w:val="20"/>
                <w:lang w:eastAsia="en-AU"/>
              </w:rPr>
              <w:t xml:space="preserve"> 30 June 2025</w:t>
            </w:r>
          </w:p>
        </w:tc>
        <w:tc>
          <w:tcPr>
            <w:tcW w:w="1465" w:type="dxa"/>
            <w:tcBorders>
              <w:top w:val="nil"/>
              <w:left w:val="nil"/>
              <w:bottom w:val="nil"/>
              <w:right w:val="nil"/>
            </w:tcBorders>
            <w:vAlign w:val="bottom"/>
            <w:hideMark/>
          </w:tcPr>
          <w:p w14:paraId="7CB4BE48" w14:textId="049B6969" w:rsidR="00886B3E" w:rsidRPr="000E1B25" w:rsidRDefault="00572AB8" w:rsidP="000E1B25">
            <w:pPr>
              <w:spacing w:after="0" w:line="240" w:lineRule="auto"/>
              <w:jc w:val="center"/>
              <w:rPr>
                <w:rFonts w:eastAsia="Times New Roman" w:cs="Arial"/>
                <w:b/>
                <w:color w:val="000000"/>
                <w:sz w:val="20"/>
                <w:szCs w:val="20"/>
                <w:lang w:eastAsia="en-AU"/>
              </w:rPr>
            </w:pPr>
            <w:r w:rsidRPr="00FD5BEA">
              <w:rPr>
                <w:rFonts w:eastAsia="Times New Roman" w:cs="Arial"/>
                <w:b/>
                <w:bCs/>
                <w:color w:val="000000"/>
                <w:sz w:val="20"/>
                <w:szCs w:val="20"/>
                <w:lang w:eastAsia="en-AU"/>
              </w:rPr>
              <w:t>25 Oct</w:t>
            </w:r>
            <w:r>
              <w:rPr>
                <w:rFonts w:eastAsia="Times New Roman" w:cs="Arial"/>
                <w:b/>
                <w:bCs/>
                <w:color w:val="000000"/>
                <w:sz w:val="20"/>
                <w:szCs w:val="20"/>
                <w:lang w:eastAsia="en-AU"/>
              </w:rPr>
              <w:t>ober</w:t>
            </w:r>
            <w:r w:rsidRPr="00FD5BEA">
              <w:rPr>
                <w:rFonts w:eastAsia="Times New Roman" w:cs="Arial"/>
                <w:b/>
                <w:bCs/>
                <w:color w:val="000000"/>
                <w:sz w:val="20"/>
                <w:szCs w:val="20"/>
                <w:lang w:eastAsia="en-AU"/>
              </w:rPr>
              <w:t xml:space="preserve"> </w:t>
            </w:r>
            <w:r>
              <w:rPr>
                <w:rFonts w:eastAsia="Times New Roman" w:cs="Arial"/>
                <w:b/>
                <w:bCs/>
                <w:color w:val="000000"/>
                <w:sz w:val="20"/>
                <w:szCs w:val="20"/>
                <w:lang w:eastAsia="en-AU"/>
              </w:rPr>
              <w:t>20</w:t>
            </w:r>
            <w:r w:rsidRPr="00FD5BEA">
              <w:rPr>
                <w:rFonts w:eastAsia="Times New Roman" w:cs="Arial"/>
                <w:b/>
                <w:bCs/>
                <w:color w:val="000000"/>
                <w:sz w:val="20"/>
                <w:szCs w:val="20"/>
                <w:lang w:eastAsia="en-AU"/>
              </w:rPr>
              <w:t>23</w:t>
            </w:r>
            <w:r>
              <w:rPr>
                <w:rFonts w:eastAsia="Times New Roman" w:cs="Arial"/>
                <w:b/>
                <w:bCs/>
                <w:color w:val="000000"/>
                <w:sz w:val="20"/>
                <w:szCs w:val="20"/>
                <w:lang w:eastAsia="en-AU"/>
              </w:rPr>
              <w:t xml:space="preserve"> </w:t>
            </w:r>
            <w:r w:rsidRPr="00FD5BEA">
              <w:rPr>
                <w:rFonts w:eastAsia="Times New Roman" w:cs="Arial"/>
                <w:b/>
                <w:bCs/>
                <w:color w:val="000000"/>
                <w:sz w:val="20"/>
                <w:szCs w:val="20"/>
                <w:lang w:eastAsia="en-AU"/>
              </w:rPr>
              <w:t>to 30 Jun</w:t>
            </w:r>
            <w:r>
              <w:rPr>
                <w:rFonts w:eastAsia="Times New Roman" w:cs="Arial"/>
                <w:b/>
                <w:bCs/>
                <w:color w:val="000000"/>
                <w:sz w:val="20"/>
                <w:szCs w:val="20"/>
                <w:lang w:eastAsia="en-AU"/>
              </w:rPr>
              <w:t>e</w:t>
            </w:r>
            <w:r w:rsidRPr="00FD5BEA">
              <w:rPr>
                <w:rFonts w:eastAsia="Times New Roman" w:cs="Arial"/>
                <w:b/>
                <w:bCs/>
                <w:color w:val="000000"/>
                <w:sz w:val="20"/>
                <w:szCs w:val="20"/>
                <w:lang w:eastAsia="en-AU"/>
              </w:rPr>
              <w:t xml:space="preserve"> </w:t>
            </w:r>
            <w:r>
              <w:rPr>
                <w:rFonts w:eastAsia="Times New Roman" w:cs="Arial"/>
                <w:b/>
                <w:bCs/>
                <w:color w:val="000000"/>
                <w:sz w:val="20"/>
                <w:szCs w:val="20"/>
                <w:lang w:eastAsia="en-AU"/>
              </w:rPr>
              <w:t>20</w:t>
            </w:r>
            <w:r w:rsidRPr="00FD5BEA">
              <w:rPr>
                <w:rFonts w:eastAsia="Times New Roman" w:cs="Arial"/>
                <w:b/>
                <w:bCs/>
                <w:color w:val="000000"/>
                <w:sz w:val="20"/>
                <w:szCs w:val="20"/>
                <w:lang w:eastAsia="en-AU"/>
              </w:rPr>
              <w:t>24</w:t>
            </w:r>
          </w:p>
        </w:tc>
      </w:tr>
      <w:tr w:rsidR="00886B3E" w:rsidRPr="00886B3E" w14:paraId="11E49F7D" w14:textId="77777777" w:rsidTr="413EB596">
        <w:tc>
          <w:tcPr>
            <w:tcW w:w="5387" w:type="dxa"/>
            <w:tcBorders>
              <w:top w:val="nil"/>
              <w:left w:val="nil"/>
              <w:bottom w:val="nil"/>
              <w:right w:val="nil"/>
            </w:tcBorders>
            <w:vAlign w:val="bottom"/>
            <w:hideMark/>
          </w:tcPr>
          <w:p w14:paraId="15941A7D" w14:textId="77777777" w:rsidR="00886B3E" w:rsidRPr="000E1B25" w:rsidRDefault="00886B3E" w:rsidP="00886B3E">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6DC8D81E" w14:textId="77777777" w:rsidR="00886B3E" w:rsidRPr="000E1B25" w:rsidRDefault="00886B3E" w:rsidP="00886B3E">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Note</w:t>
            </w:r>
          </w:p>
        </w:tc>
        <w:tc>
          <w:tcPr>
            <w:tcW w:w="1465" w:type="dxa"/>
            <w:tcBorders>
              <w:top w:val="nil"/>
              <w:left w:val="nil"/>
              <w:bottom w:val="nil"/>
              <w:right w:val="nil"/>
            </w:tcBorders>
            <w:noWrap/>
            <w:hideMark/>
          </w:tcPr>
          <w:p w14:paraId="4D17E544" w14:textId="77777777" w:rsidR="00886B3E" w:rsidRPr="000E1B25" w:rsidRDefault="00886B3E" w:rsidP="000E1B25">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c>
          <w:tcPr>
            <w:tcW w:w="1465" w:type="dxa"/>
            <w:tcBorders>
              <w:top w:val="nil"/>
              <w:left w:val="nil"/>
              <w:bottom w:val="nil"/>
              <w:right w:val="nil"/>
            </w:tcBorders>
            <w:noWrap/>
            <w:hideMark/>
          </w:tcPr>
          <w:p w14:paraId="28C350F9" w14:textId="77777777" w:rsidR="00886B3E" w:rsidRPr="000E1B25" w:rsidRDefault="00886B3E" w:rsidP="000E1B25">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r>
      <w:tr w:rsidR="00886B3E" w:rsidRPr="00886B3E" w14:paraId="3E1B8629" w14:textId="77777777" w:rsidTr="413EB596">
        <w:tc>
          <w:tcPr>
            <w:tcW w:w="5387" w:type="dxa"/>
            <w:tcBorders>
              <w:top w:val="nil"/>
              <w:left w:val="nil"/>
              <w:bottom w:val="nil"/>
              <w:right w:val="nil"/>
            </w:tcBorders>
            <w:noWrap/>
            <w:vAlign w:val="bottom"/>
            <w:hideMark/>
          </w:tcPr>
          <w:p w14:paraId="507338BD" w14:textId="77777777" w:rsidR="00886B3E" w:rsidRPr="000E1B25" w:rsidRDefault="00886B3E" w:rsidP="00886B3E">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6F54974E" w14:textId="77777777" w:rsidR="00886B3E" w:rsidRPr="000E1B25" w:rsidRDefault="00886B3E"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1B3D73B7" w14:textId="355846F1" w:rsidR="00886B3E" w:rsidRPr="00F65403" w:rsidRDefault="00886B3E" w:rsidP="005D10F7">
            <w:pPr>
              <w:tabs>
                <w:tab w:val="decimal" w:pos="1110"/>
              </w:tabs>
              <w:spacing w:after="0" w:line="240" w:lineRule="auto"/>
              <w:rPr>
                <w:rFonts w:eastAsia="Times New Roman" w:cs="Arial"/>
                <w:sz w:val="20"/>
                <w:szCs w:val="20"/>
                <w:highlight w:val="yellow"/>
                <w:lang w:eastAsia="en-AU"/>
              </w:rPr>
            </w:pPr>
          </w:p>
        </w:tc>
        <w:tc>
          <w:tcPr>
            <w:tcW w:w="1465" w:type="dxa"/>
            <w:tcBorders>
              <w:top w:val="nil"/>
              <w:left w:val="nil"/>
              <w:bottom w:val="nil"/>
              <w:right w:val="nil"/>
            </w:tcBorders>
            <w:noWrap/>
            <w:vAlign w:val="bottom"/>
            <w:hideMark/>
          </w:tcPr>
          <w:p w14:paraId="1F8CE802"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06F70824" w14:textId="77777777" w:rsidTr="413EB596">
        <w:tc>
          <w:tcPr>
            <w:tcW w:w="5387" w:type="dxa"/>
            <w:tcBorders>
              <w:top w:val="nil"/>
              <w:left w:val="nil"/>
              <w:bottom w:val="nil"/>
              <w:right w:val="nil"/>
            </w:tcBorders>
            <w:noWrap/>
            <w:vAlign w:val="bottom"/>
            <w:hideMark/>
          </w:tcPr>
          <w:p w14:paraId="439D8EB5" w14:textId="77777777" w:rsidR="00886B3E" w:rsidRPr="000E1B25" w:rsidRDefault="00886B3E" w:rsidP="00886B3E">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operating activities</w:t>
            </w:r>
          </w:p>
        </w:tc>
        <w:tc>
          <w:tcPr>
            <w:tcW w:w="709" w:type="dxa"/>
            <w:tcBorders>
              <w:top w:val="nil"/>
              <w:left w:val="nil"/>
              <w:bottom w:val="nil"/>
              <w:right w:val="nil"/>
            </w:tcBorders>
            <w:noWrap/>
            <w:hideMark/>
          </w:tcPr>
          <w:p w14:paraId="0E78894D" w14:textId="77777777" w:rsidR="00886B3E" w:rsidRPr="000E1B25" w:rsidRDefault="00886B3E" w:rsidP="000E1B25">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413816C1"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1FCDC467"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0CF3986B" w14:textId="77777777" w:rsidTr="413EB596">
        <w:tc>
          <w:tcPr>
            <w:tcW w:w="5387" w:type="dxa"/>
            <w:tcBorders>
              <w:top w:val="nil"/>
              <w:left w:val="nil"/>
              <w:bottom w:val="nil"/>
              <w:right w:val="nil"/>
            </w:tcBorders>
            <w:noWrap/>
            <w:vAlign w:val="bottom"/>
            <w:hideMark/>
          </w:tcPr>
          <w:p w14:paraId="44C106CC"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Grants received</w:t>
            </w:r>
          </w:p>
        </w:tc>
        <w:tc>
          <w:tcPr>
            <w:tcW w:w="709" w:type="dxa"/>
            <w:tcBorders>
              <w:top w:val="nil"/>
              <w:left w:val="nil"/>
              <w:bottom w:val="nil"/>
              <w:right w:val="nil"/>
            </w:tcBorders>
            <w:noWrap/>
            <w:hideMark/>
          </w:tcPr>
          <w:p w14:paraId="3C2E9095"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616D811D" w14:textId="206AE917" w:rsidR="00886B3E" w:rsidRPr="000E1B25" w:rsidRDefault="00594871" w:rsidP="005D10F7">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1,500</w:t>
            </w:r>
          </w:p>
        </w:tc>
        <w:tc>
          <w:tcPr>
            <w:tcW w:w="1465" w:type="dxa"/>
            <w:tcBorders>
              <w:top w:val="nil"/>
              <w:left w:val="nil"/>
              <w:bottom w:val="nil"/>
              <w:right w:val="nil"/>
            </w:tcBorders>
            <w:noWrap/>
            <w:vAlign w:val="bottom"/>
            <w:hideMark/>
          </w:tcPr>
          <w:p w14:paraId="40FF1F56" w14:textId="343331DB"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 xml:space="preserve">1,500 </w:t>
            </w:r>
          </w:p>
        </w:tc>
      </w:tr>
      <w:tr w:rsidR="00886B3E" w:rsidRPr="00886B3E" w14:paraId="65E39699" w14:textId="77777777" w:rsidTr="413EB596">
        <w:tc>
          <w:tcPr>
            <w:tcW w:w="5387" w:type="dxa"/>
            <w:tcBorders>
              <w:top w:val="nil"/>
              <w:left w:val="nil"/>
              <w:bottom w:val="nil"/>
              <w:right w:val="nil"/>
            </w:tcBorders>
            <w:noWrap/>
            <w:vAlign w:val="bottom"/>
            <w:hideMark/>
          </w:tcPr>
          <w:p w14:paraId="45A799F6"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to suppliers and employees</w:t>
            </w:r>
          </w:p>
        </w:tc>
        <w:tc>
          <w:tcPr>
            <w:tcW w:w="709" w:type="dxa"/>
            <w:tcBorders>
              <w:top w:val="nil"/>
              <w:left w:val="nil"/>
              <w:bottom w:val="nil"/>
              <w:right w:val="nil"/>
            </w:tcBorders>
            <w:noWrap/>
            <w:hideMark/>
          </w:tcPr>
          <w:p w14:paraId="49CA43AA"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6F92ADAB" w14:textId="214A5C5A" w:rsidR="00886B3E" w:rsidRPr="000E1B25" w:rsidRDefault="00594871" w:rsidP="005D10F7">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(85</w:t>
            </w:r>
            <w:r w:rsidR="00A5502C">
              <w:rPr>
                <w:rFonts w:eastAsia="Times New Roman" w:cs="Arial"/>
                <w:sz w:val="20"/>
                <w:szCs w:val="20"/>
                <w:lang w:eastAsia="en-AU"/>
              </w:rPr>
              <w:t>,604)</w:t>
            </w:r>
          </w:p>
        </w:tc>
        <w:tc>
          <w:tcPr>
            <w:tcW w:w="1465" w:type="dxa"/>
            <w:tcBorders>
              <w:top w:val="nil"/>
              <w:left w:val="nil"/>
              <w:bottom w:val="nil"/>
              <w:right w:val="nil"/>
            </w:tcBorders>
            <w:noWrap/>
            <w:vAlign w:val="bottom"/>
            <w:hideMark/>
          </w:tcPr>
          <w:p w14:paraId="691D5BF3" w14:textId="77777777"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(2,222)</w:t>
            </w:r>
          </w:p>
        </w:tc>
      </w:tr>
      <w:tr w:rsidR="00886B3E" w:rsidRPr="00886B3E" w14:paraId="3CA0FF70" w14:textId="77777777" w:rsidTr="413EB596">
        <w:tc>
          <w:tcPr>
            <w:tcW w:w="5387" w:type="dxa"/>
            <w:tcBorders>
              <w:top w:val="nil"/>
              <w:left w:val="nil"/>
              <w:bottom w:val="nil"/>
              <w:right w:val="nil"/>
            </w:tcBorders>
            <w:noWrap/>
            <w:vAlign w:val="bottom"/>
            <w:hideMark/>
          </w:tcPr>
          <w:p w14:paraId="68A8D0C5"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Interest received</w:t>
            </w:r>
          </w:p>
        </w:tc>
        <w:tc>
          <w:tcPr>
            <w:tcW w:w="709" w:type="dxa"/>
            <w:tcBorders>
              <w:top w:val="nil"/>
              <w:left w:val="nil"/>
              <w:bottom w:val="nil"/>
              <w:right w:val="nil"/>
            </w:tcBorders>
            <w:noWrap/>
            <w:hideMark/>
          </w:tcPr>
          <w:p w14:paraId="2F5E0CA1"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46174804" w14:textId="1EB8E691" w:rsidR="00886B3E" w:rsidRPr="000E1B25" w:rsidRDefault="00A5502C" w:rsidP="005D10F7">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19,641</w:t>
            </w:r>
          </w:p>
        </w:tc>
        <w:tc>
          <w:tcPr>
            <w:tcW w:w="1465" w:type="dxa"/>
            <w:tcBorders>
              <w:top w:val="nil"/>
              <w:left w:val="nil"/>
              <w:bottom w:val="nil"/>
              <w:right w:val="nil"/>
            </w:tcBorders>
            <w:noWrap/>
            <w:vAlign w:val="bottom"/>
            <w:hideMark/>
          </w:tcPr>
          <w:p w14:paraId="06329EE4" w14:textId="3361C184"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 xml:space="preserve">2,032 </w:t>
            </w:r>
          </w:p>
        </w:tc>
      </w:tr>
      <w:tr w:rsidR="00886B3E" w:rsidRPr="00886B3E" w14:paraId="48DC51A0" w14:textId="77777777" w:rsidTr="413EB596">
        <w:tc>
          <w:tcPr>
            <w:tcW w:w="5387" w:type="dxa"/>
            <w:tcBorders>
              <w:top w:val="nil"/>
              <w:left w:val="nil"/>
              <w:bottom w:val="nil"/>
              <w:right w:val="nil"/>
            </w:tcBorders>
            <w:noWrap/>
            <w:vAlign w:val="bottom"/>
            <w:hideMark/>
          </w:tcPr>
          <w:p w14:paraId="115FB484" w14:textId="3F3BB6EA"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Interest paid</w:t>
            </w:r>
          </w:p>
        </w:tc>
        <w:tc>
          <w:tcPr>
            <w:tcW w:w="709" w:type="dxa"/>
            <w:tcBorders>
              <w:top w:val="nil"/>
              <w:left w:val="nil"/>
              <w:bottom w:val="nil"/>
              <w:right w:val="nil"/>
            </w:tcBorders>
            <w:noWrap/>
            <w:hideMark/>
          </w:tcPr>
          <w:p w14:paraId="1F9CE5CD"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6128A5A3" w14:textId="49A13CD9" w:rsidR="00886B3E" w:rsidRPr="000E1B25" w:rsidRDefault="00100D9D" w:rsidP="005D10F7">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(284)</w:t>
            </w:r>
          </w:p>
        </w:tc>
        <w:tc>
          <w:tcPr>
            <w:tcW w:w="1465" w:type="dxa"/>
            <w:tcBorders>
              <w:top w:val="nil"/>
              <w:left w:val="nil"/>
              <w:bottom w:val="single" w:sz="4" w:space="0" w:color="auto"/>
              <w:right w:val="nil"/>
            </w:tcBorders>
            <w:noWrap/>
            <w:vAlign w:val="bottom"/>
            <w:hideMark/>
          </w:tcPr>
          <w:p w14:paraId="6F6758F2" w14:textId="297CD572"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86B3E" w:rsidRPr="00886B3E" w14:paraId="4FBABDD5" w14:textId="77777777" w:rsidTr="413EB596">
        <w:tc>
          <w:tcPr>
            <w:tcW w:w="5387" w:type="dxa"/>
            <w:tcBorders>
              <w:top w:val="nil"/>
              <w:left w:val="nil"/>
              <w:bottom w:val="nil"/>
              <w:right w:val="nil"/>
            </w:tcBorders>
            <w:noWrap/>
            <w:vAlign w:val="bottom"/>
            <w:hideMark/>
          </w:tcPr>
          <w:p w14:paraId="35737BF1" w14:textId="2D6D3967" w:rsidR="00886B3E" w:rsidRPr="000E1B25" w:rsidRDefault="00886B3E" w:rsidP="00886B3E">
            <w:pPr>
              <w:spacing w:after="0" w:line="240" w:lineRule="auto"/>
              <w:rPr>
                <w:rFonts w:eastAsia="Times New Roman" w:cs="Arial"/>
                <w:b/>
                <w:color w:val="000000"/>
                <w:sz w:val="20"/>
                <w:szCs w:val="20"/>
                <w:lang w:eastAsia="en-AU"/>
              </w:rPr>
            </w:pPr>
            <w:r w:rsidRPr="7F1A92DC">
              <w:rPr>
                <w:rFonts w:eastAsia="Times New Roman" w:cs="Arial"/>
                <w:b/>
                <w:color w:val="000000" w:themeColor="text1"/>
                <w:sz w:val="20"/>
                <w:szCs w:val="20"/>
                <w:lang w:eastAsia="en-AU"/>
              </w:rPr>
              <w:t>Net cash flows</w:t>
            </w:r>
            <w:r w:rsidR="00192691" w:rsidRPr="7F1A92DC">
              <w:rPr>
                <w:rFonts w:eastAsia="Times New Roman" w:cs="Arial"/>
                <w:b/>
                <w:color w:val="000000" w:themeColor="text1"/>
                <w:sz w:val="20"/>
                <w:szCs w:val="20"/>
                <w:lang w:eastAsia="en-AU"/>
              </w:rPr>
              <w:t xml:space="preserve"> (used in)/</w:t>
            </w:r>
            <w:r w:rsidRPr="7F1A92DC">
              <w:rPr>
                <w:rFonts w:eastAsia="Times New Roman" w:cs="Arial"/>
                <w:b/>
                <w:color w:val="000000" w:themeColor="text1"/>
                <w:sz w:val="20"/>
                <w:szCs w:val="20"/>
                <w:lang w:eastAsia="en-AU"/>
              </w:rPr>
              <w:t>from operating activities</w:t>
            </w:r>
          </w:p>
        </w:tc>
        <w:tc>
          <w:tcPr>
            <w:tcW w:w="709" w:type="dxa"/>
            <w:tcBorders>
              <w:top w:val="nil"/>
              <w:left w:val="nil"/>
              <w:bottom w:val="nil"/>
              <w:right w:val="nil"/>
            </w:tcBorders>
            <w:noWrap/>
            <w:hideMark/>
          </w:tcPr>
          <w:p w14:paraId="2A66ACD6" w14:textId="3800882C" w:rsidR="00886B3E" w:rsidRPr="000E1B25" w:rsidRDefault="00BD3B7B" w:rsidP="00886B3E">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w:t>
            </w:r>
            <w:r w:rsidR="00740166">
              <w:rPr>
                <w:rFonts w:eastAsia="Times New Roman" w:cs="Arial"/>
                <w:color w:val="000000"/>
                <w:sz w:val="20"/>
                <w:szCs w:val="20"/>
                <w:lang w:eastAsia="en-AU"/>
              </w:rPr>
              <w:t>ii</w:t>
            </w:r>
          </w:p>
        </w:tc>
        <w:tc>
          <w:tcPr>
            <w:tcW w:w="1465" w:type="dxa"/>
            <w:tcBorders>
              <w:top w:val="nil"/>
              <w:left w:val="nil"/>
              <w:bottom w:val="nil"/>
              <w:right w:val="nil"/>
            </w:tcBorders>
            <w:noWrap/>
            <w:vAlign w:val="bottom"/>
            <w:hideMark/>
          </w:tcPr>
          <w:p w14:paraId="400150E1" w14:textId="78077457" w:rsidR="00886B3E" w:rsidRPr="000E1B25" w:rsidRDefault="00387B4B" w:rsidP="005D10F7">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r w:rsidR="00273022">
              <w:rPr>
                <w:rFonts w:eastAsia="Times New Roman" w:cs="Arial"/>
                <w:b/>
                <w:color w:val="000000"/>
                <w:sz w:val="20"/>
                <w:szCs w:val="20"/>
                <w:lang w:eastAsia="en-AU"/>
              </w:rPr>
              <w:t>64,747</w:t>
            </w:r>
            <w:r>
              <w:rPr>
                <w:rFonts w:eastAsia="Times New Roman" w:cs="Arial"/>
                <w:b/>
                <w:color w:val="000000"/>
                <w:sz w:val="20"/>
                <w:szCs w:val="20"/>
                <w:lang w:eastAsia="en-AU"/>
              </w:rPr>
              <w:t>)</w:t>
            </w:r>
          </w:p>
        </w:tc>
        <w:tc>
          <w:tcPr>
            <w:tcW w:w="1465" w:type="dxa"/>
            <w:tcBorders>
              <w:top w:val="nil"/>
              <w:left w:val="nil"/>
              <w:bottom w:val="nil"/>
              <w:right w:val="nil"/>
            </w:tcBorders>
            <w:noWrap/>
            <w:vAlign w:val="bottom"/>
            <w:hideMark/>
          </w:tcPr>
          <w:p w14:paraId="0D8897FD" w14:textId="755D8E86" w:rsidR="00886B3E" w:rsidRPr="000E1B25" w:rsidRDefault="00886B3E" w:rsidP="005D10F7">
            <w:pPr>
              <w:tabs>
                <w:tab w:val="decimal" w:pos="1110"/>
              </w:tabs>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 xml:space="preserve">1,310 </w:t>
            </w:r>
          </w:p>
        </w:tc>
      </w:tr>
      <w:tr w:rsidR="00886B3E" w:rsidRPr="00886B3E" w14:paraId="78F02C26" w14:textId="77777777" w:rsidTr="413EB596">
        <w:tc>
          <w:tcPr>
            <w:tcW w:w="5387" w:type="dxa"/>
            <w:tcBorders>
              <w:top w:val="nil"/>
              <w:left w:val="nil"/>
              <w:bottom w:val="nil"/>
              <w:right w:val="nil"/>
            </w:tcBorders>
            <w:noWrap/>
            <w:vAlign w:val="bottom"/>
            <w:hideMark/>
          </w:tcPr>
          <w:p w14:paraId="239CBC13" w14:textId="77777777" w:rsidR="00886B3E" w:rsidRPr="000E1B25" w:rsidRDefault="00886B3E" w:rsidP="00886B3E">
            <w:pPr>
              <w:spacing w:after="0" w:line="240" w:lineRule="auto"/>
              <w:rPr>
                <w:rFonts w:eastAsia="Times New Roman" w:cs="Arial"/>
                <w:b/>
                <w:color w:val="000000"/>
                <w:sz w:val="20"/>
                <w:szCs w:val="20"/>
                <w:lang w:eastAsia="en-AU"/>
              </w:rPr>
            </w:pPr>
          </w:p>
        </w:tc>
        <w:tc>
          <w:tcPr>
            <w:tcW w:w="709" w:type="dxa"/>
            <w:tcBorders>
              <w:top w:val="nil"/>
              <w:left w:val="nil"/>
              <w:bottom w:val="nil"/>
              <w:right w:val="nil"/>
            </w:tcBorders>
            <w:noWrap/>
            <w:hideMark/>
          </w:tcPr>
          <w:p w14:paraId="4EE7E989" w14:textId="77777777" w:rsidR="00886B3E" w:rsidRPr="000E1B25" w:rsidRDefault="00886B3E"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31F7154C"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6EF8C6FE"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263E3E7B" w14:textId="77777777" w:rsidTr="413EB596">
        <w:tc>
          <w:tcPr>
            <w:tcW w:w="5387" w:type="dxa"/>
            <w:tcBorders>
              <w:top w:val="nil"/>
              <w:left w:val="nil"/>
              <w:bottom w:val="nil"/>
              <w:right w:val="nil"/>
            </w:tcBorders>
            <w:noWrap/>
            <w:vAlign w:val="bottom"/>
            <w:hideMark/>
          </w:tcPr>
          <w:p w14:paraId="162BA478" w14:textId="77777777" w:rsidR="00886B3E" w:rsidRPr="000E1B25" w:rsidRDefault="00886B3E" w:rsidP="00886B3E">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investing activities</w:t>
            </w:r>
          </w:p>
        </w:tc>
        <w:tc>
          <w:tcPr>
            <w:tcW w:w="709" w:type="dxa"/>
            <w:tcBorders>
              <w:top w:val="nil"/>
              <w:left w:val="nil"/>
              <w:bottom w:val="nil"/>
              <w:right w:val="nil"/>
            </w:tcBorders>
            <w:noWrap/>
            <w:hideMark/>
          </w:tcPr>
          <w:p w14:paraId="23513C41" w14:textId="77777777" w:rsidR="00886B3E" w:rsidRPr="000E1B25" w:rsidRDefault="00886B3E" w:rsidP="000E1B25">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7E8146FA"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408CDBF5"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734BD21F" w14:textId="77777777" w:rsidTr="413EB596">
        <w:tc>
          <w:tcPr>
            <w:tcW w:w="5387" w:type="dxa"/>
            <w:tcBorders>
              <w:top w:val="nil"/>
              <w:left w:val="nil"/>
              <w:bottom w:val="nil"/>
              <w:right w:val="nil"/>
            </w:tcBorders>
            <w:noWrap/>
            <w:vAlign w:val="bottom"/>
            <w:hideMark/>
          </w:tcPr>
          <w:p w14:paraId="67C17F8E"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for property, plant and equipment</w:t>
            </w:r>
          </w:p>
        </w:tc>
        <w:tc>
          <w:tcPr>
            <w:tcW w:w="709" w:type="dxa"/>
            <w:tcBorders>
              <w:top w:val="nil"/>
              <w:left w:val="nil"/>
              <w:bottom w:val="nil"/>
              <w:right w:val="nil"/>
            </w:tcBorders>
            <w:noWrap/>
            <w:hideMark/>
          </w:tcPr>
          <w:p w14:paraId="0547501E"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1BD94719" w14:textId="0F82AA2F" w:rsidR="00886B3E" w:rsidRPr="000E1B25" w:rsidRDefault="00485D3C" w:rsidP="005D10F7">
            <w:pPr>
              <w:tabs>
                <w:tab w:val="decimal" w:pos="1110"/>
              </w:tabs>
              <w:spacing w:after="0" w:line="240" w:lineRule="auto"/>
              <w:rPr>
                <w:rFonts w:eastAsia="Times New Roman" w:cs="Arial"/>
                <w:sz w:val="20"/>
                <w:szCs w:val="20"/>
                <w:lang w:eastAsia="en-AU"/>
              </w:rPr>
            </w:pPr>
            <w:r w:rsidRPr="49BCD735">
              <w:rPr>
                <w:rFonts w:eastAsia="Times New Roman" w:cs="Arial"/>
                <w:sz w:val="20"/>
                <w:szCs w:val="20"/>
                <w:lang w:eastAsia="en-AU"/>
              </w:rPr>
              <w:t>(</w:t>
            </w:r>
            <w:r w:rsidR="00273022" w:rsidRPr="49BCD735">
              <w:rPr>
                <w:rFonts w:eastAsia="Times New Roman" w:cs="Arial"/>
                <w:sz w:val="20"/>
                <w:szCs w:val="20"/>
                <w:lang w:eastAsia="en-AU"/>
              </w:rPr>
              <w:t>67,56</w:t>
            </w:r>
            <w:r w:rsidR="00A0430B" w:rsidRPr="49BCD735">
              <w:rPr>
                <w:rFonts w:eastAsia="Times New Roman" w:cs="Arial"/>
                <w:sz w:val="20"/>
                <w:szCs w:val="20"/>
                <w:lang w:eastAsia="en-AU"/>
              </w:rPr>
              <w:t>8</w:t>
            </w:r>
            <w:r w:rsidRPr="49BCD735">
              <w:rPr>
                <w:rFonts w:eastAsia="Times New Roman" w:cs="Arial"/>
                <w:sz w:val="20"/>
                <w:szCs w:val="20"/>
                <w:lang w:eastAsia="en-AU"/>
              </w:rPr>
              <w:t>)</w:t>
            </w:r>
          </w:p>
        </w:tc>
        <w:tc>
          <w:tcPr>
            <w:tcW w:w="1465" w:type="dxa"/>
            <w:tcBorders>
              <w:top w:val="nil"/>
              <w:left w:val="nil"/>
              <w:bottom w:val="nil"/>
              <w:right w:val="nil"/>
            </w:tcBorders>
            <w:noWrap/>
            <w:vAlign w:val="bottom"/>
            <w:hideMark/>
          </w:tcPr>
          <w:p w14:paraId="79894665" w14:textId="60E05026"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86B3E" w:rsidRPr="00886B3E" w14:paraId="59F5CCE7" w14:textId="77777777" w:rsidTr="413EB596">
        <w:tc>
          <w:tcPr>
            <w:tcW w:w="5387" w:type="dxa"/>
            <w:tcBorders>
              <w:top w:val="nil"/>
              <w:left w:val="nil"/>
              <w:bottom w:val="nil"/>
              <w:right w:val="nil"/>
            </w:tcBorders>
            <w:vAlign w:val="bottom"/>
            <w:hideMark/>
          </w:tcPr>
          <w:p w14:paraId="222E4440"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for investments in equity accounted investees</w:t>
            </w:r>
          </w:p>
        </w:tc>
        <w:tc>
          <w:tcPr>
            <w:tcW w:w="709" w:type="dxa"/>
            <w:tcBorders>
              <w:top w:val="nil"/>
              <w:left w:val="nil"/>
              <w:bottom w:val="nil"/>
              <w:right w:val="nil"/>
            </w:tcBorders>
            <w:noWrap/>
            <w:hideMark/>
          </w:tcPr>
          <w:p w14:paraId="63FD1F51"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00A75EFD" w14:textId="74A2D000" w:rsidR="00886B3E" w:rsidRPr="000E1B25" w:rsidRDefault="00485D3C" w:rsidP="005D10F7">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(119,600)</w:t>
            </w:r>
          </w:p>
        </w:tc>
        <w:tc>
          <w:tcPr>
            <w:tcW w:w="1465" w:type="dxa"/>
            <w:tcBorders>
              <w:top w:val="nil"/>
              <w:left w:val="nil"/>
              <w:bottom w:val="single" w:sz="4" w:space="0" w:color="auto"/>
              <w:right w:val="nil"/>
            </w:tcBorders>
            <w:noWrap/>
            <w:vAlign w:val="bottom"/>
            <w:hideMark/>
          </w:tcPr>
          <w:p w14:paraId="2FF3CD5A" w14:textId="77777777"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(73,095)</w:t>
            </w:r>
          </w:p>
        </w:tc>
      </w:tr>
      <w:tr w:rsidR="00886B3E" w:rsidRPr="00886B3E" w14:paraId="0328892B" w14:textId="77777777" w:rsidTr="413EB596">
        <w:tc>
          <w:tcPr>
            <w:tcW w:w="5387" w:type="dxa"/>
            <w:tcBorders>
              <w:top w:val="nil"/>
              <w:left w:val="nil"/>
              <w:bottom w:val="nil"/>
              <w:right w:val="nil"/>
            </w:tcBorders>
            <w:noWrap/>
            <w:vAlign w:val="bottom"/>
            <w:hideMark/>
          </w:tcPr>
          <w:p w14:paraId="73EB1B90" w14:textId="66662575" w:rsidR="00886B3E" w:rsidRPr="000E1B25" w:rsidRDefault="00886B3E"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Net cash flows used in investing activities</w:t>
            </w:r>
          </w:p>
        </w:tc>
        <w:tc>
          <w:tcPr>
            <w:tcW w:w="709" w:type="dxa"/>
            <w:tcBorders>
              <w:top w:val="nil"/>
              <w:left w:val="nil"/>
              <w:bottom w:val="nil"/>
              <w:right w:val="nil"/>
            </w:tcBorders>
            <w:noWrap/>
            <w:hideMark/>
          </w:tcPr>
          <w:p w14:paraId="1D8D4B9D" w14:textId="77777777" w:rsidR="00886B3E" w:rsidRPr="000E1B25" w:rsidRDefault="00886B3E" w:rsidP="000E1B25">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509A99E1" w14:textId="549406CB" w:rsidR="00886B3E" w:rsidRPr="000E1B25" w:rsidRDefault="00485D3C" w:rsidP="49BCD735">
            <w:pPr>
              <w:tabs>
                <w:tab w:val="decimal" w:pos="1110"/>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w:t>
            </w:r>
            <w:r w:rsidR="00394344" w:rsidRPr="49BCD735">
              <w:rPr>
                <w:rFonts w:eastAsia="Times New Roman" w:cs="Arial"/>
                <w:b/>
                <w:bCs/>
                <w:color w:val="000000" w:themeColor="text1"/>
                <w:sz w:val="20"/>
                <w:szCs w:val="20"/>
                <w:lang w:eastAsia="en-AU"/>
              </w:rPr>
              <w:t>187,16</w:t>
            </w:r>
            <w:r w:rsidR="00A0430B" w:rsidRPr="49BCD735">
              <w:rPr>
                <w:rFonts w:eastAsia="Times New Roman" w:cs="Arial"/>
                <w:b/>
                <w:bCs/>
                <w:color w:val="000000" w:themeColor="text1"/>
                <w:sz w:val="20"/>
                <w:szCs w:val="20"/>
                <w:lang w:eastAsia="en-AU"/>
              </w:rPr>
              <w:t>8</w:t>
            </w:r>
            <w:r w:rsidRPr="49BCD735">
              <w:rPr>
                <w:rFonts w:eastAsia="Times New Roman" w:cs="Arial"/>
                <w:b/>
                <w:bCs/>
                <w:color w:val="000000" w:themeColor="text1"/>
                <w:sz w:val="20"/>
                <w:szCs w:val="20"/>
                <w:lang w:eastAsia="en-AU"/>
              </w:rPr>
              <w:t>)</w:t>
            </w:r>
          </w:p>
        </w:tc>
        <w:tc>
          <w:tcPr>
            <w:tcW w:w="1465" w:type="dxa"/>
            <w:tcBorders>
              <w:top w:val="nil"/>
              <w:left w:val="nil"/>
              <w:bottom w:val="nil"/>
              <w:right w:val="nil"/>
            </w:tcBorders>
            <w:noWrap/>
            <w:vAlign w:val="bottom"/>
            <w:hideMark/>
          </w:tcPr>
          <w:p w14:paraId="560E3064" w14:textId="77777777" w:rsidR="00886B3E" w:rsidRPr="000E1B25" w:rsidRDefault="00886B3E" w:rsidP="005D10F7">
            <w:pPr>
              <w:tabs>
                <w:tab w:val="decimal" w:pos="1110"/>
              </w:tabs>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(73,095)</w:t>
            </w:r>
          </w:p>
        </w:tc>
      </w:tr>
      <w:tr w:rsidR="00886B3E" w:rsidRPr="00886B3E" w14:paraId="6FC32708" w14:textId="77777777" w:rsidTr="413EB596">
        <w:tc>
          <w:tcPr>
            <w:tcW w:w="5387" w:type="dxa"/>
            <w:tcBorders>
              <w:top w:val="nil"/>
              <w:left w:val="nil"/>
              <w:bottom w:val="nil"/>
              <w:right w:val="nil"/>
            </w:tcBorders>
            <w:noWrap/>
            <w:vAlign w:val="bottom"/>
            <w:hideMark/>
          </w:tcPr>
          <w:p w14:paraId="73E04AC0" w14:textId="77777777" w:rsidR="00886B3E" w:rsidRPr="000E1B25" w:rsidRDefault="00886B3E" w:rsidP="00886B3E">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7EA0A70D" w14:textId="77777777" w:rsidR="00886B3E" w:rsidRPr="000E1B25" w:rsidRDefault="00886B3E"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74358EF0"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45B978B6"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566EE104" w14:textId="77777777" w:rsidTr="413EB596">
        <w:tc>
          <w:tcPr>
            <w:tcW w:w="5387" w:type="dxa"/>
            <w:tcBorders>
              <w:top w:val="nil"/>
              <w:left w:val="nil"/>
              <w:bottom w:val="nil"/>
              <w:right w:val="nil"/>
            </w:tcBorders>
            <w:noWrap/>
            <w:vAlign w:val="bottom"/>
            <w:hideMark/>
          </w:tcPr>
          <w:p w14:paraId="1F9C1A70" w14:textId="77777777" w:rsidR="00886B3E" w:rsidRPr="000E1B25" w:rsidRDefault="00886B3E" w:rsidP="00886B3E">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financing activities</w:t>
            </w:r>
          </w:p>
        </w:tc>
        <w:tc>
          <w:tcPr>
            <w:tcW w:w="709" w:type="dxa"/>
            <w:tcBorders>
              <w:top w:val="nil"/>
              <w:left w:val="nil"/>
              <w:bottom w:val="nil"/>
              <w:right w:val="nil"/>
            </w:tcBorders>
            <w:noWrap/>
            <w:hideMark/>
          </w:tcPr>
          <w:p w14:paraId="42AF10A1" w14:textId="77777777" w:rsidR="00886B3E" w:rsidRPr="000E1B25" w:rsidRDefault="00886B3E" w:rsidP="000E1B25">
            <w:pPr>
              <w:spacing w:after="0" w:line="240" w:lineRule="auto"/>
              <w:jc w:val="center"/>
              <w:rPr>
                <w:rFonts w:eastAsia="Times New Roman" w:cs="Arial"/>
                <w:b/>
                <w:color w:val="000000"/>
                <w:sz w:val="20"/>
                <w:szCs w:val="20"/>
                <w:lang w:eastAsia="en-AU"/>
              </w:rPr>
            </w:pPr>
          </w:p>
        </w:tc>
        <w:tc>
          <w:tcPr>
            <w:tcW w:w="1465" w:type="dxa"/>
            <w:tcBorders>
              <w:top w:val="nil"/>
              <w:left w:val="nil"/>
              <w:right w:val="nil"/>
            </w:tcBorders>
            <w:noWrap/>
            <w:vAlign w:val="bottom"/>
            <w:hideMark/>
          </w:tcPr>
          <w:p w14:paraId="511DD770"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c>
          <w:tcPr>
            <w:tcW w:w="1465" w:type="dxa"/>
            <w:tcBorders>
              <w:top w:val="nil"/>
              <w:left w:val="nil"/>
              <w:right w:val="nil"/>
            </w:tcBorders>
            <w:noWrap/>
            <w:vAlign w:val="bottom"/>
            <w:hideMark/>
          </w:tcPr>
          <w:p w14:paraId="00DED38F" w14:textId="77777777" w:rsidR="00886B3E" w:rsidRPr="000E1B25" w:rsidRDefault="00886B3E" w:rsidP="005D10F7">
            <w:pPr>
              <w:tabs>
                <w:tab w:val="decimal" w:pos="1110"/>
              </w:tabs>
              <w:spacing w:after="0" w:line="240" w:lineRule="auto"/>
              <w:rPr>
                <w:rFonts w:eastAsia="Times New Roman" w:cs="Arial"/>
                <w:sz w:val="20"/>
                <w:szCs w:val="20"/>
                <w:lang w:eastAsia="en-AU"/>
              </w:rPr>
            </w:pPr>
          </w:p>
        </w:tc>
      </w:tr>
      <w:tr w:rsidR="00886B3E" w:rsidRPr="00886B3E" w14:paraId="483D32B5" w14:textId="77777777" w:rsidTr="413EB596">
        <w:tc>
          <w:tcPr>
            <w:tcW w:w="5387" w:type="dxa"/>
            <w:tcBorders>
              <w:top w:val="nil"/>
              <w:left w:val="nil"/>
              <w:bottom w:val="nil"/>
              <w:right w:val="nil"/>
            </w:tcBorders>
            <w:noWrap/>
            <w:vAlign w:val="bottom"/>
            <w:hideMark/>
          </w:tcPr>
          <w:p w14:paraId="263AA2BA"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Owner contributions by State Government</w:t>
            </w:r>
          </w:p>
        </w:tc>
        <w:tc>
          <w:tcPr>
            <w:tcW w:w="709" w:type="dxa"/>
            <w:tcBorders>
              <w:top w:val="nil"/>
              <w:left w:val="nil"/>
              <w:bottom w:val="nil"/>
              <w:right w:val="nil"/>
            </w:tcBorders>
            <w:noWrap/>
            <w:hideMark/>
          </w:tcPr>
          <w:p w14:paraId="32818E77"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2F433D5A" w14:textId="11DC1A40" w:rsidR="00886B3E" w:rsidRPr="000E1B25" w:rsidRDefault="00753393" w:rsidP="005D10F7">
            <w:pPr>
              <w:tabs>
                <w:tab w:val="decimal" w:pos="1110"/>
              </w:tabs>
              <w:spacing w:after="0" w:line="240" w:lineRule="auto"/>
              <w:rPr>
                <w:rFonts w:eastAsia="Times New Roman" w:cs="Arial"/>
                <w:sz w:val="20"/>
                <w:szCs w:val="20"/>
                <w:lang w:eastAsia="en-AU"/>
              </w:rPr>
            </w:pPr>
            <w:r w:rsidRPr="00F65403">
              <w:rPr>
                <w:rFonts w:eastAsia="Times New Roman" w:cs="Arial"/>
                <w:sz w:val="20"/>
                <w:szCs w:val="20"/>
                <w:lang w:eastAsia="en-AU"/>
              </w:rPr>
              <w:t>344,000</w:t>
            </w:r>
          </w:p>
        </w:tc>
        <w:tc>
          <w:tcPr>
            <w:tcW w:w="1465" w:type="dxa"/>
            <w:tcBorders>
              <w:top w:val="nil"/>
              <w:left w:val="nil"/>
              <w:bottom w:val="single" w:sz="4" w:space="0" w:color="auto"/>
              <w:right w:val="nil"/>
            </w:tcBorders>
            <w:noWrap/>
            <w:vAlign w:val="bottom"/>
            <w:hideMark/>
          </w:tcPr>
          <w:p w14:paraId="41958288" w14:textId="2A6A274F"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336,000</w:t>
            </w:r>
          </w:p>
        </w:tc>
      </w:tr>
      <w:tr w:rsidR="00886B3E" w:rsidRPr="00886B3E" w14:paraId="61FF1403" w14:textId="77777777" w:rsidTr="413EB596">
        <w:tc>
          <w:tcPr>
            <w:tcW w:w="5387" w:type="dxa"/>
            <w:tcBorders>
              <w:top w:val="nil"/>
              <w:left w:val="nil"/>
              <w:bottom w:val="nil"/>
              <w:right w:val="nil"/>
            </w:tcBorders>
            <w:noWrap/>
            <w:vAlign w:val="bottom"/>
            <w:hideMark/>
          </w:tcPr>
          <w:p w14:paraId="3BC85976" w14:textId="2BFB41A6" w:rsidR="00886B3E" w:rsidRPr="000E1B25" w:rsidRDefault="00886B3E"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Net cash flows from</w:t>
            </w:r>
            <w:r w:rsidR="003C4F3F" w:rsidRPr="413EB596">
              <w:rPr>
                <w:rFonts w:eastAsia="Times New Roman" w:cs="Arial"/>
                <w:b/>
                <w:bCs/>
                <w:color w:val="000000" w:themeColor="text1"/>
                <w:sz w:val="20"/>
                <w:szCs w:val="20"/>
                <w:lang w:eastAsia="en-AU"/>
              </w:rPr>
              <w:t xml:space="preserve"> </w:t>
            </w:r>
            <w:r w:rsidRPr="413EB596">
              <w:rPr>
                <w:rFonts w:eastAsia="Times New Roman" w:cs="Arial"/>
                <w:b/>
                <w:bCs/>
                <w:color w:val="000000" w:themeColor="text1"/>
                <w:sz w:val="20"/>
                <w:szCs w:val="20"/>
                <w:lang w:eastAsia="en-AU"/>
              </w:rPr>
              <w:t>financing activities</w:t>
            </w:r>
          </w:p>
        </w:tc>
        <w:tc>
          <w:tcPr>
            <w:tcW w:w="709" w:type="dxa"/>
            <w:tcBorders>
              <w:top w:val="nil"/>
              <w:left w:val="nil"/>
              <w:bottom w:val="nil"/>
              <w:right w:val="nil"/>
            </w:tcBorders>
            <w:noWrap/>
            <w:hideMark/>
          </w:tcPr>
          <w:p w14:paraId="101CC9B4" w14:textId="77777777" w:rsidR="00886B3E" w:rsidRPr="000E1B25" w:rsidRDefault="00886B3E" w:rsidP="000E1B25">
            <w:pPr>
              <w:spacing w:after="0" w:line="240" w:lineRule="auto"/>
              <w:jc w:val="center"/>
              <w:rPr>
                <w:rFonts w:eastAsia="Times New Roman" w:cs="Arial"/>
                <w:b/>
                <w:color w:val="000000"/>
                <w:sz w:val="20"/>
                <w:szCs w:val="20"/>
                <w:lang w:eastAsia="en-AU"/>
              </w:rPr>
            </w:pPr>
          </w:p>
        </w:tc>
        <w:tc>
          <w:tcPr>
            <w:tcW w:w="1465" w:type="dxa"/>
            <w:tcBorders>
              <w:top w:val="single" w:sz="4" w:space="0" w:color="auto"/>
              <w:left w:val="nil"/>
              <w:bottom w:val="nil"/>
              <w:right w:val="nil"/>
            </w:tcBorders>
            <w:noWrap/>
            <w:vAlign w:val="bottom"/>
            <w:hideMark/>
          </w:tcPr>
          <w:p w14:paraId="3B72BCF5" w14:textId="61A0E90C" w:rsidR="00886B3E" w:rsidRPr="000E1B25" w:rsidRDefault="00485D3C" w:rsidP="005D10F7">
            <w:pPr>
              <w:tabs>
                <w:tab w:val="decimal" w:pos="1110"/>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344,000</w:t>
            </w:r>
          </w:p>
        </w:tc>
        <w:tc>
          <w:tcPr>
            <w:tcW w:w="1465" w:type="dxa"/>
            <w:tcBorders>
              <w:top w:val="single" w:sz="4" w:space="0" w:color="auto"/>
              <w:left w:val="nil"/>
              <w:bottom w:val="nil"/>
              <w:right w:val="nil"/>
            </w:tcBorders>
            <w:noWrap/>
            <w:vAlign w:val="bottom"/>
            <w:hideMark/>
          </w:tcPr>
          <w:p w14:paraId="3BC7D02E" w14:textId="467A70EC" w:rsidR="00886B3E" w:rsidRPr="000E1B25" w:rsidRDefault="00886B3E" w:rsidP="005D10F7">
            <w:pPr>
              <w:tabs>
                <w:tab w:val="decimal" w:pos="1110"/>
              </w:tabs>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336,000</w:t>
            </w:r>
          </w:p>
        </w:tc>
      </w:tr>
      <w:tr w:rsidR="000E1B25" w:rsidRPr="000E1B25" w14:paraId="231A7925" w14:textId="77777777" w:rsidTr="413EB596">
        <w:tc>
          <w:tcPr>
            <w:tcW w:w="5387" w:type="dxa"/>
            <w:tcBorders>
              <w:top w:val="nil"/>
              <w:left w:val="nil"/>
              <w:bottom w:val="nil"/>
              <w:right w:val="nil"/>
            </w:tcBorders>
            <w:noWrap/>
            <w:vAlign w:val="bottom"/>
          </w:tcPr>
          <w:p w14:paraId="091814DB" w14:textId="77777777" w:rsidR="000E1B25" w:rsidRPr="000E1B25" w:rsidRDefault="000E1B25" w:rsidP="000E1B25">
            <w:pPr>
              <w:spacing w:after="0" w:line="240" w:lineRule="auto"/>
              <w:rPr>
                <w:rFonts w:eastAsia="Times New Roman" w:cs="Arial"/>
                <w:color w:val="000000"/>
                <w:sz w:val="20"/>
                <w:szCs w:val="20"/>
                <w:lang w:eastAsia="en-AU"/>
              </w:rPr>
            </w:pPr>
          </w:p>
        </w:tc>
        <w:tc>
          <w:tcPr>
            <w:tcW w:w="709" w:type="dxa"/>
            <w:tcBorders>
              <w:top w:val="nil"/>
              <w:left w:val="nil"/>
              <w:bottom w:val="nil"/>
              <w:right w:val="nil"/>
            </w:tcBorders>
            <w:noWrap/>
          </w:tcPr>
          <w:p w14:paraId="7BE4C642" w14:textId="77777777" w:rsidR="000E1B25" w:rsidRPr="000E1B25" w:rsidRDefault="000E1B25"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tcPr>
          <w:p w14:paraId="1296D4BB" w14:textId="77777777" w:rsidR="000E1B25" w:rsidRPr="000E1B25" w:rsidRDefault="000E1B25" w:rsidP="005D10F7">
            <w:pPr>
              <w:tabs>
                <w:tab w:val="decimal" w:pos="1110"/>
              </w:tabs>
              <w:spacing w:after="0" w:line="240" w:lineRule="auto"/>
              <w:rPr>
                <w:rFonts w:eastAsia="Times New Roman" w:cs="Arial"/>
                <w:color w:val="000000"/>
                <w:sz w:val="20"/>
                <w:szCs w:val="20"/>
                <w:lang w:eastAsia="en-AU"/>
              </w:rPr>
            </w:pPr>
          </w:p>
        </w:tc>
        <w:tc>
          <w:tcPr>
            <w:tcW w:w="1465" w:type="dxa"/>
            <w:tcBorders>
              <w:top w:val="nil"/>
              <w:left w:val="nil"/>
              <w:bottom w:val="nil"/>
              <w:right w:val="nil"/>
            </w:tcBorders>
            <w:noWrap/>
            <w:vAlign w:val="bottom"/>
          </w:tcPr>
          <w:p w14:paraId="3F6BBC10" w14:textId="77777777" w:rsidR="000E1B25" w:rsidRPr="000E1B25" w:rsidRDefault="000E1B25" w:rsidP="005D10F7">
            <w:pPr>
              <w:tabs>
                <w:tab w:val="decimal" w:pos="1110"/>
              </w:tabs>
              <w:spacing w:after="0" w:line="240" w:lineRule="auto"/>
              <w:rPr>
                <w:rFonts w:eastAsia="Times New Roman" w:cs="Arial"/>
                <w:color w:val="000000"/>
                <w:sz w:val="20"/>
                <w:szCs w:val="20"/>
                <w:lang w:eastAsia="en-AU"/>
              </w:rPr>
            </w:pPr>
          </w:p>
        </w:tc>
      </w:tr>
      <w:tr w:rsidR="00886B3E" w:rsidRPr="00886B3E" w14:paraId="014C3F3D" w14:textId="77777777" w:rsidTr="413EB596">
        <w:tc>
          <w:tcPr>
            <w:tcW w:w="5387" w:type="dxa"/>
            <w:tcBorders>
              <w:top w:val="nil"/>
              <w:left w:val="nil"/>
              <w:bottom w:val="nil"/>
              <w:right w:val="nil"/>
            </w:tcBorders>
            <w:noWrap/>
            <w:vAlign w:val="bottom"/>
            <w:hideMark/>
          </w:tcPr>
          <w:p w14:paraId="047882F3" w14:textId="4BE27241" w:rsidR="00886B3E" w:rsidRPr="000E1B25" w:rsidRDefault="000E1B25" w:rsidP="00886B3E">
            <w:pPr>
              <w:spacing w:after="0" w:line="240" w:lineRule="auto"/>
              <w:rPr>
                <w:rFonts w:eastAsia="Times New Roman" w:cs="Arial"/>
                <w:b/>
                <w:color w:val="000000"/>
                <w:sz w:val="20"/>
                <w:szCs w:val="20"/>
                <w:lang w:eastAsia="en-AU"/>
              </w:rPr>
            </w:pPr>
            <w:r w:rsidRPr="000E1B25">
              <w:rPr>
                <w:rFonts w:eastAsia="Times New Roman" w:cs="Arial"/>
                <w:color w:val="000000"/>
                <w:sz w:val="20"/>
                <w:szCs w:val="20"/>
                <w:lang w:eastAsia="en-AU"/>
              </w:rPr>
              <w:t>Net increase in cash and cash equivalents for the period</w:t>
            </w:r>
          </w:p>
        </w:tc>
        <w:tc>
          <w:tcPr>
            <w:tcW w:w="709" w:type="dxa"/>
            <w:tcBorders>
              <w:top w:val="nil"/>
              <w:left w:val="nil"/>
              <w:bottom w:val="nil"/>
              <w:right w:val="nil"/>
            </w:tcBorders>
            <w:noWrap/>
            <w:hideMark/>
          </w:tcPr>
          <w:p w14:paraId="1E44598E" w14:textId="77777777" w:rsidR="00886B3E" w:rsidRPr="000E1B25" w:rsidRDefault="00886B3E" w:rsidP="000E1B25">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3F2C55AF" w14:textId="6F153718" w:rsidR="00886B3E" w:rsidRPr="000E1B25" w:rsidRDefault="008D26B8" w:rsidP="005D10F7">
            <w:pPr>
              <w:tabs>
                <w:tab w:val="decimal" w:pos="1110"/>
              </w:tabs>
              <w:spacing w:after="0" w:line="240" w:lineRule="auto"/>
              <w:rPr>
                <w:rFonts w:eastAsia="Times New Roman" w:cs="Arial"/>
                <w:sz w:val="20"/>
                <w:szCs w:val="20"/>
                <w:lang w:eastAsia="en-AU"/>
              </w:rPr>
            </w:pPr>
            <w:r w:rsidRPr="49BCD735">
              <w:rPr>
                <w:rFonts w:eastAsia="Times New Roman" w:cs="Arial"/>
                <w:sz w:val="20"/>
                <w:szCs w:val="20"/>
                <w:lang w:eastAsia="en-AU"/>
              </w:rPr>
              <w:t>92,08</w:t>
            </w:r>
            <w:r w:rsidR="0009347A" w:rsidRPr="49BCD735">
              <w:rPr>
                <w:rFonts w:eastAsia="Times New Roman" w:cs="Arial"/>
                <w:sz w:val="20"/>
                <w:szCs w:val="20"/>
                <w:lang w:eastAsia="en-AU"/>
              </w:rPr>
              <w:t>5</w:t>
            </w:r>
          </w:p>
        </w:tc>
        <w:tc>
          <w:tcPr>
            <w:tcW w:w="1465" w:type="dxa"/>
            <w:tcBorders>
              <w:top w:val="nil"/>
              <w:left w:val="nil"/>
              <w:bottom w:val="nil"/>
              <w:right w:val="nil"/>
            </w:tcBorders>
            <w:noWrap/>
            <w:vAlign w:val="bottom"/>
            <w:hideMark/>
          </w:tcPr>
          <w:p w14:paraId="22DFDDC9" w14:textId="0831F1A9" w:rsidR="00886B3E" w:rsidRPr="000E1B25" w:rsidRDefault="000E1B25" w:rsidP="005D10F7">
            <w:pPr>
              <w:tabs>
                <w:tab w:val="decimal" w:pos="1110"/>
              </w:tabs>
              <w:spacing w:after="0" w:line="240" w:lineRule="auto"/>
              <w:rPr>
                <w:rFonts w:eastAsia="Times New Roman" w:cs="Arial"/>
                <w:sz w:val="20"/>
                <w:szCs w:val="20"/>
                <w:lang w:eastAsia="en-AU"/>
              </w:rPr>
            </w:pPr>
            <w:r w:rsidRPr="000E1B25">
              <w:rPr>
                <w:rFonts w:eastAsia="Times New Roman" w:cs="Arial"/>
                <w:color w:val="000000"/>
                <w:sz w:val="20"/>
                <w:szCs w:val="20"/>
                <w:lang w:eastAsia="en-AU"/>
              </w:rPr>
              <w:t xml:space="preserve">264,215 </w:t>
            </w:r>
          </w:p>
        </w:tc>
      </w:tr>
      <w:tr w:rsidR="00886B3E" w:rsidRPr="00886B3E" w14:paraId="6828263E" w14:textId="77777777" w:rsidTr="413EB596">
        <w:tc>
          <w:tcPr>
            <w:tcW w:w="5387" w:type="dxa"/>
            <w:tcBorders>
              <w:top w:val="nil"/>
              <w:left w:val="nil"/>
              <w:bottom w:val="nil"/>
              <w:right w:val="nil"/>
            </w:tcBorders>
            <w:noWrap/>
            <w:vAlign w:val="bottom"/>
            <w:hideMark/>
          </w:tcPr>
          <w:p w14:paraId="32F4B83A" w14:textId="77777777" w:rsidR="00886B3E" w:rsidRPr="000E1B25" w:rsidRDefault="00886B3E" w:rsidP="00886B3E">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Cash and cash equivalents at the beginning of the period</w:t>
            </w:r>
          </w:p>
        </w:tc>
        <w:tc>
          <w:tcPr>
            <w:tcW w:w="709" w:type="dxa"/>
            <w:tcBorders>
              <w:top w:val="nil"/>
              <w:left w:val="nil"/>
              <w:bottom w:val="nil"/>
              <w:right w:val="nil"/>
            </w:tcBorders>
            <w:noWrap/>
            <w:hideMark/>
          </w:tcPr>
          <w:p w14:paraId="714C58A4" w14:textId="77777777" w:rsidR="00886B3E" w:rsidRPr="000E1B25" w:rsidRDefault="00886B3E" w:rsidP="000E1B25">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18F18809" w14:textId="43F76C65"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264,215</w:t>
            </w:r>
          </w:p>
        </w:tc>
        <w:tc>
          <w:tcPr>
            <w:tcW w:w="1465" w:type="dxa"/>
            <w:tcBorders>
              <w:top w:val="nil"/>
              <w:left w:val="nil"/>
              <w:bottom w:val="single" w:sz="4" w:space="0" w:color="auto"/>
              <w:right w:val="nil"/>
            </w:tcBorders>
            <w:noWrap/>
            <w:vAlign w:val="bottom"/>
            <w:hideMark/>
          </w:tcPr>
          <w:p w14:paraId="04FC8FE0" w14:textId="1B6BED56" w:rsidR="00886B3E" w:rsidRPr="000E1B25" w:rsidRDefault="00886B3E" w:rsidP="005D10F7">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86B3E" w:rsidRPr="00886B3E" w14:paraId="2DE8624F" w14:textId="77777777" w:rsidTr="413EB596">
        <w:tc>
          <w:tcPr>
            <w:tcW w:w="5387" w:type="dxa"/>
            <w:tcBorders>
              <w:top w:val="nil"/>
              <w:left w:val="nil"/>
              <w:bottom w:val="nil"/>
              <w:right w:val="nil"/>
            </w:tcBorders>
            <w:noWrap/>
            <w:vAlign w:val="bottom"/>
            <w:hideMark/>
          </w:tcPr>
          <w:p w14:paraId="674FF642" w14:textId="77777777" w:rsidR="00886B3E" w:rsidRPr="000E1B25" w:rsidRDefault="00886B3E" w:rsidP="00886B3E">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and cash equivalents at 30 June 2025</w:t>
            </w:r>
          </w:p>
        </w:tc>
        <w:tc>
          <w:tcPr>
            <w:tcW w:w="709" w:type="dxa"/>
            <w:tcBorders>
              <w:top w:val="nil"/>
              <w:left w:val="nil"/>
              <w:bottom w:val="nil"/>
              <w:right w:val="nil"/>
            </w:tcBorders>
            <w:noWrap/>
            <w:hideMark/>
          </w:tcPr>
          <w:p w14:paraId="01A724BC" w14:textId="5D54F4F8" w:rsidR="00886B3E" w:rsidRPr="000E1B25" w:rsidRDefault="006E31F2" w:rsidP="000E1B25">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5i</w:t>
            </w:r>
          </w:p>
        </w:tc>
        <w:tc>
          <w:tcPr>
            <w:tcW w:w="1465" w:type="dxa"/>
            <w:tcBorders>
              <w:top w:val="nil"/>
              <w:left w:val="nil"/>
              <w:bottom w:val="double" w:sz="6" w:space="0" w:color="auto"/>
              <w:right w:val="nil"/>
            </w:tcBorders>
            <w:noWrap/>
            <w:vAlign w:val="bottom"/>
            <w:hideMark/>
          </w:tcPr>
          <w:p w14:paraId="04390336" w14:textId="302B95CA" w:rsidR="00886B3E" w:rsidRPr="000E1B25" w:rsidRDefault="00C9595D" w:rsidP="49BCD735">
            <w:pPr>
              <w:tabs>
                <w:tab w:val="decimal" w:pos="1110"/>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w:t>
            </w:r>
            <w:r w:rsidR="008D26B8" w:rsidRPr="49BCD735">
              <w:rPr>
                <w:rFonts w:eastAsia="Times New Roman" w:cs="Arial"/>
                <w:b/>
                <w:bCs/>
                <w:color w:val="000000" w:themeColor="text1"/>
                <w:sz w:val="20"/>
                <w:szCs w:val="20"/>
                <w:lang w:eastAsia="en-AU"/>
              </w:rPr>
              <w:t>56,</w:t>
            </w:r>
            <w:r w:rsidR="0009347A" w:rsidRPr="49BCD735">
              <w:rPr>
                <w:rFonts w:eastAsia="Times New Roman" w:cs="Arial"/>
                <w:b/>
                <w:bCs/>
                <w:color w:val="000000" w:themeColor="text1"/>
                <w:sz w:val="20"/>
                <w:szCs w:val="20"/>
                <w:lang w:eastAsia="en-AU"/>
              </w:rPr>
              <w:t>300</w:t>
            </w:r>
          </w:p>
        </w:tc>
        <w:tc>
          <w:tcPr>
            <w:tcW w:w="1465" w:type="dxa"/>
            <w:tcBorders>
              <w:top w:val="nil"/>
              <w:left w:val="nil"/>
              <w:bottom w:val="double" w:sz="6" w:space="0" w:color="auto"/>
              <w:right w:val="nil"/>
            </w:tcBorders>
            <w:noWrap/>
            <w:vAlign w:val="bottom"/>
            <w:hideMark/>
          </w:tcPr>
          <w:p w14:paraId="1A3CE9F7" w14:textId="252B68EF" w:rsidR="00886B3E" w:rsidRPr="000E1B25" w:rsidRDefault="00886B3E" w:rsidP="005D10F7">
            <w:pPr>
              <w:tabs>
                <w:tab w:val="decimal" w:pos="1110"/>
              </w:tabs>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264,215</w:t>
            </w:r>
          </w:p>
        </w:tc>
      </w:tr>
    </w:tbl>
    <w:p w14:paraId="48F871A0" w14:textId="46B8BFE0" w:rsidR="001C1467" w:rsidRPr="00F65403" w:rsidRDefault="00D13D71" w:rsidP="001C1467">
      <w:pPr>
        <w:pStyle w:val="BodyText"/>
        <w:rPr>
          <w:i/>
          <w:lang w:val="en-AU"/>
        </w:rPr>
      </w:pPr>
      <w:r w:rsidRPr="00F65403">
        <w:rPr>
          <w:i/>
          <w:lang w:val="en-AU"/>
        </w:rPr>
        <w:br/>
      </w:r>
      <w:r w:rsidR="0086233D" w:rsidRPr="00F65403">
        <w:rPr>
          <w:i/>
          <w:lang w:val="en-AU"/>
        </w:rPr>
        <w:t>The above consolidated statement of cash flows should be read in conjunction with the accompanying notes</w:t>
      </w:r>
    </w:p>
    <w:p w14:paraId="76F57296" w14:textId="3B5E80E4" w:rsidR="00D16FF8" w:rsidRPr="00F65403" w:rsidRDefault="00D16FF8" w:rsidP="001C1467">
      <w:pPr>
        <w:pStyle w:val="BodyText"/>
        <w:rPr>
          <w:lang w:val="en-AU"/>
        </w:rPr>
      </w:pPr>
    </w:p>
    <w:p w14:paraId="65FE8749" w14:textId="1283C0C1" w:rsidR="002C6B28" w:rsidRDefault="002C6B28" w:rsidP="00B2204F">
      <w:pPr>
        <w:pStyle w:val="Heading5"/>
      </w:pPr>
      <w:r>
        <w:br w:type="page"/>
      </w:r>
    </w:p>
    <w:p w14:paraId="0D1D5E96" w14:textId="48F28F86" w:rsidR="004A17FD" w:rsidRDefault="004A17FD" w:rsidP="00B254AC">
      <w:pPr>
        <w:pStyle w:val="Heading1"/>
      </w:pPr>
      <w:bookmarkStart w:id="362" w:name="_Toc200631680"/>
      <w:bookmarkStart w:id="363" w:name="_Toc1458325015"/>
      <w:bookmarkStart w:id="364" w:name="_Toc201222707"/>
      <w:bookmarkStart w:id="365" w:name="_Toc1242791234"/>
      <w:bookmarkStart w:id="366" w:name="_Toc550732754"/>
      <w:bookmarkStart w:id="367" w:name="_Toc834700693"/>
      <w:bookmarkStart w:id="368" w:name="_Toc273810540"/>
      <w:bookmarkStart w:id="369" w:name="_Toc941437716"/>
      <w:bookmarkStart w:id="370" w:name="_Toc749913316"/>
      <w:bookmarkStart w:id="371" w:name="_Toc203487539"/>
      <w:bookmarkStart w:id="372" w:name="_Toc203656229"/>
      <w:bookmarkStart w:id="373" w:name="_Toc2096388113"/>
      <w:bookmarkStart w:id="374" w:name="_Toc208418035"/>
      <w:bookmarkStart w:id="375" w:name="_Toc209080400"/>
      <w:bookmarkStart w:id="376" w:name="_Toc209703969"/>
      <w:bookmarkStart w:id="377" w:name="_Toc209704022"/>
      <w:bookmarkStart w:id="378" w:name="_Toc209704075"/>
      <w:r w:rsidRPr="00B8389B">
        <w:t>Notes</w:t>
      </w:r>
      <w:r w:rsidR="00B85E6D" w:rsidRPr="00B8389B">
        <w:t xml:space="preserve"> </w:t>
      </w:r>
      <w:r w:rsidRPr="00B8389B">
        <w:t>to the consolidated financial statements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588320F4" w14:textId="2E3881DA" w:rsidR="00B8389B" w:rsidRPr="00F65403" w:rsidRDefault="00B8389B" w:rsidP="00B60E64">
      <w:pPr>
        <w:pStyle w:val="BodyText"/>
        <w:rPr>
          <w:lang w:val="en-AU"/>
        </w:rPr>
      </w:pPr>
    </w:p>
    <w:p w14:paraId="4BD16621" w14:textId="2E910358" w:rsidR="004A17FD" w:rsidRPr="00F65403" w:rsidRDefault="004A17FD" w:rsidP="002943EA">
      <w:pPr>
        <w:pStyle w:val="Heading7"/>
      </w:pPr>
      <w:r w:rsidRPr="00F65403">
        <w:t>General information</w:t>
      </w:r>
    </w:p>
    <w:p w14:paraId="4779F22C" w14:textId="38F13D1B" w:rsidR="00E7597B" w:rsidRPr="00F65403" w:rsidRDefault="00E7597B" w:rsidP="00CE2AF8">
      <w:pPr>
        <w:pStyle w:val="BodyText"/>
        <w:rPr>
          <w:lang w:val="en-AU"/>
        </w:rPr>
      </w:pPr>
      <w:r w:rsidRPr="00F65403">
        <w:rPr>
          <w:lang w:val="en-AU"/>
        </w:rPr>
        <w:t xml:space="preserve">SEC Victoria Pty Ltd (the Company) is a for-profit proprietary company domiciled in Australia. These financial statements comprise the Company and its controlled entities (the Group). </w:t>
      </w:r>
    </w:p>
    <w:p w14:paraId="3080EDFF" w14:textId="77777777" w:rsidR="00CE2AF8" w:rsidRPr="00F65403" w:rsidRDefault="00CE2AF8" w:rsidP="00CE2AF8">
      <w:pPr>
        <w:pStyle w:val="BodyText"/>
        <w:rPr>
          <w:lang w:val="en-AU"/>
        </w:rPr>
      </w:pPr>
    </w:p>
    <w:p w14:paraId="11229409" w14:textId="77777777" w:rsidR="00AB089C" w:rsidRPr="00F65403" w:rsidRDefault="00AB089C" w:rsidP="00CE2AF8">
      <w:pPr>
        <w:pStyle w:val="BodyText"/>
        <w:rPr>
          <w:lang w:val="en-AU"/>
        </w:rPr>
      </w:pPr>
      <w:r w:rsidRPr="00F65403">
        <w:rPr>
          <w:lang w:val="en-AU"/>
        </w:rPr>
        <w:t>The principal activities of the Group during the year were:</w:t>
      </w:r>
    </w:p>
    <w:p w14:paraId="0CF3E0F7" w14:textId="77777777" w:rsidR="00CE2AF8" w:rsidRPr="00F65403" w:rsidRDefault="00CE2AF8" w:rsidP="00CE2AF8">
      <w:pPr>
        <w:pStyle w:val="BodyText"/>
        <w:rPr>
          <w:lang w:val="en-AU"/>
        </w:rPr>
      </w:pPr>
    </w:p>
    <w:p w14:paraId="7695CD38" w14:textId="77777777" w:rsidR="00AB089C" w:rsidRPr="00F65403" w:rsidRDefault="00AB089C" w:rsidP="00B60E64">
      <w:pPr>
        <w:pStyle w:val="ListBullet"/>
        <w:rPr>
          <w:lang w:val="en-AU"/>
        </w:rPr>
      </w:pPr>
      <w:r w:rsidRPr="00F65403">
        <w:rPr>
          <w:lang w:val="en-AU"/>
        </w:rPr>
        <w:t>the establishment of energy market operations ready to commence retailing to Victorian government and accept novation of the VRET and Bulgana contracts from 1 July 2025</w:t>
      </w:r>
    </w:p>
    <w:p w14:paraId="6BEEE722" w14:textId="77777777" w:rsidR="00AB089C" w:rsidRPr="00F65403" w:rsidRDefault="00AB089C" w:rsidP="00B60E64">
      <w:pPr>
        <w:pStyle w:val="ListBullet"/>
        <w:rPr>
          <w:lang w:val="en-AU"/>
        </w:rPr>
      </w:pPr>
      <w:r w:rsidRPr="00F65403">
        <w:rPr>
          <w:lang w:val="en-AU"/>
        </w:rPr>
        <w:t>the investment in renewable energy generation and storage projects, and</w:t>
      </w:r>
    </w:p>
    <w:p w14:paraId="4726050D" w14:textId="77777777" w:rsidR="00AB089C" w:rsidRPr="00F65403" w:rsidRDefault="00AB089C" w:rsidP="00B60E64">
      <w:pPr>
        <w:pStyle w:val="ListBullet"/>
        <w:rPr>
          <w:lang w:val="en-AU"/>
        </w:rPr>
      </w:pPr>
      <w:r w:rsidRPr="00F65403">
        <w:rPr>
          <w:lang w:val="en-AU"/>
        </w:rPr>
        <w:t xml:space="preserve">continued research and development of a one stop shop to help Victorian households go all-electric. </w:t>
      </w:r>
    </w:p>
    <w:p w14:paraId="0B3CFEDE" w14:textId="6678CE13" w:rsidR="00E7597B" w:rsidRPr="00F65403" w:rsidRDefault="00E7597B" w:rsidP="00CE2AF8">
      <w:pPr>
        <w:pStyle w:val="BodyText"/>
        <w:rPr>
          <w:lang w:val="en-AU"/>
        </w:rPr>
      </w:pPr>
    </w:p>
    <w:p w14:paraId="2A23819E" w14:textId="6AA0560B" w:rsidR="00E7597B" w:rsidRPr="00F65403" w:rsidRDefault="00E7597B" w:rsidP="00CE2AF8">
      <w:pPr>
        <w:pStyle w:val="BodyText"/>
        <w:rPr>
          <w:lang w:val="en-AU"/>
        </w:rPr>
      </w:pPr>
      <w:r w:rsidRPr="00F65403">
        <w:rPr>
          <w:lang w:val="en-AU"/>
        </w:rPr>
        <w:t xml:space="preserve">Pursuant to section 3, of the FMA, the Treasurer of Victoria declared that SEC Victoria is a body to which Part 7 of the FMA applies, with effect from 21 December 2023. </w:t>
      </w:r>
    </w:p>
    <w:p w14:paraId="2F07EF18" w14:textId="77777777" w:rsidR="00CE2AF8" w:rsidRPr="00F65403" w:rsidRDefault="00CE2AF8" w:rsidP="00CE2AF8">
      <w:pPr>
        <w:pStyle w:val="BodyText"/>
        <w:rPr>
          <w:lang w:val="en-AU"/>
        </w:rPr>
      </w:pPr>
    </w:p>
    <w:p w14:paraId="6C2984DC" w14:textId="5680B610" w:rsidR="00E7597B" w:rsidRPr="00F65403" w:rsidRDefault="00E7597B" w:rsidP="00CE2AF8">
      <w:pPr>
        <w:pStyle w:val="BodyText"/>
        <w:rPr>
          <w:lang w:val="en-AU"/>
        </w:rPr>
      </w:pPr>
      <w:r w:rsidRPr="00F65403">
        <w:rPr>
          <w:lang w:val="en-AU"/>
        </w:rPr>
        <w:t xml:space="preserve">The Company and the Group was established on 25 October 2023 under the provisions of the </w:t>
      </w:r>
      <w:r w:rsidRPr="00F65403">
        <w:rPr>
          <w:i/>
          <w:lang w:val="en-AU"/>
        </w:rPr>
        <w:t>Corporations Act 2001</w:t>
      </w:r>
      <w:r w:rsidRPr="00F65403">
        <w:rPr>
          <w:lang w:val="en-AU"/>
        </w:rPr>
        <w:t xml:space="preserve"> and were each declared a state-owned Company under Part 5 of the </w:t>
      </w:r>
      <w:r w:rsidRPr="00F65403">
        <w:rPr>
          <w:i/>
          <w:lang w:val="en-AU"/>
        </w:rPr>
        <w:t>State Owned Enterprises Act 1992</w:t>
      </w:r>
      <w:r w:rsidRPr="00F65403">
        <w:rPr>
          <w:lang w:val="en-AU"/>
        </w:rPr>
        <w:t xml:space="preserve"> on 14 November 2023.</w:t>
      </w:r>
    </w:p>
    <w:p w14:paraId="211DF684" w14:textId="77777777" w:rsidR="00CE2AF8" w:rsidRPr="00F65403" w:rsidRDefault="00CE2AF8" w:rsidP="00CE2AF8">
      <w:pPr>
        <w:pStyle w:val="BodyText"/>
        <w:rPr>
          <w:lang w:val="en-AU"/>
        </w:rPr>
      </w:pPr>
    </w:p>
    <w:p w14:paraId="6D4ABFA0" w14:textId="22D5570F" w:rsidR="00194284" w:rsidRPr="00F65403" w:rsidRDefault="00E7597B" w:rsidP="00CE2AF8">
      <w:pPr>
        <w:pStyle w:val="BodyText"/>
        <w:rPr>
          <w:lang w:val="en-AU"/>
        </w:rPr>
      </w:pPr>
      <w:r w:rsidRPr="00F65403">
        <w:rPr>
          <w:lang w:val="en-AU"/>
        </w:rPr>
        <w:t>The registered office and principal place of business is Level 26, 2 Lonsdale St, Melbourne, Victoria 3000.</w:t>
      </w:r>
    </w:p>
    <w:p w14:paraId="10D25078" w14:textId="77777777" w:rsidR="00CE2AF8" w:rsidRPr="00F65403" w:rsidRDefault="00CE2AF8" w:rsidP="00CE2AF8">
      <w:pPr>
        <w:pStyle w:val="BodyText"/>
        <w:rPr>
          <w:lang w:val="en-AU"/>
        </w:rPr>
      </w:pPr>
    </w:p>
    <w:p w14:paraId="753E84F8" w14:textId="3780C4C1" w:rsidR="006F7352" w:rsidRPr="00F65403" w:rsidRDefault="006F7352" w:rsidP="00CE2AF8">
      <w:pPr>
        <w:pStyle w:val="BodyText"/>
        <w:rPr>
          <w:lang w:val="en-AU"/>
        </w:rPr>
      </w:pPr>
      <w:r w:rsidRPr="49BCD735">
        <w:rPr>
          <w:lang w:val="en-AU"/>
        </w:rPr>
        <w:t xml:space="preserve">The financial report was authorised for issue by the Board of Directors on </w:t>
      </w:r>
      <w:r w:rsidR="00D30F76">
        <w:rPr>
          <w:lang w:val="en-AU"/>
        </w:rPr>
        <w:t>6</w:t>
      </w:r>
      <w:r w:rsidRPr="49BCD735">
        <w:rPr>
          <w:lang w:val="en-AU"/>
        </w:rPr>
        <w:t xml:space="preserve"> October 2025.</w:t>
      </w:r>
    </w:p>
    <w:p w14:paraId="0A14BCA8" w14:textId="77777777" w:rsidR="00EF1C81" w:rsidRPr="00F65403" w:rsidRDefault="00EF1C81" w:rsidP="00CE2AF8">
      <w:pPr>
        <w:pStyle w:val="BodyText"/>
        <w:rPr>
          <w:lang w:val="en-AU"/>
        </w:rPr>
      </w:pPr>
    </w:p>
    <w:p w14:paraId="18E37CA7" w14:textId="298EE9AC" w:rsidR="004A17FD" w:rsidRPr="00F65403" w:rsidRDefault="0088558E" w:rsidP="00256F2E">
      <w:pPr>
        <w:pStyle w:val="Heading8"/>
      </w:pPr>
      <w:proofErr w:type="spellStart"/>
      <w:r>
        <w:t>i</w:t>
      </w:r>
      <w:proofErr w:type="spellEnd"/>
      <w:r>
        <w:t>.</w:t>
      </w:r>
      <w:r>
        <w:tab/>
      </w:r>
      <w:r w:rsidR="004A17FD">
        <w:t>Basis of preparation</w:t>
      </w:r>
    </w:p>
    <w:p w14:paraId="6F50F7BC" w14:textId="73A2E643" w:rsidR="006A1738" w:rsidRPr="00F65403" w:rsidRDefault="006A1738" w:rsidP="00CE2AF8">
      <w:pPr>
        <w:pStyle w:val="BodyText"/>
        <w:rPr>
          <w:lang w:val="en-AU"/>
        </w:rPr>
      </w:pPr>
      <w:r w:rsidRPr="04CB71B0">
        <w:rPr>
          <w:lang w:val="en-AU"/>
        </w:rPr>
        <w:t>The functional and presentation currency of the Company</w:t>
      </w:r>
      <w:r w:rsidR="00D15784" w:rsidRPr="04CB71B0">
        <w:rPr>
          <w:lang w:val="en-AU"/>
        </w:rPr>
        <w:t xml:space="preserve"> and Group</w:t>
      </w:r>
      <w:r w:rsidRPr="04CB71B0">
        <w:rPr>
          <w:lang w:val="en-AU"/>
        </w:rPr>
        <w:t xml:space="preserve"> is the Australian dollar. Amounts are rounded and expressed to the nearest thousand dollars in accordance with Ministerial Directions under the </w:t>
      </w:r>
      <w:r w:rsidR="006926B0" w:rsidRPr="04CB71B0">
        <w:rPr>
          <w:lang w:val="en-AU"/>
        </w:rPr>
        <w:t>FMA</w:t>
      </w:r>
      <w:r w:rsidRPr="04CB71B0">
        <w:rPr>
          <w:lang w:val="en-AU"/>
        </w:rPr>
        <w:t xml:space="preserve">, unless otherwise stated. </w:t>
      </w:r>
    </w:p>
    <w:p w14:paraId="1DFDAD86" w14:textId="77777777" w:rsidR="00CA4A0A" w:rsidRPr="00F65403" w:rsidRDefault="00CA4A0A" w:rsidP="00CE2AF8">
      <w:pPr>
        <w:pStyle w:val="BodyText"/>
        <w:rPr>
          <w:lang w:val="en-AU"/>
        </w:rPr>
      </w:pPr>
    </w:p>
    <w:p w14:paraId="79145A05" w14:textId="267708B5" w:rsidR="00CE2AF8" w:rsidRPr="00F65403" w:rsidRDefault="00E07C34" w:rsidP="00CE2AF8">
      <w:pPr>
        <w:pStyle w:val="BodyText"/>
        <w:rPr>
          <w:lang w:val="en-AU"/>
        </w:rPr>
      </w:pPr>
      <w:r w:rsidRPr="00F65403">
        <w:rPr>
          <w:lang w:val="en-AU"/>
        </w:rPr>
        <w:t>The financial statements have been prepared</w:t>
      </w:r>
      <w:r w:rsidR="002111E1" w:rsidRPr="00F65403">
        <w:rPr>
          <w:lang w:val="en-AU"/>
        </w:rPr>
        <w:t xml:space="preserve"> </w:t>
      </w:r>
      <w:r w:rsidR="005741BB" w:rsidRPr="00F65403">
        <w:rPr>
          <w:lang w:val="en-AU"/>
        </w:rPr>
        <w:t>on</w:t>
      </w:r>
      <w:r w:rsidR="00394D5C" w:rsidRPr="00F65403">
        <w:rPr>
          <w:lang w:val="en-AU"/>
        </w:rPr>
        <w:t xml:space="preserve"> an accrual basis and in accordance with the </w:t>
      </w:r>
      <w:r w:rsidR="005741BB" w:rsidRPr="00F65403">
        <w:rPr>
          <w:lang w:val="en-AU"/>
        </w:rPr>
        <w:t xml:space="preserve">historical cost basis, except for </w:t>
      </w:r>
      <w:r w:rsidR="002111E1" w:rsidRPr="00F65403">
        <w:rPr>
          <w:lang w:val="en-AU"/>
        </w:rPr>
        <w:t xml:space="preserve">certain </w:t>
      </w:r>
      <w:r w:rsidR="007418E2" w:rsidRPr="00F65403">
        <w:rPr>
          <w:lang w:val="en-AU"/>
        </w:rPr>
        <w:t>assets and liabilities, including:</w:t>
      </w:r>
    </w:p>
    <w:p w14:paraId="4B9DBEB6" w14:textId="1C18BBA7" w:rsidR="005741BB" w:rsidRPr="00F65403" w:rsidRDefault="005741BB" w:rsidP="00B60E64">
      <w:pPr>
        <w:pStyle w:val="ListBullet"/>
        <w:rPr>
          <w:lang w:val="en-AU"/>
        </w:rPr>
      </w:pPr>
      <w:r w:rsidRPr="00F65403">
        <w:rPr>
          <w:lang w:val="en-AU"/>
        </w:rPr>
        <w:t xml:space="preserve">derivatives and other financial assets and </w:t>
      </w:r>
      <w:r w:rsidR="00B7583D" w:rsidRPr="00F65403">
        <w:rPr>
          <w:lang w:val="en-AU"/>
        </w:rPr>
        <w:t xml:space="preserve">financial </w:t>
      </w:r>
      <w:r w:rsidRPr="00F65403">
        <w:rPr>
          <w:lang w:val="en-AU"/>
        </w:rPr>
        <w:t xml:space="preserve">liabilities, that are measured at fair value </w:t>
      </w:r>
    </w:p>
    <w:p w14:paraId="53B7E370" w14:textId="2B77B6C3" w:rsidR="00904579" w:rsidRPr="00F65403" w:rsidRDefault="00904579" w:rsidP="00B60E64">
      <w:pPr>
        <w:pStyle w:val="ListBullet"/>
        <w:rPr>
          <w:lang w:val="en-AU"/>
        </w:rPr>
      </w:pPr>
      <w:r w:rsidRPr="00F65403">
        <w:rPr>
          <w:lang w:val="en-AU"/>
        </w:rPr>
        <w:t>non-fi</w:t>
      </w:r>
      <w:r w:rsidR="0064550B" w:rsidRPr="00F65403">
        <w:rPr>
          <w:lang w:val="en-AU"/>
        </w:rPr>
        <w:t xml:space="preserve">nancial physical </w:t>
      </w:r>
      <w:r w:rsidR="00DB19D5" w:rsidRPr="00F65403">
        <w:rPr>
          <w:lang w:val="en-AU"/>
        </w:rPr>
        <w:t>asset measured at fair value</w:t>
      </w:r>
    </w:p>
    <w:p w14:paraId="56CDC8EE" w14:textId="5B5DFCF9" w:rsidR="00ED3A1E" w:rsidRPr="00F65403" w:rsidRDefault="00ED3A1E" w:rsidP="00B60E64">
      <w:pPr>
        <w:pStyle w:val="ListBullet"/>
        <w:rPr>
          <w:lang w:val="en-AU"/>
        </w:rPr>
      </w:pPr>
      <w:r w:rsidRPr="00F65403">
        <w:rPr>
          <w:lang w:val="en-AU"/>
        </w:rPr>
        <w:t xml:space="preserve">employee benefits liabilities </w:t>
      </w:r>
      <w:r w:rsidR="00A04092" w:rsidRPr="00F65403">
        <w:rPr>
          <w:lang w:val="en-AU"/>
        </w:rPr>
        <w:t>which are measured at present value</w:t>
      </w:r>
      <w:r w:rsidR="002A615E">
        <w:rPr>
          <w:lang w:val="en-AU"/>
        </w:rPr>
        <w:t>.</w:t>
      </w:r>
    </w:p>
    <w:p w14:paraId="39F78C7D" w14:textId="77777777" w:rsidR="00CE2AF8" w:rsidRPr="00F65403" w:rsidRDefault="00CE2AF8" w:rsidP="00CE2AF8">
      <w:pPr>
        <w:pStyle w:val="BodyText"/>
        <w:rPr>
          <w:lang w:val="en-AU"/>
        </w:rPr>
      </w:pPr>
    </w:p>
    <w:p w14:paraId="35BC5E72" w14:textId="2419CA61" w:rsidR="00E07C34" w:rsidRPr="00F65403" w:rsidRDefault="00A870E7" w:rsidP="00B94E93">
      <w:pPr>
        <w:pStyle w:val="BodyText"/>
        <w:rPr>
          <w:lang w:val="en-AU"/>
        </w:rPr>
      </w:pPr>
      <w:r w:rsidRPr="00F65403">
        <w:rPr>
          <w:lang w:val="en-AU"/>
        </w:rPr>
        <w:t>The Group has prepared the financial statements on the basis that it will continue t</w:t>
      </w:r>
      <w:r w:rsidR="005420BA" w:rsidRPr="00F65403">
        <w:rPr>
          <w:lang w:val="en-AU"/>
        </w:rPr>
        <w:t>o</w:t>
      </w:r>
      <w:r w:rsidRPr="00F65403">
        <w:rPr>
          <w:lang w:val="en-AU"/>
        </w:rPr>
        <w:t xml:space="preserve"> operate as </w:t>
      </w:r>
      <w:r w:rsidR="005741BB" w:rsidRPr="00F65403">
        <w:rPr>
          <w:lang w:val="en-AU"/>
        </w:rPr>
        <w:t>a going concern.</w:t>
      </w:r>
    </w:p>
    <w:p w14:paraId="3B88B209" w14:textId="1BD0F2E0" w:rsidR="008701CA" w:rsidRPr="00F65403" w:rsidRDefault="008701CA" w:rsidP="00CE2AF8">
      <w:pPr>
        <w:pStyle w:val="BodyText"/>
        <w:rPr>
          <w:lang w:val="en-AU"/>
        </w:rPr>
      </w:pPr>
    </w:p>
    <w:p w14:paraId="7DA57938" w14:textId="6807EFAA" w:rsidR="00D908A7" w:rsidRPr="00F65403" w:rsidRDefault="007001EF" w:rsidP="00B94E93">
      <w:pPr>
        <w:pStyle w:val="BodyText"/>
        <w:rPr>
          <w:lang w:val="en-AU"/>
        </w:rPr>
      </w:pPr>
      <w:r w:rsidRPr="00F65403">
        <w:rPr>
          <w:lang w:val="en-AU"/>
        </w:rPr>
        <w:t>C</w:t>
      </w:r>
      <w:r w:rsidR="00D908A7" w:rsidRPr="00F65403">
        <w:rPr>
          <w:lang w:val="en-AU"/>
        </w:rPr>
        <w:t xml:space="preserve">omparative information </w:t>
      </w:r>
      <w:r w:rsidR="00F53DE2" w:rsidRPr="00F65403">
        <w:rPr>
          <w:lang w:val="en-AU"/>
        </w:rPr>
        <w:t xml:space="preserve">has been reclassified </w:t>
      </w:r>
      <w:r w:rsidR="00D908A7" w:rsidRPr="00F65403">
        <w:rPr>
          <w:lang w:val="en-AU"/>
        </w:rPr>
        <w:t>where required for consistency with the current year presentation.</w:t>
      </w:r>
    </w:p>
    <w:p w14:paraId="60771B68" w14:textId="5C1EF8D9" w:rsidR="005741BB" w:rsidRPr="00F65403" w:rsidRDefault="005741BB" w:rsidP="00CE2AF8">
      <w:pPr>
        <w:pStyle w:val="BodyText"/>
        <w:rPr>
          <w:lang w:val="en-AU"/>
        </w:rPr>
      </w:pPr>
    </w:p>
    <w:p w14:paraId="314C5F4C" w14:textId="4B99DA06" w:rsidR="00D908A7" w:rsidRPr="00F65403" w:rsidRDefault="0088558E" w:rsidP="00B94E93">
      <w:pPr>
        <w:pStyle w:val="Heading8"/>
      </w:pPr>
      <w:r>
        <w:t>ii.</w:t>
      </w:r>
      <w:r>
        <w:tab/>
      </w:r>
      <w:r w:rsidR="0025072C">
        <w:t>Use of judgements and estimates</w:t>
      </w:r>
    </w:p>
    <w:p w14:paraId="6C34F393" w14:textId="20FC727F" w:rsidR="0025072C" w:rsidRPr="00F65403" w:rsidRDefault="002126BE" w:rsidP="00CE2AF8">
      <w:pPr>
        <w:pStyle w:val="BodyText"/>
        <w:rPr>
          <w:lang w:val="en-AU"/>
        </w:rPr>
      </w:pPr>
      <w:r w:rsidRPr="323AD893">
        <w:rPr>
          <w:lang w:val="en-AU"/>
        </w:rPr>
        <w:t xml:space="preserve">Judgements, estimates and assumptions are required to be made about financial information being presented. Judgements and assumptions made by management in applying Australian Accounting Standards </w:t>
      </w:r>
      <w:r w:rsidR="552B4D18" w:rsidRPr="03BC0F3C">
        <w:rPr>
          <w:lang w:val="en-AU"/>
        </w:rPr>
        <w:t xml:space="preserve">(AAS) </w:t>
      </w:r>
      <w:r w:rsidRPr="323AD893">
        <w:rPr>
          <w:lang w:val="en-AU"/>
        </w:rPr>
        <w:t>that have significant effects on the financial statements and estimates are disclosed in the notes under the heading: ‘Significant judgement or estimate’. Estimates and associated assumptions are based on professional judgements derived from historical experience and various other factors that are believed to be reasonable under the circumstances. Actual results may differ from these estimates.</w:t>
      </w:r>
    </w:p>
    <w:p w14:paraId="17E2BB3D" w14:textId="77777777" w:rsidR="00CE2AF8" w:rsidRPr="00F65403" w:rsidRDefault="00CE2AF8" w:rsidP="00CE2AF8">
      <w:pPr>
        <w:pStyle w:val="BodyText"/>
        <w:rPr>
          <w:lang w:val="en-AU"/>
        </w:rPr>
      </w:pPr>
    </w:p>
    <w:p w14:paraId="027AB519" w14:textId="3E4D6759" w:rsidR="002B7976" w:rsidRPr="00F65403" w:rsidRDefault="002B7976" w:rsidP="00CE2AF8">
      <w:pPr>
        <w:pStyle w:val="BodyText"/>
        <w:rPr>
          <w:lang w:val="en-AU"/>
        </w:rPr>
      </w:pPr>
      <w:r w:rsidRPr="00F65403">
        <w:rPr>
          <w:lang w:val="en-AU"/>
        </w:rPr>
        <w:t>Revisions to accounting estimates are recognised in the period in which the estimate is revised and also in future periods that are affected by the revision.  </w:t>
      </w:r>
    </w:p>
    <w:p w14:paraId="0E2954FB" w14:textId="77777777" w:rsidR="00467A8B" w:rsidRPr="00F65403" w:rsidRDefault="00467A8B" w:rsidP="00CE2AF8">
      <w:pPr>
        <w:pStyle w:val="BodyText"/>
        <w:rPr>
          <w:lang w:val="en-AU"/>
        </w:rPr>
      </w:pPr>
    </w:p>
    <w:p w14:paraId="47014705" w14:textId="21FA3040" w:rsidR="004A17FD" w:rsidRPr="00F65403" w:rsidRDefault="0088558E" w:rsidP="004A1F3C">
      <w:pPr>
        <w:pStyle w:val="Heading8"/>
      </w:pPr>
      <w:r>
        <w:t>iii.</w:t>
      </w:r>
      <w:r>
        <w:tab/>
      </w:r>
      <w:r w:rsidR="000830F4">
        <w:t xml:space="preserve">Statement of compliance </w:t>
      </w:r>
    </w:p>
    <w:p w14:paraId="24253952" w14:textId="07A91697" w:rsidR="00D57CB6" w:rsidRPr="00F65403" w:rsidRDefault="00623EE4" w:rsidP="00CE2AF8">
      <w:pPr>
        <w:pStyle w:val="BodyText"/>
        <w:rPr>
          <w:lang w:val="en-AU"/>
        </w:rPr>
      </w:pPr>
      <w:r w:rsidRPr="00F65403">
        <w:rPr>
          <w:lang w:val="en-AU"/>
        </w:rPr>
        <w:t xml:space="preserve">The financial report is a general-purpose financial report prepared in accordance with the </w:t>
      </w:r>
      <w:r w:rsidRPr="00F65403">
        <w:rPr>
          <w:i/>
          <w:lang w:val="en-AU"/>
        </w:rPr>
        <w:t>Corporations Act 2001</w:t>
      </w:r>
      <w:r w:rsidRPr="00F65403">
        <w:rPr>
          <w:lang w:val="en-AU"/>
        </w:rPr>
        <w:t xml:space="preserve">, </w:t>
      </w:r>
      <w:r w:rsidRPr="00F65403">
        <w:rPr>
          <w:i/>
          <w:lang w:val="en-AU"/>
        </w:rPr>
        <w:t>Financial Management Act 1994</w:t>
      </w:r>
      <w:r w:rsidRPr="00F65403">
        <w:rPr>
          <w:lang w:val="en-AU"/>
        </w:rPr>
        <w:t xml:space="preserve"> and applicable</w:t>
      </w:r>
      <w:r w:rsidR="00634036">
        <w:rPr>
          <w:lang w:val="en-AU"/>
        </w:rPr>
        <w:t xml:space="preserve"> </w:t>
      </w:r>
      <w:r w:rsidRPr="00F65403">
        <w:rPr>
          <w:lang w:val="en-AU"/>
        </w:rPr>
        <w:t>AAS, which include Interpretations, issued by the Australian Accounting Standards Board (AASB).</w:t>
      </w:r>
    </w:p>
    <w:p w14:paraId="3AEDFA6D" w14:textId="77777777" w:rsidR="00CE2AF8" w:rsidRPr="00F65403" w:rsidRDefault="00CE2AF8" w:rsidP="00CE2AF8">
      <w:pPr>
        <w:pStyle w:val="BodyText"/>
        <w:rPr>
          <w:lang w:val="en-AU"/>
        </w:rPr>
      </w:pPr>
    </w:p>
    <w:p w14:paraId="088D4C5E" w14:textId="7CBF6670" w:rsidR="0017446F" w:rsidRPr="00F65403" w:rsidRDefault="0017446F" w:rsidP="002943EA">
      <w:pPr>
        <w:pStyle w:val="Heading7"/>
      </w:pPr>
      <w:r w:rsidRPr="00F65403">
        <w:t>New accounting standards and interpretations</w:t>
      </w:r>
    </w:p>
    <w:p w14:paraId="36D65EDD" w14:textId="5258A7E6" w:rsidR="000A7651" w:rsidRPr="00F65403" w:rsidRDefault="57F0C16E" w:rsidP="715E2D1C">
      <w:pPr>
        <w:pStyle w:val="Heading8"/>
      </w:pPr>
      <w:r>
        <w:t>New and amended sta</w:t>
      </w:r>
      <w:r w:rsidR="4F47E34B">
        <w:t>ndards adopted by the Group</w:t>
      </w:r>
    </w:p>
    <w:p w14:paraId="24658ABC" w14:textId="77777777" w:rsidR="00BF0BFB" w:rsidRPr="00F65403" w:rsidRDefault="00391D76" w:rsidP="00CE2AF8">
      <w:pPr>
        <w:pStyle w:val="BodyText"/>
        <w:rPr>
          <w:lang w:val="en-AU"/>
        </w:rPr>
      </w:pPr>
      <w:r w:rsidRPr="00F65403">
        <w:rPr>
          <w:lang w:val="en-AU"/>
        </w:rPr>
        <w:t xml:space="preserve">The </w:t>
      </w:r>
      <w:r w:rsidR="00596029" w:rsidRPr="00F65403">
        <w:rPr>
          <w:lang w:val="en-AU"/>
        </w:rPr>
        <w:t>following new stan</w:t>
      </w:r>
      <w:r w:rsidR="00B858FC" w:rsidRPr="00F65403">
        <w:rPr>
          <w:lang w:val="en-AU"/>
        </w:rPr>
        <w:t>dards and amendments to standards are mandatory for the first time for the financial year beginning 1 July 2024 and have been adopted by the Gr</w:t>
      </w:r>
      <w:r w:rsidR="00BF0BFB" w:rsidRPr="00F65403">
        <w:rPr>
          <w:lang w:val="en-AU"/>
        </w:rPr>
        <w:t>o</w:t>
      </w:r>
      <w:r w:rsidR="00C0456E" w:rsidRPr="00F65403">
        <w:rPr>
          <w:lang w:val="en-AU"/>
        </w:rPr>
        <w:t>up</w:t>
      </w:r>
      <w:r w:rsidR="00BF0BFB" w:rsidRPr="00F65403">
        <w:rPr>
          <w:lang w:val="en-AU"/>
        </w:rPr>
        <w:t>:</w:t>
      </w:r>
    </w:p>
    <w:p w14:paraId="72421F72" w14:textId="77777777" w:rsidR="00CE2AF8" w:rsidRPr="00F65403" w:rsidRDefault="00CE2AF8" w:rsidP="00CE2AF8">
      <w:pPr>
        <w:pStyle w:val="BodyText"/>
        <w:rPr>
          <w:lang w:val="en-AU"/>
        </w:rPr>
      </w:pPr>
    </w:p>
    <w:p w14:paraId="5C633024" w14:textId="3BF0A555" w:rsidR="006110A4" w:rsidRPr="00F65403" w:rsidRDefault="00CE40EC" w:rsidP="00FA4BD6">
      <w:pPr>
        <w:pStyle w:val="ListBullet"/>
        <w:rPr>
          <w:lang w:val="en-AU"/>
        </w:rPr>
      </w:pPr>
      <w:r w:rsidRPr="00F65403">
        <w:rPr>
          <w:lang w:val="en-AU"/>
        </w:rPr>
        <w:t xml:space="preserve">AASB 2020-1 Amendments to AASs </w:t>
      </w:r>
      <w:r w:rsidR="00104757" w:rsidRPr="5E889774">
        <w:rPr>
          <w:lang w:val="en-AU"/>
        </w:rPr>
        <w:t>-</w:t>
      </w:r>
      <w:r w:rsidRPr="00F65403">
        <w:rPr>
          <w:lang w:val="en-AU"/>
        </w:rPr>
        <w:t xml:space="preserve"> Classification of Liabilities as Current or Non-current</w:t>
      </w:r>
      <w:r w:rsidR="000B43AB" w:rsidRPr="00F65403">
        <w:rPr>
          <w:lang w:val="en-AU"/>
        </w:rPr>
        <w:t xml:space="preserve"> </w:t>
      </w:r>
    </w:p>
    <w:p w14:paraId="53101A62" w14:textId="77777777" w:rsidR="0017446F" w:rsidRPr="00F65403" w:rsidDel="0032229B" w:rsidRDefault="0017446F" w:rsidP="00CE2AF8">
      <w:pPr>
        <w:pStyle w:val="BodyText"/>
        <w:rPr>
          <w:lang w:val="en-AU"/>
        </w:rPr>
      </w:pPr>
    </w:p>
    <w:p w14:paraId="7580F433" w14:textId="0F79CAA5" w:rsidR="00A71118" w:rsidRPr="00F65403" w:rsidRDefault="0088558E" w:rsidP="00B94E93">
      <w:pPr>
        <w:pStyle w:val="Heading8"/>
      </w:pPr>
      <w:proofErr w:type="spellStart"/>
      <w:r>
        <w:t>i</w:t>
      </w:r>
      <w:proofErr w:type="spellEnd"/>
      <w:r>
        <w:t>.</w:t>
      </w:r>
      <w:r>
        <w:tab/>
      </w:r>
      <w:r w:rsidR="0077274D">
        <w:t>New accounting standards and interpretations not yet adopted</w:t>
      </w:r>
    </w:p>
    <w:p w14:paraId="603A6703" w14:textId="23902078" w:rsidR="00895E0A" w:rsidRPr="00F65403" w:rsidRDefault="00895E0A" w:rsidP="00CE2AF8">
      <w:pPr>
        <w:pStyle w:val="BodyText"/>
        <w:rPr>
          <w:lang w:val="en-AU"/>
        </w:rPr>
      </w:pPr>
      <w:r w:rsidRPr="00F65403">
        <w:rPr>
          <w:lang w:val="en-AU"/>
        </w:rPr>
        <w:t xml:space="preserve">Certain new and revised accounting standards have been issued but are not </w:t>
      </w:r>
      <w:r w:rsidR="00F076C8" w:rsidRPr="00F65403">
        <w:rPr>
          <w:lang w:val="en-AU"/>
        </w:rPr>
        <w:t>mandatory</w:t>
      </w:r>
      <w:r w:rsidRPr="00F65403">
        <w:rPr>
          <w:lang w:val="en-AU"/>
        </w:rPr>
        <w:t xml:space="preserve"> for the current reporting period. </w:t>
      </w:r>
      <w:r w:rsidR="004E6542" w:rsidRPr="00F65403">
        <w:rPr>
          <w:lang w:val="en-AU"/>
        </w:rPr>
        <w:t>Those that are applicable to the Group</w:t>
      </w:r>
      <w:r w:rsidR="00A654E7" w:rsidRPr="00F65403">
        <w:rPr>
          <w:lang w:val="en-AU"/>
        </w:rPr>
        <w:t xml:space="preserve">, and which may </w:t>
      </w:r>
      <w:r w:rsidRPr="00F65403">
        <w:rPr>
          <w:lang w:val="en-AU"/>
        </w:rPr>
        <w:t>have a</w:t>
      </w:r>
      <w:r w:rsidR="00E6529E" w:rsidRPr="00F65403">
        <w:rPr>
          <w:lang w:val="en-AU"/>
        </w:rPr>
        <w:t xml:space="preserve">n effect </w:t>
      </w:r>
      <w:r w:rsidRPr="00F65403">
        <w:rPr>
          <w:lang w:val="en-AU"/>
        </w:rPr>
        <w:t xml:space="preserve">on the Group's </w:t>
      </w:r>
      <w:r w:rsidR="00BA0CBB" w:rsidRPr="00F65403">
        <w:rPr>
          <w:lang w:val="en-AU"/>
        </w:rPr>
        <w:t xml:space="preserve">accounting policies, </w:t>
      </w:r>
      <w:r w:rsidRPr="00F65403">
        <w:rPr>
          <w:lang w:val="en-AU"/>
        </w:rPr>
        <w:t xml:space="preserve">financial </w:t>
      </w:r>
      <w:r w:rsidR="00A86A59" w:rsidRPr="00F65403">
        <w:rPr>
          <w:lang w:val="en-AU"/>
        </w:rPr>
        <w:t xml:space="preserve">position or performance are disclosed below. These standards and interpretations have not been early </w:t>
      </w:r>
      <w:r w:rsidRPr="00F65403">
        <w:rPr>
          <w:lang w:val="en-AU"/>
        </w:rPr>
        <w:t>adopted:</w:t>
      </w:r>
    </w:p>
    <w:p w14:paraId="13643EE4" w14:textId="77777777" w:rsidR="00CE2AF8" w:rsidRPr="00F65403" w:rsidRDefault="00CE2AF8" w:rsidP="00CE2AF8">
      <w:pPr>
        <w:pStyle w:val="BodyText"/>
        <w:rPr>
          <w:lang w:val="en-AU"/>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5"/>
        <w:gridCol w:w="5386"/>
        <w:gridCol w:w="1645"/>
      </w:tblGrid>
      <w:tr w:rsidR="00FC5D03" w:rsidRPr="00F6590C" w14:paraId="064D2212" w14:textId="77777777" w:rsidTr="00FA4BD6">
        <w:trPr>
          <w:tblHeader/>
        </w:trPr>
        <w:tc>
          <w:tcPr>
            <w:tcW w:w="1985" w:type="dxa"/>
          </w:tcPr>
          <w:p w14:paraId="446B46A4" w14:textId="0D8AABB3" w:rsidR="00FC5D03" w:rsidRPr="00F65403" w:rsidRDefault="00FC5D03" w:rsidP="0048780B">
            <w:pPr>
              <w:rPr>
                <w:rFonts w:eastAsia="Arial" w:cs="Arial"/>
                <w:b/>
                <w:sz w:val="20"/>
                <w:szCs w:val="20"/>
              </w:rPr>
            </w:pPr>
            <w:r w:rsidRPr="00F65403">
              <w:rPr>
                <w:rFonts w:eastAsia="Arial" w:cs="Arial"/>
                <w:b/>
                <w:sz w:val="20"/>
                <w:szCs w:val="20"/>
              </w:rPr>
              <w:t>Accounting Standard</w:t>
            </w:r>
          </w:p>
        </w:tc>
        <w:tc>
          <w:tcPr>
            <w:tcW w:w="5386" w:type="dxa"/>
          </w:tcPr>
          <w:p w14:paraId="6281CB88" w14:textId="026338AA" w:rsidR="00FC5D03" w:rsidRPr="00F65403" w:rsidRDefault="00FC5D03" w:rsidP="0048780B">
            <w:pPr>
              <w:rPr>
                <w:rFonts w:eastAsia="Arial" w:cs="Arial"/>
                <w:b/>
                <w:sz w:val="20"/>
                <w:szCs w:val="20"/>
              </w:rPr>
            </w:pPr>
            <w:r w:rsidRPr="00F65403">
              <w:rPr>
                <w:rFonts w:eastAsia="Arial" w:cs="Arial"/>
                <w:b/>
                <w:sz w:val="20"/>
                <w:szCs w:val="20"/>
              </w:rPr>
              <w:t>Description of change</w:t>
            </w:r>
          </w:p>
        </w:tc>
        <w:tc>
          <w:tcPr>
            <w:tcW w:w="1645" w:type="dxa"/>
          </w:tcPr>
          <w:p w14:paraId="286A04F6" w14:textId="45D4D227" w:rsidR="00FC5D03" w:rsidRPr="00F65403" w:rsidRDefault="00FC5D03" w:rsidP="0048780B">
            <w:pPr>
              <w:rPr>
                <w:rFonts w:eastAsia="Arial" w:cs="Arial"/>
                <w:b/>
                <w:sz w:val="20"/>
                <w:szCs w:val="20"/>
              </w:rPr>
            </w:pPr>
            <w:r w:rsidRPr="00F65403">
              <w:rPr>
                <w:rFonts w:eastAsia="Arial" w:cs="Arial"/>
                <w:b/>
                <w:sz w:val="20"/>
                <w:szCs w:val="20"/>
              </w:rPr>
              <w:t>Application date</w:t>
            </w:r>
          </w:p>
        </w:tc>
      </w:tr>
      <w:tr w:rsidR="00FC5D03" w:rsidRPr="00FC5D03" w14:paraId="2230451A" w14:textId="77777777" w:rsidTr="00F6590C">
        <w:tc>
          <w:tcPr>
            <w:tcW w:w="1985" w:type="dxa"/>
          </w:tcPr>
          <w:p w14:paraId="4D1A9707" w14:textId="77777777" w:rsidR="00FC5D03" w:rsidRPr="00F65403" w:rsidRDefault="00FC5D03" w:rsidP="00FC5D03">
            <w:pPr>
              <w:rPr>
                <w:rFonts w:cs="Arial"/>
                <w:i/>
                <w:sz w:val="20"/>
                <w:szCs w:val="20"/>
              </w:rPr>
            </w:pPr>
            <w:r w:rsidRPr="00F65403">
              <w:rPr>
                <w:rFonts w:cs="Arial"/>
                <w:sz w:val="20"/>
                <w:szCs w:val="20"/>
              </w:rPr>
              <w:t xml:space="preserve">AASB 18 </w:t>
            </w:r>
            <w:r w:rsidRPr="00F65403">
              <w:rPr>
                <w:rFonts w:cs="Arial"/>
                <w:i/>
                <w:sz w:val="20"/>
                <w:szCs w:val="20"/>
              </w:rPr>
              <w:t>Presentation and Disclosure of Financial Statements</w:t>
            </w:r>
          </w:p>
          <w:p w14:paraId="5820B1B4" w14:textId="77777777" w:rsidR="00FC5D03" w:rsidRPr="00F65403" w:rsidRDefault="00FC5D03" w:rsidP="0048780B">
            <w:pPr>
              <w:rPr>
                <w:rFonts w:eastAsia="Arial" w:cs="Arial"/>
                <w:sz w:val="20"/>
                <w:szCs w:val="20"/>
              </w:rPr>
            </w:pPr>
          </w:p>
        </w:tc>
        <w:tc>
          <w:tcPr>
            <w:tcW w:w="5386" w:type="dxa"/>
          </w:tcPr>
          <w:p w14:paraId="3E4690A8" w14:textId="77777777" w:rsidR="00FC5D03" w:rsidRPr="00F65403" w:rsidRDefault="00FC5D03" w:rsidP="00FC5D03">
            <w:pPr>
              <w:rPr>
                <w:rFonts w:eastAsia="Arial" w:cs="Arial"/>
                <w:sz w:val="20"/>
                <w:szCs w:val="20"/>
              </w:rPr>
            </w:pPr>
            <w:r w:rsidRPr="00F65403">
              <w:rPr>
                <w:rFonts w:eastAsia="Arial" w:cs="Arial"/>
                <w:sz w:val="20"/>
                <w:szCs w:val="20"/>
              </w:rPr>
              <w:t xml:space="preserve">AASB 18 replaces AASB 101 </w:t>
            </w:r>
            <w:r w:rsidRPr="00F65403">
              <w:rPr>
                <w:rFonts w:eastAsia="Arial" w:cs="Arial"/>
                <w:i/>
                <w:sz w:val="20"/>
                <w:szCs w:val="20"/>
              </w:rPr>
              <w:t>Presentation of Financial Statements</w:t>
            </w:r>
            <w:r w:rsidRPr="00F65403">
              <w:rPr>
                <w:rFonts w:eastAsia="Arial" w:cs="Arial"/>
                <w:sz w:val="20"/>
                <w:szCs w:val="20"/>
              </w:rPr>
              <w:t xml:space="preserve"> to improve how entities communicate in their financial statements, with a particular focus on information about financial performance in the statement of profit or loss.</w:t>
            </w:r>
          </w:p>
          <w:p w14:paraId="1521905D" w14:textId="77777777" w:rsidR="00AB21C9" w:rsidRPr="00F65403" w:rsidRDefault="00AB21C9" w:rsidP="00FC5D03">
            <w:pPr>
              <w:rPr>
                <w:rFonts w:eastAsia="Arial" w:cs="Arial"/>
                <w:sz w:val="20"/>
                <w:szCs w:val="20"/>
              </w:rPr>
            </w:pPr>
          </w:p>
          <w:p w14:paraId="07214E1D" w14:textId="10BF026F" w:rsidR="00FC5D03" w:rsidRPr="00F65403" w:rsidRDefault="00FC5D03" w:rsidP="00FC5D03">
            <w:pPr>
              <w:rPr>
                <w:rFonts w:eastAsia="Arial" w:cs="Arial"/>
                <w:sz w:val="20"/>
                <w:szCs w:val="20"/>
              </w:rPr>
            </w:pPr>
            <w:r w:rsidRPr="00F65403">
              <w:rPr>
                <w:rFonts w:eastAsia="Arial" w:cs="Arial"/>
                <w:sz w:val="20"/>
                <w:szCs w:val="20"/>
              </w:rPr>
              <w:t>The key presentation and disclosure requirements established by AASB 18 is the presentation of newly defined subtotals in the statement of profit or loss.</w:t>
            </w:r>
            <w:r w:rsidR="00C854B9">
              <w:rPr>
                <w:rFonts w:eastAsia="Arial" w:cs="Arial"/>
                <w:sz w:val="20"/>
                <w:szCs w:val="20"/>
              </w:rPr>
              <w:t xml:space="preserve"> </w:t>
            </w:r>
            <w:r w:rsidRPr="00F65403">
              <w:rPr>
                <w:rFonts w:eastAsia="Arial" w:cs="Arial"/>
                <w:sz w:val="20"/>
                <w:szCs w:val="20"/>
              </w:rPr>
              <w:t>AASB 18 requires the Group to:</w:t>
            </w:r>
          </w:p>
          <w:p w14:paraId="23BE60F7" w14:textId="0AA552D3" w:rsidR="00FC5D03" w:rsidRPr="00F65403" w:rsidRDefault="00FC5D03" w:rsidP="00FC5D03">
            <w:pPr>
              <w:pStyle w:val="Bullet"/>
              <w:rPr>
                <w:rFonts w:cs="Arial"/>
                <w:sz w:val="20"/>
                <w:szCs w:val="20"/>
              </w:rPr>
            </w:pPr>
            <w:r w:rsidRPr="00F65403">
              <w:rPr>
                <w:rFonts w:cs="Arial"/>
                <w:sz w:val="20"/>
                <w:szCs w:val="20"/>
              </w:rPr>
              <w:t>classify income and expenses into operating, investing, financing, income taxes and discontinued operations categories in the statement of profit or loss; and</w:t>
            </w:r>
          </w:p>
          <w:p w14:paraId="794E23D3" w14:textId="66E14034" w:rsidR="00FC5D03" w:rsidRPr="00F65403" w:rsidRDefault="00FC5D03" w:rsidP="004A310E">
            <w:pPr>
              <w:pStyle w:val="Bullet"/>
              <w:rPr>
                <w:rFonts w:eastAsia="Arial" w:cs="Arial"/>
                <w:sz w:val="20"/>
                <w:szCs w:val="20"/>
              </w:rPr>
            </w:pPr>
            <w:r w:rsidRPr="00F65403">
              <w:rPr>
                <w:rFonts w:cs="Arial"/>
                <w:sz w:val="20"/>
                <w:szCs w:val="20"/>
              </w:rPr>
              <w:t xml:space="preserve">present two newly defined subtotals </w:t>
            </w:r>
            <w:r w:rsidR="00104757" w:rsidRPr="5E889774">
              <w:rPr>
                <w:rFonts w:cs="Arial"/>
                <w:sz w:val="20"/>
                <w:szCs w:val="20"/>
              </w:rPr>
              <w:t>-</w:t>
            </w:r>
            <w:r w:rsidRPr="00F65403">
              <w:rPr>
                <w:rFonts w:cs="Arial"/>
                <w:sz w:val="20"/>
                <w:szCs w:val="20"/>
              </w:rPr>
              <w:t xml:space="preserve"> operating profit and profit before financing and income taxes.</w:t>
            </w:r>
          </w:p>
        </w:tc>
        <w:tc>
          <w:tcPr>
            <w:tcW w:w="1645" w:type="dxa"/>
          </w:tcPr>
          <w:p w14:paraId="1296BF79" w14:textId="789492C6" w:rsidR="0074555C" w:rsidRPr="00F65403" w:rsidRDefault="0074555C" w:rsidP="0048780B">
            <w:pPr>
              <w:rPr>
                <w:rFonts w:eastAsia="Arial" w:cs="Arial"/>
                <w:sz w:val="20"/>
                <w:szCs w:val="20"/>
              </w:rPr>
            </w:pPr>
            <w:r w:rsidRPr="00F65403">
              <w:rPr>
                <w:rFonts w:eastAsia="Arial" w:cs="Arial"/>
                <w:sz w:val="20"/>
                <w:szCs w:val="20"/>
              </w:rPr>
              <w:t>Standard:</w:t>
            </w:r>
          </w:p>
          <w:p w14:paraId="6B649948" w14:textId="195DBB05" w:rsidR="0074555C" w:rsidRPr="00F65403" w:rsidRDefault="0074555C" w:rsidP="0048780B">
            <w:pPr>
              <w:rPr>
                <w:rFonts w:eastAsia="Arial" w:cs="Arial"/>
                <w:sz w:val="20"/>
                <w:szCs w:val="20"/>
              </w:rPr>
            </w:pPr>
            <w:r w:rsidRPr="00F65403">
              <w:rPr>
                <w:rFonts w:eastAsia="Arial" w:cs="Arial"/>
                <w:sz w:val="20"/>
                <w:szCs w:val="20"/>
              </w:rPr>
              <w:t>1 January 2027</w:t>
            </w:r>
          </w:p>
          <w:p w14:paraId="3F6FD05A" w14:textId="77777777" w:rsidR="0074555C" w:rsidRPr="00F65403" w:rsidRDefault="0074555C" w:rsidP="0048780B">
            <w:pPr>
              <w:rPr>
                <w:rFonts w:eastAsia="Arial" w:cs="Arial"/>
                <w:sz w:val="20"/>
                <w:szCs w:val="20"/>
              </w:rPr>
            </w:pPr>
          </w:p>
          <w:p w14:paraId="663746C9" w14:textId="2F4EAB51" w:rsidR="0074555C" w:rsidRPr="00F65403" w:rsidRDefault="0074555C" w:rsidP="0048780B">
            <w:pPr>
              <w:rPr>
                <w:rFonts w:eastAsia="Arial" w:cs="Arial"/>
                <w:sz w:val="20"/>
                <w:szCs w:val="20"/>
              </w:rPr>
            </w:pPr>
            <w:r w:rsidRPr="00F65403">
              <w:rPr>
                <w:rFonts w:eastAsia="Arial" w:cs="Arial"/>
                <w:sz w:val="20"/>
                <w:szCs w:val="20"/>
              </w:rPr>
              <w:t>Group:</w:t>
            </w:r>
          </w:p>
          <w:p w14:paraId="45C142E6" w14:textId="71D4FA64" w:rsidR="00FC5D03" w:rsidRPr="00F65403" w:rsidRDefault="00904FCA" w:rsidP="0048780B">
            <w:pPr>
              <w:rPr>
                <w:rFonts w:eastAsia="Arial" w:cs="Arial"/>
                <w:sz w:val="20"/>
                <w:szCs w:val="20"/>
              </w:rPr>
            </w:pPr>
            <w:r w:rsidRPr="00F65403">
              <w:rPr>
                <w:rFonts w:eastAsia="Arial" w:cs="Arial"/>
                <w:sz w:val="20"/>
                <w:szCs w:val="20"/>
              </w:rPr>
              <w:t>1 July 2027</w:t>
            </w:r>
          </w:p>
        </w:tc>
      </w:tr>
      <w:tr w:rsidR="00FC5D03" w:rsidRPr="00FC5D03" w14:paraId="6270D428" w14:textId="77777777" w:rsidTr="00F6590C">
        <w:tc>
          <w:tcPr>
            <w:tcW w:w="1985" w:type="dxa"/>
          </w:tcPr>
          <w:p w14:paraId="30D7BE3A" w14:textId="3F95CD96" w:rsidR="00FC5D03" w:rsidRPr="00F65403" w:rsidRDefault="0020155B" w:rsidP="00E53E6B">
            <w:pPr>
              <w:rPr>
                <w:rFonts w:eastAsia="Arial" w:cs="Arial"/>
                <w:i/>
                <w:sz w:val="20"/>
                <w:szCs w:val="20"/>
              </w:rPr>
            </w:pPr>
            <w:r w:rsidRPr="00F65403">
              <w:rPr>
                <w:rFonts w:eastAsia="Arial" w:cs="Arial"/>
                <w:sz w:val="20"/>
                <w:szCs w:val="20"/>
              </w:rPr>
              <w:t>AASB 2025-1</w:t>
            </w:r>
            <w:r w:rsidR="00E53E6B" w:rsidRPr="00F65403">
              <w:rPr>
                <w:rFonts w:eastAsia="Arial" w:cs="Arial"/>
                <w:sz w:val="20"/>
                <w:szCs w:val="20"/>
              </w:rPr>
              <w:t xml:space="preserve"> </w:t>
            </w:r>
            <w:r w:rsidRPr="00F65403">
              <w:rPr>
                <w:rFonts w:eastAsia="Arial" w:cs="Arial"/>
                <w:i/>
                <w:sz w:val="20"/>
                <w:szCs w:val="20"/>
              </w:rPr>
              <w:t xml:space="preserve">Amendments to AASs </w:t>
            </w:r>
            <w:r w:rsidR="00104757">
              <w:rPr>
                <w:rFonts w:eastAsia="Arial" w:cs="Arial"/>
                <w:i/>
                <w:sz w:val="20"/>
                <w:szCs w:val="20"/>
              </w:rPr>
              <w:t>-</w:t>
            </w:r>
            <w:r w:rsidRPr="00F65403">
              <w:rPr>
                <w:rFonts w:eastAsia="Arial" w:cs="Arial"/>
                <w:i/>
                <w:sz w:val="20"/>
                <w:szCs w:val="20"/>
              </w:rPr>
              <w:t xml:space="preserve"> Contracts Referencing Nature-dependent Electricity</w:t>
            </w:r>
          </w:p>
        </w:tc>
        <w:tc>
          <w:tcPr>
            <w:tcW w:w="5386" w:type="dxa"/>
          </w:tcPr>
          <w:p w14:paraId="3FDE6F6E" w14:textId="4C09BD94" w:rsidR="00322A9F" w:rsidRPr="00F65403" w:rsidRDefault="00091080" w:rsidP="00091080">
            <w:pPr>
              <w:rPr>
                <w:rFonts w:eastAsia="Arial" w:cs="Arial"/>
                <w:sz w:val="20"/>
                <w:szCs w:val="20"/>
              </w:rPr>
            </w:pPr>
            <w:r w:rsidRPr="00F65403">
              <w:rPr>
                <w:rFonts w:eastAsia="Arial" w:cs="Arial"/>
                <w:sz w:val="20"/>
                <w:szCs w:val="20"/>
              </w:rPr>
              <w:t xml:space="preserve">Nature-dependent electricity contracts help entities to secure their electricity supply from sources such as wind and solar power. The amount of electricity generated under these contracts can vary based on uncontrollable factors such as weather conditions. </w:t>
            </w:r>
            <w:r w:rsidR="0066281C">
              <w:rPr>
                <w:rFonts w:eastAsia="Arial" w:cs="Arial"/>
                <w:sz w:val="20"/>
                <w:szCs w:val="20"/>
              </w:rPr>
              <w:br/>
            </w:r>
            <w:r w:rsidR="0066281C">
              <w:rPr>
                <w:rFonts w:eastAsia="Arial" w:cs="Arial"/>
                <w:sz w:val="20"/>
                <w:szCs w:val="20"/>
              </w:rPr>
              <w:br/>
            </w:r>
            <w:r w:rsidRPr="00F65403">
              <w:rPr>
                <w:rFonts w:eastAsia="Arial" w:cs="Arial"/>
                <w:sz w:val="20"/>
                <w:szCs w:val="20"/>
              </w:rPr>
              <w:t>This Standard amends AASB 7 and AASB 9 to allow entities to better reflect these contracts in the financial statements. The amendments:</w:t>
            </w:r>
          </w:p>
          <w:p w14:paraId="4E7B0CF9" w14:textId="524CCC83" w:rsidR="00024764" w:rsidRPr="00F65403" w:rsidRDefault="098B3C1B" w:rsidP="00091080">
            <w:pPr>
              <w:pStyle w:val="ListParagraph"/>
              <w:numPr>
                <w:ilvl w:val="0"/>
                <w:numId w:val="92"/>
              </w:numPr>
              <w:rPr>
                <w:rFonts w:eastAsia="Arial" w:cs="Arial"/>
                <w:sz w:val="20"/>
                <w:szCs w:val="20"/>
              </w:rPr>
            </w:pPr>
            <w:r w:rsidRPr="12D47713">
              <w:rPr>
                <w:rFonts w:eastAsia="Arial" w:cs="Arial"/>
                <w:sz w:val="20"/>
                <w:szCs w:val="20"/>
              </w:rPr>
              <w:t>c</w:t>
            </w:r>
            <w:r w:rsidR="00091080" w:rsidRPr="00F65403">
              <w:rPr>
                <w:rFonts w:eastAsia="Arial" w:cs="Arial"/>
                <w:sz w:val="20"/>
                <w:szCs w:val="20"/>
              </w:rPr>
              <w:t>larify the application of the “own-use” criteria to</w:t>
            </w:r>
            <w:r w:rsidR="00024764" w:rsidRPr="00F65403">
              <w:rPr>
                <w:rFonts w:eastAsia="Arial" w:cs="Arial"/>
                <w:sz w:val="20"/>
                <w:szCs w:val="20"/>
              </w:rPr>
              <w:t xml:space="preserve"> </w:t>
            </w:r>
            <w:r w:rsidR="00091080" w:rsidRPr="00F65403">
              <w:rPr>
                <w:rFonts w:eastAsia="Arial" w:cs="Arial"/>
                <w:sz w:val="20"/>
                <w:szCs w:val="20"/>
              </w:rPr>
              <w:t>nature-dependent electricity contracts</w:t>
            </w:r>
          </w:p>
          <w:p w14:paraId="72081B15" w14:textId="4CF48A0E" w:rsidR="00024764" w:rsidRPr="00F65403" w:rsidRDefault="4D6FE3A7">
            <w:pPr>
              <w:pStyle w:val="ListParagraph"/>
              <w:numPr>
                <w:ilvl w:val="0"/>
                <w:numId w:val="92"/>
              </w:numPr>
              <w:rPr>
                <w:rFonts w:eastAsia="Arial" w:cs="Arial"/>
                <w:sz w:val="20"/>
                <w:szCs w:val="20"/>
              </w:rPr>
            </w:pPr>
            <w:r w:rsidRPr="12D47713">
              <w:rPr>
                <w:rFonts w:eastAsia="Arial" w:cs="Arial"/>
                <w:sz w:val="20"/>
                <w:szCs w:val="20"/>
              </w:rPr>
              <w:t>p</w:t>
            </w:r>
            <w:r w:rsidR="00091080" w:rsidRPr="00F65403">
              <w:rPr>
                <w:rFonts w:eastAsia="Arial" w:cs="Arial"/>
                <w:sz w:val="20"/>
                <w:szCs w:val="20"/>
              </w:rPr>
              <w:t>ermit hedge accounting if these contracts are used</w:t>
            </w:r>
            <w:r w:rsidR="00024764" w:rsidRPr="00F65403">
              <w:rPr>
                <w:rFonts w:eastAsia="Arial" w:cs="Arial"/>
                <w:sz w:val="20"/>
                <w:szCs w:val="20"/>
              </w:rPr>
              <w:t xml:space="preserve"> </w:t>
            </w:r>
            <w:r w:rsidR="00091080" w:rsidRPr="00F65403">
              <w:rPr>
                <w:rFonts w:eastAsia="Arial" w:cs="Arial"/>
                <w:sz w:val="20"/>
                <w:szCs w:val="20"/>
              </w:rPr>
              <w:t>as hedging instruments</w:t>
            </w:r>
          </w:p>
          <w:p w14:paraId="2EF87FE1" w14:textId="5C611B71" w:rsidR="00091080" w:rsidRPr="00F65403" w:rsidRDefault="6FB2F6E0">
            <w:pPr>
              <w:pStyle w:val="ListParagraph"/>
              <w:numPr>
                <w:ilvl w:val="0"/>
                <w:numId w:val="92"/>
              </w:numPr>
              <w:rPr>
                <w:rFonts w:eastAsia="Arial" w:cs="Arial"/>
                <w:sz w:val="20"/>
                <w:szCs w:val="20"/>
              </w:rPr>
            </w:pPr>
            <w:r w:rsidRPr="12D47713">
              <w:rPr>
                <w:rFonts w:eastAsia="Arial" w:cs="Arial"/>
                <w:sz w:val="20"/>
                <w:szCs w:val="20"/>
              </w:rPr>
              <w:t>a</w:t>
            </w:r>
            <w:r w:rsidR="00091080" w:rsidRPr="00F65403">
              <w:rPr>
                <w:rFonts w:eastAsia="Arial" w:cs="Arial"/>
                <w:sz w:val="20"/>
                <w:szCs w:val="20"/>
              </w:rPr>
              <w:t>dd new disclosure requirements to enable users of</w:t>
            </w:r>
            <w:r w:rsidR="00024764" w:rsidRPr="00F65403">
              <w:rPr>
                <w:rFonts w:eastAsia="Arial" w:cs="Arial"/>
                <w:sz w:val="20"/>
                <w:szCs w:val="20"/>
              </w:rPr>
              <w:t xml:space="preserve"> </w:t>
            </w:r>
            <w:r w:rsidR="00091080" w:rsidRPr="00F65403">
              <w:rPr>
                <w:rFonts w:eastAsia="Arial" w:cs="Arial"/>
                <w:sz w:val="20"/>
                <w:szCs w:val="20"/>
              </w:rPr>
              <w:t>financial statements to better understand the effect of</w:t>
            </w:r>
            <w:r w:rsidR="00024764" w:rsidRPr="00F65403">
              <w:rPr>
                <w:rFonts w:eastAsia="Arial" w:cs="Arial"/>
                <w:sz w:val="20"/>
                <w:szCs w:val="20"/>
              </w:rPr>
              <w:t xml:space="preserve"> </w:t>
            </w:r>
            <w:r w:rsidR="00091080" w:rsidRPr="00F65403">
              <w:rPr>
                <w:rFonts w:eastAsia="Arial" w:cs="Arial"/>
                <w:sz w:val="20"/>
                <w:szCs w:val="20"/>
              </w:rPr>
              <w:t>these contracts on an entity’s financial performance</w:t>
            </w:r>
            <w:r w:rsidR="00024764" w:rsidRPr="00F65403">
              <w:rPr>
                <w:rFonts w:eastAsia="Arial" w:cs="Arial"/>
                <w:sz w:val="20"/>
                <w:szCs w:val="20"/>
              </w:rPr>
              <w:t xml:space="preserve"> </w:t>
            </w:r>
            <w:r w:rsidR="00091080" w:rsidRPr="00F65403">
              <w:rPr>
                <w:rFonts w:eastAsia="Arial" w:cs="Arial"/>
                <w:sz w:val="20"/>
                <w:szCs w:val="20"/>
              </w:rPr>
              <w:t>and cash flows.</w:t>
            </w:r>
          </w:p>
          <w:p w14:paraId="481415A4" w14:textId="77777777" w:rsidR="00322A9F" w:rsidRPr="00F65403" w:rsidRDefault="00322A9F" w:rsidP="00322A9F">
            <w:pPr>
              <w:rPr>
                <w:rFonts w:eastAsia="Arial" w:cs="Arial"/>
                <w:sz w:val="20"/>
                <w:szCs w:val="20"/>
              </w:rPr>
            </w:pPr>
          </w:p>
          <w:p w14:paraId="51A525D6" w14:textId="10DBA8D8" w:rsidR="00091080" w:rsidRPr="00F65403" w:rsidRDefault="00091080" w:rsidP="00091080">
            <w:pPr>
              <w:rPr>
                <w:rFonts w:eastAsia="Arial" w:cs="Arial"/>
                <w:sz w:val="20"/>
                <w:szCs w:val="20"/>
              </w:rPr>
            </w:pPr>
            <w:r w:rsidRPr="00F65403">
              <w:rPr>
                <w:rFonts w:eastAsia="Arial" w:cs="Arial"/>
                <w:sz w:val="20"/>
                <w:szCs w:val="20"/>
              </w:rPr>
              <w:t>When applying the “own-use” criteria, the sale of unused</w:t>
            </w:r>
            <w:r w:rsidR="00322A9F" w:rsidRPr="00F65403">
              <w:rPr>
                <w:rFonts w:eastAsia="Arial" w:cs="Arial"/>
                <w:sz w:val="20"/>
                <w:szCs w:val="20"/>
              </w:rPr>
              <w:t xml:space="preserve"> </w:t>
            </w:r>
            <w:r w:rsidRPr="00F65403">
              <w:rPr>
                <w:rFonts w:eastAsia="Arial" w:cs="Arial"/>
                <w:sz w:val="20"/>
                <w:szCs w:val="20"/>
              </w:rPr>
              <w:t>nature-dependent electricity will be in accordance with an</w:t>
            </w:r>
            <w:r w:rsidR="00322A9F" w:rsidRPr="00F65403">
              <w:rPr>
                <w:rFonts w:eastAsia="Arial" w:cs="Arial"/>
                <w:sz w:val="20"/>
                <w:szCs w:val="20"/>
              </w:rPr>
              <w:t xml:space="preserve"> </w:t>
            </w:r>
            <w:r w:rsidRPr="00F65403">
              <w:rPr>
                <w:rFonts w:eastAsia="Arial" w:cs="Arial"/>
                <w:sz w:val="20"/>
                <w:szCs w:val="20"/>
              </w:rPr>
              <w:t>entity’s expected purchase or usage requirements provided</w:t>
            </w:r>
            <w:r w:rsidR="00322A9F" w:rsidRPr="00F65403">
              <w:rPr>
                <w:rFonts w:eastAsia="Arial" w:cs="Arial"/>
                <w:sz w:val="20"/>
                <w:szCs w:val="20"/>
              </w:rPr>
              <w:t xml:space="preserve"> </w:t>
            </w:r>
            <w:r w:rsidRPr="00F65403">
              <w:rPr>
                <w:rFonts w:eastAsia="Arial" w:cs="Arial"/>
                <w:sz w:val="20"/>
                <w:szCs w:val="20"/>
              </w:rPr>
              <w:t>that specified criteria are met. In particular, an entity will</w:t>
            </w:r>
            <w:r w:rsidR="00322A9F" w:rsidRPr="00F65403">
              <w:rPr>
                <w:rFonts w:eastAsia="Arial" w:cs="Arial"/>
                <w:sz w:val="20"/>
                <w:szCs w:val="20"/>
              </w:rPr>
              <w:t xml:space="preserve"> </w:t>
            </w:r>
            <w:r w:rsidRPr="00F65403">
              <w:rPr>
                <w:rFonts w:eastAsia="Arial" w:cs="Arial"/>
                <w:sz w:val="20"/>
                <w:szCs w:val="20"/>
              </w:rPr>
              <w:t>be a net purchaser of electricity if it buys sufficient</w:t>
            </w:r>
            <w:r w:rsidR="00322A9F" w:rsidRPr="00F65403">
              <w:rPr>
                <w:rFonts w:eastAsia="Arial" w:cs="Arial"/>
                <w:sz w:val="20"/>
                <w:szCs w:val="20"/>
              </w:rPr>
              <w:t xml:space="preserve"> </w:t>
            </w:r>
            <w:r w:rsidRPr="00F65403">
              <w:rPr>
                <w:rFonts w:eastAsia="Arial" w:cs="Arial"/>
                <w:sz w:val="20"/>
                <w:szCs w:val="20"/>
              </w:rPr>
              <w:t>electricity to offset any sales of unused electricity - in the</w:t>
            </w:r>
            <w:r w:rsidR="00322A9F" w:rsidRPr="00F65403">
              <w:rPr>
                <w:rFonts w:eastAsia="Arial" w:cs="Arial"/>
                <w:sz w:val="20"/>
                <w:szCs w:val="20"/>
              </w:rPr>
              <w:t xml:space="preserve"> </w:t>
            </w:r>
            <w:r w:rsidRPr="00F65403">
              <w:rPr>
                <w:rFonts w:eastAsia="Arial" w:cs="Arial"/>
                <w:sz w:val="20"/>
                <w:szCs w:val="20"/>
              </w:rPr>
              <w:t>same market in which that electricity was sold. This would</w:t>
            </w:r>
            <w:r w:rsidR="00322A9F" w:rsidRPr="00F65403">
              <w:rPr>
                <w:rFonts w:eastAsia="Arial" w:cs="Arial"/>
                <w:sz w:val="20"/>
                <w:szCs w:val="20"/>
              </w:rPr>
              <w:t xml:space="preserve"> </w:t>
            </w:r>
            <w:r w:rsidRPr="00F65403">
              <w:rPr>
                <w:rFonts w:eastAsia="Arial" w:cs="Arial"/>
                <w:sz w:val="20"/>
                <w:szCs w:val="20"/>
              </w:rPr>
              <w:t>allow the contracts to remain outside the scope IFRS 9.</w:t>
            </w:r>
          </w:p>
          <w:p w14:paraId="295369CB" w14:textId="77777777" w:rsidR="00322A9F" w:rsidRPr="00F65403" w:rsidRDefault="00322A9F" w:rsidP="00091080">
            <w:pPr>
              <w:rPr>
                <w:rFonts w:eastAsia="Arial" w:cs="Arial"/>
                <w:sz w:val="20"/>
                <w:szCs w:val="20"/>
              </w:rPr>
            </w:pPr>
          </w:p>
          <w:p w14:paraId="7F71A80B" w14:textId="6F506208" w:rsidR="00091080" w:rsidRPr="00F65403" w:rsidRDefault="00091080" w:rsidP="00091080">
            <w:pPr>
              <w:rPr>
                <w:rFonts w:eastAsia="Arial" w:cs="Arial"/>
                <w:sz w:val="20"/>
                <w:szCs w:val="20"/>
              </w:rPr>
            </w:pPr>
            <w:r w:rsidRPr="00F65403">
              <w:rPr>
                <w:rFonts w:eastAsia="Arial" w:cs="Arial"/>
                <w:sz w:val="20"/>
                <w:szCs w:val="20"/>
              </w:rPr>
              <w:t>The Amendments also allow an entity to designate a</w:t>
            </w:r>
            <w:r w:rsidR="00322A9F" w:rsidRPr="00F65403">
              <w:rPr>
                <w:rFonts w:eastAsia="Arial" w:cs="Arial"/>
                <w:sz w:val="20"/>
                <w:szCs w:val="20"/>
              </w:rPr>
              <w:t xml:space="preserve"> </w:t>
            </w:r>
            <w:r w:rsidRPr="00F65403">
              <w:rPr>
                <w:rFonts w:eastAsia="Arial" w:cs="Arial"/>
                <w:sz w:val="20"/>
                <w:szCs w:val="20"/>
              </w:rPr>
              <w:t>variable nominal volume of forecast electricity transactions</w:t>
            </w:r>
            <w:r w:rsidR="00322A9F" w:rsidRPr="00F65403">
              <w:rPr>
                <w:rFonts w:eastAsia="Arial" w:cs="Arial"/>
                <w:sz w:val="20"/>
                <w:szCs w:val="20"/>
              </w:rPr>
              <w:t xml:space="preserve"> </w:t>
            </w:r>
            <w:r w:rsidRPr="00F65403">
              <w:rPr>
                <w:rFonts w:eastAsia="Arial" w:cs="Arial"/>
                <w:sz w:val="20"/>
                <w:szCs w:val="20"/>
              </w:rPr>
              <w:t>as a hedged item, if specified criteria are met.</w:t>
            </w:r>
          </w:p>
          <w:p w14:paraId="36D80817" w14:textId="77777777" w:rsidR="00322A9F" w:rsidRPr="00F65403" w:rsidRDefault="00322A9F" w:rsidP="00091080">
            <w:pPr>
              <w:rPr>
                <w:rFonts w:eastAsia="Arial" w:cs="Arial"/>
                <w:sz w:val="20"/>
                <w:szCs w:val="20"/>
              </w:rPr>
            </w:pPr>
          </w:p>
          <w:p w14:paraId="5FA9915B" w14:textId="7787FBE9" w:rsidR="00FC5D03" w:rsidRPr="00F65403" w:rsidRDefault="00091080" w:rsidP="00091080">
            <w:pPr>
              <w:rPr>
                <w:rFonts w:eastAsia="Arial" w:cs="Arial"/>
                <w:sz w:val="20"/>
                <w:szCs w:val="20"/>
              </w:rPr>
            </w:pPr>
            <w:r w:rsidRPr="00F65403">
              <w:rPr>
                <w:rFonts w:eastAsia="Arial" w:cs="Arial"/>
                <w:sz w:val="20"/>
                <w:szCs w:val="20"/>
              </w:rPr>
              <w:t>Earlier application is permitted.</w:t>
            </w:r>
          </w:p>
        </w:tc>
        <w:tc>
          <w:tcPr>
            <w:tcW w:w="1645" w:type="dxa"/>
          </w:tcPr>
          <w:p w14:paraId="28DC9573" w14:textId="77777777" w:rsidR="00FC5D03" w:rsidRPr="00F65403" w:rsidRDefault="0020155B" w:rsidP="0048780B">
            <w:pPr>
              <w:rPr>
                <w:rFonts w:eastAsia="Arial" w:cs="Arial"/>
                <w:sz w:val="20"/>
                <w:szCs w:val="20"/>
              </w:rPr>
            </w:pPr>
            <w:r w:rsidRPr="00F65403">
              <w:rPr>
                <w:rFonts w:eastAsia="Arial" w:cs="Arial"/>
                <w:sz w:val="20"/>
                <w:szCs w:val="20"/>
              </w:rPr>
              <w:t>Standard:</w:t>
            </w:r>
          </w:p>
          <w:p w14:paraId="7B25E6C3" w14:textId="79ED2FCA" w:rsidR="0020155B" w:rsidRPr="00F65403" w:rsidRDefault="0020155B" w:rsidP="0048780B">
            <w:pPr>
              <w:rPr>
                <w:rFonts w:eastAsia="Arial" w:cs="Arial"/>
                <w:sz w:val="20"/>
                <w:szCs w:val="20"/>
              </w:rPr>
            </w:pPr>
            <w:r w:rsidRPr="00F65403">
              <w:rPr>
                <w:rFonts w:eastAsia="Arial" w:cs="Arial"/>
                <w:sz w:val="20"/>
                <w:szCs w:val="20"/>
              </w:rPr>
              <w:t>1 January 2026</w:t>
            </w:r>
          </w:p>
          <w:p w14:paraId="5F656123" w14:textId="77777777" w:rsidR="0020155B" w:rsidRPr="00F65403" w:rsidRDefault="0020155B" w:rsidP="0048780B">
            <w:pPr>
              <w:rPr>
                <w:rFonts w:eastAsia="Arial" w:cs="Arial"/>
                <w:sz w:val="20"/>
                <w:szCs w:val="20"/>
              </w:rPr>
            </w:pPr>
          </w:p>
          <w:p w14:paraId="061F2E67" w14:textId="77777777" w:rsidR="0020155B" w:rsidRPr="00F65403" w:rsidRDefault="0020155B" w:rsidP="0048780B">
            <w:pPr>
              <w:rPr>
                <w:rFonts w:eastAsia="Arial" w:cs="Arial"/>
                <w:sz w:val="20"/>
                <w:szCs w:val="20"/>
              </w:rPr>
            </w:pPr>
            <w:r w:rsidRPr="00F65403">
              <w:rPr>
                <w:rFonts w:eastAsia="Arial" w:cs="Arial"/>
                <w:sz w:val="20"/>
                <w:szCs w:val="20"/>
              </w:rPr>
              <w:t>Group:</w:t>
            </w:r>
          </w:p>
          <w:p w14:paraId="073A4B8B" w14:textId="6BFE5A3E" w:rsidR="0020155B" w:rsidRPr="00F65403" w:rsidRDefault="0020155B" w:rsidP="0048780B">
            <w:pPr>
              <w:rPr>
                <w:rFonts w:eastAsia="Arial" w:cs="Arial"/>
                <w:sz w:val="20"/>
                <w:szCs w:val="20"/>
              </w:rPr>
            </w:pPr>
            <w:r w:rsidRPr="00F65403">
              <w:rPr>
                <w:rFonts w:eastAsia="Arial" w:cs="Arial"/>
                <w:sz w:val="20"/>
                <w:szCs w:val="20"/>
              </w:rPr>
              <w:t>1 July 2026</w:t>
            </w:r>
          </w:p>
        </w:tc>
      </w:tr>
      <w:tr w:rsidR="00E53E6B" w:rsidRPr="00FC5D03" w14:paraId="20A8FFEE" w14:textId="77777777" w:rsidTr="00F6590C">
        <w:tc>
          <w:tcPr>
            <w:tcW w:w="1985" w:type="dxa"/>
          </w:tcPr>
          <w:p w14:paraId="1D87F95F" w14:textId="2CBAC403" w:rsidR="00E53E6B" w:rsidRPr="00F65403" w:rsidRDefault="00E53E6B" w:rsidP="00E53E6B">
            <w:pPr>
              <w:rPr>
                <w:rFonts w:eastAsia="Arial" w:cs="Arial"/>
                <w:sz w:val="20"/>
                <w:szCs w:val="20"/>
              </w:rPr>
            </w:pPr>
            <w:r w:rsidRPr="00F65403">
              <w:rPr>
                <w:rFonts w:eastAsia="Arial" w:cs="Arial"/>
                <w:sz w:val="20"/>
                <w:szCs w:val="20"/>
              </w:rPr>
              <w:t xml:space="preserve">AASB 2024-2 Amendments to AASs </w:t>
            </w:r>
            <w:r w:rsidR="00104757">
              <w:rPr>
                <w:rFonts w:eastAsia="Arial" w:cs="Arial"/>
                <w:sz w:val="20"/>
                <w:szCs w:val="20"/>
              </w:rPr>
              <w:t>-</w:t>
            </w:r>
            <w:r w:rsidRPr="00F65403">
              <w:rPr>
                <w:rFonts w:eastAsia="Arial" w:cs="Arial"/>
                <w:sz w:val="20"/>
                <w:szCs w:val="20"/>
              </w:rPr>
              <w:t xml:space="preserve"> Classification and Measurement of Financial Instruments</w:t>
            </w:r>
          </w:p>
        </w:tc>
        <w:tc>
          <w:tcPr>
            <w:tcW w:w="5386" w:type="dxa"/>
          </w:tcPr>
          <w:p w14:paraId="159D7938" w14:textId="77777777" w:rsidR="00E53E6B" w:rsidRPr="00F65403" w:rsidRDefault="00536253" w:rsidP="00E53E6B">
            <w:pPr>
              <w:rPr>
                <w:rFonts w:eastAsia="Arial" w:cs="Arial"/>
                <w:sz w:val="20"/>
                <w:szCs w:val="20"/>
              </w:rPr>
            </w:pPr>
            <w:r w:rsidRPr="00F65403">
              <w:rPr>
                <w:rFonts w:eastAsia="Arial" w:cs="Arial"/>
                <w:sz w:val="20"/>
                <w:szCs w:val="20"/>
              </w:rPr>
              <w:t xml:space="preserve">These amendments to AASB 7 and AASB 9 </w:t>
            </w:r>
            <w:r w:rsidRPr="00AA3AC5">
              <w:rPr>
                <w:rFonts w:eastAsia="Arial" w:cs="Arial"/>
                <w:i/>
                <w:iCs/>
                <w:sz w:val="20"/>
                <w:szCs w:val="20"/>
              </w:rPr>
              <w:t>Financial Instruments</w:t>
            </w:r>
            <w:r w:rsidR="000B6CCB" w:rsidRPr="00F65403">
              <w:rPr>
                <w:rFonts w:eastAsia="Arial" w:cs="Arial"/>
                <w:sz w:val="20"/>
                <w:szCs w:val="20"/>
              </w:rPr>
              <w:t>:</w:t>
            </w:r>
          </w:p>
          <w:p w14:paraId="3C45752F" w14:textId="77777777" w:rsidR="00806CA6" w:rsidRPr="00F65403" w:rsidRDefault="00806CA6" w:rsidP="00E53E6B">
            <w:pPr>
              <w:rPr>
                <w:rFonts w:eastAsia="Arial" w:cs="Arial"/>
                <w:sz w:val="20"/>
                <w:szCs w:val="20"/>
              </w:rPr>
            </w:pPr>
          </w:p>
          <w:p w14:paraId="3C5AF760" w14:textId="1466AE85" w:rsidR="00F6590C" w:rsidRPr="00F65403" w:rsidRDefault="760283F5">
            <w:pPr>
              <w:pStyle w:val="ListParagraph"/>
              <w:numPr>
                <w:ilvl w:val="0"/>
                <w:numId w:val="93"/>
              </w:numPr>
              <w:rPr>
                <w:rFonts w:eastAsia="Arial" w:cs="Arial"/>
                <w:sz w:val="20"/>
                <w:szCs w:val="20"/>
              </w:rPr>
            </w:pPr>
            <w:r w:rsidRPr="6DB76270">
              <w:rPr>
                <w:rFonts w:eastAsia="Arial" w:cs="Arial"/>
                <w:sz w:val="20"/>
                <w:szCs w:val="20"/>
              </w:rPr>
              <w:t>c</w:t>
            </w:r>
            <w:r w:rsidR="003A5147" w:rsidRPr="00F65403">
              <w:rPr>
                <w:rFonts w:eastAsia="Arial" w:cs="Arial"/>
                <w:sz w:val="20"/>
                <w:szCs w:val="20"/>
              </w:rPr>
              <w:t>larify that a financial liability is derecognised on the</w:t>
            </w:r>
            <w:r w:rsidR="00806CA6" w:rsidRPr="00F65403">
              <w:rPr>
                <w:rFonts w:eastAsia="Arial" w:cs="Arial"/>
                <w:sz w:val="20"/>
                <w:szCs w:val="20"/>
              </w:rPr>
              <w:t xml:space="preserve"> </w:t>
            </w:r>
            <w:r w:rsidR="003A5147" w:rsidRPr="00F65403">
              <w:rPr>
                <w:rFonts w:eastAsia="Arial" w:cs="Arial"/>
                <w:sz w:val="20"/>
                <w:szCs w:val="20"/>
              </w:rPr>
              <w:t>‘settlement date’, i.e., when the related obligation is</w:t>
            </w:r>
            <w:r w:rsidR="00806CA6" w:rsidRPr="00F65403">
              <w:rPr>
                <w:rFonts w:eastAsia="Arial" w:cs="Arial"/>
                <w:sz w:val="20"/>
                <w:szCs w:val="20"/>
              </w:rPr>
              <w:t xml:space="preserve"> </w:t>
            </w:r>
            <w:r w:rsidR="003A5147" w:rsidRPr="00F65403">
              <w:rPr>
                <w:rFonts w:eastAsia="Arial" w:cs="Arial"/>
                <w:sz w:val="20"/>
                <w:szCs w:val="20"/>
              </w:rPr>
              <w:t>discharged, cancelled, expires or the liability</w:t>
            </w:r>
            <w:r w:rsidR="00806CA6" w:rsidRPr="00F65403">
              <w:rPr>
                <w:rFonts w:eastAsia="Arial" w:cs="Arial"/>
                <w:sz w:val="20"/>
                <w:szCs w:val="20"/>
              </w:rPr>
              <w:t xml:space="preserve"> </w:t>
            </w:r>
            <w:r w:rsidR="003A5147" w:rsidRPr="00F65403">
              <w:rPr>
                <w:rFonts w:eastAsia="Arial" w:cs="Arial"/>
                <w:sz w:val="20"/>
                <w:szCs w:val="20"/>
              </w:rPr>
              <w:t>otherwise qualifies for derecognition.</w:t>
            </w:r>
            <w:r w:rsidR="00F6590C" w:rsidRPr="00F65403">
              <w:rPr>
                <w:rFonts w:eastAsia="Arial" w:cs="Arial"/>
                <w:sz w:val="20"/>
                <w:szCs w:val="20"/>
              </w:rPr>
              <w:t xml:space="preserve"> </w:t>
            </w:r>
          </w:p>
          <w:p w14:paraId="23DA5242" w14:textId="4241F072" w:rsidR="00F6590C" w:rsidRPr="00F65403" w:rsidRDefault="2485D66D">
            <w:pPr>
              <w:pStyle w:val="ListParagraph"/>
              <w:numPr>
                <w:ilvl w:val="0"/>
                <w:numId w:val="93"/>
              </w:numPr>
              <w:rPr>
                <w:rFonts w:eastAsia="Arial" w:cs="Arial"/>
                <w:sz w:val="20"/>
                <w:szCs w:val="20"/>
              </w:rPr>
            </w:pPr>
            <w:r w:rsidRPr="0C5FB3B6">
              <w:rPr>
                <w:rFonts w:eastAsia="Arial" w:cs="Arial"/>
                <w:sz w:val="20"/>
                <w:szCs w:val="20"/>
              </w:rPr>
              <w:t>i</w:t>
            </w:r>
            <w:r w:rsidR="003A5147" w:rsidRPr="00F65403">
              <w:rPr>
                <w:rFonts w:eastAsia="Arial" w:cs="Arial"/>
                <w:sz w:val="20"/>
                <w:szCs w:val="20"/>
              </w:rPr>
              <w:t>ntroduce an accounting policy option to derecognise</w:t>
            </w:r>
            <w:r w:rsidR="00F6590C" w:rsidRPr="00F65403">
              <w:rPr>
                <w:rFonts w:eastAsia="Arial" w:cs="Arial"/>
                <w:sz w:val="20"/>
                <w:szCs w:val="20"/>
              </w:rPr>
              <w:t xml:space="preserve"> </w:t>
            </w:r>
            <w:r w:rsidR="003A5147" w:rsidRPr="00F65403">
              <w:rPr>
                <w:rFonts w:eastAsia="Arial" w:cs="Arial"/>
                <w:sz w:val="20"/>
                <w:szCs w:val="20"/>
              </w:rPr>
              <w:t>financial liabilities that are settled through an</w:t>
            </w:r>
            <w:r w:rsidR="00F6590C" w:rsidRPr="00F65403">
              <w:rPr>
                <w:rFonts w:eastAsia="Arial" w:cs="Arial"/>
                <w:sz w:val="20"/>
                <w:szCs w:val="20"/>
              </w:rPr>
              <w:t xml:space="preserve"> </w:t>
            </w:r>
            <w:r w:rsidR="003A5147" w:rsidRPr="00F65403">
              <w:rPr>
                <w:rFonts w:eastAsia="Arial" w:cs="Arial"/>
                <w:sz w:val="20"/>
                <w:szCs w:val="20"/>
              </w:rPr>
              <w:t>electronic payment system before the settlement date</w:t>
            </w:r>
            <w:r w:rsidR="00F6590C" w:rsidRPr="00F65403">
              <w:rPr>
                <w:rFonts w:eastAsia="Arial" w:cs="Arial"/>
                <w:sz w:val="20"/>
                <w:szCs w:val="20"/>
              </w:rPr>
              <w:t xml:space="preserve"> </w:t>
            </w:r>
            <w:r w:rsidR="003A5147" w:rsidRPr="00F65403">
              <w:rPr>
                <w:rFonts w:eastAsia="Arial" w:cs="Arial"/>
                <w:sz w:val="20"/>
                <w:szCs w:val="20"/>
              </w:rPr>
              <w:t>if certain conditions are met</w:t>
            </w:r>
            <w:r w:rsidR="00F6590C" w:rsidRPr="00F65403">
              <w:rPr>
                <w:rFonts w:eastAsia="Arial" w:cs="Arial"/>
                <w:sz w:val="20"/>
                <w:szCs w:val="20"/>
              </w:rPr>
              <w:t xml:space="preserve"> </w:t>
            </w:r>
          </w:p>
          <w:p w14:paraId="6380CF59" w14:textId="76B20DDE" w:rsidR="00F6590C" w:rsidRPr="00F65403" w:rsidRDefault="096CB926">
            <w:pPr>
              <w:pStyle w:val="ListParagraph"/>
              <w:numPr>
                <w:ilvl w:val="0"/>
                <w:numId w:val="93"/>
              </w:numPr>
              <w:rPr>
                <w:rFonts w:eastAsia="Arial" w:cs="Arial"/>
                <w:sz w:val="20"/>
                <w:szCs w:val="20"/>
              </w:rPr>
            </w:pPr>
            <w:r w:rsidRPr="0C5FB3B6">
              <w:rPr>
                <w:rFonts w:eastAsia="Arial" w:cs="Arial"/>
                <w:sz w:val="20"/>
                <w:szCs w:val="20"/>
              </w:rPr>
              <w:t>c</w:t>
            </w:r>
            <w:r w:rsidR="003A5147" w:rsidRPr="00F65403">
              <w:rPr>
                <w:rFonts w:eastAsia="Arial" w:cs="Arial"/>
                <w:sz w:val="20"/>
                <w:szCs w:val="20"/>
              </w:rPr>
              <w:t>larify</w:t>
            </w:r>
            <w:r w:rsidR="00F6590C" w:rsidRPr="00F65403">
              <w:rPr>
                <w:rFonts w:eastAsia="Arial" w:cs="Arial"/>
                <w:sz w:val="20"/>
                <w:szCs w:val="20"/>
              </w:rPr>
              <w:t xml:space="preserve"> </w:t>
            </w:r>
            <w:r w:rsidR="003A5147" w:rsidRPr="00F65403">
              <w:rPr>
                <w:rFonts w:eastAsia="Arial" w:cs="Arial"/>
                <w:sz w:val="20"/>
                <w:szCs w:val="20"/>
              </w:rPr>
              <w:t>how to assess contractual cash flow characteristics</w:t>
            </w:r>
            <w:r w:rsidR="00F6590C" w:rsidRPr="00F65403">
              <w:rPr>
                <w:rFonts w:eastAsia="Arial" w:cs="Arial"/>
                <w:sz w:val="20"/>
                <w:szCs w:val="20"/>
              </w:rPr>
              <w:t xml:space="preserve"> </w:t>
            </w:r>
            <w:r w:rsidR="003A5147" w:rsidRPr="00F65403">
              <w:rPr>
                <w:rFonts w:eastAsia="Arial" w:cs="Arial"/>
                <w:sz w:val="20"/>
                <w:szCs w:val="20"/>
              </w:rPr>
              <w:t>that include environmental, social and governance</w:t>
            </w:r>
            <w:r w:rsidR="00F6590C" w:rsidRPr="00F65403">
              <w:rPr>
                <w:rFonts w:eastAsia="Arial" w:cs="Arial"/>
                <w:sz w:val="20"/>
                <w:szCs w:val="20"/>
              </w:rPr>
              <w:t xml:space="preserve"> </w:t>
            </w:r>
            <w:r w:rsidR="003A5147" w:rsidRPr="00F65403">
              <w:rPr>
                <w:rFonts w:eastAsia="Arial" w:cs="Arial"/>
                <w:sz w:val="20"/>
                <w:szCs w:val="20"/>
              </w:rPr>
              <w:t>(ESG)-linked features and other similar contingent</w:t>
            </w:r>
            <w:r w:rsidR="00F6590C" w:rsidRPr="00F65403">
              <w:rPr>
                <w:rFonts w:eastAsia="Arial" w:cs="Arial"/>
                <w:sz w:val="20"/>
                <w:szCs w:val="20"/>
              </w:rPr>
              <w:t xml:space="preserve"> </w:t>
            </w:r>
            <w:r w:rsidR="003A5147" w:rsidRPr="00F65403">
              <w:rPr>
                <w:rFonts w:eastAsia="Arial" w:cs="Arial"/>
                <w:sz w:val="20"/>
                <w:szCs w:val="20"/>
              </w:rPr>
              <w:t>features</w:t>
            </w:r>
            <w:r w:rsidR="00F6590C" w:rsidRPr="00F65403">
              <w:rPr>
                <w:rFonts w:eastAsia="Arial" w:cs="Arial"/>
                <w:sz w:val="20"/>
                <w:szCs w:val="20"/>
              </w:rPr>
              <w:t xml:space="preserve"> </w:t>
            </w:r>
            <w:r w:rsidR="00E53468" w:rsidRPr="00F65403">
              <w:rPr>
                <w:rFonts w:eastAsia="Arial" w:cs="Arial"/>
                <w:sz w:val="20"/>
                <w:szCs w:val="20"/>
              </w:rPr>
              <w:t>when classifying financial assets</w:t>
            </w:r>
          </w:p>
          <w:p w14:paraId="7E782B6D" w14:textId="27CAF04A" w:rsidR="00F6590C" w:rsidRPr="00F65403" w:rsidRDefault="43F245A3">
            <w:pPr>
              <w:pStyle w:val="ListParagraph"/>
              <w:numPr>
                <w:ilvl w:val="0"/>
                <w:numId w:val="93"/>
              </w:numPr>
              <w:rPr>
                <w:rFonts w:eastAsia="Arial" w:cs="Arial"/>
                <w:sz w:val="20"/>
                <w:szCs w:val="20"/>
              </w:rPr>
            </w:pPr>
            <w:r w:rsidRPr="0C5FB3B6">
              <w:rPr>
                <w:rFonts w:eastAsia="Arial" w:cs="Arial"/>
                <w:sz w:val="20"/>
                <w:szCs w:val="20"/>
              </w:rPr>
              <w:t>c</w:t>
            </w:r>
            <w:r w:rsidR="003A5147" w:rsidRPr="00F65403">
              <w:rPr>
                <w:rFonts w:eastAsia="Arial" w:cs="Arial"/>
                <w:sz w:val="20"/>
                <w:szCs w:val="20"/>
              </w:rPr>
              <w:t>larify how non-recourse features and contractually</w:t>
            </w:r>
            <w:r w:rsidR="00F6590C" w:rsidRPr="00F65403">
              <w:rPr>
                <w:rFonts w:eastAsia="Arial" w:cs="Arial"/>
                <w:sz w:val="20"/>
                <w:szCs w:val="20"/>
              </w:rPr>
              <w:t xml:space="preserve"> </w:t>
            </w:r>
            <w:r w:rsidR="003A5147" w:rsidRPr="00F65403">
              <w:rPr>
                <w:rFonts w:eastAsia="Arial" w:cs="Arial"/>
                <w:sz w:val="20"/>
                <w:szCs w:val="20"/>
              </w:rPr>
              <w:t>linked instruments are assessed for the purpose of</w:t>
            </w:r>
            <w:r w:rsidR="00F6590C" w:rsidRPr="00F65403">
              <w:rPr>
                <w:rFonts w:eastAsia="Arial" w:cs="Arial"/>
                <w:sz w:val="20"/>
                <w:szCs w:val="20"/>
              </w:rPr>
              <w:t xml:space="preserve"> </w:t>
            </w:r>
            <w:r w:rsidR="003A5147" w:rsidRPr="00F65403">
              <w:rPr>
                <w:rFonts w:eastAsia="Arial" w:cs="Arial"/>
                <w:sz w:val="20"/>
                <w:szCs w:val="20"/>
              </w:rPr>
              <w:t>applying the SPPI test when determining the</w:t>
            </w:r>
            <w:r w:rsidR="00F6590C" w:rsidRPr="00F65403">
              <w:rPr>
                <w:rFonts w:eastAsia="Arial" w:cs="Arial"/>
                <w:sz w:val="20"/>
                <w:szCs w:val="20"/>
              </w:rPr>
              <w:t xml:space="preserve"> </w:t>
            </w:r>
            <w:r w:rsidR="003A5147" w:rsidRPr="00F65403">
              <w:rPr>
                <w:rFonts w:eastAsia="Arial" w:cs="Arial"/>
                <w:sz w:val="20"/>
                <w:szCs w:val="20"/>
              </w:rPr>
              <w:t>measurement basis of financial assets.</w:t>
            </w:r>
          </w:p>
          <w:p w14:paraId="03D43ABD" w14:textId="2F711D6D" w:rsidR="00F6590C" w:rsidRPr="00F65403" w:rsidRDefault="19B931D7">
            <w:pPr>
              <w:pStyle w:val="ListParagraph"/>
              <w:numPr>
                <w:ilvl w:val="0"/>
                <w:numId w:val="93"/>
              </w:numPr>
              <w:rPr>
                <w:rFonts w:eastAsia="Arial" w:cs="Arial"/>
                <w:sz w:val="20"/>
                <w:szCs w:val="20"/>
              </w:rPr>
            </w:pPr>
            <w:r w:rsidRPr="0C5FB3B6">
              <w:rPr>
                <w:rFonts w:eastAsia="Arial" w:cs="Arial"/>
                <w:sz w:val="20"/>
                <w:szCs w:val="20"/>
              </w:rPr>
              <w:t>r</w:t>
            </w:r>
            <w:r w:rsidR="003A5147" w:rsidRPr="00F65403">
              <w:rPr>
                <w:rFonts w:eastAsia="Arial" w:cs="Arial"/>
                <w:sz w:val="20"/>
                <w:szCs w:val="20"/>
              </w:rPr>
              <w:t>equire additional disclosures in AASB 7 for financial</w:t>
            </w:r>
            <w:r w:rsidR="00F6590C" w:rsidRPr="00F65403">
              <w:rPr>
                <w:rFonts w:eastAsia="Arial" w:cs="Arial"/>
                <w:sz w:val="20"/>
                <w:szCs w:val="20"/>
              </w:rPr>
              <w:t xml:space="preserve"> </w:t>
            </w:r>
            <w:r w:rsidR="003A5147" w:rsidRPr="00F65403">
              <w:rPr>
                <w:rFonts w:eastAsia="Arial" w:cs="Arial"/>
                <w:sz w:val="20"/>
                <w:szCs w:val="20"/>
              </w:rPr>
              <w:t>assets and liabilities with contractual terms that</w:t>
            </w:r>
            <w:r w:rsidR="00F6590C" w:rsidRPr="00F65403">
              <w:rPr>
                <w:rFonts w:eastAsia="Arial" w:cs="Arial"/>
                <w:sz w:val="20"/>
                <w:szCs w:val="20"/>
              </w:rPr>
              <w:t xml:space="preserve"> </w:t>
            </w:r>
            <w:r w:rsidR="003A5147" w:rsidRPr="00F65403">
              <w:rPr>
                <w:rFonts w:eastAsia="Arial" w:cs="Arial"/>
                <w:sz w:val="20"/>
                <w:szCs w:val="20"/>
              </w:rPr>
              <w:t>reference a contingent event (including those that are</w:t>
            </w:r>
            <w:r w:rsidR="00F6590C" w:rsidRPr="00F65403">
              <w:rPr>
                <w:rFonts w:eastAsia="Arial" w:cs="Arial"/>
                <w:sz w:val="20"/>
                <w:szCs w:val="20"/>
              </w:rPr>
              <w:t xml:space="preserve"> </w:t>
            </w:r>
            <w:r w:rsidR="003A5147" w:rsidRPr="00F65403">
              <w:rPr>
                <w:rFonts w:eastAsia="Arial" w:cs="Arial"/>
                <w:sz w:val="20"/>
                <w:szCs w:val="20"/>
              </w:rPr>
              <w:t>ESG-linked), and equity instruments classified at fair</w:t>
            </w:r>
            <w:r w:rsidR="00F6590C" w:rsidRPr="00F65403">
              <w:rPr>
                <w:rFonts w:eastAsia="Arial" w:cs="Arial"/>
                <w:sz w:val="20"/>
                <w:szCs w:val="20"/>
              </w:rPr>
              <w:t xml:space="preserve"> </w:t>
            </w:r>
            <w:r w:rsidR="003A5147" w:rsidRPr="00F65403">
              <w:rPr>
                <w:rFonts w:eastAsia="Arial" w:cs="Arial"/>
                <w:sz w:val="20"/>
                <w:szCs w:val="20"/>
              </w:rPr>
              <w:t>value through other comprehensive income</w:t>
            </w:r>
            <w:r w:rsidR="2D10E29B" w:rsidRPr="0C5FB3B6">
              <w:rPr>
                <w:rFonts w:eastAsia="Arial" w:cs="Arial"/>
                <w:sz w:val="20"/>
                <w:szCs w:val="20"/>
              </w:rPr>
              <w:t>.</w:t>
            </w:r>
            <w:r w:rsidR="00F6590C" w:rsidRPr="00F65403">
              <w:rPr>
                <w:rFonts w:eastAsia="Arial" w:cs="Arial"/>
                <w:sz w:val="20"/>
                <w:szCs w:val="20"/>
              </w:rPr>
              <w:t xml:space="preserve"> </w:t>
            </w:r>
          </w:p>
          <w:p w14:paraId="3AAA8F43" w14:textId="77777777" w:rsidR="00F6590C" w:rsidRPr="00F65403" w:rsidRDefault="00F6590C" w:rsidP="00F6590C">
            <w:pPr>
              <w:rPr>
                <w:rFonts w:eastAsia="Arial" w:cs="Arial"/>
                <w:sz w:val="20"/>
                <w:szCs w:val="20"/>
              </w:rPr>
            </w:pPr>
          </w:p>
          <w:p w14:paraId="04766823" w14:textId="5E1DDCC0" w:rsidR="000B6CCB" w:rsidRPr="00F65403" w:rsidRDefault="003A5147" w:rsidP="00F6590C">
            <w:pPr>
              <w:rPr>
                <w:rFonts w:eastAsia="Arial" w:cs="Arial"/>
                <w:sz w:val="20"/>
                <w:szCs w:val="20"/>
              </w:rPr>
            </w:pPr>
            <w:r w:rsidRPr="00F65403">
              <w:rPr>
                <w:rFonts w:eastAsia="Arial" w:cs="Arial"/>
                <w:sz w:val="20"/>
                <w:szCs w:val="20"/>
              </w:rPr>
              <w:t>The new requirements will be applied retrospectively with</w:t>
            </w:r>
            <w:r w:rsidR="00F6590C" w:rsidRPr="00F65403">
              <w:rPr>
                <w:rFonts w:eastAsia="Arial" w:cs="Arial"/>
                <w:sz w:val="20"/>
                <w:szCs w:val="20"/>
              </w:rPr>
              <w:t xml:space="preserve"> </w:t>
            </w:r>
            <w:r w:rsidRPr="00F65403">
              <w:rPr>
                <w:rFonts w:eastAsia="Arial" w:cs="Arial"/>
                <w:sz w:val="20"/>
                <w:szCs w:val="20"/>
              </w:rPr>
              <w:t>an adjustment to opening retained earnings. Prior periods</w:t>
            </w:r>
            <w:r w:rsidR="00F6590C" w:rsidRPr="00F65403">
              <w:rPr>
                <w:rFonts w:eastAsia="Arial" w:cs="Arial"/>
                <w:sz w:val="20"/>
                <w:szCs w:val="20"/>
              </w:rPr>
              <w:t xml:space="preserve"> </w:t>
            </w:r>
            <w:r w:rsidRPr="00F65403">
              <w:rPr>
                <w:rFonts w:eastAsia="Arial" w:cs="Arial"/>
                <w:sz w:val="20"/>
                <w:szCs w:val="20"/>
              </w:rPr>
              <w:t>are not required to be restated and can only be restated</w:t>
            </w:r>
            <w:r w:rsidR="00F6590C" w:rsidRPr="00F65403">
              <w:rPr>
                <w:rFonts w:eastAsia="Arial" w:cs="Arial"/>
                <w:sz w:val="20"/>
                <w:szCs w:val="20"/>
              </w:rPr>
              <w:t xml:space="preserve"> </w:t>
            </w:r>
            <w:r w:rsidRPr="00F65403">
              <w:rPr>
                <w:rFonts w:eastAsia="Arial" w:cs="Arial"/>
                <w:sz w:val="20"/>
                <w:szCs w:val="20"/>
              </w:rPr>
              <w:t>without using hindsight. An entity is required to disclose</w:t>
            </w:r>
            <w:r w:rsidR="00F6590C" w:rsidRPr="00F65403">
              <w:rPr>
                <w:rFonts w:eastAsia="Arial" w:cs="Arial"/>
                <w:sz w:val="20"/>
                <w:szCs w:val="20"/>
              </w:rPr>
              <w:t xml:space="preserve"> </w:t>
            </w:r>
            <w:r w:rsidRPr="00F65403">
              <w:rPr>
                <w:rFonts w:eastAsia="Arial" w:cs="Arial"/>
                <w:sz w:val="20"/>
                <w:szCs w:val="20"/>
              </w:rPr>
              <w:t>information about financial assets that change their</w:t>
            </w:r>
            <w:r w:rsidR="00F6590C" w:rsidRPr="00F65403">
              <w:rPr>
                <w:rFonts w:eastAsia="Arial" w:cs="Arial"/>
                <w:sz w:val="20"/>
                <w:szCs w:val="20"/>
              </w:rPr>
              <w:t xml:space="preserve"> </w:t>
            </w:r>
            <w:r w:rsidRPr="00F65403">
              <w:rPr>
                <w:rFonts w:eastAsia="Arial" w:cs="Arial"/>
                <w:sz w:val="20"/>
                <w:szCs w:val="20"/>
              </w:rPr>
              <w:t>measurement category due to the amendments.</w:t>
            </w:r>
          </w:p>
        </w:tc>
        <w:tc>
          <w:tcPr>
            <w:tcW w:w="1645" w:type="dxa"/>
          </w:tcPr>
          <w:p w14:paraId="7DA96593" w14:textId="77777777" w:rsidR="00E53E6B" w:rsidRPr="00F65403" w:rsidRDefault="00E53E6B" w:rsidP="00E53E6B">
            <w:pPr>
              <w:rPr>
                <w:rFonts w:eastAsia="Arial" w:cs="Arial"/>
                <w:sz w:val="20"/>
                <w:szCs w:val="20"/>
              </w:rPr>
            </w:pPr>
            <w:r w:rsidRPr="00F65403">
              <w:rPr>
                <w:rFonts w:eastAsia="Arial" w:cs="Arial"/>
                <w:sz w:val="20"/>
                <w:szCs w:val="20"/>
              </w:rPr>
              <w:t>Standard:</w:t>
            </w:r>
          </w:p>
          <w:p w14:paraId="66AABADA" w14:textId="77777777" w:rsidR="00E53E6B" w:rsidRPr="00F65403" w:rsidRDefault="00E53E6B" w:rsidP="00E53E6B">
            <w:pPr>
              <w:rPr>
                <w:rFonts w:eastAsia="Arial" w:cs="Arial"/>
                <w:sz w:val="20"/>
                <w:szCs w:val="20"/>
              </w:rPr>
            </w:pPr>
            <w:r w:rsidRPr="00F65403">
              <w:rPr>
                <w:rFonts w:eastAsia="Arial" w:cs="Arial"/>
                <w:sz w:val="20"/>
                <w:szCs w:val="20"/>
              </w:rPr>
              <w:t>1 January 2026</w:t>
            </w:r>
          </w:p>
          <w:p w14:paraId="3ECF202D" w14:textId="77777777" w:rsidR="00E53E6B" w:rsidRPr="00F65403" w:rsidRDefault="00E53E6B" w:rsidP="00E53E6B">
            <w:pPr>
              <w:rPr>
                <w:rFonts w:eastAsia="Arial" w:cs="Arial"/>
                <w:sz w:val="20"/>
                <w:szCs w:val="20"/>
              </w:rPr>
            </w:pPr>
          </w:p>
          <w:p w14:paraId="2B12362A" w14:textId="77777777" w:rsidR="00E53E6B" w:rsidRPr="00F65403" w:rsidRDefault="00E53E6B" w:rsidP="00E53E6B">
            <w:pPr>
              <w:rPr>
                <w:rFonts w:eastAsia="Arial" w:cs="Arial"/>
                <w:sz w:val="20"/>
                <w:szCs w:val="20"/>
              </w:rPr>
            </w:pPr>
            <w:r w:rsidRPr="00F65403">
              <w:rPr>
                <w:rFonts w:eastAsia="Arial" w:cs="Arial"/>
                <w:sz w:val="20"/>
                <w:szCs w:val="20"/>
              </w:rPr>
              <w:t>Group:</w:t>
            </w:r>
          </w:p>
          <w:p w14:paraId="4D85CA26" w14:textId="74B4BE99" w:rsidR="00E53E6B" w:rsidRPr="00F65403" w:rsidRDefault="00E53E6B" w:rsidP="00E53E6B">
            <w:pPr>
              <w:rPr>
                <w:rFonts w:eastAsia="Arial" w:cs="Arial"/>
                <w:sz w:val="20"/>
                <w:szCs w:val="20"/>
              </w:rPr>
            </w:pPr>
            <w:r w:rsidRPr="00F65403">
              <w:rPr>
                <w:rFonts w:eastAsia="Arial" w:cs="Arial"/>
                <w:sz w:val="20"/>
                <w:szCs w:val="20"/>
              </w:rPr>
              <w:t>1 July 2026</w:t>
            </w:r>
          </w:p>
        </w:tc>
      </w:tr>
    </w:tbl>
    <w:p w14:paraId="04BB296F" w14:textId="161F8321" w:rsidR="0017446F" w:rsidRPr="00F65403" w:rsidRDefault="0017446F" w:rsidP="00EF1C81">
      <w:pPr>
        <w:pStyle w:val="BodyText"/>
        <w:rPr>
          <w:lang w:val="en-AU"/>
        </w:rPr>
      </w:pPr>
    </w:p>
    <w:p w14:paraId="33BF0561" w14:textId="42EA420F" w:rsidR="00CE2AF8" w:rsidRPr="00F65403" w:rsidRDefault="00CE2AF8" w:rsidP="00FA4BD6">
      <w:pPr>
        <w:pStyle w:val="BodyText"/>
        <w:rPr>
          <w:lang w:val="en-AU"/>
        </w:rPr>
      </w:pPr>
    </w:p>
    <w:p w14:paraId="5E4C40F8" w14:textId="77777777" w:rsidR="00AB21C9" w:rsidRPr="00F65403" w:rsidRDefault="00AB21C9">
      <w:pPr>
        <w:rPr>
          <w:rFonts w:eastAsiaTheme="majorEastAsia" w:cstheme="majorBidi"/>
          <w:b/>
          <w:sz w:val="20"/>
        </w:rPr>
      </w:pPr>
      <w:r w:rsidRPr="00F65403">
        <w:br w:type="page"/>
      </w:r>
    </w:p>
    <w:p w14:paraId="6EB88A18" w14:textId="661BC7CE" w:rsidR="00CF59E5" w:rsidRPr="00F65403" w:rsidRDefault="000225FD" w:rsidP="3411B552">
      <w:pPr>
        <w:pStyle w:val="Heading7"/>
        <w:rPr>
          <w:sz w:val="24"/>
          <w:szCs w:val="24"/>
        </w:rPr>
      </w:pPr>
      <w:r>
        <w:t>Operating e</w:t>
      </w:r>
      <w:r w:rsidR="00483ED7">
        <w:t>xpenses</w:t>
      </w:r>
    </w:p>
    <w:tbl>
      <w:tblPr>
        <w:tblW w:w="8857" w:type="dxa"/>
        <w:tblLayout w:type="fixed"/>
        <w:tblCellMar>
          <w:top w:w="28" w:type="dxa"/>
          <w:left w:w="28" w:type="dxa"/>
          <w:bottom w:w="28" w:type="dxa"/>
          <w:right w:w="28" w:type="dxa"/>
        </w:tblCellMar>
        <w:tblLook w:val="04A0" w:firstRow="1" w:lastRow="0" w:firstColumn="1" w:lastColumn="0" w:noHBand="0" w:noVBand="1"/>
      </w:tblPr>
      <w:tblGrid>
        <w:gridCol w:w="6237"/>
        <w:gridCol w:w="1310"/>
        <w:gridCol w:w="1310"/>
      </w:tblGrid>
      <w:tr w:rsidR="00147F76" w:rsidRPr="002B000F" w14:paraId="014C343B" w14:textId="77777777" w:rsidTr="413EB596">
        <w:tc>
          <w:tcPr>
            <w:tcW w:w="6237" w:type="dxa"/>
            <w:tcBorders>
              <w:top w:val="nil"/>
              <w:left w:val="nil"/>
              <w:bottom w:val="nil"/>
              <w:right w:val="nil"/>
            </w:tcBorders>
            <w:noWrap/>
            <w:vAlign w:val="bottom"/>
            <w:hideMark/>
          </w:tcPr>
          <w:p w14:paraId="75DF10DD" w14:textId="77777777" w:rsidR="00147F76" w:rsidRPr="00F65403" w:rsidRDefault="00147F76" w:rsidP="002B000F">
            <w:pPr>
              <w:spacing w:after="0" w:line="240" w:lineRule="auto"/>
              <w:rPr>
                <w:rFonts w:eastAsia="Times New Roman" w:cs="Arial"/>
                <w:sz w:val="20"/>
                <w:szCs w:val="20"/>
                <w:lang w:eastAsia="en-AU"/>
              </w:rPr>
            </w:pPr>
          </w:p>
        </w:tc>
        <w:tc>
          <w:tcPr>
            <w:tcW w:w="1310" w:type="dxa"/>
            <w:tcBorders>
              <w:top w:val="nil"/>
              <w:left w:val="nil"/>
              <w:bottom w:val="nil"/>
              <w:right w:val="nil"/>
            </w:tcBorders>
            <w:noWrap/>
            <w:vAlign w:val="bottom"/>
            <w:hideMark/>
          </w:tcPr>
          <w:p w14:paraId="7A31BFDE" w14:textId="1301C91D" w:rsidR="00147F76" w:rsidRPr="00F65403" w:rsidRDefault="004E3813" w:rsidP="004E3813">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Year ended 30 June 2025</w:t>
            </w:r>
          </w:p>
        </w:tc>
        <w:tc>
          <w:tcPr>
            <w:tcW w:w="1310" w:type="dxa"/>
            <w:tcBorders>
              <w:top w:val="nil"/>
              <w:left w:val="nil"/>
              <w:bottom w:val="nil"/>
              <w:right w:val="nil"/>
            </w:tcBorders>
            <w:noWrap/>
            <w:vAlign w:val="bottom"/>
            <w:hideMark/>
          </w:tcPr>
          <w:p w14:paraId="619A8E26" w14:textId="300E4C84" w:rsidR="00147F76" w:rsidRPr="00F65403" w:rsidRDefault="004E3813" w:rsidP="004E3813">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25 October 2023 to 30 June 2024</w:t>
            </w:r>
          </w:p>
        </w:tc>
      </w:tr>
      <w:tr w:rsidR="00147F76" w:rsidRPr="002B000F" w14:paraId="47D860D4" w14:textId="77777777" w:rsidTr="413EB596">
        <w:tc>
          <w:tcPr>
            <w:tcW w:w="6237" w:type="dxa"/>
            <w:tcBorders>
              <w:top w:val="nil"/>
              <w:left w:val="nil"/>
              <w:bottom w:val="nil"/>
              <w:right w:val="nil"/>
            </w:tcBorders>
            <w:noWrap/>
            <w:vAlign w:val="bottom"/>
            <w:hideMark/>
          </w:tcPr>
          <w:p w14:paraId="637C688A" w14:textId="77777777" w:rsidR="00147F76" w:rsidRPr="00F65403" w:rsidRDefault="00147F76" w:rsidP="002B000F">
            <w:pPr>
              <w:spacing w:after="0" w:line="240" w:lineRule="auto"/>
              <w:jc w:val="right"/>
              <w:rPr>
                <w:rFonts w:eastAsia="Times New Roman" w:cs="Arial"/>
                <w:b/>
                <w:color w:val="000000"/>
                <w:sz w:val="20"/>
                <w:szCs w:val="20"/>
                <w:lang w:eastAsia="en-AU"/>
              </w:rPr>
            </w:pPr>
          </w:p>
        </w:tc>
        <w:tc>
          <w:tcPr>
            <w:tcW w:w="1310" w:type="dxa"/>
            <w:tcBorders>
              <w:top w:val="nil"/>
              <w:left w:val="nil"/>
              <w:bottom w:val="nil"/>
              <w:right w:val="nil"/>
            </w:tcBorders>
            <w:noWrap/>
            <w:vAlign w:val="bottom"/>
            <w:hideMark/>
          </w:tcPr>
          <w:p w14:paraId="7FDF8992" w14:textId="77777777" w:rsidR="00147F76" w:rsidRPr="00F65403" w:rsidRDefault="00147F76" w:rsidP="004865B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310" w:type="dxa"/>
            <w:tcBorders>
              <w:top w:val="nil"/>
              <w:left w:val="nil"/>
              <w:bottom w:val="nil"/>
              <w:right w:val="nil"/>
            </w:tcBorders>
            <w:noWrap/>
            <w:vAlign w:val="bottom"/>
            <w:hideMark/>
          </w:tcPr>
          <w:p w14:paraId="3DAD9921" w14:textId="77777777" w:rsidR="00147F76" w:rsidRPr="00F65403" w:rsidRDefault="00147F76" w:rsidP="004865B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96417" w:rsidRPr="002B000F" w14:paraId="6BE14945" w14:textId="77777777" w:rsidTr="413EB596">
        <w:trPr>
          <w:trHeight w:val="300"/>
        </w:trPr>
        <w:tc>
          <w:tcPr>
            <w:tcW w:w="6237" w:type="dxa"/>
            <w:tcBorders>
              <w:top w:val="nil"/>
              <w:left w:val="nil"/>
              <w:bottom w:val="nil"/>
              <w:right w:val="nil"/>
            </w:tcBorders>
            <w:noWrap/>
            <w:vAlign w:val="bottom"/>
            <w:hideMark/>
          </w:tcPr>
          <w:p w14:paraId="530776B0" w14:textId="213FEF7B" w:rsidR="00896417" w:rsidRPr="00F65403" w:rsidRDefault="00896417" w:rsidP="0089641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Employee benefits expenses</w:t>
            </w:r>
          </w:p>
        </w:tc>
        <w:tc>
          <w:tcPr>
            <w:tcW w:w="1310" w:type="dxa"/>
            <w:tcBorders>
              <w:top w:val="nil"/>
              <w:left w:val="nil"/>
              <w:bottom w:val="nil"/>
              <w:right w:val="nil"/>
            </w:tcBorders>
            <w:noWrap/>
            <w:vAlign w:val="bottom"/>
            <w:hideMark/>
          </w:tcPr>
          <w:p w14:paraId="07C8BFBF" w14:textId="33427670" w:rsidR="00896417" w:rsidRPr="00896417" w:rsidRDefault="00896417" w:rsidP="003D56B2">
            <w:pPr>
              <w:tabs>
                <w:tab w:val="decimal" w:pos="960"/>
              </w:tabs>
              <w:spacing w:after="0" w:line="240" w:lineRule="auto"/>
              <w:rPr>
                <w:rFonts w:eastAsia="Times New Roman" w:cs="Arial"/>
                <w:color w:val="000000"/>
                <w:sz w:val="20"/>
                <w:szCs w:val="20"/>
                <w:lang w:eastAsia="en-AU"/>
              </w:rPr>
            </w:pPr>
            <w:r w:rsidRPr="49BCD735">
              <w:rPr>
                <w:sz w:val="20"/>
                <w:szCs w:val="20"/>
              </w:rPr>
              <w:t>23,247</w:t>
            </w:r>
          </w:p>
        </w:tc>
        <w:tc>
          <w:tcPr>
            <w:tcW w:w="1310" w:type="dxa"/>
            <w:tcBorders>
              <w:top w:val="nil"/>
              <w:left w:val="nil"/>
              <w:bottom w:val="nil"/>
              <w:right w:val="nil"/>
            </w:tcBorders>
            <w:noWrap/>
            <w:vAlign w:val="bottom"/>
            <w:hideMark/>
          </w:tcPr>
          <w:p w14:paraId="3B70A7C7" w14:textId="4BC8C57C" w:rsidR="00896417" w:rsidRPr="00F65403" w:rsidRDefault="00896417" w:rsidP="00896417">
            <w:pPr>
              <w:tabs>
                <w:tab w:val="decimal" w:pos="96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3,404</w:t>
            </w:r>
          </w:p>
        </w:tc>
      </w:tr>
      <w:tr w:rsidR="00896417" w:rsidRPr="002B000F" w14:paraId="45788DFE" w14:textId="77777777" w:rsidTr="413EB596">
        <w:trPr>
          <w:trHeight w:val="300"/>
        </w:trPr>
        <w:tc>
          <w:tcPr>
            <w:tcW w:w="6237" w:type="dxa"/>
            <w:tcBorders>
              <w:top w:val="nil"/>
              <w:left w:val="nil"/>
              <w:bottom w:val="nil"/>
              <w:right w:val="nil"/>
            </w:tcBorders>
            <w:noWrap/>
            <w:vAlign w:val="bottom"/>
            <w:hideMark/>
          </w:tcPr>
          <w:p w14:paraId="3CC4BCF3" w14:textId="2FECB6B1" w:rsidR="00896417" w:rsidRPr="00F65403" w:rsidRDefault="00896417" w:rsidP="0089641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Administration expenses </w:t>
            </w:r>
          </w:p>
        </w:tc>
        <w:tc>
          <w:tcPr>
            <w:tcW w:w="1310" w:type="dxa"/>
            <w:tcBorders>
              <w:top w:val="nil"/>
              <w:left w:val="nil"/>
              <w:bottom w:val="nil"/>
              <w:right w:val="nil"/>
            </w:tcBorders>
            <w:noWrap/>
            <w:vAlign w:val="bottom"/>
            <w:hideMark/>
          </w:tcPr>
          <w:p w14:paraId="048969A1" w14:textId="3C1B292F" w:rsidR="00896417" w:rsidRPr="00896417" w:rsidRDefault="00896417" w:rsidP="49BCD735">
            <w:pPr>
              <w:tabs>
                <w:tab w:val="decimal" w:pos="960"/>
              </w:tabs>
              <w:spacing w:after="0" w:line="240" w:lineRule="auto"/>
              <w:rPr>
                <w:sz w:val="20"/>
                <w:szCs w:val="20"/>
                <w:lang w:eastAsia="en-AU"/>
              </w:rPr>
            </w:pPr>
            <w:r w:rsidRPr="49BCD735">
              <w:rPr>
                <w:sz w:val="20"/>
                <w:szCs w:val="20"/>
              </w:rPr>
              <w:t>28,41</w:t>
            </w:r>
            <w:r w:rsidR="00664021" w:rsidRPr="49BCD735">
              <w:rPr>
                <w:sz w:val="20"/>
                <w:szCs w:val="20"/>
              </w:rPr>
              <w:t>7</w:t>
            </w:r>
          </w:p>
        </w:tc>
        <w:tc>
          <w:tcPr>
            <w:tcW w:w="1310" w:type="dxa"/>
            <w:tcBorders>
              <w:top w:val="nil"/>
              <w:left w:val="nil"/>
              <w:bottom w:val="nil"/>
              <w:right w:val="nil"/>
            </w:tcBorders>
            <w:noWrap/>
            <w:vAlign w:val="bottom"/>
            <w:hideMark/>
          </w:tcPr>
          <w:p w14:paraId="26A5E615" w14:textId="77777777" w:rsidR="00896417" w:rsidRPr="00F65403" w:rsidRDefault="00896417" w:rsidP="00896417">
            <w:pPr>
              <w:tabs>
                <w:tab w:val="decimal" w:pos="96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2,721</w:t>
            </w:r>
          </w:p>
        </w:tc>
      </w:tr>
      <w:tr w:rsidR="00896417" w:rsidRPr="002B000F" w14:paraId="5036E171" w14:textId="77777777" w:rsidTr="413EB596">
        <w:trPr>
          <w:trHeight w:val="300"/>
        </w:trPr>
        <w:tc>
          <w:tcPr>
            <w:tcW w:w="6237" w:type="dxa"/>
            <w:tcBorders>
              <w:top w:val="nil"/>
              <w:left w:val="nil"/>
              <w:bottom w:val="nil"/>
              <w:right w:val="nil"/>
            </w:tcBorders>
            <w:noWrap/>
            <w:vAlign w:val="bottom"/>
            <w:hideMark/>
          </w:tcPr>
          <w:p w14:paraId="3CEC255C" w14:textId="24ADC742" w:rsidR="00896417" w:rsidRPr="00F65403" w:rsidRDefault="00896417" w:rsidP="0089641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Fair value gain on derivatives</w:t>
            </w:r>
          </w:p>
        </w:tc>
        <w:tc>
          <w:tcPr>
            <w:tcW w:w="1310" w:type="dxa"/>
            <w:tcBorders>
              <w:top w:val="nil"/>
              <w:left w:val="nil"/>
              <w:bottom w:val="nil"/>
              <w:right w:val="nil"/>
            </w:tcBorders>
            <w:noWrap/>
            <w:vAlign w:val="bottom"/>
            <w:hideMark/>
          </w:tcPr>
          <w:p w14:paraId="310BF05D" w14:textId="35C78682" w:rsidR="00896417" w:rsidRPr="00896417" w:rsidRDefault="00896417" w:rsidP="003D56B2">
            <w:pPr>
              <w:tabs>
                <w:tab w:val="decimal" w:pos="960"/>
              </w:tabs>
              <w:spacing w:after="0" w:line="240" w:lineRule="auto"/>
              <w:rPr>
                <w:rFonts w:eastAsia="Times New Roman" w:cs="Arial"/>
                <w:color w:val="000000"/>
                <w:sz w:val="20"/>
                <w:szCs w:val="20"/>
                <w:lang w:eastAsia="en-AU"/>
              </w:rPr>
            </w:pPr>
            <w:r w:rsidRPr="49BCD735">
              <w:rPr>
                <w:sz w:val="20"/>
                <w:szCs w:val="20"/>
              </w:rPr>
              <w:t>(40,821)</w:t>
            </w:r>
          </w:p>
        </w:tc>
        <w:tc>
          <w:tcPr>
            <w:tcW w:w="1310" w:type="dxa"/>
            <w:tcBorders>
              <w:top w:val="nil"/>
              <w:left w:val="nil"/>
              <w:bottom w:val="nil"/>
              <w:right w:val="nil"/>
            </w:tcBorders>
            <w:noWrap/>
            <w:vAlign w:val="bottom"/>
            <w:hideMark/>
          </w:tcPr>
          <w:p w14:paraId="3210F940" w14:textId="77777777" w:rsidR="00896417" w:rsidRPr="00F65403" w:rsidRDefault="00896417" w:rsidP="00896417">
            <w:pPr>
              <w:tabs>
                <w:tab w:val="decimal" w:pos="96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896417" w:rsidRPr="002B000F" w14:paraId="6FCAD0C2" w14:textId="77777777" w:rsidTr="413EB596">
        <w:trPr>
          <w:trHeight w:val="300"/>
        </w:trPr>
        <w:tc>
          <w:tcPr>
            <w:tcW w:w="6237" w:type="dxa"/>
            <w:tcBorders>
              <w:top w:val="nil"/>
              <w:left w:val="nil"/>
              <w:bottom w:val="nil"/>
              <w:right w:val="nil"/>
            </w:tcBorders>
            <w:noWrap/>
            <w:vAlign w:val="bottom"/>
            <w:hideMark/>
          </w:tcPr>
          <w:p w14:paraId="2B0EA6EB" w14:textId="77777777" w:rsidR="00896417" w:rsidRPr="00F65403" w:rsidRDefault="00896417" w:rsidP="0089641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w:t>
            </w:r>
          </w:p>
        </w:tc>
        <w:tc>
          <w:tcPr>
            <w:tcW w:w="1310" w:type="dxa"/>
            <w:tcBorders>
              <w:top w:val="nil"/>
              <w:left w:val="nil"/>
              <w:bottom w:val="single" w:sz="4" w:space="0" w:color="auto"/>
              <w:right w:val="nil"/>
            </w:tcBorders>
            <w:noWrap/>
            <w:vAlign w:val="bottom"/>
          </w:tcPr>
          <w:p w14:paraId="1334396D" w14:textId="427FFC9F" w:rsidR="00896417" w:rsidRPr="00896417" w:rsidRDefault="00896417" w:rsidP="003D56B2">
            <w:pPr>
              <w:tabs>
                <w:tab w:val="decimal" w:pos="960"/>
              </w:tabs>
              <w:spacing w:after="0" w:line="240" w:lineRule="auto"/>
              <w:rPr>
                <w:rFonts w:eastAsia="Times New Roman" w:cs="Arial"/>
                <w:color w:val="000000"/>
                <w:sz w:val="20"/>
                <w:szCs w:val="20"/>
                <w:lang w:eastAsia="en-AU"/>
              </w:rPr>
            </w:pPr>
            <w:r w:rsidRPr="49BCD735">
              <w:rPr>
                <w:sz w:val="20"/>
                <w:szCs w:val="20"/>
              </w:rPr>
              <w:t xml:space="preserve"> 3,765 </w:t>
            </w:r>
          </w:p>
        </w:tc>
        <w:tc>
          <w:tcPr>
            <w:tcW w:w="1310" w:type="dxa"/>
            <w:tcBorders>
              <w:top w:val="nil"/>
              <w:left w:val="nil"/>
              <w:bottom w:val="single" w:sz="4" w:space="0" w:color="auto"/>
              <w:right w:val="nil"/>
            </w:tcBorders>
            <w:noWrap/>
            <w:vAlign w:val="bottom"/>
            <w:hideMark/>
          </w:tcPr>
          <w:p w14:paraId="558BD081" w14:textId="0728F6C8" w:rsidR="00896417" w:rsidRPr="00F65403" w:rsidRDefault="00896417" w:rsidP="00896417">
            <w:pPr>
              <w:tabs>
                <w:tab w:val="decimal" w:pos="96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896417" w:rsidRPr="002B000F" w14:paraId="3E03FE4D" w14:textId="77777777" w:rsidTr="413EB596">
        <w:trPr>
          <w:trHeight w:val="300"/>
        </w:trPr>
        <w:tc>
          <w:tcPr>
            <w:tcW w:w="6237" w:type="dxa"/>
            <w:tcBorders>
              <w:top w:val="nil"/>
              <w:left w:val="nil"/>
              <w:bottom w:val="nil"/>
              <w:right w:val="nil"/>
            </w:tcBorders>
            <w:noWrap/>
            <w:vAlign w:val="bottom"/>
            <w:hideMark/>
          </w:tcPr>
          <w:p w14:paraId="52B791E5" w14:textId="6C6FA4E7" w:rsidR="00896417" w:rsidRPr="00F65403" w:rsidRDefault="003C4F3F"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p>
        </w:tc>
        <w:tc>
          <w:tcPr>
            <w:tcW w:w="1310" w:type="dxa"/>
            <w:tcBorders>
              <w:top w:val="single" w:sz="4" w:space="0" w:color="auto"/>
              <w:left w:val="nil"/>
              <w:bottom w:val="single" w:sz="4" w:space="0" w:color="auto"/>
              <w:right w:val="nil"/>
            </w:tcBorders>
            <w:noWrap/>
            <w:vAlign w:val="bottom"/>
            <w:hideMark/>
          </w:tcPr>
          <w:p w14:paraId="2355F5DB" w14:textId="7AC729BF" w:rsidR="00896417" w:rsidRPr="00896417" w:rsidRDefault="00896417" w:rsidP="49BCD735">
            <w:pPr>
              <w:tabs>
                <w:tab w:val="decimal" w:pos="960"/>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14,608</w:t>
            </w:r>
          </w:p>
        </w:tc>
        <w:tc>
          <w:tcPr>
            <w:tcW w:w="1310" w:type="dxa"/>
            <w:tcBorders>
              <w:top w:val="single" w:sz="4" w:space="0" w:color="auto"/>
              <w:left w:val="nil"/>
              <w:bottom w:val="single" w:sz="4" w:space="0" w:color="auto"/>
              <w:right w:val="nil"/>
            </w:tcBorders>
            <w:noWrap/>
            <w:vAlign w:val="bottom"/>
            <w:hideMark/>
          </w:tcPr>
          <w:p w14:paraId="33C59578" w14:textId="77777777" w:rsidR="00896417" w:rsidRPr="00F65403" w:rsidRDefault="00896417" w:rsidP="00896417">
            <w:pPr>
              <w:tabs>
                <w:tab w:val="decimal" w:pos="960"/>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(7,705)</w:t>
            </w:r>
          </w:p>
        </w:tc>
      </w:tr>
    </w:tbl>
    <w:p w14:paraId="6C980332" w14:textId="555D5A2D" w:rsidR="007064B4" w:rsidRPr="00F65403" w:rsidRDefault="007064B4" w:rsidP="00AA3AC5">
      <w:pPr>
        <w:pStyle w:val="Heading8"/>
        <w:tabs>
          <w:tab w:val="clear" w:pos="357"/>
          <w:tab w:val="left" w:pos="284"/>
        </w:tabs>
        <w:ind w:left="0"/>
      </w:pPr>
      <w:r>
        <w:br/>
      </w:r>
      <w:proofErr w:type="spellStart"/>
      <w:r>
        <w:t>i</w:t>
      </w:r>
      <w:proofErr w:type="spellEnd"/>
      <w:r>
        <w:t>.</w:t>
      </w:r>
      <w:r>
        <w:tab/>
        <w:t xml:space="preserve"> Accounting policy</w:t>
      </w:r>
    </w:p>
    <w:p w14:paraId="5288B7EA" w14:textId="2E0FC1EB" w:rsidR="007064B4" w:rsidRPr="00F65403" w:rsidRDefault="007064B4" w:rsidP="007064B4">
      <w:pPr>
        <w:pStyle w:val="BodyText"/>
        <w:rPr>
          <w:lang w:val="en-AU"/>
        </w:rPr>
      </w:pPr>
      <w:r>
        <w:rPr>
          <w:lang w:val="en-AU"/>
        </w:rPr>
        <w:t>The fair value methodology for derivatives are set out</w:t>
      </w:r>
      <w:r w:rsidR="00E4583B">
        <w:rPr>
          <w:lang w:val="en-AU"/>
        </w:rPr>
        <w:t xml:space="preserve"> in Note 9 and 13</w:t>
      </w:r>
      <w:r w:rsidRPr="193BDB44">
        <w:rPr>
          <w:lang w:val="en-AU"/>
        </w:rPr>
        <w:t>.</w:t>
      </w:r>
    </w:p>
    <w:p w14:paraId="7E3CE8DC" w14:textId="076EB85B" w:rsidR="00CE2AF8" w:rsidRPr="00F65403" w:rsidRDefault="00CE2AF8" w:rsidP="00CE2AF8">
      <w:pPr>
        <w:pStyle w:val="BodyText"/>
        <w:rPr>
          <w:lang w:val="en-AU"/>
        </w:rPr>
      </w:pPr>
    </w:p>
    <w:p w14:paraId="5CE4D1A2" w14:textId="11E73441" w:rsidR="00395C2E" w:rsidRPr="00F65403" w:rsidRDefault="004865BE" w:rsidP="00587C3C">
      <w:pPr>
        <w:pStyle w:val="Heading7"/>
      </w:pPr>
      <w:r w:rsidRPr="00F65403">
        <w:t xml:space="preserve">Net financing </w:t>
      </w:r>
      <w:r w:rsidR="006F122E" w:rsidRPr="00F65403">
        <w:t>income</w:t>
      </w:r>
    </w:p>
    <w:tbl>
      <w:tblPr>
        <w:tblW w:w="8857" w:type="dxa"/>
        <w:tblLayout w:type="fixed"/>
        <w:tblCellMar>
          <w:top w:w="28" w:type="dxa"/>
          <w:left w:w="28" w:type="dxa"/>
          <w:bottom w:w="28" w:type="dxa"/>
          <w:right w:w="28" w:type="dxa"/>
        </w:tblCellMar>
        <w:tblLook w:val="04A0" w:firstRow="1" w:lastRow="0" w:firstColumn="1" w:lastColumn="0" w:noHBand="0" w:noVBand="1"/>
      </w:tblPr>
      <w:tblGrid>
        <w:gridCol w:w="6243"/>
        <w:gridCol w:w="1307"/>
        <w:gridCol w:w="1307"/>
      </w:tblGrid>
      <w:tr w:rsidR="00A82FAA" w:rsidRPr="004865BE" w14:paraId="58474D16" w14:textId="77777777" w:rsidTr="49BCD735">
        <w:tc>
          <w:tcPr>
            <w:tcW w:w="6243" w:type="dxa"/>
            <w:tcBorders>
              <w:top w:val="nil"/>
              <w:left w:val="nil"/>
              <w:bottom w:val="nil"/>
              <w:right w:val="nil"/>
            </w:tcBorders>
            <w:noWrap/>
            <w:vAlign w:val="bottom"/>
            <w:hideMark/>
          </w:tcPr>
          <w:p w14:paraId="372A9DED" w14:textId="77777777" w:rsidR="00A82FAA" w:rsidRPr="00F65403" w:rsidRDefault="00A82FAA">
            <w:pPr>
              <w:spacing w:after="0" w:line="240" w:lineRule="auto"/>
              <w:rPr>
                <w:rFonts w:eastAsia="Times New Roman" w:cs="Arial"/>
                <w:color w:val="000000"/>
                <w:sz w:val="20"/>
                <w:szCs w:val="20"/>
                <w:lang w:eastAsia="en-AU"/>
              </w:rPr>
            </w:pPr>
          </w:p>
        </w:tc>
        <w:tc>
          <w:tcPr>
            <w:tcW w:w="1307" w:type="dxa"/>
            <w:tcBorders>
              <w:top w:val="nil"/>
              <w:left w:val="nil"/>
              <w:bottom w:val="nil"/>
              <w:right w:val="nil"/>
            </w:tcBorders>
            <w:noWrap/>
            <w:vAlign w:val="bottom"/>
            <w:hideMark/>
          </w:tcPr>
          <w:p w14:paraId="78F95EEB" w14:textId="77777777" w:rsidR="00A82FAA" w:rsidRPr="00F65403" w:rsidRDefault="00A82FAA" w:rsidP="00A82FAA">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Year ended 30 June 2025</w:t>
            </w:r>
          </w:p>
        </w:tc>
        <w:tc>
          <w:tcPr>
            <w:tcW w:w="1307" w:type="dxa"/>
            <w:tcBorders>
              <w:top w:val="nil"/>
              <w:left w:val="nil"/>
              <w:bottom w:val="nil"/>
              <w:right w:val="nil"/>
            </w:tcBorders>
            <w:noWrap/>
            <w:vAlign w:val="bottom"/>
            <w:hideMark/>
          </w:tcPr>
          <w:p w14:paraId="11BB44B3" w14:textId="77777777" w:rsidR="00A82FAA" w:rsidRPr="00F65403" w:rsidRDefault="00A82FAA" w:rsidP="00A82FA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r>
      <w:tr w:rsidR="00A82FAA" w:rsidRPr="004865BE" w14:paraId="6F759C86" w14:textId="77777777" w:rsidTr="49BCD735">
        <w:tc>
          <w:tcPr>
            <w:tcW w:w="6243" w:type="dxa"/>
            <w:tcBorders>
              <w:top w:val="nil"/>
              <w:left w:val="nil"/>
              <w:bottom w:val="nil"/>
              <w:right w:val="nil"/>
            </w:tcBorders>
            <w:noWrap/>
            <w:vAlign w:val="bottom"/>
            <w:hideMark/>
          </w:tcPr>
          <w:p w14:paraId="42651876" w14:textId="77777777" w:rsidR="00A82FAA" w:rsidRPr="00F65403" w:rsidRDefault="00A82FAA" w:rsidP="00A82FAA">
            <w:pPr>
              <w:spacing w:after="0" w:line="240" w:lineRule="auto"/>
              <w:rPr>
                <w:rFonts w:eastAsia="Times New Roman" w:cs="Arial"/>
                <w:color w:val="000000"/>
                <w:sz w:val="20"/>
                <w:szCs w:val="20"/>
                <w:lang w:eastAsia="en-AU"/>
              </w:rPr>
            </w:pPr>
          </w:p>
        </w:tc>
        <w:tc>
          <w:tcPr>
            <w:tcW w:w="1307" w:type="dxa"/>
            <w:tcBorders>
              <w:top w:val="nil"/>
              <w:left w:val="nil"/>
              <w:bottom w:val="nil"/>
              <w:right w:val="nil"/>
            </w:tcBorders>
            <w:noWrap/>
            <w:vAlign w:val="bottom"/>
            <w:hideMark/>
          </w:tcPr>
          <w:p w14:paraId="3B684E0B" w14:textId="77777777" w:rsidR="00A82FAA" w:rsidRPr="00F65403" w:rsidRDefault="00A82FAA" w:rsidP="00A82FAA">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307" w:type="dxa"/>
            <w:tcBorders>
              <w:top w:val="nil"/>
              <w:left w:val="nil"/>
              <w:bottom w:val="nil"/>
              <w:right w:val="nil"/>
            </w:tcBorders>
            <w:noWrap/>
            <w:vAlign w:val="bottom"/>
            <w:hideMark/>
          </w:tcPr>
          <w:p w14:paraId="2B86DA68" w14:textId="77777777" w:rsidR="00A82FAA" w:rsidRPr="00F65403" w:rsidRDefault="00A82FAA" w:rsidP="00A82FA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A10C1C" w:rsidRPr="004E3813" w14:paraId="37ED3135" w14:textId="77777777" w:rsidTr="49BCD735">
        <w:tc>
          <w:tcPr>
            <w:tcW w:w="6243" w:type="dxa"/>
            <w:tcBorders>
              <w:top w:val="nil"/>
              <w:left w:val="nil"/>
              <w:bottom w:val="nil"/>
              <w:right w:val="nil"/>
            </w:tcBorders>
            <w:noWrap/>
            <w:vAlign w:val="bottom"/>
          </w:tcPr>
          <w:p w14:paraId="0603C5BD" w14:textId="588518DD" w:rsidR="00A10C1C" w:rsidRPr="00F65403" w:rsidRDefault="00A10C1C" w:rsidP="3411B552">
            <w:pPr>
              <w:spacing w:after="0" w:line="240" w:lineRule="auto"/>
              <w:rPr>
                <w:rFonts w:eastAsia="Times New Roman" w:cs="Arial"/>
                <w:b/>
                <w:bCs/>
                <w:color w:val="000000"/>
                <w:sz w:val="20"/>
                <w:szCs w:val="20"/>
                <w:lang w:eastAsia="en-AU"/>
              </w:rPr>
            </w:pPr>
          </w:p>
        </w:tc>
        <w:tc>
          <w:tcPr>
            <w:tcW w:w="1307" w:type="dxa"/>
            <w:tcBorders>
              <w:top w:val="nil"/>
              <w:left w:val="nil"/>
              <w:right w:val="nil"/>
            </w:tcBorders>
            <w:noWrap/>
            <w:vAlign w:val="bottom"/>
          </w:tcPr>
          <w:p w14:paraId="59C5A85E" w14:textId="77777777" w:rsidR="00A10C1C" w:rsidRPr="00F65403" w:rsidRDefault="00A10C1C" w:rsidP="00A82FAA">
            <w:pPr>
              <w:tabs>
                <w:tab w:val="decimal" w:pos="958"/>
              </w:tabs>
              <w:spacing w:after="0" w:line="240" w:lineRule="auto"/>
              <w:rPr>
                <w:rFonts w:eastAsia="Times New Roman" w:cs="Arial"/>
                <w:sz w:val="20"/>
                <w:szCs w:val="20"/>
                <w:lang w:eastAsia="en-AU"/>
              </w:rPr>
            </w:pPr>
          </w:p>
        </w:tc>
        <w:tc>
          <w:tcPr>
            <w:tcW w:w="1307" w:type="dxa"/>
            <w:tcBorders>
              <w:top w:val="nil"/>
              <w:left w:val="nil"/>
              <w:right w:val="nil"/>
            </w:tcBorders>
            <w:noWrap/>
            <w:vAlign w:val="bottom"/>
          </w:tcPr>
          <w:p w14:paraId="0ED90DA5" w14:textId="77777777" w:rsidR="00A10C1C" w:rsidRPr="00F65403" w:rsidRDefault="00A10C1C" w:rsidP="00A82FAA">
            <w:pPr>
              <w:tabs>
                <w:tab w:val="decimal" w:pos="958"/>
              </w:tabs>
              <w:spacing w:after="0" w:line="240" w:lineRule="auto"/>
              <w:rPr>
                <w:rFonts w:eastAsia="Times New Roman" w:cs="Arial"/>
                <w:color w:val="000000"/>
                <w:sz w:val="20"/>
                <w:szCs w:val="20"/>
                <w:lang w:eastAsia="en-AU"/>
              </w:rPr>
            </w:pPr>
          </w:p>
        </w:tc>
      </w:tr>
      <w:tr w:rsidR="00F326B5" w:rsidRPr="004E3813" w14:paraId="18C394FF" w14:textId="77777777" w:rsidTr="0010235E">
        <w:trPr>
          <w:trHeight w:val="300"/>
        </w:trPr>
        <w:tc>
          <w:tcPr>
            <w:tcW w:w="6243" w:type="dxa"/>
            <w:tcBorders>
              <w:top w:val="nil"/>
              <w:left w:val="nil"/>
              <w:bottom w:val="nil"/>
              <w:right w:val="nil"/>
            </w:tcBorders>
            <w:noWrap/>
            <w:vAlign w:val="bottom"/>
          </w:tcPr>
          <w:p w14:paraId="199B49A5" w14:textId="5EA04280" w:rsidR="00F326B5" w:rsidRPr="00F65403" w:rsidRDefault="00F326B5" w:rsidP="00F326B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income</w:t>
            </w:r>
          </w:p>
        </w:tc>
        <w:tc>
          <w:tcPr>
            <w:tcW w:w="1307" w:type="dxa"/>
            <w:tcBorders>
              <w:top w:val="nil"/>
              <w:left w:val="nil"/>
              <w:right w:val="nil"/>
            </w:tcBorders>
            <w:noWrap/>
            <w:vAlign w:val="bottom"/>
          </w:tcPr>
          <w:p w14:paraId="75650E70" w14:textId="0AB1531E" w:rsidR="00F326B5" w:rsidRPr="00D15AF6" w:rsidRDefault="00F326B5" w:rsidP="00F326B5">
            <w:pPr>
              <w:tabs>
                <w:tab w:val="decimal" w:pos="958"/>
              </w:tabs>
              <w:spacing w:after="0" w:line="240" w:lineRule="auto"/>
              <w:rPr>
                <w:rFonts w:eastAsia="Times New Roman" w:cs="Arial"/>
                <w:sz w:val="20"/>
                <w:szCs w:val="20"/>
                <w:lang w:eastAsia="en-AU"/>
              </w:rPr>
            </w:pPr>
            <w:r>
              <w:rPr>
                <w:rFonts w:cs="Arial"/>
                <w:color w:val="000000"/>
                <w:sz w:val="20"/>
                <w:szCs w:val="20"/>
              </w:rPr>
              <w:t>19,641</w:t>
            </w:r>
          </w:p>
        </w:tc>
        <w:tc>
          <w:tcPr>
            <w:tcW w:w="1307" w:type="dxa"/>
            <w:tcBorders>
              <w:top w:val="nil"/>
              <w:left w:val="nil"/>
              <w:right w:val="nil"/>
            </w:tcBorders>
            <w:noWrap/>
            <w:vAlign w:val="bottom"/>
          </w:tcPr>
          <w:p w14:paraId="40E7D42D" w14:textId="74928B61" w:rsidR="00F326B5" w:rsidRPr="00D15AF6" w:rsidRDefault="00F326B5" w:rsidP="00F326B5">
            <w:pPr>
              <w:tabs>
                <w:tab w:val="decimal" w:pos="958"/>
              </w:tabs>
              <w:spacing w:after="0" w:line="240" w:lineRule="auto"/>
              <w:rPr>
                <w:rFonts w:eastAsia="Times New Roman" w:cs="Arial"/>
                <w:color w:val="000000"/>
                <w:sz w:val="20"/>
                <w:szCs w:val="20"/>
                <w:lang w:eastAsia="en-AU"/>
              </w:rPr>
            </w:pPr>
            <w:r w:rsidRPr="3411B552">
              <w:rPr>
                <w:rFonts w:eastAsia="Times New Roman" w:cs="Arial"/>
                <w:color w:val="000000" w:themeColor="text1"/>
                <w:sz w:val="20"/>
                <w:szCs w:val="20"/>
                <w:lang w:eastAsia="en-AU"/>
              </w:rPr>
              <w:t>2,032</w:t>
            </w:r>
          </w:p>
        </w:tc>
      </w:tr>
      <w:tr w:rsidR="00F326B5" w:rsidRPr="002B000F" w14:paraId="54C9F43F" w14:textId="77777777" w:rsidTr="0010235E">
        <w:trPr>
          <w:trHeight w:val="300"/>
        </w:trPr>
        <w:tc>
          <w:tcPr>
            <w:tcW w:w="6243" w:type="dxa"/>
            <w:tcBorders>
              <w:top w:val="nil"/>
              <w:left w:val="nil"/>
              <w:bottom w:val="nil"/>
              <w:right w:val="nil"/>
            </w:tcBorders>
            <w:noWrap/>
            <w:vAlign w:val="bottom"/>
            <w:hideMark/>
          </w:tcPr>
          <w:p w14:paraId="699E1960" w14:textId="77777777" w:rsidR="00F326B5" w:rsidRPr="00F65403" w:rsidRDefault="00F326B5" w:rsidP="00F326B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on lease liabilities</w:t>
            </w:r>
          </w:p>
        </w:tc>
        <w:tc>
          <w:tcPr>
            <w:tcW w:w="1307" w:type="dxa"/>
            <w:tcBorders>
              <w:top w:val="nil"/>
              <w:left w:val="nil"/>
              <w:right w:val="nil"/>
            </w:tcBorders>
            <w:noWrap/>
            <w:vAlign w:val="bottom"/>
            <w:hideMark/>
          </w:tcPr>
          <w:p w14:paraId="506E12E5" w14:textId="19EC2F14" w:rsidR="00F326B5" w:rsidRPr="00F65403" w:rsidRDefault="00F326B5" w:rsidP="00F326B5">
            <w:pPr>
              <w:tabs>
                <w:tab w:val="decimal" w:pos="958"/>
              </w:tabs>
              <w:spacing w:after="0" w:line="240" w:lineRule="auto"/>
              <w:rPr>
                <w:rFonts w:eastAsia="Times New Roman" w:cs="Arial"/>
                <w:sz w:val="20"/>
                <w:szCs w:val="20"/>
                <w:lang w:eastAsia="en-AU"/>
              </w:rPr>
            </w:pPr>
            <w:r>
              <w:rPr>
                <w:rFonts w:cs="Arial"/>
                <w:color w:val="000000"/>
                <w:sz w:val="20"/>
                <w:szCs w:val="20"/>
              </w:rPr>
              <w:t>(350)</w:t>
            </w:r>
          </w:p>
        </w:tc>
        <w:tc>
          <w:tcPr>
            <w:tcW w:w="1307" w:type="dxa"/>
            <w:tcBorders>
              <w:top w:val="nil"/>
              <w:left w:val="nil"/>
              <w:right w:val="nil"/>
            </w:tcBorders>
            <w:noWrap/>
            <w:vAlign w:val="bottom"/>
            <w:hideMark/>
          </w:tcPr>
          <w:p w14:paraId="29D7BF13" w14:textId="74EA45E3" w:rsidR="00F326B5" w:rsidRPr="00F65403" w:rsidRDefault="00F326B5" w:rsidP="00F326B5">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F326B5" w:rsidRPr="002B000F" w14:paraId="3370D9F8" w14:textId="77777777" w:rsidTr="0010235E">
        <w:trPr>
          <w:trHeight w:val="300"/>
        </w:trPr>
        <w:tc>
          <w:tcPr>
            <w:tcW w:w="6243" w:type="dxa"/>
            <w:tcBorders>
              <w:top w:val="nil"/>
              <w:left w:val="nil"/>
              <w:bottom w:val="nil"/>
              <w:right w:val="nil"/>
            </w:tcBorders>
            <w:noWrap/>
            <w:vAlign w:val="bottom"/>
          </w:tcPr>
          <w:p w14:paraId="2DA1FD4A" w14:textId="20D39541" w:rsidR="00F326B5" w:rsidRPr="00F65403" w:rsidRDefault="00F326B5" w:rsidP="00F326B5">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financing income</w:t>
            </w:r>
          </w:p>
        </w:tc>
        <w:tc>
          <w:tcPr>
            <w:tcW w:w="1307" w:type="dxa"/>
            <w:tcBorders>
              <w:top w:val="single" w:sz="4" w:space="0" w:color="auto"/>
              <w:left w:val="nil"/>
              <w:bottom w:val="single" w:sz="4" w:space="0" w:color="auto"/>
              <w:right w:val="nil"/>
            </w:tcBorders>
            <w:noWrap/>
            <w:vAlign w:val="bottom"/>
          </w:tcPr>
          <w:p w14:paraId="3A7ED2FB" w14:textId="14D6BF73" w:rsidR="00F326B5" w:rsidRPr="00F65403" w:rsidRDefault="00F326B5" w:rsidP="00F326B5">
            <w:pPr>
              <w:tabs>
                <w:tab w:val="decimal" w:pos="958"/>
              </w:tabs>
              <w:spacing w:after="0" w:line="240" w:lineRule="auto"/>
              <w:rPr>
                <w:rFonts w:eastAsia="Times New Roman" w:cs="Arial"/>
                <w:b/>
                <w:color w:val="000000"/>
                <w:sz w:val="20"/>
                <w:szCs w:val="20"/>
                <w:lang w:eastAsia="en-AU"/>
              </w:rPr>
            </w:pPr>
            <w:r>
              <w:rPr>
                <w:rFonts w:cs="Arial"/>
                <w:b/>
                <w:bCs/>
                <w:color w:val="000000"/>
                <w:sz w:val="20"/>
                <w:szCs w:val="20"/>
              </w:rPr>
              <w:t>19,291</w:t>
            </w:r>
          </w:p>
        </w:tc>
        <w:tc>
          <w:tcPr>
            <w:tcW w:w="1307" w:type="dxa"/>
            <w:tcBorders>
              <w:top w:val="single" w:sz="4" w:space="0" w:color="auto"/>
              <w:left w:val="nil"/>
              <w:bottom w:val="single" w:sz="4" w:space="0" w:color="auto"/>
              <w:right w:val="nil"/>
            </w:tcBorders>
            <w:noWrap/>
            <w:vAlign w:val="bottom"/>
          </w:tcPr>
          <w:p w14:paraId="2E70AB85" w14:textId="01B8653D" w:rsidR="00F326B5" w:rsidRPr="00F65403" w:rsidRDefault="00F326B5" w:rsidP="00F326B5">
            <w:pPr>
              <w:tabs>
                <w:tab w:val="decimal" w:pos="95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2,032</w:t>
            </w:r>
          </w:p>
        </w:tc>
      </w:tr>
    </w:tbl>
    <w:p w14:paraId="33BDA130" w14:textId="77777777" w:rsidR="006A6C1F" w:rsidRPr="00F65403" w:rsidRDefault="006A6C1F" w:rsidP="00CE2AF8">
      <w:pPr>
        <w:pStyle w:val="BodyText"/>
        <w:rPr>
          <w:sz w:val="24"/>
          <w:szCs w:val="24"/>
          <w:lang w:val="en-AU"/>
        </w:rPr>
      </w:pPr>
    </w:p>
    <w:p w14:paraId="14306E37" w14:textId="47CF65A2" w:rsidR="00CE2AF8" w:rsidRPr="00F65403" w:rsidRDefault="008C1F1F" w:rsidP="00D15AF6">
      <w:pPr>
        <w:pStyle w:val="Heading8"/>
      </w:pPr>
      <w:proofErr w:type="spellStart"/>
      <w:r>
        <w:t>i</w:t>
      </w:r>
      <w:proofErr w:type="spellEnd"/>
      <w:r>
        <w:t>.</w:t>
      </w:r>
      <w:r>
        <w:tab/>
      </w:r>
      <w:r w:rsidR="00CE2AF8">
        <w:t>Accounting policy</w:t>
      </w:r>
    </w:p>
    <w:p w14:paraId="2100E942" w14:textId="77777777" w:rsidR="00CE2AF8" w:rsidRPr="00F65403" w:rsidRDefault="00CE2AF8" w:rsidP="00FA4BD6">
      <w:pPr>
        <w:pStyle w:val="BodyText"/>
        <w:rPr>
          <w:lang w:val="en-AU"/>
        </w:rPr>
      </w:pPr>
      <w:r w:rsidRPr="00F65403">
        <w:rPr>
          <w:lang w:val="en-AU"/>
        </w:rPr>
        <w:t>Interest income is recognised in profit or loss as it accrues, using the effective interest method.</w:t>
      </w:r>
    </w:p>
    <w:p w14:paraId="3B014213" w14:textId="23B52E2A" w:rsidR="00CE2AF8" w:rsidRPr="00F65403" w:rsidRDefault="00E4583B" w:rsidP="00FA4BD6">
      <w:pPr>
        <w:pStyle w:val="BodyText"/>
        <w:rPr>
          <w:lang w:val="en-AU"/>
        </w:rPr>
      </w:pPr>
      <w:r>
        <w:rPr>
          <w:lang w:val="en-AU"/>
        </w:rPr>
        <w:br/>
      </w:r>
      <w:r w:rsidR="00CE2AF8" w:rsidRPr="193BDB44">
        <w:rPr>
          <w:lang w:val="en-AU"/>
        </w:rPr>
        <w:t>Finance costs directly attributable to the acquisition, construction or production of qualifying assets, are added to the cost of those assets.</w:t>
      </w:r>
    </w:p>
    <w:p w14:paraId="30FC4A36" w14:textId="77777777" w:rsidR="004B0915" w:rsidRPr="00F65403" w:rsidRDefault="004B0915" w:rsidP="00FA4BD6">
      <w:pPr>
        <w:pStyle w:val="BodyText"/>
        <w:rPr>
          <w:lang w:val="en-AU"/>
        </w:rPr>
      </w:pPr>
    </w:p>
    <w:p w14:paraId="2F658913" w14:textId="044D335D" w:rsidR="00CE2AF8" w:rsidRPr="00F65403" w:rsidRDefault="00CE2AF8" w:rsidP="00FA4BD6">
      <w:pPr>
        <w:pStyle w:val="BodyText"/>
        <w:rPr>
          <w:lang w:val="en-AU"/>
        </w:rPr>
      </w:pPr>
      <w:r w:rsidRPr="193BDB44">
        <w:rPr>
          <w:lang w:val="en-AU"/>
        </w:rPr>
        <w:t>All other finance costs are recognised in profit or loss in the period in which they are incurred. Finance costs comprise interest expense on borrowings calculated using the effective interest method, unwinding of the discount on provisions and deferred consideration, and gains and losses on certain hedging instruments that are recognised in profit or loss.</w:t>
      </w:r>
    </w:p>
    <w:p w14:paraId="671872D4" w14:textId="1E68F421" w:rsidR="006F7FAE" w:rsidRPr="00F65403" w:rsidRDefault="006F7FAE" w:rsidP="00CE2AF8">
      <w:pPr>
        <w:pStyle w:val="BodyText"/>
        <w:rPr>
          <w:sz w:val="24"/>
          <w:szCs w:val="24"/>
          <w:lang w:val="en-AU"/>
        </w:rPr>
      </w:pPr>
    </w:p>
    <w:p w14:paraId="2A5FDC8D" w14:textId="77777777" w:rsidR="00AB21C9" w:rsidRPr="00F65403" w:rsidRDefault="00AB21C9">
      <w:pPr>
        <w:rPr>
          <w:rFonts w:eastAsiaTheme="majorEastAsia" w:cstheme="majorBidi"/>
          <w:b/>
          <w:sz w:val="20"/>
        </w:rPr>
      </w:pPr>
      <w:r w:rsidRPr="00F65403">
        <w:br w:type="page"/>
      </w:r>
    </w:p>
    <w:p w14:paraId="261E2F39" w14:textId="206F7918" w:rsidR="007F4F7F" w:rsidRPr="00F65403" w:rsidRDefault="007F4F7F" w:rsidP="002943EA">
      <w:pPr>
        <w:pStyle w:val="Heading7"/>
      </w:pPr>
      <w:r w:rsidRPr="00F65403">
        <w:t>Cash and cash equivalents</w:t>
      </w:r>
    </w:p>
    <w:tbl>
      <w:tblPr>
        <w:tblW w:w="9026" w:type="dxa"/>
        <w:tblCellMar>
          <w:top w:w="28" w:type="dxa"/>
          <w:left w:w="28" w:type="dxa"/>
          <w:bottom w:w="28" w:type="dxa"/>
          <w:right w:w="28" w:type="dxa"/>
        </w:tblCellMar>
        <w:tblLook w:val="04A0" w:firstRow="1" w:lastRow="0" w:firstColumn="1" w:lastColumn="0" w:noHBand="0" w:noVBand="1"/>
      </w:tblPr>
      <w:tblGrid>
        <w:gridCol w:w="6090"/>
        <w:gridCol w:w="1468"/>
        <w:gridCol w:w="1468"/>
      </w:tblGrid>
      <w:tr w:rsidR="003C66FF" w:rsidRPr="002C760A" w14:paraId="29224E7A" w14:textId="77777777" w:rsidTr="413EB596">
        <w:tc>
          <w:tcPr>
            <w:tcW w:w="6090" w:type="dxa"/>
            <w:tcBorders>
              <w:top w:val="nil"/>
              <w:left w:val="nil"/>
              <w:bottom w:val="nil"/>
              <w:right w:val="nil"/>
            </w:tcBorders>
            <w:noWrap/>
            <w:vAlign w:val="bottom"/>
            <w:hideMark/>
          </w:tcPr>
          <w:p w14:paraId="6544E69D" w14:textId="77777777" w:rsidR="003C66FF" w:rsidRPr="00F65403" w:rsidRDefault="003C66FF">
            <w:pPr>
              <w:spacing w:after="0" w:line="240" w:lineRule="auto"/>
              <w:rPr>
                <w:rFonts w:eastAsia="Times New Roman" w:cs="Arial"/>
                <w:sz w:val="20"/>
                <w:szCs w:val="20"/>
                <w:lang w:eastAsia="en-AU"/>
              </w:rPr>
            </w:pPr>
          </w:p>
        </w:tc>
        <w:tc>
          <w:tcPr>
            <w:tcW w:w="1468" w:type="dxa"/>
            <w:tcBorders>
              <w:top w:val="nil"/>
              <w:left w:val="nil"/>
              <w:bottom w:val="nil"/>
              <w:right w:val="nil"/>
            </w:tcBorders>
            <w:noWrap/>
            <w:hideMark/>
          </w:tcPr>
          <w:p w14:paraId="1F4FFF83" w14:textId="526BB394" w:rsidR="003C66FF" w:rsidRPr="00F65403" w:rsidRDefault="003C66FF">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2025</w:t>
            </w:r>
          </w:p>
        </w:tc>
        <w:tc>
          <w:tcPr>
            <w:tcW w:w="1468" w:type="dxa"/>
            <w:tcBorders>
              <w:top w:val="nil"/>
              <w:left w:val="nil"/>
              <w:bottom w:val="nil"/>
              <w:right w:val="nil"/>
            </w:tcBorders>
            <w:noWrap/>
            <w:hideMark/>
          </w:tcPr>
          <w:p w14:paraId="5B09FC56" w14:textId="1866AEC6" w:rsidR="003C66FF" w:rsidRPr="00F65403" w:rsidRDefault="003C66F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3C66FF" w:rsidRPr="002C760A" w14:paraId="0315FE6A" w14:textId="77777777" w:rsidTr="413EB596">
        <w:trPr>
          <w:trHeight w:val="300"/>
        </w:trPr>
        <w:tc>
          <w:tcPr>
            <w:tcW w:w="6090" w:type="dxa"/>
            <w:tcBorders>
              <w:top w:val="nil"/>
              <w:left w:val="nil"/>
              <w:bottom w:val="nil"/>
              <w:right w:val="nil"/>
            </w:tcBorders>
            <w:noWrap/>
            <w:vAlign w:val="bottom"/>
            <w:hideMark/>
          </w:tcPr>
          <w:p w14:paraId="242972FE" w14:textId="77777777" w:rsidR="003C66FF" w:rsidRPr="00F65403" w:rsidRDefault="003C66FF">
            <w:pPr>
              <w:spacing w:after="0" w:line="240" w:lineRule="auto"/>
              <w:jc w:val="right"/>
              <w:rPr>
                <w:rFonts w:eastAsia="Times New Roman" w:cs="Arial"/>
                <w:b/>
                <w:color w:val="000000"/>
                <w:sz w:val="20"/>
                <w:szCs w:val="20"/>
                <w:lang w:eastAsia="en-AU"/>
              </w:rPr>
            </w:pPr>
          </w:p>
        </w:tc>
        <w:tc>
          <w:tcPr>
            <w:tcW w:w="1468" w:type="dxa"/>
            <w:tcBorders>
              <w:top w:val="nil"/>
              <w:left w:val="nil"/>
              <w:right w:val="nil"/>
            </w:tcBorders>
            <w:noWrap/>
            <w:hideMark/>
          </w:tcPr>
          <w:p w14:paraId="652D377D" w14:textId="77777777" w:rsidR="003C66FF" w:rsidRPr="00F65403" w:rsidRDefault="003C66F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468" w:type="dxa"/>
            <w:tcBorders>
              <w:top w:val="nil"/>
              <w:left w:val="nil"/>
              <w:right w:val="nil"/>
            </w:tcBorders>
            <w:noWrap/>
            <w:hideMark/>
          </w:tcPr>
          <w:p w14:paraId="12B69F9D" w14:textId="77777777" w:rsidR="003C66FF" w:rsidRPr="00F65403" w:rsidRDefault="003C66F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591908" w:rsidRPr="002C760A" w14:paraId="0B248C60" w14:textId="77777777" w:rsidTr="413EB596">
        <w:trPr>
          <w:trHeight w:val="300"/>
        </w:trPr>
        <w:tc>
          <w:tcPr>
            <w:tcW w:w="6090" w:type="dxa"/>
            <w:tcBorders>
              <w:top w:val="nil"/>
              <w:left w:val="nil"/>
              <w:bottom w:val="nil"/>
              <w:right w:val="nil"/>
            </w:tcBorders>
            <w:noWrap/>
            <w:vAlign w:val="bottom"/>
          </w:tcPr>
          <w:p w14:paraId="7DCDDAB5" w14:textId="6E8B4BBE" w:rsidR="00591908" w:rsidRPr="00F65403" w:rsidRDefault="00591908" w:rsidP="00591908">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on hand or on deposit</w:t>
            </w:r>
          </w:p>
        </w:tc>
        <w:tc>
          <w:tcPr>
            <w:tcW w:w="1468" w:type="dxa"/>
            <w:tcBorders>
              <w:top w:val="nil"/>
              <w:left w:val="nil"/>
              <w:bottom w:val="single" w:sz="4" w:space="0" w:color="auto"/>
              <w:right w:val="nil"/>
            </w:tcBorders>
            <w:noWrap/>
            <w:vAlign w:val="bottom"/>
          </w:tcPr>
          <w:p w14:paraId="5D4C466B" w14:textId="6273C5EE" w:rsidR="00591908" w:rsidRPr="00F65403" w:rsidRDefault="00591908" w:rsidP="00591908">
            <w:pPr>
              <w:tabs>
                <w:tab w:val="decimal" w:pos="958"/>
              </w:tabs>
              <w:spacing w:after="0" w:line="240" w:lineRule="auto"/>
              <w:rPr>
                <w:rFonts w:eastAsia="Times New Roman" w:cs="Arial"/>
                <w:color w:val="000000"/>
                <w:sz w:val="20"/>
                <w:szCs w:val="20"/>
                <w:lang w:eastAsia="en-AU"/>
              </w:rPr>
            </w:pPr>
            <w:r>
              <w:rPr>
                <w:rFonts w:cs="Arial"/>
                <w:color w:val="000000"/>
                <w:sz w:val="20"/>
                <w:szCs w:val="20"/>
              </w:rPr>
              <w:t>356,300</w:t>
            </w:r>
          </w:p>
        </w:tc>
        <w:tc>
          <w:tcPr>
            <w:tcW w:w="1468" w:type="dxa"/>
            <w:tcBorders>
              <w:top w:val="nil"/>
              <w:left w:val="nil"/>
              <w:bottom w:val="single" w:sz="4" w:space="0" w:color="auto"/>
              <w:right w:val="nil"/>
            </w:tcBorders>
            <w:noWrap/>
            <w:vAlign w:val="bottom"/>
          </w:tcPr>
          <w:p w14:paraId="52366098" w14:textId="0E7D1EE5" w:rsidR="00591908" w:rsidRPr="00F65403" w:rsidRDefault="00591908" w:rsidP="00591908">
            <w:pPr>
              <w:tabs>
                <w:tab w:val="decimal" w:pos="958"/>
              </w:tabs>
              <w:spacing w:after="0" w:line="240" w:lineRule="auto"/>
              <w:rPr>
                <w:rFonts w:eastAsia="Times New Roman" w:cs="Arial"/>
                <w:color w:val="000000"/>
                <w:sz w:val="20"/>
                <w:szCs w:val="20"/>
                <w:lang w:eastAsia="en-AU"/>
              </w:rPr>
            </w:pPr>
            <w:r>
              <w:rPr>
                <w:rFonts w:cs="Arial"/>
                <w:color w:val="000000"/>
                <w:sz w:val="20"/>
                <w:szCs w:val="20"/>
              </w:rPr>
              <w:t>264,215</w:t>
            </w:r>
          </w:p>
        </w:tc>
      </w:tr>
      <w:tr w:rsidR="00591908" w:rsidRPr="002C760A" w14:paraId="4AE72254" w14:textId="77777777" w:rsidTr="413EB596">
        <w:trPr>
          <w:trHeight w:val="300"/>
        </w:trPr>
        <w:tc>
          <w:tcPr>
            <w:tcW w:w="6090" w:type="dxa"/>
            <w:tcBorders>
              <w:top w:val="nil"/>
              <w:left w:val="nil"/>
              <w:bottom w:val="nil"/>
              <w:right w:val="nil"/>
            </w:tcBorders>
            <w:noWrap/>
            <w:vAlign w:val="bottom"/>
          </w:tcPr>
          <w:p w14:paraId="3871EAC4" w14:textId="185575D1" w:rsidR="00591908" w:rsidRPr="00F65403" w:rsidRDefault="00591908"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Cash and cash equivalents </w:t>
            </w:r>
          </w:p>
        </w:tc>
        <w:tc>
          <w:tcPr>
            <w:tcW w:w="1468" w:type="dxa"/>
            <w:tcBorders>
              <w:top w:val="single" w:sz="4" w:space="0" w:color="auto"/>
              <w:left w:val="nil"/>
              <w:bottom w:val="single" w:sz="4" w:space="0" w:color="auto"/>
              <w:right w:val="nil"/>
            </w:tcBorders>
            <w:noWrap/>
            <w:vAlign w:val="bottom"/>
          </w:tcPr>
          <w:p w14:paraId="05482A0A" w14:textId="7116EC17" w:rsidR="00591908" w:rsidRPr="00591908" w:rsidRDefault="00591908" w:rsidP="00591908">
            <w:pPr>
              <w:tabs>
                <w:tab w:val="decimal" w:pos="958"/>
              </w:tabs>
              <w:spacing w:after="0" w:line="240" w:lineRule="auto"/>
              <w:rPr>
                <w:rFonts w:eastAsia="Times New Roman" w:cs="Arial"/>
                <w:b/>
                <w:bCs/>
                <w:color w:val="000000"/>
                <w:sz w:val="20"/>
                <w:szCs w:val="20"/>
                <w:lang w:eastAsia="en-AU"/>
              </w:rPr>
            </w:pPr>
            <w:r w:rsidRPr="00D15AF6">
              <w:rPr>
                <w:rFonts w:cs="Arial"/>
                <w:b/>
                <w:color w:val="000000"/>
                <w:sz w:val="20"/>
                <w:szCs w:val="20"/>
              </w:rPr>
              <w:t>356,300</w:t>
            </w:r>
          </w:p>
        </w:tc>
        <w:tc>
          <w:tcPr>
            <w:tcW w:w="1468" w:type="dxa"/>
            <w:tcBorders>
              <w:top w:val="single" w:sz="4" w:space="0" w:color="auto"/>
              <w:left w:val="nil"/>
              <w:bottom w:val="single" w:sz="4" w:space="0" w:color="auto"/>
              <w:right w:val="nil"/>
            </w:tcBorders>
            <w:noWrap/>
            <w:vAlign w:val="bottom"/>
          </w:tcPr>
          <w:p w14:paraId="3C816407" w14:textId="176C1157" w:rsidR="00591908" w:rsidRPr="00591908" w:rsidRDefault="00591908" w:rsidP="00591908">
            <w:pPr>
              <w:tabs>
                <w:tab w:val="decimal" w:pos="958"/>
              </w:tabs>
              <w:spacing w:after="0" w:line="240" w:lineRule="auto"/>
              <w:rPr>
                <w:rFonts w:eastAsia="Times New Roman" w:cs="Arial"/>
                <w:b/>
                <w:bCs/>
                <w:color w:val="000000"/>
                <w:sz w:val="20"/>
                <w:szCs w:val="20"/>
                <w:lang w:eastAsia="en-AU"/>
              </w:rPr>
            </w:pPr>
            <w:r w:rsidRPr="00D15AF6">
              <w:rPr>
                <w:rFonts w:cs="Arial"/>
                <w:b/>
                <w:color w:val="000000"/>
                <w:sz w:val="20"/>
                <w:szCs w:val="20"/>
              </w:rPr>
              <w:t>264,215</w:t>
            </w:r>
          </w:p>
        </w:tc>
      </w:tr>
    </w:tbl>
    <w:p w14:paraId="063CB73F" w14:textId="77777777" w:rsidR="003C66FF" w:rsidRPr="00F65403" w:rsidRDefault="003C66FF" w:rsidP="004B0915">
      <w:pPr>
        <w:pStyle w:val="BodyText"/>
        <w:rPr>
          <w:lang w:val="en-AU"/>
        </w:rPr>
      </w:pPr>
    </w:p>
    <w:p w14:paraId="7D62C2EC" w14:textId="36D8F508" w:rsidR="007F4F7F" w:rsidRPr="00F65403" w:rsidDel="007B6AC9" w:rsidRDefault="008C1F1F" w:rsidP="0080685E">
      <w:pPr>
        <w:pStyle w:val="Heading8"/>
      </w:pPr>
      <w:proofErr w:type="spellStart"/>
      <w:r>
        <w:t>i</w:t>
      </w:r>
      <w:proofErr w:type="spellEnd"/>
      <w:r>
        <w:t>.</w:t>
      </w:r>
      <w:r>
        <w:tab/>
      </w:r>
      <w:r w:rsidR="007F4F7F">
        <w:t>Accounting policy</w:t>
      </w:r>
    </w:p>
    <w:p w14:paraId="637BC62E" w14:textId="730E0F02" w:rsidR="007F4F7F" w:rsidRPr="00F65403" w:rsidRDefault="007F4F7F" w:rsidP="004B0915">
      <w:pPr>
        <w:pStyle w:val="BodyText"/>
        <w:rPr>
          <w:lang w:val="en-AU"/>
        </w:rPr>
      </w:pPr>
      <w:r w:rsidRPr="00F65403">
        <w:rPr>
          <w:lang w:val="en-AU"/>
        </w:rPr>
        <w:t>Cash and cash equivalents comprise cash at bank and on hand and short-term deposits with an original maturity of three months or less that are readily convertible to known amounts of cash. The carrying amount represents fair value.</w:t>
      </w:r>
    </w:p>
    <w:p w14:paraId="2B52AEB3" w14:textId="77777777" w:rsidR="004B0915" w:rsidRPr="00F65403" w:rsidRDefault="004B0915" w:rsidP="004B0915">
      <w:pPr>
        <w:pStyle w:val="BodyText"/>
        <w:rPr>
          <w:lang w:val="en-AU"/>
        </w:rPr>
      </w:pPr>
    </w:p>
    <w:p w14:paraId="23B863BA" w14:textId="4F9675C4" w:rsidR="00750422" w:rsidRPr="00F65403" w:rsidRDefault="007F4F7F" w:rsidP="004B0915">
      <w:pPr>
        <w:pStyle w:val="BodyText"/>
        <w:rPr>
          <w:lang w:val="en-AU"/>
        </w:rPr>
      </w:pPr>
      <w:r w:rsidRPr="193BDB44">
        <w:rPr>
          <w:lang w:val="en-AU"/>
        </w:rPr>
        <w:t>For the purposes of the Consolidated Statement of Cash Flows, cash and cash equivalents consist of cash and cash equivalents as defined above.</w:t>
      </w:r>
    </w:p>
    <w:p w14:paraId="7415FE3D" w14:textId="29ED506D" w:rsidR="00244F35" w:rsidRPr="00F65403" w:rsidRDefault="00244F35" w:rsidP="00B94E93">
      <w:pPr>
        <w:pStyle w:val="BodyText"/>
        <w:rPr>
          <w:lang w:val="en-AU"/>
        </w:rPr>
      </w:pPr>
    </w:p>
    <w:p w14:paraId="6868D4AC" w14:textId="7398B53D" w:rsidR="00D50F44" w:rsidRPr="00F65403" w:rsidRDefault="008C1F1F" w:rsidP="002C760A">
      <w:pPr>
        <w:pStyle w:val="Heading8"/>
      </w:pPr>
      <w:r>
        <w:t>ii.</w:t>
      </w:r>
      <w:r>
        <w:tab/>
      </w:r>
      <w:r w:rsidR="007F4F7F">
        <w:t>Reconciliation of net result for the period to cash flow from operating activities</w:t>
      </w:r>
      <w:r>
        <w:br/>
      </w:r>
    </w:p>
    <w:tbl>
      <w:tblPr>
        <w:tblW w:w="8906" w:type="dxa"/>
        <w:tblCellMar>
          <w:top w:w="28" w:type="dxa"/>
          <w:left w:w="28" w:type="dxa"/>
          <w:bottom w:w="28" w:type="dxa"/>
          <w:right w:w="28" w:type="dxa"/>
        </w:tblCellMar>
        <w:tblLook w:val="04A0" w:firstRow="1" w:lastRow="0" w:firstColumn="1" w:lastColumn="0" w:noHBand="0" w:noVBand="1"/>
      </w:tblPr>
      <w:tblGrid>
        <w:gridCol w:w="5972"/>
        <w:gridCol w:w="1683"/>
        <w:gridCol w:w="1251"/>
      </w:tblGrid>
      <w:tr w:rsidR="003D420E" w:rsidRPr="003D420E" w14:paraId="190098D8" w14:textId="77777777" w:rsidTr="413EB596">
        <w:tc>
          <w:tcPr>
            <w:tcW w:w="5972" w:type="dxa"/>
            <w:tcBorders>
              <w:top w:val="nil"/>
              <w:left w:val="nil"/>
              <w:bottom w:val="nil"/>
              <w:right w:val="nil"/>
            </w:tcBorders>
            <w:noWrap/>
            <w:vAlign w:val="bottom"/>
            <w:hideMark/>
          </w:tcPr>
          <w:p w14:paraId="03AAE4F2" w14:textId="77777777" w:rsidR="003D420E" w:rsidRPr="00F65403" w:rsidRDefault="003D420E" w:rsidP="003D420E">
            <w:pPr>
              <w:spacing w:after="0" w:line="240" w:lineRule="auto"/>
              <w:rPr>
                <w:rFonts w:eastAsia="Times New Roman" w:cs="Arial"/>
                <w:sz w:val="20"/>
                <w:szCs w:val="20"/>
                <w:lang w:eastAsia="en-AU"/>
              </w:rPr>
            </w:pPr>
          </w:p>
        </w:tc>
        <w:tc>
          <w:tcPr>
            <w:tcW w:w="1683" w:type="dxa"/>
            <w:tcBorders>
              <w:top w:val="nil"/>
              <w:left w:val="nil"/>
              <w:bottom w:val="nil"/>
              <w:right w:val="nil"/>
            </w:tcBorders>
            <w:noWrap/>
            <w:hideMark/>
          </w:tcPr>
          <w:p w14:paraId="7CE18462" w14:textId="5A428666" w:rsidR="003D420E" w:rsidRPr="00F65403" w:rsidRDefault="00735E59" w:rsidP="00735E59">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Year ended 30 June 2025</w:t>
            </w:r>
          </w:p>
        </w:tc>
        <w:tc>
          <w:tcPr>
            <w:tcW w:w="1251" w:type="dxa"/>
            <w:tcBorders>
              <w:top w:val="nil"/>
              <w:left w:val="nil"/>
              <w:bottom w:val="nil"/>
              <w:right w:val="nil"/>
            </w:tcBorders>
            <w:noWrap/>
            <w:hideMark/>
          </w:tcPr>
          <w:p w14:paraId="72A0AC58" w14:textId="1806E292" w:rsidR="003D420E" w:rsidRPr="00F65403" w:rsidRDefault="00735E59"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r>
      <w:tr w:rsidR="003D420E" w:rsidRPr="003D420E" w14:paraId="6FF52ECA" w14:textId="77777777" w:rsidTr="413EB596">
        <w:tc>
          <w:tcPr>
            <w:tcW w:w="5972" w:type="dxa"/>
            <w:tcBorders>
              <w:top w:val="nil"/>
              <w:left w:val="nil"/>
              <w:bottom w:val="nil"/>
              <w:right w:val="nil"/>
            </w:tcBorders>
            <w:noWrap/>
            <w:vAlign w:val="bottom"/>
            <w:hideMark/>
          </w:tcPr>
          <w:p w14:paraId="46F44719" w14:textId="77777777" w:rsidR="003D420E" w:rsidRPr="00F65403" w:rsidRDefault="003D420E" w:rsidP="003D420E">
            <w:pPr>
              <w:spacing w:after="0" w:line="240" w:lineRule="auto"/>
              <w:jc w:val="right"/>
              <w:rPr>
                <w:rFonts w:eastAsia="Times New Roman" w:cs="Arial"/>
                <w:b/>
                <w:color w:val="000000"/>
                <w:sz w:val="20"/>
                <w:szCs w:val="20"/>
                <w:lang w:eastAsia="en-AU"/>
              </w:rPr>
            </w:pPr>
          </w:p>
        </w:tc>
        <w:tc>
          <w:tcPr>
            <w:tcW w:w="1683" w:type="dxa"/>
            <w:tcBorders>
              <w:top w:val="nil"/>
              <w:left w:val="nil"/>
              <w:bottom w:val="nil"/>
              <w:right w:val="nil"/>
            </w:tcBorders>
            <w:noWrap/>
            <w:hideMark/>
          </w:tcPr>
          <w:p w14:paraId="42E51365" w14:textId="77777777" w:rsidR="003D420E" w:rsidRPr="00F65403" w:rsidRDefault="003D420E"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251" w:type="dxa"/>
            <w:tcBorders>
              <w:top w:val="nil"/>
              <w:left w:val="nil"/>
              <w:bottom w:val="nil"/>
              <w:right w:val="nil"/>
            </w:tcBorders>
            <w:noWrap/>
            <w:hideMark/>
          </w:tcPr>
          <w:p w14:paraId="6925F357" w14:textId="77777777" w:rsidR="003D420E" w:rsidRPr="00F65403" w:rsidRDefault="003D420E"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3D420E" w:rsidRPr="003D420E" w14:paraId="2DB3044D" w14:textId="77777777" w:rsidTr="413EB596">
        <w:tc>
          <w:tcPr>
            <w:tcW w:w="5972" w:type="dxa"/>
            <w:tcBorders>
              <w:top w:val="nil"/>
              <w:left w:val="nil"/>
              <w:bottom w:val="nil"/>
              <w:right w:val="nil"/>
            </w:tcBorders>
            <w:noWrap/>
            <w:vAlign w:val="bottom"/>
            <w:hideMark/>
          </w:tcPr>
          <w:p w14:paraId="2C10E196" w14:textId="77777777" w:rsidR="003D420E" w:rsidRPr="00F65403" w:rsidRDefault="003D420E" w:rsidP="003D420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Net result for the period</w:t>
            </w:r>
          </w:p>
        </w:tc>
        <w:tc>
          <w:tcPr>
            <w:tcW w:w="1683" w:type="dxa"/>
            <w:tcBorders>
              <w:top w:val="nil"/>
              <w:left w:val="nil"/>
              <w:bottom w:val="nil"/>
              <w:right w:val="nil"/>
            </w:tcBorders>
            <w:noWrap/>
            <w:vAlign w:val="bottom"/>
            <w:hideMark/>
          </w:tcPr>
          <w:p w14:paraId="4127211E" w14:textId="752C877A" w:rsidR="003D420E" w:rsidRPr="00F65403" w:rsidRDefault="00FC03C9" w:rsidP="00FC03C9">
            <w:pPr>
              <w:tabs>
                <w:tab w:val="decimal" w:pos="110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1F5003" w:rsidRPr="413EB596">
              <w:rPr>
                <w:rFonts w:eastAsia="Times New Roman" w:cs="Arial"/>
                <w:color w:val="000000" w:themeColor="text1"/>
                <w:sz w:val="20"/>
                <w:szCs w:val="20"/>
                <w:lang w:eastAsia="en-AU"/>
              </w:rPr>
              <w:t>6,819</w:t>
            </w:r>
            <w:r w:rsidRPr="413EB596">
              <w:rPr>
                <w:rFonts w:eastAsia="Times New Roman" w:cs="Arial"/>
                <w:color w:val="000000" w:themeColor="text1"/>
                <w:sz w:val="20"/>
                <w:szCs w:val="20"/>
                <w:lang w:eastAsia="en-AU"/>
              </w:rPr>
              <w:t>)</w:t>
            </w:r>
          </w:p>
        </w:tc>
        <w:tc>
          <w:tcPr>
            <w:tcW w:w="1251" w:type="dxa"/>
            <w:tcBorders>
              <w:top w:val="nil"/>
              <w:left w:val="nil"/>
              <w:bottom w:val="nil"/>
              <w:right w:val="nil"/>
            </w:tcBorders>
            <w:noWrap/>
            <w:vAlign w:val="bottom"/>
            <w:hideMark/>
          </w:tcPr>
          <w:p w14:paraId="152E5657" w14:textId="3D1EAD7D" w:rsidR="003D420E" w:rsidRPr="00F65403" w:rsidRDefault="003D420E" w:rsidP="00735E59">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5,828 </w:t>
            </w:r>
          </w:p>
        </w:tc>
      </w:tr>
      <w:tr w:rsidR="003D420E" w:rsidRPr="003D420E" w14:paraId="4D2256AB" w14:textId="77777777" w:rsidTr="413EB596">
        <w:tc>
          <w:tcPr>
            <w:tcW w:w="5972" w:type="dxa"/>
            <w:tcBorders>
              <w:top w:val="nil"/>
              <w:left w:val="nil"/>
              <w:bottom w:val="nil"/>
              <w:right w:val="nil"/>
            </w:tcBorders>
            <w:noWrap/>
            <w:vAlign w:val="bottom"/>
            <w:hideMark/>
          </w:tcPr>
          <w:p w14:paraId="47B8B665" w14:textId="77777777" w:rsidR="003D420E" w:rsidRPr="00F65403" w:rsidRDefault="003D420E" w:rsidP="003D420E">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Non-cash movements:</w:t>
            </w:r>
          </w:p>
        </w:tc>
        <w:tc>
          <w:tcPr>
            <w:tcW w:w="1683" w:type="dxa"/>
            <w:tcBorders>
              <w:top w:val="nil"/>
              <w:left w:val="nil"/>
              <w:bottom w:val="nil"/>
              <w:right w:val="nil"/>
            </w:tcBorders>
            <w:noWrap/>
            <w:vAlign w:val="bottom"/>
            <w:hideMark/>
          </w:tcPr>
          <w:p w14:paraId="62D9F8F0" w14:textId="77777777" w:rsidR="003D420E" w:rsidRPr="00F65403" w:rsidRDefault="003D420E" w:rsidP="00FC03C9">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5F2FF04B" w14:textId="77777777" w:rsidR="003D420E" w:rsidRPr="00F65403" w:rsidRDefault="003D420E" w:rsidP="00735E59">
            <w:pPr>
              <w:tabs>
                <w:tab w:val="decimal" w:pos="958"/>
              </w:tabs>
              <w:spacing w:after="0" w:line="240" w:lineRule="auto"/>
              <w:rPr>
                <w:rFonts w:eastAsia="Times New Roman" w:cs="Arial"/>
                <w:sz w:val="20"/>
                <w:szCs w:val="20"/>
                <w:lang w:eastAsia="en-AU"/>
              </w:rPr>
            </w:pPr>
          </w:p>
        </w:tc>
      </w:tr>
      <w:tr w:rsidR="003D420E" w:rsidRPr="003D420E" w14:paraId="3DB2B61B" w14:textId="77777777" w:rsidTr="413EB596">
        <w:tc>
          <w:tcPr>
            <w:tcW w:w="5972" w:type="dxa"/>
            <w:tcBorders>
              <w:top w:val="nil"/>
              <w:left w:val="nil"/>
              <w:bottom w:val="nil"/>
              <w:right w:val="nil"/>
            </w:tcBorders>
            <w:noWrap/>
            <w:vAlign w:val="bottom"/>
            <w:hideMark/>
          </w:tcPr>
          <w:p w14:paraId="3963CDC4" w14:textId="03B2F946" w:rsidR="003D420E" w:rsidRPr="00F65403" w:rsidRDefault="003E7D13" w:rsidP="003D420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Net</w:t>
            </w:r>
            <w:r w:rsidR="003D420E" w:rsidRPr="00F65403">
              <w:rPr>
                <w:rFonts w:eastAsia="Times New Roman" w:cs="Arial"/>
                <w:color w:val="000000"/>
                <w:sz w:val="20"/>
                <w:szCs w:val="20"/>
                <w:lang w:eastAsia="en-AU"/>
              </w:rPr>
              <w:t xml:space="preserve"> gain on financial instruments at fair value</w:t>
            </w:r>
          </w:p>
        </w:tc>
        <w:tc>
          <w:tcPr>
            <w:tcW w:w="1683" w:type="dxa"/>
            <w:tcBorders>
              <w:top w:val="nil"/>
              <w:left w:val="nil"/>
              <w:bottom w:val="nil"/>
              <w:right w:val="nil"/>
            </w:tcBorders>
            <w:noWrap/>
            <w:vAlign w:val="bottom"/>
            <w:hideMark/>
          </w:tcPr>
          <w:p w14:paraId="2C5648FD" w14:textId="20933CAA" w:rsidR="003D420E" w:rsidRPr="00F65403" w:rsidRDefault="00BA15C8" w:rsidP="00FC03C9">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(40,821)</w:t>
            </w:r>
            <w:r w:rsidR="003D420E" w:rsidRPr="00F65403">
              <w:rPr>
                <w:rFonts w:eastAsia="Times New Roman" w:cs="Arial"/>
                <w:color w:val="000000"/>
                <w:sz w:val="20"/>
                <w:szCs w:val="20"/>
                <w:lang w:eastAsia="en-AU"/>
              </w:rPr>
              <w:t xml:space="preserve"> </w:t>
            </w:r>
          </w:p>
        </w:tc>
        <w:tc>
          <w:tcPr>
            <w:tcW w:w="1251" w:type="dxa"/>
            <w:tcBorders>
              <w:top w:val="nil"/>
              <w:left w:val="nil"/>
              <w:bottom w:val="nil"/>
              <w:right w:val="nil"/>
            </w:tcBorders>
            <w:noWrap/>
            <w:vAlign w:val="bottom"/>
            <w:hideMark/>
          </w:tcPr>
          <w:p w14:paraId="053AD965" w14:textId="77777777" w:rsidR="003D420E" w:rsidRPr="00F65403" w:rsidRDefault="003D420E" w:rsidP="00735E59">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3D420E" w:rsidRPr="003D420E" w14:paraId="0620ADFC" w14:textId="77777777" w:rsidTr="413EB596">
        <w:tc>
          <w:tcPr>
            <w:tcW w:w="5972" w:type="dxa"/>
            <w:tcBorders>
              <w:top w:val="nil"/>
              <w:left w:val="nil"/>
              <w:bottom w:val="nil"/>
              <w:right w:val="nil"/>
            </w:tcBorders>
            <w:noWrap/>
            <w:vAlign w:val="bottom"/>
          </w:tcPr>
          <w:p w14:paraId="4AA2F690" w14:textId="04119F64" w:rsidR="003D420E" w:rsidRPr="00F65403" w:rsidRDefault="003D420E" w:rsidP="003D420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Share of net </w:t>
            </w:r>
            <w:r w:rsidR="00192691">
              <w:rPr>
                <w:rFonts w:eastAsia="Times New Roman" w:cs="Arial"/>
                <w:color w:val="000000"/>
                <w:sz w:val="20"/>
                <w:szCs w:val="20"/>
                <w:lang w:eastAsia="en-AU"/>
              </w:rPr>
              <w:t xml:space="preserve">result </w:t>
            </w:r>
            <w:r w:rsidRPr="00F65403">
              <w:rPr>
                <w:rFonts w:eastAsia="Times New Roman" w:cs="Arial"/>
                <w:color w:val="000000"/>
                <w:sz w:val="20"/>
                <w:szCs w:val="20"/>
                <w:lang w:eastAsia="en-AU"/>
              </w:rPr>
              <w:t>of joint ventures accounted for using the equity method</w:t>
            </w:r>
          </w:p>
        </w:tc>
        <w:tc>
          <w:tcPr>
            <w:tcW w:w="1683" w:type="dxa"/>
            <w:tcBorders>
              <w:top w:val="nil"/>
              <w:left w:val="nil"/>
              <w:bottom w:val="nil"/>
              <w:right w:val="nil"/>
            </w:tcBorders>
            <w:noWrap/>
            <w:vAlign w:val="bottom"/>
          </w:tcPr>
          <w:p w14:paraId="2C21D9A3" w14:textId="543D13EA" w:rsidR="003D420E" w:rsidRPr="00F65403" w:rsidRDefault="00FC03C9" w:rsidP="00FC03C9">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7,779</w:t>
            </w:r>
          </w:p>
        </w:tc>
        <w:tc>
          <w:tcPr>
            <w:tcW w:w="1251" w:type="dxa"/>
            <w:tcBorders>
              <w:top w:val="nil"/>
              <w:left w:val="nil"/>
              <w:bottom w:val="nil"/>
              <w:right w:val="nil"/>
            </w:tcBorders>
            <w:noWrap/>
            <w:vAlign w:val="bottom"/>
          </w:tcPr>
          <w:p w14:paraId="29A6FC10" w14:textId="4DD58A5F" w:rsidR="003D420E" w:rsidRPr="00F65403" w:rsidRDefault="00ED6B47" w:rsidP="00735E59">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5,409</w:t>
            </w:r>
          </w:p>
        </w:tc>
      </w:tr>
      <w:tr w:rsidR="003D420E" w:rsidRPr="003D420E" w14:paraId="5FF96B4D" w14:textId="77777777" w:rsidTr="413EB596">
        <w:tc>
          <w:tcPr>
            <w:tcW w:w="5972" w:type="dxa"/>
            <w:tcBorders>
              <w:top w:val="nil"/>
              <w:left w:val="nil"/>
              <w:bottom w:val="nil"/>
              <w:right w:val="nil"/>
            </w:tcBorders>
            <w:noWrap/>
            <w:vAlign w:val="bottom"/>
            <w:hideMark/>
          </w:tcPr>
          <w:p w14:paraId="408545FF" w14:textId="77777777" w:rsidR="003D420E" w:rsidRPr="00F65403" w:rsidRDefault="003D420E" w:rsidP="003D420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1683" w:type="dxa"/>
            <w:tcBorders>
              <w:top w:val="nil"/>
              <w:left w:val="nil"/>
              <w:bottom w:val="nil"/>
              <w:right w:val="nil"/>
            </w:tcBorders>
            <w:noWrap/>
            <w:vAlign w:val="bottom"/>
            <w:hideMark/>
          </w:tcPr>
          <w:p w14:paraId="7D36135E" w14:textId="4B8B1734" w:rsidR="003D420E" w:rsidRPr="00F65403" w:rsidRDefault="00BA15C8" w:rsidP="00FC03C9">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164</w:t>
            </w:r>
            <w:r w:rsidRPr="00F65403">
              <w:rPr>
                <w:rFonts w:eastAsia="Times New Roman" w:cs="Arial"/>
                <w:color w:val="000000"/>
                <w:sz w:val="20"/>
                <w:szCs w:val="20"/>
                <w:lang w:eastAsia="en-AU"/>
              </w:rPr>
              <w:t xml:space="preserve"> </w:t>
            </w:r>
          </w:p>
        </w:tc>
        <w:tc>
          <w:tcPr>
            <w:tcW w:w="1251" w:type="dxa"/>
            <w:tcBorders>
              <w:top w:val="nil"/>
              <w:left w:val="nil"/>
              <w:bottom w:val="nil"/>
              <w:right w:val="nil"/>
            </w:tcBorders>
            <w:noWrap/>
            <w:vAlign w:val="bottom"/>
            <w:hideMark/>
          </w:tcPr>
          <w:p w14:paraId="1E91F1E4" w14:textId="4535147F" w:rsidR="003D420E" w:rsidRPr="00F65403" w:rsidRDefault="003D420E" w:rsidP="00735E59">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3D420E" w:rsidRPr="003D420E" w14:paraId="5D23E42C" w14:textId="77777777" w:rsidTr="413EB596">
        <w:tc>
          <w:tcPr>
            <w:tcW w:w="5972" w:type="dxa"/>
            <w:tcBorders>
              <w:top w:val="nil"/>
              <w:left w:val="nil"/>
              <w:bottom w:val="nil"/>
              <w:right w:val="nil"/>
            </w:tcBorders>
            <w:noWrap/>
            <w:vAlign w:val="bottom"/>
            <w:hideMark/>
          </w:tcPr>
          <w:p w14:paraId="7E966101" w14:textId="77777777" w:rsidR="003D420E" w:rsidRPr="00F65403" w:rsidRDefault="003D420E" w:rsidP="003D420E">
            <w:pPr>
              <w:spacing w:after="0" w:line="240" w:lineRule="auto"/>
              <w:rPr>
                <w:rFonts w:eastAsia="Times New Roman" w:cs="Arial"/>
                <w:color w:val="000000"/>
                <w:sz w:val="20"/>
                <w:szCs w:val="20"/>
                <w:lang w:eastAsia="en-AU"/>
              </w:rPr>
            </w:pPr>
          </w:p>
        </w:tc>
        <w:tc>
          <w:tcPr>
            <w:tcW w:w="1683" w:type="dxa"/>
            <w:tcBorders>
              <w:top w:val="nil"/>
              <w:left w:val="nil"/>
              <w:bottom w:val="nil"/>
              <w:right w:val="nil"/>
            </w:tcBorders>
            <w:noWrap/>
            <w:vAlign w:val="bottom"/>
            <w:hideMark/>
          </w:tcPr>
          <w:p w14:paraId="0D5BFE1C" w14:textId="77777777" w:rsidR="003D420E" w:rsidRPr="00F65403" w:rsidRDefault="003D420E" w:rsidP="00FC03C9">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1D303311" w14:textId="77777777" w:rsidR="003D420E" w:rsidRPr="00F65403" w:rsidRDefault="003D420E" w:rsidP="00735E59">
            <w:pPr>
              <w:tabs>
                <w:tab w:val="decimal" w:pos="958"/>
              </w:tabs>
              <w:spacing w:after="0" w:line="240" w:lineRule="auto"/>
              <w:rPr>
                <w:rFonts w:eastAsia="Times New Roman" w:cs="Arial"/>
                <w:sz w:val="20"/>
                <w:szCs w:val="20"/>
                <w:lang w:eastAsia="en-AU"/>
              </w:rPr>
            </w:pPr>
          </w:p>
        </w:tc>
      </w:tr>
      <w:tr w:rsidR="003D420E" w:rsidRPr="003D420E" w14:paraId="20CD25CF" w14:textId="77777777" w:rsidTr="413EB596">
        <w:tc>
          <w:tcPr>
            <w:tcW w:w="5972" w:type="dxa"/>
            <w:tcBorders>
              <w:top w:val="nil"/>
              <w:left w:val="nil"/>
              <w:bottom w:val="nil"/>
              <w:right w:val="nil"/>
            </w:tcBorders>
            <w:noWrap/>
            <w:vAlign w:val="bottom"/>
            <w:hideMark/>
          </w:tcPr>
          <w:p w14:paraId="44F55363" w14:textId="77777777" w:rsidR="003D420E" w:rsidRPr="00F65403" w:rsidRDefault="003D420E" w:rsidP="003D420E">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Movements in assets and liabilities:</w:t>
            </w:r>
          </w:p>
        </w:tc>
        <w:tc>
          <w:tcPr>
            <w:tcW w:w="1683" w:type="dxa"/>
            <w:tcBorders>
              <w:top w:val="nil"/>
              <w:left w:val="nil"/>
              <w:bottom w:val="nil"/>
              <w:right w:val="nil"/>
            </w:tcBorders>
            <w:noWrap/>
            <w:vAlign w:val="bottom"/>
            <w:hideMark/>
          </w:tcPr>
          <w:p w14:paraId="37427AC0" w14:textId="77777777" w:rsidR="003D420E" w:rsidRPr="00F65403" w:rsidRDefault="003D420E" w:rsidP="00FC03C9">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0C6BDB6A" w14:textId="77777777" w:rsidR="003D420E" w:rsidRPr="00F65403" w:rsidRDefault="003D420E" w:rsidP="00735E59">
            <w:pPr>
              <w:tabs>
                <w:tab w:val="decimal" w:pos="958"/>
              </w:tabs>
              <w:spacing w:after="0" w:line="240" w:lineRule="auto"/>
              <w:rPr>
                <w:rFonts w:eastAsia="Times New Roman" w:cs="Arial"/>
                <w:sz w:val="20"/>
                <w:szCs w:val="20"/>
                <w:lang w:eastAsia="en-AU"/>
              </w:rPr>
            </w:pPr>
          </w:p>
        </w:tc>
      </w:tr>
      <w:tr w:rsidR="00E40FA2" w:rsidRPr="003D420E" w14:paraId="6CDD481A" w14:textId="77777777" w:rsidTr="413EB596">
        <w:tc>
          <w:tcPr>
            <w:tcW w:w="5972" w:type="dxa"/>
            <w:tcBorders>
              <w:top w:val="nil"/>
              <w:left w:val="nil"/>
              <w:bottom w:val="nil"/>
              <w:right w:val="nil"/>
            </w:tcBorders>
            <w:noWrap/>
            <w:vAlign w:val="bottom"/>
            <w:hideMark/>
          </w:tcPr>
          <w:p w14:paraId="793047CB" w14:textId="77777777" w:rsidR="00E40FA2" w:rsidRPr="00F65403" w:rsidRDefault="00E40FA2" w:rsidP="00E40FA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Decrease/(Increase) in receivables</w:t>
            </w:r>
          </w:p>
        </w:tc>
        <w:tc>
          <w:tcPr>
            <w:tcW w:w="1683" w:type="dxa"/>
            <w:tcBorders>
              <w:top w:val="nil"/>
              <w:left w:val="nil"/>
              <w:bottom w:val="nil"/>
              <w:right w:val="nil"/>
            </w:tcBorders>
            <w:noWrap/>
            <w:vAlign w:val="bottom"/>
            <w:hideMark/>
          </w:tcPr>
          <w:p w14:paraId="1E1D2246" w14:textId="045DB6F3" w:rsidR="00E40FA2" w:rsidRPr="00F65403" w:rsidRDefault="00E40FA2" w:rsidP="00FC03C9">
            <w:pPr>
              <w:tabs>
                <w:tab w:val="decimal" w:pos="1100"/>
              </w:tabs>
              <w:spacing w:after="0" w:line="240" w:lineRule="auto"/>
              <w:rPr>
                <w:rFonts w:eastAsia="Times New Roman" w:cs="Arial"/>
                <w:sz w:val="20"/>
                <w:szCs w:val="20"/>
                <w:lang w:eastAsia="en-AU"/>
              </w:rPr>
            </w:pPr>
            <w:r>
              <w:rPr>
                <w:rFonts w:cs="Arial"/>
                <w:color w:val="000000"/>
                <w:sz w:val="20"/>
                <w:szCs w:val="20"/>
              </w:rPr>
              <w:t>(3,074)</w:t>
            </w:r>
          </w:p>
        </w:tc>
        <w:tc>
          <w:tcPr>
            <w:tcW w:w="1251" w:type="dxa"/>
            <w:tcBorders>
              <w:top w:val="nil"/>
              <w:left w:val="nil"/>
              <w:bottom w:val="nil"/>
              <w:right w:val="nil"/>
            </w:tcBorders>
            <w:noWrap/>
            <w:vAlign w:val="bottom"/>
            <w:hideMark/>
          </w:tcPr>
          <w:p w14:paraId="5EB8A6A1" w14:textId="77777777" w:rsidR="00E40FA2" w:rsidRPr="00F65403" w:rsidRDefault="00E40FA2" w:rsidP="00E40FA2">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(126)</w:t>
            </w:r>
          </w:p>
        </w:tc>
      </w:tr>
      <w:tr w:rsidR="00E40FA2" w:rsidRPr="003D420E" w14:paraId="0FDC6B5E" w14:textId="77777777" w:rsidTr="413EB596">
        <w:tc>
          <w:tcPr>
            <w:tcW w:w="5972" w:type="dxa"/>
            <w:tcBorders>
              <w:top w:val="nil"/>
              <w:left w:val="nil"/>
              <w:bottom w:val="nil"/>
              <w:right w:val="nil"/>
            </w:tcBorders>
            <w:noWrap/>
            <w:vAlign w:val="bottom"/>
            <w:hideMark/>
          </w:tcPr>
          <w:p w14:paraId="0023F094" w14:textId="320610BD" w:rsidR="00E40FA2" w:rsidRPr="00F65403" w:rsidRDefault="00E40FA2" w:rsidP="00E40FA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Decrease/(Increase) in </w:t>
            </w:r>
            <w:r>
              <w:rPr>
                <w:rFonts w:eastAsia="Times New Roman" w:cs="Arial"/>
                <w:color w:val="000000"/>
                <w:sz w:val="20"/>
                <w:szCs w:val="20"/>
                <w:lang w:eastAsia="en-AU"/>
              </w:rPr>
              <w:t>other assets</w:t>
            </w:r>
          </w:p>
        </w:tc>
        <w:tc>
          <w:tcPr>
            <w:tcW w:w="1683" w:type="dxa"/>
            <w:tcBorders>
              <w:top w:val="nil"/>
              <w:left w:val="nil"/>
              <w:bottom w:val="nil"/>
              <w:right w:val="nil"/>
            </w:tcBorders>
            <w:noWrap/>
            <w:vAlign w:val="bottom"/>
            <w:hideMark/>
          </w:tcPr>
          <w:p w14:paraId="50AF096C" w14:textId="1A4028F3" w:rsidR="00E40FA2" w:rsidRPr="00F65403" w:rsidRDefault="00E40FA2" w:rsidP="00FC03C9">
            <w:pPr>
              <w:tabs>
                <w:tab w:val="decimal" w:pos="1100"/>
              </w:tabs>
              <w:spacing w:after="0" w:line="240" w:lineRule="auto"/>
              <w:rPr>
                <w:rFonts w:eastAsia="Times New Roman" w:cs="Arial"/>
                <w:sz w:val="20"/>
                <w:szCs w:val="20"/>
                <w:lang w:eastAsia="en-AU"/>
              </w:rPr>
            </w:pPr>
            <w:r>
              <w:rPr>
                <w:rFonts w:cs="Arial"/>
                <w:color w:val="000000"/>
                <w:sz w:val="20"/>
                <w:szCs w:val="20"/>
              </w:rPr>
              <w:t>(425)</w:t>
            </w:r>
          </w:p>
        </w:tc>
        <w:tc>
          <w:tcPr>
            <w:tcW w:w="1251" w:type="dxa"/>
            <w:tcBorders>
              <w:top w:val="nil"/>
              <w:left w:val="nil"/>
              <w:bottom w:val="nil"/>
              <w:right w:val="nil"/>
            </w:tcBorders>
            <w:noWrap/>
            <w:vAlign w:val="bottom"/>
            <w:hideMark/>
          </w:tcPr>
          <w:p w14:paraId="66095A5C" w14:textId="5C70C02E" w:rsidR="00E40FA2" w:rsidRPr="00F65403" w:rsidRDefault="00E40FA2" w:rsidP="00E40FA2">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E40FA2" w:rsidRPr="003D420E" w14:paraId="7278B72E" w14:textId="77777777" w:rsidTr="413EB596">
        <w:tc>
          <w:tcPr>
            <w:tcW w:w="5972" w:type="dxa"/>
            <w:tcBorders>
              <w:top w:val="nil"/>
              <w:left w:val="nil"/>
              <w:bottom w:val="nil"/>
              <w:right w:val="nil"/>
            </w:tcBorders>
            <w:noWrap/>
            <w:vAlign w:val="bottom"/>
            <w:hideMark/>
          </w:tcPr>
          <w:p w14:paraId="160FB6DD" w14:textId="77777777" w:rsidR="00E40FA2" w:rsidRPr="00F65403" w:rsidRDefault="00E40FA2" w:rsidP="00E40FA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Decrease/(Increase) in financial assets</w:t>
            </w:r>
          </w:p>
        </w:tc>
        <w:tc>
          <w:tcPr>
            <w:tcW w:w="1683" w:type="dxa"/>
            <w:tcBorders>
              <w:top w:val="nil"/>
              <w:left w:val="nil"/>
              <w:bottom w:val="nil"/>
              <w:right w:val="nil"/>
            </w:tcBorders>
            <w:noWrap/>
            <w:vAlign w:val="bottom"/>
            <w:hideMark/>
          </w:tcPr>
          <w:p w14:paraId="3F581161" w14:textId="2A6FAD3F" w:rsidR="00E40FA2" w:rsidRPr="00F65403" w:rsidRDefault="00E40FA2" w:rsidP="00FC03C9">
            <w:pPr>
              <w:tabs>
                <w:tab w:val="decimal" w:pos="1100"/>
              </w:tabs>
              <w:spacing w:after="0" w:line="240" w:lineRule="auto"/>
              <w:rPr>
                <w:rFonts w:eastAsia="Times New Roman" w:cs="Arial"/>
                <w:sz w:val="20"/>
                <w:szCs w:val="20"/>
                <w:lang w:eastAsia="en-AU"/>
              </w:rPr>
            </w:pPr>
            <w:r>
              <w:rPr>
                <w:rFonts w:cs="Arial"/>
                <w:color w:val="000000"/>
                <w:sz w:val="20"/>
                <w:szCs w:val="20"/>
              </w:rPr>
              <w:t>(29,784)</w:t>
            </w:r>
          </w:p>
        </w:tc>
        <w:tc>
          <w:tcPr>
            <w:tcW w:w="1251" w:type="dxa"/>
            <w:tcBorders>
              <w:top w:val="nil"/>
              <w:left w:val="nil"/>
              <w:bottom w:val="nil"/>
              <w:right w:val="nil"/>
            </w:tcBorders>
            <w:noWrap/>
            <w:vAlign w:val="bottom"/>
            <w:hideMark/>
          </w:tcPr>
          <w:p w14:paraId="309F8331" w14:textId="7230E03B" w:rsidR="00E40FA2" w:rsidRPr="00F65403" w:rsidRDefault="00E40FA2" w:rsidP="00E40FA2">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E40FA2" w:rsidRPr="003D420E" w14:paraId="7F2B8892" w14:textId="77777777" w:rsidTr="413EB596">
        <w:tc>
          <w:tcPr>
            <w:tcW w:w="5972" w:type="dxa"/>
            <w:tcBorders>
              <w:top w:val="nil"/>
              <w:left w:val="nil"/>
              <w:bottom w:val="nil"/>
              <w:right w:val="nil"/>
            </w:tcBorders>
            <w:noWrap/>
            <w:vAlign w:val="bottom"/>
            <w:hideMark/>
          </w:tcPr>
          <w:p w14:paraId="1C184B63" w14:textId="77777777" w:rsidR="00E40FA2" w:rsidRPr="00F65403" w:rsidRDefault="00E40FA2" w:rsidP="00E40FA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Increase/(Decrease) in payables</w:t>
            </w:r>
          </w:p>
        </w:tc>
        <w:tc>
          <w:tcPr>
            <w:tcW w:w="1683" w:type="dxa"/>
            <w:tcBorders>
              <w:top w:val="nil"/>
              <w:left w:val="nil"/>
              <w:bottom w:val="nil"/>
              <w:right w:val="nil"/>
            </w:tcBorders>
            <w:noWrap/>
            <w:vAlign w:val="bottom"/>
            <w:hideMark/>
          </w:tcPr>
          <w:p w14:paraId="2C378FE9" w14:textId="4D2E9B28" w:rsidR="00E40FA2" w:rsidRPr="00F65403" w:rsidRDefault="00C30737" w:rsidP="00FC03C9">
            <w:pPr>
              <w:tabs>
                <w:tab w:val="decimal" w:pos="1100"/>
              </w:tabs>
              <w:spacing w:after="0" w:line="240" w:lineRule="auto"/>
              <w:rPr>
                <w:rFonts w:eastAsia="Times New Roman" w:cs="Arial"/>
                <w:sz w:val="20"/>
                <w:szCs w:val="20"/>
                <w:lang w:eastAsia="en-AU"/>
              </w:rPr>
            </w:pPr>
            <w:r>
              <w:rPr>
                <w:rFonts w:cs="Arial"/>
                <w:color w:val="000000"/>
                <w:sz w:val="20"/>
                <w:szCs w:val="20"/>
              </w:rPr>
              <w:t>1,824</w:t>
            </w:r>
          </w:p>
        </w:tc>
        <w:tc>
          <w:tcPr>
            <w:tcW w:w="1251" w:type="dxa"/>
            <w:tcBorders>
              <w:top w:val="nil"/>
              <w:left w:val="nil"/>
              <w:bottom w:val="nil"/>
              <w:right w:val="nil"/>
            </w:tcBorders>
            <w:noWrap/>
            <w:vAlign w:val="bottom"/>
            <w:hideMark/>
          </w:tcPr>
          <w:p w14:paraId="6A98B383" w14:textId="77777777" w:rsidR="00E40FA2" w:rsidRPr="00F65403" w:rsidRDefault="00E40FA2" w:rsidP="00E40FA2">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3,164</w:t>
            </w:r>
          </w:p>
        </w:tc>
      </w:tr>
      <w:tr w:rsidR="00E40FA2" w:rsidRPr="003D420E" w14:paraId="41E98902" w14:textId="77777777" w:rsidTr="00E326C0">
        <w:trPr>
          <w:trHeight w:val="300"/>
        </w:trPr>
        <w:tc>
          <w:tcPr>
            <w:tcW w:w="5972" w:type="dxa"/>
            <w:tcBorders>
              <w:top w:val="nil"/>
              <w:left w:val="nil"/>
              <w:right w:val="nil"/>
            </w:tcBorders>
            <w:noWrap/>
            <w:vAlign w:val="bottom"/>
            <w:hideMark/>
          </w:tcPr>
          <w:p w14:paraId="16743707" w14:textId="77777777" w:rsidR="00E40FA2" w:rsidRPr="00F65403" w:rsidRDefault="00E40FA2" w:rsidP="00E40FA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Increase/(Decrease) in employee related liabilities</w:t>
            </w:r>
          </w:p>
        </w:tc>
        <w:tc>
          <w:tcPr>
            <w:tcW w:w="1683" w:type="dxa"/>
            <w:tcBorders>
              <w:top w:val="nil"/>
              <w:left w:val="nil"/>
              <w:right w:val="nil"/>
            </w:tcBorders>
            <w:noWrap/>
            <w:vAlign w:val="bottom"/>
            <w:hideMark/>
          </w:tcPr>
          <w:p w14:paraId="42789CBF" w14:textId="57BC94A5" w:rsidR="00E40FA2" w:rsidRPr="00F65403" w:rsidRDefault="00E40FA2" w:rsidP="00FC03C9">
            <w:pPr>
              <w:tabs>
                <w:tab w:val="decimal" w:pos="1100"/>
              </w:tabs>
              <w:spacing w:after="0" w:line="240" w:lineRule="auto"/>
              <w:rPr>
                <w:rFonts w:eastAsia="Times New Roman" w:cs="Arial"/>
                <w:sz w:val="20"/>
                <w:szCs w:val="20"/>
                <w:lang w:eastAsia="en-AU"/>
              </w:rPr>
            </w:pPr>
            <w:r>
              <w:rPr>
                <w:rFonts w:cs="Arial"/>
                <w:color w:val="000000"/>
                <w:sz w:val="20"/>
                <w:szCs w:val="20"/>
              </w:rPr>
              <w:t>1,170</w:t>
            </w:r>
          </w:p>
        </w:tc>
        <w:tc>
          <w:tcPr>
            <w:tcW w:w="1251" w:type="dxa"/>
            <w:tcBorders>
              <w:top w:val="nil"/>
              <w:left w:val="nil"/>
              <w:right w:val="nil"/>
            </w:tcBorders>
            <w:noWrap/>
            <w:vAlign w:val="bottom"/>
            <w:hideMark/>
          </w:tcPr>
          <w:p w14:paraId="28222B72" w14:textId="77777777" w:rsidR="00E40FA2" w:rsidRPr="00F65403" w:rsidRDefault="00E40FA2" w:rsidP="00E40FA2">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865</w:t>
            </w:r>
          </w:p>
        </w:tc>
      </w:tr>
      <w:tr w:rsidR="00C14829" w:rsidRPr="003D420E" w14:paraId="3BEA084F" w14:textId="77777777" w:rsidTr="00E326C0">
        <w:trPr>
          <w:trHeight w:val="300"/>
        </w:trPr>
        <w:tc>
          <w:tcPr>
            <w:tcW w:w="5972" w:type="dxa"/>
            <w:tcBorders>
              <w:left w:val="nil"/>
              <w:right w:val="nil"/>
            </w:tcBorders>
            <w:noWrap/>
            <w:vAlign w:val="bottom"/>
          </w:tcPr>
          <w:p w14:paraId="5FD5E4C9" w14:textId="3AB8F935" w:rsidR="00C14829" w:rsidRPr="00F65403" w:rsidRDefault="009B72A2" w:rsidP="00E40FA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Increase/(Decrease) in deferred tax liabilities</w:t>
            </w:r>
          </w:p>
        </w:tc>
        <w:tc>
          <w:tcPr>
            <w:tcW w:w="1683" w:type="dxa"/>
            <w:tcBorders>
              <w:left w:val="nil"/>
              <w:bottom w:val="single" w:sz="4" w:space="0" w:color="auto"/>
              <w:right w:val="nil"/>
            </w:tcBorders>
            <w:noWrap/>
            <w:vAlign w:val="bottom"/>
          </w:tcPr>
          <w:p w14:paraId="2BB6C9A3" w14:textId="7C3A0E59" w:rsidR="00C14829" w:rsidRDefault="00B27BAE" w:rsidP="00FC03C9">
            <w:pPr>
              <w:tabs>
                <w:tab w:val="decimal" w:pos="1100"/>
              </w:tabs>
              <w:spacing w:after="0" w:line="240" w:lineRule="auto"/>
              <w:rPr>
                <w:rFonts w:cs="Arial"/>
                <w:color w:val="000000"/>
                <w:sz w:val="20"/>
                <w:szCs w:val="20"/>
              </w:rPr>
            </w:pPr>
            <w:r>
              <w:rPr>
                <w:rFonts w:cs="Arial"/>
                <w:color w:val="000000" w:themeColor="text1"/>
                <w:sz w:val="20"/>
                <w:szCs w:val="20"/>
              </w:rPr>
              <w:t>5,239</w:t>
            </w:r>
          </w:p>
        </w:tc>
        <w:tc>
          <w:tcPr>
            <w:tcW w:w="1251" w:type="dxa"/>
            <w:tcBorders>
              <w:left w:val="nil"/>
              <w:bottom w:val="single" w:sz="4" w:space="0" w:color="auto"/>
              <w:right w:val="nil"/>
            </w:tcBorders>
            <w:noWrap/>
            <w:vAlign w:val="bottom"/>
          </w:tcPr>
          <w:p w14:paraId="1E624B28" w14:textId="77777777" w:rsidR="00C14829" w:rsidRPr="00F65403" w:rsidRDefault="00C14829" w:rsidP="00E40FA2">
            <w:pPr>
              <w:tabs>
                <w:tab w:val="decimal" w:pos="958"/>
              </w:tabs>
              <w:spacing w:after="0" w:line="240" w:lineRule="auto"/>
              <w:rPr>
                <w:rFonts w:eastAsia="Times New Roman" w:cs="Arial"/>
                <w:color w:val="000000"/>
                <w:sz w:val="20"/>
                <w:szCs w:val="20"/>
                <w:lang w:eastAsia="en-AU"/>
              </w:rPr>
            </w:pPr>
          </w:p>
        </w:tc>
      </w:tr>
      <w:tr w:rsidR="002C760A" w:rsidRPr="002C760A" w14:paraId="67A9AAE7" w14:textId="77777777" w:rsidTr="00E326C0">
        <w:trPr>
          <w:trHeight w:val="300"/>
        </w:trPr>
        <w:tc>
          <w:tcPr>
            <w:tcW w:w="5972" w:type="dxa"/>
            <w:tcBorders>
              <w:left w:val="nil"/>
              <w:right w:val="nil"/>
            </w:tcBorders>
            <w:noWrap/>
            <w:vAlign w:val="bottom"/>
          </w:tcPr>
          <w:p w14:paraId="34F06E09" w14:textId="5A4559BA" w:rsidR="002C760A" w:rsidRPr="00F65403" w:rsidRDefault="002C760A" w:rsidP="002C760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cash flows (used in)</w:t>
            </w:r>
            <w:r w:rsidR="005E4C15">
              <w:rPr>
                <w:rFonts w:eastAsia="Times New Roman" w:cs="Arial"/>
                <w:b/>
                <w:color w:val="000000"/>
                <w:sz w:val="20"/>
                <w:szCs w:val="20"/>
                <w:lang w:eastAsia="en-AU"/>
              </w:rPr>
              <w:t>/from</w:t>
            </w:r>
            <w:r w:rsidRPr="00F65403">
              <w:rPr>
                <w:rFonts w:eastAsia="Times New Roman" w:cs="Arial"/>
                <w:b/>
                <w:color w:val="000000"/>
                <w:sz w:val="20"/>
                <w:szCs w:val="20"/>
                <w:lang w:eastAsia="en-AU"/>
              </w:rPr>
              <w:t xml:space="preserve"> operating activities</w:t>
            </w:r>
          </w:p>
        </w:tc>
        <w:tc>
          <w:tcPr>
            <w:tcW w:w="1683" w:type="dxa"/>
            <w:tcBorders>
              <w:top w:val="single" w:sz="4" w:space="0" w:color="auto"/>
              <w:left w:val="nil"/>
              <w:bottom w:val="single" w:sz="4" w:space="0" w:color="auto"/>
              <w:right w:val="nil"/>
            </w:tcBorders>
            <w:noWrap/>
            <w:vAlign w:val="bottom"/>
          </w:tcPr>
          <w:p w14:paraId="06BA2B23" w14:textId="0722F2E9" w:rsidR="002C760A" w:rsidRPr="00F65403" w:rsidRDefault="00E40FA2" w:rsidP="413EB596">
            <w:pPr>
              <w:tabs>
                <w:tab w:val="decimal" w:pos="1100"/>
              </w:tabs>
              <w:spacing w:after="0" w:line="240" w:lineRule="auto"/>
              <w:rPr>
                <w:rFonts w:eastAsia="Times New Roman" w:cs="Arial"/>
                <w:b/>
                <w:bCs/>
                <w:color w:val="000000" w:themeColor="text1"/>
                <w:sz w:val="20"/>
                <w:szCs w:val="20"/>
                <w:lang w:eastAsia="en-AU"/>
              </w:rPr>
            </w:pPr>
            <w:r w:rsidRPr="413EB596">
              <w:rPr>
                <w:rFonts w:eastAsia="Times New Roman" w:cs="Arial"/>
                <w:b/>
                <w:bCs/>
                <w:color w:val="000000" w:themeColor="text1"/>
                <w:sz w:val="20"/>
                <w:szCs w:val="20"/>
                <w:lang w:eastAsia="en-AU"/>
              </w:rPr>
              <w:t>(</w:t>
            </w:r>
            <w:r w:rsidR="00C30737" w:rsidRPr="413EB596">
              <w:rPr>
                <w:rFonts w:eastAsia="Times New Roman" w:cs="Arial"/>
                <w:b/>
                <w:bCs/>
                <w:color w:val="000000" w:themeColor="text1"/>
                <w:sz w:val="20"/>
                <w:szCs w:val="20"/>
                <w:lang w:eastAsia="en-AU"/>
              </w:rPr>
              <w:t>64,</w:t>
            </w:r>
            <w:r w:rsidR="005A72E5" w:rsidRPr="413EB596">
              <w:rPr>
                <w:rFonts w:eastAsia="Times New Roman" w:cs="Arial"/>
                <w:b/>
                <w:bCs/>
                <w:color w:val="000000" w:themeColor="text1"/>
                <w:sz w:val="20"/>
                <w:szCs w:val="20"/>
                <w:lang w:eastAsia="en-AU"/>
              </w:rPr>
              <w:t>747)</w:t>
            </w:r>
          </w:p>
        </w:tc>
        <w:tc>
          <w:tcPr>
            <w:tcW w:w="1251" w:type="dxa"/>
            <w:tcBorders>
              <w:top w:val="single" w:sz="4" w:space="0" w:color="auto"/>
              <w:left w:val="nil"/>
              <w:bottom w:val="single" w:sz="4" w:space="0" w:color="auto"/>
              <w:right w:val="nil"/>
            </w:tcBorders>
            <w:noWrap/>
            <w:vAlign w:val="bottom"/>
          </w:tcPr>
          <w:p w14:paraId="2F15855A" w14:textId="2ACCDE5E" w:rsidR="002C760A" w:rsidRPr="00F65403" w:rsidRDefault="002C760A" w:rsidP="00735E59">
            <w:pPr>
              <w:tabs>
                <w:tab w:val="decimal" w:pos="958"/>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 xml:space="preserve">1,310 </w:t>
            </w:r>
          </w:p>
        </w:tc>
      </w:tr>
    </w:tbl>
    <w:p w14:paraId="41F7556C" w14:textId="77777777" w:rsidR="007B6AC9" w:rsidRPr="00F65403" w:rsidRDefault="007B6AC9" w:rsidP="00B94E93">
      <w:pPr>
        <w:pStyle w:val="BodyText"/>
        <w:rPr>
          <w:sz w:val="24"/>
          <w:szCs w:val="24"/>
          <w:lang w:val="en-AU"/>
        </w:rPr>
      </w:pPr>
    </w:p>
    <w:p w14:paraId="389423F8" w14:textId="0D43249E" w:rsidR="00A23D12" w:rsidRPr="00F65403" w:rsidRDefault="008C1F1F" w:rsidP="004A1F3C">
      <w:pPr>
        <w:pStyle w:val="Heading8"/>
      </w:pPr>
      <w:r>
        <w:t>iii.</w:t>
      </w:r>
      <w:r>
        <w:tab/>
      </w:r>
      <w:r w:rsidR="00A23D12">
        <w:t>Reconciliation of change in liabilities from financing activities</w:t>
      </w:r>
      <w:r>
        <w:br/>
      </w:r>
    </w:p>
    <w:tbl>
      <w:tblPr>
        <w:tblW w:w="5000" w:type="pct"/>
        <w:tblCellMar>
          <w:top w:w="28" w:type="dxa"/>
          <w:left w:w="28" w:type="dxa"/>
          <w:bottom w:w="28" w:type="dxa"/>
          <w:right w:w="28" w:type="dxa"/>
        </w:tblCellMar>
        <w:tblLook w:val="04A0" w:firstRow="1" w:lastRow="0" w:firstColumn="1" w:lastColumn="0" w:noHBand="0" w:noVBand="1"/>
      </w:tblPr>
      <w:tblGrid>
        <w:gridCol w:w="3274"/>
        <w:gridCol w:w="1437"/>
        <w:gridCol w:w="1439"/>
        <w:gridCol w:w="1439"/>
        <w:gridCol w:w="1437"/>
      </w:tblGrid>
      <w:tr w:rsidR="006035DB" w:rsidRPr="006035DB" w14:paraId="467FE71E" w14:textId="77777777" w:rsidTr="413EB596">
        <w:tc>
          <w:tcPr>
            <w:tcW w:w="1814" w:type="pct"/>
            <w:tcBorders>
              <w:top w:val="nil"/>
              <w:left w:val="nil"/>
              <w:bottom w:val="nil"/>
              <w:right w:val="nil"/>
            </w:tcBorders>
            <w:noWrap/>
            <w:vAlign w:val="bottom"/>
            <w:hideMark/>
          </w:tcPr>
          <w:p w14:paraId="4D55DF93" w14:textId="5574FF1B" w:rsidR="006035DB" w:rsidRPr="00F65403" w:rsidRDefault="005C4684" w:rsidP="006035DB">
            <w:pPr>
              <w:spacing w:after="0" w:line="240" w:lineRule="auto"/>
              <w:rPr>
                <w:rFonts w:eastAsia="Times New Roman" w:cs="Arial"/>
                <w:b/>
                <w:sz w:val="20"/>
                <w:szCs w:val="20"/>
                <w:lang w:eastAsia="en-AU"/>
              </w:rPr>
            </w:pPr>
            <w:r w:rsidRPr="00F65403">
              <w:rPr>
                <w:rFonts w:eastAsia="Times New Roman" w:cs="Arial"/>
                <w:b/>
                <w:sz w:val="20"/>
                <w:szCs w:val="20"/>
                <w:lang w:eastAsia="en-AU"/>
              </w:rPr>
              <w:t>2025</w:t>
            </w:r>
          </w:p>
        </w:tc>
        <w:tc>
          <w:tcPr>
            <w:tcW w:w="796" w:type="pct"/>
            <w:tcBorders>
              <w:top w:val="nil"/>
              <w:left w:val="nil"/>
              <w:bottom w:val="nil"/>
              <w:right w:val="nil"/>
            </w:tcBorders>
            <w:vAlign w:val="bottom"/>
            <w:hideMark/>
          </w:tcPr>
          <w:p w14:paraId="24CF1DD5"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Balance at beginning of financial year</w:t>
            </w:r>
          </w:p>
        </w:tc>
        <w:tc>
          <w:tcPr>
            <w:tcW w:w="797" w:type="pct"/>
            <w:tcBorders>
              <w:top w:val="nil"/>
              <w:left w:val="nil"/>
              <w:bottom w:val="nil"/>
              <w:right w:val="nil"/>
            </w:tcBorders>
            <w:vAlign w:val="bottom"/>
            <w:hideMark/>
          </w:tcPr>
          <w:p w14:paraId="38B84407"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Net proceeds/ (repayments)</w:t>
            </w:r>
          </w:p>
        </w:tc>
        <w:tc>
          <w:tcPr>
            <w:tcW w:w="797" w:type="pct"/>
            <w:tcBorders>
              <w:top w:val="nil"/>
              <w:left w:val="nil"/>
              <w:bottom w:val="nil"/>
              <w:right w:val="nil"/>
            </w:tcBorders>
            <w:vAlign w:val="bottom"/>
            <w:hideMark/>
          </w:tcPr>
          <w:p w14:paraId="10169D9B" w14:textId="6DFB389F"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Non</w:t>
            </w:r>
            <w:r w:rsidR="00B8679B">
              <w:rPr>
                <w:rFonts w:eastAsia="Times New Roman" w:cs="Arial"/>
                <w:b/>
                <w:color w:val="000000"/>
                <w:sz w:val="20"/>
                <w:szCs w:val="20"/>
                <w:lang w:eastAsia="en-AU"/>
              </w:rPr>
              <w:t>-</w:t>
            </w:r>
            <w:r w:rsidRPr="00F65403">
              <w:rPr>
                <w:rFonts w:eastAsia="Times New Roman" w:cs="Arial"/>
                <w:b/>
                <w:color w:val="000000"/>
                <w:sz w:val="20"/>
                <w:szCs w:val="20"/>
                <w:lang w:eastAsia="en-AU"/>
              </w:rPr>
              <w:t>cash movements</w:t>
            </w:r>
          </w:p>
        </w:tc>
        <w:tc>
          <w:tcPr>
            <w:tcW w:w="796" w:type="pct"/>
            <w:tcBorders>
              <w:top w:val="nil"/>
              <w:left w:val="nil"/>
              <w:bottom w:val="nil"/>
              <w:right w:val="nil"/>
            </w:tcBorders>
            <w:vAlign w:val="bottom"/>
            <w:hideMark/>
          </w:tcPr>
          <w:p w14:paraId="4EA90DB6"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Balance at end of financial </w:t>
            </w:r>
            <w:r w:rsidRPr="00F65403">
              <w:rPr>
                <w:rFonts w:eastAsia="Times New Roman" w:cs="Arial"/>
                <w:b/>
                <w:color w:val="000000"/>
                <w:sz w:val="20"/>
                <w:szCs w:val="20"/>
                <w:lang w:eastAsia="en-AU"/>
              </w:rPr>
              <w:br/>
              <w:t>year</w:t>
            </w:r>
          </w:p>
        </w:tc>
      </w:tr>
      <w:tr w:rsidR="006035DB" w:rsidRPr="006035DB" w14:paraId="38733EF9" w14:textId="77777777" w:rsidTr="413EB596">
        <w:tc>
          <w:tcPr>
            <w:tcW w:w="1814" w:type="pct"/>
            <w:tcBorders>
              <w:top w:val="nil"/>
              <w:left w:val="nil"/>
              <w:bottom w:val="nil"/>
              <w:right w:val="nil"/>
            </w:tcBorders>
            <w:noWrap/>
            <w:vAlign w:val="bottom"/>
            <w:hideMark/>
          </w:tcPr>
          <w:p w14:paraId="33D2483C" w14:textId="77777777" w:rsidR="006035DB" w:rsidRPr="00F65403" w:rsidRDefault="006035DB" w:rsidP="006035DB">
            <w:pPr>
              <w:spacing w:after="0" w:line="240" w:lineRule="auto"/>
              <w:jc w:val="right"/>
              <w:rPr>
                <w:rFonts w:eastAsia="Times New Roman" w:cs="Arial"/>
                <w:b/>
                <w:color w:val="000000"/>
                <w:sz w:val="20"/>
                <w:szCs w:val="20"/>
                <w:lang w:eastAsia="en-AU"/>
              </w:rPr>
            </w:pPr>
          </w:p>
        </w:tc>
        <w:tc>
          <w:tcPr>
            <w:tcW w:w="796" w:type="pct"/>
            <w:tcBorders>
              <w:top w:val="nil"/>
              <w:left w:val="nil"/>
              <w:bottom w:val="nil"/>
              <w:right w:val="nil"/>
            </w:tcBorders>
            <w:noWrap/>
            <w:vAlign w:val="bottom"/>
            <w:hideMark/>
          </w:tcPr>
          <w:p w14:paraId="557216B5"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7" w:type="pct"/>
            <w:tcBorders>
              <w:top w:val="nil"/>
              <w:left w:val="nil"/>
              <w:bottom w:val="nil"/>
              <w:right w:val="nil"/>
            </w:tcBorders>
            <w:noWrap/>
            <w:vAlign w:val="bottom"/>
            <w:hideMark/>
          </w:tcPr>
          <w:p w14:paraId="14DE0276"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7" w:type="pct"/>
            <w:tcBorders>
              <w:top w:val="nil"/>
              <w:left w:val="nil"/>
              <w:bottom w:val="nil"/>
              <w:right w:val="nil"/>
            </w:tcBorders>
            <w:noWrap/>
            <w:vAlign w:val="bottom"/>
            <w:hideMark/>
          </w:tcPr>
          <w:p w14:paraId="24112124"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6" w:type="pct"/>
            <w:tcBorders>
              <w:top w:val="nil"/>
              <w:left w:val="nil"/>
              <w:bottom w:val="nil"/>
              <w:right w:val="nil"/>
            </w:tcBorders>
            <w:noWrap/>
            <w:vAlign w:val="bottom"/>
            <w:hideMark/>
          </w:tcPr>
          <w:p w14:paraId="4031255D" w14:textId="77777777" w:rsidR="006035DB" w:rsidRPr="00F65403" w:rsidRDefault="006035DB" w:rsidP="00735E5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6035DB" w:rsidRPr="006035DB" w14:paraId="7C088A11" w14:textId="77777777" w:rsidTr="413EB596">
        <w:tc>
          <w:tcPr>
            <w:tcW w:w="1814" w:type="pct"/>
            <w:tcBorders>
              <w:top w:val="nil"/>
              <w:left w:val="nil"/>
              <w:bottom w:val="nil"/>
              <w:right w:val="nil"/>
            </w:tcBorders>
            <w:noWrap/>
            <w:vAlign w:val="bottom"/>
            <w:hideMark/>
          </w:tcPr>
          <w:p w14:paraId="3843964C" w14:textId="77777777" w:rsidR="006035DB" w:rsidRPr="00F65403" w:rsidRDefault="006035DB" w:rsidP="006035DB">
            <w:pPr>
              <w:spacing w:after="0" w:line="240" w:lineRule="auto"/>
              <w:jc w:val="right"/>
              <w:rPr>
                <w:rFonts w:eastAsia="Times New Roman" w:cs="Arial"/>
                <w:b/>
                <w:color w:val="000000"/>
                <w:sz w:val="20"/>
                <w:szCs w:val="20"/>
                <w:lang w:eastAsia="en-AU"/>
              </w:rPr>
            </w:pPr>
          </w:p>
        </w:tc>
        <w:tc>
          <w:tcPr>
            <w:tcW w:w="796" w:type="pct"/>
            <w:tcBorders>
              <w:top w:val="nil"/>
              <w:left w:val="nil"/>
              <w:bottom w:val="nil"/>
              <w:right w:val="nil"/>
            </w:tcBorders>
            <w:noWrap/>
            <w:vAlign w:val="bottom"/>
            <w:hideMark/>
          </w:tcPr>
          <w:p w14:paraId="07648C7D" w14:textId="77777777" w:rsidR="006035DB" w:rsidRPr="00F65403" w:rsidRDefault="006035DB" w:rsidP="00735E59">
            <w:pPr>
              <w:tabs>
                <w:tab w:val="decimal" w:pos="964"/>
              </w:tabs>
              <w:spacing w:after="0" w:line="240" w:lineRule="auto"/>
              <w:rPr>
                <w:rFonts w:eastAsia="Times New Roman" w:cs="Arial"/>
                <w:sz w:val="20"/>
                <w:szCs w:val="20"/>
                <w:lang w:eastAsia="en-AU"/>
              </w:rPr>
            </w:pPr>
          </w:p>
        </w:tc>
        <w:tc>
          <w:tcPr>
            <w:tcW w:w="797" w:type="pct"/>
            <w:tcBorders>
              <w:top w:val="nil"/>
              <w:left w:val="nil"/>
              <w:bottom w:val="nil"/>
              <w:right w:val="nil"/>
            </w:tcBorders>
            <w:noWrap/>
            <w:vAlign w:val="bottom"/>
            <w:hideMark/>
          </w:tcPr>
          <w:p w14:paraId="376E56BA" w14:textId="77777777" w:rsidR="006035DB" w:rsidRPr="00F65403" w:rsidRDefault="006035DB" w:rsidP="00735E59">
            <w:pPr>
              <w:tabs>
                <w:tab w:val="decimal" w:pos="964"/>
              </w:tabs>
              <w:spacing w:after="0" w:line="240" w:lineRule="auto"/>
              <w:rPr>
                <w:rFonts w:eastAsia="Times New Roman" w:cs="Arial"/>
                <w:sz w:val="20"/>
                <w:szCs w:val="20"/>
                <w:lang w:eastAsia="en-AU"/>
              </w:rPr>
            </w:pPr>
          </w:p>
        </w:tc>
        <w:tc>
          <w:tcPr>
            <w:tcW w:w="797" w:type="pct"/>
            <w:tcBorders>
              <w:top w:val="nil"/>
              <w:left w:val="nil"/>
              <w:bottom w:val="nil"/>
              <w:right w:val="nil"/>
            </w:tcBorders>
            <w:noWrap/>
            <w:vAlign w:val="bottom"/>
            <w:hideMark/>
          </w:tcPr>
          <w:p w14:paraId="1F01E3B5" w14:textId="77777777" w:rsidR="006035DB" w:rsidRPr="00F65403" w:rsidRDefault="006035DB" w:rsidP="00735E59">
            <w:pPr>
              <w:tabs>
                <w:tab w:val="decimal" w:pos="964"/>
              </w:tabs>
              <w:spacing w:after="0" w:line="240" w:lineRule="auto"/>
              <w:rPr>
                <w:rFonts w:eastAsia="Times New Roman" w:cs="Arial"/>
                <w:sz w:val="20"/>
                <w:szCs w:val="20"/>
                <w:lang w:eastAsia="en-AU"/>
              </w:rPr>
            </w:pPr>
          </w:p>
        </w:tc>
        <w:tc>
          <w:tcPr>
            <w:tcW w:w="796" w:type="pct"/>
            <w:tcBorders>
              <w:top w:val="nil"/>
              <w:left w:val="nil"/>
              <w:bottom w:val="nil"/>
              <w:right w:val="nil"/>
            </w:tcBorders>
            <w:noWrap/>
            <w:vAlign w:val="bottom"/>
            <w:hideMark/>
          </w:tcPr>
          <w:p w14:paraId="26894AD5" w14:textId="77777777" w:rsidR="006035DB" w:rsidRPr="00F65403" w:rsidRDefault="006035DB" w:rsidP="00735E59">
            <w:pPr>
              <w:tabs>
                <w:tab w:val="decimal" w:pos="964"/>
              </w:tabs>
              <w:spacing w:after="0" w:line="240" w:lineRule="auto"/>
              <w:rPr>
                <w:rFonts w:eastAsia="Times New Roman" w:cs="Arial"/>
                <w:sz w:val="20"/>
                <w:szCs w:val="20"/>
                <w:lang w:eastAsia="en-AU"/>
              </w:rPr>
            </w:pPr>
          </w:p>
        </w:tc>
      </w:tr>
      <w:tr w:rsidR="006035DB" w:rsidRPr="006035DB" w14:paraId="06786410" w14:textId="77777777" w:rsidTr="413EB596">
        <w:tc>
          <w:tcPr>
            <w:tcW w:w="1814" w:type="pct"/>
            <w:tcBorders>
              <w:top w:val="nil"/>
              <w:left w:val="nil"/>
              <w:bottom w:val="nil"/>
              <w:right w:val="nil"/>
            </w:tcBorders>
            <w:noWrap/>
            <w:vAlign w:val="bottom"/>
            <w:hideMark/>
          </w:tcPr>
          <w:p w14:paraId="6EA5B352" w14:textId="77777777" w:rsidR="006035DB" w:rsidRPr="00F65403" w:rsidRDefault="006035DB" w:rsidP="006035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796" w:type="pct"/>
            <w:tcBorders>
              <w:top w:val="nil"/>
              <w:left w:val="nil"/>
              <w:bottom w:val="nil"/>
              <w:right w:val="nil"/>
            </w:tcBorders>
            <w:noWrap/>
            <w:vAlign w:val="bottom"/>
            <w:hideMark/>
          </w:tcPr>
          <w:p w14:paraId="753140C3" w14:textId="464C4AE1" w:rsidR="006035DB" w:rsidRPr="00F65403" w:rsidRDefault="00FB308D" w:rsidP="00735E59">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797" w:type="pct"/>
            <w:tcBorders>
              <w:top w:val="nil"/>
              <w:left w:val="nil"/>
              <w:bottom w:val="nil"/>
              <w:right w:val="nil"/>
            </w:tcBorders>
            <w:noWrap/>
            <w:vAlign w:val="bottom"/>
            <w:hideMark/>
          </w:tcPr>
          <w:p w14:paraId="7D8E62A3" w14:textId="5E61EEA9" w:rsidR="006035DB" w:rsidRPr="00F65403" w:rsidRDefault="000E1E73" w:rsidP="00735E59">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(284)</w:t>
            </w:r>
          </w:p>
        </w:tc>
        <w:tc>
          <w:tcPr>
            <w:tcW w:w="797" w:type="pct"/>
            <w:tcBorders>
              <w:top w:val="nil"/>
              <w:left w:val="nil"/>
              <w:bottom w:val="nil"/>
              <w:right w:val="nil"/>
            </w:tcBorders>
            <w:noWrap/>
            <w:vAlign w:val="bottom"/>
            <w:hideMark/>
          </w:tcPr>
          <w:p w14:paraId="5A6AF356" w14:textId="159A4718" w:rsidR="006035DB" w:rsidRPr="00F65403" w:rsidRDefault="00242FF7" w:rsidP="00735E59">
            <w:pPr>
              <w:tabs>
                <w:tab w:val="decimal" w:pos="964"/>
              </w:tabs>
              <w:spacing w:after="0" w:line="240" w:lineRule="auto"/>
              <w:rPr>
                <w:rFonts w:eastAsia="Times New Roman" w:cs="Arial"/>
                <w:sz w:val="20"/>
                <w:szCs w:val="20"/>
                <w:lang w:eastAsia="en-AU"/>
              </w:rPr>
            </w:pPr>
            <w:r w:rsidRPr="49BCD735">
              <w:rPr>
                <w:rFonts w:eastAsia="Times New Roman" w:cs="Arial"/>
                <w:sz w:val="20"/>
                <w:szCs w:val="20"/>
                <w:lang w:eastAsia="en-AU"/>
              </w:rPr>
              <w:t>9,50</w:t>
            </w:r>
            <w:r w:rsidR="00E21B81" w:rsidRPr="49BCD735">
              <w:rPr>
                <w:rFonts w:eastAsia="Times New Roman" w:cs="Arial"/>
                <w:sz w:val="20"/>
                <w:szCs w:val="20"/>
                <w:lang w:eastAsia="en-AU"/>
              </w:rPr>
              <w:t>3</w:t>
            </w:r>
          </w:p>
        </w:tc>
        <w:tc>
          <w:tcPr>
            <w:tcW w:w="796" w:type="pct"/>
            <w:tcBorders>
              <w:top w:val="nil"/>
              <w:left w:val="nil"/>
              <w:bottom w:val="nil"/>
              <w:right w:val="nil"/>
            </w:tcBorders>
            <w:noWrap/>
            <w:vAlign w:val="bottom"/>
            <w:hideMark/>
          </w:tcPr>
          <w:p w14:paraId="54060847" w14:textId="5058F138" w:rsidR="006035DB" w:rsidRPr="00F65403" w:rsidRDefault="00780E96" w:rsidP="00735E59">
            <w:pPr>
              <w:tabs>
                <w:tab w:val="decimal" w:pos="964"/>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9,2</w:t>
            </w:r>
            <w:r w:rsidR="00E21B81" w:rsidRPr="49BCD735">
              <w:rPr>
                <w:rFonts w:eastAsia="Times New Roman" w:cs="Arial"/>
                <w:color w:val="000000" w:themeColor="text1"/>
                <w:sz w:val="20"/>
                <w:szCs w:val="20"/>
                <w:lang w:eastAsia="en-AU"/>
              </w:rPr>
              <w:t>19</w:t>
            </w:r>
          </w:p>
        </w:tc>
      </w:tr>
      <w:tr w:rsidR="00780E96" w:rsidRPr="006035DB" w14:paraId="23E45250" w14:textId="77777777" w:rsidTr="413EB596">
        <w:tc>
          <w:tcPr>
            <w:tcW w:w="1814" w:type="pct"/>
            <w:tcBorders>
              <w:top w:val="nil"/>
              <w:left w:val="nil"/>
              <w:bottom w:val="nil"/>
              <w:right w:val="nil"/>
            </w:tcBorders>
            <w:noWrap/>
            <w:vAlign w:val="bottom"/>
            <w:hideMark/>
          </w:tcPr>
          <w:p w14:paraId="53A36C3D" w14:textId="77777777" w:rsidR="00780E96" w:rsidRPr="00E326C0" w:rsidRDefault="00780E96" w:rsidP="00780E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p>
        </w:tc>
        <w:tc>
          <w:tcPr>
            <w:tcW w:w="796" w:type="pct"/>
            <w:tcBorders>
              <w:top w:val="single" w:sz="4" w:space="0" w:color="auto"/>
              <w:left w:val="nil"/>
              <w:bottom w:val="single" w:sz="4" w:space="0" w:color="auto"/>
              <w:right w:val="nil"/>
            </w:tcBorders>
            <w:noWrap/>
            <w:vAlign w:val="bottom"/>
            <w:hideMark/>
          </w:tcPr>
          <w:p w14:paraId="1D313382" w14:textId="6F8178A6" w:rsidR="00780E96" w:rsidRPr="00F65403" w:rsidRDefault="00780E96" w:rsidP="00780E96">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97" w:type="pct"/>
            <w:tcBorders>
              <w:top w:val="single" w:sz="4" w:space="0" w:color="auto"/>
              <w:left w:val="nil"/>
              <w:bottom w:val="single" w:sz="4" w:space="0" w:color="auto"/>
              <w:right w:val="nil"/>
            </w:tcBorders>
            <w:noWrap/>
            <w:vAlign w:val="bottom"/>
            <w:hideMark/>
          </w:tcPr>
          <w:p w14:paraId="0391CB36" w14:textId="29424FC7" w:rsidR="00780E96" w:rsidRPr="00780E96" w:rsidRDefault="000E1E73" w:rsidP="00780E96">
            <w:pPr>
              <w:tabs>
                <w:tab w:val="decimal" w:pos="964"/>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(284)</w:t>
            </w:r>
          </w:p>
        </w:tc>
        <w:tc>
          <w:tcPr>
            <w:tcW w:w="797" w:type="pct"/>
            <w:tcBorders>
              <w:top w:val="single" w:sz="4" w:space="0" w:color="auto"/>
              <w:left w:val="nil"/>
              <w:bottom w:val="single" w:sz="4" w:space="0" w:color="auto"/>
              <w:right w:val="nil"/>
            </w:tcBorders>
            <w:noWrap/>
            <w:vAlign w:val="bottom"/>
            <w:hideMark/>
          </w:tcPr>
          <w:p w14:paraId="0B2D86F3" w14:textId="19EF109D" w:rsidR="00780E96" w:rsidRPr="00780E96" w:rsidRDefault="00242FF7" w:rsidP="00780E96">
            <w:pPr>
              <w:tabs>
                <w:tab w:val="decimal" w:pos="964"/>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9,50</w:t>
            </w:r>
            <w:r w:rsidR="00E21B81" w:rsidRPr="49BCD735">
              <w:rPr>
                <w:rFonts w:eastAsia="Times New Roman" w:cs="Arial"/>
                <w:b/>
                <w:bCs/>
                <w:color w:val="000000" w:themeColor="text1"/>
                <w:sz w:val="20"/>
                <w:szCs w:val="20"/>
                <w:lang w:eastAsia="en-AU"/>
              </w:rPr>
              <w:t>3</w:t>
            </w:r>
          </w:p>
        </w:tc>
        <w:tc>
          <w:tcPr>
            <w:tcW w:w="796" w:type="pct"/>
            <w:tcBorders>
              <w:top w:val="single" w:sz="4" w:space="0" w:color="auto"/>
              <w:left w:val="nil"/>
              <w:bottom w:val="single" w:sz="4" w:space="0" w:color="auto"/>
              <w:right w:val="nil"/>
            </w:tcBorders>
            <w:noWrap/>
            <w:vAlign w:val="bottom"/>
            <w:hideMark/>
          </w:tcPr>
          <w:p w14:paraId="6C9ED1D2" w14:textId="65CE34EC" w:rsidR="00780E96" w:rsidRPr="00780E96" w:rsidRDefault="00780E96" w:rsidP="00780E96">
            <w:pPr>
              <w:tabs>
                <w:tab w:val="decimal" w:pos="964"/>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9,2</w:t>
            </w:r>
            <w:r w:rsidR="00E21B81" w:rsidRPr="49BCD735">
              <w:rPr>
                <w:rFonts w:eastAsia="Times New Roman" w:cs="Arial"/>
                <w:b/>
                <w:bCs/>
                <w:color w:val="000000" w:themeColor="text1"/>
                <w:sz w:val="20"/>
                <w:szCs w:val="20"/>
                <w:lang w:eastAsia="en-AU"/>
              </w:rPr>
              <w:t>19</w:t>
            </w:r>
          </w:p>
        </w:tc>
      </w:tr>
    </w:tbl>
    <w:p w14:paraId="10CA343F" w14:textId="77777777" w:rsidR="00A23D12" w:rsidRPr="00F65403" w:rsidRDefault="00A23D12" w:rsidP="00B94E93">
      <w:pPr>
        <w:pStyle w:val="BodyText"/>
        <w:rPr>
          <w:lang w:val="en-AU"/>
        </w:rPr>
      </w:pPr>
    </w:p>
    <w:p w14:paraId="40D37CA2" w14:textId="7B6BBF61" w:rsidR="004A1F3C" w:rsidRPr="00F65403" w:rsidRDefault="00F26554" w:rsidP="005308EF">
      <w:pPr>
        <w:pStyle w:val="BodyText"/>
        <w:rPr>
          <w:rFonts w:eastAsiaTheme="majorEastAsia" w:cstheme="majorBidi"/>
          <w:lang w:val="en-AU"/>
        </w:rPr>
      </w:pPr>
      <w:r w:rsidRPr="00F65403">
        <w:rPr>
          <w:lang w:val="en-AU"/>
        </w:rPr>
        <w:t>No comparative has been prepared as there were no liabilities from financial activities noted in the prior year.</w:t>
      </w:r>
      <w:r w:rsidR="004A1F3C" w:rsidRPr="00F65403">
        <w:rPr>
          <w:lang w:val="en-AU"/>
        </w:rPr>
        <w:br w:type="page"/>
      </w:r>
    </w:p>
    <w:p w14:paraId="6C7E193F" w14:textId="3E042A31" w:rsidR="001D6BB3" w:rsidRPr="00F65403" w:rsidRDefault="00F26554" w:rsidP="004A1F3C">
      <w:pPr>
        <w:pStyle w:val="Heading7"/>
      </w:pPr>
      <w:r w:rsidRPr="00F65403">
        <w:t>Property, plant and equipment</w:t>
      </w:r>
    </w:p>
    <w:tbl>
      <w:tblPr>
        <w:tblW w:w="4999" w:type="pct"/>
        <w:tblLayout w:type="fixed"/>
        <w:tblCellMar>
          <w:top w:w="28" w:type="dxa"/>
          <w:left w:w="28" w:type="dxa"/>
          <w:bottom w:w="28" w:type="dxa"/>
          <w:right w:w="28" w:type="dxa"/>
        </w:tblCellMar>
        <w:tblLook w:val="04A0" w:firstRow="1" w:lastRow="0" w:firstColumn="1" w:lastColumn="0" w:noHBand="0" w:noVBand="1"/>
      </w:tblPr>
      <w:tblGrid>
        <w:gridCol w:w="2408"/>
        <w:gridCol w:w="1103"/>
        <w:gridCol w:w="1103"/>
        <w:gridCol w:w="1103"/>
        <w:gridCol w:w="1103"/>
        <w:gridCol w:w="1103"/>
        <w:gridCol w:w="1101"/>
      </w:tblGrid>
      <w:tr w:rsidR="00F641FC" w:rsidRPr="007518CE" w14:paraId="684B4267" w14:textId="77777777" w:rsidTr="009B0CD8">
        <w:tc>
          <w:tcPr>
            <w:tcW w:w="1334" w:type="pct"/>
            <w:tcBorders>
              <w:top w:val="nil"/>
              <w:left w:val="nil"/>
              <w:bottom w:val="nil"/>
              <w:right w:val="nil"/>
            </w:tcBorders>
            <w:noWrap/>
            <w:vAlign w:val="bottom"/>
            <w:hideMark/>
          </w:tcPr>
          <w:p w14:paraId="1FC9B92E" w14:textId="77777777" w:rsidR="00F641FC" w:rsidRPr="00F65403" w:rsidRDefault="00F641FC">
            <w:pPr>
              <w:spacing w:after="0" w:line="240" w:lineRule="auto"/>
              <w:rPr>
                <w:rFonts w:eastAsia="Times New Roman" w:cs="Arial"/>
                <w:sz w:val="20"/>
                <w:szCs w:val="20"/>
                <w:lang w:eastAsia="en-AU"/>
              </w:rPr>
            </w:pPr>
          </w:p>
        </w:tc>
        <w:tc>
          <w:tcPr>
            <w:tcW w:w="1222" w:type="pct"/>
            <w:gridSpan w:val="2"/>
            <w:tcBorders>
              <w:top w:val="nil"/>
              <w:left w:val="nil"/>
              <w:bottom w:val="nil"/>
              <w:right w:val="nil"/>
            </w:tcBorders>
            <w:noWrap/>
            <w:vAlign w:val="bottom"/>
            <w:hideMark/>
          </w:tcPr>
          <w:p w14:paraId="18D1CEFD" w14:textId="4F103EB8"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Gross carrying amount</w:t>
            </w:r>
          </w:p>
        </w:tc>
        <w:tc>
          <w:tcPr>
            <w:tcW w:w="1222" w:type="pct"/>
            <w:gridSpan w:val="2"/>
            <w:tcBorders>
              <w:top w:val="nil"/>
              <w:left w:val="nil"/>
              <w:bottom w:val="nil"/>
              <w:right w:val="nil"/>
            </w:tcBorders>
            <w:vAlign w:val="bottom"/>
            <w:hideMark/>
          </w:tcPr>
          <w:p w14:paraId="43FE7901"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Accumulated depreciation</w:t>
            </w:r>
          </w:p>
        </w:tc>
        <w:tc>
          <w:tcPr>
            <w:tcW w:w="1221" w:type="pct"/>
            <w:gridSpan w:val="2"/>
            <w:tcBorders>
              <w:top w:val="nil"/>
              <w:left w:val="nil"/>
              <w:bottom w:val="nil"/>
              <w:right w:val="nil"/>
            </w:tcBorders>
            <w:vAlign w:val="bottom"/>
            <w:hideMark/>
          </w:tcPr>
          <w:p w14:paraId="147504F1"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Net carrying amount</w:t>
            </w:r>
          </w:p>
        </w:tc>
      </w:tr>
      <w:tr w:rsidR="00F641FC" w:rsidRPr="007518CE" w14:paraId="79A3F4A9" w14:textId="77777777" w:rsidTr="009B0CD8">
        <w:tc>
          <w:tcPr>
            <w:tcW w:w="1334" w:type="pct"/>
            <w:tcBorders>
              <w:top w:val="nil"/>
              <w:left w:val="nil"/>
              <w:bottom w:val="nil"/>
              <w:right w:val="nil"/>
            </w:tcBorders>
            <w:noWrap/>
            <w:vAlign w:val="bottom"/>
            <w:hideMark/>
          </w:tcPr>
          <w:p w14:paraId="2A3F53BE" w14:textId="77777777" w:rsidR="00F641FC" w:rsidRPr="00F65403" w:rsidRDefault="00F641FC">
            <w:pPr>
              <w:spacing w:after="0" w:line="240" w:lineRule="auto"/>
              <w:jc w:val="center"/>
              <w:rPr>
                <w:rFonts w:eastAsia="Times New Roman" w:cs="Arial"/>
                <w:sz w:val="20"/>
                <w:szCs w:val="20"/>
                <w:lang w:eastAsia="en-AU"/>
              </w:rPr>
            </w:pPr>
          </w:p>
        </w:tc>
        <w:tc>
          <w:tcPr>
            <w:tcW w:w="611" w:type="pct"/>
            <w:tcBorders>
              <w:top w:val="nil"/>
              <w:left w:val="nil"/>
              <w:bottom w:val="nil"/>
              <w:right w:val="nil"/>
            </w:tcBorders>
            <w:noWrap/>
            <w:hideMark/>
          </w:tcPr>
          <w:p w14:paraId="5A7C7032"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1" w:type="pct"/>
            <w:tcBorders>
              <w:top w:val="nil"/>
              <w:left w:val="nil"/>
              <w:bottom w:val="nil"/>
              <w:right w:val="nil"/>
            </w:tcBorders>
            <w:noWrap/>
            <w:hideMark/>
          </w:tcPr>
          <w:p w14:paraId="72E915A3"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11" w:type="pct"/>
            <w:tcBorders>
              <w:top w:val="nil"/>
              <w:left w:val="nil"/>
              <w:bottom w:val="nil"/>
              <w:right w:val="nil"/>
            </w:tcBorders>
            <w:noWrap/>
            <w:hideMark/>
          </w:tcPr>
          <w:p w14:paraId="72F0087F"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1" w:type="pct"/>
            <w:tcBorders>
              <w:top w:val="nil"/>
              <w:left w:val="nil"/>
              <w:bottom w:val="nil"/>
              <w:right w:val="nil"/>
            </w:tcBorders>
            <w:hideMark/>
          </w:tcPr>
          <w:p w14:paraId="7D82DAC2"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11" w:type="pct"/>
            <w:tcBorders>
              <w:top w:val="nil"/>
              <w:left w:val="nil"/>
              <w:bottom w:val="nil"/>
              <w:right w:val="nil"/>
            </w:tcBorders>
            <w:hideMark/>
          </w:tcPr>
          <w:p w14:paraId="200F309A"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0" w:type="pct"/>
            <w:tcBorders>
              <w:top w:val="nil"/>
              <w:left w:val="nil"/>
              <w:bottom w:val="nil"/>
              <w:right w:val="nil"/>
            </w:tcBorders>
            <w:noWrap/>
            <w:hideMark/>
          </w:tcPr>
          <w:p w14:paraId="01C83B9F"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F641FC" w:rsidRPr="007518CE" w14:paraId="5E64AE73" w14:textId="77777777" w:rsidTr="009B0CD8">
        <w:tc>
          <w:tcPr>
            <w:tcW w:w="1334" w:type="pct"/>
            <w:tcBorders>
              <w:top w:val="nil"/>
              <w:left w:val="nil"/>
              <w:bottom w:val="nil"/>
              <w:right w:val="nil"/>
            </w:tcBorders>
            <w:noWrap/>
            <w:vAlign w:val="bottom"/>
            <w:hideMark/>
          </w:tcPr>
          <w:p w14:paraId="21EDF68D" w14:textId="77777777" w:rsidR="00F641FC" w:rsidRPr="00F65403" w:rsidRDefault="00F641FC">
            <w:pPr>
              <w:spacing w:after="0" w:line="240" w:lineRule="auto"/>
              <w:jc w:val="right"/>
              <w:rPr>
                <w:rFonts w:eastAsia="Times New Roman" w:cs="Arial"/>
                <w:b/>
                <w:color w:val="000000"/>
                <w:sz w:val="20"/>
                <w:szCs w:val="20"/>
                <w:lang w:eastAsia="en-AU"/>
              </w:rPr>
            </w:pPr>
          </w:p>
        </w:tc>
        <w:tc>
          <w:tcPr>
            <w:tcW w:w="611" w:type="pct"/>
            <w:tcBorders>
              <w:top w:val="nil"/>
              <w:left w:val="nil"/>
              <w:right w:val="nil"/>
            </w:tcBorders>
            <w:noWrap/>
            <w:hideMark/>
          </w:tcPr>
          <w:p w14:paraId="41185311"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5D3796D4"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38A2332F"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419268B1"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28C7273E"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0" w:type="pct"/>
            <w:tcBorders>
              <w:top w:val="nil"/>
              <w:left w:val="nil"/>
              <w:right w:val="nil"/>
            </w:tcBorders>
            <w:noWrap/>
            <w:hideMark/>
          </w:tcPr>
          <w:p w14:paraId="7B39404C" w14:textId="77777777" w:rsidR="00F641FC" w:rsidRPr="00F65403" w:rsidRDefault="00F641F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F641FC" w:rsidRPr="007518CE" w14:paraId="27746E74" w14:textId="77777777" w:rsidTr="009B0CD8">
        <w:tc>
          <w:tcPr>
            <w:tcW w:w="1334" w:type="pct"/>
            <w:tcBorders>
              <w:top w:val="nil"/>
              <w:left w:val="nil"/>
              <w:bottom w:val="nil"/>
              <w:right w:val="nil"/>
            </w:tcBorders>
            <w:noWrap/>
            <w:vAlign w:val="bottom"/>
          </w:tcPr>
          <w:p w14:paraId="578561F2" w14:textId="1CA8F113" w:rsidR="00F641FC" w:rsidRPr="00F65403" w:rsidRDefault="00E7341F">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At cost</w:t>
            </w:r>
          </w:p>
        </w:tc>
        <w:tc>
          <w:tcPr>
            <w:tcW w:w="611" w:type="pct"/>
            <w:tcBorders>
              <w:top w:val="nil"/>
              <w:left w:val="nil"/>
              <w:right w:val="nil"/>
            </w:tcBorders>
            <w:noWrap/>
            <w:vAlign w:val="bottom"/>
          </w:tcPr>
          <w:p w14:paraId="330B5788"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5529D558"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40EA821C"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7F8E50A6"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11B8E067"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c>
          <w:tcPr>
            <w:tcW w:w="610" w:type="pct"/>
            <w:tcBorders>
              <w:top w:val="nil"/>
              <w:left w:val="nil"/>
              <w:right w:val="nil"/>
            </w:tcBorders>
            <w:noWrap/>
            <w:vAlign w:val="bottom"/>
          </w:tcPr>
          <w:p w14:paraId="7C8578B3" w14:textId="77777777" w:rsidR="00F641FC" w:rsidRPr="00F65403" w:rsidRDefault="00F641FC" w:rsidP="008E2F6D">
            <w:pPr>
              <w:tabs>
                <w:tab w:val="decimal" w:pos="960"/>
              </w:tabs>
              <w:spacing w:after="0" w:line="240" w:lineRule="auto"/>
              <w:rPr>
                <w:rFonts w:eastAsia="Times New Roman" w:cs="Arial"/>
                <w:color w:val="000000"/>
                <w:sz w:val="20"/>
                <w:szCs w:val="20"/>
                <w:lang w:eastAsia="en-AU"/>
              </w:rPr>
            </w:pPr>
          </w:p>
        </w:tc>
      </w:tr>
      <w:tr w:rsidR="00F641FC" w:rsidRPr="007518CE" w14:paraId="199CA6ED" w14:textId="77777777" w:rsidTr="009B0CD8">
        <w:tc>
          <w:tcPr>
            <w:tcW w:w="1334" w:type="pct"/>
            <w:tcBorders>
              <w:top w:val="nil"/>
              <w:left w:val="nil"/>
              <w:bottom w:val="nil"/>
              <w:right w:val="nil"/>
            </w:tcBorders>
            <w:noWrap/>
            <w:vAlign w:val="bottom"/>
            <w:hideMark/>
          </w:tcPr>
          <w:p w14:paraId="38BE22B2" w14:textId="3D42EDAA" w:rsidR="00F641FC" w:rsidRPr="00F65403" w:rsidRDefault="00F641F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Assets under construction</w:t>
            </w:r>
          </w:p>
        </w:tc>
        <w:tc>
          <w:tcPr>
            <w:tcW w:w="611" w:type="pct"/>
            <w:tcBorders>
              <w:left w:val="nil"/>
              <w:right w:val="nil"/>
            </w:tcBorders>
            <w:noWrap/>
            <w:vAlign w:val="bottom"/>
            <w:hideMark/>
          </w:tcPr>
          <w:p w14:paraId="7145D63C" w14:textId="62308A21"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96,420 </w:t>
            </w:r>
          </w:p>
        </w:tc>
        <w:tc>
          <w:tcPr>
            <w:tcW w:w="611" w:type="pct"/>
            <w:tcBorders>
              <w:left w:val="nil"/>
              <w:right w:val="nil"/>
            </w:tcBorders>
            <w:noWrap/>
            <w:vAlign w:val="bottom"/>
            <w:hideMark/>
          </w:tcPr>
          <w:p w14:paraId="1F38B841" w14:textId="683E7B34"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5E016436" w14:textId="40095F45"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766E5A35" w14:textId="4298AAB0"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0287A75B" w14:textId="75D90CDB"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96,420 </w:t>
            </w:r>
          </w:p>
        </w:tc>
        <w:tc>
          <w:tcPr>
            <w:tcW w:w="610" w:type="pct"/>
            <w:tcBorders>
              <w:left w:val="nil"/>
              <w:right w:val="nil"/>
            </w:tcBorders>
            <w:noWrap/>
            <w:vAlign w:val="bottom"/>
            <w:hideMark/>
          </w:tcPr>
          <w:p w14:paraId="292C0A87" w14:textId="22CF357B" w:rsidR="00F641FC" w:rsidRPr="00F65403" w:rsidRDefault="00AC6875"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E7341F" w:rsidRPr="007518CE" w14:paraId="04AB7D64" w14:textId="77777777" w:rsidTr="009B0CD8">
        <w:tc>
          <w:tcPr>
            <w:tcW w:w="1334" w:type="pct"/>
            <w:tcBorders>
              <w:top w:val="nil"/>
              <w:left w:val="nil"/>
              <w:bottom w:val="nil"/>
              <w:right w:val="nil"/>
            </w:tcBorders>
            <w:noWrap/>
            <w:vAlign w:val="bottom"/>
          </w:tcPr>
          <w:p w14:paraId="67DD4C31" w14:textId="54D4F797" w:rsidR="00E7341F" w:rsidRPr="00F65403" w:rsidRDefault="00E7341F">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At fair value</w:t>
            </w:r>
          </w:p>
        </w:tc>
        <w:tc>
          <w:tcPr>
            <w:tcW w:w="611" w:type="pct"/>
            <w:tcBorders>
              <w:left w:val="nil"/>
              <w:right w:val="nil"/>
            </w:tcBorders>
            <w:noWrap/>
            <w:vAlign w:val="bottom"/>
          </w:tcPr>
          <w:p w14:paraId="2FC0ECD0"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1749A874"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7FD02927"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6FC7B427"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5B572717"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c>
          <w:tcPr>
            <w:tcW w:w="610" w:type="pct"/>
            <w:tcBorders>
              <w:left w:val="nil"/>
              <w:right w:val="nil"/>
            </w:tcBorders>
            <w:noWrap/>
            <w:vAlign w:val="bottom"/>
          </w:tcPr>
          <w:p w14:paraId="39837EFD" w14:textId="77777777" w:rsidR="00E7341F" w:rsidRPr="00F65403" w:rsidRDefault="00E7341F" w:rsidP="008E2F6D">
            <w:pPr>
              <w:tabs>
                <w:tab w:val="decimal" w:pos="960"/>
              </w:tabs>
              <w:spacing w:after="0" w:line="240" w:lineRule="auto"/>
              <w:rPr>
                <w:rFonts w:eastAsia="Times New Roman" w:cs="Arial"/>
                <w:color w:val="000000"/>
                <w:sz w:val="20"/>
                <w:szCs w:val="20"/>
                <w:lang w:eastAsia="en-AU"/>
              </w:rPr>
            </w:pPr>
          </w:p>
        </w:tc>
      </w:tr>
      <w:tr w:rsidR="00020C57" w:rsidRPr="007518CE" w14:paraId="006F07F0" w14:textId="77777777" w:rsidTr="009B0CD8">
        <w:tc>
          <w:tcPr>
            <w:tcW w:w="1334" w:type="pct"/>
            <w:tcBorders>
              <w:top w:val="nil"/>
              <w:left w:val="nil"/>
              <w:bottom w:val="nil"/>
              <w:right w:val="nil"/>
            </w:tcBorders>
            <w:noWrap/>
            <w:vAlign w:val="bottom"/>
          </w:tcPr>
          <w:p w14:paraId="6DCB13CA" w14:textId="22538F81" w:rsidR="00020C57" w:rsidRPr="00F65403" w:rsidRDefault="00020C57" w:rsidP="00E7341F">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Leasehold improvements</w:t>
            </w:r>
          </w:p>
        </w:tc>
        <w:tc>
          <w:tcPr>
            <w:tcW w:w="611" w:type="pct"/>
            <w:tcBorders>
              <w:left w:val="nil"/>
              <w:right w:val="nil"/>
            </w:tcBorders>
            <w:noWrap/>
            <w:vAlign w:val="bottom"/>
          </w:tcPr>
          <w:p w14:paraId="22C32C36" w14:textId="7DB1BBDC"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372 </w:t>
            </w:r>
          </w:p>
        </w:tc>
        <w:tc>
          <w:tcPr>
            <w:tcW w:w="611" w:type="pct"/>
            <w:tcBorders>
              <w:left w:val="nil"/>
              <w:right w:val="nil"/>
            </w:tcBorders>
            <w:noWrap/>
            <w:vAlign w:val="bottom"/>
          </w:tcPr>
          <w:p w14:paraId="3483E8F6" w14:textId="02437658"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tcPr>
          <w:p w14:paraId="438CFAEF" w14:textId="2D669535"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(2)</w:t>
            </w:r>
          </w:p>
        </w:tc>
        <w:tc>
          <w:tcPr>
            <w:tcW w:w="611" w:type="pct"/>
            <w:tcBorders>
              <w:left w:val="nil"/>
              <w:right w:val="nil"/>
            </w:tcBorders>
            <w:noWrap/>
            <w:vAlign w:val="bottom"/>
          </w:tcPr>
          <w:p w14:paraId="12838D4D" w14:textId="711FCC75"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tcPr>
          <w:p w14:paraId="5BD07AB8" w14:textId="5081A866"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370 </w:t>
            </w:r>
          </w:p>
        </w:tc>
        <w:tc>
          <w:tcPr>
            <w:tcW w:w="610" w:type="pct"/>
            <w:tcBorders>
              <w:left w:val="nil"/>
              <w:right w:val="nil"/>
            </w:tcBorders>
            <w:noWrap/>
            <w:vAlign w:val="bottom"/>
          </w:tcPr>
          <w:p w14:paraId="6800C413" w14:textId="6BF39113" w:rsidR="00020C57"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E7341F" w:rsidRPr="007518CE" w14:paraId="1FD83476" w14:textId="77777777" w:rsidTr="009B0CD8">
        <w:tc>
          <w:tcPr>
            <w:tcW w:w="1334" w:type="pct"/>
            <w:tcBorders>
              <w:top w:val="nil"/>
              <w:left w:val="nil"/>
              <w:bottom w:val="nil"/>
              <w:right w:val="nil"/>
            </w:tcBorders>
            <w:noWrap/>
            <w:vAlign w:val="bottom"/>
          </w:tcPr>
          <w:p w14:paraId="3A0EF31D" w14:textId="11AAFC3D" w:rsidR="00E7341F" w:rsidRPr="00F65403" w:rsidRDefault="0073277B" w:rsidP="00E7341F">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w:t>
            </w:r>
            <w:r w:rsidR="00E7341F" w:rsidRPr="00F65403">
              <w:rPr>
                <w:rFonts w:eastAsia="Times New Roman" w:cs="Arial"/>
                <w:color w:val="000000"/>
                <w:sz w:val="20"/>
                <w:szCs w:val="20"/>
                <w:lang w:eastAsia="en-AU"/>
              </w:rPr>
              <w:t>and</w:t>
            </w:r>
          </w:p>
        </w:tc>
        <w:tc>
          <w:tcPr>
            <w:tcW w:w="611" w:type="pct"/>
            <w:tcBorders>
              <w:left w:val="nil"/>
              <w:right w:val="nil"/>
            </w:tcBorders>
            <w:noWrap/>
            <w:vAlign w:val="bottom"/>
          </w:tcPr>
          <w:p w14:paraId="6A9181FD" w14:textId="04B03D5E"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6,391 </w:t>
            </w:r>
          </w:p>
        </w:tc>
        <w:tc>
          <w:tcPr>
            <w:tcW w:w="611" w:type="pct"/>
            <w:tcBorders>
              <w:left w:val="nil"/>
              <w:right w:val="nil"/>
            </w:tcBorders>
            <w:noWrap/>
            <w:vAlign w:val="bottom"/>
          </w:tcPr>
          <w:p w14:paraId="6B34BAAC" w14:textId="782EF7DE"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tcPr>
          <w:p w14:paraId="60EA4AAC" w14:textId="3CE7ECBF"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(120</w:t>
            </w:r>
            <w:r w:rsidR="00E7341F" w:rsidRPr="00F65403">
              <w:rPr>
                <w:rFonts w:eastAsia="Times New Roman" w:cs="Arial"/>
                <w:color w:val="000000"/>
                <w:sz w:val="20"/>
                <w:szCs w:val="20"/>
                <w:lang w:eastAsia="en-AU"/>
              </w:rPr>
              <w:t>)</w:t>
            </w:r>
          </w:p>
        </w:tc>
        <w:tc>
          <w:tcPr>
            <w:tcW w:w="611" w:type="pct"/>
            <w:tcBorders>
              <w:left w:val="nil"/>
              <w:right w:val="nil"/>
            </w:tcBorders>
            <w:noWrap/>
            <w:vAlign w:val="bottom"/>
          </w:tcPr>
          <w:p w14:paraId="173FA1CC" w14:textId="287220D9"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tcPr>
          <w:p w14:paraId="7F2EC581" w14:textId="3D62E6EB"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6,271 </w:t>
            </w:r>
          </w:p>
        </w:tc>
        <w:tc>
          <w:tcPr>
            <w:tcW w:w="610" w:type="pct"/>
            <w:tcBorders>
              <w:left w:val="nil"/>
              <w:right w:val="nil"/>
            </w:tcBorders>
            <w:noWrap/>
            <w:vAlign w:val="bottom"/>
          </w:tcPr>
          <w:p w14:paraId="405BE11F" w14:textId="1641A728"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E7341F" w:rsidRPr="007518CE" w14:paraId="2C167408" w14:textId="77777777" w:rsidTr="009B0CD8">
        <w:tc>
          <w:tcPr>
            <w:tcW w:w="1334" w:type="pct"/>
            <w:tcBorders>
              <w:top w:val="nil"/>
              <w:left w:val="nil"/>
              <w:bottom w:val="nil"/>
              <w:right w:val="nil"/>
            </w:tcBorders>
            <w:noWrap/>
            <w:vAlign w:val="bottom"/>
          </w:tcPr>
          <w:p w14:paraId="53872B83" w14:textId="0B55415C" w:rsidR="00E7341F" w:rsidRPr="00F65403" w:rsidRDefault="0073277B" w:rsidP="00E7341F">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b</w:t>
            </w:r>
            <w:r w:rsidR="00E7341F" w:rsidRPr="00F65403">
              <w:rPr>
                <w:rFonts w:eastAsia="Times New Roman" w:cs="Arial"/>
                <w:color w:val="000000"/>
                <w:sz w:val="20"/>
                <w:szCs w:val="20"/>
                <w:lang w:eastAsia="en-AU"/>
              </w:rPr>
              <w:t>uildings</w:t>
            </w:r>
          </w:p>
        </w:tc>
        <w:tc>
          <w:tcPr>
            <w:tcW w:w="611" w:type="pct"/>
            <w:tcBorders>
              <w:left w:val="nil"/>
              <w:bottom w:val="single" w:sz="4" w:space="0" w:color="auto"/>
              <w:right w:val="nil"/>
            </w:tcBorders>
            <w:noWrap/>
            <w:vAlign w:val="bottom"/>
          </w:tcPr>
          <w:p w14:paraId="039D1616" w14:textId="7AEF5BB3"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2,762 </w:t>
            </w:r>
          </w:p>
        </w:tc>
        <w:tc>
          <w:tcPr>
            <w:tcW w:w="611" w:type="pct"/>
            <w:tcBorders>
              <w:left w:val="nil"/>
              <w:bottom w:val="single" w:sz="4" w:space="0" w:color="auto"/>
              <w:right w:val="nil"/>
            </w:tcBorders>
            <w:noWrap/>
            <w:vAlign w:val="bottom"/>
          </w:tcPr>
          <w:p w14:paraId="3C650722" w14:textId="4B9DDD49"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bottom w:val="single" w:sz="4" w:space="0" w:color="auto"/>
              <w:right w:val="nil"/>
            </w:tcBorders>
            <w:noWrap/>
            <w:vAlign w:val="bottom"/>
          </w:tcPr>
          <w:p w14:paraId="0ACF8596" w14:textId="023F1A1B"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(42</w:t>
            </w:r>
            <w:r w:rsidR="00E7341F" w:rsidRPr="00F65403">
              <w:rPr>
                <w:rFonts w:eastAsia="Times New Roman" w:cs="Arial"/>
                <w:color w:val="000000"/>
                <w:sz w:val="20"/>
                <w:szCs w:val="20"/>
                <w:lang w:eastAsia="en-AU"/>
              </w:rPr>
              <w:t>)</w:t>
            </w:r>
          </w:p>
        </w:tc>
        <w:tc>
          <w:tcPr>
            <w:tcW w:w="611" w:type="pct"/>
            <w:tcBorders>
              <w:left w:val="nil"/>
              <w:bottom w:val="single" w:sz="4" w:space="0" w:color="auto"/>
              <w:right w:val="nil"/>
            </w:tcBorders>
            <w:noWrap/>
            <w:vAlign w:val="bottom"/>
          </w:tcPr>
          <w:p w14:paraId="564483FD" w14:textId="49D93674"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bottom w:val="single" w:sz="4" w:space="0" w:color="auto"/>
              <w:right w:val="nil"/>
            </w:tcBorders>
            <w:noWrap/>
            <w:vAlign w:val="bottom"/>
          </w:tcPr>
          <w:p w14:paraId="1D88591A" w14:textId="2D0AE646"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2,720 </w:t>
            </w:r>
          </w:p>
        </w:tc>
        <w:tc>
          <w:tcPr>
            <w:tcW w:w="610" w:type="pct"/>
            <w:tcBorders>
              <w:left w:val="nil"/>
              <w:bottom w:val="single" w:sz="4" w:space="0" w:color="auto"/>
              <w:right w:val="nil"/>
            </w:tcBorders>
            <w:noWrap/>
            <w:vAlign w:val="bottom"/>
          </w:tcPr>
          <w:p w14:paraId="12CF0C45" w14:textId="6EA5C758" w:rsidR="00E7341F" w:rsidRPr="00F65403" w:rsidRDefault="007738CA" w:rsidP="008E2F6D">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F641FC" w:rsidRPr="007518CE" w14:paraId="74FBA502" w14:textId="77777777" w:rsidTr="009B0CD8">
        <w:tc>
          <w:tcPr>
            <w:tcW w:w="1334" w:type="pct"/>
            <w:tcBorders>
              <w:top w:val="nil"/>
              <w:left w:val="nil"/>
              <w:bottom w:val="nil"/>
              <w:right w:val="nil"/>
            </w:tcBorders>
            <w:noWrap/>
            <w:vAlign w:val="bottom"/>
            <w:hideMark/>
          </w:tcPr>
          <w:p w14:paraId="29BCA053" w14:textId="77777777" w:rsidR="00F641FC" w:rsidRPr="00F65403" w:rsidRDefault="00F641F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611" w:type="pct"/>
            <w:tcBorders>
              <w:top w:val="nil"/>
              <w:left w:val="nil"/>
              <w:bottom w:val="single" w:sz="4" w:space="0" w:color="auto"/>
              <w:right w:val="nil"/>
            </w:tcBorders>
            <w:noWrap/>
            <w:vAlign w:val="bottom"/>
            <w:hideMark/>
          </w:tcPr>
          <w:p w14:paraId="445F5BE8" w14:textId="528AC75D"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105,945 </w:t>
            </w:r>
          </w:p>
        </w:tc>
        <w:tc>
          <w:tcPr>
            <w:tcW w:w="611" w:type="pct"/>
            <w:tcBorders>
              <w:top w:val="nil"/>
              <w:left w:val="nil"/>
              <w:bottom w:val="single" w:sz="4" w:space="0" w:color="auto"/>
              <w:right w:val="nil"/>
            </w:tcBorders>
            <w:noWrap/>
            <w:vAlign w:val="bottom"/>
            <w:hideMark/>
          </w:tcPr>
          <w:p w14:paraId="19559F43" w14:textId="755DD12B"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c>
          <w:tcPr>
            <w:tcW w:w="611" w:type="pct"/>
            <w:tcBorders>
              <w:top w:val="nil"/>
              <w:left w:val="nil"/>
              <w:bottom w:val="single" w:sz="4" w:space="0" w:color="auto"/>
              <w:right w:val="nil"/>
            </w:tcBorders>
            <w:noWrap/>
            <w:vAlign w:val="bottom"/>
            <w:hideMark/>
          </w:tcPr>
          <w:p w14:paraId="04CB87DD" w14:textId="52FAF0F7"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(164</w:t>
            </w:r>
            <w:r w:rsidR="00084535" w:rsidRPr="00F65403">
              <w:rPr>
                <w:rFonts w:eastAsia="Times New Roman" w:cs="Arial"/>
                <w:b/>
                <w:color w:val="000000"/>
                <w:sz w:val="20"/>
                <w:szCs w:val="20"/>
                <w:lang w:eastAsia="en-AU"/>
              </w:rPr>
              <w:t>)</w:t>
            </w:r>
          </w:p>
        </w:tc>
        <w:tc>
          <w:tcPr>
            <w:tcW w:w="611" w:type="pct"/>
            <w:tcBorders>
              <w:top w:val="nil"/>
              <w:left w:val="nil"/>
              <w:bottom w:val="single" w:sz="4" w:space="0" w:color="auto"/>
              <w:right w:val="nil"/>
            </w:tcBorders>
            <w:noWrap/>
            <w:vAlign w:val="bottom"/>
            <w:hideMark/>
          </w:tcPr>
          <w:p w14:paraId="0F27D772" w14:textId="4638D828"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c>
          <w:tcPr>
            <w:tcW w:w="611" w:type="pct"/>
            <w:tcBorders>
              <w:top w:val="nil"/>
              <w:left w:val="nil"/>
              <w:bottom w:val="single" w:sz="4" w:space="0" w:color="auto"/>
              <w:right w:val="nil"/>
            </w:tcBorders>
            <w:noWrap/>
            <w:vAlign w:val="bottom"/>
            <w:hideMark/>
          </w:tcPr>
          <w:p w14:paraId="0680DFB3" w14:textId="785F45CF"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105,781 </w:t>
            </w:r>
          </w:p>
        </w:tc>
        <w:tc>
          <w:tcPr>
            <w:tcW w:w="610" w:type="pct"/>
            <w:tcBorders>
              <w:top w:val="nil"/>
              <w:left w:val="nil"/>
              <w:bottom w:val="single" w:sz="4" w:space="0" w:color="auto"/>
              <w:right w:val="nil"/>
            </w:tcBorders>
            <w:noWrap/>
            <w:vAlign w:val="bottom"/>
            <w:hideMark/>
          </w:tcPr>
          <w:p w14:paraId="19127ABF" w14:textId="0B0F2B7C" w:rsidR="00F641FC" w:rsidRPr="00F65403" w:rsidRDefault="007738CA" w:rsidP="008E2F6D">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r>
    </w:tbl>
    <w:p w14:paraId="57CB987A" w14:textId="77777777" w:rsidR="00287D6D" w:rsidRPr="00F65403" w:rsidRDefault="00287D6D" w:rsidP="00E7341F">
      <w:pPr>
        <w:pStyle w:val="BodyText"/>
        <w:rPr>
          <w:sz w:val="24"/>
          <w:szCs w:val="24"/>
          <w:lang w:val="en-AU"/>
        </w:rPr>
      </w:pPr>
    </w:p>
    <w:p w14:paraId="42563CEF" w14:textId="24F8DE9B" w:rsidR="00670D8C" w:rsidRPr="00AA3AC5" w:rsidRDefault="009F07B7" w:rsidP="009F07B7">
      <w:pPr>
        <w:pStyle w:val="Heading8"/>
        <w:rPr>
          <w:sz w:val="8"/>
          <w:szCs w:val="10"/>
        </w:rPr>
      </w:pPr>
      <w:proofErr w:type="spellStart"/>
      <w:r>
        <w:t>i</w:t>
      </w:r>
      <w:proofErr w:type="spellEnd"/>
      <w:r>
        <w:t>.</w:t>
      </w:r>
      <w:r>
        <w:tab/>
      </w:r>
      <w:r w:rsidR="00670D8C">
        <w:t>Reconciliation of movements in carrying values of property, plant and equipment</w:t>
      </w:r>
      <w:r w:rsidR="00F041D3">
        <w:br/>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100"/>
        <w:gridCol w:w="652"/>
        <w:gridCol w:w="1303"/>
        <w:gridCol w:w="1540"/>
        <w:gridCol w:w="1148"/>
        <w:gridCol w:w="1148"/>
        <w:gridCol w:w="1135"/>
      </w:tblGrid>
      <w:tr w:rsidR="00BA1520" w:rsidRPr="007518CE" w14:paraId="0F3A2DD9" w14:textId="77777777" w:rsidTr="49BCD735">
        <w:tc>
          <w:tcPr>
            <w:tcW w:w="1163" w:type="pct"/>
            <w:tcBorders>
              <w:top w:val="nil"/>
              <w:left w:val="nil"/>
              <w:bottom w:val="nil"/>
              <w:right w:val="nil"/>
            </w:tcBorders>
            <w:noWrap/>
            <w:vAlign w:val="bottom"/>
            <w:hideMark/>
          </w:tcPr>
          <w:p w14:paraId="33CB84DF" w14:textId="77777777" w:rsidR="006E7DA2" w:rsidRPr="00F65403" w:rsidRDefault="006E7DA2">
            <w:pPr>
              <w:spacing w:after="0" w:line="240" w:lineRule="auto"/>
              <w:jc w:val="center"/>
              <w:rPr>
                <w:rFonts w:eastAsia="Times New Roman" w:cs="Arial"/>
                <w:sz w:val="20"/>
                <w:szCs w:val="20"/>
                <w:lang w:eastAsia="en-AU"/>
              </w:rPr>
            </w:pPr>
          </w:p>
        </w:tc>
        <w:tc>
          <w:tcPr>
            <w:tcW w:w="361" w:type="pct"/>
            <w:tcBorders>
              <w:top w:val="nil"/>
              <w:left w:val="nil"/>
              <w:bottom w:val="nil"/>
              <w:right w:val="nil"/>
            </w:tcBorders>
          </w:tcPr>
          <w:p w14:paraId="597956E9" w14:textId="3B28D859" w:rsidR="00376049" w:rsidRPr="00F65403" w:rsidRDefault="0037604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Note</w:t>
            </w:r>
          </w:p>
        </w:tc>
        <w:tc>
          <w:tcPr>
            <w:tcW w:w="722" w:type="pct"/>
            <w:tcBorders>
              <w:top w:val="nil"/>
              <w:left w:val="nil"/>
              <w:bottom w:val="nil"/>
              <w:right w:val="nil"/>
            </w:tcBorders>
            <w:noWrap/>
            <w:hideMark/>
          </w:tcPr>
          <w:p w14:paraId="21B520CD" w14:textId="75FB68EB" w:rsidR="006E7DA2" w:rsidRPr="00F65403" w:rsidRDefault="006E7DA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Assets under construction</w:t>
            </w:r>
          </w:p>
        </w:tc>
        <w:tc>
          <w:tcPr>
            <w:tcW w:w="853" w:type="pct"/>
            <w:tcBorders>
              <w:top w:val="nil"/>
              <w:left w:val="nil"/>
              <w:bottom w:val="nil"/>
              <w:right w:val="nil"/>
            </w:tcBorders>
          </w:tcPr>
          <w:p w14:paraId="586A82D9" w14:textId="605EC447" w:rsidR="00A264C9" w:rsidRPr="00A264C9" w:rsidRDefault="00A264C9">
            <w:pPr>
              <w:spacing w:after="0" w:line="240" w:lineRule="auto"/>
              <w:jc w:val="center"/>
              <w:rPr>
                <w:rFonts w:eastAsia="Times New Roman" w:cs="Arial"/>
                <w:b/>
                <w:color w:val="000000"/>
                <w:sz w:val="20"/>
                <w:szCs w:val="20"/>
                <w:lang w:eastAsia="en-AU"/>
              </w:rPr>
            </w:pPr>
            <w:r w:rsidRPr="00A264C9">
              <w:rPr>
                <w:rFonts w:eastAsia="Times New Roman" w:cs="Arial"/>
                <w:b/>
                <w:color w:val="000000"/>
                <w:sz w:val="20"/>
                <w:szCs w:val="20"/>
                <w:lang w:eastAsia="en-AU"/>
              </w:rPr>
              <w:t>Leasehold improvements</w:t>
            </w:r>
          </w:p>
        </w:tc>
        <w:tc>
          <w:tcPr>
            <w:tcW w:w="636" w:type="pct"/>
            <w:tcBorders>
              <w:top w:val="nil"/>
              <w:left w:val="nil"/>
              <w:bottom w:val="nil"/>
              <w:right w:val="nil"/>
            </w:tcBorders>
            <w:noWrap/>
          </w:tcPr>
          <w:p w14:paraId="3CB81E62" w14:textId="4F42CAEF" w:rsidR="006E7DA2" w:rsidRPr="00F65403" w:rsidRDefault="006E7DA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w:t>
            </w:r>
            <w:r w:rsidR="00BA1520" w:rsidRPr="00F65403">
              <w:rPr>
                <w:rFonts w:eastAsia="Times New Roman" w:cs="Arial"/>
                <w:b/>
                <w:color w:val="000000"/>
                <w:sz w:val="20"/>
                <w:szCs w:val="20"/>
                <w:lang w:eastAsia="en-AU"/>
              </w:rPr>
              <w:t>-of-use land</w:t>
            </w:r>
          </w:p>
        </w:tc>
        <w:tc>
          <w:tcPr>
            <w:tcW w:w="636" w:type="pct"/>
            <w:tcBorders>
              <w:top w:val="nil"/>
              <w:left w:val="nil"/>
              <w:bottom w:val="nil"/>
              <w:right w:val="nil"/>
            </w:tcBorders>
            <w:noWrap/>
          </w:tcPr>
          <w:p w14:paraId="7E725B22" w14:textId="372AB4C2" w:rsidR="006E7DA2" w:rsidRPr="00F65403" w:rsidRDefault="00BA152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Right-of-use buildings</w:t>
            </w:r>
          </w:p>
        </w:tc>
        <w:tc>
          <w:tcPr>
            <w:tcW w:w="629" w:type="pct"/>
            <w:tcBorders>
              <w:top w:val="nil"/>
              <w:left w:val="nil"/>
              <w:bottom w:val="nil"/>
              <w:right w:val="nil"/>
            </w:tcBorders>
          </w:tcPr>
          <w:p w14:paraId="041F16C6" w14:textId="715D9545" w:rsidR="006E7DA2" w:rsidRPr="00F65403" w:rsidRDefault="00BA152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BA1520" w:rsidRPr="007518CE" w14:paraId="6F8266CF" w14:textId="77777777" w:rsidTr="49BCD735">
        <w:tc>
          <w:tcPr>
            <w:tcW w:w="1163" w:type="pct"/>
            <w:tcBorders>
              <w:top w:val="nil"/>
              <w:left w:val="nil"/>
              <w:bottom w:val="nil"/>
              <w:right w:val="nil"/>
            </w:tcBorders>
            <w:noWrap/>
            <w:vAlign w:val="bottom"/>
            <w:hideMark/>
          </w:tcPr>
          <w:p w14:paraId="45FD992D" w14:textId="77777777" w:rsidR="006E7DA2" w:rsidRPr="00F65403" w:rsidRDefault="006E7DA2">
            <w:pPr>
              <w:spacing w:after="0" w:line="240" w:lineRule="auto"/>
              <w:jc w:val="right"/>
              <w:rPr>
                <w:rFonts w:eastAsia="Times New Roman" w:cs="Arial"/>
                <w:b/>
                <w:color w:val="000000"/>
                <w:sz w:val="20"/>
                <w:szCs w:val="20"/>
                <w:lang w:eastAsia="en-AU"/>
              </w:rPr>
            </w:pPr>
          </w:p>
        </w:tc>
        <w:tc>
          <w:tcPr>
            <w:tcW w:w="361" w:type="pct"/>
            <w:tcBorders>
              <w:top w:val="nil"/>
              <w:left w:val="nil"/>
              <w:right w:val="nil"/>
            </w:tcBorders>
          </w:tcPr>
          <w:p w14:paraId="71CB5632" w14:textId="77777777" w:rsidR="00376049" w:rsidRPr="00F65403" w:rsidRDefault="00376049">
            <w:pPr>
              <w:spacing w:after="0" w:line="240" w:lineRule="auto"/>
              <w:jc w:val="center"/>
              <w:rPr>
                <w:rFonts w:eastAsia="Times New Roman" w:cs="Arial"/>
                <w:b/>
                <w:color w:val="000000"/>
                <w:sz w:val="20"/>
                <w:szCs w:val="20"/>
                <w:lang w:eastAsia="en-AU"/>
              </w:rPr>
            </w:pPr>
          </w:p>
        </w:tc>
        <w:tc>
          <w:tcPr>
            <w:tcW w:w="722" w:type="pct"/>
            <w:tcBorders>
              <w:top w:val="nil"/>
              <w:left w:val="nil"/>
              <w:right w:val="nil"/>
            </w:tcBorders>
            <w:noWrap/>
            <w:hideMark/>
          </w:tcPr>
          <w:p w14:paraId="2CEA27CB" w14:textId="3CF6DBB6" w:rsidR="006E7DA2" w:rsidRPr="00F65403" w:rsidRDefault="0037604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853" w:type="pct"/>
            <w:tcBorders>
              <w:top w:val="nil"/>
              <w:left w:val="nil"/>
              <w:right w:val="nil"/>
            </w:tcBorders>
          </w:tcPr>
          <w:p w14:paraId="2D950E18" w14:textId="38495A4A" w:rsidR="00A264C9" w:rsidRPr="00F65403" w:rsidRDefault="00A264C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36" w:type="pct"/>
            <w:tcBorders>
              <w:top w:val="nil"/>
              <w:left w:val="nil"/>
              <w:right w:val="nil"/>
            </w:tcBorders>
            <w:noWrap/>
            <w:hideMark/>
          </w:tcPr>
          <w:p w14:paraId="2E05656C" w14:textId="6557988D" w:rsidR="006E7DA2" w:rsidRPr="00F65403" w:rsidRDefault="0037604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36" w:type="pct"/>
            <w:tcBorders>
              <w:top w:val="nil"/>
              <w:left w:val="nil"/>
              <w:right w:val="nil"/>
            </w:tcBorders>
            <w:noWrap/>
            <w:hideMark/>
          </w:tcPr>
          <w:p w14:paraId="2010AF70" w14:textId="6C844557" w:rsidR="006E7DA2" w:rsidRPr="00F65403" w:rsidRDefault="0037604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29" w:type="pct"/>
            <w:tcBorders>
              <w:top w:val="nil"/>
              <w:left w:val="nil"/>
              <w:right w:val="nil"/>
            </w:tcBorders>
            <w:noWrap/>
            <w:hideMark/>
          </w:tcPr>
          <w:p w14:paraId="3B270EF0" w14:textId="29651EEE" w:rsidR="006E7DA2" w:rsidRPr="00F65403" w:rsidRDefault="0037604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BA1520" w:rsidRPr="007518CE" w14:paraId="471455F9" w14:textId="77777777" w:rsidTr="49BCD735">
        <w:tc>
          <w:tcPr>
            <w:tcW w:w="1163" w:type="pct"/>
            <w:tcBorders>
              <w:top w:val="nil"/>
              <w:left w:val="nil"/>
              <w:bottom w:val="nil"/>
              <w:right w:val="nil"/>
            </w:tcBorders>
            <w:noWrap/>
            <w:vAlign w:val="bottom"/>
          </w:tcPr>
          <w:p w14:paraId="78AF0FF4" w14:textId="55203E01" w:rsidR="006E7DA2" w:rsidRPr="00F65403" w:rsidRDefault="00C6562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Balance at 1 July 2024</w:t>
            </w:r>
          </w:p>
        </w:tc>
        <w:tc>
          <w:tcPr>
            <w:tcW w:w="361" w:type="pct"/>
            <w:tcBorders>
              <w:top w:val="nil"/>
              <w:left w:val="nil"/>
              <w:right w:val="nil"/>
            </w:tcBorders>
          </w:tcPr>
          <w:p w14:paraId="0186F799" w14:textId="77777777" w:rsidR="00376049" w:rsidRPr="00F65403" w:rsidRDefault="00376049">
            <w:pPr>
              <w:spacing w:after="0" w:line="240" w:lineRule="auto"/>
              <w:jc w:val="center"/>
              <w:rPr>
                <w:rFonts w:eastAsia="Times New Roman" w:cs="Arial"/>
                <w:b/>
                <w:color w:val="000000"/>
                <w:sz w:val="20"/>
                <w:szCs w:val="20"/>
                <w:lang w:eastAsia="en-AU"/>
              </w:rPr>
            </w:pPr>
          </w:p>
        </w:tc>
        <w:tc>
          <w:tcPr>
            <w:tcW w:w="722" w:type="pct"/>
            <w:tcBorders>
              <w:top w:val="nil"/>
              <w:left w:val="nil"/>
              <w:right w:val="nil"/>
            </w:tcBorders>
            <w:noWrap/>
            <w:vAlign w:val="bottom"/>
          </w:tcPr>
          <w:p w14:paraId="6F03EE1C" w14:textId="079A2343" w:rsidR="006E7DA2" w:rsidRPr="00F65403" w:rsidRDefault="00B26963" w:rsidP="00BA1520">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53" w:type="pct"/>
            <w:tcBorders>
              <w:top w:val="nil"/>
              <w:left w:val="nil"/>
              <w:right w:val="nil"/>
            </w:tcBorders>
          </w:tcPr>
          <w:p w14:paraId="385D25AD" w14:textId="61C30E4D" w:rsidR="00A264C9" w:rsidRDefault="00A264C9" w:rsidP="00BA1520">
            <w:pPr>
              <w:tabs>
                <w:tab w:val="decimal" w:pos="1177"/>
              </w:tabs>
              <w:spacing w:after="0" w:line="240" w:lineRule="auto"/>
              <w:rPr>
                <w:rFonts w:eastAsia="Times New Roman" w:cs="Arial"/>
                <w:color w:val="000000"/>
                <w:sz w:val="20"/>
                <w:szCs w:val="20"/>
                <w:lang w:eastAsia="en-AU"/>
              </w:rPr>
            </w:pPr>
            <w:r w:rsidRPr="3411B552">
              <w:rPr>
                <w:rFonts w:eastAsia="Times New Roman" w:cs="Arial"/>
                <w:color w:val="000000" w:themeColor="text1"/>
                <w:sz w:val="20"/>
                <w:szCs w:val="20"/>
                <w:lang w:eastAsia="en-AU"/>
              </w:rPr>
              <w:t>-</w:t>
            </w:r>
          </w:p>
        </w:tc>
        <w:tc>
          <w:tcPr>
            <w:tcW w:w="636" w:type="pct"/>
            <w:tcBorders>
              <w:top w:val="nil"/>
              <w:left w:val="nil"/>
              <w:right w:val="nil"/>
            </w:tcBorders>
            <w:noWrap/>
            <w:vAlign w:val="bottom"/>
          </w:tcPr>
          <w:p w14:paraId="04D2ACB9" w14:textId="6ED3DEC0" w:rsidR="006E7DA2" w:rsidRPr="00F65403" w:rsidRDefault="00B26963" w:rsidP="00BA1520">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36" w:type="pct"/>
            <w:tcBorders>
              <w:top w:val="nil"/>
              <w:left w:val="nil"/>
              <w:right w:val="nil"/>
            </w:tcBorders>
            <w:noWrap/>
            <w:vAlign w:val="bottom"/>
          </w:tcPr>
          <w:p w14:paraId="2138F520" w14:textId="33A28635" w:rsidR="006E7DA2" w:rsidRPr="00F65403" w:rsidRDefault="00B26963" w:rsidP="00BA1520">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29" w:type="pct"/>
            <w:tcBorders>
              <w:top w:val="nil"/>
              <w:left w:val="nil"/>
              <w:right w:val="nil"/>
            </w:tcBorders>
            <w:noWrap/>
            <w:vAlign w:val="bottom"/>
          </w:tcPr>
          <w:p w14:paraId="21207DC8" w14:textId="22ECE43D" w:rsidR="006E7DA2" w:rsidRPr="00F65403" w:rsidRDefault="00B26963" w:rsidP="00BA1520">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6D3602" w:rsidRPr="007518CE" w14:paraId="530D1AC6" w14:textId="77777777" w:rsidTr="49BCD735">
        <w:tc>
          <w:tcPr>
            <w:tcW w:w="1163" w:type="pct"/>
            <w:tcBorders>
              <w:top w:val="nil"/>
              <w:left w:val="nil"/>
              <w:bottom w:val="nil"/>
              <w:right w:val="nil"/>
            </w:tcBorders>
            <w:noWrap/>
            <w:vAlign w:val="bottom"/>
          </w:tcPr>
          <w:p w14:paraId="72330539" w14:textId="34E7D4B1" w:rsidR="006D3602" w:rsidRPr="00F65403" w:rsidRDefault="006D3602" w:rsidP="006D360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Acquisition of SEC Renewable Energy Park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Horsham</w:t>
            </w:r>
          </w:p>
        </w:tc>
        <w:tc>
          <w:tcPr>
            <w:tcW w:w="361" w:type="pct"/>
            <w:tcBorders>
              <w:left w:val="nil"/>
              <w:right w:val="nil"/>
            </w:tcBorders>
            <w:vAlign w:val="bottom"/>
          </w:tcPr>
          <w:p w14:paraId="0C154362" w14:textId="77E17047" w:rsidR="006D3602" w:rsidRPr="00FD10BE" w:rsidRDefault="00553D48" w:rsidP="006D3602">
            <w:pPr>
              <w:spacing w:after="0" w:line="240" w:lineRule="auto"/>
              <w:jc w:val="center"/>
              <w:rPr>
                <w:rFonts w:eastAsia="Times New Roman" w:cs="Arial"/>
                <w:color w:val="000000"/>
                <w:sz w:val="20"/>
                <w:szCs w:val="20"/>
                <w:lang w:eastAsia="en-AU"/>
              </w:rPr>
            </w:pPr>
            <w:r w:rsidRPr="49BCD735">
              <w:rPr>
                <w:rFonts w:eastAsia="Times New Roman" w:cs="Arial"/>
                <w:color w:val="000000" w:themeColor="text1"/>
                <w:sz w:val="20"/>
                <w:szCs w:val="20"/>
                <w:lang w:eastAsia="en-AU"/>
              </w:rPr>
              <w:t>17</w:t>
            </w:r>
          </w:p>
        </w:tc>
        <w:tc>
          <w:tcPr>
            <w:tcW w:w="722" w:type="pct"/>
            <w:tcBorders>
              <w:left w:val="nil"/>
              <w:right w:val="nil"/>
            </w:tcBorders>
            <w:noWrap/>
            <w:vAlign w:val="bottom"/>
          </w:tcPr>
          <w:p w14:paraId="2A5C5EC2" w14:textId="1E9D4C21"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13,749</w:t>
            </w:r>
          </w:p>
        </w:tc>
        <w:tc>
          <w:tcPr>
            <w:tcW w:w="853" w:type="pct"/>
            <w:tcBorders>
              <w:left w:val="nil"/>
              <w:right w:val="nil"/>
            </w:tcBorders>
            <w:vAlign w:val="bottom"/>
          </w:tcPr>
          <w:p w14:paraId="050F7672" w14:textId="46BD389C"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36" w:type="pct"/>
            <w:tcBorders>
              <w:left w:val="nil"/>
              <w:right w:val="nil"/>
            </w:tcBorders>
            <w:noWrap/>
            <w:vAlign w:val="bottom"/>
          </w:tcPr>
          <w:p w14:paraId="34AC067A" w14:textId="137E5D0A"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36" w:type="pct"/>
            <w:tcBorders>
              <w:left w:val="nil"/>
              <w:right w:val="nil"/>
            </w:tcBorders>
            <w:noWrap/>
            <w:vAlign w:val="bottom"/>
          </w:tcPr>
          <w:p w14:paraId="46815388" w14:textId="71C4144F"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29" w:type="pct"/>
            <w:tcBorders>
              <w:left w:val="nil"/>
              <w:right w:val="nil"/>
            </w:tcBorders>
            <w:noWrap/>
            <w:vAlign w:val="bottom"/>
          </w:tcPr>
          <w:p w14:paraId="6A6E60BF" w14:textId="0A4C0613"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13,749 </w:t>
            </w:r>
          </w:p>
        </w:tc>
      </w:tr>
      <w:tr w:rsidR="006D3602" w:rsidRPr="007518CE" w14:paraId="4C1D62A1" w14:textId="77777777" w:rsidTr="49BCD735">
        <w:tc>
          <w:tcPr>
            <w:tcW w:w="1163" w:type="pct"/>
            <w:tcBorders>
              <w:top w:val="nil"/>
              <w:left w:val="nil"/>
              <w:bottom w:val="nil"/>
              <w:right w:val="nil"/>
            </w:tcBorders>
            <w:noWrap/>
            <w:vAlign w:val="bottom"/>
          </w:tcPr>
          <w:p w14:paraId="38C909C1" w14:textId="143D3F28" w:rsidR="006D3602" w:rsidRPr="00F65403" w:rsidRDefault="006D3602" w:rsidP="006D360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Additions</w:t>
            </w:r>
          </w:p>
        </w:tc>
        <w:tc>
          <w:tcPr>
            <w:tcW w:w="361" w:type="pct"/>
            <w:tcBorders>
              <w:left w:val="nil"/>
              <w:right w:val="nil"/>
            </w:tcBorders>
          </w:tcPr>
          <w:p w14:paraId="312F36B1" w14:textId="77777777" w:rsidR="006D3602" w:rsidRPr="00FD10BE" w:rsidRDefault="006D3602" w:rsidP="006D3602">
            <w:pPr>
              <w:spacing w:after="0" w:line="240" w:lineRule="auto"/>
              <w:jc w:val="center"/>
              <w:rPr>
                <w:rFonts w:eastAsia="Times New Roman" w:cs="Arial"/>
                <w:b/>
                <w:color w:val="000000"/>
                <w:sz w:val="20"/>
                <w:szCs w:val="20"/>
                <w:lang w:eastAsia="en-AU"/>
              </w:rPr>
            </w:pPr>
          </w:p>
        </w:tc>
        <w:tc>
          <w:tcPr>
            <w:tcW w:w="722" w:type="pct"/>
            <w:tcBorders>
              <w:left w:val="nil"/>
              <w:right w:val="nil"/>
            </w:tcBorders>
            <w:noWrap/>
            <w:vAlign w:val="bottom"/>
          </w:tcPr>
          <w:p w14:paraId="1387F334" w14:textId="2191C59F"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83,043</w:t>
            </w:r>
          </w:p>
        </w:tc>
        <w:tc>
          <w:tcPr>
            <w:tcW w:w="853" w:type="pct"/>
            <w:tcBorders>
              <w:left w:val="nil"/>
              <w:right w:val="nil"/>
            </w:tcBorders>
            <w:vAlign w:val="bottom"/>
          </w:tcPr>
          <w:p w14:paraId="7010D460" w14:textId="20E6C7E2"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36" w:type="pct"/>
            <w:tcBorders>
              <w:left w:val="nil"/>
              <w:right w:val="nil"/>
            </w:tcBorders>
            <w:noWrap/>
            <w:vAlign w:val="bottom"/>
          </w:tcPr>
          <w:p w14:paraId="6189CD4F" w14:textId="70571982"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6,391 </w:t>
            </w:r>
          </w:p>
        </w:tc>
        <w:tc>
          <w:tcPr>
            <w:tcW w:w="636" w:type="pct"/>
            <w:tcBorders>
              <w:left w:val="nil"/>
              <w:right w:val="nil"/>
            </w:tcBorders>
            <w:noWrap/>
            <w:vAlign w:val="bottom"/>
          </w:tcPr>
          <w:p w14:paraId="7E962B1C" w14:textId="587A8BA2"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2,762 </w:t>
            </w:r>
          </w:p>
        </w:tc>
        <w:tc>
          <w:tcPr>
            <w:tcW w:w="629" w:type="pct"/>
            <w:tcBorders>
              <w:left w:val="nil"/>
              <w:right w:val="nil"/>
            </w:tcBorders>
            <w:noWrap/>
            <w:vAlign w:val="bottom"/>
          </w:tcPr>
          <w:p w14:paraId="6200C216" w14:textId="704BA5FB"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92,196 </w:t>
            </w:r>
          </w:p>
        </w:tc>
      </w:tr>
      <w:tr w:rsidR="006D3602" w:rsidRPr="007518CE" w14:paraId="71A0315A" w14:textId="77777777" w:rsidTr="49BCD735">
        <w:tc>
          <w:tcPr>
            <w:tcW w:w="1163" w:type="pct"/>
            <w:tcBorders>
              <w:top w:val="nil"/>
              <w:left w:val="nil"/>
              <w:bottom w:val="nil"/>
              <w:right w:val="nil"/>
            </w:tcBorders>
            <w:noWrap/>
            <w:vAlign w:val="bottom"/>
          </w:tcPr>
          <w:p w14:paraId="18A4CABE" w14:textId="4EF65090" w:rsidR="006D3602" w:rsidRPr="00F65403" w:rsidRDefault="006D3602" w:rsidP="006D360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Transfers</w:t>
            </w:r>
          </w:p>
        </w:tc>
        <w:tc>
          <w:tcPr>
            <w:tcW w:w="361" w:type="pct"/>
            <w:tcBorders>
              <w:left w:val="nil"/>
              <w:right w:val="nil"/>
            </w:tcBorders>
          </w:tcPr>
          <w:p w14:paraId="05028DD4" w14:textId="77777777" w:rsidR="006D3602" w:rsidRPr="00F65403" w:rsidRDefault="006D3602" w:rsidP="006D3602">
            <w:pPr>
              <w:spacing w:after="0" w:line="240" w:lineRule="auto"/>
              <w:jc w:val="center"/>
              <w:rPr>
                <w:rFonts w:eastAsia="Times New Roman" w:cs="Arial"/>
                <w:b/>
                <w:color w:val="000000"/>
                <w:sz w:val="20"/>
                <w:szCs w:val="20"/>
                <w:lang w:eastAsia="en-AU"/>
              </w:rPr>
            </w:pPr>
          </w:p>
        </w:tc>
        <w:tc>
          <w:tcPr>
            <w:tcW w:w="722" w:type="pct"/>
            <w:tcBorders>
              <w:left w:val="nil"/>
              <w:right w:val="nil"/>
            </w:tcBorders>
            <w:noWrap/>
            <w:vAlign w:val="bottom"/>
          </w:tcPr>
          <w:p w14:paraId="4E07B756" w14:textId="7496D039"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(372)</w:t>
            </w:r>
          </w:p>
        </w:tc>
        <w:tc>
          <w:tcPr>
            <w:tcW w:w="853" w:type="pct"/>
            <w:tcBorders>
              <w:left w:val="nil"/>
              <w:right w:val="nil"/>
            </w:tcBorders>
            <w:vAlign w:val="bottom"/>
          </w:tcPr>
          <w:p w14:paraId="1911365C" w14:textId="58BF22C7"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372 </w:t>
            </w:r>
          </w:p>
        </w:tc>
        <w:tc>
          <w:tcPr>
            <w:tcW w:w="636" w:type="pct"/>
            <w:tcBorders>
              <w:left w:val="nil"/>
              <w:right w:val="nil"/>
            </w:tcBorders>
            <w:noWrap/>
            <w:vAlign w:val="bottom"/>
          </w:tcPr>
          <w:p w14:paraId="445F3246" w14:textId="37A600BD"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36" w:type="pct"/>
            <w:tcBorders>
              <w:left w:val="nil"/>
              <w:right w:val="nil"/>
            </w:tcBorders>
            <w:noWrap/>
            <w:vAlign w:val="bottom"/>
          </w:tcPr>
          <w:p w14:paraId="131892E1" w14:textId="76772155"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629" w:type="pct"/>
            <w:tcBorders>
              <w:left w:val="nil"/>
              <w:right w:val="nil"/>
            </w:tcBorders>
            <w:noWrap/>
            <w:vAlign w:val="bottom"/>
          </w:tcPr>
          <w:p w14:paraId="30C78759" w14:textId="5346AF71"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r>
      <w:tr w:rsidR="006D3602" w:rsidRPr="007518CE" w14:paraId="2770C2A9" w14:textId="77777777" w:rsidTr="49BCD735">
        <w:tc>
          <w:tcPr>
            <w:tcW w:w="1163" w:type="pct"/>
            <w:tcBorders>
              <w:top w:val="nil"/>
              <w:left w:val="nil"/>
              <w:bottom w:val="nil"/>
              <w:right w:val="nil"/>
            </w:tcBorders>
            <w:noWrap/>
            <w:vAlign w:val="bottom"/>
          </w:tcPr>
          <w:p w14:paraId="0E5D8F01" w14:textId="39DBAE06" w:rsidR="006D3602" w:rsidRPr="00F65403" w:rsidRDefault="006D3602" w:rsidP="006D360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361" w:type="pct"/>
            <w:tcBorders>
              <w:left w:val="nil"/>
              <w:right w:val="nil"/>
            </w:tcBorders>
          </w:tcPr>
          <w:p w14:paraId="0B7B0B8F" w14:textId="77777777" w:rsidR="006D3602" w:rsidRPr="00F65403" w:rsidRDefault="006D3602" w:rsidP="006D3602">
            <w:pPr>
              <w:tabs>
                <w:tab w:val="decimal" w:pos="960"/>
              </w:tabs>
              <w:spacing w:after="0" w:line="240" w:lineRule="auto"/>
              <w:rPr>
                <w:rFonts w:eastAsia="Times New Roman" w:cs="Arial"/>
                <w:color w:val="000000"/>
                <w:sz w:val="20"/>
                <w:szCs w:val="20"/>
                <w:lang w:eastAsia="en-AU"/>
              </w:rPr>
            </w:pPr>
          </w:p>
        </w:tc>
        <w:tc>
          <w:tcPr>
            <w:tcW w:w="722" w:type="pct"/>
            <w:tcBorders>
              <w:left w:val="nil"/>
              <w:bottom w:val="single" w:sz="4" w:space="0" w:color="auto"/>
              <w:right w:val="nil"/>
            </w:tcBorders>
            <w:noWrap/>
            <w:vAlign w:val="bottom"/>
          </w:tcPr>
          <w:p w14:paraId="3643D156" w14:textId="212B901D"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 xml:space="preserve">                 -   </w:t>
            </w:r>
          </w:p>
        </w:tc>
        <w:tc>
          <w:tcPr>
            <w:tcW w:w="853" w:type="pct"/>
            <w:tcBorders>
              <w:left w:val="nil"/>
              <w:bottom w:val="single" w:sz="4" w:space="0" w:color="auto"/>
              <w:right w:val="nil"/>
            </w:tcBorders>
            <w:vAlign w:val="bottom"/>
          </w:tcPr>
          <w:p w14:paraId="653BE493" w14:textId="2D30331C"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(2)</w:t>
            </w:r>
          </w:p>
        </w:tc>
        <w:tc>
          <w:tcPr>
            <w:tcW w:w="636" w:type="pct"/>
            <w:tcBorders>
              <w:left w:val="nil"/>
              <w:bottom w:val="single" w:sz="4" w:space="0" w:color="auto"/>
              <w:right w:val="nil"/>
            </w:tcBorders>
            <w:noWrap/>
            <w:vAlign w:val="bottom"/>
          </w:tcPr>
          <w:p w14:paraId="62C29E04" w14:textId="1F445AD0"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(120)</w:t>
            </w:r>
          </w:p>
        </w:tc>
        <w:tc>
          <w:tcPr>
            <w:tcW w:w="636" w:type="pct"/>
            <w:tcBorders>
              <w:left w:val="nil"/>
              <w:bottom w:val="single" w:sz="4" w:space="0" w:color="auto"/>
              <w:right w:val="nil"/>
            </w:tcBorders>
            <w:noWrap/>
            <w:vAlign w:val="bottom"/>
          </w:tcPr>
          <w:p w14:paraId="5F34EE1F" w14:textId="1C5CB2D5"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(42)</w:t>
            </w:r>
          </w:p>
        </w:tc>
        <w:tc>
          <w:tcPr>
            <w:tcW w:w="629" w:type="pct"/>
            <w:tcBorders>
              <w:left w:val="nil"/>
              <w:bottom w:val="single" w:sz="4" w:space="0" w:color="auto"/>
              <w:right w:val="nil"/>
            </w:tcBorders>
            <w:noWrap/>
            <w:vAlign w:val="bottom"/>
          </w:tcPr>
          <w:p w14:paraId="0C9FFFF8" w14:textId="2B4563FB" w:rsidR="006D3602" w:rsidRPr="0080685E" w:rsidRDefault="006D3602" w:rsidP="0080685E">
            <w:pPr>
              <w:tabs>
                <w:tab w:val="decimal" w:pos="960"/>
              </w:tabs>
              <w:spacing w:after="0" w:line="240" w:lineRule="auto"/>
              <w:rPr>
                <w:rFonts w:cs="Arial"/>
                <w:color w:val="000000"/>
                <w:sz w:val="20"/>
                <w:szCs w:val="20"/>
              </w:rPr>
            </w:pPr>
            <w:r>
              <w:rPr>
                <w:rFonts w:cs="Arial"/>
                <w:color w:val="000000"/>
                <w:sz w:val="20"/>
                <w:szCs w:val="20"/>
              </w:rPr>
              <w:t>(164)</w:t>
            </w:r>
          </w:p>
        </w:tc>
      </w:tr>
      <w:tr w:rsidR="006D3602" w:rsidRPr="007518CE" w14:paraId="59F6AA66" w14:textId="77777777" w:rsidTr="49BCD735">
        <w:tc>
          <w:tcPr>
            <w:tcW w:w="1163" w:type="pct"/>
            <w:tcBorders>
              <w:top w:val="nil"/>
              <w:left w:val="nil"/>
              <w:bottom w:val="nil"/>
              <w:right w:val="nil"/>
            </w:tcBorders>
            <w:noWrap/>
            <w:vAlign w:val="bottom"/>
            <w:hideMark/>
          </w:tcPr>
          <w:p w14:paraId="6DE60BB5" w14:textId="20195C6B" w:rsidR="006D3602" w:rsidRPr="00F65403" w:rsidRDefault="006D3602" w:rsidP="006D360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Carrying amount </w:t>
            </w:r>
            <w:r>
              <w:rPr>
                <w:rFonts w:eastAsia="Times New Roman" w:cs="Arial"/>
                <w:b/>
                <w:color w:val="000000"/>
                <w:sz w:val="20"/>
                <w:szCs w:val="20"/>
                <w:lang w:eastAsia="en-AU"/>
              </w:rPr>
              <w:t xml:space="preserve">at </w:t>
            </w:r>
            <w:r w:rsidRPr="00F65403">
              <w:rPr>
                <w:rFonts w:eastAsia="Times New Roman" w:cs="Arial"/>
                <w:b/>
                <w:color w:val="000000"/>
                <w:sz w:val="20"/>
                <w:szCs w:val="20"/>
                <w:lang w:eastAsia="en-AU"/>
              </w:rPr>
              <w:t>30 June 2025</w:t>
            </w:r>
          </w:p>
        </w:tc>
        <w:tc>
          <w:tcPr>
            <w:tcW w:w="361" w:type="pct"/>
            <w:tcBorders>
              <w:left w:val="nil"/>
              <w:right w:val="nil"/>
            </w:tcBorders>
          </w:tcPr>
          <w:p w14:paraId="49EE0AA2" w14:textId="77777777" w:rsidR="006D3602" w:rsidRPr="00F65403" w:rsidRDefault="006D3602" w:rsidP="006D3602">
            <w:pPr>
              <w:tabs>
                <w:tab w:val="decimal" w:pos="960"/>
              </w:tabs>
              <w:spacing w:after="0" w:line="240" w:lineRule="auto"/>
              <w:rPr>
                <w:rFonts w:eastAsia="Times New Roman" w:cs="Arial"/>
                <w:color w:val="000000"/>
                <w:sz w:val="20"/>
                <w:szCs w:val="20"/>
                <w:lang w:eastAsia="en-AU"/>
              </w:rPr>
            </w:pPr>
          </w:p>
        </w:tc>
        <w:tc>
          <w:tcPr>
            <w:tcW w:w="722" w:type="pct"/>
            <w:tcBorders>
              <w:top w:val="single" w:sz="4" w:space="0" w:color="auto"/>
              <w:left w:val="nil"/>
              <w:bottom w:val="single" w:sz="4" w:space="0" w:color="auto"/>
              <w:right w:val="nil"/>
            </w:tcBorders>
            <w:noWrap/>
            <w:vAlign w:val="bottom"/>
          </w:tcPr>
          <w:p w14:paraId="2D5C046F" w14:textId="07FB2C3F" w:rsidR="006D3602" w:rsidRPr="0080685E" w:rsidRDefault="006D3602" w:rsidP="0080685E">
            <w:pPr>
              <w:tabs>
                <w:tab w:val="decimal" w:pos="960"/>
              </w:tabs>
              <w:spacing w:after="0" w:line="240" w:lineRule="auto"/>
              <w:rPr>
                <w:rFonts w:cs="Arial"/>
                <w:b/>
                <w:bCs/>
                <w:color w:val="000000"/>
                <w:sz w:val="20"/>
                <w:szCs w:val="20"/>
              </w:rPr>
            </w:pPr>
            <w:r w:rsidRPr="006D3602">
              <w:rPr>
                <w:rFonts w:cs="Arial"/>
                <w:b/>
                <w:bCs/>
                <w:color w:val="000000"/>
                <w:sz w:val="20"/>
                <w:szCs w:val="20"/>
              </w:rPr>
              <w:t xml:space="preserve">          96,420 </w:t>
            </w:r>
          </w:p>
        </w:tc>
        <w:tc>
          <w:tcPr>
            <w:tcW w:w="853" w:type="pct"/>
            <w:tcBorders>
              <w:top w:val="single" w:sz="4" w:space="0" w:color="auto"/>
              <w:left w:val="nil"/>
              <w:bottom w:val="single" w:sz="4" w:space="0" w:color="auto"/>
              <w:right w:val="nil"/>
            </w:tcBorders>
            <w:vAlign w:val="bottom"/>
          </w:tcPr>
          <w:p w14:paraId="0ABEE76C" w14:textId="2DC36AE7" w:rsidR="006D3602" w:rsidRPr="0080685E" w:rsidRDefault="006D3602" w:rsidP="0080685E">
            <w:pPr>
              <w:tabs>
                <w:tab w:val="decimal" w:pos="960"/>
              </w:tabs>
              <w:spacing w:after="0" w:line="240" w:lineRule="auto"/>
              <w:rPr>
                <w:rFonts w:cs="Arial"/>
                <w:b/>
                <w:bCs/>
                <w:color w:val="000000"/>
                <w:sz w:val="20"/>
                <w:szCs w:val="20"/>
              </w:rPr>
            </w:pPr>
            <w:r w:rsidRPr="006D3602">
              <w:rPr>
                <w:rFonts w:cs="Arial"/>
                <w:b/>
                <w:bCs/>
                <w:color w:val="000000"/>
                <w:sz w:val="20"/>
                <w:szCs w:val="20"/>
              </w:rPr>
              <w:t xml:space="preserve">              370 </w:t>
            </w:r>
          </w:p>
        </w:tc>
        <w:tc>
          <w:tcPr>
            <w:tcW w:w="636" w:type="pct"/>
            <w:tcBorders>
              <w:top w:val="single" w:sz="4" w:space="0" w:color="auto"/>
              <w:left w:val="nil"/>
              <w:bottom w:val="single" w:sz="4" w:space="0" w:color="auto"/>
              <w:right w:val="nil"/>
            </w:tcBorders>
            <w:noWrap/>
            <w:vAlign w:val="bottom"/>
          </w:tcPr>
          <w:p w14:paraId="3E22DC88" w14:textId="49DD2947" w:rsidR="006D3602" w:rsidRPr="0080685E" w:rsidRDefault="006D3602" w:rsidP="0080685E">
            <w:pPr>
              <w:tabs>
                <w:tab w:val="decimal" w:pos="960"/>
              </w:tabs>
              <w:spacing w:after="0" w:line="240" w:lineRule="auto"/>
              <w:rPr>
                <w:rFonts w:cs="Arial"/>
                <w:b/>
                <w:bCs/>
                <w:color w:val="000000"/>
                <w:sz w:val="20"/>
                <w:szCs w:val="20"/>
              </w:rPr>
            </w:pPr>
            <w:r w:rsidRPr="006D3602">
              <w:rPr>
                <w:rFonts w:cs="Arial"/>
                <w:b/>
                <w:bCs/>
                <w:color w:val="000000"/>
                <w:sz w:val="20"/>
                <w:szCs w:val="20"/>
              </w:rPr>
              <w:t xml:space="preserve">        6,271 </w:t>
            </w:r>
          </w:p>
        </w:tc>
        <w:tc>
          <w:tcPr>
            <w:tcW w:w="636" w:type="pct"/>
            <w:tcBorders>
              <w:top w:val="single" w:sz="4" w:space="0" w:color="auto"/>
              <w:left w:val="nil"/>
              <w:bottom w:val="single" w:sz="4" w:space="0" w:color="auto"/>
              <w:right w:val="nil"/>
            </w:tcBorders>
            <w:noWrap/>
            <w:vAlign w:val="bottom"/>
            <w:hideMark/>
          </w:tcPr>
          <w:p w14:paraId="5A732ED0" w14:textId="44857211" w:rsidR="006D3602" w:rsidRPr="0080685E" w:rsidRDefault="006D3602" w:rsidP="0080685E">
            <w:pPr>
              <w:tabs>
                <w:tab w:val="decimal" w:pos="960"/>
              </w:tabs>
              <w:spacing w:after="0" w:line="240" w:lineRule="auto"/>
              <w:rPr>
                <w:rFonts w:cs="Arial"/>
                <w:b/>
                <w:bCs/>
                <w:color w:val="000000"/>
                <w:sz w:val="20"/>
                <w:szCs w:val="20"/>
              </w:rPr>
            </w:pPr>
            <w:r w:rsidRPr="006D3602">
              <w:rPr>
                <w:rFonts w:cs="Arial"/>
                <w:b/>
                <w:bCs/>
                <w:color w:val="000000"/>
                <w:sz w:val="20"/>
                <w:szCs w:val="20"/>
              </w:rPr>
              <w:t xml:space="preserve">      2,720 </w:t>
            </w:r>
          </w:p>
        </w:tc>
        <w:tc>
          <w:tcPr>
            <w:tcW w:w="629" w:type="pct"/>
            <w:tcBorders>
              <w:top w:val="single" w:sz="4" w:space="0" w:color="auto"/>
              <w:left w:val="nil"/>
              <w:bottom w:val="single" w:sz="4" w:space="0" w:color="auto"/>
              <w:right w:val="nil"/>
            </w:tcBorders>
            <w:noWrap/>
            <w:vAlign w:val="bottom"/>
          </w:tcPr>
          <w:p w14:paraId="0FD7C080" w14:textId="4E75D7E2" w:rsidR="006D3602" w:rsidRPr="00D15AF6" w:rsidRDefault="006D3602" w:rsidP="0080685E">
            <w:pPr>
              <w:tabs>
                <w:tab w:val="decimal" w:pos="960"/>
              </w:tabs>
              <w:spacing w:after="0" w:line="240" w:lineRule="auto"/>
              <w:rPr>
                <w:rFonts w:cs="Arial"/>
                <w:b/>
                <w:color w:val="000000"/>
                <w:sz w:val="20"/>
                <w:szCs w:val="20"/>
              </w:rPr>
            </w:pPr>
            <w:r w:rsidRPr="006D3602">
              <w:rPr>
                <w:rFonts w:cs="Arial"/>
                <w:b/>
                <w:bCs/>
                <w:color w:val="000000"/>
                <w:sz w:val="20"/>
                <w:szCs w:val="20"/>
              </w:rPr>
              <w:t xml:space="preserve">      105,781 </w:t>
            </w:r>
          </w:p>
        </w:tc>
      </w:tr>
    </w:tbl>
    <w:p w14:paraId="2D7AB403" w14:textId="77777777" w:rsidR="00BD24FE" w:rsidRPr="00F65403" w:rsidRDefault="00BD24FE" w:rsidP="00F641FC">
      <w:pPr>
        <w:pStyle w:val="BodyText"/>
        <w:rPr>
          <w:sz w:val="24"/>
          <w:szCs w:val="24"/>
          <w:lang w:val="en-AU"/>
        </w:rPr>
      </w:pPr>
    </w:p>
    <w:p w14:paraId="4B5FFD8E" w14:textId="5E1FC2A7" w:rsidR="001D6BB3" w:rsidRPr="00F65403" w:rsidRDefault="009F07B7" w:rsidP="009B0CD8">
      <w:pPr>
        <w:pStyle w:val="Heading8"/>
      </w:pPr>
      <w:r>
        <w:t>ii.</w:t>
      </w:r>
      <w:r>
        <w:tab/>
      </w:r>
      <w:r w:rsidR="00A61A5C">
        <w:t>Accounting policy</w:t>
      </w:r>
    </w:p>
    <w:p w14:paraId="72240A3F" w14:textId="16283E5C" w:rsidR="003A34C6" w:rsidRPr="00F65403" w:rsidRDefault="003A34C6" w:rsidP="00B94E93">
      <w:pPr>
        <w:pStyle w:val="Heading9"/>
      </w:pPr>
      <w:r w:rsidRPr="00F65403">
        <w:t>Property, plant and equipment</w:t>
      </w:r>
      <w:r w:rsidR="00226423" w:rsidRPr="00F65403">
        <w:t xml:space="preserve"> </w:t>
      </w:r>
    </w:p>
    <w:p w14:paraId="3B37A993" w14:textId="53855D78" w:rsidR="00377891" w:rsidRPr="00F65403" w:rsidRDefault="001D6BB3" w:rsidP="005308EF">
      <w:pPr>
        <w:pStyle w:val="BodyText"/>
        <w:rPr>
          <w:lang w:val="en-AU"/>
        </w:rPr>
      </w:pPr>
      <w:r w:rsidRPr="6582C6F5">
        <w:rPr>
          <w:lang w:val="en-AU"/>
        </w:rPr>
        <w:t>Items of property, plant and equipment</w:t>
      </w:r>
      <w:r w:rsidR="00377891" w:rsidRPr="6582C6F5">
        <w:rPr>
          <w:lang w:val="en-AU"/>
        </w:rPr>
        <w:t xml:space="preserve"> are measured initially at cost and subsequently revalued at fair value less accumulated depreciation and impairment</w:t>
      </w:r>
      <w:r w:rsidR="00190DB3" w:rsidRPr="6582C6F5">
        <w:rPr>
          <w:lang w:val="en-AU"/>
        </w:rPr>
        <w:t xml:space="preserve">, </w:t>
      </w:r>
      <w:r w:rsidR="00377891" w:rsidRPr="6582C6F5">
        <w:rPr>
          <w:lang w:val="en-AU"/>
        </w:rPr>
        <w:t>except assets under construction which continue to be measured at cost less any accumulated impairment.</w:t>
      </w:r>
      <w:r w:rsidR="00DE4D82" w:rsidRPr="6582C6F5">
        <w:rPr>
          <w:lang w:val="en-AU"/>
        </w:rPr>
        <w:t xml:space="preserve"> Valuations are performed with sufficient frequency to ensure that the carrying amount of the revalued asset does not materially differ from its fair value.</w:t>
      </w:r>
    </w:p>
    <w:p w14:paraId="6F7EA79A" w14:textId="77777777" w:rsidR="00B47648" w:rsidRPr="00F65403" w:rsidRDefault="00B47648" w:rsidP="005308EF">
      <w:pPr>
        <w:pStyle w:val="BodyText"/>
        <w:rPr>
          <w:lang w:val="en-AU"/>
        </w:rPr>
      </w:pPr>
    </w:p>
    <w:p w14:paraId="76290335" w14:textId="57AA5B94" w:rsidR="00190DB3" w:rsidRPr="00F65403" w:rsidRDefault="00377891" w:rsidP="005308EF">
      <w:pPr>
        <w:pStyle w:val="BodyText"/>
        <w:rPr>
          <w:lang w:val="en-AU"/>
        </w:rPr>
      </w:pPr>
      <w:r w:rsidRPr="00F65403">
        <w:rPr>
          <w:lang w:val="en-AU"/>
        </w:rPr>
        <w:t>The cost of assets under construction includes the cost of all materials used in construction, direct labour</w:t>
      </w:r>
      <w:r w:rsidR="00F440A2" w:rsidRPr="00F65403">
        <w:rPr>
          <w:lang w:val="en-AU"/>
        </w:rPr>
        <w:t>,</w:t>
      </w:r>
      <w:r w:rsidRPr="00F65403" w:rsidDel="00F440A2">
        <w:rPr>
          <w:lang w:val="en-AU"/>
        </w:rPr>
        <w:t xml:space="preserve"> </w:t>
      </w:r>
      <w:r w:rsidR="001D10DF" w:rsidRPr="00F65403">
        <w:rPr>
          <w:lang w:val="en-AU"/>
        </w:rPr>
        <w:t xml:space="preserve">financing costs </w:t>
      </w:r>
      <w:r w:rsidR="00545366" w:rsidRPr="00F65403">
        <w:rPr>
          <w:lang w:val="en-AU"/>
        </w:rPr>
        <w:t xml:space="preserve">(if qualifying) and </w:t>
      </w:r>
      <w:r w:rsidRPr="00F65403">
        <w:rPr>
          <w:lang w:val="en-AU"/>
        </w:rPr>
        <w:t>an appropriate proportion of any variable and fixed overheads.</w:t>
      </w:r>
      <w:r w:rsidR="00FE64E4" w:rsidRPr="00F65403">
        <w:rPr>
          <w:lang w:val="en-AU"/>
        </w:rPr>
        <w:t xml:space="preserve"> </w:t>
      </w:r>
    </w:p>
    <w:p w14:paraId="0F33284C" w14:textId="77777777" w:rsidR="00B47648" w:rsidRPr="00F65403" w:rsidRDefault="00B47648" w:rsidP="005308EF">
      <w:pPr>
        <w:pStyle w:val="BodyText"/>
        <w:rPr>
          <w:lang w:val="en-AU"/>
        </w:rPr>
      </w:pPr>
    </w:p>
    <w:p w14:paraId="6E740759" w14:textId="77777777" w:rsidR="00A81F44" w:rsidRPr="00F65403" w:rsidRDefault="00917EF0" w:rsidP="005308EF">
      <w:pPr>
        <w:pStyle w:val="BodyText"/>
        <w:rPr>
          <w:lang w:val="en-AU"/>
        </w:rPr>
      </w:pPr>
      <w:r w:rsidRPr="00F65403">
        <w:rPr>
          <w:lang w:val="en-AU"/>
        </w:rPr>
        <w:t>The carrying amounts of assets under construction are reviewed to determine if there is any indication of impairment. If any such indication exists, the asset’s recoverable amount is estimated and if required, an impairment is recognised in the income statement. All oth</w:t>
      </w:r>
      <w:r w:rsidR="00707969" w:rsidRPr="00F65403">
        <w:rPr>
          <w:lang w:val="en-AU"/>
        </w:rPr>
        <w:t xml:space="preserve">er property, plant and equipment asset classes are stated at fair value in accordance with FRD </w:t>
      </w:r>
      <w:r w:rsidR="00A75EC2" w:rsidRPr="00F65403">
        <w:rPr>
          <w:lang w:val="en-AU"/>
        </w:rPr>
        <w:t xml:space="preserve">103 </w:t>
      </w:r>
      <w:r w:rsidR="00A75EC2" w:rsidRPr="00F65403">
        <w:rPr>
          <w:i/>
          <w:lang w:val="en-AU"/>
        </w:rPr>
        <w:t>Non-financial physical assets</w:t>
      </w:r>
      <w:r w:rsidR="00A75EC2" w:rsidRPr="00F65403">
        <w:rPr>
          <w:lang w:val="en-AU"/>
        </w:rPr>
        <w:t>.</w:t>
      </w:r>
      <w:r w:rsidR="00A81F44" w:rsidRPr="00F65403">
        <w:rPr>
          <w:lang w:val="en-AU"/>
        </w:rPr>
        <w:t xml:space="preserve"> </w:t>
      </w:r>
    </w:p>
    <w:p w14:paraId="3945434B" w14:textId="77777777" w:rsidR="00B47648" w:rsidRPr="00F65403" w:rsidRDefault="00B47648" w:rsidP="005308EF">
      <w:pPr>
        <w:pStyle w:val="BodyText"/>
        <w:rPr>
          <w:lang w:val="en-AU"/>
        </w:rPr>
      </w:pPr>
    </w:p>
    <w:p w14:paraId="46382A85" w14:textId="616B5A4C" w:rsidR="00A81F44" w:rsidRPr="00F65403" w:rsidRDefault="00A81F44" w:rsidP="005308EF">
      <w:pPr>
        <w:pStyle w:val="BodyText"/>
        <w:rPr>
          <w:szCs w:val="24"/>
          <w:lang w:val="en-AU"/>
        </w:rPr>
      </w:pPr>
      <w:r w:rsidRPr="00F65403">
        <w:rPr>
          <w:lang w:val="en-AU"/>
        </w:rPr>
        <w:t>Depreciation is calculated on a straight-line basis so as to write off the cost of each asset over its expected useful life.</w:t>
      </w:r>
    </w:p>
    <w:p w14:paraId="71C88D90" w14:textId="77777777" w:rsidR="00B47648" w:rsidRPr="00F65403" w:rsidRDefault="00B47648" w:rsidP="00AC5DC0">
      <w:pPr>
        <w:pStyle w:val="BodyText"/>
      </w:pPr>
    </w:p>
    <w:p w14:paraId="74F18D90" w14:textId="77777777" w:rsidR="00352719" w:rsidRDefault="00352719">
      <w:pPr>
        <w:rPr>
          <w:rFonts w:eastAsiaTheme="majorEastAsia" w:cstheme="majorBidi"/>
          <w:i/>
          <w:color w:val="272727" w:themeColor="text1" w:themeTint="D8"/>
          <w:sz w:val="20"/>
        </w:rPr>
      </w:pPr>
      <w:r>
        <w:br w:type="page"/>
      </w:r>
    </w:p>
    <w:p w14:paraId="30DF3D61" w14:textId="1417ED26" w:rsidR="00190DB3" w:rsidRPr="00F65403" w:rsidRDefault="00306CE6" w:rsidP="00901012">
      <w:pPr>
        <w:pStyle w:val="Heading9"/>
      </w:pPr>
      <w:r w:rsidRPr="00F65403">
        <w:t xml:space="preserve">Right of use </w:t>
      </w:r>
      <w:r w:rsidR="005262DE" w:rsidRPr="00F65403">
        <w:t>(ROU) p</w:t>
      </w:r>
      <w:r w:rsidR="00DE26B5" w:rsidRPr="00F65403">
        <w:t>roperty, plant and equipment</w:t>
      </w:r>
    </w:p>
    <w:p w14:paraId="06205A85" w14:textId="0915BF17" w:rsidR="00FE3C96" w:rsidRPr="00F65403" w:rsidRDefault="00186D5B" w:rsidP="00FE3C96">
      <w:pPr>
        <w:pStyle w:val="BodyText"/>
        <w:rPr>
          <w:lang w:val="en-AU"/>
        </w:rPr>
      </w:pPr>
      <w:r w:rsidRPr="00F65403">
        <w:rPr>
          <w:szCs w:val="24"/>
          <w:lang w:val="en-AU"/>
        </w:rPr>
        <w:t>The Group’s leased assets include commercial offices</w:t>
      </w:r>
      <w:r w:rsidR="004B1CC0" w:rsidRPr="00F65403">
        <w:rPr>
          <w:szCs w:val="24"/>
          <w:lang w:val="en-AU"/>
        </w:rPr>
        <w:t xml:space="preserve"> and land</w:t>
      </w:r>
      <w:r w:rsidRPr="00F65403">
        <w:rPr>
          <w:szCs w:val="24"/>
          <w:lang w:val="en-AU"/>
        </w:rPr>
        <w:t>.</w:t>
      </w:r>
      <w:r w:rsidR="005262DE" w:rsidRPr="00F65403">
        <w:rPr>
          <w:szCs w:val="24"/>
          <w:lang w:val="en-AU"/>
        </w:rPr>
        <w:t xml:space="preserve"> </w:t>
      </w:r>
      <w:r w:rsidR="00FE3C96" w:rsidRPr="00F65403">
        <w:rPr>
          <w:lang w:val="en-AU"/>
        </w:rPr>
        <w:t>The Group recognises a ROU asset and a lease liability at the commencement date of the lease, being the date the underlying asset is available for use.</w:t>
      </w:r>
    </w:p>
    <w:p w14:paraId="223D59DD" w14:textId="77777777" w:rsidR="00FE3C96" w:rsidRPr="00F65403" w:rsidRDefault="00FE3C96" w:rsidP="00FE3C96">
      <w:pPr>
        <w:pStyle w:val="BodyText"/>
        <w:rPr>
          <w:lang w:val="en-AU"/>
        </w:rPr>
      </w:pPr>
    </w:p>
    <w:p w14:paraId="26AD39F2" w14:textId="77777777" w:rsidR="00FE3C96" w:rsidRPr="00F65403" w:rsidRDefault="00FE3C96" w:rsidP="00FE3C96">
      <w:pPr>
        <w:pStyle w:val="BodyText"/>
        <w:rPr>
          <w:lang w:val="en-AU"/>
        </w:rPr>
      </w:pPr>
      <w:r w:rsidRPr="00F65403">
        <w:rPr>
          <w:lang w:val="en-AU"/>
        </w:rPr>
        <w:t>ROU assets are initially measured at cost which comprises the initial amount of the lease liability adjusted for:</w:t>
      </w:r>
    </w:p>
    <w:p w14:paraId="0A4CD6FE" w14:textId="77777777" w:rsidR="00FE3C96" w:rsidRPr="00F65403" w:rsidRDefault="00FE3C96" w:rsidP="00356F29">
      <w:pPr>
        <w:pStyle w:val="ListBullet"/>
        <w:rPr>
          <w:lang w:val="en-AU"/>
        </w:rPr>
      </w:pPr>
      <w:r w:rsidRPr="00F65403">
        <w:rPr>
          <w:lang w:val="en-AU"/>
        </w:rPr>
        <w:t>any lease payments made at or before the commencement date less any lease incentive received</w:t>
      </w:r>
    </w:p>
    <w:p w14:paraId="40E08951" w14:textId="77777777" w:rsidR="00FE3C96" w:rsidRPr="00F65403" w:rsidRDefault="00FE3C96" w:rsidP="005308EF">
      <w:pPr>
        <w:pStyle w:val="ListBullet"/>
        <w:rPr>
          <w:lang w:val="en-AU"/>
        </w:rPr>
      </w:pPr>
      <w:r w:rsidRPr="00F65403">
        <w:rPr>
          <w:lang w:val="en-AU"/>
        </w:rPr>
        <w:t>any initial direct costs incurred</w:t>
      </w:r>
    </w:p>
    <w:p w14:paraId="0100C75D" w14:textId="77777777" w:rsidR="00FE3C96" w:rsidRPr="00F65403" w:rsidRDefault="00FE3C96" w:rsidP="005308EF">
      <w:pPr>
        <w:pStyle w:val="ListBullet"/>
        <w:rPr>
          <w:lang w:val="en-AU"/>
        </w:rPr>
      </w:pPr>
      <w:r w:rsidRPr="00F65403">
        <w:rPr>
          <w:lang w:val="en-AU"/>
        </w:rPr>
        <w:t>an estimate of costs to dismantle and remove the underlying asset or to restore the underlying asset or the site on which it is located.</w:t>
      </w:r>
    </w:p>
    <w:p w14:paraId="15ECF395" w14:textId="77777777" w:rsidR="00FE3C96" w:rsidRPr="00F65403" w:rsidRDefault="00FE3C96" w:rsidP="00FE3C96">
      <w:pPr>
        <w:pStyle w:val="BodyText"/>
        <w:rPr>
          <w:lang w:val="en-AU"/>
        </w:rPr>
      </w:pPr>
    </w:p>
    <w:p w14:paraId="3E4968D5" w14:textId="77777777" w:rsidR="00FE3C96" w:rsidRPr="00F65403" w:rsidRDefault="00FE3C96" w:rsidP="00FE3C96">
      <w:pPr>
        <w:pStyle w:val="BodyText"/>
        <w:rPr>
          <w:lang w:val="en-AU"/>
        </w:rPr>
      </w:pPr>
      <w:r w:rsidRPr="00F65403">
        <w:rPr>
          <w:lang w:val="en-AU"/>
        </w:rPr>
        <w:t>The Group depreciates the right-of-use assets on a straight-line basis from the lease commencement date to the earlier of the end of the useful life of the right-of-use asset or the end of the lease term. The right-of-use assets are also subject to revaluation.</w:t>
      </w:r>
    </w:p>
    <w:p w14:paraId="21478038" w14:textId="77777777" w:rsidR="00FE3C96" w:rsidRPr="00F65403" w:rsidRDefault="00FE3C96" w:rsidP="00FE3C96">
      <w:pPr>
        <w:pStyle w:val="BodyText"/>
        <w:rPr>
          <w:lang w:val="en-AU"/>
        </w:rPr>
      </w:pPr>
    </w:p>
    <w:p w14:paraId="5C4E799B" w14:textId="7A33DD6F" w:rsidR="00FE3C96" w:rsidRPr="00F65403" w:rsidRDefault="00FE3C96" w:rsidP="00FE3C96">
      <w:pPr>
        <w:pStyle w:val="BodyText"/>
        <w:rPr>
          <w:lang w:val="en-AU"/>
        </w:rPr>
      </w:pPr>
      <w:r w:rsidRPr="00F65403">
        <w:rPr>
          <w:lang w:val="en-AU"/>
        </w:rPr>
        <w:t>The following estimated useful lives are used in the calculation of depreciation on ROU assets:</w:t>
      </w:r>
    </w:p>
    <w:p w14:paraId="499C0746" w14:textId="77777777" w:rsidR="00FE3C96" w:rsidRPr="00F65403" w:rsidRDefault="00FE3C96" w:rsidP="005308EF">
      <w:pPr>
        <w:pStyle w:val="ListBullet"/>
        <w:rPr>
          <w:lang w:val="en-AU"/>
        </w:rPr>
      </w:pPr>
      <w:r w:rsidRPr="00F65403">
        <w:rPr>
          <w:lang w:val="en-AU"/>
        </w:rPr>
        <w:t>Land ROU assets: lesser of lease period or up to 40 years</w:t>
      </w:r>
    </w:p>
    <w:p w14:paraId="01CFEBB7" w14:textId="77777777" w:rsidR="00FE3C96" w:rsidRPr="00F65403" w:rsidRDefault="00FE3C96" w:rsidP="005308EF">
      <w:pPr>
        <w:pStyle w:val="ListBullet"/>
        <w:rPr>
          <w:lang w:val="en-AU"/>
        </w:rPr>
      </w:pPr>
      <w:r w:rsidRPr="00F65403">
        <w:rPr>
          <w:lang w:val="en-AU"/>
        </w:rPr>
        <w:t>Buildings ROU assets: lesser of lease period or up to 5 years</w:t>
      </w:r>
    </w:p>
    <w:p w14:paraId="20927272" w14:textId="77777777" w:rsidR="00FE3C96" w:rsidRPr="00F65403" w:rsidRDefault="00FE3C96" w:rsidP="00FE3C96">
      <w:pPr>
        <w:pStyle w:val="BodyText"/>
        <w:rPr>
          <w:lang w:val="en-AU"/>
        </w:rPr>
      </w:pPr>
    </w:p>
    <w:p w14:paraId="6C8E7629" w14:textId="21B19170" w:rsidR="00F641FC" w:rsidRPr="00F65403" w:rsidRDefault="00C108E8" w:rsidP="00B94E93">
      <w:pPr>
        <w:pStyle w:val="Heading9"/>
      </w:pPr>
      <w:r w:rsidRPr="00F65403">
        <w:t>Revaluations</w:t>
      </w:r>
    </w:p>
    <w:p w14:paraId="5120D2AB" w14:textId="02C17F38" w:rsidR="009E2DFE" w:rsidRPr="00F65403" w:rsidRDefault="009E2DFE" w:rsidP="00F641FC">
      <w:pPr>
        <w:pStyle w:val="BodyText"/>
        <w:rPr>
          <w:lang w:val="en-AU"/>
        </w:rPr>
      </w:pPr>
      <w:r w:rsidRPr="6582C6F5">
        <w:rPr>
          <w:lang w:val="en-AU"/>
        </w:rPr>
        <w:t xml:space="preserve">A revaluation surplus is recorded in </w:t>
      </w:r>
      <w:r w:rsidR="00270EF9" w:rsidRPr="6582C6F5">
        <w:rPr>
          <w:lang w:val="en-AU"/>
        </w:rPr>
        <w:t>other comprehensive income (OCI)</w:t>
      </w:r>
      <w:r w:rsidRPr="6582C6F5">
        <w:rPr>
          <w:lang w:val="en-AU"/>
        </w:rPr>
        <w:t xml:space="preserve"> and credited to the asset revaluation surplus in equity. However, to the extent that it reverses a revaluation deficit of the same asset previously recognised in profit or loss, the increase is recognised in profit and loss. A revaluation deficit is recognised in the statement of profit or loss, except to the extent that it offsets an existing surplus on the same asset recognised in the asset revaluation surplus.</w:t>
      </w:r>
    </w:p>
    <w:p w14:paraId="733ED93D" w14:textId="77777777" w:rsidR="009E2DFE" w:rsidRPr="00F65403" w:rsidRDefault="009E2DFE" w:rsidP="00F641FC">
      <w:pPr>
        <w:pStyle w:val="BodyText"/>
        <w:rPr>
          <w:lang w:val="en-AU"/>
        </w:rPr>
      </w:pPr>
    </w:p>
    <w:p w14:paraId="4D20E14F" w14:textId="77777777" w:rsidR="009E2DFE" w:rsidRPr="00F65403" w:rsidRDefault="009E2DFE" w:rsidP="00F641FC">
      <w:pPr>
        <w:pStyle w:val="BodyText"/>
        <w:rPr>
          <w:lang w:val="en-AU"/>
        </w:rPr>
      </w:pPr>
      <w:r w:rsidRPr="00F65403">
        <w:rPr>
          <w:lang w:val="en-AU"/>
        </w:rPr>
        <w:t>An annual transfer from the asset revaluation surplus to retained earnings is made for the difference between depreciation based on the revalued carrying</w:t>
      </w:r>
      <w:r w:rsidRPr="00F65403">
        <w:rPr>
          <w:w w:val="105"/>
          <w:lang w:val="en-AU"/>
        </w:rPr>
        <w:t xml:space="preserve"> amount of </w:t>
      </w:r>
      <w:r w:rsidRPr="00F65403">
        <w:rPr>
          <w:lang w:val="en-AU"/>
        </w:rPr>
        <w:t>the asset and depreciation based on the asset’s original cost. Additionally, accumulated depreciation as at the revaluation date is eliminated against the gross carrying amount of the asset and the net amount is restated to the revalued amount of the asset. Upon disposal, any revaluation surplus relating to the particular asset being sold is transferred to retained earnings.</w:t>
      </w:r>
    </w:p>
    <w:p w14:paraId="45A28FD3" w14:textId="287E9C0B" w:rsidR="009E2DFE" w:rsidRPr="00F65403" w:rsidRDefault="009E2DFE" w:rsidP="00F641FC">
      <w:pPr>
        <w:pStyle w:val="BodyText"/>
        <w:rPr>
          <w:lang w:val="en-AU"/>
        </w:rPr>
      </w:pPr>
    </w:p>
    <w:p w14:paraId="4CDBFD84" w14:textId="6B8E7724" w:rsidR="00F74BAE" w:rsidRPr="00AA3AC5" w:rsidRDefault="009F07B7" w:rsidP="00AF584C">
      <w:pPr>
        <w:pStyle w:val="Heading8"/>
        <w:rPr>
          <w:sz w:val="8"/>
          <w:szCs w:val="10"/>
        </w:rPr>
      </w:pPr>
      <w:r>
        <w:t>iii.</w:t>
      </w:r>
      <w:r>
        <w:tab/>
      </w:r>
      <w:r w:rsidR="00F74BAE">
        <w:t>Determination of fair values for non-financial physical assets</w:t>
      </w:r>
      <w:r w:rsidR="006D3602">
        <w:br/>
      </w:r>
    </w:p>
    <w:p w14:paraId="2E998DB7" w14:textId="77777777" w:rsidR="00F74BAE" w:rsidRPr="00F65403" w:rsidRDefault="00F74BAE" w:rsidP="00F74BAE">
      <w:pPr>
        <w:pStyle w:val="BodyText"/>
        <w:rPr>
          <w:lang w:val="en-AU"/>
        </w:rPr>
      </w:pPr>
      <w:r w:rsidRPr="00F65403">
        <w:rPr>
          <w:lang w:val="en-AU"/>
        </w:rPr>
        <w:t>This section sets out information on how the Group determined fair value of non-financial physical assets for financial reporting purposes. Fair value is the price that would be received to sell an asset or paid to transfer a liability in an orderly transaction between market participants at the measurement date.</w:t>
      </w:r>
    </w:p>
    <w:p w14:paraId="53DE7A60" w14:textId="77777777" w:rsidR="00F74BAE" w:rsidRPr="00F65403" w:rsidRDefault="00F74BAE" w:rsidP="00F74BAE">
      <w:pPr>
        <w:pStyle w:val="BodyText"/>
        <w:rPr>
          <w:lang w:val="en-AU"/>
        </w:rPr>
      </w:pPr>
    </w:p>
    <w:p w14:paraId="19098700" w14:textId="77777777" w:rsidR="00F74BAE" w:rsidRPr="00F65403" w:rsidRDefault="00F74BAE" w:rsidP="00F74BAE">
      <w:pPr>
        <w:pStyle w:val="BodyText"/>
        <w:rPr>
          <w:lang w:val="en-AU"/>
        </w:rPr>
      </w:pPr>
      <w:r w:rsidRPr="00F65403">
        <w:rPr>
          <w:lang w:val="en-AU"/>
        </w:rPr>
        <w:t>The following non-financial physical assets are carried at fair value:</w:t>
      </w:r>
    </w:p>
    <w:p w14:paraId="3BE71AD2" w14:textId="4EDE3AD4" w:rsidR="00F74BAE" w:rsidRPr="00F65403" w:rsidRDefault="00F74BAE" w:rsidP="005308EF">
      <w:pPr>
        <w:pStyle w:val="ListBullet"/>
        <w:rPr>
          <w:lang w:val="en-AU"/>
        </w:rPr>
      </w:pPr>
      <w:r w:rsidRPr="00F65403">
        <w:rPr>
          <w:lang w:val="en-AU"/>
        </w:rPr>
        <w:t>property, plant and equipment</w:t>
      </w:r>
      <w:r w:rsidR="007153C6" w:rsidRPr="00F65403">
        <w:rPr>
          <w:lang w:val="en-AU"/>
        </w:rPr>
        <w:t>, excluding assets under construction</w:t>
      </w:r>
    </w:p>
    <w:p w14:paraId="2BFCB84A" w14:textId="77777777" w:rsidR="00F74BAE" w:rsidRPr="00F65403" w:rsidRDefault="00F74BAE" w:rsidP="005308EF">
      <w:pPr>
        <w:pStyle w:val="ListBullet"/>
        <w:rPr>
          <w:lang w:val="en-AU"/>
        </w:rPr>
      </w:pPr>
      <w:r w:rsidRPr="00F65403">
        <w:rPr>
          <w:lang w:val="en-AU"/>
        </w:rPr>
        <w:t>right-of-use assets.</w:t>
      </w:r>
    </w:p>
    <w:p w14:paraId="1936CC19" w14:textId="77777777" w:rsidR="00F74BAE" w:rsidRPr="00F65403" w:rsidRDefault="00F74BAE" w:rsidP="00F74BAE">
      <w:pPr>
        <w:pStyle w:val="BodyText"/>
        <w:rPr>
          <w:lang w:val="en-AU"/>
        </w:rPr>
      </w:pPr>
    </w:p>
    <w:p w14:paraId="66408D0F" w14:textId="2431049D" w:rsidR="00F74BAE" w:rsidRPr="00F65403" w:rsidRDefault="00F74BAE" w:rsidP="00F74BAE">
      <w:pPr>
        <w:pStyle w:val="BodyText"/>
        <w:rPr>
          <w:lang w:val="en-AU"/>
        </w:rPr>
      </w:pPr>
      <w:r w:rsidRPr="193BDB44">
        <w:rPr>
          <w:lang w:val="en-AU"/>
        </w:rPr>
        <w:t xml:space="preserve">In determining fair values, a number of inputs are used. To increase consistency and comparability in the financial statements, these inputs are categorised into three levels, also </w:t>
      </w:r>
      <w:r w:rsidRPr="004F07FF">
        <w:rPr>
          <w:lang w:val="en-AU"/>
        </w:rPr>
        <w:t xml:space="preserve">known as the fair value hierarchy. Classifications are in accordance with the fair value hierarchy, refer to </w:t>
      </w:r>
      <w:r w:rsidRPr="0010235E">
        <w:rPr>
          <w:lang w:val="en-AU"/>
        </w:rPr>
        <w:t xml:space="preserve">Note </w:t>
      </w:r>
      <w:r w:rsidR="00121690">
        <w:rPr>
          <w:lang w:val="en-AU"/>
        </w:rPr>
        <w:t>9</w:t>
      </w:r>
      <w:r w:rsidR="00121690" w:rsidRPr="0010235E">
        <w:rPr>
          <w:lang w:val="en-AU"/>
        </w:rPr>
        <w:t>ii</w:t>
      </w:r>
      <w:r w:rsidRPr="0010235E">
        <w:rPr>
          <w:lang w:val="en-AU"/>
        </w:rPr>
        <w:t xml:space="preserve">. </w:t>
      </w:r>
      <w:r w:rsidR="004F07FF" w:rsidRPr="0010235E">
        <w:rPr>
          <w:lang w:val="en-AU"/>
        </w:rPr>
        <w:t>F</w:t>
      </w:r>
      <w:r w:rsidRPr="0010235E">
        <w:rPr>
          <w:lang w:val="en-AU"/>
        </w:rPr>
        <w:t>air value measurements</w:t>
      </w:r>
      <w:r w:rsidRPr="004F07FF">
        <w:rPr>
          <w:lang w:val="en-AU"/>
        </w:rPr>
        <w:t>.</w:t>
      </w:r>
    </w:p>
    <w:p w14:paraId="36B67857" w14:textId="451F74C5" w:rsidR="00CD4AED" w:rsidRDefault="00CD4AED">
      <w:pPr>
        <w:rPr>
          <w:rFonts w:eastAsia="Arial" w:cs="Arial"/>
          <w:sz w:val="20"/>
          <w:szCs w:val="20"/>
        </w:rPr>
      </w:pPr>
      <w:r>
        <w:br w:type="page"/>
      </w:r>
    </w:p>
    <w:p w14:paraId="62CF9204" w14:textId="77777777" w:rsidR="00F74BAE" w:rsidRPr="00F65403" w:rsidRDefault="00F74BAE" w:rsidP="00F74BAE">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4504"/>
        <w:gridCol w:w="931"/>
        <w:gridCol w:w="931"/>
        <w:gridCol w:w="490"/>
        <w:gridCol w:w="304"/>
        <w:gridCol w:w="933"/>
        <w:gridCol w:w="933"/>
      </w:tblGrid>
      <w:tr w:rsidR="00F74BAE" w:rsidRPr="00BC3365" w14:paraId="02A12120" w14:textId="77777777" w:rsidTr="0083631A">
        <w:tc>
          <w:tcPr>
            <w:tcW w:w="2501" w:type="pct"/>
            <w:tcBorders>
              <w:top w:val="nil"/>
              <w:left w:val="nil"/>
              <w:bottom w:val="nil"/>
              <w:right w:val="nil"/>
            </w:tcBorders>
            <w:vAlign w:val="center"/>
            <w:hideMark/>
          </w:tcPr>
          <w:p w14:paraId="11336711" w14:textId="77777777" w:rsidR="00F74BAE" w:rsidRPr="00F65403" w:rsidRDefault="00F74BA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2499" w:type="pct"/>
            <w:gridSpan w:val="6"/>
            <w:tcBorders>
              <w:top w:val="nil"/>
              <w:left w:val="nil"/>
              <w:bottom w:val="nil"/>
              <w:right w:val="nil"/>
            </w:tcBorders>
            <w:hideMark/>
          </w:tcPr>
          <w:p w14:paraId="7C05B942" w14:textId="6D74B124" w:rsidR="00F74BAE" w:rsidRPr="00F65403" w:rsidRDefault="00272D2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F74BAE" w:rsidRPr="00BC3365" w14:paraId="228EBB9E" w14:textId="77777777" w:rsidTr="0083631A">
        <w:tc>
          <w:tcPr>
            <w:tcW w:w="2501" w:type="pct"/>
            <w:tcBorders>
              <w:top w:val="nil"/>
              <w:left w:val="nil"/>
              <w:bottom w:val="nil"/>
              <w:right w:val="nil"/>
            </w:tcBorders>
            <w:noWrap/>
            <w:vAlign w:val="bottom"/>
            <w:hideMark/>
          </w:tcPr>
          <w:p w14:paraId="7A807DBF" w14:textId="77777777" w:rsidR="00F74BAE" w:rsidRPr="00F65403" w:rsidRDefault="00F74BAE">
            <w:pPr>
              <w:spacing w:after="0" w:line="240" w:lineRule="auto"/>
              <w:jc w:val="center"/>
              <w:rPr>
                <w:rFonts w:eastAsia="Times New Roman" w:cs="Arial"/>
                <w:b/>
                <w:color w:val="000000"/>
                <w:sz w:val="20"/>
                <w:szCs w:val="20"/>
                <w:lang w:eastAsia="en-AU"/>
              </w:rPr>
            </w:pPr>
          </w:p>
        </w:tc>
        <w:tc>
          <w:tcPr>
            <w:tcW w:w="522" w:type="pct"/>
            <w:tcBorders>
              <w:top w:val="nil"/>
              <w:left w:val="nil"/>
              <w:bottom w:val="nil"/>
              <w:right w:val="nil"/>
            </w:tcBorders>
            <w:vAlign w:val="bottom"/>
            <w:hideMark/>
          </w:tcPr>
          <w:p w14:paraId="2E650047"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522" w:type="pct"/>
            <w:tcBorders>
              <w:top w:val="nil"/>
              <w:left w:val="nil"/>
              <w:bottom w:val="nil"/>
              <w:right w:val="nil"/>
            </w:tcBorders>
            <w:vAlign w:val="bottom"/>
            <w:hideMark/>
          </w:tcPr>
          <w:p w14:paraId="73C85FF5"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409" w:type="pct"/>
            <w:gridSpan w:val="2"/>
            <w:tcBorders>
              <w:top w:val="nil"/>
              <w:left w:val="nil"/>
              <w:bottom w:val="nil"/>
              <w:right w:val="nil"/>
            </w:tcBorders>
            <w:vAlign w:val="bottom"/>
            <w:hideMark/>
          </w:tcPr>
          <w:p w14:paraId="691634BC"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523" w:type="pct"/>
            <w:tcBorders>
              <w:top w:val="nil"/>
              <w:left w:val="nil"/>
              <w:bottom w:val="nil"/>
              <w:right w:val="nil"/>
            </w:tcBorders>
            <w:vAlign w:val="bottom"/>
            <w:hideMark/>
          </w:tcPr>
          <w:p w14:paraId="13F1FE85"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523" w:type="pct"/>
            <w:tcBorders>
              <w:top w:val="nil"/>
              <w:left w:val="nil"/>
              <w:bottom w:val="nil"/>
              <w:right w:val="nil"/>
            </w:tcBorders>
            <w:vAlign w:val="bottom"/>
            <w:hideMark/>
          </w:tcPr>
          <w:p w14:paraId="45BDEF36"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3631A" w:rsidRPr="00BC3365" w14:paraId="0AD5FAD8" w14:textId="77777777" w:rsidTr="00D15AF6">
        <w:tc>
          <w:tcPr>
            <w:tcW w:w="2501" w:type="pct"/>
            <w:tcBorders>
              <w:top w:val="nil"/>
              <w:left w:val="nil"/>
              <w:bottom w:val="nil"/>
              <w:right w:val="nil"/>
            </w:tcBorders>
            <w:noWrap/>
            <w:vAlign w:val="center"/>
            <w:hideMark/>
          </w:tcPr>
          <w:p w14:paraId="58C05D6F" w14:textId="61389581" w:rsidR="0083631A" w:rsidRPr="00F65403" w:rsidRDefault="0083631A" w:rsidP="0083631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Leasehold improvements</w:t>
            </w:r>
          </w:p>
        </w:tc>
        <w:tc>
          <w:tcPr>
            <w:tcW w:w="522" w:type="pct"/>
            <w:tcBorders>
              <w:top w:val="nil"/>
              <w:left w:val="nil"/>
              <w:bottom w:val="nil"/>
              <w:right w:val="nil"/>
            </w:tcBorders>
            <w:noWrap/>
            <w:vAlign w:val="center"/>
          </w:tcPr>
          <w:p w14:paraId="66CD5EA3" w14:textId="5FD06F21"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370</w:t>
            </w:r>
          </w:p>
        </w:tc>
        <w:tc>
          <w:tcPr>
            <w:tcW w:w="522" w:type="pct"/>
            <w:tcBorders>
              <w:top w:val="nil"/>
              <w:left w:val="nil"/>
              <w:bottom w:val="nil"/>
              <w:right w:val="nil"/>
            </w:tcBorders>
            <w:vAlign w:val="center"/>
          </w:tcPr>
          <w:p w14:paraId="6FB481F5" w14:textId="5A4435C1"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409" w:type="pct"/>
            <w:gridSpan w:val="2"/>
            <w:tcBorders>
              <w:top w:val="nil"/>
              <w:left w:val="nil"/>
              <w:bottom w:val="nil"/>
              <w:right w:val="nil"/>
            </w:tcBorders>
            <w:vAlign w:val="center"/>
          </w:tcPr>
          <w:p w14:paraId="7AEA7FAC" w14:textId="05CF151E"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523" w:type="pct"/>
            <w:tcBorders>
              <w:top w:val="nil"/>
              <w:left w:val="nil"/>
              <w:bottom w:val="nil"/>
              <w:right w:val="nil"/>
            </w:tcBorders>
            <w:noWrap/>
            <w:vAlign w:val="center"/>
          </w:tcPr>
          <w:p w14:paraId="1130EA70" w14:textId="7469D7DE"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370</w:t>
            </w:r>
          </w:p>
        </w:tc>
        <w:tc>
          <w:tcPr>
            <w:tcW w:w="523" w:type="pct"/>
            <w:tcBorders>
              <w:top w:val="nil"/>
              <w:left w:val="nil"/>
              <w:bottom w:val="nil"/>
              <w:right w:val="nil"/>
            </w:tcBorders>
            <w:noWrap/>
            <w:vAlign w:val="center"/>
          </w:tcPr>
          <w:p w14:paraId="1C9E9565" w14:textId="1B8B53CA"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370</w:t>
            </w:r>
          </w:p>
        </w:tc>
      </w:tr>
      <w:tr w:rsidR="0083631A" w:rsidRPr="00BC3365" w14:paraId="1B43D22B" w14:textId="77777777" w:rsidTr="00D15AF6">
        <w:tc>
          <w:tcPr>
            <w:tcW w:w="2501" w:type="pct"/>
            <w:tcBorders>
              <w:top w:val="nil"/>
              <w:left w:val="nil"/>
              <w:bottom w:val="nil"/>
              <w:right w:val="nil"/>
            </w:tcBorders>
            <w:noWrap/>
            <w:vAlign w:val="bottom"/>
            <w:hideMark/>
          </w:tcPr>
          <w:p w14:paraId="4E04D7F5" w14:textId="19E7CD8C" w:rsidR="0083631A" w:rsidRPr="00F65403" w:rsidRDefault="0083631A" w:rsidP="0083631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land</w:t>
            </w:r>
          </w:p>
        </w:tc>
        <w:tc>
          <w:tcPr>
            <w:tcW w:w="522" w:type="pct"/>
            <w:tcBorders>
              <w:top w:val="nil"/>
              <w:left w:val="nil"/>
              <w:bottom w:val="nil"/>
              <w:right w:val="nil"/>
            </w:tcBorders>
            <w:noWrap/>
            <w:vAlign w:val="center"/>
          </w:tcPr>
          <w:p w14:paraId="2ADDA148" w14:textId="4B1A34D7"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6,271</w:t>
            </w:r>
          </w:p>
        </w:tc>
        <w:tc>
          <w:tcPr>
            <w:tcW w:w="522" w:type="pct"/>
            <w:tcBorders>
              <w:top w:val="nil"/>
              <w:left w:val="nil"/>
              <w:bottom w:val="nil"/>
              <w:right w:val="nil"/>
            </w:tcBorders>
            <w:vAlign w:val="center"/>
          </w:tcPr>
          <w:p w14:paraId="13810161" w14:textId="4769E862"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409" w:type="pct"/>
            <w:gridSpan w:val="2"/>
            <w:tcBorders>
              <w:top w:val="nil"/>
              <w:left w:val="nil"/>
              <w:bottom w:val="nil"/>
              <w:right w:val="nil"/>
            </w:tcBorders>
            <w:vAlign w:val="center"/>
          </w:tcPr>
          <w:p w14:paraId="571E9EE2" w14:textId="4504CDFE"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523" w:type="pct"/>
            <w:tcBorders>
              <w:top w:val="nil"/>
              <w:left w:val="nil"/>
              <w:bottom w:val="nil"/>
              <w:right w:val="nil"/>
            </w:tcBorders>
            <w:noWrap/>
            <w:vAlign w:val="center"/>
          </w:tcPr>
          <w:p w14:paraId="4CC22A3A" w14:textId="645F73AB"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6,271</w:t>
            </w:r>
          </w:p>
        </w:tc>
        <w:tc>
          <w:tcPr>
            <w:tcW w:w="523" w:type="pct"/>
            <w:tcBorders>
              <w:top w:val="nil"/>
              <w:left w:val="nil"/>
              <w:bottom w:val="nil"/>
              <w:right w:val="nil"/>
            </w:tcBorders>
            <w:noWrap/>
            <w:vAlign w:val="center"/>
          </w:tcPr>
          <w:p w14:paraId="4FDAE303" w14:textId="3CE564A0"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6,271</w:t>
            </w:r>
          </w:p>
        </w:tc>
      </w:tr>
      <w:tr w:rsidR="0083631A" w:rsidRPr="00BC3365" w14:paraId="5130A9B9" w14:textId="77777777" w:rsidTr="0010235E">
        <w:tc>
          <w:tcPr>
            <w:tcW w:w="2501" w:type="pct"/>
            <w:tcBorders>
              <w:top w:val="nil"/>
              <w:left w:val="nil"/>
              <w:bottom w:val="nil"/>
              <w:right w:val="nil"/>
            </w:tcBorders>
            <w:noWrap/>
            <w:vAlign w:val="bottom"/>
            <w:hideMark/>
          </w:tcPr>
          <w:p w14:paraId="13E27A90" w14:textId="669650F7" w:rsidR="0083631A" w:rsidRPr="00F65403" w:rsidRDefault="0083631A" w:rsidP="0083631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buildings</w:t>
            </w:r>
          </w:p>
        </w:tc>
        <w:tc>
          <w:tcPr>
            <w:tcW w:w="522" w:type="pct"/>
            <w:tcBorders>
              <w:top w:val="nil"/>
              <w:left w:val="nil"/>
              <w:bottom w:val="single" w:sz="4" w:space="0" w:color="auto"/>
              <w:right w:val="nil"/>
            </w:tcBorders>
            <w:noWrap/>
            <w:vAlign w:val="center"/>
          </w:tcPr>
          <w:p w14:paraId="7284AFF7" w14:textId="4752317B"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2,720</w:t>
            </w:r>
          </w:p>
        </w:tc>
        <w:tc>
          <w:tcPr>
            <w:tcW w:w="522" w:type="pct"/>
            <w:tcBorders>
              <w:top w:val="nil"/>
              <w:left w:val="nil"/>
              <w:bottom w:val="single" w:sz="4" w:space="0" w:color="auto"/>
              <w:right w:val="nil"/>
            </w:tcBorders>
            <w:vAlign w:val="center"/>
          </w:tcPr>
          <w:p w14:paraId="675F85C6" w14:textId="37410FFB"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409" w:type="pct"/>
            <w:gridSpan w:val="2"/>
            <w:tcBorders>
              <w:top w:val="nil"/>
              <w:left w:val="nil"/>
              <w:bottom w:val="single" w:sz="4" w:space="0" w:color="auto"/>
              <w:right w:val="nil"/>
            </w:tcBorders>
            <w:vAlign w:val="center"/>
          </w:tcPr>
          <w:p w14:paraId="569BDE43" w14:textId="560ED0EC"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w:t>
            </w:r>
          </w:p>
        </w:tc>
        <w:tc>
          <w:tcPr>
            <w:tcW w:w="523" w:type="pct"/>
            <w:tcBorders>
              <w:top w:val="nil"/>
              <w:left w:val="nil"/>
              <w:bottom w:val="single" w:sz="4" w:space="0" w:color="auto"/>
              <w:right w:val="nil"/>
            </w:tcBorders>
            <w:noWrap/>
            <w:vAlign w:val="center"/>
          </w:tcPr>
          <w:p w14:paraId="34AA884F" w14:textId="1171C52E"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2,720</w:t>
            </w:r>
          </w:p>
        </w:tc>
        <w:tc>
          <w:tcPr>
            <w:tcW w:w="523" w:type="pct"/>
            <w:tcBorders>
              <w:top w:val="nil"/>
              <w:left w:val="nil"/>
              <w:bottom w:val="single" w:sz="4" w:space="0" w:color="auto"/>
              <w:right w:val="nil"/>
            </w:tcBorders>
            <w:noWrap/>
            <w:vAlign w:val="center"/>
          </w:tcPr>
          <w:p w14:paraId="0D3BFB9F" w14:textId="54A62836" w:rsidR="0083631A" w:rsidRPr="00F65403" w:rsidRDefault="0083631A" w:rsidP="0083631A">
            <w:pPr>
              <w:tabs>
                <w:tab w:val="decimal" w:pos="737"/>
              </w:tabs>
              <w:spacing w:after="0" w:line="240" w:lineRule="auto"/>
              <w:rPr>
                <w:rFonts w:eastAsia="Times New Roman" w:cs="Arial"/>
                <w:color w:val="000000"/>
                <w:sz w:val="20"/>
                <w:szCs w:val="20"/>
                <w:lang w:eastAsia="en-AU"/>
              </w:rPr>
            </w:pPr>
            <w:r>
              <w:rPr>
                <w:rFonts w:cs="Arial"/>
                <w:color w:val="000000"/>
                <w:sz w:val="20"/>
                <w:szCs w:val="20"/>
              </w:rPr>
              <w:t>2,720</w:t>
            </w:r>
          </w:p>
        </w:tc>
      </w:tr>
      <w:tr w:rsidR="0083631A" w:rsidRPr="00BC3365" w14:paraId="77722566" w14:textId="77777777" w:rsidTr="0010235E">
        <w:tc>
          <w:tcPr>
            <w:tcW w:w="2501" w:type="pct"/>
            <w:tcBorders>
              <w:top w:val="nil"/>
              <w:left w:val="nil"/>
              <w:bottom w:val="nil"/>
              <w:right w:val="nil"/>
            </w:tcBorders>
            <w:noWrap/>
            <w:vAlign w:val="center"/>
            <w:hideMark/>
          </w:tcPr>
          <w:p w14:paraId="52EC096E" w14:textId="77777777" w:rsidR="0083631A" w:rsidRPr="00F65403" w:rsidRDefault="0083631A" w:rsidP="0083631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522" w:type="pct"/>
            <w:tcBorders>
              <w:top w:val="single" w:sz="4" w:space="0" w:color="auto"/>
              <w:left w:val="nil"/>
              <w:bottom w:val="single" w:sz="4" w:space="0" w:color="auto"/>
              <w:right w:val="nil"/>
            </w:tcBorders>
            <w:vAlign w:val="center"/>
            <w:hideMark/>
          </w:tcPr>
          <w:p w14:paraId="44329807" w14:textId="056189CB" w:rsidR="0083631A" w:rsidRPr="00F65403" w:rsidRDefault="0083631A" w:rsidP="0083631A">
            <w:pPr>
              <w:tabs>
                <w:tab w:val="decimal" w:pos="737"/>
              </w:tabs>
              <w:spacing w:after="0" w:line="240" w:lineRule="auto"/>
              <w:rPr>
                <w:rFonts w:eastAsia="Times New Roman" w:cs="Arial"/>
                <w:b/>
                <w:color w:val="000000"/>
                <w:sz w:val="20"/>
                <w:szCs w:val="20"/>
                <w:lang w:eastAsia="en-AU"/>
              </w:rPr>
            </w:pPr>
            <w:r>
              <w:rPr>
                <w:rFonts w:cs="Arial"/>
                <w:b/>
                <w:bCs/>
                <w:color w:val="000000"/>
                <w:sz w:val="20"/>
                <w:szCs w:val="20"/>
              </w:rPr>
              <w:t>9,361</w:t>
            </w:r>
          </w:p>
        </w:tc>
        <w:tc>
          <w:tcPr>
            <w:tcW w:w="522" w:type="pct"/>
            <w:tcBorders>
              <w:top w:val="single" w:sz="4" w:space="0" w:color="auto"/>
              <w:left w:val="nil"/>
              <w:bottom w:val="single" w:sz="4" w:space="0" w:color="auto"/>
              <w:right w:val="nil"/>
            </w:tcBorders>
            <w:vAlign w:val="center"/>
            <w:hideMark/>
          </w:tcPr>
          <w:p w14:paraId="63FF20ED" w14:textId="6EE43534" w:rsidR="0083631A" w:rsidRPr="00F65403" w:rsidRDefault="0083631A" w:rsidP="0083631A">
            <w:pPr>
              <w:tabs>
                <w:tab w:val="decimal" w:pos="737"/>
              </w:tabs>
              <w:spacing w:after="0" w:line="240" w:lineRule="auto"/>
              <w:rPr>
                <w:rFonts w:eastAsia="Times New Roman" w:cs="Arial"/>
                <w:b/>
                <w:color w:val="000000"/>
                <w:sz w:val="20"/>
                <w:szCs w:val="20"/>
                <w:lang w:eastAsia="en-AU"/>
              </w:rPr>
            </w:pPr>
            <w:r>
              <w:rPr>
                <w:rFonts w:cs="Arial"/>
                <w:b/>
                <w:bCs/>
                <w:color w:val="000000"/>
                <w:sz w:val="20"/>
                <w:szCs w:val="20"/>
              </w:rPr>
              <w:t>-</w:t>
            </w:r>
          </w:p>
        </w:tc>
        <w:tc>
          <w:tcPr>
            <w:tcW w:w="409" w:type="pct"/>
            <w:gridSpan w:val="2"/>
            <w:tcBorders>
              <w:top w:val="single" w:sz="4" w:space="0" w:color="auto"/>
              <w:left w:val="nil"/>
              <w:bottom w:val="single" w:sz="4" w:space="0" w:color="auto"/>
              <w:right w:val="nil"/>
            </w:tcBorders>
            <w:vAlign w:val="center"/>
            <w:hideMark/>
          </w:tcPr>
          <w:p w14:paraId="4D9F22E0" w14:textId="4893482D" w:rsidR="0083631A" w:rsidRPr="00F65403" w:rsidRDefault="0083631A" w:rsidP="0083631A">
            <w:pPr>
              <w:tabs>
                <w:tab w:val="decimal" w:pos="737"/>
              </w:tabs>
              <w:spacing w:after="0" w:line="240" w:lineRule="auto"/>
              <w:rPr>
                <w:rFonts w:eastAsia="Times New Roman" w:cs="Arial"/>
                <w:b/>
                <w:color w:val="000000"/>
                <w:sz w:val="20"/>
                <w:szCs w:val="20"/>
                <w:lang w:eastAsia="en-AU"/>
              </w:rPr>
            </w:pPr>
            <w:r>
              <w:rPr>
                <w:rFonts w:cs="Arial"/>
                <w:b/>
                <w:bCs/>
                <w:color w:val="000000"/>
                <w:sz w:val="20"/>
                <w:szCs w:val="20"/>
              </w:rPr>
              <w:t>-</w:t>
            </w:r>
          </w:p>
        </w:tc>
        <w:tc>
          <w:tcPr>
            <w:tcW w:w="523" w:type="pct"/>
            <w:tcBorders>
              <w:top w:val="single" w:sz="4" w:space="0" w:color="auto"/>
              <w:left w:val="nil"/>
              <w:bottom w:val="single" w:sz="4" w:space="0" w:color="auto"/>
              <w:right w:val="nil"/>
            </w:tcBorders>
            <w:vAlign w:val="center"/>
            <w:hideMark/>
          </w:tcPr>
          <w:p w14:paraId="6D09D219" w14:textId="7E634F16" w:rsidR="0083631A" w:rsidRPr="00F65403" w:rsidRDefault="0083631A" w:rsidP="0083631A">
            <w:pPr>
              <w:tabs>
                <w:tab w:val="decimal" w:pos="737"/>
              </w:tabs>
              <w:spacing w:after="0" w:line="240" w:lineRule="auto"/>
              <w:rPr>
                <w:rFonts w:eastAsia="Times New Roman" w:cs="Arial"/>
                <w:b/>
                <w:color w:val="000000"/>
                <w:sz w:val="20"/>
                <w:szCs w:val="20"/>
                <w:lang w:eastAsia="en-AU"/>
              </w:rPr>
            </w:pPr>
            <w:r>
              <w:rPr>
                <w:rFonts w:cs="Arial"/>
                <w:b/>
                <w:bCs/>
                <w:color w:val="000000"/>
                <w:sz w:val="20"/>
                <w:szCs w:val="20"/>
              </w:rPr>
              <w:t>9,361</w:t>
            </w:r>
          </w:p>
        </w:tc>
        <w:tc>
          <w:tcPr>
            <w:tcW w:w="523" w:type="pct"/>
            <w:tcBorders>
              <w:top w:val="single" w:sz="4" w:space="0" w:color="auto"/>
              <w:left w:val="nil"/>
              <w:bottom w:val="single" w:sz="4" w:space="0" w:color="auto"/>
              <w:right w:val="nil"/>
            </w:tcBorders>
            <w:vAlign w:val="center"/>
            <w:hideMark/>
          </w:tcPr>
          <w:p w14:paraId="2CCE0A69" w14:textId="42DDF0A9" w:rsidR="0083631A" w:rsidRPr="00F65403" w:rsidRDefault="0083631A" w:rsidP="0083631A">
            <w:pPr>
              <w:tabs>
                <w:tab w:val="decimal" w:pos="737"/>
              </w:tabs>
              <w:spacing w:after="0" w:line="240" w:lineRule="auto"/>
              <w:rPr>
                <w:rFonts w:eastAsia="Times New Roman" w:cs="Arial"/>
                <w:b/>
                <w:color w:val="000000"/>
                <w:sz w:val="20"/>
                <w:szCs w:val="20"/>
                <w:lang w:eastAsia="en-AU"/>
              </w:rPr>
            </w:pPr>
            <w:r>
              <w:rPr>
                <w:rFonts w:cs="Arial"/>
                <w:b/>
                <w:bCs/>
                <w:color w:val="000000"/>
                <w:sz w:val="20"/>
                <w:szCs w:val="20"/>
              </w:rPr>
              <w:t>9,361</w:t>
            </w:r>
          </w:p>
        </w:tc>
      </w:tr>
      <w:tr w:rsidR="00F74BAE" w:rsidRPr="00BC3365" w14:paraId="27597793" w14:textId="77777777" w:rsidTr="0010235E">
        <w:tc>
          <w:tcPr>
            <w:tcW w:w="2501" w:type="pct"/>
            <w:tcBorders>
              <w:top w:val="nil"/>
              <w:left w:val="nil"/>
              <w:bottom w:val="nil"/>
              <w:right w:val="nil"/>
            </w:tcBorders>
            <w:noWrap/>
            <w:vAlign w:val="bottom"/>
            <w:hideMark/>
          </w:tcPr>
          <w:p w14:paraId="7111B04A" w14:textId="77777777" w:rsidR="00F74BAE" w:rsidRPr="00F65403" w:rsidRDefault="00F74BAE">
            <w:pPr>
              <w:spacing w:after="0" w:line="240" w:lineRule="auto"/>
              <w:jc w:val="right"/>
              <w:rPr>
                <w:rFonts w:eastAsia="Times New Roman" w:cs="Arial"/>
                <w:b/>
                <w:color w:val="000000"/>
                <w:sz w:val="20"/>
                <w:szCs w:val="20"/>
                <w:lang w:eastAsia="en-AU"/>
              </w:rPr>
            </w:pPr>
          </w:p>
        </w:tc>
        <w:tc>
          <w:tcPr>
            <w:tcW w:w="1296" w:type="pct"/>
            <w:gridSpan w:val="3"/>
            <w:tcBorders>
              <w:top w:val="single" w:sz="4" w:space="0" w:color="auto"/>
              <w:left w:val="nil"/>
              <w:bottom w:val="nil"/>
              <w:right w:val="nil"/>
            </w:tcBorders>
            <w:vAlign w:val="center"/>
            <w:hideMark/>
          </w:tcPr>
          <w:p w14:paraId="4EA4F8FF" w14:textId="77777777" w:rsidR="00F74BAE" w:rsidRPr="00F65403" w:rsidRDefault="00F74BAE">
            <w:pPr>
              <w:spacing w:after="0" w:line="240" w:lineRule="auto"/>
              <w:jc w:val="right"/>
              <w:rPr>
                <w:rFonts w:eastAsia="Times New Roman" w:cs="Arial"/>
                <w:sz w:val="20"/>
                <w:szCs w:val="20"/>
                <w:lang w:eastAsia="en-AU"/>
              </w:rPr>
            </w:pPr>
          </w:p>
        </w:tc>
        <w:tc>
          <w:tcPr>
            <w:tcW w:w="1204" w:type="pct"/>
            <w:gridSpan w:val="3"/>
            <w:tcBorders>
              <w:top w:val="single" w:sz="4" w:space="0" w:color="auto"/>
              <w:left w:val="nil"/>
              <w:bottom w:val="nil"/>
              <w:right w:val="nil"/>
            </w:tcBorders>
            <w:noWrap/>
            <w:vAlign w:val="bottom"/>
            <w:hideMark/>
          </w:tcPr>
          <w:p w14:paraId="29F1410E" w14:textId="77777777" w:rsidR="00F74BAE" w:rsidRPr="00F65403" w:rsidRDefault="00F74BAE">
            <w:pPr>
              <w:spacing w:after="0" w:line="240" w:lineRule="auto"/>
              <w:jc w:val="right"/>
              <w:rPr>
                <w:rFonts w:eastAsia="Times New Roman" w:cs="Arial"/>
                <w:sz w:val="20"/>
                <w:szCs w:val="20"/>
                <w:lang w:eastAsia="en-AU"/>
              </w:rPr>
            </w:pPr>
          </w:p>
        </w:tc>
      </w:tr>
    </w:tbl>
    <w:p w14:paraId="12309128" w14:textId="77777777" w:rsidR="00F74BAE" w:rsidRPr="00F65403" w:rsidRDefault="00F74BAE" w:rsidP="00F74BAE">
      <w:pPr>
        <w:pStyle w:val="BodyText"/>
        <w:rPr>
          <w:lang w:val="en-AU"/>
        </w:rPr>
      </w:pPr>
    </w:p>
    <w:p w14:paraId="230171CD" w14:textId="7007DC66" w:rsidR="00FB293A" w:rsidRPr="00F65403" w:rsidRDefault="00FB293A" w:rsidP="00F74BAE">
      <w:pPr>
        <w:pStyle w:val="BodyText"/>
        <w:rPr>
          <w:lang w:val="en-AU"/>
        </w:rPr>
      </w:pPr>
      <w:r w:rsidRPr="00F65403">
        <w:rPr>
          <w:lang w:val="en-AU"/>
        </w:rPr>
        <w:t>Leasehold improvements are valued using the current replacement cost method. This cost represents the replacement cost of the asset after applying depreciation rates on a useful life basis. Replacement costs represents the cost to replace the current service capacity of the asset. As depreciation adjustments are considered significant, unobservable inputs in nature, leasehold improvements are classified as Level 3.</w:t>
      </w:r>
    </w:p>
    <w:p w14:paraId="74745294" w14:textId="77777777" w:rsidR="00FB293A" w:rsidRPr="00F65403" w:rsidRDefault="00FB293A" w:rsidP="00F74BAE">
      <w:pPr>
        <w:pStyle w:val="BodyText"/>
        <w:rPr>
          <w:lang w:val="en-AU"/>
        </w:rPr>
      </w:pPr>
    </w:p>
    <w:p w14:paraId="6C3D7363" w14:textId="2A43572E" w:rsidR="00F74BAE" w:rsidRPr="00F65403" w:rsidRDefault="00F74BAE" w:rsidP="00F74BAE">
      <w:pPr>
        <w:pStyle w:val="BodyText"/>
        <w:rPr>
          <w:lang w:val="en-AU"/>
        </w:rPr>
      </w:pPr>
      <w:r w:rsidRPr="00F65403">
        <w:rPr>
          <w:lang w:val="en-AU"/>
        </w:rPr>
        <w:t>ROU are valued using the market approach assessing against rental market indicators, including comparable leases. As the fair value is subsequently depreciated over the earlier of the end of the useful life of the right-of- use asset or the end of the lease term over the lesser, this is considered a significant, unobservable input, and classified as Level 3.</w:t>
      </w:r>
    </w:p>
    <w:p w14:paraId="0C807E3A" w14:textId="77777777" w:rsidR="00F74BAE" w:rsidRPr="00F65403" w:rsidRDefault="00F74BAE" w:rsidP="00F74BAE">
      <w:pPr>
        <w:pStyle w:val="BodyText"/>
        <w:rPr>
          <w:lang w:val="en-AU"/>
        </w:rPr>
      </w:pPr>
    </w:p>
    <w:p w14:paraId="387721DB" w14:textId="76D5AF46" w:rsidR="00F74BAE" w:rsidRPr="00F65403" w:rsidRDefault="009F07B7" w:rsidP="00F74BAE">
      <w:pPr>
        <w:pStyle w:val="Heading8"/>
      </w:pPr>
      <w:r>
        <w:t>iv.</w:t>
      </w:r>
      <w:r>
        <w:tab/>
      </w:r>
      <w:r w:rsidR="00F74BAE">
        <w:t>Reconciliation of Level 3 fair value movements</w:t>
      </w:r>
    </w:p>
    <w:tbl>
      <w:tblPr>
        <w:tblW w:w="9073" w:type="dxa"/>
        <w:tblCellMar>
          <w:top w:w="28" w:type="dxa"/>
          <w:left w:w="28" w:type="dxa"/>
          <w:bottom w:w="28" w:type="dxa"/>
          <w:right w:w="28" w:type="dxa"/>
        </w:tblCellMar>
        <w:tblLook w:val="04A0" w:firstRow="1" w:lastRow="0" w:firstColumn="1" w:lastColumn="0" w:noHBand="0" w:noVBand="1"/>
      </w:tblPr>
      <w:tblGrid>
        <w:gridCol w:w="3261"/>
        <w:gridCol w:w="1560"/>
        <w:gridCol w:w="1560"/>
        <w:gridCol w:w="1560"/>
        <w:gridCol w:w="1132"/>
      </w:tblGrid>
      <w:tr w:rsidR="00C0193F" w:rsidRPr="00901F1B" w14:paraId="675CDE00" w14:textId="77777777" w:rsidTr="0080685E">
        <w:trPr>
          <w:trHeight w:val="300"/>
        </w:trPr>
        <w:tc>
          <w:tcPr>
            <w:tcW w:w="3261" w:type="dxa"/>
            <w:tcBorders>
              <w:top w:val="nil"/>
              <w:left w:val="nil"/>
              <w:bottom w:val="nil"/>
              <w:right w:val="nil"/>
            </w:tcBorders>
            <w:noWrap/>
            <w:vAlign w:val="bottom"/>
            <w:hideMark/>
          </w:tcPr>
          <w:p w14:paraId="4D5A9D88" w14:textId="77777777" w:rsidR="00C0193F" w:rsidRPr="00F65403" w:rsidRDefault="00C0193F" w:rsidP="00C0193F">
            <w:pPr>
              <w:spacing w:after="0" w:line="240" w:lineRule="auto"/>
              <w:rPr>
                <w:rFonts w:eastAsia="Times New Roman" w:cs="Arial"/>
                <w:sz w:val="20"/>
                <w:szCs w:val="20"/>
                <w:lang w:eastAsia="en-AU"/>
              </w:rPr>
            </w:pPr>
          </w:p>
        </w:tc>
        <w:tc>
          <w:tcPr>
            <w:tcW w:w="1560" w:type="dxa"/>
            <w:tcBorders>
              <w:top w:val="nil"/>
              <w:left w:val="nil"/>
              <w:bottom w:val="nil"/>
              <w:right w:val="nil"/>
            </w:tcBorders>
          </w:tcPr>
          <w:p w14:paraId="05CEF9C8" w14:textId="55D7CC7D" w:rsidR="00C0193F" w:rsidRPr="00F65403" w:rsidRDefault="00C0193F" w:rsidP="00C0193F">
            <w:pPr>
              <w:spacing w:after="0" w:line="240" w:lineRule="auto"/>
              <w:jc w:val="center"/>
              <w:rPr>
                <w:rFonts w:eastAsia="Times New Roman" w:cs="Arial"/>
                <w:b/>
                <w:color w:val="000000"/>
                <w:sz w:val="20"/>
                <w:szCs w:val="20"/>
                <w:lang w:eastAsia="en-AU"/>
              </w:rPr>
            </w:pPr>
            <w:r w:rsidRPr="00A264C9">
              <w:rPr>
                <w:rFonts w:eastAsia="Times New Roman" w:cs="Arial"/>
                <w:b/>
                <w:color w:val="000000"/>
                <w:sz w:val="20"/>
                <w:szCs w:val="20"/>
                <w:lang w:eastAsia="en-AU"/>
              </w:rPr>
              <w:t>Leasehold improvements</w:t>
            </w:r>
          </w:p>
        </w:tc>
        <w:tc>
          <w:tcPr>
            <w:tcW w:w="1560" w:type="dxa"/>
            <w:tcBorders>
              <w:top w:val="nil"/>
              <w:left w:val="nil"/>
              <w:bottom w:val="nil"/>
              <w:right w:val="nil"/>
            </w:tcBorders>
            <w:hideMark/>
          </w:tcPr>
          <w:p w14:paraId="020A7850" w14:textId="2FAD13C9" w:rsidR="00C0193F" w:rsidRPr="00F65403" w:rsidRDefault="00C0193F" w:rsidP="00C0193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Right-of-use land</w:t>
            </w:r>
          </w:p>
        </w:tc>
        <w:tc>
          <w:tcPr>
            <w:tcW w:w="1560" w:type="dxa"/>
            <w:tcBorders>
              <w:top w:val="nil"/>
              <w:left w:val="nil"/>
              <w:bottom w:val="nil"/>
              <w:right w:val="nil"/>
            </w:tcBorders>
            <w:hideMark/>
          </w:tcPr>
          <w:p w14:paraId="48E87CE5" w14:textId="1DDCC9C2" w:rsidR="00C0193F" w:rsidRPr="00F65403" w:rsidRDefault="00C0193F" w:rsidP="00C0193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Right-of-use buildings</w:t>
            </w:r>
          </w:p>
        </w:tc>
        <w:tc>
          <w:tcPr>
            <w:tcW w:w="1132" w:type="dxa"/>
            <w:tcBorders>
              <w:top w:val="nil"/>
              <w:left w:val="nil"/>
              <w:bottom w:val="nil"/>
              <w:right w:val="nil"/>
            </w:tcBorders>
            <w:vAlign w:val="bottom"/>
            <w:hideMark/>
          </w:tcPr>
          <w:p w14:paraId="6817D1D2" w14:textId="77777777" w:rsidR="00C0193F" w:rsidRPr="00F65403" w:rsidRDefault="00C0193F" w:rsidP="00C0193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 Total </w:t>
            </w:r>
          </w:p>
        </w:tc>
      </w:tr>
      <w:tr w:rsidR="00C0193F" w:rsidRPr="00901F1B" w14:paraId="777C4FA4" w14:textId="77777777" w:rsidTr="0080685E">
        <w:trPr>
          <w:trHeight w:val="119"/>
        </w:trPr>
        <w:tc>
          <w:tcPr>
            <w:tcW w:w="3261" w:type="dxa"/>
            <w:tcBorders>
              <w:top w:val="nil"/>
              <w:left w:val="nil"/>
              <w:bottom w:val="nil"/>
              <w:right w:val="nil"/>
            </w:tcBorders>
            <w:noWrap/>
            <w:vAlign w:val="bottom"/>
            <w:hideMark/>
          </w:tcPr>
          <w:p w14:paraId="495C2225" w14:textId="77777777" w:rsidR="00C0193F" w:rsidRPr="00F65403" w:rsidRDefault="00C0193F" w:rsidP="00C0193F">
            <w:pPr>
              <w:spacing w:after="0" w:line="240" w:lineRule="auto"/>
              <w:jc w:val="center"/>
              <w:rPr>
                <w:rFonts w:eastAsia="Times New Roman" w:cs="Arial"/>
                <w:b/>
                <w:color w:val="000000"/>
                <w:sz w:val="20"/>
                <w:szCs w:val="20"/>
                <w:lang w:eastAsia="en-AU"/>
              </w:rPr>
            </w:pPr>
          </w:p>
        </w:tc>
        <w:tc>
          <w:tcPr>
            <w:tcW w:w="1560" w:type="dxa"/>
            <w:tcBorders>
              <w:top w:val="nil"/>
              <w:left w:val="nil"/>
              <w:bottom w:val="nil"/>
              <w:right w:val="nil"/>
            </w:tcBorders>
          </w:tcPr>
          <w:p w14:paraId="27024968" w14:textId="2EFB3DD1" w:rsidR="00C0193F" w:rsidRPr="0010235E" w:rsidRDefault="00C0193F" w:rsidP="0010235E">
            <w:pPr>
              <w:tabs>
                <w:tab w:val="decimal" w:pos="737"/>
              </w:tabs>
              <w:spacing w:after="0" w:line="240" w:lineRule="auto"/>
              <w:jc w:val="center"/>
              <w:rPr>
                <w:rFonts w:cs="Arial"/>
                <w:b/>
                <w:bCs/>
                <w:color w:val="000000"/>
                <w:sz w:val="20"/>
                <w:szCs w:val="20"/>
              </w:rPr>
            </w:pPr>
            <w:r w:rsidRPr="0010235E">
              <w:rPr>
                <w:rFonts w:cs="Arial"/>
                <w:b/>
                <w:bCs/>
                <w:color w:val="000000"/>
                <w:sz w:val="20"/>
                <w:szCs w:val="20"/>
              </w:rPr>
              <w:t>$000's</w:t>
            </w:r>
          </w:p>
        </w:tc>
        <w:tc>
          <w:tcPr>
            <w:tcW w:w="1560" w:type="dxa"/>
            <w:tcBorders>
              <w:top w:val="nil"/>
              <w:left w:val="nil"/>
              <w:bottom w:val="nil"/>
              <w:right w:val="nil"/>
            </w:tcBorders>
            <w:noWrap/>
            <w:vAlign w:val="bottom"/>
            <w:hideMark/>
          </w:tcPr>
          <w:p w14:paraId="575891E5" w14:textId="0ACAF414" w:rsidR="00C0193F" w:rsidRPr="0010235E" w:rsidRDefault="00C0193F" w:rsidP="0010235E">
            <w:pPr>
              <w:tabs>
                <w:tab w:val="decimal" w:pos="737"/>
              </w:tabs>
              <w:spacing w:after="0" w:line="240" w:lineRule="auto"/>
              <w:jc w:val="center"/>
              <w:rPr>
                <w:rFonts w:cs="Arial"/>
                <w:b/>
                <w:bCs/>
                <w:color w:val="000000"/>
                <w:sz w:val="20"/>
                <w:szCs w:val="20"/>
              </w:rPr>
            </w:pPr>
            <w:r w:rsidRPr="0010235E">
              <w:rPr>
                <w:rFonts w:cs="Arial"/>
                <w:b/>
                <w:bCs/>
                <w:color w:val="000000"/>
                <w:sz w:val="20"/>
                <w:szCs w:val="20"/>
              </w:rPr>
              <w:t>$000's</w:t>
            </w:r>
          </w:p>
        </w:tc>
        <w:tc>
          <w:tcPr>
            <w:tcW w:w="1560" w:type="dxa"/>
            <w:tcBorders>
              <w:top w:val="nil"/>
              <w:left w:val="nil"/>
              <w:bottom w:val="nil"/>
              <w:right w:val="nil"/>
            </w:tcBorders>
            <w:noWrap/>
            <w:vAlign w:val="bottom"/>
            <w:hideMark/>
          </w:tcPr>
          <w:p w14:paraId="250C3B58" w14:textId="77777777" w:rsidR="00C0193F" w:rsidRPr="0010235E" w:rsidRDefault="00C0193F" w:rsidP="0010235E">
            <w:pPr>
              <w:tabs>
                <w:tab w:val="decimal" w:pos="737"/>
              </w:tabs>
              <w:spacing w:after="0" w:line="240" w:lineRule="auto"/>
              <w:jc w:val="center"/>
              <w:rPr>
                <w:rFonts w:cs="Arial"/>
                <w:b/>
                <w:bCs/>
                <w:color w:val="000000"/>
                <w:sz w:val="20"/>
                <w:szCs w:val="20"/>
              </w:rPr>
            </w:pPr>
            <w:r w:rsidRPr="0010235E">
              <w:rPr>
                <w:rFonts w:cs="Arial"/>
                <w:b/>
                <w:bCs/>
                <w:color w:val="000000"/>
                <w:sz w:val="20"/>
                <w:szCs w:val="20"/>
              </w:rPr>
              <w:t>$000's</w:t>
            </w:r>
          </w:p>
        </w:tc>
        <w:tc>
          <w:tcPr>
            <w:tcW w:w="1132" w:type="dxa"/>
            <w:tcBorders>
              <w:top w:val="nil"/>
              <w:left w:val="nil"/>
              <w:bottom w:val="nil"/>
              <w:right w:val="nil"/>
            </w:tcBorders>
            <w:noWrap/>
            <w:vAlign w:val="bottom"/>
            <w:hideMark/>
          </w:tcPr>
          <w:p w14:paraId="709417BC" w14:textId="77777777" w:rsidR="00C0193F" w:rsidRPr="0010235E" w:rsidRDefault="00C0193F" w:rsidP="0010235E">
            <w:pPr>
              <w:tabs>
                <w:tab w:val="decimal" w:pos="737"/>
              </w:tabs>
              <w:spacing w:after="0" w:line="240" w:lineRule="auto"/>
              <w:jc w:val="center"/>
              <w:rPr>
                <w:rFonts w:cs="Arial"/>
                <w:b/>
                <w:bCs/>
                <w:color w:val="000000"/>
                <w:sz w:val="20"/>
                <w:szCs w:val="20"/>
              </w:rPr>
            </w:pPr>
            <w:r w:rsidRPr="0010235E">
              <w:rPr>
                <w:rFonts w:cs="Arial"/>
                <w:b/>
                <w:bCs/>
                <w:color w:val="000000"/>
                <w:sz w:val="20"/>
                <w:szCs w:val="20"/>
              </w:rPr>
              <w:t>$000's</w:t>
            </w:r>
          </w:p>
        </w:tc>
      </w:tr>
      <w:tr w:rsidR="00C0193F" w:rsidRPr="00901F1B" w14:paraId="62F69E26" w14:textId="77777777" w:rsidTr="0080685E">
        <w:trPr>
          <w:trHeight w:val="40"/>
        </w:trPr>
        <w:tc>
          <w:tcPr>
            <w:tcW w:w="3261" w:type="dxa"/>
            <w:tcBorders>
              <w:top w:val="nil"/>
              <w:left w:val="nil"/>
              <w:bottom w:val="nil"/>
              <w:right w:val="nil"/>
            </w:tcBorders>
            <w:noWrap/>
            <w:vAlign w:val="bottom"/>
            <w:hideMark/>
          </w:tcPr>
          <w:p w14:paraId="7D267275" w14:textId="77777777" w:rsidR="00C0193F" w:rsidRPr="00F65403" w:rsidRDefault="00C0193F" w:rsidP="00C0193F">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Opening balance</w:t>
            </w:r>
          </w:p>
        </w:tc>
        <w:tc>
          <w:tcPr>
            <w:tcW w:w="1560" w:type="dxa"/>
            <w:tcBorders>
              <w:top w:val="nil"/>
              <w:left w:val="nil"/>
              <w:bottom w:val="nil"/>
              <w:right w:val="nil"/>
            </w:tcBorders>
          </w:tcPr>
          <w:p w14:paraId="366B88A4" w14:textId="7DE918D8" w:rsidR="00C0193F" w:rsidRPr="00C0193F" w:rsidRDefault="00C0193F" w:rsidP="0010235E">
            <w:pPr>
              <w:tabs>
                <w:tab w:val="decimal" w:pos="737"/>
              </w:tabs>
              <w:spacing w:after="0" w:line="240" w:lineRule="auto"/>
              <w:jc w:val="center"/>
              <w:rPr>
                <w:rFonts w:cs="Arial"/>
                <w:color w:val="000000"/>
                <w:sz w:val="20"/>
                <w:szCs w:val="20"/>
              </w:rPr>
            </w:pPr>
            <w:r>
              <w:rPr>
                <w:rFonts w:cs="Arial"/>
                <w:color w:val="000000"/>
                <w:sz w:val="20"/>
                <w:szCs w:val="20"/>
              </w:rPr>
              <w:t>-</w:t>
            </w:r>
          </w:p>
        </w:tc>
        <w:tc>
          <w:tcPr>
            <w:tcW w:w="1560" w:type="dxa"/>
            <w:tcBorders>
              <w:top w:val="nil"/>
              <w:left w:val="nil"/>
              <w:bottom w:val="nil"/>
              <w:right w:val="nil"/>
            </w:tcBorders>
            <w:noWrap/>
            <w:vAlign w:val="bottom"/>
            <w:hideMark/>
          </w:tcPr>
          <w:p w14:paraId="48893E81" w14:textId="5DAD33B0" w:rsidR="00C0193F" w:rsidRPr="0080685E" w:rsidRDefault="00C0193F" w:rsidP="0010235E">
            <w:pPr>
              <w:tabs>
                <w:tab w:val="decimal" w:pos="737"/>
              </w:tabs>
              <w:spacing w:after="0" w:line="240" w:lineRule="auto"/>
              <w:jc w:val="center"/>
              <w:rPr>
                <w:rFonts w:cs="Arial"/>
                <w:color w:val="000000"/>
                <w:sz w:val="20"/>
                <w:szCs w:val="20"/>
              </w:rPr>
            </w:pPr>
            <w:r w:rsidRPr="0080685E">
              <w:rPr>
                <w:rFonts w:cs="Arial"/>
                <w:color w:val="000000"/>
                <w:sz w:val="20"/>
                <w:szCs w:val="20"/>
              </w:rPr>
              <w:t>-</w:t>
            </w:r>
          </w:p>
        </w:tc>
        <w:tc>
          <w:tcPr>
            <w:tcW w:w="1560" w:type="dxa"/>
            <w:tcBorders>
              <w:top w:val="nil"/>
              <w:left w:val="nil"/>
              <w:bottom w:val="nil"/>
              <w:right w:val="nil"/>
            </w:tcBorders>
            <w:noWrap/>
            <w:vAlign w:val="bottom"/>
            <w:hideMark/>
          </w:tcPr>
          <w:p w14:paraId="45622CFE" w14:textId="44AC76A5" w:rsidR="00C0193F" w:rsidRPr="0080685E" w:rsidRDefault="00C0193F" w:rsidP="0010235E">
            <w:pPr>
              <w:tabs>
                <w:tab w:val="decimal" w:pos="737"/>
              </w:tabs>
              <w:spacing w:after="0" w:line="240" w:lineRule="auto"/>
              <w:jc w:val="center"/>
              <w:rPr>
                <w:rFonts w:cs="Arial"/>
                <w:color w:val="000000"/>
                <w:sz w:val="20"/>
                <w:szCs w:val="20"/>
              </w:rPr>
            </w:pPr>
            <w:r w:rsidRPr="0080685E">
              <w:rPr>
                <w:rFonts w:cs="Arial"/>
                <w:color w:val="000000"/>
                <w:sz w:val="20"/>
                <w:szCs w:val="20"/>
              </w:rPr>
              <w:t>-</w:t>
            </w:r>
          </w:p>
        </w:tc>
        <w:tc>
          <w:tcPr>
            <w:tcW w:w="1132" w:type="dxa"/>
            <w:tcBorders>
              <w:top w:val="nil"/>
              <w:left w:val="nil"/>
              <w:bottom w:val="nil"/>
              <w:right w:val="nil"/>
            </w:tcBorders>
            <w:noWrap/>
            <w:vAlign w:val="bottom"/>
            <w:hideMark/>
          </w:tcPr>
          <w:p w14:paraId="5569665C" w14:textId="53B9BC5F" w:rsidR="00C0193F" w:rsidRPr="0080685E" w:rsidRDefault="00C0193F" w:rsidP="0010235E">
            <w:pPr>
              <w:tabs>
                <w:tab w:val="decimal" w:pos="737"/>
              </w:tabs>
              <w:spacing w:after="0" w:line="240" w:lineRule="auto"/>
              <w:jc w:val="center"/>
              <w:rPr>
                <w:rFonts w:cs="Arial"/>
                <w:color w:val="000000"/>
                <w:sz w:val="20"/>
                <w:szCs w:val="20"/>
              </w:rPr>
            </w:pPr>
            <w:r w:rsidRPr="0080685E">
              <w:rPr>
                <w:rFonts w:cs="Arial"/>
                <w:color w:val="000000"/>
                <w:sz w:val="20"/>
                <w:szCs w:val="20"/>
              </w:rPr>
              <w:t>-</w:t>
            </w:r>
          </w:p>
        </w:tc>
      </w:tr>
      <w:tr w:rsidR="0059608B" w:rsidRPr="00901F1B" w14:paraId="5B9FA96D" w14:textId="77777777" w:rsidTr="0080685E">
        <w:trPr>
          <w:trHeight w:val="177"/>
        </w:trPr>
        <w:tc>
          <w:tcPr>
            <w:tcW w:w="3261" w:type="dxa"/>
            <w:tcBorders>
              <w:top w:val="nil"/>
              <w:left w:val="nil"/>
              <w:bottom w:val="nil"/>
              <w:right w:val="nil"/>
            </w:tcBorders>
            <w:noWrap/>
            <w:vAlign w:val="bottom"/>
            <w:hideMark/>
          </w:tcPr>
          <w:p w14:paraId="2A1DF04C" w14:textId="5FB04EED" w:rsidR="0059608B" w:rsidRPr="00F65403" w:rsidRDefault="00B70B30" w:rsidP="0059608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Purchases</w:t>
            </w:r>
          </w:p>
        </w:tc>
        <w:tc>
          <w:tcPr>
            <w:tcW w:w="1560" w:type="dxa"/>
            <w:tcBorders>
              <w:top w:val="nil"/>
              <w:left w:val="nil"/>
              <w:right w:val="nil"/>
            </w:tcBorders>
          </w:tcPr>
          <w:p w14:paraId="0DE8776A" w14:textId="37696998" w:rsidR="0059608B" w:rsidRPr="0059608B"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372</w:t>
            </w:r>
          </w:p>
        </w:tc>
        <w:tc>
          <w:tcPr>
            <w:tcW w:w="1560" w:type="dxa"/>
            <w:tcBorders>
              <w:top w:val="nil"/>
              <w:left w:val="nil"/>
              <w:right w:val="nil"/>
            </w:tcBorders>
            <w:noWrap/>
            <w:vAlign w:val="bottom"/>
          </w:tcPr>
          <w:p w14:paraId="392D382C" w14:textId="1ADB7C9A" w:rsidR="0059608B" w:rsidRPr="0080685E"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6,391</w:t>
            </w:r>
          </w:p>
        </w:tc>
        <w:tc>
          <w:tcPr>
            <w:tcW w:w="1560" w:type="dxa"/>
            <w:tcBorders>
              <w:top w:val="nil"/>
              <w:left w:val="nil"/>
              <w:right w:val="nil"/>
            </w:tcBorders>
            <w:noWrap/>
            <w:vAlign w:val="bottom"/>
          </w:tcPr>
          <w:p w14:paraId="647F2271" w14:textId="6CBFF9CF" w:rsidR="0059608B" w:rsidRPr="0080685E"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2,762</w:t>
            </w:r>
          </w:p>
        </w:tc>
        <w:tc>
          <w:tcPr>
            <w:tcW w:w="1132" w:type="dxa"/>
            <w:tcBorders>
              <w:top w:val="nil"/>
              <w:left w:val="nil"/>
              <w:right w:val="nil"/>
            </w:tcBorders>
            <w:noWrap/>
            <w:vAlign w:val="bottom"/>
          </w:tcPr>
          <w:p w14:paraId="045CC254" w14:textId="4B40791F" w:rsidR="0059608B" w:rsidRPr="0080685E" w:rsidRDefault="0059608B" w:rsidP="0010235E">
            <w:pPr>
              <w:tabs>
                <w:tab w:val="decimal" w:pos="737"/>
              </w:tabs>
              <w:spacing w:after="0" w:line="240" w:lineRule="auto"/>
              <w:jc w:val="center"/>
              <w:rPr>
                <w:rFonts w:cs="Arial"/>
                <w:b/>
                <w:bCs/>
                <w:color w:val="000000"/>
                <w:sz w:val="20"/>
                <w:szCs w:val="20"/>
              </w:rPr>
            </w:pPr>
            <w:r>
              <w:rPr>
                <w:rFonts w:cs="Arial"/>
                <w:color w:val="000000"/>
                <w:sz w:val="20"/>
                <w:szCs w:val="20"/>
              </w:rPr>
              <w:t>9,525</w:t>
            </w:r>
          </w:p>
        </w:tc>
      </w:tr>
      <w:tr w:rsidR="005A7966" w:rsidRPr="00901F1B" w14:paraId="7E550EA7" w14:textId="77777777" w:rsidTr="0080685E">
        <w:tc>
          <w:tcPr>
            <w:tcW w:w="3261" w:type="dxa"/>
            <w:tcBorders>
              <w:top w:val="nil"/>
              <w:left w:val="nil"/>
              <w:bottom w:val="nil"/>
              <w:right w:val="nil"/>
            </w:tcBorders>
            <w:noWrap/>
            <w:vAlign w:val="bottom"/>
          </w:tcPr>
          <w:p w14:paraId="25855843" w14:textId="60918B5E" w:rsidR="005A7966" w:rsidRPr="00F65403" w:rsidRDefault="005A7966" w:rsidP="0059608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Transfers in/(out) of level 3</w:t>
            </w:r>
          </w:p>
        </w:tc>
        <w:tc>
          <w:tcPr>
            <w:tcW w:w="1560" w:type="dxa"/>
            <w:tcBorders>
              <w:top w:val="nil"/>
              <w:left w:val="nil"/>
              <w:right w:val="nil"/>
            </w:tcBorders>
          </w:tcPr>
          <w:p w14:paraId="0797BE36" w14:textId="5803F9F6" w:rsidR="005A7966" w:rsidRPr="0059608B" w:rsidRDefault="0099084B" w:rsidP="0010235E">
            <w:pPr>
              <w:tabs>
                <w:tab w:val="decimal" w:pos="737"/>
              </w:tabs>
              <w:spacing w:after="0" w:line="240" w:lineRule="auto"/>
              <w:jc w:val="center"/>
              <w:rPr>
                <w:rFonts w:cs="Arial"/>
                <w:color w:val="000000"/>
                <w:sz w:val="20"/>
                <w:szCs w:val="20"/>
              </w:rPr>
            </w:pPr>
            <w:r>
              <w:rPr>
                <w:rFonts w:cs="Arial"/>
                <w:color w:val="000000"/>
                <w:sz w:val="20"/>
                <w:szCs w:val="20"/>
              </w:rPr>
              <w:t>-</w:t>
            </w:r>
          </w:p>
        </w:tc>
        <w:tc>
          <w:tcPr>
            <w:tcW w:w="1560" w:type="dxa"/>
            <w:tcBorders>
              <w:top w:val="nil"/>
              <w:left w:val="nil"/>
              <w:right w:val="nil"/>
            </w:tcBorders>
            <w:noWrap/>
            <w:vAlign w:val="bottom"/>
          </w:tcPr>
          <w:p w14:paraId="6368D61C" w14:textId="1DF265BB" w:rsidR="005A7966" w:rsidRPr="0059608B" w:rsidRDefault="0099084B" w:rsidP="0010235E">
            <w:pPr>
              <w:tabs>
                <w:tab w:val="decimal" w:pos="737"/>
              </w:tabs>
              <w:spacing w:after="0" w:line="240" w:lineRule="auto"/>
              <w:jc w:val="center"/>
              <w:rPr>
                <w:rFonts w:cs="Arial"/>
                <w:color w:val="000000"/>
                <w:sz w:val="20"/>
                <w:szCs w:val="20"/>
              </w:rPr>
            </w:pPr>
            <w:r>
              <w:rPr>
                <w:rFonts w:cs="Arial"/>
                <w:color w:val="000000"/>
                <w:sz w:val="20"/>
                <w:szCs w:val="20"/>
              </w:rPr>
              <w:t>-</w:t>
            </w:r>
          </w:p>
        </w:tc>
        <w:tc>
          <w:tcPr>
            <w:tcW w:w="1560" w:type="dxa"/>
            <w:tcBorders>
              <w:top w:val="nil"/>
              <w:left w:val="nil"/>
              <w:right w:val="nil"/>
            </w:tcBorders>
            <w:noWrap/>
            <w:vAlign w:val="bottom"/>
          </w:tcPr>
          <w:p w14:paraId="47EAEEBA" w14:textId="5729D8BB" w:rsidR="005A7966" w:rsidRPr="0059608B" w:rsidRDefault="0099084B" w:rsidP="0010235E">
            <w:pPr>
              <w:tabs>
                <w:tab w:val="decimal" w:pos="737"/>
              </w:tabs>
              <w:spacing w:after="0" w:line="240" w:lineRule="auto"/>
              <w:jc w:val="center"/>
              <w:rPr>
                <w:rFonts w:cs="Arial"/>
                <w:color w:val="000000"/>
                <w:sz w:val="20"/>
                <w:szCs w:val="20"/>
              </w:rPr>
            </w:pPr>
            <w:r>
              <w:rPr>
                <w:rFonts w:cs="Arial"/>
                <w:color w:val="000000"/>
                <w:sz w:val="20"/>
                <w:szCs w:val="20"/>
              </w:rPr>
              <w:t>-</w:t>
            </w:r>
          </w:p>
        </w:tc>
        <w:tc>
          <w:tcPr>
            <w:tcW w:w="1132" w:type="dxa"/>
            <w:tcBorders>
              <w:top w:val="nil"/>
              <w:left w:val="nil"/>
              <w:right w:val="nil"/>
            </w:tcBorders>
            <w:noWrap/>
            <w:vAlign w:val="bottom"/>
          </w:tcPr>
          <w:p w14:paraId="1AD52765" w14:textId="6D2BB92C" w:rsidR="005A7966" w:rsidRDefault="0099084B" w:rsidP="0010235E">
            <w:pPr>
              <w:tabs>
                <w:tab w:val="decimal" w:pos="737"/>
              </w:tabs>
              <w:spacing w:after="0" w:line="240" w:lineRule="auto"/>
              <w:jc w:val="center"/>
              <w:rPr>
                <w:rFonts w:cs="Arial"/>
                <w:color w:val="000000"/>
                <w:sz w:val="20"/>
                <w:szCs w:val="20"/>
              </w:rPr>
            </w:pPr>
            <w:r>
              <w:rPr>
                <w:rFonts w:cs="Arial"/>
                <w:color w:val="000000"/>
                <w:sz w:val="20"/>
                <w:szCs w:val="20"/>
              </w:rPr>
              <w:t>-</w:t>
            </w:r>
          </w:p>
        </w:tc>
      </w:tr>
      <w:tr w:rsidR="0059608B" w:rsidRPr="00901F1B" w14:paraId="167E787E" w14:textId="77777777" w:rsidTr="0080685E">
        <w:tc>
          <w:tcPr>
            <w:tcW w:w="3261" w:type="dxa"/>
            <w:tcBorders>
              <w:top w:val="nil"/>
              <w:left w:val="nil"/>
              <w:bottom w:val="nil"/>
              <w:right w:val="nil"/>
            </w:tcBorders>
            <w:noWrap/>
            <w:vAlign w:val="bottom"/>
            <w:hideMark/>
          </w:tcPr>
          <w:p w14:paraId="17339856" w14:textId="77777777" w:rsidR="0059608B" w:rsidRPr="00F65403" w:rsidRDefault="0059608B" w:rsidP="0059608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1560" w:type="dxa"/>
            <w:tcBorders>
              <w:left w:val="nil"/>
              <w:bottom w:val="single" w:sz="4" w:space="0" w:color="auto"/>
              <w:right w:val="nil"/>
            </w:tcBorders>
          </w:tcPr>
          <w:p w14:paraId="5148BFE0" w14:textId="6326E517" w:rsidR="0059608B" w:rsidRPr="0059608B"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(2)</w:t>
            </w:r>
          </w:p>
        </w:tc>
        <w:tc>
          <w:tcPr>
            <w:tcW w:w="1560" w:type="dxa"/>
            <w:tcBorders>
              <w:left w:val="nil"/>
              <w:bottom w:val="single" w:sz="4" w:space="0" w:color="auto"/>
              <w:right w:val="nil"/>
            </w:tcBorders>
            <w:noWrap/>
            <w:vAlign w:val="bottom"/>
          </w:tcPr>
          <w:p w14:paraId="59F6EC55" w14:textId="2A3F1657" w:rsidR="0059608B" w:rsidRPr="0080685E"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(120)</w:t>
            </w:r>
          </w:p>
        </w:tc>
        <w:tc>
          <w:tcPr>
            <w:tcW w:w="1560" w:type="dxa"/>
            <w:tcBorders>
              <w:left w:val="nil"/>
              <w:bottom w:val="single" w:sz="4" w:space="0" w:color="auto"/>
              <w:right w:val="nil"/>
            </w:tcBorders>
            <w:noWrap/>
            <w:vAlign w:val="bottom"/>
          </w:tcPr>
          <w:p w14:paraId="420437D4" w14:textId="09C7CEE6" w:rsidR="0059608B" w:rsidRPr="0080685E" w:rsidRDefault="0059608B" w:rsidP="0010235E">
            <w:pPr>
              <w:tabs>
                <w:tab w:val="decimal" w:pos="737"/>
              </w:tabs>
              <w:spacing w:after="0" w:line="240" w:lineRule="auto"/>
              <w:jc w:val="center"/>
              <w:rPr>
                <w:rFonts w:cs="Arial"/>
                <w:color w:val="000000"/>
                <w:sz w:val="20"/>
                <w:szCs w:val="20"/>
              </w:rPr>
            </w:pPr>
            <w:r w:rsidRPr="0059608B">
              <w:rPr>
                <w:rFonts w:cs="Arial"/>
                <w:color w:val="000000"/>
                <w:sz w:val="20"/>
                <w:szCs w:val="20"/>
              </w:rPr>
              <w:t>(42)</w:t>
            </w:r>
          </w:p>
        </w:tc>
        <w:tc>
          <w:tcPr>
            <w:tcW w:w="1132" w:type="dxa"/>
            <w:tcBorders>
              <w:left w:val="nil"/>
              <w:bottom w:val="single" w:sz="4" w:space="0" w:color="auto"/>
              <w:right w:val="nil"/>
            </w:tcBorders>
            <w:noWrap/>
            <w:vAlign w:val="bottom"/>
          </w:tcPr>
          <w:p w14:paraId="132ECA57" w14:textId="03737D8C" w:rsidR="0059608B" w:rsidRPr="0080685E" w:rsidRDefault="0059608B" w:rsidP="0010235E">
            <w:pPr>
              <w:tabs>
                <w:tab w:val="decimal" w:pos="737"/>
              </w:tabs>
              <w:spacing w:after="0" w:line="240" w:lineRule="auto"/>
              <w:jc w:val="center"/>
              <w:rPr>
                <w:rFonts w:cs="Arial"/>
                <w:b/>
                <w:bCs/>
                <w:color w:val="000000"/>
                <w:sz w:val="20"/>
                <w:szCs w:val="20"/>
              </w:rPr>
            </w:pPr>
            <w:r>
              <w:rPr>
                <w:rFonts w:cs="Arial"/>
                <w:color w:val="000000"/>
                <w:sz w:val="20"/>
                <w:szCs w:val="20"/>
              </w:rPr>
              <w:t>(164)</w:t>
            </w:r>
          </w:p>
        </w:tc>
      </w:tr>
      <w:tr w:rsidR="00C0193F" w:rsidRPr="00901F1B" w14:paraId="138AAA7A" w14:textId="77777777" w:rsidTr="0080685E">
        <w:tc>
          <w:tcPr>
            <w:tcW w:w="3261" w:type="dxa"/>
            <w:tcBorders>
              <w:top w:val="nil"/>
              <w:left w:val="nil"/>
              <w:bottom w:val="nil"/>
              <w:right w:val="nil"/>
            </w:tcBorders>
            <w:noWrap/>
            <w:vAlign w:val="bottom"/>
            <w:hideMark/>
          </w:tcPr>
          <w:p w14:paraId="0CE13FD6" w14:textId="77777777" w:rsidR="00C0193F" w:rsidRPr="00F65403" w:rsidRDefault="00C0193F" w:rsidP="00C0193F">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Closing balance</w:t>
            </w:r>
          </w:p>
        </w:tc>
        <w:tc>
          <w:tcPr>
            <w:tcW w:w="1560" w:type="dxa"/>
            <w:tcBorders>
              <w:top w:val="nil"/>
              <w:left w:val="nil"/>
              <w:bottom w:val="single" w:sz="4" w:space="0" w:color="auto"/>
              <w:right w:val="nil"/>
            </w:tcBorders>
          </w:tcPr>
          <w:p w14:paraId="4D533554" w14:textId="66C1CDAE" w:rsidR="00C0193F" w:rsidRPr="00B16079" w:rsidRDefault="00C0193F" w:rsidP="0010235E">
            <w:pPr>
              <w:tabs>
                <w:tab w:val="decimal" w:pos="737"/>
              </w:tabs>
              <w:spacing w:after="0" w:line="240" w:lineRule="auto"/>
              <w:jc w:val="center"/>
              <w:rPr>
                <w:rFonts w:cs="Arial"/>
                <w:b/>
                <w:bCs/>
                <w:color w:val="000000"/>
                <w:sz w:val="20"/>
                <w:szCs w:val="20"/>
              </w:rPr>
            </w:pPr>
            <w:r w:rsidRPr="00B16079">
              <w:rPr>
                <w:rFonts w:cs="Arial"/>
                <w:b/>
                <w:bCs/>
                <w:color w:val="000000"/>
                <w:sz w:val="20"/>
                <w:szCs w:val="20"/>
              </w:rPr>
              <w:t>370</w:t>
            </w:r>
          </w:p>
        </w:tc>
        <w:tc>
          <w:tcPr>
            <w:tcW w:w="1560" w:type="dxa"/>
            <w:tcBorders>
              <w:top w:val="nil"/>
              <w:left w:val="nil"/>
              <w:bottom w:val="single" w:sz="4" w:space="0" w:color="auto"/>
              <w:right w:val="nil"/>
            </w:tcBorders>
            <w:noWrap/>
            <w:vAlign w:val="bottom"/>
          </w:tcPr>
          <w:p w14:paraId="7F9AD022" w14:textId="6345C2C1" w:rsidR="00C0193F" w:rsidRPr="0080685E" w:rsidRDefault="00C0193F" w:rsidP="0010235E">
            <w:pPr>
              <w:tabs>
                <w:tab w:val="decimal" w:pos="737"/>
              </w:tabs>
              <w:spacing w:after="0" w:line="240" w:lineRule="auto"/>
              <w:jc w:val="center"/>
              <w:rPr>
                <w:rFonts w:cs="Arial"/>
                <w:b/>
                <w:bCs/>
                <w:color w:val="000000"/>
                <w:sz w:val="20"/>
                <w:szCs w:val="20"/>
              </w:rPr>
            </w:pPr>
            <w:r w:rsidRPr="00B16079">
              <w:rPr>
                <w:rFonts w:cs="Arial"/>
                <w:b/>
                <w:bCs/>
                <w:color w:val="000000"/>
                <w:sz w:val="20"/>
                <w:szCs w:val="20"/>
              </w:rPr>
              <w:t>6,271</w:t>
            </w:r>
          </w:p>
        </w:tc>
        <w:tc>
          <w:tcPr>
            <w:tcW w:w="1560" w:type="dxa"/>
            <w:tcBorders>
              <w:top w:val="nil"/>
              <w:left w:val="nil"/>
              <w:bottom w:val="single" w:sz="4" w:space="0" w:color="auto"/>
              <w:right w:val="nil"/>
            </w:tcBorders>
            <w:noWrap/>
            <w:vAlign w:val="bottom"/>
          </w:tcPr>
          <w:p w14:paraId="4B9EAA20" w14:textId="60A336E2" w:rsidR="00C0193F" w:rsidRPr="0080685E" w:rsidRDefault="00C0193F" w:rsidP="0010235E">
            <w:pPr>
              <w:tabs>
                <w:tab w:val="decimal" w:pos="737"/>
              </w:tabs>
              <w:spacing w:after="0" w:line="240" w:lineRule="auto"/>
              <w:jc w:val="center"/>
              <w:rPr>
                <w:rFonts w:cs="Arial"/>
                <w:b/>
                <w:bCs/>
                <w:color w:val="000000"/>
                <w:sz w:val="20"/>
                <w:szCs w:val="20"/>
              </w:rPr>
            </w:pPr>
            <w:r w:rsidRPr="00B16079">
              <w:rPr>
                <w:rFonts w:cs="Arial"/>
                <w:b/>
                <w:bCs/>
                <w:color w:val="000000"/>
                <w:sz w:val="20"/>
                <w:szCs w:val="20"/>
              </w:rPr>
              <w:t>2,720</w:t>
            </w:r>
          </w:p>
        </w:tc>
        <w:tc>
          <w:tcPr>
            <w:tcW w:w="1132" w:type="dxa"/>
            <w:tcBorders>
              <w:top w:val="nil"/>
              <w:left w:val="nil"/>
              <w:bottom w:val="single" w:sz="4" w:space="0" w:color="auto"/>
              <w:right w:val="nil"/>
            </w:tcBorders>
            <w:noWrap/>
            <w:vAlign w:val="bottom"/>
          </w:tcPr>
          <w:p w14:paraId="6AD87258" w14:textId="3E8830BF" w:rsidR="00C0193F" w:rsidRPr="0080685E" w:rsidRDefault="00C0193F" w:rsidP="0010235E">
            <w:pPr>
              <w:tabs>
                <w:tab w:val="decimal" w:pos="737"/>
              </w:tabs>
              <w:spacing w:after="0" w:line="240" w:lineRule="auto"/>
              <w:jc w:val="center"/>
              <w:rPr>
                <w:rFonts w:cs="Arial"/>
                <w:b/>
                <w:bCs/>
                <w:color w:val="000000"/>
                <w:sz w:val="20"/>
                <w:szCs w:val="20"/>
              </w:rPr>
            </w:pPr>
            <w:r w:rsidRPr="00B16079">
              <w:rPr>
                <w:rFonts w:cs="Arial"/>
                <w:b/>
                <w:bCs/>
                <w:color w:val="000000"/>
                <w:sz w:val="20"/>
                <w:szCs w:val="20"/>
              </w:rPr>
              <w:t>9,361</w:t>
            </w:r>
          </w:p>
        </w:tc>
      </w:tr>
    </w:tbl>
    <w:p w14:paraId="49BACDC1" w14:textId="77777777" w:rsidR="00F74BAE" w:rsidRPr="00F65403" w:rsidRDefault="00F74BAE" w:rsidP="00F74BAE">
      <w:pPr>
        <w:pStyle w:val="BodyText"/>
        <w:rPr>
          <w:lang w:val="en-AU"/>
        </w:rPr>
      </w:pPr>
    </w:p>
    <w:p w14:paraId="1E74513D" w14:textId="35708472" w:rsidR="00F74BAE" w:rsidRPr="00AA3AC5" w:rsidRDefault="00F74BAE" w:rsidP="00F74BAE">
      <w:pPr>
        <w:pStyle w:val="BodyText"/>
        <w:rPr>
          <w:sz w:val="16"/>
          <w:szCs w:val="16"/>
          <w:lang w:val="en-AU"/>
        </w:rPr>
      </w:pPr>
      <w:r w:rsidRPr="00F65403">
        <w:rPr>
          <w:lang w:val="en-AU"/>
        </w:rPr>
        <w:t>Description of significant unobservable inputs to Level 3 valuations:</w:t>
      </w:r>
      <w:r w:rsidR="00454DA0">
        <w:rPr>
          <w:lang w:val="en-AU"/>
        </w:rPr>
        <w:br/>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698"/>
        <w:gridCol w:w="1560"/>
        <w:gridCol w:w="1986"/>
        <w:gridCol w:w="993"/>
        <w:gridCol w:w="2789"/>
      </w:tblGrid>
      <w:tr w:rsidR="00F74BAE" w:rsidRPr="0062744C" w14:paraId="102AE3F8" w14:textId="77777777">
        <w:trPr>
          <w:cantSplit/>
          <w:tblHeader/>
        </w:trPr>
        <w:tc>
          <w:tcPr>
            <w:tcW w:w="941" w:type="pct"/>
            <w:tcBorders>
              <w:top w:val="nil"/>
              <w:left w:val="nil"/>
              <w:bottom w:val="nil"/>
              <w:right w:val="nil"/>
            </w:tcBorders>
            <w:noWrap/>
            <w:vAlign w:val="bottom"/>
            <w:hideMark/>
          </w:tcPr>
          <w:p w14:paraId="6F5D48C1" w14:textId="77777777" w:rsidR="00F74BAE" w:rsidRPr="00F65403" w:rsidRDefault="00F74BA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 class</w:t>
            </w:r>
          </w:p>
        </w:tc>
        <w:tc>
          <w:tcPr>
            <w:tcW w:w="864" w:type="pct"/>
            <w:tcBorders>
              <w:top w:val="nil"/>
              <w:left w:val="nil"/>
              <w:bottom w:val="nil"/>
              <w:right w:val="nil"/>
            </w:tcBorders>
            <w:noWrap/>
            <w:vAlign w:val="bottom"/>
            <w:hideMark/>
          </w:tcPr>
          <w:p w14:paraId="68BD0BC6" w14:textId="77777777" w:rsidR="00F74BAE" w:rsidRPr="00F65403" w:rsidRDefault="00F74BA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Valuation technique</w:t>
            </w:r>
          </w:p>
        </w:tc>
        <w:tc>
          <w:tcPr>
            <w:tcW w:w="1100" w:type="pct"/>
            <w:tcBorders>
              <w:top w:val="nil"/>
              <w:left w:val="nil"/>
              <w:bottom w:val="nil"/>
              <w:right w:val="nil"/>
            </w:tcBorders>
            <w:vAlign w:val="bottom"/>
            <w:hideMark/>
          </w:tcPr>
          <w:p w14:paraId="377987EB" w14:textId="77777777" w:rsidR="00F74BAE" w:rsidRPr="00F65403" w:rsidRDefault="00F74BA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Significant unobservable input</w:t>
            </w:r>
          </w:p>
        </w:tc>
        <w:tc>
          <w:tcPr>
            <w:tcW w:w="550" w:type="pct"/>
            <w:tcBorders>
              <w:top w:val="nil"/>
              <w:left w:val="nil"/>
              <w:bottom w:val="nil"/>
              <w:right w:val="nil"/>
            </w:tcBorders>
            <w:noWrap/>
            <w:vAlign w:val="bottom"/>
            <w:hideMark/>
          </w:tcPr>
          <w:p w14:paraId="4C6005CE" w14:textId="77777777" w:rsidR="00F74BAE" w:rsidRPr="00F65403" w:rsidRDefault="00F74BAE" w:rsidP="008D272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w:t>
            </w:r>
          </w:p>
        </w:tc>
        <w:tc>
          <w:tcPr>
            <w:tcW w:w="1545" w:type="pct"/>
            <w:tcBorders>
              <w:top w:val="nil"/>
              <w:left w:val="nil"/>
              <w:bottom w:val="nil"/>
              <w:right w:val="nil"/>
            </w:tcBorders>
            <w:noWrap/>
            <w:vAlign w:val="bottom"/>
            <w:hideMark/>
          </w:tcPr>
          <w:p w14:paraId="1ACB9BF6" w14:textId="77777777" w:rsidR="00F74BAE" w:rsidRPr="00F65403" w:rsidRDefault="00F74BAE" w:rsidP="0010235E">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w:t>
            </w:r>
          </w:p>
        </w:tc>
      </w:tr>
      <w:tr w:rsidR="00F74BAE" w:rsidRPr="00AC2860" w14:paraId="72956C93" w14:textId="77777777">
        <w:trPr>
          <w:cantSplit/>
        </w:trPr>
        <w:tc>
          <w:tcPr>
            <w:tcW w:w="941" w:type="pct"/>
            <w:tcBorders>
              <w:top w:val="nil"/>
              <w:left w:val="nil"/>
              <w:bottom w:val="nil"/>
              <w:right w:val="nil"/>
            </w:tcBorders>
            <w:noWrap/>
            <w:hideMark/>
          </w:tcPr>
          <w:p w14:paraId="58784C07" w14:textId="54DF23FB"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Leasehold improvements</w:t>
            </w:r>
          </w:p>
        </w:tc>
        <w:tc>
          <w:tcPr>
            <w:tcW w:w="864" w:type="pct"/>
            <w:tcBorders>
              <w:top w:val="nil"/>
              <w:left w:val="nil"/>
              <w:bottom w:val="nil"/>
              <w:right w:val="nil"/>
            </w:tcBorders>
            <w:hideMark/>
          </w:tcPr>
          <w:p w14:paraId="1A098575" w14:textId="7695220E"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Current replacement cost</w:t>
            </w:r>
          </w:p>
        </w:tc>
        <w:tc>
          <w:tcPr>
            <w:tcW w:w="1100" w:type="pct"/>
            <w:tcBorders>
              <w:top w:val="nil"/>
              <w:left w:val="nil"/>
              <w:bottom w:val="nil"/>
              <w:right w:val="nil"/>
            </w:tcBorders>
            <w:noWrap/>
            <w:hideMark/>
          </w:tcPr>
          <w:p w14:paraId="7A5195F8" w14:textId="3EBE239A"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Useful life</w:t>
            </w:r>
          </w:p>
        </w:tc>
        <w:tc>
          <w:tcPr>
            <w:tcW w:w="550" w:type="pct"/>
            <w:tcBorders>
              <w:top w:val="nil"/>
              <w:left w:val="nil"/>
              <w:bottom w:val="nil"/>
              <w:right w:val="nil"/>
            </w:tcBorders>
            <w:noWrap/>
            <w:hideMark/>
          </w:tcPr>
          <w:p w14:paraId="26F33B57" w14:textId="6EBACDEA"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3-5 years</w:t>
            </w:r>
          </w:p>
        </w:tc>
        <w:tc>
          <w:tcPr>
            <w:tcW w:w="1545" w:type="pct"/>
            <w:tcBorders>
              <w:top w:val="nil"/>
              <w:left w:val="nil"/>
              <w:bottom w:val="nil"/>
              <w:right w:val="nil"/>
            </w:tcBorders>
            <w:hideMark/>
          </w:tcPr>
          <w:p w14:paraId="5C382FFA" w14:textId="6A74129B"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An increase in useful life would result in a higher valuation</w:t>
            </w:r>
          </w:p>
        </w:tc>
      </w:tr>
      <w:tr w:rsidR="00F74BAE" w:rsidRPr="00AC2860" w14:paraId="70E8B5DE" w14:textId="77777777">
        <w:trPr>
          <w:cantSplit/>
        </w:trPr>
        <w:tc>
          <w:tcPr>
            <w:tcW w:w="941" w:type="pct"/>
            <w:tcBorders>
              <w:top w:val="nil"/>
              <w:left w:val="nil"/>
              <w:bottom w:val="nil"/>
              <w:right w:val="nil"/>
            </w:tcBorders>
            <w:noWrap/>
            <w:hideMark/>
          </w:tcPr>
          <w:p w14:paraId="69732CAD"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land</w:t>
            </w:r>
          </w:p>
        </w:tc>
        <w:tc>
          <w:tcPr>
            <w:tcW w:w="864" w:type="pct"/>
            <w:tcBorders>
              <w:top w:val="nil"/>
              <w:left w:val="nil"/>
              <w:bottom w:val="nil"/>
              <w:right w:val="nil"/>
            </w:tcBorders>
            <w:noWrap/>
            <w:hideMark/>
          </w:tcPr>
          <w:p w14:paraId="0285CAA2"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Market approach</w:t>
            </w:r>
          </w:p>
        </w:tc>
        <w:tc>
          <w:tcPr>
            <w:tcW w:w="1100" w:type="pct"/>
            <w:tcBorders>
              <w:top w:val="nil"/>
              <w:left w:val="nil"/>
              <w:bottom w:val="nil"/>
              <w:right w:val="nil"/>
            </w:tcBorders>
            <w:noWrap/>
            <w:hideMark/>
          </w:tcPr>
          <w:p w14:paraId="61BB5DE6" w14:textId="77777777"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Useful life</w:t>
            </w:r>
          </w:p>
        </w:tc>
        <w:tc>
          <w:tcPr>
            <w:tcW w:w="550" w:type="pct"/>
            <w:tcBorders>
              <w:top w:val="nil"/>
              <w:left w:val="nil"/>
              <w:bottom w:val="nil"/>
              <w:right w:val="nil"/>
            </w:tcBorders>
            <w:noWrap/>
            <w:hideMark/>
          </w:tcPr>
          <w:p w14:paraId="6C0E3179" w14:textId="77777777"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40 years</w:t>
            </w:r>
          </w:p>
        </w:tc>
        <w:tc>
          <w:tcPr>
            <w:tcW w:w="1545" w:type="pct"/>
            <w:tcBorders>
              <w:top w:val="nil"/>
              <w:left w:val="nil"/>
              <w:bottom w:val="nil"/>
              <w:right w:val="nil"/>
            </w:tcBorders>
            <w:hideMark/>
          </w:tcPr>
          <w:p w14:paraId="778CD588"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An increase in useful life would result in a higher valuation</w:t>
            </w:r>
          </w:p>
        </w:tc>
      </w:tr>
      <w:tr w:rsidR="00F74BAE" w:rsidRPr="00AC2860" w14:paraId="4EF8497F" w14:textId="77777777">
        <w:trPr>
          <w:cantSplit/>
        </w:trPr>
        <w:tc>
          <w:tcPr>
            <w:tcW w:w="941" w:type="pct"/>
            <w:tcBorders>
              <w:top w:val="nil"/>
              <w:left w:val="nil"/>
              <w:bottom w:val="nil"/>
              <w:right w:val="nil"/>
            </w:tcBorders>
            <w:noWrap/>
            <w:hideMark/>
          </w:tcPr>
          <w:p w14:paraId="2A960268"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buildings</w:t>
            </w:r>
          </w:p>
        </w:tc>
        <w:tc>
          <w:tcPr>
            <w:tcW w:w="864" w:type="pct"/>
            <w:tcBorders>
              <w:top w:val="nil"/>
              <w:left w:val="nil"/>
              <w:bottom w:val="nil"/>
              <w:right w:val="nil"/>
            </w:tcBorders>
            <w:noWrap/>
            <w:hideMark/>
          </w:tcPr>
          <w:p w14:paraId="57E713E4"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Market approach</w:t>
            </w:r>
          </w:p>
        </w:tc>
        <w:tc>
          <w:tcPr>
            <w:tcW w:w="1100" w:type="pct"/>
            <w:tcBorders>
              <w:top w:val="nil"/>
              <w:left w:val="nil"/>
              <w:bottom w:val="nil"/>
              <w:right w:val="nil"/>
            </w:tcBorders>
            <w:noWrap/>
            <w:hideMark/>
          </w:tcPr>
          <w:p w14:paraId="56F2EFF0" w14:textId="77777777"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Useful life</w:t>
            </w:r>
          </w:p>
        </w:tc>
        <w:tc>
          <w:tcPr>
            <w:tcW w:w="550" w:type="pct"/>
            <w:tcBorders>
              <w:top w:val="nil"/>
              <w:left w:val="nil"/>
              <w:bottom w:val="nil"/>
              <w:right w:val="nil"/>
            </w:tcBorders>
            <w:noWrap/>
            <w:hideMark/>
          </w:tcPr>
          <w:p w14:paraId="40EBA96C" w14:textId="77777777" w:rsidR="00F74BAE" w:rsidRPr="00F65403" w:rsidRDefault="00F74BAE" w:rsidP="0010235E">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3-5 years</w:t>
            </w:r>
          </w:p>
        </w:tc>
        <w:tc>
          <w:tcPr>
            <w:tcW w:w="1545" w:type="pct"/>
            <w:tcBorders>
              <w:top w:val="nil"/>
              <w:left w:val="nil"/>
              <w:bottom w:val="nil"/>
              <w:right w:val="nil"/>
            </w:tcBorders>
            <w:hideMark/>
          </w:tcPr>
          <w:p w14:paraId="2BCF68E8" w14:textId="77777777" w:rsidR="00F74BAE" w:rsidRPr="00F65403" w:rsidRDefault="00F74BAE">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An increase in useful life would result in a higher valuation</w:t>
            </w:r>
          </w:p>
        </w:tc>
      </w:tr>
    </w:tbl>
    <w:p w14:paraId="306737D1" w14:textId="47517A79" w:rsidR="00EC7E65" w:rsidRDefault="00EC7E65" w:rsidP="00F641FC">
      <w:pPr>
        <w:pStyle w:val="BodyText"/>
        <w:rPr>
          <w:lang w:val="en-AU"/>
        </w:rPr>
      </w:pPr>
    </w:p>
    <w:p w14:paraId="1BD45A16" w14:textId="77777777" w:rsidR="00EC7E65" w:rsidRDefault="00EC7E65">
      <w:pPr>
        <w:rPr>
          <w:rFonts w:eastAsia="Arial" w:cs="Arial"/>
          <w:sz w:val="20"/>
          <w:szCs w:val="20"/>
        </w:rPr>
      </w:pPr>
      <w:r>
        <w:br w:type="page"/>
      </w:r>
    </w:p>
    <w:p w14:paraId="1239FA23" w14:textId="77777777" w:rsidR="006D7E83" w:rsidRPr="00F65403" w:rsidRDefault="006D7E83" w:rsidP="006D7E83">
      <w:pPr>
        <w:pStyle w:val="Heading7"/>
      </w:pPr>
      <w:r w:rsidRPr="00F65403">
        <w:t>Payables</w:t>
      </w:r>
    </w:p>
    <w:tbl>
      <w:tblPr>
        <w:tblW w:w="5000" w:type="pct"/>
        <w:tblCellMar>
          <w:top w:w="28" w:type="dxa"/>
          <w:left w:w="28" w:type="dxa"/>
          <w:bottom w:w="28" w:type="dxa"/>
          <w:right w:w="28" w:type="dxa"/>
        </w:tblCellMar>
        <w:tblLook w:val="04A0" w:firstRow="1" w:lastRow="0" w:firstColumn="1" w:lastColumn="0" w:noHBand="0" w:noVBand="1"/>
      </w:tblPr>
      <w:tblGrid>
        <w:gridCol w:w="6660"/>
        <w:gridCol w:w="1184"/>
        <w:gridCol w:w="1182"/>
      </w:tblGrid>
      <w:tr w:rsidR="006D7E83" w:rsidRPr="002B1EBF" w14:paraId="02048BC6" w14:textId="77777777" w:rsidTr="00C616C8">
        <w:tc>
          <w:tcPr>
            <w:tcW w:w="3689" w:type="pct"/>
            <w:tcBorders>
              <w:top w:val="nil"/>
              <w:left w:val="nil"/>
              <w:bottom w:val="nil"/>
              <w:right w:val="nil"/>
            </w:tcBorders>
            <w:noWrap/>
            <w:vAlign w:val="bottom"/>
            <w:hideMark/>
          </w:tcPr>
          <w:p w14:paraId="7BB8854F" w14:textId="77777777" w:rsidR="006D7E83" w:rsidRPr="00F65403" w:rsidRDefault="006D7E83">
            <w:pPr>
              <w:spacing w:after="0" w:line="240" w:lineRule="auto"/>
              <w:rPr>
                <w:rFonts w:eastAsia="Times New Roman" w:cs="Arial"/>
                <w:sz w:val="20"/>
                <w:szCs w:val="20"/>
                <w:lang w:eastAsia="en-AU"/>
              </w:rPr>
            </w:pPr>
          </w:p>
        </w:tc>
        <w:tc>
          <w:tcPr>
            <w:tcW w:w="656" w:type="pct"/>
            <w:tcBorders>
              <w:top w:val="nil"/>
              <w:left w:val="nil"/>
              <w:bottom w:val="nil"/>
              <w:right w:val="nil"/>
            </w:tcBorders>
            <w:noWrap/>
            <w:vAlign w:val="bottom"/>
            <w:hideMark/>
          </w:tcPr>
          <w:p w14:paraId="70DF1EAF" w14:textId="77777777" w:rsidR="006D7E83" w:rsidRPr="00F65403" w:rsidRDefault="006D7E83" w:rsidP="00C2651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55" w:type="pct"/>
            <w:tcBorders>
              <w:top w:val="nil"/>
              <w:left w:val="nil"/>
              <w:bottom w:val="nil"/>
              <w:right w:val="nil"/>
            </w:tcBorders>
            <w:noWrap/>
            <w:vAlign w:val="bottom"/>
            <w:hideMark/>
          </w:tcPr>
          <w:p w14:paraId="3AA90A7F" w14:textId="77777777" w:rsidR="006D7E83" w:rsidRPr="00F65403" w:rsidRDefault="006D7E83" w:rsidP="00C2651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6D7E83" w:rsidRPr="002B1EBF" w14:paraId="38273E76" w14:textId="77777777" w:rsidTr="00C616C8">
        <w:tc>
          <w:tcPr>
            <w:tcW w:w="3689" w:type="pct"/>
            <w:tcBorders>
              <w:top w:val="nil"/>
              <w:left w:val="nil"/>
              <w:bottom w:val="nil"/>
              <w:right w:val="nil"/>
            </w:tcBorders>
            <w:noWrap/>
            <w:vAlign w:val="bottom"/>
            <w:hideMark/>
          </w:tcPr>
          <w:p w14:paraId="0372D20C" w14:textId="77777777" w:rsidR="006D7E83" w:rsidRPr="00F65403" w:rsidRDefault="006D7E83">
            <w:pPr>
              <w:spacing w:after="0" w:line="240" w:lineRule="auto"/>
              <w:jc w:val="right"/>
              <w:rPr>
                <w:rFonts w:eastAsia="Times New Roman" w:cs="Arial"/>
                <w:b/>
                <w:color w:val="000000"/>
                <w:sz w:val="20"/>
                <w:szCs w:val="20"/>
                <w:lang w:eastAsia="en-AU"/>
              </w:rPr>
            </w:pPr>
          </w:p>
        </w:tc>
        <w:tc>
          <w:tcPr>
            <w:tcW w:w="656" w:type="pct"/>
            <w:tcBorders>
              <w:top w:val="nil"/>
              <w:left w:val="nil"/>
              <w:bottom w:val="nil"/>
              <w:right w:val="nil"/>
            </w:tcBorders>
            <w:noWrap/>
            <w:vAlign w:val="bottom"/>
            <w:hideMark/>
          </w:tcPr>
          <w:p w14:paraId="66F0C2CB" w14:textId="77777777" w:rsidR="006D7E83" w:rsidRPr="00F65403" w:rsidRDefault="006D7E83" w:rsidP="00C2651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55" w:type="pct"/>
            <w:tcBorders>
              <w:top w:val="nil"/>
              <w:left w:val="nil"/>
              <w:bottom w:val="nil"/>
              <w:right w:val="nil"/>
            </w:tcBorders>
            <w:noWrap/>
            <w:vAlign w:val="bottom"/>
            <w:hideMark/>
          </w:tcPr>
          <w:p w14:paraId="3D6DCB91" w14:textId="77777777" w:rsidR="006D7E83" w:rsidRPr="00F65403" w:rsidRDefault="006D7E83" w:rsidP="00C2651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EA02CB" w:rsidRPr="002B1EBF" w14:paraId="34296D40" w14:textId="77777777" w:rsidTr="0080685E">
        <w:tc>
          <w:tcPr>
            <w:tcW w:w="3689" w:type="pct"/>
            <w:tcBorders>
              <w:top w:val="nil"/>
              <w:left w:val="nil"/>
              <w:bottom w:val="nil"/>
              <w:right w:val="nil"/>
            </w:tcBorders>
            <w:noWrap/>
            <w:vAlign w:val="bottom"/>
            <w:hideMark/>
          </w:tcPr>
          <w:p w14:paraId="0A91C580" w14:textId="77777777" w:rsidR="00EA02CB" w:rsidRPr="00F65403" w:rsidRDefault="00EA02CB" w:rsidP="00EA02C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Trade creditors</w:t>
            </w:r>
          </w:p>
        </w:tc>
        <w:tc>
          <w:tcPr>
            <w:tcW w:w="656" w:type="pct"/>
            <w:tcBorders>
              <w:top w:val="nil"/>
              <w:left w:val="nil"/>
              <w:bottom w:val="nil"/>
              <w:right w:val="nil"/>
            </w:tcBorders>
            <w:noWrap/>
            <w:hideMark/>
          </w:tcPr>
          <w:p w14:paraId="155284BD" w14:textId="21EE7D0A" w:rsidR="00EA02CB" w:rsidRPr="00EA02CB" w:rsidRDefault="00EA0DF3" w:rsidP="00EA02CB">
            <w:pPr>
              <w:tabs>
                <w:tab w:val="decimal" w:pos="854"/>
              </w:tabs>
              <w:spacing w:after="0" w:line="240" w:lineRule="auto"/>
              <w:rPr>
                <w:rFonts w:eastAsia="Times New Roman" w:cs="Arial"/>
                <w:color w:val="000000"/>
                <w:sz w:val="20"/>
                <w:szCs w:val="18"/>
                <w:lang w:eastAsia="en-AU"/>
              </w:rPr>
            </w:pPr>
            <w:r>
              <w:rPr>
                <w:sz w:val="20"/>
                <w:szCs w:val="18"/>
              </w:rPr>
              <w:t>20,3</w:t>
            </w:r>
            <w:r w:rsidR="00B21138">
              <w:rPr>
                <w:sz w:val="20"/>
                <w:szCs w:val="18"/>
              </w:rPr>
              <w:t>27</w:t>
            </w:r>
          </w:p>
        </w:tc>
        <w:tc>
          <w:tcPr>
            <w:tcW w:w="655" w:type="pct"/>
            <w:tcBorders>
              <w:top w:val="nil"/>
              <w:left w:val="nil"/>
              <w:bottom w:val="nil"/>
              <w:right w:val="nil"/>
            </w:tcBorders>
            <w:noWrap/>
            <w:hideMark/>
          </w:tcPr>
          <w:p w14:paraId="19BAF3D8" w14:textId="2A81E299" w:rsidR="00EA02CB" w:rsidRPr="00EA02CB" w:rsidRDefault="00EA02CB" w:rsidP="00EA02CB">
            <w:pPr>
              <w:tabs>
                <w:tab w:val="decimal" w:pos="854"/>
              </w:tabs>
              <w:spacing w:after="0" w:line="240" w:lineRule="auto"/>
              <w:rPr>
                <w:rFonts w:eastAsia="Times New Roman" w:cs="Arial"/>
                <w:color w:val="000000"/>
                <w:sz w:val="20"/>
                <w:szCs w:val="18"/>
                <w:lang w:eastAsia="en-AU"/>
              </w:rPr>
            </w:pPr>
            <w:r w:rsidRPr="00D15AF6">
              <w:rPr>
                <w:sz w:val="20"/>
                <w:szCs w:val="18"/>
              </w:rPr>
              <w:t>3,164</w:t>
            </w:r>
          </w:p>
        </w:tc>
      </w:tr>
      <w:tr w:rsidR="00EA02CB" w:rsidRPr="002B1EBF" w14:paraId="24634745" w14:textId="77777777" w:rsidTr="0080685E">
        <w:tc>
          <w:tcPr>
            <w:tcW w:w="3689" w:type="pct"/>
            <w:tcBorders>
              <w:top w:val="nil"/>
              <w:left w:val="nil"/>
              <w:bottom w:val="nil"/>
              <w:right w:val="nil"/>
            </w:tcBorders>
            <w:noWrap/>
            <w:vAlign w:val="bottom"/>
            <w:hideMark/>
          </w:tcPr>
          <w:p w14:paraId="34510A8A" w14:textId="77777777" w:rsidR="00EA02CB" w:rsidRPr="00F65403" w:rsidRDefault="00EA02CB" w:rsidP="00EA02C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Accruals</w:t>
            </w:r>
          </w:p>
        </w:tc>
        <w:tc>
          <w:tcPr>
            <w:tcW w:w="656" w:type="pct"/>
            <w:tcBorders>
              <w:top w:val="nil"/>
              <w:left w:val="nil"/>
              <w:bottom w:val="nil"/>
              <w:right w:val="nil"/>
            </w:tcBorders>
            <w:noWrap/>
            <w:hideMark/>
          </w:tcPr>
          <w:p w14:paraId="240E2541" w14:textId="553F9BCF" w:rsidR="00EA02CB" w:rsidRPr="00EA02CB" w:rsidRDefault="00EA0DF3" w:rsidP="00EA02CB">
            <w:pPr>
              <w:tabs>
                <w:tab w:val="decimal" w:pos="854"/>
              </w:tabs>
              <w:spacing w:after="0" w:line="240" w:lineRule="auto"/>
              <w:rPr>
                <w:rFonts w:eastAsia="Times New Roman" w:cs="Arial"/>
                <w:color w:val="000000"/>
                <w:sz w:val="20"/>
                <w:szCs w:val="18"/>
                <w:lang w:eastAsia="en-AU"/>
              </w:rPr>
            </w:pPr>
            <w:r>
              <w:rPr>
                <w:sz w:val="20"/>
                <w:szCs w:val="18"/>
              </w:rPr>
              <w:t>3,7</w:t>
            </w:r>
            <w:r w:rsidR="00CF6110">
              <w:rPr>
                <w:sz w:val="20"/>
                <w:szCs w:val="18"/>
              </w:rPr>
              <w:t>94</w:t>
            </w:r>
          </w:p>
        </w:tc>
        <w:tc>
          <w:tcPr>
            <w:tcW w:w="655" w:type="pct"/>
            <w:tcBorders>
              <w:top w:val="nil"/>
              <w:left w:val="nil"/>
              <w:bottom w:val="nil"/>
              <w:right w:val="nil"/>
            </w:tcBorders>
            <w:noWrap/>
            <w:hideMark/>
          </w:tcPr>
          <w:p w14:paraId="4DB7EF47" w14:textId="24F9E642" w:rsidR="00EA02CB" w:rsidRPr="00EA02CB" w:rsidRDefault="00EA02CB" w:rsidP="00EA02CB">
            <w:pPr>
              <w:tabs>
                <w:tab w:val="decimal" w:pos="854"/>
              </w:tabs>
              <w:spacing w:after="0" w:line="240" w:lineRule="auto"/>
              <w:rPr>
                <w:rFonts w:eastAsia="Times New Roman" w:cs="Arial"/>
                <w:color w:val="000000"/>
                <w:sz w:val="20"/>
                <w:szCs w:val="18"/>
                <w:lang w:eastAsia="en-AU"/>
              </w:rPr>
            </w:pPr>
            <w:r w:rsidRPr="00D15AF6">
              <w:rPr>
                <w:sz w:val="20"/>
                <w:szCs w:val="18"/>
              </w:rPr>
              <w:t>-</w:t>
            </w:r>
          </w:p>
        </w:tc>
      </w:tr>
      <w:tr w:rsidR="00EA02CB" w:rsidRPr="002B1EBF" w14:paraId="239127D5" w14:textId="77777777" w:rsidTr="0080685E">
        <w:tc>
          <w:tcPr>
            <w:tcW w:w="3689" w:type="pct"/>
            <w:tcBorders>
              <w:top w:val="nil"/>
              <w:left w:val="nil"/>
              <w:bottom w:val="nil"/>
              <w:right w:val="nil"/>
            </w:tcBorders>
            <w:noWrap/>
            <w:vAlign w:val="bottom"/>
            <w:hideMark/>
          </w:tcPr>
          <w:p w14:paraId="0FB1D8B1" w14:textId="77777777" w:rsidR="00EA02CB" w:rsidRPr="00F65403" w:rsidRDefault="00EA02CB" w:rsidP="00EA02C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taxes payable</w:t>
            </w:r>
          </w:p>
        </w:tc>
        <w:tc>
          <w:tcPr>
            <w:tcW w:w="656" w:type="pct"/>
            <w:tcBorders>
              <w:top w:val="nil"/>
              <w:left w:val="nil"/>
              <w:bottom w:val="nil"/>
              <w:right w:val="nil"/>
            </w:tcBorders>
            <w:noWrap/>
            <w:hideMark/>
          </w:tcPr>
          <w:p w14:paraId="34D2C1BD" w14:textId="220338C9" w:rsidR="00EA02CB" w:rsidRPr="00EA02CB" w:rsidRDefault="00EA02CB" w:rsidP="00EA02CB">
            <w:pPr>
              <w:tabs>
                <w:tab w:val="decimal" w:pos="854"/>
              </w:tabs>
              <w:spacing w:after="0" w:line="240" w:lineRule="auto"/>
              <w:rPr>
                <w:rFonts w:eastAsia="Times New Roman" w:cs="Arial"/>
                <w:color w:val="000000"/>
                <w:sz w:val="20"/>
                <w:szCs w:val="18"/>
                <w:lang w:eastAsia="en-AU"/>
              </w:rPr>
            </w:pPr>
            <w:r w:rsidRPr="00D15AF6">
              <w:rPr>
                <w:sz w:val="20"/>
                <w:szCs w:val="18"/>
              </w:rPr>
              <w:t>114</w:t>
            </w:r>
          </w:p>
        </w:tc>
        <w:tc>
          <w:tcPr>
            <w:tcW w:w="655" w:type="pct"/>
            <w:tcBorders>
              <w:top w:val="nil"/>
              <w:left w:val="nil"/>
              <w:bottom w:val="nil"/>
              <w:right w:val="nil"/>
            </w:tcBorders>
            <w:noWrap/>
            <w:hideMark/>
          </w:tcPr>
          <w:p w14:paraId="145F356C" w14:textId="70A64372" w:rsidR="00EA02CB" w:rsidRPr="00EA02CB" w:rsidRDefault="00EA02CB" w:rsidP="00EA02CB">
            <w:pPr>
              <w:tabs>
                <w:tab w:val="decimal" w:pos="854"/>
              </w:tabs>
              <w:spacing w:after="0" w:line="240" w:lineRule="auto"/>
              <w:rPr>
                <w:rFonts w:eastAsia="Times New Roman" w:cs="Arial"/>
                <w:color w:val="000000"/>
                <w:sz w:val="20"/>
                <w:szCs w:val="18"/>
                <w:lang w:eastAsia="en-AU"/>
              </w:rPr>
            </w:pPr>
            <w:r w:rsidRPr="00D15AF6">
              <w:rPr>
                <w:sz w:val="20"/>
                <w:szCs w:val="18"/>
              </w:rPr>
              <w:t>-</w:t>
            </w:r>
          </w:p>
        </w:tc>
      </w:tr>
      <w:tr w:rsidR="00EA02CB" w:rsidRPr="002B1EBF" w14:paraId="5D7EF594" w14:textId="77777777" w:rsidTr="0080685E">
        <w:tc>
          <w:tcPr>
            <w:tcW w:w="3689" w:type="pct"/>
            <w:tcBorders>
              <w:top w:val="nil"/>
              <w:left w:val="nil"/>
              <w:bottom w:val="nil"/>
              <w:right w:val="nil"/>
            </w:tcBorders>
            <w:noWrap/>
            <w:vAlign w:val="bottom"/>
            <w:hideMark/>
          </w:tcPr>
          <w:p w14:paraId="12B1E7AE" w14:textId="77777777" w:rsidR="00EA02CB" w:rsidRPr="00F65403" w:rsidRDefault="00EA02CB" w:rsidP="00EA02C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656" w:type="pct"/>
            <w:tcBorders>
              <w:top w:val="single" w:sz="4" w:space="0" w:color="auto"/>
              <w:left w:val="nil"/>
              <w:bottom w:val="single" w:sz="4" w:space="0" w:color="auto"/>
              <w:right w:val="nil"/>
            </w:tcBorders>
            <w:noWrap/>
            <w:hideMark/>
          </w:tcPr>
          <w:p w14:paraId="4E11B4C2" w14:textId="357650BE" w:rsidR="00EA02CB" w:rsidRPr="00EA02CB" w:rsidRDefault="00EA02CB" w:rsidP="00EA02CB">
            <w:pPr>
              <w:tabs>
                <w:tab w:val="decimal" w:pos="854"/>
              </w:tabs>
              <w:spacing w:after="0" w:line="240" w:lineRule="auto"/>
              <w:rPr>
                <w:rFonts w:eastAsia="Times New Roman" w:cs="Arial"/>
                <w:b/>
                <w:bCs/>
                <w:color w:val="000000"/>
                <w:sz w:val="20"/>
                <w:szCs w:val="18"/>
                <w:lang w:eastAsia="en-AU"/>
              </w:rPr>
            </w:pPr>
            <w:r w:rsidRPr="00D15AF6">
              <w:rPr>
                <w:b/>
                <w:sz w:val="20"/>
                <w:szCs w:val="18"/>
              </w:rPr>
              <w:t>24,235</w:t>
            </w:r>
          </w:p>
        </w:tc>
        <w:tc>
          <w:tcPr>
            <w:tcW w:w="655" w:type="pct"/>
            <w:tcBorders>
              <w:top w:val="single" w:sz="4" w:space="0" w:color="auto"/>
              <w:left w:val="nil"/>
              <w:bottom w:val="single" w:sz="4" w:space="0" w:color="auto"/>
              <w:right w:val="nil"/>
            </w:tcBorders>
            <w:noWrap/>
            <w:hideMark/>
          </w:tcPr>
          <w:p w14:paraId="1850594F" w14:textId="17046B42" w:rsidR="00EA02CB" w:rsidRPr="00EA02CB" w:rsidRDefault="00EA02CB" w:rsidP="00EA02CB">
            <w:pPr>
              <w:tabs>
                <w:tab w:val="decimal" w:pos="854"/>
              </w:tabs>
              <w:spacing w:after="0" w:line="240" w:lineRule="auto"/>
              <w:rPr>
                <w:rFonts w:eastAsia="Times New Roman" w:cs="Arial"/>
                <w:b/>
                <w:bCs/>
                <w:color w:val="000000"/>
                <w:sz w:val="20"/>
                <w:szCs w:val="18"/>
                <w:lang w:eastAsia="en-AU"/>
              </w:rPr>
            </w:pPr>
            <w:r w:rsidRPr="00D15AF6">
              <w:rPr>
                <w:b/>
                <w:sz w:val="20"/>
                <w:szCs w:val="18"/>
              </w:rPr>
              <w:t>3,164</w:t>
            </w:r>
          </w:p>
        </w:tc>
      </w:tr>
    </w:tbl>
    <w:p w14:paraId="1697E69E" w14:textId="77777777" w:rsidR="00C616C8" w:rsidRPr="00F65403" w:rsidRDefault="00C616C8" w:rsidP="00C616C8">
      <w:pPr>
        <w:pStyle w:val="BodyText"/>
        <w:rPr>
          <w:lang w:val="en-AU"/>
        </w:rPr>
      </w:pPr>
    </w:p>
    <w:p w14:paraId="2F688569" w14:textId="6086AA9E" w:rsidR="00C616C8" w:rsidRPr="00F65403" w:rsidRDefault="009F07B7" w:rsidP="715E2D1C">
      <w:pPr>
        <w:pStyle w:val="Heading8"/>
      </w:pPr>
      <w:proofErr w:type="spellStart"/>
      <w:r>
        <w:t>i</w:t>
      </w:r>
      <w:proofErr w:type="spellEnd"/>
      <w:r>
        <w:t>.</w:t>
      </w:r>
      <w:r>
        <w:tab/>
      </w:r>
      <w:r w:rsidR="57AE377F">
        <w:t>Accounting policy</w:t>
      </w:r>
    </w:p>
    <w:p w14:paraId="4FC4F5EA" w14:textId="2C7569CC" w:rsidR="00C616C8" w:rsidRPr="00F65403" w:rsidRDefault="00C616C8" w:rsidP="00C616C8">
      <w:pPr>
        <w:pStyle w:val="BodyText"/>
        <w:rPr>
          <w:lang w:val="en-AU"/>
        </w:rPr>
      </w:pPr>
      <w:r w:rsidRPr="00F65403">
        <w:rPr>
          <w:lang w:val="en-AU"/>
        </w:rPr>
        <w:t>Contractual payables are classified as financial instruments and measured at amortised cost. Payables represent liabilities for goods/services provided to the Group prior to the end of the financial year that are unpaid.</w:t>
      </w:r>
    </w:p>
    <w:p w14:paraId="521AE567" w14:textId="77777777" w:rsidR="00C616C8" w:rsidRPr="00F65403" w:rsidRDefault="00C616C8" w:rsidP="00C616C8">
      <w:pPr>
        <w:pStyle w:val="BodyText"/>
        <w:rPr>
          <w:lang w:val="en-AU"/>
        </w:rPr>
      </w:pPr>
    </w:p>
    <w:p w14:paraId="6CDF80A0" w14:textId="1F937B7A" w:rsidR="00C616C8" w:rsidRPr="00F65403" w:rsidRDefault="00C616C8" w:rsidP="00C616C8">
      <w:pPr>
        <w:pStyle w:val="BodyText"/>
        <w:rPr>
          <w:lang w:val="en-AU"/>
        </w:rPr>
      </w:pPr>
      <w:r w:rsidRPr="00F65403">
        <w:rPr>
          <w:lang w:val="en-AU"/>
        </w:rPr>
        <w:t>Statutory payables are recognised and measured similarly to contractual payables but not classified as financial instruments and not included in the category of financial liabilities at amortised cost, because they do not arise from contracts.</w:t>
      </w:r>
    </w:p>
    <w:p w14:paraId="55565CA8" w14:textId="77777777" w:rsidR="00C616C8" w:rsidRPr="00F65403" w:rsidRDefault="00C616C8" w:rsidP="00C616C8">
      <w:pPr>
        <w:pStyle w:val="BodyText"/>
        <w:rPr>
          <w:lang w:val="en-AU"/>
        </w:rPr>
      </w:pPr>
    </w:p>
    <w:p w14:paraId="4ED0C08E" w14:textId="2043E757" w:rsidR="00AC5DC0" w:rsidRDefault="00C616C8" w:rsidP="00AA3AC5">
      <w:pPr>
        <w:pStyle w:val="BodyText"/>
      </w:pPr>
      <w:r w:rsidRPr="33D5A590">
        <w:rPr>
          <w:lang w:val="en-AU"/>
        </w:rPr>
        <w:t>Payables for supplies and services have an average credit period of 30 days.</w:t>
      </w:r>
      <w:r w:rsidR="005F2D32">
        <w:rPr>
          <w:lang w:val="en-AU"/>
        </w:rPr>
        <w:br/>
      </w:r>
    </w:p>
    <w:p w14:paraId="1906AD84" w14:textId="77777777" w:rsidR="006D7E83" w:rsidRPr="00F65403" w:rsidRDefault="006D7E83" w:rsidP="006D7E83">
      <w:pPr>
        <w:pStyle w:val="Heading7"/>
      </w:pPr>
      <w:r>
        <w:t>Provisions</w:t>
      </w:r>
    </w:p>
    <w:tbl>
      <w:tblPr>
        <w:tblW w:w="8883" w:type="dxa"/>
        <w:tblLayout w:type="fixed"/>
        <w:tblCellMar>
          <w:top w:w="28" w:type="dxa"/>
          <w:left w:w="28" w:type="dxa"/>
          <w:bottom w:w="28" w:type="dxa"/>
          <w:right w:w="28" w:type="dxa"/>
        </w:tblCellMar>
        <w:tblLook w:val="04A0" w:firstRow="1" w:lastRow="0" w:firstColumn="1" w:lastColumn="0" w:noHBand="0" w:noVBand="1"/>
      </w:tblPr>
      <w:tblGrid>
        <w:gridCol w:w="4962"/>
        <w:gridCol w:w="1417"/>
        <w:gridCol w:w="1252"/>
        <w:gridCol w:w="1252"/>
      </w:tblGrid>
      <w:tr w:rsidR="00E222BD" w:rsidRPr="002B1EBF" w14:paraId="230936FA" w14:textId="40A64D6C" w:rsidTr="00E222BD">
        <w:tc>
          <w:tcPr>
            <w:tcW w:w="4962" w:type="dxa"/>
            <w:tcBorders>
              <w:top w:val="nil"/>
              <w:left w:val="nil"/>
              <w:bottom w:val="nil"/>
              <w:right w:val="nil"/>
            </w:tcBorders>
            <w:noWrap/>
            <w:vAlign w:val="bottom"/>
            <w:hideMark/>
          </w:tcPr>
          <w:p w14:paraId="72AF28C3" w14:textId="77777777" w:rsidR="00E222BD" w:rsidRPr="00F65403" w:rsidRDefault="00E222BD" w:rsidP="00E222BD">
            <w:pPr>
              <w:spacing w:after="0" w:line="240" w:lineRule="auto"/>
              <w:rPr>
                <w:rFonts w:eastAsia="Times New Roman" w:cs="Arial"/>
                <w:sz w:val="20"/>
                <w:szCs w:val="20"/>
                <w:lang w:eastAsia="en-AU"/>
              </w:rPr>
            </w:pPr>
          </w:p>
        </w:tc>
        <w:tc>
          <w:tcPr>
            <w:tcW w:w="1417" w:type="dxa"/>
            <w:tcBorders>
              <w:top w:val="nil"/>
              <w:left w:val="nil"/>
              <w:bottom w:val="nil"/>
              <w:right w:val="nil"/>
            </w:tcBorders>
            <w:noWrap/>
            <w:vAlign w:val="bottom"/>
          </w:tcPr>
          <w:p w14:paraId="44BBC2B1" w14:textId="59C73A53" w:rsidR="00E222BD" w:rsidRPr="00F65403" w:rsidRDefault="00E222BD" w:rsidP="00E222BD">
            <w:pPr>
              <w:spacing w:after="0" w:line="240" w:lineRule="auto"/>
              <w:jc w:val="center"/>
              <w:rPr>
                <w:rFonts w:eastAsia="Times New Roman" w:cs="Arial"/>
                <w:b/>
                <w:color w:val="000000"/>
                <w:sz w:val="20"/>
                <w:szCs w:val="20"/>
                <w:lang w:eastAsia="en-AU"/>
              </w:rPr>
            </w:pPr>
          </w:p>
        </w:tc>
        <w:tc>
          <w:tcPr>
            <w:tcW w:w="1252" w:type="dxa"/>
            <w:tcBorders>
              <w:top w:val="nil"/>
              <w:left w:val="nil"/>
              <w:bottom w:val="nil"/>
              <w:right w:val="nil"/>
            </w:tcBorders>
            <w:noWrap/>
            <w:vAlign w:val="bottom"/>
          </w:tcPr>
          <w:p w14:paraId="7228D1E5" w14:textId="6B3EB295" w:rsidR="00E222BD" w:rsidRPr="00F65403" w:rsidRDefault="00E222BD" w:rsidP="00E222B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1252" w:type="dxa"/>
            <w:tcBorders>
              <w:top w:val="nil"/>
              <w:left w:val="nil"/>
              <w:bottom w:val="nil"/>
              <w:right w:val="nil"/>
            </w:tcBorders>
            <w:vAlign w:val="bottom"/>
          </w:tcPr>
          <w:p w14:paraId="46F4FBB4" w14:textId="46BBB725" w:rsidR="00E222BD" w:rsidRPr="00F65403" w:rsidRDefault="00E222BD" w:rsidP="00E222B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E222BD" w:rsidRPr="002B1EBF" w14:paraId="59E7989F" w14:textId="23E77CBD" w:rsidTr="00E222BD">
        <w:tc>
          <w:tcPr>
            <w:tcW w:w="4962" w:type="dxa"/>
            <w:tcBorders>
              <w:top w:val="nil"/>
              <w:left w:val="nil"/>
              <w:bottom w:val="nil"/>
              <w:right w:val="nil"/>
            </w:tcBorders>
            <w:noWrap/>
            <w:vAlign w:val="bottom"/>
            <w:hideMark/>
          </w:tcPr>
          <w:p w14:paraId="338EE72B" w14:textId="77777777" w:rsidR="00E222BD" w:rsidRPr="00F65403" w:rsidRDefault="00E222BD" w:rsidP="00E222BD">
            <w:pPr>
              <w:spacing w:after="0" w:line="240" w:lineRule="auto"/>
              <w:jc w:val="right"/>
              <w:rPr>
                <w:rFonts w:eastAsia="Times New Roman" w:cs="Arial"/>
                <w:b/>
                <w:color w:val="000000"/>
                <w:sz w:val="20"/>
                <w:szCs w:val="20"/>
                <w:lang w:eastAsia="en-AU"/>
              </w:rPr>
            </w:pPr>
          </w:p>
        </w:tc>
        <w:tc>
          <w:tcPr>
            <w:tcW w:w="1417" w:type="dxa"/>
            <w:tcBorders>
              <w:top w:val="nil"/>
              <w:left w:val="nil"/>
              <w:bottom w:val="nil"/>
              <w:right w:val="nil"/>
            </w:tcBorders>
            <w:noWrap/>
            <w:vAlign w:val="bottom"/>
          </w:tcPr>
          <w:p w14:paraId="0C472801" w14:textId="4B157B50" w:rsidR="00E222BD" w:rsidRPr="00F65403" w:rsidRDefault="00E222BD" w:rsidP="00E222BD">
            <w:pPr>
              <w:spacing w:after="0" w:line="240" w:lineRule="auto"/>
              <w:jc w:val="center"/>
              <w:rPr>
                <w:rFonts w:eastAsia="Times New Roman" w:cs="Arial"/>
                <w:b/>
                <w:color w:val="000000"/>
                <w:sz w:val="20"/>
                <w:szCs w:val="20"/>
                <w:lang w:eastAsia="en-AU"/>
              </w:rPr>
            </w:pPr>
          </w:p>
        </w:tc>
        <w:tc>
          <w:tcPr>
            <w:tcW w:w="1252" w:type="dxa"/>
            <w:tcBorders>
              <w:top w:val="nil"/>
              <w:left w:val="nil"/>
              <w:bottom w:val="nil"/>
              <w:right w:val="nil"/>
            </w:tcBorders>
            <w:noWrap/>
            <w:vAlign w:val="bottom"/>
          </w:tcPr>
          <w:p w14:paraId="20D65780" w14:textId="5F55EA8C" w:rsidR="00E222BD" w:rsidRPr="00F65403" w:rsidRDefault="00E222BD" w:rsidP="00E222B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252" w:type="dxa"/>
            <w:tcBorders>
              <w:top w:val="nil"/>
              <w:left w:val="nil"/>
              <w:bottom w:val="nil"/>
              <w:right w:val="nil"/>
            </w:tcBorders>
            <w:vAlign w:val="bottom"/>
          </w:tcPr>
          <w:p w14:paraId="02A922D9" w14:textId="2A6DD079" w:rsidR="00E222BD" w:rsidRPr="00F65403" w:rsidRDefault="00E222BD" w:rsidP="00E222B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E222BD" w:rsidRPr="002B1EBF" w14:paraId="43B05BF5" w14:textId="6FF8E280" w:rsidTr="00E222BD">
        <w:tc>
          <w:tcPr>
            <w:tcW w:w="4962" w:type="dxa"/>
            <w:tcBorders>
              <w:top w:val="nil"/>
              <w:left w:val="nil"/>
              <w:bottom w:val="nil"/>
              <w:right w:val="nil"/>
            </w:tcBorders>
            <w:noWrap/>
            <w:vAlign w:val="bottom"/>
          </w:tcPr>
          <w:p w14:paraId="24D704C6" w14:textId="77777777" w:rsidR="00E222BD" w:rsidRPr="00F65403" w:rsidRDefault="00E222BD" w:rsidP="00E222BD">
            <w:pPr>
              <w:spacing w:after="0" w:line="240" w:lineRule="auto"/>
              <w:rPr>
                <w:rFonts w:cs="Arial"/>
                <w:color w:val="000000"/>
                <w:sz w:val="20"/>
                <w:szCs w:val="20"/>
              </w:rPr>
            </w:pPr>
          </w:p>
        </w:tc>
        <w:tc>
          <w:tcPr>
            <w:tcW w:w="1417" w:type="dxa"/>
            <w:tcBorders>
              <w:top w:val="nil"/>
              <w:left w:val="nil"/>
              <w:bottom w:val="nil"/>
              <w:right w:val="nil"/>
            </w:tcBorders>
            <w:noWrap/>
            <w:vAlign w:val="bottom"/>
          </w:tcPr>
          <w:p w14:paraId="67DEE0D1"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nil"/>
              <w:right w:val="nil"/>
            </w:tcBorders>
            <w:noWrap/>
            <w:vAlign w:val="bottom"/>
          </w:tcPr>
          <w:p w14:paraId="6C63974D"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nil"/>
              <w:right w:val="nil"/>
            </w:tcBorders>
            <w:vAlign w:val="bottom"/>
          </w:tcPr>
          <w:p w14:paraId="3A1645DB"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r>
      <w:tr w:rsidR="00E222BD" w:rsidRPr="00F65403" w14:paraId="69353932" w14:textId="71E80B4D" w:rsidTr="00E222BD">
        <w:tc>
          <w:tcPr>
            <w:tcW w:w="4962" w:type="dxa"/>
            <w:tcBorders>
              <w:top w:val="nil"/>
              <w:left w:val="nil"/>
              <w:bottom w:val="nil"/>
              <w:right w:val="nil"/>
            </w:tcBorders>
            <w:noWrap/>
            <w:vAlign w:val="bottom"/>
          </w:tcPr>
          <w:p w14:paraId="74A0C458" w14:textId="750E68C9" w:rsidR="00E222BD" w:rsidRPr="00F65403" w:rsidRDefault="00E222BD" w:rsidP="00E222BD">
            <w:pPr>
              <w:spacing w:after="0" w:line="240" w:lineRule="auto"/>
              <w:rPr>
                <w:rFonts w:cs="Arial"/>
                <w:color w:val="000000"/>
                <w:sz w:val="20"/>
                <w:szCs w:val="20"/>
              </w:rPr>
            </w:pPr>
            <w:r>
              <w:rPr>
                <w:rFonts w:cs="Arial"/>
                <w:color w:val="000000"/>
                <w:sz w:val="20"/>
                <w:szCs w:val="20"/>
              </w:rPr>
              <w:t>Employee benefits</w:t>
            </w:r>
          </w:p>
        </w:tc>
        <w:tc>
          <w:tcPr>
            <w:tcW w:w="1417" w:type="dxa"/>
            <w:tcBorders>
              <w:top w:val="nil"/>
              <w:left w:val="nil"/>
              <w:right w:val="nil"/>
            </w:tcBorders>
            <w:noWrap/>
          </w:tcPr>
          <w:p w14:paraId="56996020" w14:textId="12287AE4" w:rsidR="00E222BD" w:rsidRPr="00D73107"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nil"/>
              <w:right w:val="nil"/>
            </w:tcBorders>
            <w:noWrap/>
          </w:tcPr>
          <w:p w14:paraId="550984B7" w14:textId="0009E8A1"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D15AF6">
              <w:rPr>
                <w:sz w:val="20"/>
                <w:szCs w:val="20"/>
              </w:rPr>
              <w:t>1,964</w:t>
            </w:r>
          </w:p>
        </w:tc>
        <w:tc>
          <w:tcPr>
            <w:tcW w:w="1252" w:type="dxa"/>
            <w:tcBorders>
              <w:top w:val="nil"/>
              <w:left w:val="nil"/>
              <w:bottom w:val="nil"/>
              <w:right w:val="nil"/>
            </w:tcBorders>
            <w:vAlign w:val="bottom"/>
          </w:tcPr>
          <w:p w14:paraId="6E068042" w14:textId="51E3771D" w:rsidR="00E222BD" w:rsidRDefault="00E222B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759</w:t>
            </w:r>
          </w:p>
        </w:tc>
      </w:tr>
      <w:tr w:rsidR="00E222BD" w:rsidRPr="00F65403" w14:paraId="231F79A7" w14:textId="3B19A939" w:rsidTr="00E222BD">
        <w:tc>
          <w:tcPr>
            <w:tcW w:w="4962" w:type="dxa"/>
            <w:tcBorders>
              <w:top w:val="nil"/>
              <w:left w:val="nil"/>
              <w:bottom w:val="nil"/>
              <w:right w:val="nil"/>
            </w:tcBorders>
            <w:noWrap/>
            <w:vAlign w:val="bottom"/>
          </w:tcPr>
          <w:p w14:paraId="216905E0" w14:textId="21943FDA" w:rsidR="00E222BD" w:rsidRPr="00F65403" w:rsidRDefault="00E222BD" w:rsidP="00E222BD">
            <w:pPr>
              <w:spacing w:after="0" w:line="240" w:lineRule="auto"/>
              <w:rPr>
                <w:rFonts w:cs="Arial"/>
                <w:color w:val="000000"/>
                <w:sz w:val="20"/>
                <w:szCs w:val="20"/>
              </w:rPr>
            </w:pPr>
            <w:r>
              <w:rPr>
                <w:rFonts w:cs="Arial"/>
                <w:color w:val="000000"/>
                <w:sz w:val="20"/>
                <w:szCs w:val="20"/>
              </w:rPr>
              <w:t xml:space="preserve">Other provisions </w:t>
            </w:r>
          </w:p>
        </w:tc>
        <w:tc>
          <w:tcPr>
            <w:tcW w:w="1417" w:type="dxa"/>
            <w:tcBorders>
              <w:top w:val="nil"/>
              <w:left w:val="nil"/>
              <w:right w:val="nil"/>
            </w:tcBorders>
            <w:noWrap/>
          </w:tcPr>
          <w:p w14:paraId="5513182C" w14:textId="35FF339A" w:rsidR="00E222BD" w:rsidRPr="00D73107"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single" w:sz="4" w:space="0" w:color="auto"/>
              <w:right w:val="nil"/>
            </w:tcBorders>
            <w:noWrap/>
          </w:tcPr>
          <w:p w14:paraId="589339DB" w14:textId="172E2974"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D15AF6">
              <w:rPr>
                <w:sz w:val="20"/>
                <w:szCs w:val="20"/>
              </w:rPr>
              <w:t>6,000</w:t>
            </w:r>
          </w:p>
        </w:tc>
        <w:tc>
          <w:tcPr>
            <w:tcW w:w="1252" w:type="dxa"/>
            <w:tcBorders>
              <w:top w:val="nil"/>
              <w:left w:val="nil"/>
              <w:bottom w:val="single" w:sz="4" w:space="0" w:color="auto"/>
              <w:right w:val="nil"/>
            </w:tcBorders>
            <w:vAlign w:val="bottom"/>
          </w:tcPr>
          <w:p w14:paraId="627DB46B" w14:textId="1E5D867A" w:rsidR="00E222BD" w:rsidRDefault="00E222B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E222BD" w:rsidRPr="00F65403" w14:paraId="01B70437" w14:textId="52DC2E96" w:rsidTr="00E222BD">
        <w:tc>
          <w:tcPr>
            <w:tcW w:w="4962" w:type="dxa"/>
            <w:tcBorders>
              <w:top w:val="nil"/>
              <w:left w:val="nil"/>
              <w:bottom w:val="nil"/>
              <w:right w:val="nil"/>
            </w:tcBorders>
            <w:noWrap/>
            <w:vAlign w:val="bottom"/>
          </w:tcPr>
          <w:p w14:paraId="6D439510" w14:textId="334DE7B7" w:rsidR="00E222BD" w:rsidRPr="00F952DC" w:rsidRDefault="00E222BD" w:rsidP="00E222BD">
            <w:pPr>
              <w:spacing w:after="0" w:line="240" w:lineRule="auto"/>
              <w:rPr>
                <w:rFonts w:cs="Arial"/>
                <w:b/>
                <w:bCs/>
                <w:color w:val="000000"/>
                <w:sz w:val="20"/>
                <w:szCs w:val="20"/>
              </w:rPr>
            </w:pPr>
            <w:r w:rsidRPr="00F952DC">
              <w:rPr>
                <w:rFonts w:cs="Arial"/>
                <w:b/>
                <w:bCs/>
                <w:color w:val="000000"/>
                <w:sz w:val="20"/>
                <w:szCs w:val="20"/>
              </w:rPr>
              <w:t>Total current provisions</w:t>
            </w:r>
          </w:p>
        </w:tc>
        <w:tc>
          <w:tcPr>
            <w:tcW w:w="1417" w:type="dxa"/>
            <w:tcBorders>
              <w:left w:val="nil"/>
              <w:right w:val="nil"/>
            </w:tcBorders>
            <w:noWrap/>
          </w:tcPr>
          <w:p w14:paraId="54BA7C99" w14:textId="1A6B6C52" w:rsidR="00E222BD" w:rsidRPr="00D73107" w:rsidRDefault="00E222BD" w:rsidP="00E222BD">
            <w:pPr>
              <w:tabs>
                <w:tab w:val="decimal" w:pos="851"/>
              </w:tabs>
              <w:spacing w:after="0" w:line="240" w:lineRule="auto"/>
              <w:rPr>
                <w:rFonts w:eastAsia="Times New Roman" w:cs="Arial"/>
                <w:b/>
                <w:bCs/>
                <w:color w:val="000000"/>
                <w:sz w:val="20"/>
                <w:szCs w:val="20"/>
                <w:lang w:eastAsia="en-AU"/>
              </w:rPr>
            </w:pPr>
          </w:p>
        </w:tc>
        <w:tc>
          <w:tcPr>
            <w:tcW w:w="1252" w:type="dxa"/>
            <w:tcBorders>
              <w:top w:val="single" w:sz="4" w:space="0" w:color="auto"/>
              <w:left w:val="nil"/>
              <w:bottom w:val="single" w:sz="4" w:space="0" w:color="auto"/>
              <w:right w:val="nil"/>
            </w:tcBorders>
            <w:noWrap/>
          </w:tcPr>
          <w:p w14:paraId="114AE81B" w14:textId="60F90D20" w:rsidR="00E222BD" w:rsidRPr="00F952DC" w:rsidRDefault="00E222BD" w:rsidP="00E222BD">
            <w:pPr>
              <w:tabs>
                <w:tab w:val="decimal" w:pos="851"/>
              </w:tabs>
              <w:spacing w:after="0" w:line="240" w:lineRule="auto"/>
              <w:rPr>
                <w:rFonts w:eastAsia="Times New Roman" w:cs="Arial"/>
                <w:b/>
                <w:bCs/>
                <w:color w:val="000000"/>
                <w:sz w:val="20"/>
                <w:szCs w:val="20"/>
                <w:lang w:eastAsia="en-AU"/>
              </w:rPr>
            </w:pPr>
            <w:r w:rsidRPr="00D15AF6">
              <w:rPr>
                <w:b/>
                <w:sz w:val="20"/>
                <w:szCs w:val="20"/>
              </w:rPr>
              <w:t>7,964</w:t>
            </w:r>
          </w:p>
        </w:tc>
        <w:tc>
          <w:tcPr>
            <w:tcW w:w="1252" w:type="dxa"/>
            <w:tcBorders>
              <w:top w:val="single" w:sz="4" w:space="0" w:color="auto"/>
              <w:left w:val="nil"/>
              <w:bottom w:val="single" w:sz="4" w:space="0" w:color="auto"/>
              <w:right w:val="nil"/>
            </w:tcBorders>
            <w:vAlign w:val="bottom"/>
          </w:tcPr>
          <w:p w14:paraId="63F41E2F" w14:textId="04FCC23A" w:rsidR="00E222BD" w:rsidRDefault="00E222BD" w:rsidP="00E222BD">
            <w:pPr>
              <w:tabs>
                <w:tab w:val="decimal" w:pos="85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759</w:t>
            </w:r>
          </w:p>
        </w:tc>
      </w:tr>
      <w:tr w:rsidR="00E222BD" w:rsidRPr="00F65403" w14:paraId="0091609B" w14:textId="5C11DCFE" w:rsidTr="00E222BD">
        <w:tc>
          <w:tcPr>
            <w:tcW w:w="4962" w:type="dxa"/>
            <w:tcBorders>
              <w:top w:val="nil"/>
              <w:left w:val="nil"/>
              <w:bottom w:val="nil"/>
              <w:right w:val="nil"/>
            </w:tcBorders>
            <w:noWrap/>
            <w:vAlign w:val="bottom"/>
          </w:tcPr>
          <w:p w14:paraId="07014CE6" w14:textId="0D5562CA" w:rsidR="00E222BD" w:rsidRPr="008C747D" w:rsidRDefault="00E222BD" w:rsidP="00E222BD">
            <w:pPr>
              <w:spacing w:after="0" w:line="240" w:lineRule="auto"/>
              <w:rPr>
                <w:rFonts w:cs="Arial"/>
                <w:b/>
                <w:bCs/>
                <w:color w:val="000000"/>
                <w:sz w:val="20"/>
                <w:szCs w:val="20"/>
              </w:rPr>
            </w:pPr>
            <w:r>
              <w:rPr>
                <w:rFonts w:cs="Arial"/>
                <w:color w:val="000000"/>
                <w:sz w:val="20"/>
                <w:szCs w:val="20"/>
              </w:rPr>
              <w:t>Employee benefits</w:t>
            </w:r>
          </w:p>
        </w:tc>
        <w:tc>
          <w:tcPr>
            <w:tcW w:w="1417" w:type="dxa"/>
            <w:tcBorders>
              <w:left w:val="nil"/>
              <w:bottom w:val="nil"/>
              <w:right w:val="nil"/>
            </w:tcBorders>
            <w:noWrap/>
          </w:tcPr>
          <w:p w14:paraId="57EFB905" w14:textId="2627434F" w:rsidR="00E222BD" w:rsidRPr="00D73107"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single" w:sz="4" w:space="0" w:color="auto"/>
              <w:left w:val="nil"/>
              <w:bottom w:val="nil"/>
              <w:right w:val="nil"/>
            </w:tcBorders>
            <w:noWrap/>
          </w:tcPr>
          <w:p w14:paraId="2299C7C4" w14:textId="4D795EC8"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D15AF6">
              <w:rPr>
                <w:sz w:val="20"/>
                <w:szCs w:val="20"/>
              </w:rPr>
              <w:t>71</w:t>
            </w:r>
          </w:p>
        </w:tc>
        <w:tc>
          <w:tcPr>
            <w:tcW w:w="1252" w:type="dxa"/>
            <w:tcBorders>
              <w:top w:val="single" w:sz="4" w:space="0" w:color="auto"/>
              <w:left w:val="nil"/>
              <w:bottom w:val="nil"/>
              <w:right w:val="nil"/>
            </w:tcBorders>
            <w:vAlign w:val="bottom"/>
          </w:tcPr>
          <w:p w14:paraId="3457E1E1" w14:textId="6FB3DE9E" w:rsidR="00E222BD" w:rsidRDefault="00E222B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106</w:t>
            </w:r>
          </w:p>
        </w:tc>
      </w:tr>
      <w:tr w:rsidR="00E222BD" w:rsidRPr="00F65403" w14:paraId="095D7A45" w14:textId="3EF48B46" w:rsidTr="00E222BD">
        <w:tc>
          <w:tcPr>
            <w:tcW w:w="4962" w:type="dxa"/>
            <w:tcBorders>
              <w:top w:val="nil"/>
              <w:left w:val="nil"/>
              <w:bottom w:val="nil"/>
              <w:right w:val="nil"/>
            </w:tcBorders>
            <w:noWrap/>
            <w:vAlign w:val="bottom"/>
          </w:tcPr>
          <w:p w14:paraId="5F4D20D1" w14:textId="57554F83" w:rsidR="00E222BD" w:rsidRPr="008C747D" w:rsidRDefault="00E222BD" w:rsidP="00E222BD">
            <w:pPr>
              <w:spacing w:after="0" w:line="240" w:lineRule="auto"/>
              <w:rPr>
                <w:rFonts w:cs="Arial"/>
                <w:b/>
                <w:bCs/>
                <w:color w:val="000000"/>
                <w:sz w:val="20"/>
                <w:szCs w:val="20"/>
              </w:rPr>
            </w:pPr>
            <w:r>
              <w:rPr>
                <w:rFonts w:cs="Arial"/>
                <w:color w:val="000000"/>
                <w:sz w:val="20"/>
                <w:szCs w:val="20"/>
              </w:rPr>
              <w:t>Other provisions</w:t>
            </w:r>
          </w:p>
        </w:tc>
        <w:tc>
          <w:tcPr>
            <w:tcW w:w="1417" w:type="dxa"/>
            <w:tcBorders>
              <w:top w:val="nil"/>
              <w:left w:val="nil"/>
              <w:right w:val="nil"/>
            </w:tcBorders>
            <w:noWrap/>
          </w:tcPr>
          <w:p w14:paraId="2CF0CE2A" w14:textId="4B4DE60C" w:rsidR="00E222BD" w:rsidRPr="00D73107"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single" w:sz="4" w:space="0" w:color="auto"/>
              <w:right w:val="nil"/>
            </w:tcBorders>
            <w:noWrap/>
          </w:tcPr>
          <w:p w14:paraId="2D21EBBD" w14:textId="44360456"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D15AF6">
              <w:rPr>
                <w:sz w:val="20"/>
                <w:szCs w:val="20"/>
              </w:rPr>
              <w:t>3,912</w:t>
            </w:r>
          </w:p>
        </w:tc>
        <w:tc>
          <w:tcPr>
            <w:tcW w:w="1252" w:type="dxa"/>
            <w:tcBorders>
              <w:top w:val="nil"/>
              <w:left w:val="nil"/>
              <w:bottom w:val="single" w:sz="4" w:space="0" w:color="auto"/>
              <w:right w:val="nil"/>
            </w:tcBorders>
            <w:vAlign w:val="bottom"/>
          </w:tcPr>
          <w:p w14:paraId="468FCB54" w14:textId="62705266" w:rsidR="00E222BD" w:rsidRDefault="00E222B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E222BD" w:rsidRPr="00F65403" w14:paraId="17F6E017" w14:textId="0BBB9559" w:rsidTr="00E222BD">
        <w:tc>
          <w:tcPr>
            <w:tcW w:w="4962" w:type="dxa"/>
            <w:tcBorders>
              <w:top w:val="nil"/>
              <w:left w:val="nil"/>
              <w:bottom w:val="nil"/>
              <w:right w:val="nil"/>
            </w:tcBorders>
            <w:noWrap/>
            <w:vAlign w:val="bottom"/>
          </w:tcPr>
          <w:p w14:paraId="5046B3C0" w14:textId="13802F22" w:rsidR="00E222BD" w:rsidRPr="008C747D" w:rsidRDefault="00E222BD" w:rsidP="00E222BD">
            <w:pPr>
              <w:spacing w:after="0" w:line="240" w:lineRule="auto"/>
              <w:rPr>
                <w:rFonts w:cs="Arial"/>
                <w:b/>
                <w:bCs/>
                <w:color w:val="000000"/>
                <w:sz w:val="20"/>
                <w:szCs w:val="20"/>
              </w:rPr>
            </w:pPr>
            <w:r w:rsidRPr="00F952DC">
              <w:rPr>
                <w:rFonts w:cs="Arial"/>
                <w:b/>
                <w:bCs/>
                <w:color w:val="000000"/>
                <w:sz w:val="20"/>
                <w:szCs w:val="20"/>
              </w:rPr>
              <w:t xml:space="preserve">Total </w:t>
            </w:r>
            <w:r>
              <w:rPr>
                <w:rFonts w:cs="Arial"/>
                <w:b/>
                <w:bCs/>
                <w:color w:val="000000"/>
                <w:sz w:val="20"/>
                <w:szCs w:val="20"/>
              </w:rPr>
              <w:t>non-</w:t>
            </w:r>
            <w:r w:rsidRPr="00F952DC">
              <w:rPr>
                <w:rFonts w:cs="Arial"/>
                <w:b/>
                <w:bCs/>
                <w:color w:val="000000"/>
                <w:sz w:val="20"/>
                <w:szCs w:val="20"/>
              </w:rPr>
              <w:t>current provisions</w:t>
            </w:r>
          </w:p>
        </w:tc>
        <w:tc>
          <w:tcPr>
            <w:tcW w:w="1417" w:type="dxa"/>
            <w:tcBorders>
              <w:left w:val="nil"/>
              <w:right w:val="nil"/>
            </w:tcBorders>
            <w:noWrap/>
          </w:tcPr>
          <w:p w14:paraId="436AA158" w14:textId="067F249E" w:rsidR="00E222BD" w:rsidRPr="00D73107" w:rsidRDefault="00E222BD" w:rsidP="00E222BD">
            <w:pPr>
              <w:tabs>
                <w:tab w:val="decimal" w:pos="851"/>
              </w:tabs>
              <w:spacing w:after="0" w:line="240" w:lineRule="auto"/>
              <w:rPr>
                <w:rFonts w:eastAsia="Times New Roman" w:cs="Arial"/>
                <w:b/>
                <w:bCs/>
                <w:color w:val="000000"/>
                <w:sz w:val="20"/>
                <w:szCs w:val="20"/>
                <w:lang w:eastAsia="en-AU"/>
              </w:rPr>
            </w:pPr>
          </w:p>
        </w:tc>
        <w:tc>
          <w:tcPr>
            <w:tcW w:w="1252" w:type="dxa"/>
            <w:tcBorders>
              <w:top w:val="single" w:sz="4" w:space="0" w:color="auto"/>
              <w:left w:val="nil"/>
              <w:bottom w:val="single" w:sz="4" w:space="0" w:color="auto"/>
              <w:right w:val="nil"/>
            </w:tcBorders>
            <w:noWrap/>
          </w:tcPr>
          <w:p w14:paraId="6CBC8994" w14:textId="67511D5F" w:rsidR="00E222BD" w:rsidRPr="00994B35" w:rsidRDefault="00E222BD" w:rsidP="00E222BD">
            <w:pPr>
              <w:tabs>
                <w:tab w:val="decimal" w:pos="851"/>
              </w:tabs>
              <w:spacing w:after="0" w:line="240" w:lineRule="auto"/>
              <w:rPr>
                <w:rFonts w:eastAsia="Times New Roman" w:cs="Arial"/>
                <w:b/>
                <w:bCs/>
                <w:color w:val="000000"/>
                <w:sz w:val="20"/>
                <w:szCs w:val="20"/>
                <w:lang w:eastAsia="en-AU"/>
              </w:rPr>
            </w:pPr>
            <w:r w:rsidRPr="00D15AF6">
              <w:rPr>
                <w:b/>
                <w:sz w:val="20"/>
                <w:szCs w:val="20"/>
              </w:rPr>
              <w:t>3,983</w:t>
            </w:r>
          </w:p>
        </w:tc>
        <w:tc>
          <w:tcPr>
            <w:tcW w:w="1252" w:type="dxa"/>
            <w:tcBorders>
              <w:top w:val="single" w:sz="4" w:space="0" w:color="auto"/>
              <w:left w:val="nil"/>
              <w:bottom w:val="single" w:sz="4" w:space="0" w:color="auto"/>
              <w:right w:val="nil"/>
            </w:tcBorders>
            <w:vAlign w:val="bottom"/>
          </w:tcPr>
          <w:p w14:paraId="365D2C28" w14:textId="0A160EC4" w:rsidR="00E222BD" w:rsidRDefault="00E222BD" w:rsidP="00E222BD">
            <w:pPr>
              <w:tabs>
                <w:tab w:val="decimal" w:pos="85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106</w:t>
            </w:r>
          </w:p>
        </w:tc>
      </w:tr>
      <w:tr w:rsidR="00E222BD" w:rsidRPr="00F65403" w14:paraId="58C72F5A" w14:textId="676B6D4A" w:rsidTr="00E222BD">
        <w:tc>
          <w:tcPr>
            <w:tcW w:w="4962" w:type="dxa"/>
            <w:tcBorders>
              <w:top w:val="nil"/>
              <w:left w:val="nil"/>
              <w:bottom w:val="nil"/>
              <w:right w:val="nil"/>
            </w:tcBorders>
            <w:noWrap/>
            <w:vAlign w:val="bottom"/>
          </w:tcPr>
          <w:p w14:paraId="65470DCF" w14:textId="77777777" w:rsidR="00E222BD" w:rsidRPr="00F952DC" w:rsidRDefault="00E222BD" w:rsidP="00E222BD">
            <w:pPr>
              <w:spacing w:after="0" w:line="240" w:lineRule="auto"/>
              <w:rPr>
                <w:rFonts w:cs="Arial"/>
                <w:b/>
                <w:bCs/>
                <w:color w:val="000000"/>
                <w:sz w:val="20"/>
                <w:szCs w:val="20"/>
              </w:rPr>
            </w:pPr>
          </w:p>
        </w:tc>
        <w:tc>
          <w:tcPr>
            <w:tcW w:w="1417" w:type="dxa"/>
            <w:tcBorders>
              <w:left w:val="nil"/>
              <w:bottom w:val="nil"/>
              <w:right w:val="nil"/>
            </w:tcBorders>
            <w:noWrap/>
            <w:vAlign w:val="bottom"/>
          </w:tcPr>
          <w:p w14:paraId="71E9A140"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single" w:sz="4" w:space="0" w:color="auto"/>
              <w:left w:val="nil"/>
              <w:bottom w:val="nil"/>
              <w:right w:val="nil"/>
            </w:tcBorders>
            <w:noWrap/>
            <w:vAlign w:val="bottom"/>
          </w:tcPr>
          <w:p w14:paraId="2ADC1966"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c>
          <w:tcPr>
            <w:tcW w:w="1252" w:type="dxa"/>
            <w:tcBorders>
              <w:top w:val="single" w:sz="4" w:space="0" w:color="auto"/>
              <w:left w:val="nil"/>
              <w:bottom w:val="nil"/>
              <w:right w:val="nil"/>
            </w:tcBorders>
          </w:tcPr>
          <w:p w14:paraId="1F4CAF57" w14:textId="77777777" w:rsidR="00E222BD" w:rsidRPr="00F65403" w:rsidRDefault="00E222BD" w:rsidP="00E222BD">
            <w:pPr>
              <w:tabs>
                <w:tab w:val="decimal" w:pos="851"/>
              </w:tabs>
              <w:spacing w:after="0" w:line="240" w:lineRule="auto"/>
              <w:rPr>
                <w:rFonts w:eastAsia="Times New Roman" w:cs="Arial"/>
                <w:color w:val="000000"/>
                <w:sz w:val="20"/>
                <w:szCs w:val="20"/>
                <w:lang w:eastAsia="en-AU"/>
              </w:rPr>
            </w:pPr>
          </w:p>
        </w:tc>
      </w:tr>
      <w:tr w:rsidR="00E222BD" w:rsidRPr="00F65403" w14:paraId="15B60C9A" w14:textId="6564BA00" w:rsidTr="00E222BD">
        <w:tc>
          <w:tcPr>
            <w:tcW w:w="4962" w:type="dxa"/>
            <w:tcBorders>
              <w:top w:val="nil"/>
              <w:left w:val="nil"/>
              <w:bottom w:val="nil"/>
              <w:right w:val="nil"/>
            </w:tcBorders>
            <w:noWrap/>
            <w:vAlign w:val="bottom"/>
          </w:tcPr>
          <w:p w14:paraId="76B3D0F8" w14:textId="05649923" w:rsidR="00E222BD" w:rsidRPr="00E26E4B" w:rsidRDefault="00E222BD" w:rsidP="00E222BD">
            <w:pPr>
              <w:spacing w:after="0" w:line="240" w:lineRule="auto"/>
              <w:rPr>
                <w:rFonts w:cs="Arial"/>
                <w:i/>
                <w:iCs/>
                <w:color w:val="000000"/>
                <w:sz w:val="20"/>
                <w:szCs w:val="20"/>
              </w:rPr>
            </w:pPr>
            <w:r w:rsidRPr="00E26E4B">
              <w:rPr>
                <w:rFonts w:cs="Arial"/>
                <w:i/>
                <w:iCs/>
                <w:color w:val="000000"/>
                <w:sz w:val="20"/>
                <w:szCs w:val="20"/>
              </w:rPr>
              <w:t>Movements in other provisions</w:t>
            </w:r>
          </w:p>
        </w:tc>
        <w:tc>
          <w:tcPr>
            <w:tcW w:w="1417" w:type="dxa"/>
            <w:tcBorders>
              <w:top w:val="nil"/>
              <w:left w:val="nil"/>
              <w:bottom w:val="nil"/>
              <w:right w:val="nil"/>
            </w:tcBorders>
            <w:noWrap/>
            <w:vAlign w:val="bottom"/>
          </w:tcPr>
          <w:p w14:paraId="6B64BF9D" w14:textId="0F39BC18" w:rsidR="00E222BD" w:rsidRPr="00E222BD" w:rsidRDefault="00E222BD" w:rsidP="00E222BD">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D</w:t>
            </w:r>
            <w:r w:rsidRPr="00E222BD">
              <w:rPr>
                <w:rFonts w:eastAsia="Times New Roman" w:cs="Arial"/>
                <w:b/>
                <w:color w:val="000000"/>
                <w:sz w:val="20"/>
                <w:szCs w:val="20"/>
                <w:lang w:eastAsia="en-AU"/>
              </w:rPr>
              <w:t>eferred consideration</w:t>
            </w:r>
          </w:p>
        </w:tc>
        <w:tc>
          <w:tcPr>
            <w:tcW w:w="1252" w:type="dxa"/>
            <w:tcBorders>
              <w:top w:val="nil"/>
              <w:left w:val="nil"/>
              <w:bottom w:val="nil"/>
              <w:right w:val="nil"/>
            </w:tcBorders>
            <w:noWrap/>
            <w:vAlign w:val="bottom"/>
          </w:tcPr>
          <w:p w14:paraId="1317DE41" w14:textId="76BE280C" w:rsidR="00E222BD" w:rsidRPr="00E222BD" w:rsidRDefault="00E222BD" w:rsidP="00E222BD">
            <w:pPr>
              <w:spacing w:after="0" w:line="240" w:lineRule="auto"/>
              <w:jc w:val="center"/>
              <w:rPr>
                <w:rFonts w:eastAsia="Times New Roman" w:cs="Arial"/>
                <w:b/>
                <w:color w:val="000000"/>
                <w:sz w:val="20"/>
                <w:szCs w:val="20"/>
                <w:lang w:eastAsia="en-AU"/>
              </w:rPr>
            </w:pPr>
            <w:r w:rsidRPr="00E222BD">
              <w:rPr>
                <w:rFonts w:eastAsia="Times New Roman" w:cs="Arial"/>
                <w:b/>
                <w:color w:val="000000"/>
                <w:sz w:val="20"/>
                <w:szCs w:val="20"/>
                <w:lang w:eastAsia="en-AU"/>
              </w:rPr>
              <w:t>Other</w:t>
            </w:r>
          </w:p>
        </w:tc>
        <w:tc>
          <w:tcPr>
            <w:tcW w:w="1252" w:type="dxa"/>
            <w:tcBorders>
              <w:top w:val="nil"/>
              <w:left w:val="nil"/>
              <w:bottom w:val="nil"/>
              <w:right w:val="nil"/>
            </w:tcBorders>
          </w:tcPr>
          <w:p w14:paraId="2C57BF36" w14:textId="77777777" w:rsidR="00E222BD" w:rsidRDefault="00E222BD" w:rsidP="00E222BD">
            <w:pPr>
              <w:spacing w:after="0" w:line="240" w:lineRule="auto"/>
              <w:jc w:val="center"/>
              <w:rPr>
                <w:rFonts w:eastAsia="Times New Roman" w:cs="Arial"/>
                <w:b/>
                <w:color w:val="000000"/>
                <w:sz w:val="20"/>
                <w:szCs w:val="20"/>
                <w:lang w:eastAsia="en-AU"/>
              </w:rPr>
            </w:pPr>
          </w:p>
          <w:p w14:paraId="644080F8" w14:textId="45F03CC2" w:rsidR="00E222BD" w:rsidRPr="00E222BD" w:rsidRDefault="00E222BD" w:rsidP="00E222BD">
            <w:pPr>
              <w:spacing w:after="0" w:line="240" w:lineRule="auto"/>
              <w:jc w:val="center"/>
              <w:rPr>
                <w:rFonts w:eastAsia="Times New Roman" w:cs="Arial"/>
                <w:b/>
                <w:color w:val="000000"/>
                <w:sz w:val="20"/>
                <w:szCs w:val="20"/>
                <w:lang w:eastAsia="en-AU"/>
              </w:rPr>
            </w:pPr>
            <w:r w:rsidRPr="00E222BD">
              <w:rPr>
                <w:rFonts w:eastAsia="Times New Roman" w:cs="Arial"/>
                <w:b/>
                <w:color w:val="000000"/>
                <w:sz w:val="20"/>
                <w:szCs w:val="20"/>
                <w:lang w:eastAsia="en-AU"/>
              </w:rPr>
              <w:t>Total</w:t>
            </w:r>
          </w:p>
        </w:tc>
      </w:tr>
      <w:tr w:rsidR="007D6956" w:rsidRPr="002B1EBF" w14:paraId="34AD7682" w14:textId="77777777" w:rsidTr="008C2E60">
        <w:tc>
          <w:tcPr>
            <w:tcW w:w="4962" w:type="dxa"/>
            <w:tcBorders>
              <w:top w:val="nil"/>
              <w:left w:val="nil"/>
              <w:bottom w:val="nil"/>
              <w:right w:val="nil"/>
            </w:tcBorders>
            <w:noWrap/>
            <w:vAlign w:val="bottom"/>
          </w:tcPr>
          <w:p w14:paraId="06773873" w14:textId="77777777" w:rsidR="007D6956" w:rsidRPr="00F65403" w:rsidRDefault="007D6956" w:rsidP="007D6956">
            <w:pPr>
              <w:spacing w:after="0" w:line="240" w:lineRule="auto"/>
              <w:rPr>
                <w:rFonts w:cs="Arial"/>
                <w:color w:val="000000"/>
                <w:sz w:val="20"/>
                <w:szCs w:val="20"/>
              </w:rPr>
            </w:pPr>
          </w:p>
        </w:tc>
        <w:tc>
          <w:tcPr>
            <w:tcW w:w="1417" w:type="dxa"/>
            <w:tcBorders>
              <w:top w:val="nil"/>
              <w:left w:val="nil"/>
              <w:bottom w:val="nil"/>
              <w:right w:val="nil"/>
            </w:tcBorders>
            <w:noWrap/>
            <w:vAlign w:val="bottom"/>
          </w:tcPr>
          <w:p w14:paraId="26BD587D" w14:textId="2E5E93F9" w:rsidR="007D6956" w:rsidRPr="00F65403" w:rsidRDefault="007D6956" w:rsidP="007D6956">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1252" w:type="dxa"/>
            <w:tcBorders>
              <w:top w:val="nil"/>
              <w:left w:val="nil"/>
              <w:bottom w:val="nil"/>
              <w:right w:val="nil"/>
            </w:tcBorders>
            <w:noWrap/>
            <w:vAlign w:val="bottom"/>
          </w:tcPr>
          <w:p w14:paraId="48F87C8A" w14:textId="7D5F7D5D" w:rsidR="007D6956" w:rsidRPr="00F65403" w:rsidRDefault="007D6956" w:rsidP="007D6956">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1252" w:type="dxa"/>
            <w:tcBorders>
              <w:top w:val="nil"/>
              <w:left w:val="nil"/>
              <w:bottom w:val="nil"/>
              <w:right w:val="nil"/>
            </w:tcBorders>
            <w:vAlign w:val="bottom"/>
          </w:tcPr>
          <w:p w14:paraId="7FCE9EC2" w14:textId="535944AE" w:rsidR="007D6956" w:rsidRPr="00F65403" w:rsidRDefault="007D6956" w:rsidP="007D6956">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E222BD" w:rsidRPr="002B1EBF" w14:paraId="20E4890D" w14:textId="37F4A7FB" w:rsidTr="00E222BD">
        <w:tc>
          <w:tcPr>
            <w:tcW w:w="4962" w:type="dxa"/>
            <w:tcBorders>
              <w:top w:val="nil"/>
              <w:left w:val="nil"/>
              <w:bottom w:val="nil"/>
              <w:right w:val="nil"/>
            </w:tcBorders>
            <w:noWrap/>
            <w:vAlign w:val="bottom"/>
            <w:hideMark/>
          </w:tcPr>
          <w:p w14:paraId="5FC4B0ED" w14:textId="5EC86E96" w:rsidR="00E222BD" w:rsidRPr="00F65403" w:rsidRDefault="00E222BD" w:rsidP="00E222BD">
            <w:pPr>
              <w:spacing w:after="0" w:line="240" w:lineRule="auto"/>
              <w:rPr>
                <w:rFonts w:eastAsia="Times New Roman" w:cs="Arial"/>
                <w:color w:val="000000"/>
                <w:sz w:val="20"/>
                <w:szCs w:val="20"/>
                <w:lang w:eastAsia="en-AU"/>
              </w:rPr>
            </w:pPr>
            <w:r w:rsidRPr="00F65403">
              <w:rPr>
                <w:rFonts w:cs="Arial"/>
                <w:color w:val="000000"/>
                <w:sz w:val="20"/>
                <w:szCs w:val="20"/>
              </w:rPr>
              <w:t xml:space="preserve">Balance </w:t>
            </w:r>
            <w:r>
              <w:rPr>
                <w:rFonts w:cs="Arial"/>
                <w:color w:val="000000"/>
                <w:sz w:val="20"/>
                <w:szCs w:val="20"/>
              </w:rPr>
              <w:t>at the beginning of the reporting period</w:t>
            </w:r>
          </w:p>
        </w:tc>
        <w:tc>
          <w:tcPr>
            <w:tcW w:w="1417" w:type="dxa"/>
            <w:tcBorders>
              <w:top w:val="nil"/>
              <w:left w:val="nil"/>
              <w:bottom w:val="nil"/>
              <w:right w:val="nil"/>
            </w:tcBorders>
            <w:noWrap/>
            <w:vAlign w:val="bottom"/>
            <w:hideMark/>
          </w:tcPr>
          <w:p w14:paraId="17C455A8" w14:textId="743D9662"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1252" w:type="dxa"/>
            <w:tcBorders>
              <w:top w:val="nil"/>
              <w:left w:val="nil"/>
              <w:bottom w:val="nil"/>
              <w:right w:val="nil"/>
            </w:tcBorders>
            <w:noWrap/>
            <w:vAlign w:val="bottom"/>
            <w:hideMark/>
          </w:tcPr>
          <w:p w14:paraId="6216D489" w14:textId="79BF2602" w:rsidR="00E222BD" w:rsidRPr="00F65403" w:rsidRDefault="00E222BD" w:rsidP="00E222BD">
            <w:pPr>
              <w:tabs>
                <w:tab w:val="decimal" w:pos="85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1252" w:type="dxa"/>
            <w:tcBorders>
              <w:top w:val="nil"/>
              <w:left w:val="nil"/>
              <w:bottom w:val="nil"/>
              <w:right w:val="nil"/>
            </w:tcBorders>
          </w:tcPr>
          <w:p w14:paraId="3FDD1848" w14:textId="39F0CA03" w:rsidR="00E222BD" w:rsidRPr="00F65403" w:rsidRDefault="007D6956"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E222BD" w:rsidRPr="002B1EBF" w14:paraId="4060B455" w14:textId="7E44DB5B" w:rsidTr="00E222BD">
        <w:tc>
          <w:tcPr>
            <w:tcW w:w="4962" w:type="dxa"/>
            <w:tcBorders>
              <w:top w:val="nil"/>
              <w:left w:val="nil"/>
              <w:bottom w:val="nil"/>
              <w:right w:val="nil"/>
            </w:tcBorders>
            <w:noWrap/>
            <w:vAlign w:val="bottom"/>
            <w:hideMark/>
          </w:tcPr>
          <w:p w14:paraId="7A6A862B" w14:textId="062D3E63" w:rsidR="00E222BD" w:rsidRPr="00F65403" w:rsidRDefault="00E222BD" w:rsidP="00E222BD">
            <w:pPr>
              <w:spacing w:after="0" w:line="240" w:lineRule="auto"/>
              <w:rPr>
                <w:rFonts w:eastAsia="Times New Roman" w:cs="Arial"/>
                <w:color w:val="000000"/>
                <w:sz w:val="20"/>
                <w:szCs w:val="20"/>
                <w:lang w:eastAsia="en-AU"/>
              </w:rPr>
            </w:pPr>
            <w:r>
              <w:rPr>
                <w:rFonts w:cs="Arial"/>
                <w:color w:val="000000"/>
                <w:sz w:val="20"/>
                <w:szCs w:val="20"/>
              </w:rPr>
              <w:t>Additional p</w:t>
            </w:r>
            <w:r w:rsidRPr="00F65403">
              <w:rPr>
                <w:rFonts w:cs="Arial"/>
                <w:color w:val="000000"/>
                <w:sz w:val="20"/>
                <w:szCs w:val="20"/>
              </w:rPr>
              <w:t>rovisions recognised</w:t>
            </w:r>
          </w:p>
        </w:tc>
        <w:tc>
          <w:tcPr>
            <w:tcW w:w="1417" w:type="dxa"/>
            <w:tcBorders>
              <w:top w:val="nil"/>
              <w:left w:val="nil"/>
              <w:bottom w:val="nil"/>
              <w:right w:val="nil"/>
            </w:tcBorders>
            <w:noWrap/>
            <w:vAlign w:val="bottom"/>
          </w:tcPr>
          <w:p w14:paraId="63AA26A4" w14:textId="2DE0C651" w:rsidR="00E222BD" w:rsidRPr="00F65403" w:rsidRDefault="00C74BE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w:t>
            </w:r>
            <w:r w:rsidR="007D6956">
              <w:rPr>
                <w:rFonts w:eastAsia="Times New Roman" w:cs="Arial"/>
                <w:color w:val="000000"/>
                <w:sz w:val="20"/>
                <w:szCs w:val="20"/>
                <w:lang w:eastAsia="en-AU"/>
              </w:rPr>
              <w:t>,000</w:t>
            </w:r>
          </w:p>
        </w:tc>
        <w:tc>
          <w:tcPr>
            <w:tcW w:w="1252" w:type="dxa"/>
            <w:tcBorders>
              <w:top w:val="nil"/>
              <w:left w:val="nil"/>
              <w:bottom w:val="nil"/>
              <w:right w:val="nil"/>
            </w:tcBorders>
            <w:noWrap/>
            <w:vAlign w:val="bottom"/>
            <w:hideMark/>
          </w:tcPr>
          <w:p w14:paraId="119947B5" w14:textId="32E06E92" w:rsidR="00E222BD" w:rsidRPr="00F65403" w:rsidRDefault="00C74BED"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w:t>
            </w:r>
            <w:r w:rsidR="006161C9">
              <w:rPr>
                <w:rFonts w:eastAsia="Times New Roman" w:cs="Arial"/>
                <w:color w:val="000000"/>
                <w:sz w:val="20"/>
                <w:szCs w:val="20"/>
                <w:lang w:eastAsia="en-AU"/>
              </w:rPr>
              <w:t>,912</w:t>
            </w:r>
          </w:p>
        </w:tc>
        <w:tc>
          <w:tcPr>
            <w:tcW w:w="1252" w:type="dxa"/>
            <w:tcBorders>
              <w:top w:val="nil"/>
              <w:left w:val="nil"/>
              <w:bottom w:val="nil"/>
              <w:right w:val="nil"/>
            </w:tcBorders>
          </w:tcPr>
          <w:p w14:paraId="32A021A1" w14:textId="17C2C5B8" w:rsidR="00E222BD" w:rsidRPr="00F65403" w:rsidRDefault="0039192C" w:rsidP="00E222BD">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9,912</w:t>
            </w:r>
          </w:p>
        </w:tc>
      </w:tr>
      <w:tr w:rsidR="00E222BD" w:rsidRPr="002B1EBF" w14:paraId="3180B542" w14:textId="3093C521" w:rsidTr="00E222BD">
        <w:tc>
          <w:tcPr>
            <w:tcW w:w="4962" w:type="dxa"/>
            <w:tcBorders>
              <w:top w:val="nil"/>
              <w:left w:val="nil"/>
              <w:bottom w:val="nil"/>
              <w:right w:val="nil"/>
            </w:tcBorders>
            <w:noWrap/>
            <w:vAlign w:val="bottom"/>
            <w:hideMark/>
          </w:tcPr>
          <w:p w14:paraId="5FF5BEE5" w14:textId="77777777" w:rsidR="00E222BD" w:rsidRPr="00F65403" w:rsidRDefault="00E222BD" w:rsidP="00E222BD">
            <w:pPr>
              <w:spacing w:after="0" w:line="240" w:lineRule="auto"/>
              <w:rPr>
                <w:rFonts w:eastAsia="Times New Roman" w:cs="Arial"/>
                <w:b/>
                <w:color w:val="000000"/>
                <w:sz w:val="20"/>
                <w:szCs w:val="20"/>
                <w:lang w:eastAsia="en-AU"/>
              </w:rPr>
            </w:pPr>
            <w:r w:rsidRPr="00F65403">
              <w:rPr>
                <w:rFonts w:cs="Arial"/>
                <w:b/>
                <w:color w:val="000000"/>
                <w:sz w:val="20"/>
                <w:szCs w:val="20"/>
              </w:rPr>
              <w:t>Balance at 30 June</w:t>
            </w:r>
          </w:p>
        </w:tc>
        <w:tc>
          <w:tcPr>
            <w:tcW w:w="1417" w:type="dxa"/>
            <w:tcBorders>
              <w:top w:val="single" w:sz="4" w:space="0" w:color="auto"/>
              <w:left w:val="nil"/>
              <w:bottom w:val="single" w:sz="4" w:space="0" w:color="auto"/>
              <w:right w:val="nil"/>
            </w:tcBorders>
            <w:noWrap/>
            <w:vAlign w:val="bottom"/>
          </w:tcPr>
          <w:p w14:paraId="71A94376" w14:textId="594F5F2B" w:rsidR="00E222BD" w:rsidRPr="00F65403" w:rsidRDefault="00C74BED" w:rsidP="00E222BD">
            <w:pPr>
              <w:tabs>
                <w:tab w:val="decimal" w:pos="851"/>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8</w:t>
            </w:r>
            <w:r w:rsidR="007D6956">
              <w:rPr>
                <w:rFonts w:eastAsia="Times New Roman" w:cs="Arial"/>
                <w:b/>
                <w:bCs/>
                <w:color w:val="000000"/>
                <w:sz w:val="20"/>
                <w:szCs w:val="20"/>
                <w:lang w:eastAsia="en-AU"/>
              </w:rPr>
              <w:t>,000</w:t>
            </w:r>
          </w:p>
        </w:tc>
        <w:tc>
          <w:tcPr>
            <w:tcW w:w="1252" w:type="dxa"/>
            <w:tcBorders>
              <w:top w:val="single" w:sz="4" w:space="0" w:color="auto"/>
              <w:left w:val="nil"/>
              <w:bottom w:val="single" w:sz="4" w:space="0" w:color="auto"/>
              <w:right w:val="nil"/>
            </w:tcBorders>
            <w:noWrap/>
            <w:vAlign w:val="bottom"/>
            <w:hideMark/>
          </w:tcPr>
          <w:p w14:paraId="058DF1C5" w14:textId="16231C28" w:rsidR="00E222BD" w:rsidRPr="00F65403" w:rsidRDefault="00C74BED" w:rsidP="00E222BD">
            <w:pPr>
              <w:tabs>
                <w:tab w:val="decimal" w:pos="85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w:t>
            </w:r>
            <w:r w:rsidR="006161C9">
              <w:rPr>
                <w:rFonts w:eastAsia="Times New Roman" w:cs="Arial"/>
                <w:b/>
                <w:color w:val="000000"/>
                <w:sz w:val="20"/>
                <w:szCs w:val="20"/>
                <w:lang w:eastAsia="en-AU"/>
              </w:rPr>
              <w:t>,912</w:t>
            </w:r>
          </w:p>
        </w:tc>
        <w:tc>
          <w:tcPr>
            <w:tcW w:w="1252" w:type="dxa"/>
            <w:tcBorders>
              <w:top w:val="single" w:sz="4" w:space="0" w:color="auto"/>
              <w:left w:val="nil"/>
              <w:bottom w:val="single" w:sz="4" w:space="0" w:color="auto"/>
              <w:right w:val="nil"/>
            </w:tcBorders>
          </w:tcPr>
          <w:p w14:paraId="2FFE4E5E" w14:textId="7F18F5D6" w:rsidR="00E222BD" w:rsidRPr="00F65403" w:rsidRDefault="0039192C" w:rsidP="00E222BD">
            <w:pPr>
              <w:tabs>
                <w:tab w:val="decimal" w:pos="85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9,912</w:t>
            </w:r>
          </w:p>
        </w:tc>
      </w:tr>
    </w:tbl>
    <w:p w14:paraId="4282E67D" w14:textId="77777777" w:rsidR="00E26E4B" w:rsidRDefault="00E26E4B" w:rsidP="002E466C">
      <w:pPr>
        <w:pStyle w:val="BodyText"/>
        <w:rPr>
          <w:lang w:val="en-AU"/>
        </w:rPr>
      </w:pPr>
    </w:p>
    <w:p w14:paraId="7D00F874" w14:textId="1552FF4E" w:rsidR="002E466C" w:rsidRPr="00F65403" w:rsidRDefault="002E466C" w:rsidP="002E466C">
      <w:pPr>
        <w:pStyle w:val="BodyText"/>
        <w:rPr>
          <w:lang w:val="en-AU"/>
        </w:rPr>
      </w:pPr>
      <w:r w:rsidRPr="00F65403">
        <w:rPr>
          <w:lang w:val="en-AU"/>
        </w:rPr>
        <w:t>Other provisions</w:t>
      </w:r>
      <w:r w:rsidR="00C74BED">
        <w:rPr>
          <w:lang w:val="en-AU"/>
        </w:rPr>
        <w:t xml:space="preserve"> include</w:t>
      </w:r>
      <w:r w:rsidRPr="00F65403">
        <w:rPr>
          <w:lang w:val="en-AU"/>
        </w:rPr>
        <w:t xml:space="preserve"> </w:t>
      </w:r>
      <w:r w:rsidR="00E26E4B">
        <w:rPr>
          <w:lang w:val="en-AU"/>
        </w:rPr>
        <w:t xml:space="preserve">deferred </w:t>
      </w:r>
      <w:r w:rsidRPr="00F65403">
        <w:rPr>
          <w:lang w:val="en-AU"/>
        </w:rPr>
        <w:t xml:space="preserve">consideration payable for the acquisition </w:t>
      </w:r>
      <w:r w:rsidRPr="00C47F01">
        <w:rPr>
          <w:lang w:val="en-AU"/>
        </w:rPr>
        <w:t>of</w:t>
      </w:r>
      <w:r w:rsidR="00530E17" w:rsidRPr="00C47F01">
        <w:rPr>
          <w:lang w:val="en-AU"/>
        </w:rPr>
        <w:t xml:space="preserve"> SEC</w:t>
      </w:r>
      <w:r w:rsidRPr="00C47F01">
        <w:rPr>
          <w:lang w:val="en-AU"/>
        </w:rPr>
        <w:t xml:space="preserve"> Renewable Energy Park </w:t>
      </w:r>
      <w:r w:rsidR="00104757">
        <w:rPr>
          <w:lang w:val="en-AU"/>
        </w:rPr>
        <w:t>-</w:t>
      </w:r>
      <w:r w:rsidR="00530E17" w:rsidRPr="00C47F01">
        <w:rPr>
          <w:lang w:val="en-AU"/>
        </w:rPr>
        <w:t xml:space="preserve"> Horsham</w:t>
      </w:r>
      <w:r w:rsidR="00EE6227" w:rsidRPr="00C47F01">
        <w:rPr>
          <w:lang w:val="en-AU"/>
        </w:rPr>
        <w:t xml:space="preserve">. Payment is </w:t>
      </w:r>
      <w:r w:rsidRPr="00C47F01">
        <w:rPr>
          <w:lang w:val="en-AU"/>
        </w:rPr>
        <w:t>dependent on</w:t>
      </w:r>
      <w:r w:rsidR="00EE6227" w:rsidRPr="00C47F01">
        <w:rPr>
          <w:lang w:val="en-AU"/>
        </w:rPr>
        <w:t xml:space="preserve"> achievement of</w:t>
      </w:r>
      <w:r w:rsidRPr="00C47F01">
        <w:rPr>
          <w:lang w:val="en-AU"/>
        </w:rPr>
        <w:t xml:space="preserve"> future project milestones (refer </w:t>
      </w:r>
      <w:r w:rsidR="00C47F01" w:rsidRPr="00C47F01">
        <w:rPr>
          <w:lang w:val="en-AU"/>
        </w:rPr>
        <w:t xml:space="preserve">Note </w:t>
      </w:r>
      <w:r w:rsidR="00F553A7" w:rsidRPr="0010235E">
        <w:rPr>
          <w:lang w:val="en-AU"/>
        </w:rPr>
        <w:t>17</w:t>
      </w:r>
      <w:r w:rsidR="00684D54" w:rsidRPr="00C47F01">
        <w:rPr>
          <w:lang w:val="en-AU"/>
        </w:rPr>
        <w:t xml:space="preserve">. Acquisition of SEC Renewable Energy Park </w:t>
      </w:r>
      <w:r w:rsidR="00A5239E">
        <w:rPr>
          <w:lang w:val="en-AU"/>
        </w:rPr>
        <w:t>–</w:t>
      </w:r>
      <w:r w:rsidR="00684D54" w:rsidRPr="00C47F01">
        <w:rPr>
          <w:lang w:val="en-AU"/>
        </w:rPr>
        <w:t xml:space="preserve"> Horsham</w:t>
      </w:r>
      <w:r w:rsidR="00A5239E">
        <w:rPr>
          <w:lang w:val="en-AU"/>
        </w:rPr>
        <w:t>,</w:t>
      </w:r>
      <w:r w:rsidR="00684D54" w:rsidRPr="00C47F01">
        <w:rPr>
          <w:lang w:val="en-AU"/>
        </w:rPr>
        <w:t xml:space="preserve"> </w:t>
      </w:r>
      <w:r w:rsidRPr="00C47F01">
        <w:rPr>
          <w:lang w:val="en-AU"/>
        </w:rPr>
        <w:t>for further details).</w:t>
      </w:r>
    </w:p>
    <w:p w14:paraId="31B682A3" w14:textId="78C6D0DF" w:rsidR="00A5239E" w:rsidRDefault="00A5239E">
      <w:pPr>
        <w:rPr>
          <w:rFonts w:eastAsia="Arial" w:cs="Arial"/>
          <w:sz w:val="20"/>
          <w:szCs w:val="20"/>
        </w:rPr>
      </w:pPr>
      <w:r>
        <w:br w:type="page"/>
      </w:r>
    </w:p>
    <w:p w14:paraId="7E47E9AD" w14:textId="77777777" w:rsidR="006D7E83" w:rsidRPr="00F65403" w:rsidRDefault="006D7E83" w:rsidP="006D7E83">
      <w:pPr>
        <w:pStyle w:val="BodyText"/>
        <w:rPr>
          <w:lang w:val="en-AU"/>
        </w:rPr>
      </w:pPr>
    </w:p>
    <w:p w14:paraId="61335822" w14:textId="5668B986" w:rsidR="00C5789A" w:rsidRDefault="009F07B7" w:rsidP="715E2D1C">
      <w:pPr>
        <w:pStyle w:val="Heading8"/>
      </w:pPr>
      <w:proofErr w:type="spellStart"/>
      <w:r>
        <w:t>i</w:t>
      </w:r>
      <w:proofErr w:type="spellEnd"/>
      <w:r>
        <w:t>.</w:t>
      </w:r>
      <w:r>
        <w:tab/>
      </w:r>
      <w:r w:rsidR="49032FD2">
        <w:t>Accounting policy</w:t>
      </w:r>
    </w:p>
    <w:p w14:paraId="68CD0E7B" w14:textId="176CBB01" w:rsidR="009E175D" w:rsidRDefault="009E175D" w:rsidP="009E175D">
      <w:pPr>
        <w:pStyle w:val="Heading9"/>
      </w:pPr>
      <w:r>
        <w:t>Employee benefits</w:t>
      </w:r>
    </w:p>
    <w:p w14:paraId="4A6DC3B5" w14:textId="454DF2A9" w:rsidR="009E175D" w:rsidRDefault="00A17369" w:rsidP="00A17369">
      <w:pPr>
        <w:pStyle w:val="BodyText"/>
      </w:pPr>
      <w:r>
        <w:t>Leave and other employee obligations when it is probable that settlement will be required and they are capable of being reliably measured. Provisions made in respect of employee benefits expected to be settled within 12 months are measured at their nominal values using the current remuneration rate. Material employee provisions expected to be settled after 12 months are measured at their projected remuneration rate, discounted to their present values.</w:t>
      </w:r>
    </w:p>
    <w:p w14:paraId="2E341FC2" w14:textId="77777777" w:rsidR="00A17369" w:rsidRPr="009E175D" w:rsidRDefault="00A17369" w:rsidP="00A17369">
      <w:pPr>
        <w:pStyle w:val="BodyText"/>
      </w:pPr>
    </w:p>
    <w:p w14:paraId="62A36A88" w14:textId="06B4FFFC" w:rsidR="009E175D" w:rsidRDefault="009E175D" w:rsidP="009E175D">
      <w:pPr>
        <w:pStyle w:val="Heading9"/>
      </w:pPr>
      <w:r>
        <w:t>Other provisions</w:t>
      </w:r>
    </w:p>
    <w:p w14:paraId="0E950DFB" w14:textId="5BBD49ED" w:rsidR="00C5789A" w:rsidRPr="00F65403" w:rsidRDefault="002E466C" w:rsidP="00C5789A">
      <w:pPr>
        <w:pStyle w:val="BodyText"/>
        <w:rPr>
          <w:lang w:val="en-AU"/>
        </w:rPr>
      </w:pPr>
      <w:r w:rsidRPr="00F65403">
        <w:rPr>
          <w:lang w:val="en-AU"/>
        </w:rPr>
        <w:t xml:space="preserve">Provisions are recognised when SEC has a present obligation (legal or constructive) </w:t>
      </w:r>
      <w:r w:rsidR="006965AF" w:rsidRPr="00F65403">
        <w:rPr>
          <w:lang w:val="en-AU"/>
        </w:rPr>
        <w:t>as a result of a past event, it is probabl</w:t>
      </w:r>
      <w:r w:rsidR="00204BA0">
        <w:rPr>
          <w:lang w:val="en-AU"/>
        </w:rPr>
        <w:t>e</w:t>
      </w:r>
      <w:r w:rsidR="006965AF" w:rsidRPr="00F65403">
        <w:rPr>
          <w:lang w:val="en-AU"/>
        </w:rPr>
        <w:t xml:space="preserve"> that SEC will be required to settle the obligation and a reliable estimate can be made of the amount of the obligation</w:t>
      </w:r>
      <w:r w:rsidR="00A81DDD">
        <w:rPr>
          <w:lang w:val="en-AU"/>
        </w:rPr>
        <w:t>.</w:t>
      </w:r>
    </w:p>
    <w:p w14:paraId="72C98CD2" w14:textId="77777777" w:rsidR="006965AF" w:rsidRPr="00F65403" w:rsidRDefault="006965AF" w:rsidP="00C5789A">
      <w:pPr>
        <w:pStyle w:val="BodyText"/>
        <w:rPr>
          <w:lang w:val="en-AU"/>
        </w:rPr>
      </w:pPr>
    </w:p>
    <w:p w14:paraId="6FF2F02E" w14:textId="13EE056A" w:rsidR="003B7030" w:rsidRDefault="00F65403" w:rsidP="00AA3AC5">
      <w:pPr>
        <w:pStyle w:val="BodyText"/>
        <w:rPr>
          <w:rFonts w:eastAsiaTheme="majorEastAsia" w:cstheme="majorBidi"/>
        </w:rPr>
      </w:pPr>
      <w:r w:rsidRPr="00F65403">
        <w:rPr>
          <w:lang w:val="en-AU"/>
        </w:rPr>
        <w:t>The amount recogni</w:t>
      </w:r>
      <w:r>
        <w:rPr>
          <w:lang w:val="en-AU"/>
        </w:rPr>
        <w:t>s</w:t>
      </w:r>
      <w:r w:rsidRPr="00F65403">
        <w:rPr>
          <w:lang w:val="en-AU"/>
        </w:rPr>
        <w:t xml:space="preserve">ed </w:t>
      </w:r>
      <w:r>
        <w:rPr>
          <w:lang w:val="en-AU"/>
        </w:rPr>
        <w:t xml:space="preserve">as a provision is the </w:t>
      </w:r>
      <w:r w:rsidR="00257F54">
        <w:rPr>
          <w:lang w:val="en-AU"/>
        </w:rPr>
        <w:t xml:space="preserve">present value of the </w:t>
      </w:r>
      <w:r>
        <w:rPr>
          <w:lang w:val="en-AU"/>
        </w:rPr>
        <w:t>best estimate of the consideration required to settle the present obligation at the end of the reporting period, taking into account the ri</w:t>
      </w:r>
      <w:r w:rsidR="00B5391F">
        <w:rPr>
          <w:lang w:val="en-AU"/>
        </w:rPr>
        <w:t>sks and uncertainties surr</w:t>
      </w:r>
      <w:r w:rsidR="003B5E05">
        <w:rPr>
          <w:lang w:val="en-AU"/>
        </w:rPr>
        <w:t>ounding the obligation</w:t>
      </w:r>
      <w:r w:rsidR="00227EC6">
        <w:rPr>
          <w:lang w:val="en-AU"/>
        </w:rPr>
        <w:t xml:space="preserve">. </w:t>
      </w:r>
      <w:r w:rsidR="00A729D5">
        <w:rPr>
          <w:lang w:val="en-AU"/>
        </w:rPr>
        <w:t>The unwinding of the discount is recognised in profit or loss as part of finance costs.</w:t>
      </w:r>
      <w:r w:rsidR="00EC7E65">
        <w:rPr>
          <w:lang w:val="en-AU"/>
        </w:rPr>
        <w:br/>
      </w:r>
    </w:p>
    <w:p w14:paraId="1DBE33F5" w14:textId="6DD334FC" w:rsidR="00622B91" w:rsidRPr="00F65403" w:rsidRDefault="00622B91" w:rsidP="00622B91">
      <w:pPr>
        <w:pStyle w:val="Heading7"/>
      </w:pPr>
      <w:bookmarkStart w:id="379" w:name="_Ref207013515"/>
      <w:r w:rsidRPr="00F65403">
        <w:t>Other financial assets and liabilities</w:t>
      </w:r>
      <w:bookmarkEnd w:id="379"/>
    </w:p>
    <w:tbl>
      <w:tblPr>
        <w:tblW w:w="4947" w:type="pct"/>
        <w:tblLayout w:type="fixed"/>
        <w:tblCellMar>
          <w:top w:w="28" w:type="dxa"/>
          <w:left w:w="28" w:type="dxa"/>
          <w:bottom w:w="28" w:type="dxa"/>
          <w:right w:w="28" w:type="dxa"/>
        </w:tblCellMar>
        <w:tblLook w:val="04A0" w:firstRow="1" w:lastRow="0" w:firstColumn="1" w:lastColumn="0" w:noHBand="0" w:noVBand="1"/>
      </w:tblPr>
      <w:tblGrid>
        <w:gridCol w:w="6664"/>
        <w:gridCol w:w="1132"/>
        <w:gridCol w:w="1134"/>
      </w:tblGrid>
      <w:tr w:rsidR="001600A4" w:rsidRPr="00276781" w14:paraId="28D08DAD" w14:textId="77777777" w:rsidTr="00AA3AC5">
        <w:tc>
          <w:tcPr>
            <w:tcW w:w="3731" w:type="pct"/>
            <w:tcBorders>
              <w:top w:val="nil"/>
              <w:left w:val="nil"/>
              <w:bottom w:val="nil"/>
              <w:right w:val="nil"/>
            </w:tcBorders>
            <w:noWrap/>
            <w:vAlign w:val="bottom"/>
            <w:hideMark/>
          </w:tcPr>
          <w:p w14:paraId="7C7614FA" w14:textId="77777777" w:rsidR="00622B91" w:rsidRPr="00F65403" w:rsidRDefault="00622B91">
            <w:pPr>
              <w:spacing w:after="0" w:line="240" w:lineRule="auto"/>
              <w:rPr>
                <w:rFonts w:eastAsia="Times New Roman" w:cs="Arial"/>
                <w:sz w:val="20"/>
                <w:szCs w:val="20"/>
                <w:lang w:eastAsia="en-AU"/>
              </w:rPr>
            </w:pPr>
          </w:p>
        </w:tc>
        <w:tc>
          <w:tcPr>
            <w:tcW w:w="634" w:type="pct"/>
            <w:tcBorders>
              <w:top w:val="nil"/>
              <w:left w:val="nil"/>
              <w:bottom w:val="nil"/>
              <w:right w:val="nil"/>
            </w:tcBorders>
            <w:hideMark/>
          </w:tcPr>
          <w:p w14:paraId="590FB7A7" w14:textId="77777777" w:rsidR="00622B91" w:rsidRPr="00F65403" w:rsidRDefault="00622B9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35" w:type="pct"/>
            <w:tcBorders>
              <w:top w:val="nil"/>
              <w:left w:val="nil"/>
              <w:bottom w:val="nil"/>
              <w:right w:val="nil"/>
            </w:tcBorders>
            <w:noWrap/>
            <w:hideMark/>
          </w:tcPr>
          <w:p w14:paraId="4B0563C0" w14:textId="77777777" w:rsidR="00622B91" w:rsidRPr="00F65403" w:rsidRDefault="00622B9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1600A4" w:rsidRPr="00276781" w14:paraId="10D1E425" w14:textId="77777777" w:rsidTr="00AA3AC5">
        <w:tc>
          <w:tcPr>
            <w:tcW w:w="3731" w:type="pct"/>
            <w:tcBorders>
              <w:top w:val="nil"/>
              <w:left w:val="nil"/>
              <w:bottom w:val="nil"/>
              <w:right w:val="nil"/>
            </w:tcBorders>
            <w:noWrap/>
            <w:vAlign w:val="bottom"/>
            <w:hideMark/>
          </w:tcPr>
          <w:p w14:paraId="63D7DFEA" w14:textId="77777777" w:rsidR="00622B91" w:rsidRPr="00F65403" w:rsidRDefault="00622B91">
            <w:pPr>
              <w:spacing w:after="0" w:line="240" w:lineRule="auto"/>
              <w:rPr>
                <w:rFonts w:eastAsia="Times New Roman" w:cs="Arial"/>
                <w:sz w:val="20"/>
                <w:szCs w:val="20"/>
                <w:lang w:eastAsia="en-AU"/>
              </w:rPr>
            </w:pPr>
          </w:p>
        </w:tc>
        <w:tc>
          <w:tcPr>
            <w:tcW w:w="634" w:type="pct"/>
            <w:tcBorders>
              <w:top w:val="nil"/>
              <w:left w:val="nil"/>
              <w:bottom w:val="nil"/>
              <w:right w:val="nil"/>
            </w:tcBorders>
            <w:noWrap/>
            <w:hideMark/>
          </w:tcPr>
          <w:p w14:paraId="6BB60B71" w14:textId="77777777" w:rsidR="00622B91" w:rsidRPr="00F65403" w:rsidRDefault="00622B9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35" w:type="pct"/>
            <w:tcBorders>
              <w:top w:val="nil"/>
              <w:left w:val="nil"/>
              <w:bottom w:val="nil"/>
              <w:right w:val="nil"/>
            </w:tcBorders>
            <w:noWrap/>
            <w:hideMark/>
          </w:tcPr>
          <w:p w14:paraId="41E1DC6C" w14:textId="77777777" w:rsidR="00622B91" w:rsidRPr="00F65403" w:rsidRDefault="00622B91">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1600A4" w:rsidRPr="00276781" w14:paraId="6F39E6D0" w14:textId="77777777" w:rsidTr="00AA3AC5">
        <w:tc>
          <w:tcPr>
            <w:tcW w:w="3731" w:type="pct"/>
            <w:tcBorders>
              <w:top w:val="nil"/>
              <w:left w:val="nil"/>
              <w:bottom w:val="nil"/>
              <w:right w:val="nil"/>
            </w:tcBorders>
            <w:noWrap/>
            <w:vAlign w:val="bottom"/>
            <w:hideMark/>
          </w:tcPr>
          <w:p w14:paraId="5F2A08CD" w14:textId="77777777" w:rsidR="00622B91" w:rsidRPr="00F65403" w:rsidRDefault="00622B91">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Other financial assets</w:t>
            </w:r>
          </w:p>
        </w:tc>
        <w:tc>
          <w:tcPr>
            <w:tcW w:w="634" w:type="pct"/>
            <w:tcBorders>
              <w:top w:val="nil"/>
              <w:left w:val="nil"/>
              <w:bottom w:val="nil"/>
              <w:right w:val="nil"/>
            </w:tcBorders>
            <w:noWrap/>
            <w:vAlign w:val="bottom"/>
            <w:hideMark/>
          </w:tcPr>
          <w:p w14:paraId="6AA08480" w14:textId="77777777" w:rsidR="00622B91" w:rsidRPr="00F65403" w:rsidRDefault="00622B91">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2B080F26" w14:textId="77777777" w:rsidR="00622B91" w:rsidRPr="00F65403" w:rsidRDefault="00622B91">
            <w:pPr>
              <w:tabs>
                <w:tab w:val="decimal" w:pos="958"/>
              </w:tabs>
              <w:spacing w:after="0" w:line="240" w:lineRule="auto"/>
              <w:rPr>
                <w:rFonts w:eastAsia="Times New Roman" w:cs="Arial"/>
                <w:sz w:val="20"/>
                <w:szCs w:val="20"/>
                <w:lang w:eastAsia="en-AU"/>
              </w:rPr>
            </w:pPr>
          </w:p>
        </w:tc>
      </w:tr>
      <w:tr w:rsidR="001600A4" w:rsidRPr="00276781" w14:paraId="27760F11" w14:textId="77777777" w:rsidTr="00AA3AC5">
        <w:tc>
          <w:tcPr>
            <w:tcW w:w="3731" w:type="pct"/>
            <w:tcBorders>
              <w:top w:val="nil"/>
              <w:left w:val="nil"/>
              <w:bottom w:val="nil"/>
              <w:right w:val="nil"/>
            </w:tcBorders>
            <w:noWrap/>
            <w:vAlign w:val="bottom"/>
            <w:hideMark/>
          </w:tcPr>
          <w:p w14:paraId="1B58BABE" w14:textId="77777777" w:rsidR="00622B91" w:rsidRPr="00F65403" w:rsidRDefault="00622B91">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Current</w:t>
            </w:r>
          </w:p>
        </w:tc>
        <w:tc>
          <w:tcPr>
            <w:tcW w:w="634" w:type="pct"/>
            <w:tcBorders>
              <w:top w:val="nil"/>
              <w:left w:val="nil"/>
              <w:bottom w:val="nil"/>
              <w:right w:val="nil"/>
            </w:tcBorders>
            <w:noWrap/>
            <w:vAlign w:val="bottom"/>
            <w:hideMark/>
          </w:tcPr>
          <w:p w14:paraId="3600C432" w14:textId="77777777" w:rsidR="00622B91" w:rsidRPr="00F65403" w:rsidRDefault="00622B91">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56737C58" w14:textId="77777777" w:rsidR="00622B91" w:rsidRPr="00F65403" w:rsidRDefault="00622B91">
            <w:pPr>
              <w:tabs>
                <w:tab w:val="decimal" w:pos="958"/>
              </w:tabs>
              <w:spacing w:after="0" w:line="240" w:lineRule="auto"/>
              <w:rPr>
                <w:rFonts w:eastAsia="Times New Roman" w:cs="Arial"/>
                <w:sz w:val="20"/>
                <w:szCs w:val="20"/>
                <w:lang w:eastAsia="en-AU"/>
              </w:rPr>
            </w:pPr>
          </w:p>
        </w:tc>
      </w:tr>
      <w:tr w:rsidR="001600A4" w:rsidRPr="00276781" w14:paraId="0F598E5C" w14:textId="77777777" w:rsidTr="00AA3AC5">
        <w:tc>
          <w:tcPr>
            <w:tcW w:w="3731" w:type="pct"/>
            <w:tcBorders>
              <w:top w:val="nil"/>
              <w:left w:val="nil"/>
              <w:bottom w:val="nil"/>
              <w:right w:val="nil"/>
            </w:tcBorders>
            <w:noWrap/>
            <w:vAlign w:val="bottom"/>
            <w:hideMark/>
          </w:tcPr>
          <w:p w14:paraId="772CC382" w14:textId="77777777" w:rsidR="00622B91" w:rsidRPr="006A5A9F" w:rsidRDefault="00622B91">
            <w:pPr>
              <w:spacing w:after="0" w:line="240" w:lineRule="auto"/>
              <w:rPr>
                <w:rFonts w:eastAsia="Times New Roman" w:cs="Arial"/>
                <w:i/>
                <w:iCs/>
                <w:color w:val="000000"/>
                <w:sz w:val="20"/>
                <w:szCs w:val="20"/>
                <w:lang w:eastAsia="en-AU"/>
              </w:rPr>
            </w:pPr>
            <w:r w:rsidRPr="006A5A9F">
              <w:rPr>
                <w:rFonts w:eastAsia="Times New Roman" w:cs="Arial"/>
                <w:i/>
                <w:iCs/>
                <w:color w:val="000000"/>
                <w:sz w:val="20"/>
                <w:szCs w:val="20"/>
                <w:lang w:eastAsia="en-AU"/>
              </w:rPr>
              <w:t>Derivative financial instruments at fair value</w:t>
            </w:r>
          </w:p>
        </w:tc>
        <w:tc>
          <w:tcPr>
            <w:tcW w:w="634" w:type="pct"/>
            <w:tcBorders>
              <w:top w:val="nil"/>
              <w:left w:val="nil"/>
              <w:bottom w:val="nil"/>
              <w:right w:val="nil"/>
            </w:tcBorders>
            <w:noWrap/>
            <w:vAlign w:val="bottom"/>
            <w:hideMark/>
          </w:tcPr>
          <w:p w14:paraId="0B55453F" w14:textId="77777777" w:rsidR="00622B91" w:rsidRPr="00F65403" w:rsidRDefault="00622B91">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614E2E78" w14:textId="77777777" w:rsidR="00622B91" w:rsidRPr="00F65403" w:rsidRDefault="00622B91">
            <w:pPr>
              <w:tabs>
                <w:tab w:val="decimal" w:pos="958"/>
              </w:tabs>
              <w:spacing w:after="0" w:line="240" w:lineRule="auto"/>
              <w:rPr>
                <w:rFonts w:eastAsia="Times New Roman" w:cs="Arial"/>
                <w:sz w:val="20"/>
                <w:szCs w:val="20"/>
                <w:lang w:eastAsia="en-AU"/>
              </w:rPr>
            </w:pPr>
          </w:p>
        </w:tc>
      </w:tr>
      <w:tr w:rsidR="001600A4" w:rsidRPr="005764B8" w14:paraId="3F699CC9" w14:textId="77777777" w:rsidTr="00AA3AC5">
        <w:tc>
          <w:tcPr>
            <w:tcW w:w="3731" w:type="pct"/>
            <w:tcBorders>
              <w:top w:val="nil"/>
              <w:left w:val="nil"/>
              <w:bottom w:val="nil"/>
              <w:right w:val="nil"/>
            </w:tcBorders>
            <w:noWrap/>
            <w:vAlign w:val="bottom"/>
          </w:tcPr>
          <w:p w14:paraId="79B70DF3" w14:textId="77777777" w:rsidR="009839FC" w:rsidRPr="00F65403" w:rsidRDefault="009839FC" w:rsidP="009839F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Energy derivatives - economic hedges</w:t>
            </w:r>
          </w:p>
        </w:tc>
        <w:tc>
          <w:tcPr>
            <w:tcW w:w="634" w:type="pct"/>
            <w:tcBorders>
              <w:top w:val="nil"/>
              <w:left w:val="nil"/>
              <w:bottom w:val="nil"/>
              <w:right w:val="nil"/>
            </w:tcBorders>
            <w:noWrap/>
          </w:tcPr>
          <w:p w14:paraId="7E9F1BC2" w14:textId="76287382" w:rsidR="009839FC" w:rsidRPr="009B06BD" w:rsidRDefault="009839FC" w:rsidP="009839FC">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2</w:t>
            </w:r>
            <w:r w:rsidR="00B30AA9">
              <w:rPr>
                <w:rFonts w:eastAsia="Times New Roman" w:cs="Arial"/>
                <w:color w:val="000000"/>
                <w:sz w:val="20"/>
                <w:szCs w:val="20"/>
                <w:lang w:eastAsia="en-AU"/>
              </w:rPr>
              <w:t>1,729</w:t>
            </w:r>
            <w:r w:rsidRPr="009B06BD">
              <w:rPr>
                <w:rFonts w:eastAsia="Times New Roman" w:cs="Arial"/>
                <w:color w:val="000000"/>
                <w:sz w:val="20"/>
                <w:szCs w:val="20"/>
                <w:lang w:eastAsia="en-AU"/>
              </w:rPr>
              <w:t xml:space="preserve"> </w:t>
            </w:r>
          </w:p>
        </w:tc>
        <w:tc>
          <w:tcPr>
            <w:tcW w:w="635" w:type="pct"/>
            <w:tcBorders>
              <w:top w:val="nil"/>
              <w:left w:val="nil"/>
              <w:bottom w:val="nil"/>
              <w:right w:val="nil"/>
            </w:tcBorders>
            <w:noWrap/>
            <w:vAlign w:val="bottom"/>
          </w:tcPr>
          <w:p w14:paraId="38F8E4AD" w14:textId="421B1921" w:rsidR="009839FC" w:rsidRPr="009B06BD" w:rsidRDefault="009839FC" w:rsidP="009839F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1600A4" w:rsidRPr="00276781" w14:paraId="141899BE" w14:textId="77777777" w:rsidTr="00AA3AC5">
        <w:tc>
          <w:tcPr>
            <w:tcW w:w="3731" w:type="pct"/>
            <w:tcBorders>
              <w:top w:val="nil"/>
              <w:left w:val="nil"/>
              <w:bottom w:val="nil"/>
              <w:right w:val="nil"/>
            </w:tcBorders>
            <w:noWrap/>
            <w:vAlign w:val="bottom"/>
          </w:tcPr>
          <w:p w14:paraId="4A8F7FB8" w14:textId="4CCE8EE7" w:rsidR="000C510B" w:rsidRPr="00F65403" w:rsidRDefault="000C510B" w:rsidP="000C510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Energy derivatives - other</w:t>
            </w:r>
            <w:r w:rsidRPr="00F65403">
              <w:rPr>
                <w:rFonts w:eastAsia="Times New Roman" w:cs="Arial"/>
                <w:color w:val="000000"/>
                <w:sz w:val="20"/>
                <w:szCs w:val="20"/>
                <w:vertAlign w:val="superscript"/>
                <w:lang w:eastAsia="en-AU"/>
              </w:rPr>
              <w:t>1</w:t>
            </w:r>
          </w:p>
        </w:tc>
        <w:tc>
          <w:tcPr>
            <w:tcW w:w="634" w:type="pct"/>
            <w:tcBorders>
              <w:top w:val="nil"/>
              <w:left w:val="nil"/>
              <w:bottom w:val="nil"/>
              <w:right w:val="nil"/>
            </w:tcBorders>
            <w:noWrap/>
          </w:tcPr>
          <w:p w14:paraId="7E238EC8" w14:textId="6C5252D7" w:rsidR="000C510B" w:rsidRPr="009B06BD" w:rsidRDefault="000C510B" w:rsidP="000C510B">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w:t>
            </w:r>
            <w:r>
              <w:rPr>
                <w:rFonts w:eastAsia="Times New Roman" w:cs="Arial"/>
                <w:color w:val="000000"/>
                <w:sz w:val="20"/>
                <w:szCs w:val="20"/>
                <w:lang w:eastAsia="en-AU"/>
              </w:rPr>
              <w:t>4,095</w:t>
            </w:r>
            <w:r w:rsidRPr="009B06BD">
              <w:rPr>
                <w:rFonts w:eastAsia="Times New Roman" w:cs="Arial"/>
                <w:color w:val="000000"/>
                <w:sz w:val="20"/>
                <w:szCs w:val="20"/>
                <w:lang w:eastAsia="en-AU"/>
              </w:rPr>
              <w:t xml:space="preserve"> </w:t>
            </w:r>
          </w:p>
        </w:tc>
        <w:tc>
          <w:tcPr>
            <w:tcW w:w="635" w:type="pct"/>
            <w:tcBorders>
              <w:top w:val="nil"/>
              <w:left w:val="nil"/>
              <w:bottom w:val="nil"/>
              <w:right w:val="nil"/>
            </w:tcBorders>
            <w:noWrap/>
            <w:vAlign w:val="bottom"/>
          </w:tcPr>
          <w:p w14:paraId="35297FCD" w14:textId="618CCEAD" w:rsidR="000C510B" w:rsidRPr="00F65403" w:rsidRDefault="000C510B" w:rsidP="000C510B">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1600A4" w:rsidRPr="00276781" w14:paraId="1E21B9ED" w14:textId="77777777" w:rsidTr="00AA3AC5">
        <w:tc>
          <w:tcPr>
            <w:tcW w:w="3731" w:type="pct"/>
            <w:tcBorders>
              <w:top w:val="nil"/>
              <w:left w:val="nil"/>
              <w:bottom w:val="nil"/>
              <w:right w:val="nil"/>
            </w:tcBorders>
            <w:noWrap/>
            <w:vAlign w:val="bottom"/>
            <w:hideMark/>
          </w:tcPr>
          <w:p w14:paraId="3E8727C2" w14:textId="77777777" w:rsidR="00567F2F" w:rsidRPr="00F65403" w:rsidRDefault="00567F2F" w:rsidP="00567F2F">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Futures deposits and margin calls</w:t>
            </w:r>
          </w:p>
        </w:tc>
        <w:tc>
          <w:tcPr>
            <w:tcW w:w="634" w:type="pct"/>
            <w:tcBorders>
              <w:top w:val="nil"/>
              <w:left w:val="nil"/>
              <w:bottom w:val="single" w:sz="4" w:space="0" w:color="auto"/>
              <w:right w:val="nil"/>
            </w:tcBorders>
            <w:noWrap/>
            <w:vAlign w:val="bottom"/>
            <w:hideMark/>
          </w:tcPr>
          <w:p w14:paraId="620D17B0" w14:textId="4E105D3F" w:rsidR="00567F2F" w:rsidRPr="009B06BD" w:rsidRDefault="00567F2F" w:rsidP="00567F2F">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12,210</w:t>
            </w:r>
          </w:p>
        </w:tc>
        <w:tc>
          <w:tcPr>
            <w:tcW w:w="635" w:type="pct"/>
            <w:tcBorders>
              <w:top w:val="nil"/>
              <w:left w:val="nil"/>
              <w:bottom w:val="single" w:sz="4" w:space="0" w:color="auto"/>
              <w:right w:val="nil"/>
            </w:tcBorders>
            <w:noWrap/>
            <w:vAlign w:val="bottom"/>
          </w:tcPr>
          <w:p w14:paraId="2B52AF74" w14:textId="3F75E2E9" w:rsidR="00567F2F" w:rsidRPr="00F65403" w:rsidRDefault="00567F2F" w:rsidP="00567F2F">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A81DDD" w:rsidRPr="00276781" w14:paraId="307FA395" w14:textId="77777777" w:rsidTr="00AA3AC5">
        <w:tc>
          <w:tcPr>
            <w:tcW w:w="3731" w:type="pct"/>
            <w:tcBorders>
              <w:top w:val="nil"/>
              <w:left w:val="nil"/>
              <w:bottom w:val="nil"/>
              <w:right w:val="nil"/>
            </w:tcBorders>
            <w:noWrap/>
            <w:vAlign w:val="bottom"/>
          </w:tcPr>
          <w:p w14:paraId="01A60750" w14:textId="2BE1EFF8" w:rsidR="00A81DDD" w:rsidRPr="00F65403" w:rsidRDefault="00A81DDD" w:rsidP="00A81DDD">
            <w:pPr>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Total</w:t>
            </w:r>
          </w:p>
        </w:tc>
        <w:tc>
          <w:tcPr>
            <w:tcW w:w="634" w:type="pct"/>
            <w:tcBorders>
              <w:top w:val="single" w:sz="4" w:space="0" w:color="auto"/>
              <w:left w:val="nil"/>
              <w:bottom w:val="single" w:sz="4" w:space="0" w:color="auto"/>
              <w:right w:val="nil"/>
            </w:tcBorders>
            <w:noWrap/>
          </w:tcPr>
          <w:p w14:paraId="59733B9D" w14:textId="51DC8658" w:rsidR="00A81DDD" w:rsidRPr="009B06BD" w:rsidRDefault="00A81DDD" w:rsidP="00A81DDD">
            <w:pPr>
              <w:tabs>
                <w:tab w:val="decimal" w:pos="958"/>
              </w:tabs>
              <w:spacing w:after="0" w:line="240" w:lineRule="auto"/>
              <w:rPr>
                <w:rFonts w:eastAsia="Times New Roman" w:cs="Arial"/>
                <w:color w:val="000000"/>
                <w:sz w:val="20"/>
                <w:szCs w:val="20"/>
                <w:lang w:eastAsia="en-AU"/>
              </w:rPr>
            </w:pPr>
            <w:r w:rsidRPr="009B06BD">
              <w:rPr>
                <w:rFonts w:eastAsia="Times New Roman" w:cs="Arial"/>
                <w:b/>
                <w:bCs/>
                <w:color w:val="000000"/>
                <w:sz w:val="20"/>
                <w:szCs w:val="20"/>
                <w:lang w:eastAsia="en-AU"/>
              </w:rPr>
              <w:t xml:space="preserve"> </w:t>
            </w:r>
            <w:r>
              <w:rPr>
                <w:rFonts w:eastAsia="Times New Roman" w:cs="Arial"/>
                <w:b/>
                <w:bCs/>
                <w:color w:val="000000"/>
                <w:sz w:val="20"/>
                <w:szCs w:val="20"/>
                <w:lang w:eastAsia="en-AU"/>
              </w:rPr>
              <w:t>38,034</w:t>
            </w:r>
            <w:r w:rsidRPr="009B06BD">
              <w:rPr>
                <w:rFonts w:eastAsia="Times New Roman" w:cs="Arial"/>
                <w:b/>
                <w:bCs/>
                <w:color w:val="000000"/>
                <w:sz w:val="20"/>
                <w:szCs w:val="20"/>
                <w:lang w:eastAsia="en-AU"/>
              </w:rPr>
              <w:t xml:space="preserve"> </w:t>
            </w:r>
          </w:p>
        </w:tc>
        <w:tc>
          <w:tcPr>
            <w:tcW w:w="635" w:type="pct"/>
            <w:tcBorders>
              <w:top w:val="single" w:sz="4" w:space="0" w:color="auto"/>
              <w:left w:val="nil"/>
              <w:bottom w:val="single" w:sz="4" w:space="0" w:color="auto"/>
              <w:right w:val="nil"/>
            </w:tcBorders>
            <w:noWrap/>
          </w:tcPr>
          <w:p w14:paraId="34C2CEAD" w14:textId="18BC35AE" w:rsidR="00A81DDD" w:rsidRPr="00F65403" w:rsidRDefault="00A81DDD" w:rsidP="00A81DDD">
            <w:pPr>
              <w:tabs>
                <w:tab w:val="decimal" w:pos="958"/>
              </w:tabs>
              <w:spacing w:after="0" w:line="240" w:lineRule="auto"/>
              <w:rPr>
                <w:rFonts w:eastAsia="Times New Roman" w:cs="Arial"/>
                <w:color w:val="000000"/>
                <w:sz w:val="20"/>
                <w:szCs w:val="20"/>
                <w:lang w:eastAsia="en-AU"/>
              </w:rPr>
            </w:pPr>
            <w:r w:rsidRPr="009B06BD">
              <w:rPr>
                <w:rFonts w:eastAsia="Times New Roman" w:cs="Arial"/>
                <w:b/>
                <w:bCs/>
                <w:color w:val="000000"/>
                <w:sz w:val="20"/>
                <w:szCs w:val="20"/>
                <w:lang w:eastAsia="en-AU"/>
              </w:rPr>
              <w:t xml:space="preserve"> </w:t>
            </w:r>
            <w:r>
              <w:rPr>
                <w:rFonts w:eastAsia="Times New Roman" w:cs="Arial"/>
                <w:b/>
                <w:bCs/>
                <w:color w:val="000000"/>
                <w:sz w:val="20"/>
                <w:szCs w:val="20"/>
                <w:lang w:eastAsia="en-AU"/>
              </w:rPr>
              <w:t>-</w:t>
            </w:r>
            <w:r w:rsidRPr="009B06BD">
              <w:rPr>
                <w:rFonts w:eastAsia="Times New Roman" w:cs="Arial"/>
                <w:b/>
                <w:bCs/>
                <w:color w:val="000000"/>
                <w:sz w:val="20"/>
                <w:szCs w:val="20"/>
                <w:lang w:eastAsia="en-AU"/>
              </w:rPr>
              <w:t xml:space="preserve"> </w:t>
            </w:r>
          </w:p>
        </w:tc>
      </w:tr>
      <w:tr w:rsidR="00A81DDD" w:rsidRPr="00276781" w14:paraId="7288DFED" w14:textId="77777777" w:rsidTr="00AA3AC5">
        <w:tc>
          <w:tcPr>
            <w:tcW w:w="3731" w:type="pct"/>
            <w:tcBorders>
              <w:top w:val="nil"/>
              <w:left w:val="nil"/>
              <w:bottom w:val="nil"/>
              <w:right w:val="nil"/>
            </w:tcBorders>
            <w:noWrap/>
            <w:vAlign w:val="bottom"/>
            <w:hideMark/>
          </w:tcPr>
          <w:p w14:paraId="0EE68933" w14:textId="08E44834" w:rsidR="00A81DDD" w:rsidRPr="00F65403" w:rsidRDefault="00A81DDD" w:rsidP="00A81DDD">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Non</w:t>
            </w:r>
            <w:r>
              <w:rPr>
                <w:rFonts w:eastAsia="Times New Roman" w:cs="Arial"/>
                <w:b/>
                <w:color w:val="000000"/>
                <w:sz w:val="20"/>
                <w:szCs w:val="20"/>
                <w:lang w:eastAsia="en-AU"/>
              </w:rPr>
              <w:t>-</w:t>
            </w:r>
            <w:r w:rsidRPr="00F65403">
              <w:rPr>
                <w:rFonts w:eastAsia="Times New Roman" w:cs="Arial"/>
                <w:b/>
                <w:color w:val="000000"/>
                <w:sz w:val="20"/>
                <w:szCs w:val="20"/>
                <w:lang w:eastAsia="en-AU"/>
              </w:rPr>
              <w:t>current</w:t>
            </w:r>
          </w:p>
        </w:tc>
        <w:tc>
          <w:tcPr>
            <w:tcW w:w="634" w:type="pct"/>
            <w:tcBorders>
              <w:top w:val="single" w:sz="4" w:space="0" w:color="auto"/>
              <w:left w:val="nil"/>
              <w:bottom w:val="nil"/>
              <w:right w:val="nil"/>
            </w:tcBorders>
            <w:noWrap/>
            <w:vAlign w:val="bottom"/>
            <w:hideMark/>
          </w:tcPr>
          <w:p w14:paraId="3D2A23AC" w14:textId="77777777" w:rsidR="00A81DDD" w:rsidRPr="009B06BD" w:rsidRDefault="00A81DDD" w:rsidP="00A81DDD">
            <w:pPr>
              <w:tabs>
                <w:tab w:val="decimal" w:pos="958"/>
              </w:tabs>
              <w:spacing w:after="0" w:line="240" w:lineRule="auto"/>
              <w:rPr>
                <w:rFonts w:eastAsia="Times New Roman" w:cs="Arial"/>
                <w:color w:val="000000"/>
                <w:sz w:val="20"/>
                <w:szCs w:val="20"/>
                <w:lang w:eastAsia="en-AU"/>
              </w:rPr>
            </w:pPr>
          </w:p>
        </w:tc>
        <w:tc>
          <w:tcPr>
            <w:tcW w:w="635" w:type="pct"/>
            <w:tcBorders>
              <w:top w:val="single" w:sz="4" w:space="0" w:color="auto"/>
              <w:left w:val="nil"/>
              <w:bottom w:val="nil"/>
              <w:right w:val="nil"/>
            </w:tcBorders>
            <w:noWrap/>
            <w:vAlign w:val="bottom"/>
            <w:hideMark/>
          </w:tcPr>
          <w:p w14:paraId="14A75587" w14:textId="77777777" w:rsidR="00A81DDD" w:rsidRPr="009B06BD" w:rsidRDefault="00A81DDD" w:rsidP="00A81DDD">
            <w:pPr>
              <w:tabs>
                <w:tab w:val="decimal" w:pos="958"/>
              </w:tabs>
              <w:spacing w:after="0" w:line="240" w:lineRule="auto"/>
              <w:rPr>
                <w:rFonts w:eastAsia="Times New Roman" w:cs="Arial"/>
                <w:color w:val="000000"/>
                <w:sz w:val="20"/>
                <w:szCs w:val="20"/>
                <w:lang w:eastAsia="en-AU"/>
              </w:rPr>
            </w:pPr>
          </w:p>
        </w:tc>
      </w:tr>
      <w:tr w:rsidR="00A81DDD" w:rsidRPr="00276781" w14:paraId="7282E4FA" w14:textId="77777777" w:rsidTr="00AA3AC5">
        <w:tc>
          <w:tcPr>
            <w:tcW w:w="3731" w:type="pct"/>
            <w:tcBorders>
              <w:top w:val="nil"/>
              <w:left w:val="nil"/>
              <w:bottom w:val="nil"/>
              <w:right w:val="nil"/>
            </w:tcBorders>
            <w:noWrap/>
            <w:vAlign w:val="bottom"/>
            <w:hideMark/>
          </w:tcPr>
          <w:p w14:paraId="080376AB" w14:textId="0723ACB6" w:rsidR="00A81DDD" w:rsidRPr="006A5A9F" w:rsidRDefault="00A81DDD" w:rsidP="00A81DDD">
            <w:pPr>
              <w:spacing w:after="0" w:line="240" w:lineRule="auto"/>
              <w:ind w:left="720" w:hanging="720"/>
              <w:rPr>
                <w:rFonts w:eastAsia="Times New Roman" w:cs="Arial"/>
                <w:i/>
                <w:iCs/>
                <w:color w:val="000000"/>
                <w:sz w:val="20"/>
                <w:szCs w:val="20"/>
                <w:lang w:eastAsia="en-AU"/>
              </w:rPr>
            </w:pPr>
            <w:r w:rsidRPr="006A5A9F">
              <w:rPr>
                <w:rFonts w:eastAsia="Times New Roman" w:cs="Arial"/>
                <w:i/>
                <w:iCs/>
                <w:color w:val="000000"/>
                <w:sz w:val="20"/>
                <w:szCs w:val="20"/>
                <w:lang w:eastAsia="en-AU"/>
              </w:rPr>
              <w:t>Derivative financial instruments at fair value</w:t>
            </w:r>
          </w:p>
        </w:tc>
        <w:tc>
          <w:tcPr>
            <w:tcW w:w="634" w:type="pct"/>
            <w:tcBorders>
              <w:top w:val="nil"/>
              <w:left w:val="nil"/>
              <w:bottom w:val="nil"/>
              <w:right w:val="nil"/>
            </w:tcBorders>
            <w:noWrap/>
            <w:vAlign w:val="bottom"/>
            <w:hideMark/>
          </w:tcPr>
          <w:p w14:paraId="07EC436F" w14:textId="77777777" w:rsidR="00A81DDD" w:rsidRPr="009B06BD" w:rsidRDefault="00A81DDD" w:rsidP="00A81DDD">
            <w:pPr>
              <w:tabs>
                <w:tab w:val="decimal" w:pos="958"/>
              </w:tabs>
              <w:spacing w:after="0" w:line="240" w:lineRule="auto"/>
              <w:rPr>
                <w:rFonts w:eastAsia="Times New Roman" w:cs="Arial"/>
                <w:color w:val="000000"/>
                <w:sz w:val="20"/>
                <w:szCs w:val="20"/>
                <w:lang w:eastAsia="en-AU"/>
              </w:rPr>
            </w:pPr>
          </w:p>
        </w:tc>
        <w:tc>
          <w:tcPr>
            <w:tcW w:w="635" w:type="pct"/>
            <w:tcBorders>
              <w:top w:val="nil"/>
              <w:left w:val="nil"/>
              <w:bottom w:val="nil"/>
              <w:right w:val="nil"/>
            </w:tcBorders>
            <w:noWrap/>
            <w:vAlign w:val="bottom"/>
            <w:hideMark/>
          </w:tcPr>
          <w:p w14:paraId="0DE3AD7A" w14:textId="77777777" w:rsidR="00A81DDD" w:rsidRPr="009B06BD" w:rsidRDefault="00A81DDD" w:rsidP="00A81DDD">
            <w:pPr>
              <w:tabs>
                <w:tab w:val="decimal" w:pos="958"/>
              </w:tabs>
              <w:spacing w:after="0" w:line="240" w:lineRule="auto"/>
              <w:rPr>
                <w:rFonts w:eastAsia="Times New Roman" w:cs="Arial"/>
                <w:color w:val="000000"/>
                <w:sz w:val="20"/>
                <w:szCs w:val="20"/>
                <w:lang w:eastAsia="en-AU"/>
              </w:rPr>
            </w:pPr>
          </w:p>
        </w:tc>
      </w:tr>
      <w:tr w:rsidR="00A81DDD" w:rsidRPr="00276781" w14:paraId="5484A8BA" w14:textId="77777777" w:rsidTr="00AA3AC5">
        <w:tc>
          <w:tcPr>
            <w:tcW w:w="3731" w:type="pct"/>
            <w:tcBorders>
              <w:top w:val="nil"/>
              <w:left w:val="nil"/>
              <w:bottom w:val="nil"/>
              <w:right w:val="nil"/>
            </w:tcBorders>
            <w:noWrap/>
            <w:vAlign w:val="bottom"/>
            <w:hideMark/>
          </w:tcPr>
          <w:p w14:paraId="22974BD9" w14:textId="77777777" w:rsidR="00A81DDD" w:rsidRPr="00F65403" w:rsidRDefault="00A81DDD" w:rsidP="00A81DDD">
            <w:pPr>
              <w:spacing w:after="0" w:line="240" w:lineRule="auto"/>
              <w:ind w:left="720" w:hanging="720"/>
              <w:rPr>
                <w:rFonts w:eastAsia="Times New Roman" w:cs="Arial"/>
                <w:sz w:val="20"/>
                <w:szCs w:val="20"/>
                <w:lang w:eastAsia="en-AU"/>
              </w:rPr>
            </w:pPr>
            <w:r w:rsidRPr="00F65403">
              <w:rPr>
                <w:rFonts w:eastAsia="Times New Roman" w:cs="Arial"/>
                <w:color w:val="000000"/>
                <w:sz w:val="20"/>
                <w:szCs w:val="20"/>
                <w:lang w:eastAsia="en-AU"/>
              </w:rPr>
              <w:t xml:space="preserve">   Energy derivatives - economic hedges</w:t>
            </w:r>
          </w:p>
        </w:tc>
        <w:tc>
          <w:tcPr>
            <w:tcW w:w="634" w:type="pct"/>
            <w:tcBorders>
              <w:top w:val="nil"/>
              <w:left w:val="nil"/>
              <w:bottom w:val="nil"/>
              <w:right w:val="nil"/>
            </w:tcBorders>
            <w:noWrap/>
            <w:hideMark/>
          </w:tcPr>
          <w:p w14:paraId="21459595" w14:textId="38B29DAD" w:rsidR="00A81DDD" w:rsidRPr="009B06BD" w:rsidRDefault="00A81DDD" w:rsidP="00A81DDD">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w:t>
            </w:r>
            <w:r>
              <w:rPr>
                <w:rFonts w:eastAsia="Times New Roman" w:cs="Arial"/>
                <w:color w:val="000000"/>
                <w:sz w:val="20"/>
                <w:szCs w:val="20"/>
                <w:lang w:eastAsia="en-AU"/>
              </w:rPr>
              <w:t>5,980</w:t>
            </w:r>
            <w:r w:rsidRPr="009B06BD">
              <w:rPr>
                <w:rFonts w:eastAsia="Times New Roman" w:cs="Arial"/>
                <w:color w:val="000000"/>
                <w:sz w:val="20"/>
                <w:szCs w:val="20"/>
                <w:lang w:eastAsia="en-AU"/>
              </w:rPr>
              <w:t xml:space="preserve"> </w:t>
            </w:r>
          </w:p>
        </w:tc>
        <w:tc>
          <w:tcPr>
            <w:tcW w:w="635" w:type="pct"/>
            <w:tcBorders>
              <w:top w:val="nil"/>
              <w:left w:val="nil"/>
              <w:bottom w:val="nil"/>
              <w:right w:val="nil"/>
            </w:tcBorders>
            <w:noWrap/>
            <w:vAlign w:val="bottom"/>
            <w:hideMark/>
          </w:tcPr>
          <w:p w14:paraId="05882F21" w14:textId="77777777" w:rsidR="00A81DDD" w:rsidRPr="00F65403" w:rsidRDefault="00A81DDD" w:rsidP="00A81DDD">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w:t>
            </w:r>
          </w:p>
        </w:tc>
      </w:tr>
      <w:tr w:rsidR="00A81DDD" w:rsidRPr="00276781" w14:paraId="09562BC0" w14:textId="77777777" w:rsidTr="00AA3AC5">
        <w:tc>
          <w:tcPr>
            <w:tcW w:w="3731" w:type="pct"/>
            <w:tcBorders>
              <w:top w:val="nil"/>
              <w:left w:val="nil"/>
              <w:bottom w:val="nil"/>
              <w:right w:val="nil"/>
            </w:tcBorders>
            <w:noWrap/>
            <w:vAlign w:val="bottom"/>
            <w:hideMark/>
          </w:tcPr>
          <w:p w14:paraId="0049DA11" w14:textId="77777777" w:rsidR="00A81DDD" w:rsidRPr="00F65403" w:rsidRDefault="00A81DDD" w:rsidP="00A81DDD">
            <w:pPr>
              <w:spacing w:after="0" w:line="240" w:lineRule="auto"/>
              <w:ind w:left="720" w:hanging="720"/>
              <w:rPr>
                <w:rFonts w:eastAsia="Times New Roman" w:cs="Arial"/>
                <w:sz w:val="20"/>
                <w:szCs w:val="20"/>
                <w:lang w:eastAsia="en-AU"/>
              </w:rPr>
            </w:pPr>
            <w:r w:rsidRPr="00F65403">
              <w:rPr>
                <w:rFonts w:eastAsia="Times New Roman" w:cs="Arial"/>
                <w:color w:val="000000"/>
                <w:sz w:val="20"/>
                <w:szCs w:val="20"/>
                <w:lang w:eastAsia="en-AU"/>
              </w:rPr>
              <w:t xml:space="preserve">   Energy derivatives - other</w:t>
            </w:r>
            <w:r w:rsidRPr="00F65403">
              <w:rPr>
                <w:rFonts w:eastAsia="Times New Roman" w:cs="Arial"/>
                <w:color w:val="000000"/>
                <w:sz w:val="20"/>
                <w:szCs w:val="20"/>
                <w:vertAlign w:val="superscript"/>
                <w:lang w:eastAsia="en-AU"/>
              </w:rPr>
              <w:t>1</w:t>
            </w:r>
          </w:p>
        </w:tc>
        <w:tc>
          <w:tcPr>
            <w:tcW w:w="634" w:type="pct"/>
            <w:tcBorders>
              <w:top w:val="nil"/>
              <w:left w:val="nil"/>
              <w:bottom w:val="nil"/>
              <w:right w:val="nil"/>
            </w:tcBorders>
            <w:noWrap/>
            <w:hideMark/>
          </w:tcPr>
          <w:p w14:paraId="2C3F6045" w14:textId="1392A70A" w:rsidR="00A81DDD" w:rsidRPr="009B06BD" w:rsidRDefault="00A81DDD" w:rsidP="00A81DDD">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w:t>
            </w:r>
            <w:r>
              <w:rPr>
                <w:rFonts w:eastAsia="Times New Roman" w:cs="Arial"/>
                <w:color w:val="000000"/>
                <w:sz w:val="20"/>
                <w:szCs w:val="20"/>
                <w:lang w:eastAsia="en-AU"/>
              </w:rPr>
              <w:t>40,4</w:t>
            </w:r>
            <w:r w:rsidR="003E0890">
              <w:rPr>
                <w:rFonts w:eastAsia="Times New Roman" w:cs="Arial"/>
                <w:color w:val="000000"/>
                <w:sz w:val="20"/>
                <w:szCs w:val="20"/>
                <w:lang w:eastAsia="en-AU"/>
              </w:rPr>
              <w:t>20</w:t>
            </w:r>
            <w:r w:rsidRPr="009B06BD">
              <w:rPr>
                <w:rFonts w:eastAsia="Times New Roman" w:cs="Arial"/>
                <w:color w:val="000000"/>
                <w:sz w:val="20"/>
                <w:szCs w:val="20"/>
                <w:lang w:eastAsia="en-AU"/>
              </w:rPr>
              <w:t xml:space="preserve"> </w:t>
            </w:r>
          </w:p>
        </w:tc>
        <w:tc>
          <w:tcPr>
            <w:tcW w:w="635" w:type="pct"/>
            <w:tcBorders>
              <w:top w:val="nil"/>
              <w:left w:val="nil"/>
              <w:bottom w:val="nil"/>
              <w:right w:val="nil"/>
            </w:tcBorders>
            <w:noWrap/>
            <w:vAlign w:val="bottom"/>
            <w:hideMark/>
          </w:tcPr>
          <w:p w14:paraId="165D0359" w14:textId="77777777" w:rsidR="00A81DDD" w:rsidRPr="00F65403" w:rsidRDefault="00A81DDD" w:rsidP="00A81DDD">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13,830 </w:t>
            </w:r>
          </w:p>
        </w:tc>
      </w:tr>
      <w:tr w:rsidR="00A81DDD" w:rsidRPr="00276781" w14:paraId="17F33492" w14:textId="77777777" w:rsidTr="00AA3AC5">
        <w:tc>
          <w:tcPr>
            <w:tcW w:w="3731" w:type="pct"/>
            <w:tcBorders>
              <w:top w:val="nil"/>
              <w:left w:val="nil"/>
              <w:bottom w:val="nil"/>
              <w:right w:val="nil"/>
            </w:tcBorders>
            <w:noWrap/>
            <w:vAlign w:val="bottom"/>
            <w:hideMark/>
          </w:tcPr>
          <w:p w14:paraId="49D923FD" w14:textId="77777777" w:rsidR="00A81DDD" w:rsidRPr="00F65403" w:rsidRDefault="00A81DDD" w:rsidP="00A81DDD">
            <w:pPr>
              <w:spacing w:after="0" w:line="240" w:lineRule="auto"/>
              <w:ind w:left="720" w:hanging="720"/>
              <w:rPr>
                <w:rFonts w:eastAsia="Times New Roman" w:cs="Arial"/>
                <w:sz w:val="20"/>
                <w:szCs w:val="20"/>
                <w:lang w:eastAsia="en-AU"/>
              </w:rPr>
            </w:pPr>
            <w:r w:rsidRPr="00F65403">
              <w:rPr>
                <w:rFonts w:eastAsia="Times New Roman" w:cs="Arial"/>
                <w:b/>
                <w:color w:val="000000"/>
                <w:sz w:val="20"/>
                <w:szCs w:val="20"/>
                <w:lang w:eastAsia="en-AU"/>
              </w:rPr>
              <w:t>Total</w:t>
            </w:r>
          </w:p>
        </w:tc>
        <w:tc>
          <w:tcPr>
            <w:tcW w:w="634" w:type="pct"/>
            <w:tcBorders>
              <w:top w:val="single" w:sz="4" w:space="0" w:color="auto"/>
              <w:left w:val="nil"/>
              <w:bottom w:val="single" w:sz="4" w:space="0" w:color="auto"/>
              <w:right w:val="nil"/>
            </w:tcBorders>
            <w:noWrap/>
            <w:hideMark/>
          </w:tcPr>
          <w:p w14:paraId="2A468671" w14:textId="7C1EDFFA" w:rsidR="00A81DDD" w:rsidRPr="009B06BD" w:rsidRDefault="00A81DDD" w:rsidP="00A81DDD">
            <w:pPr>
              <w:tabs>
                <w:tab w:val="decimal" w:pos="958"/>
              </w:tabs>
              <w:spacing w:after="0" w:line="240" w:lineRule="auto"/>
              <w:rPr>
                <w:rFonts w:eastAsia="Times New Roman" w:cs="Arial"/>
                <w:b/>
                <w:bCs/>
                <w:color w:val="000000"/>
                <w:sz w:val="20"/>
                <w:szCs w:val="20"/>
                <w:lang w:eastAsia="en-AU"/>
              </w:rPr>
            </w:pPr>
            <w:r w:rsidRPr="009B06BD">
              <w:rPr>
                <w:rFonts w:eastAsia="Times New Roman" w:cs="Arial"/>
                <w:b/>
                <w:bCs/>
                <w:color w:val="000000"/>
                <w:sz w:val="20"/>
                <w:szCs w:val="20"/>
                <w:lang w:eastAsia="en-AU"/>
              </w:rPr>
              <w:t xml:space="preserve"> </w:t>
            </w:r>
            <w:r w:rsidR="003E0890">
              <w:rPr>
                <w:rFonts w:eastAsia="Times New Roman" w:cs="Arial"/>
                <w:b/>
                <w:bCs/>
                <w:color w:val="000000"/>
                <w:sz w:val="20"/>
                <w:szCs w:val="20"/>
                <w:lang w:eastAsia="en-AU"/>
              </w:rPr>
              <w:t>46,400</w:t>
            </w:r>
            <w:r w:rsidRPr="009B06BD">
              <w:rPr>
                <w:rFonts w:eastAsia="Times New Roman" w:cs="Arial"/>
                <w:b/>
                <w:bCs/>
                <w:color w:val="000000"/>
                <w:sz w:val="20"/>
                <w:szCs w:val="20"/>
                <w:lang w:eastAsia="en-AU"/>
              </w:rPr>
              <w:t xml:space="preserve"> </w:t>
            </w:r>
          </w:p>
        </w:tc>
        <w:tc>
          <w:tcPr>
            <w:tcW w:w="635" w:type="pct"/>
            <w:tcBorders>
              <w:top w:val="single" w:sz="4" w:space="0" w:color="auto"/>
              <w:left w:val="nil"/>
              <w:bottom w:val="single" w:sz="4" w:space="0" w:color="auto"/>
              <w:right w:val="nil"/>
            </w:tcBorders>
            <w:noWrap/>
            <w:hideMark/>
          </w:tcPr>
          <w:p w14:paraId="6EA0553F" w14:textId="102FADCD" w:rsidR="00A81DDD" w:rsidRPr="009B06BD" w:rsidRDefault="00A81DDD" w:rsidP="00A81DDD">
            <w:pPr>
              <w:tabs>
                <w:tab w:val="decimal" w:pos="958"/>
              </w:tabs>
              <w:spacing w:after="0" w:line="240" w:lineRule="auto"/>
              <w:rPr>
                <w:rFonts w:eastAsia="Times New Roman" w:cs="Arial"/>
                <w:b/>
                <w:bCs/>
                <w:color w:val="000000"/>
                <w:sz w:val="20"/>
                <w:szCs w:val="20"/>
                <w:lang w:eastAsia="en-AU"/>
              </w:rPr>
            </w:pPr>
            <w:r w:rsidRPr="009B06BD">
              <w:rPr>
                <w:rFonts w:eastAsia="Times New Roman" w:cs="Arial"/>
                <w:b/>
                <w:bCs/>
                <w:color w:val="000000"/>
                <w:sz w:val="20"/>
                <w:szCs w:val="20"/>
                <w:lang w:eastAsia="en-AU"/>
              </w:rPr>
              <w:t xml:space="preserve"> 13,830 </w:t>
            </w:r>
          </w:p>
        </w:tc>
      </w:tr>
      <w:tr w:rsidR="00A81DDD" w:rsidRPr="00276781" w14:paraId="5A226D4B" w14:textId="77777777" w:rsidTr="00AA3AC5">
        <w:tc>
          <w:tcPr>
            <w:tcW w:w="3731" w:type="pct"/>
            <w:tcBorders>
              <w:top w:val="nil"/>
              <w:left w:val="nil"/>
              <w:bottom w:val="nil"/>
              <w:right w:val="nil"/>
            </w:tcBorders>
            <w:noWrap/>
            <w:vAlign w:val="bottom"/>
            <w:hideMark/>
          </w:tcPr>
          <w:p w14:paraId="6834810E" w14:textId="77777777" w:rsidR="00A81DDD" w:rsidRPr="00F65403" w:rsidRDefault="00A81DDD" w:rsidP="00A81DDD">
            <w:pPr>
              <w:spacing w:after="0" w:line="240" w:lineRule="auto"/>
              <w:ind w:left="720" w:hanging="720"/>
              <w:rPr>
                <w:rFonts w:eastAsia="Times New Roman" w:cs="Arial"/>
                <w:sz w:val="20"/>
                <w:szCs w:val="20"/>
                <w:lang w:eastAsia="en-AU"/>
              </w:rPr>
            </w:pPr>
          </w:p>
        </w:tc>
        <w:tc>
          <w:tcPr>
            <w:tcW w:w="634" w:type="pct"/>
            <w:tcBorders>
              <w:top w:val="nil"/>
              <w:left w:val="nil"/>
              <w:bottom w:val="nil"/>
              <w:right w:val="nil"/>
            </w:tcBorders>
            <w:noWrap/>
            <w:vAlign w:val="bottom"/>
            <w:hideMark/>
          </w:tcPr>
          <w:p w14:paraId="4147E2E2"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7DD7C80C"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r>
      <w:tr w:rsidR="00A81DDD" w:rsidRPr="00276781" w14:paraId="71082D9D" w14:textId="77777777" w:rsidTr="00AA3AC5">
        <w:tc>
          <w:tcPr>
            <w:tcW w:w="3731" w:type="pct"/>
            <w:tcBorders>
              <w:top w:val="nil"/>
              <w:left w:val="nil"/>
              <w:bottom w:val="nil"/>
              <w:right w:val="nil"/>
            </w:tcBorders>
            <w:noWrap/>
            <w:vAlign w:val="bottom"/>
            <w:hideMark/>
          </w:tcPr>
          <w:p w14:paraId="75C7B6AD" w14:textId="77777777" w:rsidR="00A81DDD" w:rsidRPr="00F65403" w:rsidRDefault="00A81DDD" w:rsidP="00A81DDD">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Other financial liabilities</w:t>
            </w:r>
          </w:p>
        </w:tc>
        <w:tc>
          <w:tcPr>
            <w:tcW w:w="634" w:type="pct"/>
            <w:tcBorders>
              <w:top w:val="nil"/>
              <w:left w:val="nil"/>
              <w:bottom w:val="nil"/>
              <w:right w:val="nil"/>
            </w:tcBorders>
            <w:noWrap/>
            <w:vAlign w:val="bottom"/>
            <w:hideMark/>
          </w:tcPr>
          <w:p w14:paraId="09B80249"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733C72AC"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r>
      <w:tr w:rsidR="00A81DDD" w:rsidRPr="00276781" w14:paraId="06B76A8E" w14:textId="77777777" w:rsidTr="00AA3AC5">
        <w:tc>
          <w:tcPr>
            <w:tcW w:w="3731" w:type="pct"/>
            <w:tcBorders>
              <w:top w:val="nil"/>
              <w:left w:val="nil"/>
              <w:bottom w:val="nil"/>
              <w:right w:val="nil"/>
            </w:tcBorders>
            <w:noWrap/>
            <w:vAlign w:val="bottom"/>
            <w:hideMark/>
          </w:tcPr>
          <w:p w14:paraId="61CAC70F" w14:textId="77777777" w:rsidR="00A81DDD" w:rsidRPr="00F65403" w:rsidRDefault="00A81DDD" w:rsidP="00A81DDD">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Current</w:t>
            </w:r>
          </w:p>
        </w:tc>
        <w:tc>
          <w:tcPr>
            <w:tcW w:w="634" w:type="pct"/>
            <w:tcBorders>
              <w:top w:val="nil"/>
              <w:left w:val="nil"/>
              <w:bottom w:val="nil"/>
              <w:right w:val="nil"/>
            </w:tcBorders>
            <w:noWrap/>
            <w:vAlign w:val="bottom"/>
            <w:hideMark/>
          </w:tcPr>
          <w:p w14:paraId="3B43815C"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27C68A61"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r>
      <w:tr w:rsidR="00A81DDD" w:rsidRPr="00276781" w14:paraId="54C92F67" w14:textId="77777777" w:rsidTr="00AA3AC5">
        <w:tc>
          <w:tcPr>
            <w:tcW w:w="3731" w:type="pct"/>
            <w:tcBorders>
              <w:top w:val="nil"/>
              <w:left w:val="nil"/>
              <w:bottom w:val="nil"/>
              <w:right w:val="nil"/>
            </w:tcBorders>
            <w:noWrap/>
            <w:vAlign w:val="bottom"/>
            <w:hideMark/>
          </w:tcPr>
          <w:p w14:paraId="457F8FB8" w14:textId="77777777" w:rsidR="00A81DDD" w:rsidRPr="00AA3AC5" w:rsidRDefault="00A81DDD" w:rsidP="00A81DDD">
            <w:pPr>
              <w:spacing w:after="0" w:line="240" w:lineRule="auto"/>
              <w:rPr>
                <w:rFonts w:eastAsia="Times New Roman" w:cs="Arial"/>
                <w:i/>
                <w:iCs/>
                <w:color w:val="000000"/>
                <w:sz w:val="20"/>
                <w:szCs w:val="20"/>
                <w:lang w:eastAsia="en-AU"/>
              </w:rPr>
            </w:pPr>
            <w:r w:rsidRPr="00AA3AC5">
              <w:rPr>
                <w:rFonts w:eastAsia="Times New Roman" w:cs="Arial"/>
                <w:i/>
                <w:iCs/>
                <w:color w:val="000000"/>
                <w:sz w:val="20"/>
                <w:szCs w:val="20"/>
                <w:lang w:eastAsia="en-AU"/>
              </w:rPr>
              <w:t>Derivative financial instruments at fair value</w:t>
            </w:r>
          </w:p>
        </w:tc>
        <w:tc>
          <w:tcPr>
            <w:tcW w:w="634" w:type="pct"/>
            <w:tcBorders>
              <w:top w:val="nil"/>
              <w:left w:val="nil"/>
              <w:bottom w:val="nil"/>
              <w:right w:val="nil"/>
            </w:tcBorders>
            <w:noWrap/>
            <w:vAlign w:val="bottom"/>
            <w:hideMark/>
          </w:tcPr>
          <w:p w14:paraId="49B96048"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c>
          <w:tcPr>
            <w:tcW w:w="635" w:type="pct"/>
            <w:tcBorders>
              <w:top w:val="nil"/>
              <w:left w:val="nil"/>
              <w:bottom w:val="nil"/>
              <w:right w:val="nil"/>
            </w:tcBorders>
            <w:noWrap/>
            <w:vAlign w:val="bottom"/>
            <w:hideMark/>
          </w:tcPr>
          <w:p w14:paraId="67AF8D36" w14:textId="77777777" w:rsidR="00A81DDD" w:rsidRPr="00F65403" w:rsidRDefault="00A81DDD" w:rsidP="00A81DDD">
            <w:pPr>
              <w:tabs>
                <w:tab w:val="decimal" w:pos="958"/>
              </w:tabs>
              <w:spacing w:after="0" w:line="240" w:lineRule="auto"/>
              <w:rPr>
                <w:rFonts w:eastAsia="Times New Roman" w:cs="Arial"/>
                <w:sz w:val="20"/>
                <w:szCs w:val="20"/>
                <w:lang w:eastAsia="en-AU"/>
              </w:rPr>
            </w:pPr>
          </w:p>
        </w:tc>
      </w:tr>
      <w:tr w:rsidR="00A81DDD" w:rsidRPr="00276781" w14:paraId="7F3C9191" w14:textId="77777777" w:rsidTr="00AA3AC5">
        <w:tc>
          <w:tcPr>
            <w:tcW w:w="3731" w:type="pct"/>
            <w:tcBorders>
              <w:top w:val="nil"/>
              <w:left w:val="nil"/>
              <w:bottom w:val="nil"/>
              <w:right w:val="nil"/>
            </w:tcBorders>
            <w:noWrap/>
            <w:vAlign w:val="bottom"/>
            <w:hideMark/>
          </w:tcPr>
          <w:p w14:paraId="452C53A4" w14:textId="4783869C" w:rsidR="00A81DDD" w:rsidRPr="00F65403" w:rsidRDefault="00A81DDD" w:rsidP="00A81DDD">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 xml:space="preserve">   </w:t>
            </w:r>
            <w:r>
              <w:rPr>
                <w:rFonts w:eastAsia="Times New Roman" w:cs="Arial"/>
                <w:color w:val="000000"/>
                <w:sz w:val="20"/>
                <w:szCs w:val="20"/>
                <w:lang w:eastAsia="en-AU"/>
              </w:rPr>
              <w:t>Forward foreign exchange contracts - cash flow hedge</w:t>
            </w:r>
          </w:p>
        </w:tc>
        <w:tc>
          <w:tcPr>
            <w:tcW w:w="634" w:type="pct"/>
            <w:tcBorders>
              <w:top w:val="nil"/>
              <w:left w:val="nil"/>
              <w:bottom w:val="nil"/>
              <w:right w:val="nil"/>
            </w:tcBorders>
            <w:noWrap/>
            <w:hideMark/>
          </w:tcPr>
          <w:p w14:paraId="50919085" w14:textId="248032C6" w:rsidR="00A81DDD" w:rsidRPr="009A4543" w:rsidRDefault="00A81DDD" w:rsidP="00A81DDD">
            <w:pPr>
              <w:tabs>
                <w:tab w:val="decimal" w:pos="958"/>
              </w:tabs>
              <w:spacing w:after="0" w:line="240" w:lineRule="auto"/>
              <w:rPr>
                <w:rFonts w:eastAsia="Times New Roman" w:cs="Arial"/>
                <w:color w:val="000000"/>
                <w:sz w:val="20"/>
                <w:szCs w:val="20"/>
                <w:lang w:eastAsia="en-AU"/>
              </w:rPr>
            </w:pPr>
            <w:r w:rsidRPr="009A4543">
              <w:rPr>
                <w:rFonts w:eastAsia="Times New Roman" w:cs="Arial"/>
                <w:color w:val="000000"/>
                <w:sz w:val="20"/>
                <w:szCs w:val="20"/>
                <w:lang w:eastAsia="en-AU"/>
              </w:rPr>
              <w:t xml:space="preserve"> 752 </w:t>
            </w:r>
          </w:p>
        </w:tc>
        <w:tc>
          <w:tcPr>
            <w:tcW w:w="635" w:type="pct"/>
            <w:tcBorders>
              <w:top w:val="nil"/>
              <w:left w:val="nil"/>
              <w:bottom w:val="nil"/>
              <w:right w:val="nil"/>
            </w:tcBorders>
            <w:noWrap/>
            <w:hideMark/>
          </w:tcPr>
          <w:p w14:paraId="7B622544" w14:textId="617971F1" w:rsidR="00A81DDD" w:rsidRPr="00F65403" w:rsidRDefault="00A81DDD" w:rsidP="00A81DDD">
            <w:pPr>
              <w:tabs>
                <w:tab w:val="decimal" w:pos="958"/>
              </w:tabs>
              <w:spacing w:after="0" w:line="240" w:lineRule="auto"/>
              <w:rPr>
                <w:rFonts w:eastAsia="Times New Roman" w:cs="Arial"/>
                <w:color w:val="000000"/>
                <w:sz w:val="20"/>
                <w:szCs w:val="20"/>
                <w:lang w:eastAsia="en-AU"/>
              </w:rPr>
            </w:pPr>
            <w:r w:rsidRPr="009A4543">
              <w:rPr>
                <w:rFonts w:eastAsia="Times New Roman" w:cs="Arial"/>
                <w:color w:val="000000"/>
                <w:sz w:val="20"/>
                <w:szCs w:val="20"/>
                <w:lang w:eastAsia="en-AU"/>
              </w:rPr>
              <w:t xml:space="preserve"> -   </w:t>
            </w:r>
          </w:p>
        </w:tc>
      </w:tr>
      <w:tr w:rsidR="00A81DDD" w:rsidRPr="00276781" w14:paraId="52D7FD38" w14:textId="77777777" w:rsidTr="00AA3AC5">
        <w:tc>
          <w:tcPr>
            <w:tcW w:w="3731" w:type="pct"/>
            <w:tcBorders>
              <w:top w:val="nil"/>
              <w:left w:val="nil"/>
              <w:bottom w:val="nil"/>
              <w:right w:val="nil"/>
            </w:tcBorders>
            <w:noWrap/>
            <w:vAlign w:val="bottom"/>
            <w:hideMark/>
          </w:tcPr>
          <w:p w14:paraId="38565DCD" w14:textId="77777777" w:rsidR="00A81DDD" w:rsidRPr="00F65403" w:rsidRDefault="00A81DDD" w:rsidP="00A81DDD">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Total</w:t>
            </w:r>
          </w:p>
        </w:tc>
        <w:tc>
          <w:tcPr>
            <w:tcW w:w="634" w:type="pct"/>
            <w:tcBorders>
              <w:top w:val="single" w:sz="4" w:space="0" w:color="auto"/>
              <w:left w:val="nil"/>
              <w:bottom w:val="single" w:sz="4" w:space="0" w:color="auto"/>
              <w:right w:val="nil"/>
            </w:tcBorders>
            <w:noWrap/>
            <w:hideMark/>
          </w:tcPr>
          <w:p w14:paraId="64595F0E" w14:textId="40256433" w:rsidR="00A81DDD" w:rsidRPr="009A4543" w:rsidRDefault="00A81DDD" w:rsidP="00A81DDD">
            <w:pPr>
              <w:tabs>
                <w:tab w:val="decimal" w:pos="958"/>
              </w:tabs>
              <w:spacing w:after="0" w:line="240" w:lineRule="auto"/>
              <w:rPr>
                <w:rFonts w:eastAsia="Times New Roman" w:cs="Arial"/>
                <w:b/>
                <w:bCs/>
                <w:color w:val="000000"/>
                <w:sz w:val="20"/>
                <w:szCs w:val="20"/>
                <w:lang w:eastAsia="en-AU"/>
              </w:rPr>
            </w:pPr>
            <w:r w:rsidRPr="009A4543">
              <w:rPr>
                <w:rFonts w:eastAsia="Times New Roman" w:cs="Arial"/>
                <w:b/>
                <w:bCs/>
                <w:color w:val="000000"/>
                <w:sz w:val="20"/>
                <w:szCs w:val="20"/>
                <w:lang w:eastAsia="en-AU"/>
              </w:rPr>
              <w:t xml:space="preserve"> 752 </w:t>
            </w:r>
          </w:p>
        </w:tc>
        <w:tc>
          <w:tcPr>
            <w:tcW w:w="635" w:type="pct"/>
            <w:tcBorders>
              <w:top w:val="single" w:sz="4" w:space="0" w:color="auto"/>
              <w:left w:val="nil"/>
              <w:bottom w:val="single" w:sz="4" w:space="0" w:color="auto"/>
              <w:right w:val="nil"/>
            </w:tcBorders>
            <w:noWrap/>
            <w:hideMark/>
          </w:tcPr>
          <w:p w14:paraId="53A09744" w14:textId="0F5F1E1C" w:rsidR="00A81DDD" w:rsidRPr="009A4543" w:rsidRDefault="00A81DDD" w:rsidP="00A81DDD">
            <w:pPr>
              <w:tabs>
                <w:tab w:val="decimal" w:pos="958"/>
              </w:tabs>
              <w:spacing w:after="0" w:line="240" w:lineRule="auto"/>
              <w:rPr>
                <w:rFonts w:eastAsia="Times New Roman" w:cs="Arial"/>
                <w:b/>
                <w:bCs/>
                <w:color w:val="000000"/>
                <w:sz w:val="20"/>
                <w:szCs w:val="20"/>
                <w:lang w:eastAsia="en-AU"/>
              </w:rPr>
            </w:pPr>
            <w:r w:rsidRPr="009A4543">
              <w:rPr>
                <w:rFonts w:eastAsia="Times New Roman" w:cs="Arial"/>
                <w:b/>
                <w:bCs/>
                <w:color w:val="000000"/>
                <w:sz w:val="20"/>
                <w:szCs w:val="20"/>
                <w:lang w:eastAsia="en-AU"/>
              </w:rPr>
              <w:t xml:space="preserve"> -   </w:t>
            </w:r>
          </w:p>
        </w:tc>
      </w:tr>
    </w:tbl>
    <w:p w14:paraId="57E078FC" w14:textId="77777777" w:rsidR="007506DB" w:rsidRPr="00F65403" w:rsidRDefault="007506DB" w:rsidP="00C5789A">
      <w:pPr>
        <w:pStyle w:val="BodyText"/>
        <w:rPr>
          <w:lang w:val="en-AU"/>
        </w:rPr>
      </w:pPr>
    </w:p>
    <w:p w14:paraId="431A2E4D" w14:textId="1BCFF434" w:rsidR="00622B91" w:rsidRPr="00F65403" w:rsidRDefault="00622B91" w:rsidP="00622B91">
      <w:pPr>
        <w:pStyle w:val="BodyText"/>
        <w:rPr>
          <w:lang w:val="en-AU"/>
        </w:rPr>
      </w:pPr>
      <w:r w:rsidRPr="00F65403">
        <w:rPr>
          <w:vertAlign w:val="superscript"/>
          <w:lang w:val="en-AU"/>
        </w:rPr>
        <w:t>1</w:t>
      </w:r>
      <w:r w:rsidRPr="00F65403">
        <w:rPr>
          <w:lang w:val="en-AU"/>
        </w:rPr>
        <w:t xml:space="preserve"> ‘Energy derivatives </w:t>
      </w:r>
      <w:r w:rsidR="00104757">
        <w:rPr>
          <w:lang w:val="en-AU"/>
        </w:rPr>
        <w:t>-</w:t>
      </w:r>
      <w:r w:rsidRPr="00F65403">
        <w:rPr>
          <w:lang w:val="en-AU"/>
        </w:rPr>
        <w:t xml:space="preserve"> other’ is a revenue support agreement executed as part of the investment into MREH joint venture and is linked to wholesale energy prices.</w:t>
      </w:r>
    </w:p>
    <w:p w14:paraId="47438094" w14:textId="510027DC" w:rsidR="003E0890" w:rsidRDefault="003E0890">
      <w:pPr>
        <w:rPr>
          <w:rFonts w:eastAsia="Arial" w:cs="Arial"/>
          <w:sz w:val="20"/>
          <w:szCs w:val="20"/>
        </w:rPr>
      </w:pPr>
      <w:r>
        <w:br w:type="page"/>
      </w:r>
    </w:p>
    <w:p w14:paraId="0E060EAC" w14:textId="77777777" w:rsidR="00622B91" w:rsidRPr="00F65403" w:rsidRDefault="00622B91" w:rsidP="006D7E83">
      <w:pPr>
        <w:pStyle w:val="BodyText"/>
        <w:rPr>
          <w:lang w:val="en-AU"/>
        </w:rPr>
      </w:pPr>
    </w:p>
    <w:p w14:paraId="0AF274F4" w14:textId="5131CF1D" w:rsidR="00C5789A" w:rsidRPr="00F65403" w:rsidRDefault="009F07B7" w:rsidP="715E2D1C">
      <w:pPr>
        <w:pStyle w:val="Heading8"/>
      </w:pPr>
      <w:proofErr w:type="spellStart"/>
      <w:r>
        <w:t>i</w:t>
      </w:r>
      <w:proofErr w:type="spellEnd"/>
      <w:r>
        <w:t>.</w:t>
      </w:r>
      <w:r>
        <w:tab/>
      </w:r>
      <w:r w:rsidR="49032FD2">
        <w:t>Accounting policy</w:t>
      </w:r>
    </w:p>
    <w:p w14:paraId="127D7B9A" w14:textId="040F22C2" w:rsidR="00C5789A" w:rsidRPr="00F65403" w:rsidRDefault="00C5789A" w:rsidP="00C5789A">
      <w:pPr>
        <w:pStyle w:val="BodyText"/>
        <w:rPr>
          <w:lang w:val="en-AU"/>
        </w:rPr>
      </w:pPr>
      <w:r w:rsidRPr="00F65403">
        <w:rPr>
          <w:lang w:val="en-AU"/>
        </w:rPr>
        <w:t xml:space="preserve">Derivative financial instruments are initially recognised when </w:t>
      </w:r>
      <w:r w:rsidR="007506DB" w:rsidRPr="00F65403">
        <w:rPr>
          <w:lang w:val="en-AU"/>
        </w:rPr>
        <w:t>the Group</w:t>
      </w:r>
      <w:r w:rsidRPr="00F65403">
        <w:rPr>
          <w:lang w:val="en-AU"/>
        </w:rPr>
        <w:t xml:space="preserve"> becomes party to the contractual provisions of the agreement i.e. on commitment date. Derivatives are recognised at fair value, with changes in fair value recognised in the statement of profit or loss.</w:t>
      </w:r>
    </w:p>
    <w:p w14:paraId="72FB76F1" w14:textId="77777777" w:rsidR="00C5789A" w:rsidRPr="00F65403" w:rsidRDefault="00C5789A" w:rsidP="00C5789A">
      <w:pPr>
        <w:pStyle w:val="BodyText"/>
        <w:rPr>
          <w:lang w:val="en-AU"/>
        </w:rPr>
      </w:pPr>
    </w:p>
    <w:p w14:paraId="340EFE01" w14:textId="39789682" w:rsidR="00C5789A" w:rsidRPr="00F65403" w:rsidRDefault="009F07B7" w:rsidP="00C5789A">
      <w:pPr>
        <w:pStyle w:val="Heading8"/>
      </w:pPr>
      <w:r>
        <w:t>ii.</w:t>
      </w:r>
      <w:r>
        <w:tab/>
      </w:r>
      <w:r w:rsidR="00C5789A">
        <w:t xml:space="preserve">Significant judgement </w:t>
      </w:r>
    </w:p>
    <w:p w14:paraId="4F05CCB1" w14:textId="44CC0D28" w:rsidR="003B7030" w:rsidRDefault="00C5789A" w:rsidP="00AA3AC5">
      <w:pPr>
        <w:pStyle w:val="BodyText"/>
        <w:rPr>
          <w:rFonts w:eastAsiaTheme="majorEastAsia" w:cstheme="majorBidi"/>
        </w:rPr>
      </w:pPr>
      <w:r w:rsidRPr="00F65403">
        <w:rPr>
          <w:lang w:val="en-AU"/>
        </w:rPr>
        <w:t>Management uses their judgement in selecting an appropriate valuation technique for financial instruments not quoted in an active market. For derivative financial instruments, assumptions are made based on quoted market rates adjusted for specific features of the instrument. Other financial instruments are valued using a discounted cash flow analysis based on assumptions supported, where possible, by observable market prices and rates.</w:t>
      </w:r>
      <w:r w:rsidR="003E0890">
        <w:rPr>
          <w:lang w:val="en-AU"/>
        </w:rPr>
        <w:br/>
      </w:r>
    </w:p>
    <w:p w14:paraId="3A215E69" w14:textId="77777777" w:rsidR="00B81532" w:rsidRPr="00F65403" w:rsidRDefault="00B81532" w:rsidP="00B81532">
      <w:pPr>
        <w:pStyle w:val="Heading7"/>
      </w:pPr>
      <w:r w:rsidRPr="00F65403">
        <w:t>Interest bearing liabilities</w:t>
      </w:r>
    </w:p>
    <w:tbl>
      <w:tblPr>
        <w:tblW w:w="4927" w:type="pct"/>
        <w:tblCellMar>
          <w:top w:w="28" w:type="dxa"/>
          <w:left w:w="28" w:type="dxa"/>
          <w:bottom w:w="28" w:type="dxa"/>
          <w:right w:w="28" w:type="dxa"/>
        </w:tblCellMar>
        <w:tblLook w:val="04A0" w:firstRow="1" w:lastRow="0" w:firstColumn="1" w:lastColumn="0" w:noHBand="0" w:noVBand="1"/>
      </w:tblPr>
      <w:tblGrid>
        <w:gridCol w:w="6294"/>
        <w:gridCol w:w="1309"/>
        <w:gridCol w:w="1291"/>
      </w:tblGrid>
      <w:tr w:rsidR="002E708E" w:rsidRPr="00F65403" w14:paraId="5F7C1C8A" w14:textId="77777777" w:rsidTr="413EB596">
        <w:tc>
          <w:tcPr>
            <w:tcW w:w="3538" w:type="pct"/>
            <w:tcBorders>
              <w:top w:val="nil"/>
              <w:left w:val="nil"/>
              <w:bottom w:val="nil"/>
              <w:right w:val="nil"/>
            </w:tcBorders>
            <w:noWrap/>
            <w:vAlign w:val="bottom"/>
            <w:hideMark/>
          </w:tcPr>
          <w:p w14:paraId="6F65CF8F" w14:textId="77777777" w:rsidR="002E708E" w:rsidRPr="00F65403" w:rsidRDefault="002E708E" w:rsidP="003C6418">
            <w:pPr>
              <w:spacing w:after="0" w:line="240" w:lineRule="auto"/>
              <w:rPr>
                <w:rFonts w:eastAsia="Times New Roman" w:cs="Arial"/>
                <w:sz w:val="20"/>
                <w:szCs w:val="20"/>
                <w:lang w:eastAsia="en-AU"/>
              </w:rPr>
            </w:pPr>
          </w:p>
        </w:tc>
        <w:tc>
          <w:tcPr>
            <w:tcW w:w="736" w:type="pct"/>
            <w:tcBorders>
              <w:top w:val="nil"/>
              <w:left w:val="nil"/>
              <w:bottom w:val="nil"/>
              <w:right w:val="nil"/>
            </w:tcBorders>
            <w:hideMark/>
          </w:tcPr>
          <w:p w14:paraId="2FD887AD" w14:textId="77777777" w:rsidR="002E708E" w:rsidRPr="00F65403" w:rsidRDefault="002E708E"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26" w:type="pct"/>
            <w:tcBorders>
              <w:top w:val="nil"/>
              <w:left w:val="nil"/>
              <w:bottom w:val="nil"/>
              <w:right w:val="nil"/>
            </w:tcBorders>
            <w:noWrap/>
            <w:hideMark/>
          </w:tcPr>
          <w:p w14:paraId="20D9D2E3" w14:textId="77777777" w:rsidR="002E708E" w:rsidRPr="00F65403" w:rsidRDefault="002E708E"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2E708E" w:rsidRPr="00F65403" w14:paraId="79048384" w14:textId="77777777" w:rsidTr="413EB596">
        <w:tc>
          <w:tcPr>
            <w:tcW w:w="3538" w:type="pct"/>
            <w:tcBorders>
              <w:top w:val="nil"/>
              <w:left w:val="nil"/>
              <w:bottom w:val="nil"/>
              <w:right w:val="nil"/>
            </w:tcBorders>
            <w:noWrap/>
            <w:vAlign w:val="bottom"/>
            <w:hideMark/>
          </w:tcPr>
          <w:p w14:paraId="375FBE50" w14:textId="77777777" w:rsidR="002E708E" w:rsidRPr="00F65403" w:rsidRDefault="002E708E" w:rsidP="003C6418">
            <w:pPr>
              <w:spacing w:after="0" w:line="240" w:lineRule="auto"/>
              <w:rPr>
                <w:rFonts w:eastAsia="Times New Roman" w:cs="Arial"/>
                <w:sz w:val="20"/>
                <w:szCs w:val="20"/>
                <w:lang w:eastAsia="en-AU"/>
              </w:rPr>
            </w:pPr>
          </w:p>
        </w:tc>
        <w:tc>
          <w:tcPr>
            <w:tcW w:w="736" w:type="pct"/>
            <w:tcBorders>
              <w:top w:val="nil"/>
              <w:left w:val="nil"/>
              <w:bottom w:val="nil"/>
              <w:right w:val="nil"/>
            </w:tcBorders>
            <w:noWrap/>
            <w:hideMark/>
          </w:tcPr>
          <w:p w14:paraId="6F14D748" w14:textId="77777777" w:rsidR="002E708E" w:rsidRPr="00F65403" w:rsidRDefault="002E708E"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6" w:type="pct"/>
            <w:tcBorders>
              <w:top w:val="nil"/>
              <w:left w:val="nil"/>
              <w:bottom w:val="nil"/>
              <w:right w:val="nil"/>
            </w:tcBorders>
            <w:noWrap/>
            <w:hideMark/>
          </w:tcPr>
          <w:p w14:paraId="0D93C54B" w14:textId="77777777" w:rsidR="002E708E" w:rsidRPr="00F65403" w:rsidRDefault="002E708E" w:rsidP="003C6418">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2E708E" w:rsidRPr="00F65403" w14:paraId="2474AA86" w14:textId="77777777" w:rsidTr="413EB596">
        <w:tc>
          <w:tcPr>
            <w:tcW w:w="3538" w:type="pct"/>
            <w:tcBorders>
              <w:top w:val="nil"/>
              <w:left w:val="nil"/>
              <w:bottom w:val="nil"/>
              <w:right w:val="nil"/>
            </w:tcBorders>
            <w:noWrap/>
            <w:vAlign w:val="bottom"/>
          </w:tcPr>
          <w:p w14:paraId="3D3664C7" w14:textId="1259BB26" w:rsidR="002E708E" w:rsidRPr="00F65403" w:rsidRDefault="00137ED7" w:rsidP="003C6418">
            <w:pPr>
              <w:spacing w:after="0" w:line="240" w:lineRule="auto"/>
              <w:rPr>
                <w:rFonts w:eastAsia="Times New Roman" w:cs="Arial"/>
                <w:sz w:val="20"/>
                <w:szCs w:val="20"/>
                <w:lang w:eastAsia="en-AU"/>
              </w:rPr>
            </w:pPr>
            <w:r w:rsidRPr="413EB596">
              <w:rPr>
                <w:rFonts w:eastAsia="Times New Roman" w:cs="Arial"/>
                <w:sz w:val="20"/>
                <w:szCs w:val="20"/>
                <w:lang w:eastAsia="en-AU"/>
              </w:rPr>
              <w:t>Multi option loan facility</w:t>
            </w:r>
            <w:r w:rsidR="00B92DEF" w:rsidRPr="413EB596">
              <w:rPr>
                <w:rFonts w:eastAsia="Times New Roman" w:cs="Arial"/>
                <w:sz w:val="20"/>
                <w:szCs w:val="20"/>
                <w:vertAlign w:val="superscript"/>
                <w:lang w:eastAsia="en-AU"/>
              </w:rPr>
              <w:t>1</w:t>
            </w:r>
            <w:r w:rsidR="006433DC" w:rsidRPr="413EB596">
              <w:rPr>
                <w:rFonts w:eastAsia="Times New Roman" w:cs="Arial"/>
                <w:sz w:val="20"/>
                <w:szCs w:val="20"/>
                <w:vertAlign w:val="superscript"/>
                <w:lang w:eastAsia="en-AU"/>
              </w:rPr>
              <w:t xml:space="preserve"> </w:t>
            </w:r>
            <w:r w:rsidR="00B56183" w:rsidRPr="413EB596">
              <w:rPr>
                <w:rFonts w:eastAsia="Times New Roman" w:cs="Arial"/>
                <w:sz w:val="20"/>
                <w:szCs w:val="20"/>
                <w:lang w:eastAsia="en-AU"/>
              </w:rPr>
              <w:t xml:space="preserve">- </w:t>
            </w:r>
            <w:r w:rsidR="006433DC" w:rsidRPr="413EB596">
              <w:rPr>
                <w:rFonts w:eastAsia="Times New Roman" w:cs="Arial"/>
                <w:sz w:val="20"/>
                <w:szCs w:val="20"/>
                <w:lang w:eastAsia="en-AU"/>
              </w:rPr>
              <w:t>unsecured</w:t>
            </w:r>
          </w:p>
        </w:tc>
        <w:tc>
          <w:tcPr>
            <w:tcW w:w="736" w:type="pct"/>
            <w:tcBorders>
              <w:top w:val="nil"/>
              <w:left w:val="nil"/>
              <w:bottom w:val="nil"/>
              <w:right w:val="nil"/>
            </w:tcBorders>
            <w:noWrap/>
            <w:vAlign w:val="bottom"/>
            <w:hideMark/>
          </w:tcPr>
          <w:p w14:paraId="6AC4E9A7" w14:textId="600F2963" w:rsidR="002E708E" w:rsidRPr="00F65403" w:rsidRDefault="00706E5B" w:rsidP="003C6418">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c>
          <w:tcPr>
            <w:tcW w:w="726" w:type="pct"/>
            <w:tcBorders>
              <w:top w:val="nil"/>
              <w:left w:val="nil"/>
              <w:bottom w:val="nil"/>
              <w:right w:val="nil"/>
            </w:tcBorders>
            <w:noWrap/>
            <w:vAlign w:val="bottom"/>
            <w:hideMark/>
          </w:tcPr>
          <w:p w14:paraId="1F4490D3" w14:textId="555A6DC9" w:rsidR="002E708E" w:rsidRPr="00F65403" w:rsidRDefault="00706E5B" w:rsidP="003C6418">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2E708E" w:rsidRPr="00F65403" w14:paraId="23C62BF8" w14:textId="77777777" w:rsidTr="413EB596">
        <w:tc>
          <w:tcPr>
            <w:tcW w:w="3538" w:type="pct"/>
            <w:tcBorders>
              <w:top w:val="nil"/>
              <w:left w:val="nil"/>
              <w:bottom w:val="nil"/>
              <w:right w:val="nil"/>
            </w:tcBorders>
            <w:noWrap/>
            <w:vAlign w:val="bottom"/>
          </w:tcPr>
          <w:p w14:paraId="2ABE8F2D" w14:textId="5F680A4A" w:rsidR="002E708E" w:rsidRPr="00F65403" w:rsidRDefault="00137ED7" w:rsidP="003C6418">
            <w:pPr>
              <w:spacing w:after="0" w:line="240" w:lineRule="auto"/>
              <w:rPr>
                <w:rFonts w:eastAsia="Times New Roman" w:cs="Arial"/>
                <w:sz w:val="20"/>
                <w:szCs w:val="20"/>
                <w:lang w:eastAsia="en-AU"/>
              </w:rPr>
            </w:pPr>
            <w:r w:rsidRPr="00F65403">
              <w:rPr>
                <w:rFonts w:eastAsia="Times New Roman" w:cs="Arial"/>
                <w:sz w:val="20"/>
                <w:szCs w:val="20"/>
                <w:lang w:eastAsia="en-AU"/>
              </w:rPr>
              <w:t xml:space="preserve">Lease liabilities </w:t>
            </w:r>
          </w:p>
        </w:tc>
        <w:tc>
          <w:tcPr>
            <w:tcW w:w="736" w:type="pct"/>
            <w:tcBorders>
              <w:top w:val="nil"/>
              <w:left w:val="nil"/>
              <w:bottom w:val="single" w:sz="4" w:space="0" w:color="auto"/>
              <w:right w:val="nil"/>
            </w:tcBorders>
            <w:noWrap/>
            <w:vAlign w:val="bottom"/>
            <w:hideMark/>
          </w:tcPr>
          <w:p w14:paraId="6B878989" w14:textId="11E500AE" w:rsidR="002E708E" w:rsidRPr="00F65403" w:rsidRDefault="0023368C" w:rsidP="003C6418">
            <w:pPr>
              <w:tabs>
                <w:tab w:val="decimal" w:pos="958"/>
              </w:tabs>
              <w:spacing w:after="0" w:line="240" w:lineRule="auto"/>
              <w:rPr>
                <w:rFonts w:eastAsia="Times New Roman" w:cs="Arial"/>
                <w:sz w:val="20"/>
                <w:szCs w:val="20"/>
                <w:lang w:eastAsia="en-AU"/>
              </w:rPr>
            </w:pPr>
            <w:r w:rsidRPr="49BCD735">
              <w:rPr>
                <w:rFonts w:eastAsia="Times New Roman" w:cs="Arial"/>
                <w:sz w:val="20"/>
                <w:szCs w:val="20"/>
                <w:lang w:eastAsia="en-AU"/>
              </w:rPr>
              <w:t>917</w:t>
            </w:r>
          </w:p>
        </w:tc>
        <w:tc>
          <w:tcPr>
            <w:tcW w:w="726" w:type="pct"/>
            <w:tcBorders>
              <w:top w:val="nil"/>
              <w:left w:val="nil"/>
              <w:bottom w:val="single" w:sz="4" w:space="0" w:color="auto"/>
              <w:right w:val="nil"/>
            </w:tcBorders>
            <w:noWrap/>
            <w:vAlign w:val="bottom"/>
            <w:hideMark/>
          </w:tcPr>
          <w:p w14:paraId="49B444F4" w14:textId="5F598353" w:rsidR="002E708E" w:rsidRPr="00F65403" w:rsidRDefault="00706E5B" w:rsidP="003C6418">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2E708E" w:rsidRPr="00F65403" w14:paraId="494E1C89" w14:textId="77777777" w:rsidTr="413EB596">
        <w:tc>
          <w:tcPr>
            <w:tcW w:w="3538" w:type="pct"/>
            <w:tcBorders>
              <w:top w:val="nil"/>
              <w:left w:val="nil"/>
              <w:bottom w:val="nil"/>
              <w:right w:val="nil"/>
            </w:tcBorders>
            <w:noWrap/>
            <w:vAlign w:val="bottom"/>
          </w:tcPr>
          <w:p w14:paraId="04918F15" w14:textId="36BDB27F" w:rsidR="002E708E" w:rsidRPr="00F65403" w:rsidRDefault="00137ED7" w:rsidP="003C6418">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 xml:space="preserve">Total current </w:t>
            </w:r>
            <w:r w:rsidR="00584D19" w:rsidRPr="00F65403">
              <w:rPr>
                <w:rFonts w:eastAsia="Times New Roman" w:cs="Arial"/>
                <w:b/>
                <w:bCs/>
                <w:color w:val="000000"/>
                <w:sz w:val="20"/>
                <w:szCs w:val="20"/>
                <w:lang w:eastAsia="en-AU"/>
              </w:rPr>
              <w:t>interest bearing liabilities</w:t>
            </w:r>
          </w:p>
        </w:tc>
        <w:tc>
          <w:tcPr>
            <w:tcW w:w="736" w:type="pct"/>
            <w:tcBorders>
              <w:top w:val="single" w:sz="4" w:space="0" w:color="auto"/>
              <w:left w:val="nil"/>
              <w:bottom w:val="single" w:sz="4" w:space="0" w:color="auto"/>
              <w:right w:val="nil"/>
            </w:tcBorders>
            <w:noWrap/>
            <w:vAlign w:val="bottom"/>
            <w:hideMark/>
          </w:tcPr>
          <w:p w14:paraId="5F2ABEC4" w14:textId="556B46A6" w:rsidR="002E708E" w:rsidRPr="00F65403" w:rsidRDefault="0023368C" w:rsidP="003C6418">
            <w:pPr>
              <w:tabs>
                <w:tab w:val="decimal" w:pos="958"/>
              </w:tabs>
              <w:spacing w:after="0" w:line="240" w:lineRule="auto"/>
              <w:rPr>
                <w:rFonts w:eastAsia="Times New Roman" w:cs="Arial"/>
                <w:b/>
                <w:bCs/>
                <w:sz w:val="20"/>
                <w:szCs w:val="20"/>
                <w:lang w:eastAsia="en-AU"/>
              </w:rPr>
            </w:pPr>
            <w:r w:rsidRPr="49BCD735">
              <w:rPr>
                <w:rFonts w:eastAsia="Times New Roman" w:cs="Arial"/>
                <w:b/>
                <w:bCs/>
                <w:sz w:val="20"/>
                <w:szCs w:val="20"/>
                <w:lang w:eastAsia="en-AU"/>
              </w:rPr>
              <w:t>917</w:t>
            </w:r>
          </w:p>
        </w:tc>
        <w:tc>
          <w:tcPr>
            <w:tcW w:w="726" w:type="pct"/>
            <w:tcBorders>
              <w:top w:val="single" w:sz="4" w:space="0" w:color="auto"/>
              <w:left w:val="nil"/>
              <w:bottom w:val="single" w:sz="4" w:space="0" w:color="auto"/>
              <w:right w:val="nil"/>
            </w:tcBorders>
            <w:noWrap/>
            <w:vAlign w:val="bottom"/>
            <w:hideMark/>
          </w:tcPr>
          <w:p w14:paraId="05E55081" w14:textId="0D98B846" w:rsidR="002E708E" w:rsidRPr="00F65403" w:rsidRDefault="00706E5B" w:rsidP="003C6418">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r w:rsidR="00F52ECB" w:rsidRPr="00F65403" w14:paraId="36704B64" w14:textId="77777777" w:rsidTr="413EB596">
        <w:tc>
          <w:tcPr>
            <w:tcW w:w="3538" w:type="pct"/>
            <w:tcBorders>
              <w:top w:val="nil"/>
              <w:left w:val="nil"/>
              <w:bottom w:val="nil"/>
              <w:right w:val="nil"/>
            </w:tcBorders>
            <w:noWrap/>
            <w:vAlign w:val="bottom"/>
          </w:tcPr>
          <w:p w14:paraId="54A98C09" w14:textId="67AA40DE" w:rsidR="00F52ECB" w:rsidRPr="00F65403" w:rsidRDefault="00F52ECB" w:rsidP="00F52ECB">
            <w:pPr>
              <w:spacing w:after="0" w:line="240" w:lineRule="auto"/>
              <w:rPr>
                <w:rFonts w:eastAsia="Times New Roman" w:cs="Arial"/>
                <w:color w:val="000000"/>
                <w:sz w:val="20"/>
                <w:szCs w:val="20"/>
                <w:lang w:eastAsia="en-AU"/>
              </w:rPr>
            </w:pPr>
            <w:r w:rsidRPr="00F65403">
              <w:rPr>
                <w:rFonts w:eastAsia="Times New Roman" w:cs="Arial"/>
                <w:sz w:val="20"/>
                <w:szCs w:val="20"/>
                <w:lang w:eastAsia="en-AU"/>
              </w:rPr>
              <w:t>Multi option loan facility</w:t>
            </w:r>
            <w:r w:rsidR="00C7770E" w:rsidRPr="00F65403">
              <w:rPr>
                <w:rFonts w:eastAsia="Times New Roman" w:cs="Arial"/>
                <w:sz w:val="20"/>
                <w:szCs w:val="20"/>
                <w:vertAlign w:val="superscript"/>
                <w:lang w:eastAsia="en-AU"/>
              </w:rPr>
              <w:t>1</w:t>
            </w:r>
            <w:r w:rsidR="006433DC" w:rsidRPr="00F65403">
              <w:rPr>
                <w:rFonts w:eastAsia="Times New Roman" w:cs="Arial"/>
                <w:sz w:val="20"/>
                <w:szCs w:val="20"/>
                <w:vertAlign w:val="superscript"/>
                <w:lang w:eastAsia="en-AU"/>
              </w:rPr>
              <w:t xml:space="preserve"> </w:t>
            </w:r>
            <w:r w:rsidR="00C25C9C" w:rsidRPr="00F65403">
              <w:rPr>
                <w:rFonts w:eastAsia="Times New Roman" w:cs="Arial"/>
                <w:sz w:val="20"/>
                <w:szCs w:val="20"/>
                <w:lang w:eastAsia="en-AU"/>
              </w:rPr>
              <w:t>- unsecured</w:t>
            </w:r>
          </w:p>
        </w:tc>
        <w:tc>
          <w:tcPr>
            <w:tcW w:w="736" w:type="pct"/>
            <w:tcBorders>
              <w:top w:val="single" w:sz="4" w:space="0" w:color="auto"/>
              <w:left w:val="nil"/>
              <w:bottom w:val="nil"/>
              <w:right w:val="nil"/>
            </w:tcBorders>
            <w:noWrap/>
            <w:vAlign w:val="bottom"/>
          </w:tcPr>
          <w:p w14:paraId="076E0E10" w14:textId="3CD55D58" w:rsidR="00F52ECB" w:rsidRPr="00F65403" w:rsidRDefault="00CE5093" w:rsidP="00F52ECB">
            <w:pPr>
              <w:tabs>
                <w:tab w:val="decimal" w:pos="958"/>
              </w:tabs>
              <w:spacing w:after="0" w:line="240" w:lineRule="auto"/>
              <w:rPr>
                <w:rFonts w:eastAsia="Times New Roman" w:cs="Arial"/>
                <w:sz w:val="20"/>
                <w:szCs w:val="20"/>
                <w:lang w:eastAsia="en-AU"/>
              </w:rPr>
            </w:pPr>
            <w:r>
              <w:rPr>
                <w:rFonts w:eastAsia="Times New Roman" w:cs="Arial"/>
                <w:sz w:val="20"/>
                <w:szCs w:val="20"/>
                <w:lang w:eastAsia="en-AU"/>
              </w:rPr>
              <w:t>-</w:t>
            </w:r>
          </w:p>
        </w:tc>
        <w:tc>
          <w:tcPr>
            <w:tcW w:w="726" w:type="pct"/>
            <w:tcBorders>
              <w:top w:val="single" w:sz="4" w:space="0" w:color="auto"/>
              <w:left w:val="nil"/>
              <w:bottom w:val="nil"/>
              <w:right w:val="nil"/>
            </w:tcBorders>
            <w:noWrap/>
            <w:vAlign w:val="bottom"/>
          </w:tcPr>
          <w:p w14:paraId="241E38A8" w14:textId="5AB88141" w:rsidR="00F52ECB" w:rsidRPr="00F65403" w:rsidRDefault="00706E5B" w:rsidP="00F52ECB">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F52ECB" w:rsidRPr="00F65403" w14:paraId="22125EB5" w14:textId="77777777" w:rsidTr="413EB596">
        <w:tc>
          <w:tcPr>
            <w:tcW w:w="3538" w:type="pct"/>
            <w:tcBorders>
              <w:top w:val="nil"/>
              <w:left w:val="nil"/>
              <w:bottom w:val="nil"/>
              <w:right w:val="nil"/>
            </w:tcBorders>
            <w:noWrap/>
            <w:vAlign w:val="bottom"/>
          </w:tcPr>
          <w:p w14:paraId="7A3E2EAD" w14:textId="6A5C25E1" w:rsidR="00F52ECB" w:rsidRPr="00F65403" w:rsidRDefault="00F52ECB" w:rsidP="00F52ECB">
            <w:pPr>
              <w:spacing w:after="0" w:line="240" w:lineRule="auto"/>
              <w:rPr>
                <w:rFonts w:eastAsia="Times New Roman" w:cs="Arial"/>
                <w:color w:val="000000"/>
                <w:sz w:val="20"/>
                <w:szCs w:val="20"/>
                <w:lang w:eastAsia="en-AU"/>
              </w:rPr>
            </w:pPr>
            <w:r w:rsidRPr="00F65403">
              <w:rPr>
                <w:rFonts w:eastAsia="Times New Roman" w:cs="Arial"/>
                <w:sz w:val="20"/>
                <w:szCs w:val="20"/>
                <w:lang w:eastAsia="en-AU"/>
              </w:rPr>
              <w:t xml:space="preserve">Lease liabilities </w:t>
            </w:r>
          </w:p>
        </w:tc>
        <w:tc>
          <w:tcPr>
            <w:tcW w:w="736" w:type="pct"/>
            <w:tcBorders>
              <w:top w:val="nil"/>
              <w:left w:val="nil"/>
              <w:bottom w:val="single" w:sz="4" w:space="0" w:color="auto"/>
              <w:right w:val="nil"/>
            </w:tcBorders>
            <w:noWrap/>
            <w:vAlign w:val="bottom"/>
          </w:tcPr>
          <w:p w14:paraId="3E91AB71" w14:textId="766EEAA4" w:rsidR="00F52ECB" w:rsidRPr="00F65403" w:rsidRDefault="00AC76EE" w:rsidP="00F52ECB">
            <w:pPr>
              <w:tabs>
                <w:tab w:val="decimal" w:pos="958"/>
              </w:tabs>
              <w:spacing w:after="0" w:line="240" w:lineRule="auto"/>
              <w:rPr>
                <w:rFonts w:eastAsia="Times New Roman" w:cs="Arial"/>
                <w:sz w:val="20"/>
                <w:szCs w:val="20"/>
                <w:lang w:eastAsia="en-AU"/>
              </w:rPr>
            </w:pPr>
            <w:r w:rsidRPr="49BCD735">
              <w:rPr>
                <w:rFonts w:eastAsia="Times New Roman" w:cs="Arial"/>
                <w:sz w:val="20"/>
                <w:szCs w:val="20"/>
                <w:lang w:eastAsia="en-AU"/>
              </w:rPr>
              <w:t>8,302</w:t>
            </w:r>
          </w:p>
        </w:tc>
        <w:tc>
          <w:tcPr>
            <w:tcW w:w="726" w:type="pct"/>
            <w:tcBorders>
              <w:top w:val="nil"/>
              <w:left w:val="nil"/>
              <w:bottom w:val="single" w:sz="4" w:space="0" w:color="auto"/>
              <w:right w:val="nil"/>
            </w:tcBorders>
            <w:noWrap/>
            <w:vAlign w:val="bottom"/>
          </w:tcPr>
          <w:p w14:paraId="756AECFB" w14:textId="75A141C6" w:rsidR="00F52ECB" w:rsidRPr="00F65403" w:rsidRDefault="00706E5B" w:rsidP="00F52ECB">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F52ECB" w:rsidRPr="00F65403" w14:paraId="072B368F" w14:textId="77777777" w:rsidTr="413EB596">
        <w:tc>
          <w:tcPr>
            <w:tcW w:w="3538" w:type="pct"/>
            <w:tcBorders>
              <w:top w:val="nil"/>
              <w:left w:val="nil"/>
              <w:bottom w:val="nil"/>
              <w:right w:val="nil"/>
            </w:tcBorders>
            <w:noWrap/>
            <w:vAlign w:val="bottom"/>
          </w:tcPr>
          <w:p w14:paraId="07CA65AB" w14:textId="176BCF2B" w:rsidR="00F52ECB" w:rsidRPr="00F65403" w:rsidRDefault="00F52ECB" w:rsidP="00F52ECB">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w:t>
            </w:r>
            <w:r w:rsidR="00706E5B" w:rsidRPr="00F65403">
              <w:rPr>
                <w:rFonts w:eastAsia="Times New Roman" w:cs="Arial"/>
                <w:b/>
                <w:bCs/>
                <w:color w:val="000000"/>
                <w:sz w:val="20"/>
                <w:szCs w:val="20"/>
                <w:lang w:eastAsia="en-AU"/>
              </w:rPr>
              <w:t xml:space="preserve"> </w:t>
            </w:r>
            <w:r w:rsidRPr="00F65403">
              <w:rPr>
                <w:rFonts w:eastAsia="Times New Roman" w:cs="Arial"/>
                <w:b/>
                <w:bCs/>
                <w:color w:val="000000"/>
                <w:sz w:val="20"/>
                <w:szCs w:val="20"/>
                <w:lang w:eastAsia="en-AU"/>
              </w:rPr>
              <w:t>non</w:t>
            </w:r>
            <w:r w:rsidR="00706E5B" w:rsidRPr="00F65403">
              <w:rPr>
                <w:rFonts w:eastAsia="Times New Roman" w:cs="Arial"/>
                <w:b/>
                <w:bCs/>
                <w:color w:val="000000"/>
                <w:sz w:val="20"/>
                <w:szCs w:val="20"/>
                <w:lang w:eastAsia="en-AU"/>
              </w:rPr>
              <w:t>-</w:t>
            </w:r>
            <w:r w:rsidRPr="00F65403">
              <w:rPr>
                <w:rFonts w:eastAsia="Times New Roman" w:cs="Arial"/>
                <w:b/>
                <w:bCs/>
                <w:color w:val="000000"/>
                <w:sz w:val="20"/>
                <w:szCs w:val="20"/>
                <w:lang w:eastAsia="en-AU"/>
              </w:rPr>
              <w:t>current interest bearing liabilities</w:t>
            </w:r>
          </w:p>
        </w:tc>
        <w:tc>
          <w:tcPr>
            <w:tcW w:w="736" w:type="pct"/>
            <w:tcBorders>
              <w:top w:val="single" w:sz="4" w:space="0" w:color="auto"/>
              <w:left w:val="nil"/>
              <w:bottom w:val="single" w:sz="4" w:space="0" w:color="auto"/>
              <w:right w:val="nil"/>
            </w:tcBorders>
            <w:noWrap/>
            <w:vAlign w:val="bottom"/>
          </w:tcPr>
          <w:p w14:paraId="7AAAF7EE" w14:textId="2F14160A" w:rsidR="00F52ECB" w:rsidRPr="00F65403" w:rsidRDefault="003453A6" w:rsidP="00F52ECB">
            <w:pPr>
              <w:tabs>
                <w:tab w:val="decimal" w:pos="958"/>
              </w:tabs>
              <w:spacing w:after="0" w:line="240" w:lineRule="auto"/>
              <w:rPr>
                <w:rFonts w:eastAsia="Times New Roman" w:cs="Arial"/>
                <w:b/>
                <w:bCs/>
                <w:sz w:val="20"/>
                <w:szCs w:val="20"/>
                <w:lang w:eastAsia="en-AU"/>
              </w:rPr>
            </w:pPr>
            <w:r w:rsidRPr="49BCD735">
              <w:rPr>
                <w:rFonts w:eastAsia="Times New Roman" w:cs="Arial"/>
                <w:b/>
                <w:bCs/>
                <w:sz w:val="20"/>
                <w:szCs w:val="20"/>
                <w:lang w:eastAsia="en-AU"/>
              </w:rPr>
              <w:t>8,302</w:t>
            </w:r>
          </w:p>
        </w:tc>
        <w:tc>
          <w:tcPr>
            <w:tcW w:w="726" w:type="pct"/>
            <w:tcBorders>
              <w:top w:val="single" w:sz="4" w:space="0" w:color="auto"/>
              <w:left w:val="nil"/>
              <w:bottom w:val="single" w:sz="4" w:space="0" w:color="auto"/>
              <w:right w:val="nil"/>
            </w:tcBorders>
            <w:noWrap/>
            <w:vAlign w:val="bottom"/>
          </w:tcPr>
          <w:p w14:paraId="0BF6691D" w14:textId="7D7D62AF" w:rsidR="00F52ECB" w:rsidRPr="00F65403" w:rsidRDefault="00706E5B" w:rsidP="00F52ECB">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r w:rsidR="00706E5B" w:rsidRPr="00F65403" w14:paraId="1162FDF9" w14:textId="77777777" w:rsidTr="413EB596">
        <w:tc>
          <w:tcPr>
            <w:tcW w:w="3538" w:type="pct"/>
            <w:tcBorders>
              <w:top w:val="nil"/>
              <w:left w:val="nil"/>
              <w:bottom w:val="nil"/>
              <w:right w:val="nil"/>
            </w:tcBorders>
            <w:noWrap/>
            <w:vAlign w:val="bottom"/>
          </w:tcPr>
          <w:p w14:paraId="40D1CECC" w14:textId="3AAC1934" w:rsidR="00706E5B" w:rsidRPr="00F65403" w:rsidRDefault="00706E5B" w:rsidP="00F52ECB">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 interest bearing liabilities</w:t>
            </w:r>
          </w:p>
        </w:tc>
        <w:tc>
          <w:tcPr>
            <w:tcW w:w="736" w:type="pct"/>
            <w:tcBorders>
              <w:top w:val="single" w:sz="4" w:space="0" w:color="auto"/>
              <w:left w:val="nil"/>
              <w:bottom w:val="single" w:sz="4" w:space="0" w:color="auto"/>
              <w:right w:val="nil"/>
            </w:tcBorders>
            <w:noWrap/>
            <w:vAlign w:val="bottom"/>
          </w:tcPr>
          <w:p w14:paraId="4BF749F7" w14:textId="2D09AA98" w:rsidR="00706E5B" w:rsidRPr="00F65403" w:rsidRDefault="00D3195F" w:rsidP="00F52ECB">
            <w:pPr>
              <w:tabs>
                <w:tab w:val="decimal" w:pos="958"/>
              </w:tabs>
              <w:spacing w:after="0" w:line="240" w:lineRule="auto"/>
              <w:rPr>
                <w:rFonts w:eastAsia="Times New Roman" w:cs="Arial"/>
                <w:b/>
                <w:bCs/>
                <w:sz w:val="20"/>
                <w:szCs w:val="20"/>
                <w:lang w:eastAsia="en-AU"/>
              </w:rPr>
            </w:pPr>
            <w:r w:rsidRPr="49BCD735">
              <w:rPr>
                <w:rFonts w:eastAsia="Times New Roman" w:cs="Arial"/>
                <w:b/>
                <w:bCs/>
                <w:sz w:val="20"/>
                <w:szCs w:val="20"/>
                <w:lang w:eastAsia="en-AU"/>
              </w:rPr>
              <w:t>9,2</w:t>
            </w:r>
            <w:r w:rsidR="003453A6" w:rsidRPr="49BCD735">
              <w:rPr>
                <w:rFonts w:eastAsia="Times New Roman" w:cs="Arial"/>
                <w:b/>
                <w:bCs/>
                <w:sz w:val="20"/>
                <w:szCs w:val="20"/>
                <w:lang w:eastAsia="en-AU"/>
              </w:rPr>
              <w:t>19</w:t>
            </w:r>
          </w:p>
        </w:tc>
        <w:tc>
          <w:tcPr>
            <w:tcW w:w="726" w:type="pct"/>
            <w:tcBorders>
              <w:top w:val="single" w:sz="4" w:space="0" w:color="auto"/>
              <w:left w:val="nil"/>
              <w:bottom w:val="single" w:sz="4" w:space="0" w:color="auto"/>
              <w:right w:val="nil"/>
            </w:tcBorders>
            <w:noWrap/>
            <w:vAlign w:val="bottom"/>
          </w:tcPr>
          <w:p w14:paraId="68DD6B1C" w14:textId="0043C0DF" w:rsidR="00706E5B" w:rsidRPr="00F65403" w:rsidRDefault="00706E5B" w:rsidP="00F52ECB">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bl>
    <w:p w14:paraId="364C92BE" w14:textId="77777777" w:rsidR="002E708E" w:rsidRPr="00F65403" w:rsidRDefault="002E708E" w:rsidP="002E708E">
      <w:pPr>
        <w:pStyle w:val="BodyText"/>
        <w:rPr>
          <w:lang w:val="en-AU"/>
        </w:rPr>
      </w:pPr>
    </w:p>
    <w:p w14:paraId="60C16451" w14:textId="63218F46" w:rsidR="00B92DEF" w:rsidRPr="00EE5DAF" w:rsidRDefault="00B92DEF" w:rsidP="002E708E">
      <w:pPr>
        <w:pStyle w:val="BodyText"/>
        <w:rPr>
          <w:lang w:val="en-AU"/>
        </w:rPr>
      </w:pPr>
      <w:r w:rsidRPr="00EE5DAF">
        <w:rPr>
          <w:vertAlign w:val="superscript"/>
          <w:lang w:val="en-AU"/>
        </w:rPr>
        <w:t>1</w:t>
      </w:r>
      <w:r w:rsidRPr="00EE5DAF">
        <w:rPr>
          <w:lang w:val="en-AU"/>
        </w:rPr>
        <w:t xml:space="preserve"> </w:t>
      </w:r>
      <w:r w:rsidR="001E5E6C" w:rsidRPr="00EE5DAF">
        <w:rPr>
          <w:lang w:val="en-AU"/>
        </w:rPr>
        <w:t xml:space="preserve">On </w:t>
      </w:r>
      <w:r w:rsidR="0073770F" w:rsidRPr="0010235E">
        <w:rPr>
          <w:lang w:val="en-AU"/>
        </w:rPr>
        <w:t>7 February</w:t>
      </w:r>
      <w:r w:rsidR="001E5E6C" w:rsidRPr="00EE5DAF">
        <w:rPr>
          <w:lang w:val="en-AU"/>
        </w:rPr>
        <w:t xml:space="preserve"> 202</w:t>
      </w:r>
      <w:r w:rsidR="0073770F" w:rsidRPr="0010235E">
        <w:rPr>
          <w:lang w:val="en-AU"/>
        </w:rPr>
        <w:t>5</w:t>
      </w:r>
      <w:r w:rsidR="001E5E6C" w:rsidRPr="00EE5DAF">
        <w:rPr>
          <w:lang w:val="en-AU"/>
        </w:rPr>
        <w:t xml:space="preserve">, SEC Victoria </w:t>
      </w:r>
      <w:r w:rsidR="00F96611" w:rsidRPr="00EE5DAF">
        <w:rPr>
          <w:lang w:val="en-AU"/>
        </w:rPr>
        <w:t>entered into a Mult</w:t>
      </w:r>
      <w:r w:rsidR="00BD4312" w:rsidRPr="00EE5DAF">
        <w:rPr>
          <w:lang w:val="en-AU"/>
        </w:rPr>
        <w:t>i</w:t>
      </w:r>
      <w:r w:rsidR="00F96611" w:rsidRPr="00EE5DAF">
        <w:rPr>
          <w:lang w:val="en-AU"/>
        </w:rPr>
        <w:t xml:space="preserve"> option loan facility with Treasury Corporation</w:t>
      </w:r>
      <w:r w:rsidR="00D3578C">
        <w:rPr>
          <w:lang w:val="en-AU"/>
        </w:rPr>
        <w:t xml:space="preserve"> of</w:t>
      </w:r>
      <w:r w:rsidR="00F96611" w:rsidRPr="00EE5DAF">
        <w:rPr>
          <w:lang w:val="en-AU"/>
        </w:rPr>
        <w:t xml:space="preserve"> Victoria to </w:t>
      </w:r>
      <w:r w:rsidR="0091697D" w:rsidRPr="00EE5DAF">
        <w:rPr>
          <w:lang w:val="en-AU"/>
        </w:rPr>
        <w:t xml:space="preserve">finance the construction of SEC Renewable Energy Park </w:t>
      </w:r>
      <w:r w:rsidR="00104757">
        <w:rPr>
          <w:lang w:val="en-AU"/>
        </w:rPr>
        <w:t>-</w:t>
      </w:r>
      <w:r w:rsidR="0091697D" w:rsidRPr="00EE5DAF">
        <w:rPr>
          <w:lang w:val="en-AU"/>
        </w:rPr>
        <w:t xml:space="preserve"> Hors</w:t>
      </w:r>
      <w:r w:rsidR="00D8668A" w:rsidRPr="00EE5DAF">
        <w:rPr>
          <w:lang w:val="en-AU"/>
        </w:rPr>
        <w:t xml:space="preserve">ham. </w:t>
      </w:r>
      <w:r w:rsidR="0037600F" w:rsidRPr="00EE5DAF">
        <w:rPr>
          <w:lang w:val="en-AU"/>
        </w:rPr>
        <w:t xml:space="preserve">Key terms of the loan facility are set out below. No amounts have been drawn </w:t>
      </w:r>
      <w:r w:rsidR="002E3441" w:rsidRPr="00EE5DAF">
        <w:rPr>
          <w:lang w:val="en-AU"/>
        </w:rPr>
        <w:t xml:space="preserve">on the loan </w:t>
      </w:r>
      <w:r w:rsidR="003D48B4" w:rsidRPr="00EE5DAF">
        <w:rPr>
          <w:lang w:val="en-AU"/>
        </w:rPr>
        <w:t>at 30 June 2025.</w:t>
      </w:r>
    </w:p>
    <w:p w14:paraId="6AD776FC" w14:textId="77777777" w:rsidR="003D48B4" w:rsidRPr="00EE5DAF" w:rsidRDefault="003D48B4" w:rsidP="002E708E">
      <w:pPr>
        <w:pStyle w:val="BodyText"/>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54"/>
        <w:gridCol w:w="2254"/>
        <w:gridCol w:w="2254"/>
        <w:gridCol w:w="2254"/>
      </w:tblGrid>
      <w:tr w:rsidR="00210778" w:rsidRPr="00EE5DAF" w14:paraId="2A37E11F" w14:textId="77777777" w:rsidTr="00210778">
        <w:tc>
          <w:tcPr>
            <w:tcW w:w="2254" w:type="dxa"/>
            <w:tcBorders>
              <w:bottom w:val="single" w:sz="4" w:space="0" w:color="auto"/>
            </w:tcBorders>
          </w:tcPr>
          <w:p w14:paraId="4CD7503C" w14:textId="6C94CF6E" w:rsidR="00210778" w:rsidRPr="00EE5DAF" w:rsidRDefault="00210778" w:rsidP="002E708E">
            <w:pPr>
              <w:pStyle w:val="BodyText"/>
              <w:rPr>
                <w:b/>
                <w:bCs/>
                <w:lang w:val="en-AU"/>
              </w:rPr>
            </w:pPr>
            <w:r w:rsidRPr="00EE5DAF">
              <w:rPr>
                <w:b/>
                <w:bCs/>
                <w:lang w:val="en-AU"/>
              </w:rPr>
              <w:t>Facility Limit</w:t>
            </w:r>
          </w:p>
        </w:tc>
        <w:tc>
          <w:tcPr>
            <w:tcW w:w="2254" w:type="dxa"/>
            <w:tcBorders>
              <w:bottom w:val="single" w:sz="4" w:space="0" w:color="auto"/>
            </w:tcBorders>
          </w:tcPr>
          <w:p w14:paraId="7B2DF62B" w14:textId="5F5A21F7" w:rsidR="00210778" w:rsidRPr="00EE5DAF" w:rsidRDefault="004F2E7A" w:rsidP="002E708E">
            <w:pPr>
              <w:pStyle w:val="BodyText"/>
              <w:rPr>
                <w:b/>
                <w:bCs/>
                <w:lang w:val="en-AU"/>
              </w:rPr>
            </w:pPr>
            <w:r w:rsidRPr="00EE5DAF">
              <w:rPr>
                <w:b/>
                <w:bCs/>
                <w:lang w:val="en-AU"/>
              </w:rPr>
              <w:t>Date of Maturity</w:t>
            </w:r>
          </w:p>
        </w:tc>
        <w:tc>
          <w:tcPr>
            <w:tcW w:w="2254" w:type="dxa"/>
            <w:tcBorders>
              <w:bottom w:val="single" w:sz="4" w:space="0" w:color="auto"/>
            </w:tcBorders>
          </w:tcPr>
          <w:p w14:paraId="2D49D0CD" w14:textId="6D0F3A6C" w:rsidR="00210778" w:rsidRPr="00EE5DAF" w:rsidRDefault="00BD4312" w:rsidP="002E708E">
            <w:pPr>
              <w:pStyle w:val="BodyText"/>
              <w:rPr>
                <w:b/>
                <w:bCs/>
                <w:lang w:val="en-AU"/>
              </w:rPr>
            </w:pPr>
            <w:r w:rsidRPr="00EE5DAF">
              <w:rPr>
                <w:b/>
                <w:bCs/>
                <w:lang w:val="en-AU"/>
              </w:rPr>
              <w:t>Floating i</w:t>
            </w:r>
            <w:r w:rsidR="00016553" w:rsidRPr="00EE5DAF">
              <w:rPr>
                <w:b/>
                <w:bCs/>
                <w:lang w:val="en-AU"/>
              </w:rPr>
              <w:t>nterest Rate</w:t>
            </w:r>
          </w:p>
        </w:tc>
        <w:tc>
          <w:tcPr>
            <w:tcW w:w="2254" w:type="dxa"/>
            <w:tcBorders>
              <w:bottom w:val="single" w:sz="4" w:space="0" w:color="auto"/>
            </w:tcBorders>
          </w:tcPr>
          <w:p w14:paraId="03DC01A6" w14:textId="1CF199F3" w:rsidR="00210778" w:rsidRPr="00EE5DAF" w:rsidRDefault="00BA01DB" w:rsidP="002E708E">
            <w:pPr>
              <w:pStyle w:val="BodyText"/>
              <w:rPr>
                <w:b/>
                <w:bCs/>
                <w:lang w:val="en-AU"/>
              </w:rPr>
            </w:pPr>
            <w:r w:rsidRPr="00EE5DAF">
              <w:rPr>
                <w:b/>
                <w:bCs/>
                <w:lang w:val="en-AU"/>
              </w:rPr>
              <w:t>Repayment Terms</w:t>
            </w:r>
          </w:p>
        </w:tc>
      </w:tr>
      <w:tr w:rsidR="00210778" w:rsidRPr="00F65403" w14:paraId="5C6C1EB7" w14:textId="77777777" w:rsidTr="00210778">
        <w:tc>
          <w:tcPr>
            <w:tcW w:w="2254" w:type="dxa"/>
            <w:tcBorders>
              <w:top w:val="single" w:sz="4" w:space="0" w:color="auto"/>
            </w:tcBorders>
          </w:tcPr>
          <w:p w14:paraId="3CC4355C" w14:textId="307AB0E2" w:rsidR="00210778" w:rsidRPr="0010235E" w:rsidRDefault="00210778" w:rsidP="002E708E">
            <w:pPr>
              <w:pStyle w:val="BodyText"/>
              <w:rPr>
                <w:lang w:val="en-AU"/>
              </w:rPr>
            </w:pPr>
            <w:r w:rsidRPr="0010235E">
              <w:rPr>
                <w:lang w:val="en-AU"/>
              </w:rPr>
              <w:t>$2</w:t>
            </w:r>
            <w:r w:rsidR="00FA25C6" w:rsidRPr="0010235E">
              <w:rPr>
                <w:lang w:val="en-AU"/>
              </w:rPr>
              <w:t>33</w:t>
            </w:r>
            <w:r w:rsidRPr="0010235E">
              <w:rPr>
                <w:lang w:val="en-AU"/>
              </w:rPr>
              <w:t>.</w:t>
            </w:r>
            <w:r w:rsidR="00FA25C6" w:rsidRPr="0010235E">
              <w:rPr>
                <w:lang w:val="en-AU"/>
              </w:rPr>
              <w:t>8</w:t>
            </w:r>
            <w:r w:rsidRPr="0010235E">
              <w:rPr>
                <w:lang w:val="en-AU"/>
              </w:rPr>
              <w:t xml:space="preserve"> million</w:t>
            </w:r>
          </w:p>
        </w:tc>
        <w:tc>
          <w:tcPr>
            <w:tcW w:w="2254" w:type="dxa"/>
            <w:tcBorders>
              <w:top w:val="single" w:sz="4" w:space="0" w:color="auto"/>
            </w:tcBorders>
          </w:tcPr>
          <w:p w14:paraId="4E3FCEC2" w14:textId="6DE09581" w:rsidR="00210778" w:rsidRPr="0010235E" w:rsidRDefault="00CB4751" w:rsidP="002E708E">
            <w:pPr>
              <w:pStyle w:val="BodyText"/>
              <w:rPr>
                <w:lang w:val="en-AU"/>
              </w:rPr>
            </w:pPr>
            <w:r w:rsidRPr="0010235E">
              <w:rPr>
                <w:lang w:val="en-AU"/>
              </w:rPr>
              <w:t>Up to 25 years from the date of first draw down</w:t>
            </w:r>
          </w:p>
        </w:tc>
        <w:tc>
          <w:tcPr>
            <w:tcW w:w="2254" w:type="dxa"/>
            <w:tcBorders>
              <w:top w:val="single" w:sz="4" w:space="0" w:color="auto"/>
            </w:tcBorders>
          </w:tcPr>
          <w:p w14:paraId="00EBB522" w14:textId="5BD47A09" w:rsidR="00210778" w:rsidRPr="0010235E" w:rsidRDefault="00EE5DAF" w:rsidP="002E708E">
            <w:pPr>
              <w:pStyle w:val="BodyText"/>
              <w:rPr>
                <w:lang w:val="en-AU"/>
              </w:rPr>
            </w:pPr>
            <w:r w:rsidRPr="0010235E">
              <w:rPr>
                <w:lang w:val="en-AU"/>
              </w:rPr>
              <w:t>Cash rate plus administration and execution fees, s</w:t>
            </w:r>
            <w:r w:rsidR="00BB3BEF" w:rsidRPr="0010235E">
              <w:rPr>
                <w:lang w:val="en-AU"/>
              </w:rPr>
              <w:t xml:space="preserve">et at first draw down </w:t>
            </w:r>
          </w:p>
        </w:tc>
        <w:tc>
          <w:tcPr>
            <w:tcW w:w="2254" w:type="dxa"/>
            <w:tcBorders>
              <w:top w:val="single" w:sz="4" w:space="0" w:color="auto"/>
            </w:tcBorders>
          </w:tcPr>
          <w:p w14:paraId="6D9085DB" w14:textId="015A94FF" w:rsidR="00210778" w:rsidRPr="0010235E" w:rsidRDefault="0031571F" w:rsidP="002E708E">
            <w:pPr>
              <w:pStyle w:val="BodyText"/>
              <w:rPr>
                <w:lang w:val="en-AU"/>
              </w:rPr>
            </w:pPr>
            <w:r w:rsidRPr="00EE5DAF">
              <w:rPr>
                <w:lang w:val="en-AU"/>
              </w:rPr>
              <w:t>Monthly post</w:t>
            </w:r>
            <w:r w:rsidR="000172D0" w:rsidRPr="00EE5DAF">
              <w:rPr>
                <w:lang w:val="en-AU"/>
              </w:rPr>
              <w:t xml:space="preserve"> Commercial Operations Date of the </w:t>
            </w:r>
            <w:r w:rsidR="009321E5" w:rsidRPr="00EE5DAF">
              <w:rPr>
                <w:lang w:val="en-AU"/>
              </w:rPr>
              <w:t>plant</w:t>
            </w:r>
            <w:r w:rsidR="00EE5DAF">
              <w:rPr>
                <w:lang w:val="en-AU"/>
              </w:rPr>
              <w:t xml:space="preserve"> being constructed.</w:t>
            </w:r>
          </w:p>
        </w:tc>
      </w:tr>
    </w:tbl>
    <w:p w14:paraId="470E8C84" w14:textId="723CD737" w:rsidR="00E81550" w:rsidRDefault="0051700A" w:rsidP="002E708E">
      <w:pPr>
        <w:pStyle w:val="BodyText"/>
        <w:rPr>
          <w:lang w:val="en-AU"/>
        </w:rPr>
      </w:pPr>
      <w:r>
        <w:rPr>
          <w:lang w:val="en-AU"/>
        </w:rPr>
        <w:br/>
      </w:r>
      <w:r w:rsidRPr="0051700A">
        <w:rPr>
          <w:lang w:val="en-AU"/>
        </w:rPr>
        <w:t xml:space="preserve">The contractual maturity of lease liabilities is disclosed within the liquidity table in </w:t>
      </w:r>
      <w:r w:rsidR="00E27ECF">
        <w:rPr>
          <w:lang w:val="en-AU"/>
        </w:rPr>
        <w:t>N</w:t>
      </w:r>
      <w:r w:rsidRPr="0051700A">
        <w:rPr>
          <w:lang w:val="en-AU"/>
        </w:rPr>
        <w:t xml:space="preserve">ote </w:t>
      </w:r>
      <w:r w:rsidR="00E27ECF">
        <w:rPr>
          <w:lang w:val="en-AU"/>
        </w:rPr>
        <w:t>12</w:t>
      </w:r>
      <w:r w:rsidR="00DB3338">
        <w:rPr>
          <w:lang w:val="en-AU"/>
        </w:rPr>
        <w:t>.</w:t>
      </w:r>
      <w:r w:rsidR="00AF3B37">
        <w:rPr>
          <w:lang w:val="en-AU"/>
        </w:rPr>
        <w:t xml:space="preserve"> Financial Risk Management</w:t>
      </w:r>
      <w:r w:rsidRPr="0051700A">
        <w:rPr>
          <w:lang w:val="en-AU"/>
        </w:rPr>
        <w:t xml:space="preserve">. </w:t>
      </w:r>
      <w:r w:rsidR="00D12AF8">
        <w:rPr>
          <w:lang w:val="en-AU"/>
        </w:rPr>
        <w:t>Estimated f</w:t>
      </w:r>
      <w:r w:rsidRPr="0051700A">
        <w:rPr>
          <w:lang w:val="en-AU"/>
        </w:rPr>
        <w:t xml:space="preserve">uture cash outflows relating to leases that have not yet commenced are disclosed in </w:t>
      </w:r>
      <w:r w:rsidR="00D12AF8">
        <w:rPr>
          <w:lang w:val="en-AU"/>
        </w:rPr>
        <w:t>N</w:t>
      </w:r>
      <w:r w:rsidRPr="0051700A">
        <w:rPr>
          <w:lang w:val="en-AU"/>
        </w:rPr>
        <w:t xml:space="preserve">ote </w:t>
      </w:r>
      <w:r w:rsidR="00D01105">
        <w:rPr>
          <w:lang w:val="en-AU"/>
        </w:rPr>
        <w:t>19</w:t>
      </w:r>
      <w:r w:rsidR="00DB3338">
        <w:rPr>
          <w:lang w:val="en-AU"/>
        </w:rPr>
        <w:t>.</w:t>
      </w:r>
      <w:r w:rsidR="00D01105">
        <w:rPr>
          <w:lang w:val="en-AU"/>
        </w:rPr>
        <w:t xml:space="preserve"> Commitments</w:t>
      </w:r>
      <w:r w:rsidRPr="0051700A">
        <w:rPr>
          <w:lang w:val="en-AU"/>
        </w:rPr>
        <w:t>.</w:t>
      </w:r>
      <w:r>
        <w:rPr>
          <w:lang w:val="en-AU"/>
        </w:rPr>
        <w:br/>
      </w:r>
    </w:p>
    <w:p w14:paraId="231950F1" w14:textId="77777777" w:rsidR="00E81550" w:rsidRDefault="00E81550">
      <w:pPr>
        <w:rPr>
          <w:rFonts w:eastAsia="Arial" w:cs="Arial"/>
          <w:sz w:val="20"/>
          <w:szCs w:val="20"/>
        </w:rPr>
      </w:pPr>
      <w:r>
        <w:br w:type="page"/>
      </w:r>
    </w:p>
    <w:p w14:paraId="60C149E6" w14:textId="77777777" w:rsidR="00B92DEF" w:rsidRPr="00F65403" w:rsidRDefault="00B92DEF" w:rsidP="002E708E">
      <w:pPr>
        <w:pStyle w:val="BodyText"/>
        <w:rPr>
          <w:lang w:val="en-AU"/>
        </w:rPr>
      </w:pPr>
    </w:p>
    <w:p w14:paraId="2D2FB697" w14:textId="7646FDAE" w:rsidR="00B81532" w:rsidRPr="00F65403" w:rsidRDefault="009B2D2D" w:rsidP="715E2D1C">
      <w:pPr>
        <w:pStyle w:val="Heading8"/>
      </w:pPr>
      <w:proofErr w:type="spellStart"/>
      <w:r>
        <w:t>i</w:t>
      </w:r>
      <w:proofErr w:type="spellEnd"/>
      <w:r>
        <w:t>.</w:t>
      </w:r>
      <w:r>
        <w:tab/>
      </w:r>
      <w:r w:rsidR="66EB4C18">
        <w:t>Accounting policy</w:t>
      </w:r>
    </w:p>
    <w:p w14:paraId="757295F1" w14:textId="56D3258C" w:rsidR="00BC08CB" w:rsidRPr="00F65403" w:rsidRDefault="00BC08CB" w:rsidP="00BC08CB">
      <w:pPr>
        <w:pStyle w:val="Heading9"/>
      </w:pPr>
      <w:r>
        <w:t>Borrowings</w:t>
      </w:r>
    </w:p>
    <w:p w14:paraId="4ED0458F" w14:textId="4BE4D82C" w:rsidR="00BC08CB" w:rsidRPr="00F65403" w:rsidRDefault="004561DC" w:rsidP="004561DC">
      <w:pPr>
        <w:pStyle w:val="BodyText"/>
        <w:rPr>
          <w:lang w:val="en-AU"/>
        </w:rPr>
      </w:pPr>
      <w:r w:rsidRPr="00F65403">
        <w:rPr>
          <w:lang w:val="en-AU"/>
        </w:rPr>
        <w:t>Borrowings are initially recorded at the amount of proceeds received (fair value) less transaction costs. After that date, the liability is amortised to face value at maturity using an effective interest rate method.</w:t>
      </w:r>
    </w:p>
    <w:p w14:paraId="305E0C65" w14:textId="77777777" w:rsidR="004561DC" w:rsidRPr="00F65403" w:rsidRDefault="004561DC" w:rsidP="004561DC">
      <w:pPr>
        <w:pStyle w:val="BodyText"/>
        <w:rPr>
          <w:lang w:val="en-AU"/>
        </w:rPr>
      </w:pPr>
    </w:p>
    <w:p w14:paraId="6E133FB5" w14:textId="19824A45" w:rsidR="004561DC" w:rsidRPr="00F65403" w:rsidRDefault="004561DC" w:rsidP="004561DC">
      <w:pPr>
        <w:pStyle w:val="Heading9"/>
      </w:pPr>
      <w:r w:rsidRPr="00F65403">
        <w:t>Lease liabilities</w:t>
      </w:r>
      <w:r w:rsidR="00A667B8" w:rsidRPr="00F65403">
        <w:t xml:space="preserve"> </w:t>
      </w:r>
      <w:r w:rsidR="00104757">
        <w:t>-</w:t>
      </w:r>
      <w:r w:rsidR="00A667B8" w:rsidRPr="00F65403">
        <w:t xml:space="preserve"> SEC as lessee</w:t>
      </w:r>
    </w:p>
    <w:p w14:paraId="1A7C8D88" w14:textId="14B5D4D2" w:rsidR="00B81532" w:rsidRPr="00F65403" w:rsidRDefault="00361031" w:rsidP="00B81532">
      <w:pPr>
        <w:pStyle w:val="BodyText"/>
        <w:rPr>
          <w:lang w:val="en-AU"/>
        </w:rPr>
      </w:pPr>
      <w:r w:rsidRPr="193BDB44">
        <w:rPr>
          <w:lang w:val="en-AU"/>
        </w:rPr>
        <w:t>A l</w:t>
      </w:r>
      <w:r w:rsidR="00B81532" w:rsidRPr="193BDB44">
        <w:rPr>
          <w:lang w:val="en-AU"/>
        </w:rPr>
        <w:t>ease liability is initially measured at the present value of the lease payments unpaid at the commencement date, discounted using the interest rate implicit in the lease if that rate is readily determinable.</w:t>
      </w:r>
    </w:p>
    <w:p w14:paraId="374E699B" w14:textId="77777777" w:rsidR="00B81532" w:rsidRPr="00F65403" w:rsidRDefault="00B81532" w:rsidP="00B81532">
      <w:pPr>
        <w:pStyle w:val="BodyText"/>
        <w:rPr>
          <w:lang w:val="en-AU"/>
        </w:rPr>
      </w:pPr>
    </w:p>
    <w:p w14:paraId="563638EC" w14:textId="77777777" w:rsidR="00B81532" w:rsidRPr="00F65403" w:rsidRDefault="00B81532" w:rsidP="00B81532">
      <w:pPr>
        <w:pStyle w:val="BodyText"/>
        <w:rPr>
          <w:lang w:val="en-AU"/>
        </w:rPr>
      </w:pPr>
      <w:r w:rsidRPr="00F65403">
        <w:rPr>
          <w:lang w:val="en-AU"/>
        </w:rPr>
        <w:t>Lease payments included in the measurement of the lease liability comprise the following:</w:t>
      </w:r>
    </w:p>
    <w:p w14:paraId="251F3C0A" w14:textId="77777777" w:rsidR="00B81532" w:rsidRPr="00F65403" w:rsidRDefault="00B81532" w:rsidP="00B81532">
      <w:pPr>
        <w:pStyle w:val="ListBullet"/>
        <w:rPr>
          <w:lang w:val="en-AU"/>
        </w:rPr>
      </w:pPr>
      <w:r w:rsidRPr="00F65403">
        <w:rPr>
          <w:lang w:val="en-AU"/>
        </w:rPr>
        <w:t>fixed payments (including in-substance fixed payments) less any lease incentive receivable</w:t>
      </w:r>
    </w:p>
    <w:p w14:paraId="3A4F18E2" w14:textId="77777777" w:rsidR="00B81532" w:rsidRPr="00F65403" w:rsidRDefault="00B81532" w:rsidP="00B81532">
      <w:pPr>
        <w:pStyle w:val="ListBullet"/>
        <w:rPr>
          <w:lang w:val="en-AU"/>
        </w:rPr>
      </w:pPr>
      <w:r w:rsidRPr="00F65403">
        <w:rPr>
          <w:lang w:val="en-AU"/>
        </w:rPr>
        <w:t>variable payments based on an index or rate, initially measured using the index or rate as at the commencement date</w:t>
      </w:r>
    </w:p>
    <w:p w14:paraId="077A7A5C" w14:textId="77777777" w:rsidR="00B81532" w:rsidRPr="00F65403" w:rsidRDefault="00B81532" w:rsidP="00B81532">
      <w:pPr>
        <w:pStyle w:val="ListBullet"/>
        <w:rPr>
          <w:lang w:val="en-AU"/>
        </w:rPr>
      </w:pPr>
      <w:r w:rsidRPr="00F65403">
        <w:rPr>
          <w:lang w:val="en-AU"/>
        </w:rPr>
        <w:t>amounts expected to be payable under a residual value guarantee</w:t>
      </w:r>
    </w:p>
    <w:p w14:paraId="00B4D040" w14:textId="77777777" w:rsidR="00B81532" w:rsidRPr="00F65403" w:rsidRDefault="00B81532" w:rsidP="00B81532">
      <w:pPr>
        <w:pStyle w:val="ListBullet"/>
        <w:rPr>
          <w:lang w:val="en-AU"/>
        </w:rPr>
      </w:pPr>
      <w:r w:rsidRPr="00F65403">
        <w:rPr>
          <w:lang w:val="en-AU"/>
        </w:rPr>
        <w:t>payments arising from purchase and termination options reasonably certain to be exercised.</w:t>
      </w:r>
    </w:p>
    <w:p w14:paraId="33A5DCE6" w14:textId="77777777" w:rsidR="00B81532" w:rsidRPr="00F65403" w:rsidRDefault="00B81532" w:rsidP="00B81532">
      <w:pPr>
        <w:pStyle w:val="BodyText"/>
        <w:rPr>
          <w:lang w:val="en-AU"/>
        </w:rPr>
      </w:pPr>
    </w:p>
    <w:p w14:paraId="0368C9FB" w14:textId="77777777" w:rsidR="00A11362" w:rsidRPr="00F65403" w:rsidRDefault="00B81532" w:rsidP="00B81532">
      <w:pPr>
        <w:pStyle w:val="BodyText"/>
        <w:rPr>
          <w:lang w:val="en-AU"/>
        </w:rPr>
      </w:pPr>
      <w:r w:rsidRPr="00F65403">
        <w:rPr>
          <w:lang w:val="en-AU"/>
        </w:rPr>
        <w:t>After initial measurement, the liability will be reduced for payments made and increased for interest.</w:t>
      </w:r>
    </w:p>
    <w:p w14:paraId="6F7A4DE9" w14:textId="77777777" w:rsidR="00A11362" w:rsidRPr="00F65403" w:rsidRDefault="00A11362" w:rsidP="00B81532">
      <w:pPr>
        <w:pStyle w:val="BodyText"/>
        <w:rPr>
          <w:lang w:val="en-AU"/>
        </w:rPr>
      </w:pPr>
    </w:p>
    <w:p w14:paraId="4BF8234C" w14:textId="7F02DD39" w:rsidR="00B81532" w:rsidRPr="00F65403" w:rsidRDefault="00B81532" w:rsidP="00B81532">
      <w:pPr>
        <w:pStyle w:val="BodyText"/>
        <w:rPr>
          <w:lang w:val="en-AU"/>
        </w:rPr>
      </w:pPr>
      <w:r w:rsidRPr="00F65403">
        <w:rPr>
          <w:lang w:val="en-AU"/>
        </w:rPr>
        <w:t>It is remeasured to reflect any reassessment or modification, or if there are changes in-substance fixed payments.</w:t>
      </w:r>
      <w:r w:rsidR="00A11362" w:rsidRPr="00F65403">
        <w:rPr>
          <w:lang w:val="en-AU"/>
        </w:rPr>
        <w:t xml:space="preserve"> </w:t>
      </w:r>
      <w:r w:rsidR="00751DCE" w:rsidRPr="00F65403">
        <w:rPr>
          <w:lang w:val="en-AU"/>
        </w:rPr>
        <w:t>On remeasurement</w:t>
      </w:r>
      <w:r w:rsidR="00DC5DF7" w:rsidRPr="00F65403">
        <w:rPr>
          <w:lang w:val="en-AU"/>
        </w:rPr>
        <w:t xml:space="preserve"> of lease liabilities</w:t>
      </w:r>
      <w:r w:rsidRPr="00F65403">
        <w:rPr>
          <w:lang w:val="en-AU"/>
        </w:rPr>
        <w:t xml:space="preserve">, </w:t>
      </w:r>
      <w:r w:rsidR="00AA39CF" w:rsidRPr="00F65403">
        <w:rPr>
          <w:lang w:val="en-AU"/>
        </w:rPr>
        <w:t>a</w:t>
      </w:r>
      <w:r w:rsidRPr="00F65403">
        <w:rPr>
          <w:lang w:val="en-AU"/>
        </w:rPr>
        <w:t xml:space="preserve"> corresponding adjustment is </w:t>
      </w:r>
      <w:r w:rsidR="00AA39CF" w:rsidRPr="00F65403">
        <w:rPr>
          <w:lang w:val="en-AU"/>
        </w:rPr>
        <w:t xml:space="preserve">made to </w:t>
      </w:r>
      <w:r w:rsidRPr="00F65403">
        <w:rPr>
          <w:lang w:val="en-AU"/>
        </w:rPr>
        <w:t xml:space="preserve">the </w:t>
      </w:r>
      <w:r w:rsidR="00AA39CF" w:rsidRPr="00F65403">
        <w:rPr>
          <w:lang w:val="en-AU"/>
        </w:rPr>
        <w:t>ROU</w:t>
      </w:r>
      <w:r w:rsidRPr="00F65403">
        <w:rPr>
          <w:lang w:val="en-AU"/>
        </w:rPr>
        <w:t xml:space="preserve"> asset, or profit and loss if the </w:t>
      </w:r>
      <w:r w:rsidR="00AA39CF" w:rsidRPr="00F65403">
        <w:rPr>
          <w:lang w:val="en-AU"/>
        </w:rPr>
        <w:t>ROU</w:t>
      </w:r>
      <w:r w:rsidRPr="00F65403">
        <w:rPr>
          <w:lang w:val="en-AU"/>
        </w:rPr>
        <w:t xml:space="preserve"> asset is already reduced to zero.</w:t>
      </w:r>
    </w:p>
    <w:p w14:paraId="7EDC44A9" w14:textId="77777777" w:rsidR="000A2F87" w:rsidRPr="00F65403" w:rsidRDefault="000A2F87" w:rsidP="00B81532">
      <w:pPr>
        <w:pStyle w:val="BodyText"/>
        <w:rPr>
          <w:lang w:val="en-AU"/>
        </w:rPr>
      </w:pPr>
    </w:p>
    <w:p w14:paraId="096F0A68" w14:textId="72E08CBC" w:rsidR="00B81532" w:rsidRPr="00F65403" w:rsidRDefault="000A2F87" w:rsidP="0080685E">
      <w:pPr>
        <w:pStyle w:val="Heading9"/>
      </w:pPr>
      <w:r>
        <w:t>Short term and low value leases</w:t>
      </w:r>
    </w:p>
    <w:p w14:paraId="03EEEB90" w14:textId="7FB591E0" w:rsidR="00B81532" w:rsidRPr="00F65403" w:rsidRDefault="00996D8C" w:rsidP="00B81532">
      <w:pPr>
        <w:pStyle w:val="BodyText"/>
        <w:rPr>
          <w:lang w:val="en-AU"/>
        </w:rPr>
      </w:pPr>
      <w:r w:rsidRPr="00F65403">
        <w:rPr>
          <w:lang w:val="en-AU"/>
        </w:rPr>
        <w:t xml:space="preserve">SEC has elected to apply the practical expedients available for </w:t>
      </w:r>
      <w:r w:rsidR="009510DE" w:rsidRPr="00F65403">
        <w:rPr>
          <w:lang w:val="en-AU"/>
        </w:rPr>
        <w:t xml:space="preserve">short term </w:t>
      </w:r>
      <w:r w:rsidR="00E74C79" w:rsidRPr="00F65403">
        <w:rPr>
          <w:lang w:val="en-AU"/>
        </w:rPr>
        <w:t xml:space="preserve">leases </w:t>
      </w:r>
      <w:r w:rsidR="005607F9" w:rsidRPr="00F65403">
        <w:rPr>
          <w:lang w:val="en-AU"/>
        </w:rPr>
        <w:t xml:space="preserve">(i.e. </w:t>
      </w:r>
      <w:r w:rsidR="00B81532" w:rsidRPr="00F65403">
        <w:rPr>
          <w:lang w:val="en-AU"/>
        </w:rPr>
        <w:t>1-3 years</w:t>
      </w:r>
      <w:r w:rsidR="005607F9" w:rsidRPr="00F65403">
        <w:rPr>
          <w:lang w:val="en-AU"/>
        </w:rPr>
        <w:t>)</w:t>
      </w:r>
      <w:r w:rsidR="00757C0D" w:rsidRPr="00F65403">
        <w:rPr>
          <w:lang w:val="en-AU"/>
        </w:rPr>
        <w:t xml:space="preserve"> and low </w:t>
      </w:r>
      <w:r w:rsidR="00B81532" w:rsidRPr="00F65403">
        <w:rPr>
          <w:lang w:val="en-AU"/>
        </w:rPr>
        <w:t xml:space="preserve">value </w:t>
      </w:r>
      <w:r w:rsidR="00757C0D" w:rsidRPr="00F65403">
        <w:rPr>
          <w:lang w:val="en-AU"/>
        </w:rPr>
        <w:t>assets</w:t>
      </w:r>
      <w:r w:rsidR="00142D38" w:rsidRPr="00F65403">
        <w:rPr>
          <w:lang w:val="en-AU"/>
        </w:rPr>
        <w:t xml:space="preserve"> leases.</w:t>
      </w:r>
      <w:r w:rsidR="00B81532" w:rsidRPr="00F65403">
        <w:rPr>
          <w:lang w:val="en-AU"/>
        </w:rPr>
        <w:t xml:space="preserve"> </w:t>
      </w:r>
      <w:r w:rsidR="003635EA" w:rsidRPr="00F65403">
        <w:rPr>
          <w:lang w:val="en-AU"/>
        </w:rPr>
        <w:t xml:space="preserve">As a result, the measurement requirements above do not apply and the expense for these leases is recognised on a </w:t>
      </w:r>
      <w:r w:rsidR="00414721" w:rsidRPr="00F65403">
        <w:rPr>
          <w:lang w:val="en-AU"/>
        </w:rPr>
        <w:t>straight-line</w:t>
      </w:r>
      <w:r w:rsidR="003635EA" w:rsidRPr="00F65403">
        <w:rPr>
          <w:lang w:val="en-AU"/>
        </w:rPr>
        <w:t xml:space="preserve"> basis</w:t>
      </w:r>
      <w:r w:rsidR="00B81532" w:rsidRPr="00F65403">
        <w:rPr>
          <w:lang w:val="en-AU"/>
        </w:rPr>
        <w:t>.</w:t>
      </w:r>
      <w:r w:rsidR="00E81550">
        <w:rPr>
          <w:lang w:val="en-AU"/>
        </w:rPr>
        <w:br/>
      </w:r>
    </w:p>
    <w:p w14:paraId="2F0BAEA0" w14:textId="77777777" w:rsidR="00B81532" w:rsidRPr="00F65403" w:rsidRDefault="00B81532" w:rsidP="00B81532">
      <w:pPr>
        <w:pStyle w:val="Heading7"/>
      </w:pPr>
      <w:r w:rsidRPr="00F65403">
        <w:t>Contribution by owners</w:t>
      </w:r>
    </w:p>
    <w:p w14:paraId="494ABB44" w14:textId="6F05A2D4" w:rsidR="004E3071" w:rsidRPr="00F65403" w:rsidRDefault="00144B04" w:rsidP="008B69CC">
      <w:pPr>
        <w:pStyle w:val="Heading8"/>
      </w:pPr>
      <w:proofErr w:type="spellStart"/>
      <w:r>
        <w:t>i</w:t>
      </w:r>
      <w:proofErr w:type="spellEnd"/>
      <w:r>
        <w:t>.</w:t>
      </w:r>
      <w:r>
        <w:tab/>
      </w:r>
      <w:r w:rsidR="13375BDE">
        <w:t>Accounting policy</w:t>
      </w:r>
    </w:p>
    <w:p w14:paraId="6E36F282" w14:textId="77777777" w:rsidR="00B81532" w:rsidRPr="00F65403" w:rsidRDefault="00B81532" w:rsidP="00B81532">
      <w:pPr>
        <w:pStyle w:val="BodyText"/>
        <w:rPr>
          <w:lang w:val="en-AU"/>
        </w:rPr>
      </w:pPr>
      <w:r w:rsidRPr="04951629">
        <w:rPr>
          <w:lang w:val="en-AU"/>
        </w:rPr>
        <w:t>Consistent with the requirements of AASB 1004</w:t>
      </w:r>
      <w:r w:rsidRPr="04951629">
        <w:rPr>
          <w:i/>
          <w:iCs/>
          <w:lang w:val="en-AU"/>
        </w:rPr>
        <w:t xml:space="preserve"> Contributions</w:t>
      </w:r>
      <w:r w:rsidRPr="04951629">
        <w:rPr>
          <w:lang w:val="en-AU"/>
        </w:rPr>
        <w:t xml:space="preserve"> and FRD 119 </w:t>
      </w:r>
      <w:r w:rsidRPr="04951629">
        <w:rPr>
          <w:i/>
          <w:iCs/>
          <w:lang w:val="en-AU"/>
        </w:rPr>
        <w:t>Transfers through Contributed Capital</w:t>
      </w:r>
      <w:r w:rsidRPr="04951629">
        <w:rPr>
          <w:lang w:val="en-AU"/>
        </w:rPr>
        <w:t xml:space="preserve">, contributions by owners (that is, contributed capital and its repayment) are treated as equity transactions and, therefore, do not form part of the income and expenses of the Company. </w:t>
      </w:r>
    </w:p>
    <w:p w14:paraId="4D0262E1" w14:textId="77777777" w:rsidR="00B81532" w:rsidRPr="00F65403" w:rsidRDefault="00B81532" w:rsidP="00B81532">
      <w:pPr>
        <w:pStyle w:val="BodyText"/>
        <w:rPr>
          <w:lang w:val="en-AU"/>
        </w:rPr>
      </w:pPr>
    </w:p>
    <w:p w14:paraId="6F98431A" w14:textId="77777777" w:rsidR="00B81532" w:rsidRPr="00F65403" w:rsidRDefault="00B81532" w:rsidP="00B81532">
      <w:pPr>
        <w:pStyle w:val="BodyText"/>
        <w:rPr>
          <w:lang w:val="en-AU"/>
        </w:rPr>
      </w:pPr>
      <w:r w:rsidRPr="00F65403">
        <w:rPr>
          <w:lang w:val="en-AU"/>
        </w:rPr>
        <w:t xml:space="preserve">Additions to net assets that have been designated as contributions by owners are recognised as contributed capital. Other transfers that are in the nature of contributions to or distributions by owners have also been designated as contributions by owners. </w:t>
      </w:r>
    </w:p>
    <w:p w14:paraId="3F5335D4" w14:textId="77777777" w:rsidR="00B81532" w:rsidRPr="00F65403" w:rsidRDefault="00B81532" w:rsidP="00B81532">
      <w:pPr>
        <w:pStyle w:val="BodyText"/>
        <w:rPr>
          <w:lang w:val="en-AU"/>
        </w:rPr>
      </w:pPr>
    </w:p>
    <w:p w14:paraId="7644E9BE" w14:textId="41AACAFB" w:rsidR="00B81532" w:rsidRPr="00F65403" w:rsidRDefault="00B81532" w:rsidP="00B81532">
      <w:pPr>
        <w:pStyle w:val="BodyText"/>
        <w:rPr>
          <w:lang w:val="en-AU"/>
        </w:rPr>
      </w:pPr>
      <w:r w:rsidRPr="00F65403">
        <w:rPr>
          <w:lang w:val="en-AU"/>
        </w:rPr>
        <w:t xml:space="preserve">Refer to equity contributions disclosed at </w:t>
      </w:r>
      <w:r w:rsidRPr="0010235E">
        <w:rPr>
          <w:lang w:val="en-AU"/>
        </w:rPr>
        <w:t xml:space="preserve">Note </w:t>
      </w:r>
      <w:r w:rsidR="008652EB" w:rsidRPr="0010235E">
        <w:rPr>
          <w:lang w:val="en-AU"/>
        </w:rPr>
        <w:t>2</w:t>
      </w:r>
      <w:r w:rsidR="00226C73" w:rsidRPr="0010235E">
        <w:rPr>
          <w:lang w:val="en-AU"/>
        </w:rPr>
        <w:t>2.</w:t>
      </w:r>
      <w:r w:rsidRPr="0010235E">
        <w:rPr>
          <w:lang w:val="en-AU"/>
        </w:rPr>
        <w:t xml:space="preserve"> </w:t>
      </w:r>
      <w:r w:rsidR="00226C73" w:rsidRPr="0010235E">
        <w:rPr>
          <w:lang w:val="en-AU"/>
        </w:rPr>
        <w:t>R</w:t>
      </w:r>
      <w:r w:rsidRPr="0010235E">
        <w:rPr>
          <w:lang w:val="en-AU"/>
        </w:rPr>
        <w:t>elated parties</w:t>
      </w:r>
      <w:r w:rsidRPr="00C1482E">
        <w:rPr>
          <w:lang w:val="en-AU"/>
        </w:rPr>
        <w:t>.</w:t>
      </w:r>
    </w:p>
    <w:p w14:paraId="192BAB39" w14:textId="6BD4F655" w:rsidR="002B5567" w:rsidRDefault="002B5567">
      <w:pPr>
        <w:rPr>
          <w:rFonts w:eastAsia="Arial" w:cs="Arial"/>
          <w:sz w:val="20"/>
          <w:szCs w:val="20"/>
        </w:rPr>
      </w:pPr>
      <w:r>
        <w:br w:type="page"/>
      </w:r>
    </w:p>
    <w:p w14:paraId="63FB11B7" w14:textId="77777777" w:rsidR="00B81532" w:rsidRPr="00F65403" w:rsidRDefault="00B81532" w:rsidP="00C5789A">
      <w:pPr>
        <w:pStyle w:val="BodyText"/>
        <w:rPr>
          <w:lang w:val="en-AU"/>
        </w:rPr>
      </w:pPr>
    </w:p>
    <w:p w14:paraId="77877C6B" w14:textId="0812C5C4" w:rsidR="0039479B" w:rsidRPr="00F65403" w:rsidRDefault="0039479B" w:rsidP="0039479B">
      <w:pPr>
        <w:pStyle w:val="Heading7"/>
      </w:pPr>
      <w:r w:rsidRPr="00F65403">
        <w:t>Financial risk management</w:t>
      </w:r>
    </w:p>
    <w:p w14:paraId="23BCFDC6" w14:textId="77777777" w:rsidR="0039479B" w:rsidRPr="00F65403" w:rsidRDefault="0039479B" w:rsidP="0039479B">
      <w:pPr>
        <w:pStyle w:val="BodyText"/>
        <w:rPr>
          <w:lang w:val="en-AU"/>
        </w:rPr>
      </w:pPr>
      <w:r w:rsidRPr="00F65403">
        <w:rPr>
          <w:lang w:val="en-AU"/>
        </w:rPr>
        <w:t>The Board of Directors has overall responsibility for the establishment and oversight of the risk management policy and framework. The Board has established the Audit and Risk Committee (ARC), which is responsible for approving the Group’s risk management framework for identifying, assessing and managing risk. The ARC is also responsible for reviewing and updating the Group’s risk profile, monitoring the effectiveness of the risk management framework and reviewing, at least annually, the implementation of the risk management framework.</w:t>
      </w:r>
    </w:p>
    <w:p w14:paraId="246053CC" w14:textId="77777777" w:rsidR="0039479B" w:rsidRPr="00F65403" w:rsidRDefault="0039479B" w:rsidP="0039479B">
      <w:pPr>
        <w:pStyle w:val="BodyText"/>
        <w:rPr>
          <w:lang w:val="en-AU"/>
        </w:rPr>
      </w:pPr>
    </w:p>
    <w:p w14:paraId="1E7B7BCC" w14:textId="77777777" w:rsidR="0039479B" w:rsidRPr="00F65403" w:rsidRDefault="0039479B" w:rsidP="0039479B">
      <w:pPr>
        <w:pStyle w:val="BodyText"/>
        <w:rPr>
          <w:lang w:val="en-AU"/>
        </w:rPr>
      </w:pPr>
      <w:r w:rsidRPr="00F65403">
        <w:rPr>
          <w:lang w:val="en-AU"/>
        </w:rPr>
        <w:t>The Group has adopted or is in the process of developing policies covering specific areas, such as interest rate risk, foreign currency risk, energy price risk, credit risk, liquidity risk, and the use of derivative and non-derivative financial instruments as required for its operations. Compliance with policies and exposure limits is reviewed on a continuous basis.</w:t>
      </w:r>
    </w:p>
    <w:p w14:paraId="02490DEA" w14:textId="77777777" w:rsidR="0039479B" w:rsidRPr="00F65403" w:rsidRDefault="0039479B" w:rsidP="0039479B">
      <w:pPr>
        <w:pStyle w:val="BodyText"/>
        <w:rPr>
          <w:lang w:val="en-AU"/>
        </w:rPr>
      </w:pPr>
    </w:p>
    <w:p w14:paraId="47A78474" w14:textId="62DA597D" w:rsidR="0039479B" w:rsidRPr="00F65403" w:rsidRDefault="00144B04" w:rsidP="0080685E">
      <w:pPr>
        <w:pStyle w:val="Heading8"/>
      </w:pPr>
      <w:proofErr w:type="spellStart"/>
      <w:r>
        <w:t>i</w:t>
      </w:r>
      <w:proofErr w:type="spellEnd"/>
      <w:r>
        <w:t>.</w:t>
      </w:r>
      <w:r>
        <w:tab/>
      </w:r>
      <w:r w:rsidR="0039479B">
        <w:t>Capital risk management</w:t>
      </w:r>
    </w:p>
    <w:p w14:paraId="009123B3" w14:textId="77777777" w:rsidR="0039479B" w:rsidRPr="00F65403" w:rsidRDefault="0039479B" w:rsidP="0039479B">
      <w:pPr>
        <w:pStyle w:val="BodyText"/>
        <w:rPr>
          <w:lang w:val="en-AU"/>
        </w:rPr>
      </w:pPr>
      <w:r w:rsidRPr="00F65403">
        <w:rPr>
          <w:lang w:val="en-AU"/>
        </w:rPr>
        <w:t xml:space="preserve">The Group’s objectives when managing capital are to safeguard its ability to continue as a going concern, so that it can continue to provide returns for shareholders and benefits for other stakeholders and to maintain an appropriate capital structure of debt and equity. </w:t>
      </w:r>
    </w:p>
    <w:p w14:paraId="5B132E11" w14:textId="77777777" w:rsidR="0039479B" w:rsidRPr="00F65403" w:rsidRDefault="0039479B" w:rsidP="0039479B">
      <w:pPr>
        <w:pStyle w:val="BodyText"/>
        <w:rPr>
          <w:lang w:val="en-AU"/>
        </w:rPr>
      </w:pPr>
    </w:p>
    <w:p w14:paraId="09DB2A2E" w14:textId="77777777" w:rsidR="0039479B" w:rsidRPr="00F65403" w:rsidRDefault="0039479B" w:rsidP="0039479B">
      <w:pPr>
        <w:pStyle w:val="BodyText"/>
        <w:rPr>
          <w:lang w:val="en-AU"/>
        </w:rPr>
      </w:pPr>
      <w:r w:rsidRPr="00F65403">
        <w:rPr>
          <w:lang w:val="en-AU"/>
        </w:rPr>
        <w:t>The capital structure of SEC consists of cash and cash equivalents and total equity (comprising issued and contributed capital provided by the State and retained earnings). SEC monitors capital based on the funds received from the State along with anticipated cash outflows.</w:t>
      </w:r>
    </w:p>
    <w:p w14:paraId="37EDEA26" w14:textId="77777777" w:rsidR="0039479B" w:rsidRPr="00F65403" w:rsidRDefault="0039479B" w:rsidP="0039479B">
      <w:pPr>
        <w:pStyle w:val="BodyText"/>
        <w:rPr>
          <w:lang w:val="en-AU"/>
        </w:rPr>
      </w:pPr>
    </w:p>
    <w:p w14:paraId="3D3C7990" w14:textId="0EDE3C89" w:rsidR="0039479B" w:rsidRPr="00F65403" w:rsidRDefault="00144B04" w:rsidP="0039479B">
      <w:pPr>
        <w:pStyle w:val="Heading8"/>
      </w:pPr>
      <w:r>
        <w:t>ii.</w:t>
      </w:r>
      <w:r>
        <w:tab/>
      </w:r>
      <w:r w:rsidR="0039479B">
        <w:t>Energy price risk management</w:t>
      </w:r>
    </w:p>
    <w:p w14:paraId="5E133496" w14:textId="58285E52" w:rsidR="003B7030" w:rsidRDefault="0039479B" w:rsidP="00AA3AC5">
      <w:pPr>
        <w:pStyle w:val="BodyText"/>
        <w:rPr>
          <w:rFonts w:eastAsiaTheme="majorEastAsia" w:cstheme="majorBidi"/>
          <w:color w:val="272727" w:themeColor="text1" w:themeTint="D8"/>
        </w:rPr>
      </w:pPr>
      <w:r w:rsidRPr="04951629">
        <w:rPr>
          <w:lang w:val="en-AU"/>
        </w:rPr>
        <w:t>The Group is exposed to energy price risk associated with derivatives contracted to hedge electricity price as an economic hedge and an energy price linked contract with a joint venture counterparty. The Group manages its energy price risk through an established risk management framework consisting of policies to place appropriate risk limits on overall energy market exposures and transaction limits for approved energy commodities, requirements for delegations of authority on trading, reporting of exposures and segregation of duties.</w:t>
      </w:r>
      <w:r w:rsidR="00E726B0">
        <w:rPr>
          <w:lang w:val="en-AU"/>
        </w:rPr>
        <w:br/>
      </w:r>
    </w:p>
    <w:p w14:paraId="5E1FF17B" w14:textId="77777777" w:rsidR="0039479B" w:rsidRPr="00F65403" w:rsidRDefault="0039479B" w:rsidP="0039479B">
      <w:pPr>
        <w:pStyle w:val="Heading9"/>
      </w:pPr>
      <w:r w:rsidRPr="00F65403">
        <w:t>Energy price sensitivity</w:t>
      </w:r>
    </w:p>
    <w:p w14:paraId="0A7FDE85" w14:textId="3EBADA15" w:rsidR="0039479B" w:rsidRPr="00F65403" w:rsidRDefault="00B011E3" w:rsidP="0039479B">
      <w:pPr>
        <w:pStyle w:val="BodyText"/>
        <w:rPr>
          <w:lang w:val="en-AU"/>
        </w:rPr>
      </w:pPr>
      <w:r w:rsidRPr="00B011E3">
        <w:rPr>
          <w:lang w:val="en-AU"/>
        </w:rPr>
        <w:t>A sensitivity to a 10% increase or decrease in the energy market-related prices has been prepared in the table below. This sensitivity has be used as this movement is considered to be reasonably possible.</w:t>
      </w:r>
      <w:r w:rsidR="0004678F">
        <w:rPr>
          <w:lang w:val="en-AU"/>
        </w:rPr>
        <w:br/>
      </w:r>
    </w:p>
    <w:tbl>
      <w:tblPr>
        <w:tblW w:w="8985" w:type="dxa"/>
        <w:tblLayout w:type="fixed"/>
        <w:tblCellMar>
          <w:top w:w="28" w:type="dxa"/>
          <w:left w:w="28" w:type="dxa"/>
          <w:bottom w:w="28" w:type="dxa"/>
          <w:right w:w="28" w:type="dxa"/>
        </w:tblCellMar>
        <w:tblLook w:val="04A0" w:firstRow="1" w:lastRow="0" w:firstColumn="1" w:lastColumn="0" w:noHBand="0" w:noVBand="1"/>
      </w:tblPr>
      <w:tblGrid>
        <w:gridCol w:w="1984"/>
        <w:gridCol w:w="1166"/>
        <w:gridCol w:w="1167"/>
        <w:gridCol w:w="1157"/>
        <w:gridCol w:w="10"/>
        <w:gridCol w:w="1109"/>
        <w:gridCol w:w="1225"/>
        <w:gridCol w:w="1167"/>
      </w:tblGrid>
      <w:tr w:rsidR="0039479B" w:rsidRPr="006B5056" w14:paraId="40BF7F60" w14:textId="77777777" w:rsidTr="413EB596">
        <w:tc>
          <w:tcPr>
            <w:tcW w:w="1984" w:type="dxa"/>
            <w:tcBorders>
              <w:top w:val="nil"/>
              <w:left w:val="nil"/>
              <w:bottom w:val="nil"/>
              <w:right w:val="nil"/>
            </w:tcBorders>
            <w:noWrap/>
            <w:vAlign w:val="bottom"/>
            <w:hideMark/>
          </w:tcPr>
          <w:p w14:paraId="668837D5" w14:textId="77777777" w:rsidR="0039479B" w:rsidRPr="00F65403" w:rsidRDefault="0039479B">
            <w:pPr>
              <w:spacing w:after="0" w:line="240" w:lineRule="auto"/>
              <w:rPr>
                <w:rFonts w:eastAsia="Times New Roman" w:cs="Arial"/>
                <w:sz w:val="20"/>
                <w:szCs w:val="20"/>
                <w:lang w:eastAsia="en-AU"/>
              </w:rPr>
            </w:pPr>
          </w:p>
        </w:tc>
        <w:tc>
          <w:tcPr>
            <w:tcW w:w="3500" w:type="dxa"/>
            <w:gridSpan w:val="4"/>
            <w:tcBorders>
              <w:top w:val="nil"/>
              <w:left w:val="nil"/>
              <w:bottom w:val="nil"/>
              <w:right w:val="nil"/>
            </w:tcBorders>
            <w:noWrap/>
            <w:vAlign w:val="bottom"/>
            <w:hideMark/>
          </w:tcPr>
          <w:p w14:paraId="12D2C3F8" w14:textId="77777777" w:rsidR="0039479B" w:rsidRPr="00F65403" w:rsidRDefault="0039479B">
            <w:pPr>
              <w:spacing w:after="0" w:line="240" w:lineRule="auto"/>
              <w:ind w:left="883" w:hanging="1102"/>
              <w:jc w:val="center"/>
              <w:rPr>
                <w:rFonts w:eastAsia="Times New Roman" w:cs="Arial"/>
                <w:b/>
                <w:sz w:val="20"/>
                <w:szCs w:val="20"/>
                <w:lang w:eastAsia="en-AU"/>
              </w:rPr>
            </w:pPr>
            <w:r w:rsidRPr="00F65403">
              <w:rPr>
                <w:rFonts w:eastAsia="Times New Roman" w:cs="Arial"/>
                <w:b/>
                <w:sz w:val="20"/>
                <w:szCs w:val="20"/>
                <w:lang w:eastAsia="en-AU"/>
              </w:rPr>
              <w:t>2025</w:t>
            </w:r>
          </w:p>
        </w:tc>
        <w:tc>
          <w:tcPr>
            <w:tcW w:w="3501" w:type="dxa"/>
            <w:gridSpan w:val="3"/>
            <w:tcBorders>
              <w:top w:val="nil"/>
              <w:left w:val="nil"/>
              <w:bottom w:val="nil"/>
              <w:right w:val="nil"/>
            </w:tcBorders>
            <w:noWrap/>
            <w:vAlign w:val="bottom"/>
            <w:hideMark/>
          </w:tcPr>
          <w:p w14:paraId="3AB4AF8D"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2024</w:t>
            </w:r>
          </w:p>
        </w:tc>
      </w:tr>
      <w:tr w:rsidR="0039479B" w:rsidRPr="006B5056" w14:paraId="7461C988" w14:textId="77777777" w:rsidTr="413EB596">
        <w:tc>
          <w:tcPr>
            <w:tcW w:w="1984" w:type="dxa"/>
            <w:tcBorders>
              <w:top w:val="nil"/>
              <w:left w:val="nil"/>
              <w:bottom w:val="nil"/>
              <w:right w:val="nil"/>
            </w:tcBorders>
            <w:vAlign w:val="center"/>
            <w:hideMark/>
          </w:tcPr>
          <w:p w14:paraId="0D8666D6" w14:textId="77777777" w:rsidR="0039479B" w:rsidRPr="00F65403" w:rsidRDefault="0039479B">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center"/>
            <w:hideMark/>
          </w:tcPr>
          <w:p w14:paraId="7823D4DD"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Carrying amount</w:t>
            </w:r>
          </w:p>
        </w:tc>
        <w:tc>
          <w:tcPr>
            <w:tcW w:w="2324" w:type="dxa"/>
            <w:gridSpan w:val="2"/>
            <w:tcBorders>
              <w:top w:val="nil"/>
              <w:left w:val="nil"/>
              <w:bottom w:val="nil"/>
              <w:right w:val="nil"/>
            </w:tcBorders>
            <w:vAlign w:val="center"/>
            <w:hideMark/>
          </w:tcPr>
          <w:p w14:paraId="11AA1A2C"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Impact on net result</w:t>
            </w:r>
          </w:p>
        </w:tc>
        <w:tc>
          <w:tcPr>
            <w:tcW w:w="1119" w:type="dxa"/>
            <w:gridSpan w:val="2"/>
            <w:tcBorders>
              <w:top w:val="nil"/>
              <w:left w:val="nil"/>
              <w:bottom w:val="nil"/>
              <w:right w:val="nil"/>
            </w:tcBorders>
            <w:vAlign w:val="center"/>
            <w:hideMark/>
          </w:tcPr>
          <w:p w14:paraId="45BAD570"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Carrying amount</w:t>
            </w:r>
          </w:p>
        </w:tc>
        <w:tc>
          <w:tcPr>
            <w:tcW w:w="2392" w:type="dxa"/>
            <w:gridSpan w:val="2"/>
            <w:tcBorders>
              <w:top w:val="nil"/>
              <w:left w:val="nil"/>
              <w:bottom w:val="nil"/>
              <w:right w:val="nil"/>
            </w:tcBorders>
            <w:vAlign w:val="center"/>
            <w:hideMark/>
          </w:tcPr>
          <w:p w14:paraId="2B9B0028"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Impact on net result</w:t>
            </w:r>
          </w:p>
        </w:tc>
      </w:tr>
      <w:tr w:rsidR="0039479B" w:rsidRPr="006B5056" w14:paraId="1D92F2F1" w14:textId="77777777" w:rsidTr="413EB596">
        <w:tc>
          <w:tcPr>
            <w:tcW w:w="1984" w:type="dxa"/>
            <w:tcBorders>
              <w:top w:val="nil"/>
              <w:left w:val="nil"/>
              <w:bottom w:val="nil"/>
              <w:right w:val="nil"/>
            </w:tcBorders>
            <w:vAlign w:val="center"/>
            <w:hideMark/>
          </w:tcPr>
          <w:p w14:paraId="667D5FCA" w14:textId="77777777" w:rsidR="0039479B" w:rsidRPr="00F65403" w:rsidRDefault="0039479B">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bottom"/>
            <w:hideMark/>
          </w:tcPr>
          <w:p w14:paraId="72D0AC1C" w14:textId="77777777" w:rsidR="0039479B" w:rsidRPr="00F65403" w:rsidRDefault="0039479B">
            <w:pPr>
              <w:spacing w:after="0" w:line="240" w:lineRule="auto"/>
              <w:rPr>
                <w:rFonts w:eastAsia="Times New Roman" w:cs="Arial"/>
                <w:sz w:val="20"/>
                <w:szCs w:val="20"/>
                <w:lang w:eastAsia="en-AU"/>
              </w:rPr>
            </w:pPr>
          </w:p>
        </w:tc>
        <w:tc>
          <w:tcPr>
            <w:tcW w:w="1167" w:type="dxa"/>
            <w:tcBorders>
              <w:top w:val="nil"/>
              <w:left w:val="nil"/>
              <w:bottom w:val="nil"/>
              <w:right w:val="nil"/>
            </w:tcBorders>
            <w:vAlign w:val="center"/>
            <w:hideMark/>
          </w:tcPr>
          <w:p w14:paraId="4A67A54F"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67" w:type="dxa"/>
            <w:gridSpan w:val="2"/>
            <w:tcBorders>
              <w:top w:val="nil"/>
              <w:left w:val="nil"/>
              <w:bottom w:val="nil"/>
              <w:right w:val="nil"/>
            </w:tcBorders>
            <w:vAlign w:val="center"/>
            <w:hideMark/>
          </w:tcPr>
          <w:p w14:paraId="053D9A59"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09" w:type="dxa"/>
            <w:tcBorders>
              <w:top w:val="nil"/>
              <w:left w:val="nil"/>
              <w:bottom w:val="nil"/>
              <w:right w:val="nil"/>
            </w:tcBorders>
            <w:vAlign w:val="bottom"/>
            <w:hideMark/>
          </w:tcPr>
          <w:p w14:paraId="27570939" w14:textId="77777777" w:rsidR="0039479B" w:rsidRPr="00F65403" w:rsidRDefault="0039479B">
            <w:pPr>
              <w:spacing w:after="0" w:line="240" w:lineRule="auto"/>
              <w:jc w:val="center"/>
              <w:rPr>
                <w:rFonts w:eastAsia="Times New Roman" w:cs="Arial"/>
                <w:sz w:val="20"/>
                <w:szCs w:val="20"/>
                <w:lang w:eastAsia="en-AU"/>
              </w:rPr>
            </w:pPr>
          </w:p>
        </w:tc>
        <w:tc>
          <w:tcPr>
            <w:tcW w:w="1225" w:type="dxa"/>
            <w:tcBorders>
              <w:top w:val="nil"/>
              <w:left w:val="nil"/>
              <w:bottom w:val="nil"/>
              <w:right w:val="nil"/>
            </w:tcBorders>
            <w:vAlign w:val="center"/>
            <w:hideMark/>
          </w:tcPr>
          <w:p w14:paraId="51098EB9"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67" w:type="dxa"/>
            <w:tcBorders>
              <w:top w:val="nil"/>
              <w:left w:val="nil"/>
              <w:bottom w:val="nil"/>
              <w:right w:val="nil"/>
            </w:tcBorders>
            <w:vAlign w:val="center"/>
            <w:hideMark/>
          </w:tcPr>
          <w:p w14:paraId="76B51FD4"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r>
      <w:tr w:rsidR="0039479B" w:rsidRPr="006B5056" w14:paraId="761E7F71" w14:textId="77777777" w:rsidTr="413EB596">
        <w:tc>
          <w:tcPr>
            <w:tcW w:w="1984" w:type="dxa"/>
            <w:tcBorders>
              <w:top w:val="nil"/>
              <w:left w:val="nil"/>
              <w:bottom w:val="nil"/>
              <w:right w:val="nil"/>
            </w:tcBorders>
            <w:vAlign w:val="center"/>
            <w:hideMark/>
          </w:tcPr>
          <w:p w14:paraId="297EC2D2" w14:textId="77777777" w:rsidR="0039479B" w:rsidRPr="00F65403" w:rsidRDefault="0039479B">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center"/>
            <w:hideMark/>
          </w:tcPr>
          <w:p w14:paraId="7F04BFC3"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tcBorders>
              <w:top w:val="nil"/>
              <w:left w:val="nil"/>
              <w:bottom w:val="nil"/>
              <w:right w:val="nil"/>
            </w:tcBorders>
            <w:vAlign w:val="center"/>
            <w:hideMark/>
          </w:tcPr>
          <w:p w14:paraId="743D94FF"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gridSpan w:val="2"/>
            <w:tcBorders>
              <w:top w:val="nil"/>
              <w:left w:val="nil"/>
              <w:bottom w:val="nil"/>
              <w:right w:val="nil"/>
            </w:tcBorders>
            <w:vAlign w:val="center"/>
            <w:hideMark/>
          </w:tcPr>
          <w:p w14:paraId="7989EFE5"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09" w:type="dxa"/>
            <w:tcBorders>
              <w:top w:val="nil"/>
              <w:left w:val="nil"/>
              <w:bottom w:val="nil"/>
              <w:right w:val="nil"/>
            </w:tcBorders>
            <w:vAlign w:val="center"/>
            <w:hideMark/>
          </w:tcPr>
          <w:p w14:paraId="3BC52EBC"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225" w:type="dxa"/>
            <w:tcBorders>
              <w:top w:val="nil"/>
              <w:left w:val="nil"/>
              <w:bottom w:val="nil"/>
              <w:right w:val="nil"/>
            </w:tcBorders>
            <w:vAlign w:val="center"/>
            <w:hideMark/>
          </w:tcPr>
          <w:p w14:paraId="169EB698"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tcBorders>
              <w:top w:val="nil"/>
              <w:left w:val="nil"/>
              <w:bottom w:val="nil"/>
              <w:right w:val="nil"/>
            </w:tcBorders>
            <w:vAlign w:val="center"/>
            <w:hideMark/>
          </w:tcPr>
          <w:p w14:paraId="61CFA5F4" w14:textId="77777777" w:rsidR="0039479B" w:rsidRPr="00F65403" w:rsidRDefault="0039479B">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r>
      <w:tr w:rsidR="0039479B" w:rsidRPr="006B5056" w14:paraId="2B6D740C" w14:textId="77777777" w:rsidTr="413EB596">
        <w:tc>
          <w:tcPr>
            <w:tcW w:w="1984" w:type="dxa"/>
            <w:tcBorders>
              <w:top w:val="nil"/>
              <w:left w:val="nil"/>
              <w:bottom w:val="nil"/>
              <w:right w:val="nil"/>
            </w:tcBorders>
            <w:noWrap/>
            <w:vAlign w:val="center"/>
            <w:hideMark/>
          </w:tcPr>
          <w:p w14:paraId="0B0C1148" w14:textId="77777777" w:rsidR="0039479B" w:rsidRPr="00F65403" w:rsidRDefault="0039479B">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noWrap/>
            <w:vAlign w:val="bottom"/>
            <w:hideMark/>
          </w:tcPr>
          <w:p w14:paraId="68FFBB1D" w14:textId="77777777" w:rsidR="0039479B" w:rsidRPr="00F65403" w:rsidRDefault="0039479B" w:rsidP="008F5912">
            <w:pPr>
              <w:spacing w:after="0" w:line="240" w:lineRule="auto"/>
              <w:rPr>
                <w:rFonts w:eastAsia="Times New Roman" w:cs="Arial"/>
                <w:sz w:val="20"/>
                <w:szCs w:val="20"/>
                <w:lang w:eastAsia="en-AU"/>
              </w:rPr>
            </w:pPr>
          </w:p>
        </w:tc>
        <w:tc>
          <w:tcPr>
            <w:tcW w:w="1167" w:type="dxa"/>
            <w:tcBorders>
              <w:top w:val="nil"/>
              <w:left w:val="nil"/>
              <w:bottom w:val="nil"/>
              <w:right w:val="nil"/>
            </w:tcBorders>
            <w:vAlign w:val="bottom"/>
            <w:hideMark/>
          </w:tcPr>
          <w:p w14:paraId="35BA3E13" w14:textId="77777777" w:rsidR="0039479B" w:rsidRPr="00F65403" w:rsidRDefault="0039479B" w:rsidP="008F5912">
            <w:pPr>
              <w:spacing w:after="0" w:line="240" w:lineRule="auto"/>
              <w:rPr>
                <w:rFonts w:eastAsia="Times New Roman" w:cs="Arial"/>
                <w:sz w:val="20"/>
                <w:szCs w:val="20"/>
                <w:lang w:eastAsia="en-AU"/>
              </w:rPr>
            </w:pPr>
          </w:p>
        </w:tc>
        <w:tc>
          <w:tcPr>
            <w:tcW w:w="1167" w:type="dxa"/>
            <w:gridSpan w:val="2"/>
            <w:tcBorders>
              <w:top w:val="nil"/>
              <w:left w:val="nil"/>
              <w:bottom w:val="nil"/>
              <w:right w:val="nil"/>
            </w:tcBorders>
            <w:vAlign w:val="bottom"/>
            <w:hideMark/>
          </w:tcPr>
          <w:p w14:paraId="44EC2004" w14:textId="77777777" w:rsidR="0039479B" w:rsidRPr="00F65403" w:rsidRDefault="0039479B" w:rsidP="008F5912">
            <w:pPr>
              <w:spacing w:after="0" w:line="240" w:lineRule="auto"/>
              <w:rPr>
                <w:rFonts w:eastAsia="Times New Roman" w:cs="Arial"/>
                <w:sz w:val="20"/>
                <w:szCs w:val="20"/>
                <w:lang w:eastAsia="en-AU"/>
              </w:rPr>
            </w:pPr>
          </w:p>
        </w:tc>
        <w:tc>
          <w:tcPr>
            <w:tcW w:w="1109" w:type="dxa"/>
            <w:tcBorders>
              <w:top w:val="nil"/>
              <w:left w:val="nil"/>
              <w:bottom w:val="nil"/>
              <w:right w:val="nil"/>
            </w:tcBorders>
            <w:noWrap/>
            <w:vAlign w:val="bottom"/>
            <w:hideMark/>
          </w:tcPr>
          <w:p w14:paraId="31950D60" w14:textId="77777777" w:rsidR="0039479B" w:rsidRPr="00F65403" w:rsidRDefault="0039479B" w:rsidP="008F5912">
            <w:pPr>
              <w:spacing w:after="0" w:line="240" w:lineRule="auto"/>
              <w:rPr>
                <w:rFonts w:eastAsia="Times New Roman" w:cs="Arial"/>
                <w:sz w:val="20"/>
                <w:szCs w:val="20"/>
                <w:lang w:eastAsia="en-AU"/>
              </w:rPr>
            </w:pPr>
          </w:p>
        </w:tc>
        <w:tc>
          <w:tcPr>
            <w:tcW w:w="1225" w:type="dxa"/>
            <w:tcBorders>
              <w:top w:val="nil"/>
              <w:left w:val="nil"/>
              <w:bottom w:val="nil"/>
              <w:right w:val="nil"/>
            </w:tcBorders>
            <w:vAlign w:val="bottom"/>
            <w:hideMark/>
          </w:tcPr>
          <w:p w14:paraId="3E2EE023" w14:textId="77777777" w:rsidR="0039479B" w:rsidRPr="00F65403" w:rsidRDefault="0039479B" w:rsidP="008F5912">
            <w:pPr>
              <w:spacing w:after="0" w:line="240" w:lineRule="auto"/>
              <w:rPr>
                <w:rFonts w:eastAsia="Times New Roman" w:cs="Arial"/>
                <w:sz w:val="20"/>
                <w:szCs w:val="20"/>
                <w:lang w:eastAsia="en-AU"/>
              </w:rPr>
            </w:pPr>
          </w:p>
        </w:tc>
        <w:tc>
          <w:tcPr>
            <w:tcW w:w="1167" w:type="dxa"/>
            <w:tcBorders>
              <w:top w:val="nil"/>
              <w:left w:val="nil"/>
              <w:bottom w:val="nil"/>
              <w:right w:val="nil"/>
            </w:tcBorders>
            <w:vAlign w:val="bottom"/>
            <w:hideMark/>
          </w:tcPr>
          <w:p w14:paraId="27596466" w14:textId="77777777" w:rsidR="0039479B" w:rsidRPr="00F65403" w:rsidRDefault="0039479B" w:rsidP="008F5912">
            <w:pPr>
              <w:spacing w:after="0" w:line="240" w:lineRule="auto"/>
              <w:rPr>
                <w:rFonts w:eastAsia="Times New Roman" w:cs="Arial"/>
                <w:sz w:val="20"/>
                <w:szCs w:val="20"/>
                <w:lang w:eastAsia="en-AU"/>
              </w:rPr>
            </w:pPr>
          </w:p>
        </w:tc>
      </w:tr>
      <w:tr w:rsidR="001C6E5B" w:rsidRPr="006B5056" w14:paraId="7E996037" w14:textId="77777777" w:rsidTr="413EB596">
        <w:tc>
          <w:tcPr>
            <w:tcW w:w="1984" w:type="dxa"/>
            <w:tcBorders>
              <w:top w:val="nil"/>
              <w:left w:val="nil"/>
              <w:bottom w:val="nil"/>
              <w:right w:val="nil"/>
            </w:tcBorders>
            <w:vAlign w:val="center"/>
            <w:hideMark/>
          </w:tcPr>
          <w:p w14:paraId="2109C5C8" w14:textId="77777777" w:rsidR="001C6E5B" w:rsidRPr="00F65403" w:rsidRDefault="001C6E5B" w:rsidP="001C6E5B">
            <w:pPr>
              <w:spacing w:after="0" w:line="240" w:lineRule="auto"/>
              <w:rPr>
                <w:rFonts w:eastAsia="Times New Roman" w:cs="Arial"/>
                <w:sz w:val="20"/>
                <w:szCs w:val="20"/>
                <w:lang w:eastAsia="en-AU"/>
              </w:rPr>
            </w:pPr>
            <w:r w:rsidRPr="00F65403">
              <w:rPr>
                <w:rFonts w:eastAsia="Times New Roman" w:cs="Arial"/>
                <w:sz w:val="20"/>
                <w:szCs w:val="20"/>
                <w:lang w:eastAsia="en-AU"/>
              </w:rPr>
              <w:t>Energy derivatives - economic hedges</w:t>
            </w:r>
          </w:p>
        </w:tc>
        <w:tc>
          <w:tcPr>
            <w:tcW w:w="1166" w:type="dxa"/>
            <w:tcBorders>
              <w:top w:val="nil"/>
              <w:left w:val="nil"/>
              <w:bottom w:val="nil"/>
              <w:right w:val="nil"/>
            </w:tcBorders>
            <w:noWrap/>
            <w:vAlign w:val="bottom"/>
            <w:hideMark/>
          </w:tcPr>
          <w:p w14:paraId="0EF53FD5" w14:textId="6EF7A75F"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27,709</w:t>
            </w:r>
          </w:p>
        </w:tc>
        <w:tc>
          <w:tcPr>
            <w:tcW w:w="1167" w:type="dxa"/>
            <w:tcBorders>
              <w:top w:val="nil"/>
              <w:left w:val="nil"/>
              <w:bottom w:val="nil"/>
              <w:right w:val="nil"/>
            </w:tcBorders>
            <w:noWrap/>
            <w:vAlign w:val="bottom"/>
            <w:hideMark/>
          </w:tcPr>
          <w:p w14:paraId="719E8E5D" w14:textId="6CDA29C7"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(10,312)</w:t>
            </w:r>
          </w:p>
        </w:tc>
        <w:tc>
          <w:tcPr>
            <w:tcW w:w="1167" w:type="dxa"/>
            <w:gridSpan w:val="2"/>
            <w:tcBorders>
              <w:top w:val="nil"/>
              <w:left w:val="nil"/>
              <w:bottom w:val="nil"/>
              <w:right w:val="nil"/>
            </w:tcBorders>
            <w:vAlign w:val="bottom"/>
            <w:hideMark/>
          </w:tcPr>
          <w:p w14:paraId="6AC88AA1" w14:textId="0881B207"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9,957</w:t>
            </w:r>
          </w:p>
        </w:tc>
        <w:tc>
          <w:tcPr>
            <w:tcW w:w="1109" w:type="dxa"/>
            <w:tcBorders>
              <w:top w:val="nil"/>
              <w:left w:val="nil"/>
              <w:bottom w:val="nil"/>
              <w:right w:val="nil"/>
            </w:tcBorders>
            <w:vAlign w:val="bottom"/>
          </w:tcPr>
          <w:p w14:paraId="2A7B44A4" w14:textId="274BD65B" w:rsidR="001C6E5B" w:rsidRPr="00F65403" w:rsidRDefault="001C6E5B" w:rsidP="001C6E5B">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c>
          <w:tcPr>
            <w:tcW w:w="1225" w:type="dxa"/>
            <w:tcBorders>
              <w:top w:val="nil"/>
              <w:left w:val="nil"/>
              <w:bottom w:val="nil"/>
              <w:right w:val="nil"/>
            </w:tcBorders>
            <w:vAlign w:val="bottom"/>
          </w:tcPr>
          <w:p w14:paraId="56050EAF" w14:textId="3A140587" w:rsidR="001C6E5B" w:rsidRPr="00F65403" w:rsidRDefault="001C6E5B" w:rsidP="001C6E5B">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c>
          <w:tcPr>
            <w:tcW w:w="1167" w:type="dxa"/>
            <w:tcBorders>
              <w:top w:val="nil"/>
              <w:left w:val="nil"/>
              <w:bottom w:val="nil"/>
              <w:right w:val="nil"/>
            </w:tcBorders>
            <w:vAlign w:val="bottom"/>
          </w:tcPr>
          <w:p w14:paraId="1B1137E1" w14:textId="2721BBA0" w:rsidR="001C6E5B" w:rsidRPr="00F65403" w:rsidRDefault="001C6E5B" w:rsidP="001C6E5B">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r>
      <w:tr w:rsidR="001C6E5B" w:rsidRPr="006B5056" w14:paraId="094F75B4" w14:textId="77777777" w:rsidTr="00E326C0">
        <w:trPr>
          <w:trHeight w:val="300"/>
        </w:trPr>
        <w:tc>
          <w:tcPr>
            <w:tcW w:w="1984" w:type="dxa"/>
            <w:tcBorders>
              <w:top w:val="nil"/>
              <w:left w:val="nil"/>
              <w:bottom w:val="nil"/>
              <w:right w:val="nil"/>
            </w:tcBorders>
            <w:noWrap/>
            <w:vAlign w:val="center"/>
            <w:hideMark/>
          </w:tcPr>
          <w:p w14:paraId="5D0D27FF" w14:textId="77777777" w:rsidR="001C6E5B" w:rsidRPr="00F65403" w:rsidRDefault="001C6E5B" w:rsidP="001C6E5B">
            <w:pPr>
              <w:spacing w:after="0" w:line="240" w:lineRule="auto"/>
              <w:rPr>
                <w:rFonts w:eastAsia="Times New Roman" w:cs="Arial"/>
                <w:sz w:val="20"/>
                <w:szCs w:val="20"/>
                <w:lang w:eastAsia="en-AU"/>
              </w:rPr>
            </w:pPr>
            <w:r w:rsidRPr="00F65403">
              <w:rPr>
                <w:rFonts w:eastAsia="Times New Roman" w:cs="Arial"/>
                <w:sz w:val="20"/>
                <w:szCs w:val="20"/>
                <w:lang w:eastAsia="en-AU"/>
              </w:rPr>
              <w:t>Energy derivatives - other</w:t>
            </w:r>
          </w:p>
        </w:tc>
        <w:tc>
          <w:tcPr>
            <w:tcW w:w="1166" w:type="dxa"/>
            <w:tcBorders>
              <w:top w:val="nil"/>
              <w:left w:val="nil"/>
              <w:bottom w:val="single" w:sz="4" w:space="0" w:color="auto"/>
              <w:right w:val="nil"/>
            </w:tcBorders>
            <w:vAlign w:val="bottom"/>
          </w:tcPr>
          <w:p w14:paraId="5CC451F4" w14:textId="0EDD475E"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44,515</w:t>
            </w:r>
          </w:p>
        </w:tc>
        <w:tc>
          <w:tcPr>
            <w:tcW w:w="1167" w:type="dxa"/>
            <w:tcBorders>
              <w:top w:val="nil"/>
              <w:left w:val="nil"/>
              <w:bottom w:val="single" w:sz="4" w:space="0" w:color="auto"/>
              <w:right w:val="nil"/>
            </w:tcBorders>
            <w:vAlign w:val="bottom"/>
          </w:tcPr>
          <w:p w14:paraId="7288E231" w14:textId="38D8F050"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(4,732)</w:t>
            </w:r>
          </w:p>
        </w:tc>
        <w:tc>
          <w:tcPr>
            <w:tcW w:w="1167" w:type="dxa"/>
            <w:gridSpan w:val="2"/>
            <w:tcBorders>
              <w:top w:val="nil"/>
              <w:left w:val="nil"/>
              <w:bottom w:val="single" w:sz="4" w:space="0" w:color="auto"/>
              <w:right w:val="nil"/>
            </w:tcBorders>
            <w:vAlign w:val="bottom"/>
          </w:tcPr>
          <w:p w14:paraId="085A68DE" w14:textId="7587FE35" w:rsidR="001C6E5B" w:rsidRPr="00F65403" w:rsidRDefault="001C6E5B" w:rsidP="001C6E5B">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4,802</w:t>
            </w:r>
          </w:p>
        </w:tc>
        <w:tc>
          <w:tcPr>
            <w:tcW w:w="1109" w:type="dxa"/>
            <w:tcBorders>
              <w:top w:val="nil"/>
              <w:left w:val="nil"/>
              <w:bottom w:val="single" w:sz="4" w:space="0" w:color="auto"/>
              <w:right w:val="nil"/>
            </w:tcBorders>
            <w:noWrap/>
            <w:vAlign w:val="bottom"/>
            <w:hideMark/>
          </w:tcPr>
          <w:p w14:paraId="0F75B1E4" w14:textId="77777777" w:rsidR="001C6E5B" w:rsidRPr="00F65403" w:rsidRDefault="001C6E5B" w:rsidP="001C6E5B">
            <w:pPr>
              <w:tabs>
                <w:tab w:val="decimal" w:pos="967"/>
              </w:tabs>
              <w:spacing w:after="0" w:line="240" w:lineRule="auto"/>
              <w:rPr>
                <w:rFonts w:eastAsia="Times New Roman" w:cs="Arial"/>
                <w:sz w:val="20"/>
                <w:szCs w:val="20"/>
                <w:lang w:eastAsia="en-AU"/>
              </w:rPr>
            </w:pPr>
            <w:r w:rsidRPr="00F65403">
              <w:rPr>
                <w:rFonts w:eastAsia="Times New Roman" w:cs="Arial"/>
                <w:sz w:val="20"/>
                <w:szCs w:val="20"/>
                <w:lang w:eastAsia="en-AU"/>
              </w:rPr>
              <w:t>13,830</w:t>
            </w:r>
          </w:p>
        </w:tc>
        <w:tc>
          <w:tcPr>
            <w:tcW w:w="1225" w:type="dxa"/>
            <w:tcBorders>
              <w:top w:val="nil"/>
              <w:left w:val="nil"/>
              <w:bottom w:val="single" w:sz="4" w:space="0" w:color="auto"/>
              <w:right w:val="nil"/>
            </w:tcBorders>
            <w:noWrap/>
            <w:vAlign w:val="bottom"/>
            <w:hideMark/>
          </w:tcPr>
          <w:p w14:paraId="313635DF" w14:textId="77777777" w:rsidR="001C6E5B" w:rsidRPr="00F65403" w:rsidRDefault="001C6E5B" w:rsidP="001C6E5B">
            <w:pPr>
              <w:tabs>
                <w:tab w:val="decimal" w:pos="967"/>
              </w:tabs>
              <w:spacing w:after="0" w:line="240" w:lineRule="auto"/>
              <w:rPr>
                <w:rFonts w:eastAsia="Times New Roman" w:cs="Arial"/>
                <w:sz w:val="20"/>
                <w:szCs w:val="20"/>
                <w:lang w:eastAsia="en-AU"/>
              </w:rPr>
            </w:pPr>
            <w:r w:rsidRPr="00F65403">
              <w:rPr>
                <w:rFonts w:eastAsia="Times New Roman" w:cs="Arial"/>
                <w:color w:val="000000"/>
                <w:sz w:val="20"/>
                <w:szCs w:val="20"/>
                <w:lang w:eastAsia="en-AU"/>
              </w:rPr>
              <w:t>(21,881)</w:t>
            </w:r>
          </w:p>
        </w:tc>
        <w:tc>
          <w:tcPr>
            <w:tcW w:w="1167" w:type="dxa"/>
            <w:tcBorders>
              <w:top w:val="nil"/>
              <w:left w:val="nil"/>
              <w:bottom w:val="single" w:sz="4" w:space="0" w:color="auto"/>
              <w:right w:val="nil"/>
            </w:tcBorders>
            <w:noWrap/>
            <w:vAlign w:val="bottom"/>
            <w:hideMark/>
          </w:tcPr>
          <w:p w14:paraId="07BD6EC7" w14:textId="77777777" w:rsidR="001C6E5B" w:rsidRPr="00F65403" w:rsidRDefault="001C6E5B" w:rsidP="001C6E5B">
            <w:pPr>
              <w:tabs>
                <w:tab w:val="decimal" w:pos="967"/>
              </w:tabs>
              <w:spacing w:after="0" w:line="240" w:lineRule="auto"/>
              <w:rPr>
                <w:rFonts w:eastAsia="Times New Roman" w:cs="Arial"/>
                <w:sz w:val="20"/>
                <w:szCs w:val="20"/>
                <w:lang w:eastAsia="en-AU"/>
              </w:rPr>
            </w:pPr>
            <w:r w:rsidRPr="00F65403">
              <w:rPr>
                <w:rFonts w:eastAsia="Times New Roman" w:cs="Arial"/>
                <w:sz w:val="20"/>
                <w:szCs w:val="20"/>
                <w:lang w:eastAsia="en-AU"/>
              </w:rPr>
              <w:t>11,655</w:t>
            </w:r>
          </w:p>
        </w:tc>
      </w:tr>
      <w:tr w:rsidR="001C6E5B" w:rsidRPr="006B5056" w14:paraId="74D48795" w14:textId="77777777" w:rsidTr="00E326C0">
        <w:trPr>
          <w:trHeight w:val="300"/>
        </w:trPr>
        <w:tc>
          <w:tcPr>
            <w:tcW w:w="1984" w:type="dxa"/>
            <w:tcBorders>
              <w:top w:val="nil"/>
              <w:left w:val="nil"/>
              <w:bottom w:val="nil"/>
              <w:right w:val="nil"/>
            </w:tcBorders>
            <w:noWrap/>
            <w:vAlign w:val="bottom"/>
            <w:hideMark/>
          </w:tcPr>
          <w:p w14:paraId="486330B7" w14:textId="77777777" w:rsidR="001C6E5B" w:rsidRPr="00F65403" w:rsidRDefault="001C6E5B" w:rsidP="001C6E5B">
            <w:pPr>
              <w:spacing w:after="0" w:line="240" w:lineRule="auto"/>
              <w:jc w:val="right"/>
              <w:rPr>
                <w:rFonts w:eastAsia="Times New Roman" w:cs="Arial"/>
                <w:sz w:val="20"/>
                <w:szCs w:val="20"/>
                <w:lang w:eastAsia="en-AU"/>
              </w:rPr>
            </w:pPr>
          </w:p>
        </w:tc>
        <w:tc>
          <w:tcPr>
            <w:tcW w:w="1166" w:type="dxa"/>
            <w:tcBorders>
              <w:top w:val="single" w:sz="4" w:space="0" w:color="auto"/>
              <w:left w:val="nil"/>
              <w:bottom w:val="single" w:sz="4" w:space="0" w:color="auto"/>
              <w:right w:val="nil"/>
            </w:tcBorders>
            <w:vAlign w:val="bottom"/>
          </w:tcPr>
          <w:p w14:paraId="2050AA68" w14:textId="6E5F40FF" w:rsidR="001C6E5B" w:rsidRPr="001C6E5B" w:rsidRDefault="001C6E5B" w:rsidP="001C6E5B">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72,224</w:t>
            </w:r>
          </w:p>
        </w:tc>
        <w:tc>
          <w:tcPr>
            <w:tcW w:w="1167" w:type="dxa"/>
            <w:tcBorders>
              <w:top w:val="single" w:sz="4" w:space="0" w:color="auto"/>
              <w:left w:val="nil"/>
              <w:bottom w:val="single" w:sz="4" w:space="0" w:color="auto"/>
              <w:right w:val="nil"/>
            </w:tcBorders>
            <w:vAlign w:val="bottom"/>
          </w:tcPr>
          <w:p w14:paraId="51A62E06" w14:textId="2336FF23" w:rsidR="001C6E5B" w:rsidRPr="001C6E5B" w:rsidRDefault="001C6E5B" w:rsidP="001C6E5B">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(15,044)</w:t>
            </w:r>
          </w:p>
        </w:tc>
        <w:tc>
          <w:tcPr>
            <w:tcW w:w="1167" w:type="dxa"/>
            <w:gridSpan w:val="2"/>
            <w:tcBorders>
              <w:top w:val="single" w:sz="4" w:space="0" w:color="auto"/>
              <w:left w:val="nil"/>
              <w:bottom w:val="single" w:sz="4" w:space="0" w:color="auto"/>
              <w:right w:val="nil"/>
            </w:tcBorders>
            <w:vAlign w:val="bottom"/>
          </w:tcPr>
          <w:p w14:paraId="6F4078A3" w14:textId="20E71192" w:rsidR="001C6E5B" w:rsidRPr="001C6E5B" w:rsidRDefault="001C6E5B" w:rsidP="001C6E5B">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14,759</w:t>
            </w:r>
          </w:p>
        </w:tc>
        <w:tc>
          <w:tcPr>
            <w:tcW w:w="1109" w:type="dxa"/>
            <w:tcBorders>
              <w:top w:val="single" w:sz="4" w:space="0" w:color="auto"/>
              <w:left w:val="nil"/>
              <w:bottom w:val="single" w:sz="4" w:space="0" w:color="auto"/>
              <w:right w:val="nil"/>
            </w:tcBorders>
            <w:noWrap/>
            <w:vAlign w:val="bottom"/>
            <w:hideMark/>
          </w:tcPr>
          <w:p w14:paraId="17610AF7" w14:textId="77777777" w:rsidR="001C6E5B" w:rsidRPr="00F65403" w:rsidRDefault="001C6E5B" w:rsidP="001C6E5B">
            <w:pPr>
              <w:tabs>
                <w:tab w:val="decimal" w:pos="967"/>
              </w:tabs>
              <w:spacing w:after="0" w:line="240" w:lineRule="auto"/>
              <w:rPr>
                <w:rFonts w:eastAsia="Times New Roman" w:cs="Arial"/>
                <w:b/>
                <w:sz w:val="20"/>
                <w:szCs w:val="20"/>
                <w:lang w:eastAsia="en-AU"/>
              </w:rPr>
            </w:pPr>
            <w:r w:rsidRPr="00F65403">
              <w:rPr>
                <w:rFonts w:eastAsia="Times New Roman" w:cs="Arial"/>
                <w:b/>
                <w:sz w:val="20"/>
                <w:szCs w:val="20"/>
                <w:lang w:eastAsia="en-AU"/>
              </w:rPr>
              <w:t>13,830</w:t>
            </w:r>
          </w:p>
        </w:tc>
        <w:tc>
          <w:tcPr>
            <w:tcW w:w="1225" w:type="dxa"/>
            <w:tcBorders>
              <w:top w:val="single" w:sz="4" w:space="0" w:color="auto"/>
              <w:left w:val="nil"/>
              <w:bottom w:val="single" w:sz="4" w:space="0" w:color="auto"/>
              <w:right w:val="nil"/>
            </w:tcBorders>
            <w:noWrap/>
            <w:vAlign w:val="bottom"/>
            <w:hideMark/>
          </w:tcPr>
          <w:p w14:paraId="00EE620D" w14:textId="77777777" w:rsidR="001C6E5B" w:rsidRPr="00F65403" w:rsidRDefault="001C6E5B" w:rsidP="001C6E5B">
            <w:pPr>
              <w:tabs>
                <w:tab w:val="decimal" w:pos="967"/>
              </w:tabs>
              <w:spacing w:after="0" w:line="240" w:lineRule="auto"/>
              <w:rPr>
                <w:rFonts w:eastAsia="Times New Roman" w:cs="Arial"/>
                <w:b/>
                <w:sz w:val="20"/>
                <w:szCs w:val="20"/>
                <w:lang w:eastAsia="en-AU"/>
              </w:rPr>
            </w:pPr>
            <w:r w:rsidRPr="00F65403">
              <w:rPr>
                <w:rFonts w:eastAsia="Times New Roman" w:cs="Arial"/>
                <w:b/>
                <w:color w:val="000000"/>
                <w:sz w:val="20"/>
                <w:szCs w:val="20"/>
                <w:lang w:eastAsia="en-AU"/>
              </w:rPr>
              <w:t>(21,881)</w:t>
            </w:r>
          </w:p>
        </w:tc>
        <w:tc>
          <w:tcPr>
            <w:tcW w:w="1167" w:type="dxa"/>
            <w:tcBorders>
              <w:top w:val="single" w:sz="4" w:space="0" w:color="auto"/>
              <w:left w:val="nil"/>
              <w:bottom w:val="single" w:sz="4" w:space="0" w:color="auto"/>
              <w:right w:val="nil"/>
            </w:tcBorders>
            <w:noWrap/>
            <w:vAlign w:val="bottom"/>
            <w:hideMark/>
          </w:tcPr>
          <w:p w14:paraId="543448AA" w14:textId="77777777" w:rsidR="001C6E5B" w:rsidRPr="00F65403" w:rsidRDefault="001C6E5B" w:rsidP="001C6E5B">
            <w:pPr>
              <w:tabs>
                <w:tab w:val="decimal" w:pos="967"/>
              </w:tabs>
              <w:spacing w:after="0" w:line="240" w:lineRule="auto"/>
              <w:rPr>
                <w:rFonts w:eastAsia="Times New Roman" w:cs="Arial"/>
                <w:b/>
                <w:sz w:val="20"/>
                <w:szCs w:val="20"/>
                <w:lang w:eastAsia="en-AU"/>
              </w:rPr>
            </w:pPr>
            <w:r w:rsidRPr="00F65403">
              <w:rPr>
                <w:rFonts w:eastAsia="Times New Roman" w:cs="Arial"/>
                <w:b/>
                <w:sz w:val="20"/>
                <w:szCs w:val="20"/>
                <w:lang w:eastAsia="en-AU"/>
              </w:rPr>
              <w:t>11,655</w:t>
            </w:r>
          </w:p>
        </w:tc>
      </w:tr>
    </w:tbl>
    <w:p w14:paraId="18626507" w14:textId="4B1A343A" w:rsidR="00E726B0" w:rsidRDefault="00E726B0" w:rsidP="0039479B">
      <w:pPr>
        <w:pStyle w:val="BodyText"/>
        <w:rPr>
          <w:lang w:val="en-AU"/>
        </w:rPr>
      </w:pPr>
    </w:p>
    <w:p w14:paraId="47526AA3" w14:textId="77777777" w:rsidR="00E726B0" w:rsidRDefault="00E726B0">
      <w:pPr>
        <w:rPr>
          <w:rFonts w:eastAsia="Arial" w:cs="Arial"/>
          <w:sz w:val="20"/>
          <w:szCs w:val="20"/>
        </w:rPr>
      </w:pPr>
      <w:r>
        <w:br w:type="page"/>
      </w:r>
    </w:p>
    <w:p w14:paraId="3256E84A" w14:textId="77777777" w:rsidR="0039479B" w:rsidRPr="00F65403" w:rsidRDefault="0039479B" w:rsidP="0039479B">
      <w:pPr>
        <w:pStyle w:val="BodyText"/>
        <w:rPr>
          <w:lang w:val="en-AU"/>
        </w:rPr>
      </w:pPr>
    </w:p>
    <w:p w14:paraId="11CA87CD" w14:textId="677A1F32" w:rsidR="0039479B" w:rsidRPr="00F65403" w:rsidRDefault="00144B04" w:rsidP="0039479B">
      <w:pPr>
        <w:pStyle w:val="Heading8"/>
      </w:pPr>
      <w:r>
        <w:t>iii.</w:t>
      </w:r>
      <w:r>
        <w:tab/>
      </w:r>
      <w:r w:rsidR="0039479B">
        <w:t>Liquidity risk management</w:t>
      </w:r>
    </w:p>
    <w:p w14:paraId="21C8772D" w14:textId="214D2602" w:rsidR="0039479B" w:rsidRPr="00F65403" w:rsidRDefault="0039479B" w:rsidP="0039479B">
      <w:pPr>
        <w:pStyle w:val="BodyText"/>
        <w:rPr>
          <w:lang w:val="en-AU"/>
        </w:rPr>
      </w:pPr>
      <w:r w:rsidRPr="00F65403">
        <w:rPr>
          <w:lang w:val="en-AU"/>
        </w:rPr>
        <w:t xml:space="preserve">Liquidity risk is the risk that the Group will encounter difficulty in meeting its financial obligations as they fall due. </w:t>
      </w:r>
    </w:p>
    <w:p w14:paraId="2290B990" w14:textId="77777777" w:rsidR="0039479B" w:rsidRPr="00F65403" w:rsidRDefault="0039479B" w:rsidP="0039479B">
      <w:pPr>
        <w:pStyle w:val="BodyText"/>
        <w:rPr>
          <w:lang w:val="en-AU"/>
        </w:rPr>
      </w:pPr>
    </w:p>
    <w:p w14:paraId="252B9657" w14:textId="77777777" w:rsidR="0039479B" w:rsidRPr="00F65403" w:rsidRDefault="0039479B" w:rsidP="0039479B">
      <w:pPr>
        <w:pStyle w:val="BodyText"/>
        <w:rPr>
          <w:lang w:val="en-AU"/>
        </w:rPr>
      </w:pPr>
      <w:r w:rsidRPr="00F65403">
        <w:rPr>
          <w:lang w:val="en-AU"/>
        </w:rPr>
        <w:t xml:space="preserve">The Group is exposed to liquidity risk mainly through the financial liabilities as disclosed in the face of the statement of financial position. The Group manages its liquidity risk through monitoring future cash flows, maintaining an adequate level of uncommitted funds that can be drawn at short notice to meet its short-term obligations and planning of its financial obligations based on forecasts of future cash flows. </w:t>
      </w:r>
    </w:p>
    <w:p w14:paraId="143356F5" w14:textId="77777777" w:rsidR="0039479B" w:rsidRPr="00F65403" w:rsidRDefault="0039479B" w:rsidP="0039479B">
      <w:pPr>
        <w:pStyle w:val="BodyText"/>
        <w:rPr>
          <w:lang w:val="en-AU"/>
        </w:rPr>
      </w:pPr>
    </w:p>
    <w:p w14:paraId="109BB632" w14:textId="77777777" w:rsidR="0039479B" w:rsidRPr="00F65403" w:rsidRDefault="0039479B" w:rsidP="0039479B">
      <w:pPr>
        <w:pStyle w:val="BodyText"/>
        <w:rPr>
          <w:lang w:val="en-AU"/>
        </w:rPr>
      </w:pPr>
      <w:r w:rsidRPr="00F65403">
        <w:rPr>
          <w:lang w:val="en-AU"/>
        </w:rPr>
        <w:t>Cash for unexpected events is generally sourced from cash and cash equivalents.</w:t>
      </w:r>
    </w:p>
    <w:p w14:paraId="40A950B0" w14:textId="77777777" w:rsidR="0039479B" w:rsidRPr="00F65403" w:rsidRDefault="0039479B" w:rsidP="0039479B">
      <w:pPr>
        <w:pStyle w:val="BodyText"/>
        <w:rPr>
          <w:lang w:val="en-AU"/>
        </w:rPr>
      </w:pPr>
    </w:p>
    <w:p w14:paraId="41C5F31C" w14:textId="4EC5B1A1" w:rsidR="0039479B" w:rsidRDefault="00274F8A" w:rsidP="0039479B">
      <w:pPr>
        <w:pStyle w:val="BodyText"/>
        <w:rPr>
          <w:lang w:val="en-AU"/>
        </w:rPr>
      </w:pPr>
      <w:r w:rsidRPr="00274F8A">
        <w:rPr>
          <w:lang w:val="en-AU"/>
        </w:rPr>
        <w:t>The table below sets out the timing of the Group’s payment obligations, as compared to the receipts expected from the Group’s financial assets, and available undrawn facilities. Amounts are presented on an undiscounted basis and include cash flows not recorded on the statement of financial position, such as interest payments for borrowings.</w:t>
      </w:r>
    </w:p>
    <w:p w14:paraId="387F1F8C" w14:textId="77777777" w:rsidR="004C2793" w:rsidRPr="00F65403" w:rsidRDefault="004C2793" w:rsidP="0039479B">
      <w:pPr>
        <w:pStyle w:val="BodyText"/>
        <w:rPr>
          <w:lang w:val="en-AU"/>
        </w:rPr>
      </w:pPr>
    </w:p>
    <w:tbl>
      <w:tblPr>
        <w:tblW w:w="4869" w:type="pct"/>
        <w:tblCellMar>
          <w:top w:w="28" w:type="dxa"/>
          <w:left w:w="28" w:type="dxa"/>
          <w:bottom w:w="28" w:type="dxa"/>
          <w:right w:w="28" w:type="dxa"/>
        </w:tblCellMar>
        <w:tblLook w:val="04A0" w:firstRow="1" w:lastRow="0" w:firstColumn="1" w:lastColumn="0" w:noHBand="0" w:noVBand="1"/>
      </w:tblPr>
      <w:tblGrid>
        <w:gridCol w:w="3106"/>
        <w:gridCol w:w="995"/>
        <w:gridCol w:w="142"/>
        <w:gridCol w:w="1137"/>
        <w:gridCol w:w="1137"/>
        <w:gridCol w:w="1137"/>
        <w:gridCol w:w="1136"/>
      </w:tblGrid>
      <w:tr w:rsidR="00AD1979" w:rsidRPr="003C0D78" w14:paraId="1842C6C9" w14:textId="77777777" w:rsidTr="0010235E">
        <w:trPr>
          <w:trHeight w:val="264"/>
        </w:trPr>
        <w:tc>
          <w:tcPr>
            <w:tcW w:w="1766" w:type="pct"/>
            <w:tcBorders>
              <w:top w:val="nil"/>
              <w:left w:val="nil"/>
              <w:bottom w:val="nil"/>
              <w:right w:val="nil"/>
            </w:tcBorders>
            <w:noWrap/>
            <w:vAlign w:val="bottom"/>
            <w:hideMark/>
          </w:tcPr>
          <w:p w14:paraId="620C4CA4" w14:textId="77777777" w:rsidR="00AD1979" w:rsidRPr="00F65403" w:rsidRDefault="00AD1979">
            <w:pPr>
              <w:spacing w:after="0" w:line="240" w:lineRule="auto"/>
              <w:rPr>
                <w:rFonts w:eastAsia="Times New Roman" w:cs="Arial"/>
                <w:sz w:val="20"/>
                <w:szCs w:val="20"/>
                <w:lang w:eastAsia="en-AU"/>
              </w:rPr>
            </w:pPr>
          </w:p>
        </w:tc>
        <w:tc>
          <w:tcPr>
            <w:tcW w:w="566" w:type="pct"/>
            <w:tcBorders>
              <w:top w:val="nil"/>
              <w:left w:val="nil"/>
              <w:bottom w:val="nil"/>
              <w:right w:val="nil"/>
            </w:tcBorders>
            <w:noWrap/>
            <w:vAlign w:val="bottom"/>
            <w:hideMark/>
          </w:tcPr>
          <w:p w14:paraId="0CE516C2" w14:textId="77777777" w:rsidR="00AD1979" w:rsidRPr="00F65403" w:rsidRDefault="00AD1979">
            <w:pPr>
              <w:spacing w:after="0" w:line="240" w:lineRule="auto"/>
              <w:rPr>
                <w:rFonts w:eastAsia="Times New Roman" w:cs="Arial"/>
                <w:sz w:val="20"/>
                <w:szCs w:val="20"/>
                <w:lang w:eastAsia="en-AU"/>
              </w:rPr>
            </w:pPr>
          </w:p>
        </w:tc>
        <w:tc>
          <w:tcPr>
            <w:tcW w:w="728" w:type="pct"/>
            <w:gridSpan w:val="2"/>
            <w:tcBorders>
              <w:top w:val="nil"/>
              <w:left w:val="nil"/>
              <w:bottom w:val="nil"/>
              <w:right w:val="nil"/>
            </w:tcBorders>
            <w:noWrap/>
            <w:vAlign w:val="bottom"/>
            <w:hideMark/>
          </w:tcPr>
          <w:p w14:paraId="4BA6C886" w14:textId="77777777" w:rsidR="00AD1979" w:rsidRPr="00F65403" w:rsidRDefault="00AD1979">
            <w:pPr>
              <w:spacing w:after="0" w:line="240" w:lineRule="auto"/>
              <w:rPr>
                <w:rFonts w:eastAsia="Times New Roman" w:cs="Arial"/>
                <w:sz w:val="20"/>
                <w:szCs w:val="20"/>
                <w:lang w:eastAsia="en-AU"/>
              </w:rPr>
            </w:pPr>
          </w:p>
        </w:tc>
        <w:tc>
          <w:tcPr>
            <w:tcW w:w="1940" w:type="pct"/>
            <w:gridSpan w:val="3"/>
            <w:tcBorders>
              <w:top w:val="nil"/>
              <w:left w:val="nil"/>
              <w:bottom w:val="nil"/>
              <w:right w:val="nil"/>
            </w:tcBorders>
            <w:noWrap/>
            <w:vAlign w:val="bottom"/>
            <w:hideMark/>
          </w:tcPr>
          <w:p w14:paraId="3F5E14A2"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AD1979" w:rsidRPr="003C0D78" w14:paraId="4C267B4A" w14:textId="77777777" w:rsidTr="49BCD735">
        <w:trPr>
          <w:trHeight w:val="528"/>
        </w:trPr>
        <w:tc>
          <w:tcPr>
            <w:tcW w:w="1766" w:type="pct"/>
            <w:tcBorders>
              <w:top w:val="nil"/>
              <w:left w:val="nil"/>
              <w:bottom w:val="nil"/>
              <w:right w:val="nil"/>
            </w:tcBorders>
            <w:noWrap/>
            <w:vAlign w:val="bottom"/>
            <w:hideMark/>
          </w:tcPr>
          <w:p w14:paraId="54D0CBBC" w14:textId="77777777" w:rsidR="00AD1979" w:rsidRPr="00F65403" w:rsidRDefault="00AD1979">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47" w:type="pct"/>
            <w:gridSpan w:val="2"/>
            <w:tcBorders>
              <w:top w:val="nil"/>
              <w:left w:val="nil"/>
              <w:bottom w:val="nil"/>
              <w:right w:val="nil"/>
            </w:tcBorders>
            <w:vAlign w:val="bottom"/>
            <w:hideMark/>
          </w:tcPr>
          <w:p w14:paraId="6924C668" w14:textId="782259B9"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47" w:type="pct"/>
            <w:tcBorders>
              <w:top w:val="nil"/>
              <w:left w:val="nil"/>
              <w:bottom w:val="nil"/>
              <w:right w:val="nil"/>
            </w:tcBorders>
            <w:vAlign w:val="bottom"/>
            <w:hideMark/>
          </w:tcPr>
          <w:p w14:paraId="42DC7F30"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647" w:type="pct"/>
            <w:tcBorders>
              <w:top w:val="nil"/>
              <w:left w:val="nil"/>
              <w:bottom w:val="nil"/>
              <w:right w:val="nil"/>
            </w:tcBorders>
            <w:vAlign w:val="bottom"/>
            <w:hideMark/>
          </w:tcPr>
          <w:p w14:paraId="2008347F"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647" w:type="pct"/>
            <w:tcBorders>
              <w:top w:val="nil"/>
              <w:left w:val="nil"/>
              <w:bottom w:val="nil"/>
              <w:right w:val="nil"/>
            </w:tcBorders>
            <w:vAlign w:val="bottom"/>
            <w:hideMark/>
          </w:tcPr>
          <w:p w14:paraId="75D2C0BA" w14:textId="38509E4B"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sidR="00A1219F">
              <w:rPr>
                <w:rFonts w:eastAsia="Times New Roman" w:cs="Arial"/>
                <w:b/>
                <w:color w:val="000000"/>
                <w:sz w:val="20"/>
                <w:szCs w:val="20"/>
                <w:lang w:eastAsia="en-AU"/>
              </w:rPr>
              <w:t>5</w:t>
            </w:r>
            <w:r w:rsidR="00A1219F" w:rsidRPr="00F65403">
              <w:rPr>
                <w:rFonts w:eastAsia="Times New Roman" w:cs="Arial"/>
                <w:b/>
                <w:color w:val="000000"/>
                <w:sz w:val="20"/>
                <w:szCs w:val="20"/>
                <w:lang w:eastAsia="en-AU"/>
              </w:rPr>
              <w:t xml:space="preserve"> </w:t>
            </w:r>
            <w:r w:rsidRPr="00F65403">
              <w:rPr>
                <w:rFonts w:eastAsia="Times New Roman" w:cs="Arial"/>
                <w:b/>
                <w:color w:val="000000"/>
                <w:sz w:val="20"/>
                <w:szCs w:val="20"/>
                <w:lang w:eastAsia="en-AU"/>
              </w:rPr>
              <w:t>years</w:t>
            </w:r>
          </w:p>
        </w:tc>
        <w:tc>
          <w:tcPr>
            <w:tcW w:w="646" w:type="pct"/>
            <w:tcBorders>
              <w:top w:val="nil"/>
              <w:left w:val="nil"/>
              <w:bottom w:val="nil"/>
              <w:right w:val="nil"/>
            </w:tcBorders>
            <w:vAlign w:val="bottom"/>
            <w:hideMark/>
          </w:tcPr>
          <w:p w14:paraId="3138A28C" w14:textId="321E536E"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AD1979" w:rsidRPr="003C0D78" w14:paraId="652279A4" w14:textId="77777777" w:rsidTr="49BCD735">
        <w:trPr>
          <w:trHeight w:val="264"/>
        </w:trPr>
        <w:tc>
          <w:tcPr>
            <w:tcW w:w="1766" w:type="pct"/>
            <w:tcBorders>
              <w:top w:val="nil"/>
              <w:left w:val="nil"/>
              <w:bottom w:val="nil"/>
              <w:right w:val="nil"/>
            </w:tcBorders>
            <w:noWrap/>
            <w:vAlign w:val="bottom"/>
            <w:hideMark/>
          </w:tcPr>
          <w:p w14:paraId="7B54A1F7" w14:textId="77777777" w:rsidR="00AD1979" w:rsidRPr="00F65403" w:rsidRDefault="00AD1979">
            <w:pPr>
              <w:spacing w:after="0" w:line="240" w:lineRule="auto"/>
              <w:jc w:val="center"/>
              <w:rPr>
                <w:rFonts w:eastAsia="Times New Roman" w:cs="Arial"/>
                <w:b/>
                <w:color w:val="000000"/>
                <w:sz w:val="20"/>
                <w:szCs w:val="20"/>
                <w:lang w:eastAsia="en-AU"/>
              </w:rPr>
            </w:pPr>
          </w:p>
        </w:tc>
        <w:tc>
          <w:tcPr>
            <w:tcW w:w="647" w:type="pct"/>
            <w:gridSpan w:val="2"/>
            <w:tcBorders>
              <w:top w:val="nil"/>
              <w:left w:val="nil"/>
              <w:bottom w:val="nil"/>
              <w:right w:val="nil"/>
            </w:tcBorders>
            <w:noWrap/>
            <w:vAlign w:val="bottom"/>
            <w:hideMark/>
          </w:tcPr>
          <w:p w14:paraId="78D689FF"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5978F2D9"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10094860"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4F2A40AC"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6" w:type="pct"/>
            <w:tcBorders>
              <w:top w:val="nil"/>
              <w:left w:val="nil"/>
              <w:bottom w:val="nil"/>
              <w:right w:val="nil"/>
            </w:tcBorders>
            <w:noWrap/>
            <w:vAlign w:val="bottom"/>
            <w:hideMark/>
          </w:tcPr>
          <w:p w14:paraId="22FFF05C" w14:textId="77777777" w:rsidR="00AD1979" w:rsidRPr="00F65403" w:rsidRDefault="00AD1979">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AD1979" w:rsidRPr="003C0D78" w14:paraId="7D904061" w14:textId="77777777" w:rsidTr="49BCD735">
        <w:trPr>
          <w:trHeight w:val="264"/>
        </w:trPr>
        <w:tc>
          <w:tcPr>
            <w:tcW w:w="1766" w:type="pct"/>
            <w:tcBorders>
              <w:top w:val="nil"/>
              <w:left w:val="nil"/>
              <w:bottom w:val="nil"/>
              <w:right w:val="nil"/>
            </w:tcBorders>
            <w:noWrap/>
            <w:vAlign w:val="bottom"/>
            <w:hideMark/>
          </w:tcPr>
          <w:p w14:paraId="36197266" w14:textId="01A65D1C" w:rsidR="00AD1979" w:rsidRPr="00F65403" w:rsidRDefault="00AD1979" w:rsidP="007E737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sidR="00281DAC">
              <w:rPr>
                <w:rFonts w:eastAsia="Times New Roman" w:cs="Arial"/>
                <w:color w:val="000000"/>
                <w:sz w:val="20"/>
                <w:szCs w:val="20"/>
                <w:lang w:eastAsia="en-AU"/>
              </w:rPr>
              <w:t>and other payables</w:t>
            </w:r>
          </w:p>
        </w:tc>
        <w:tc>
          <w:tcPr>
            <w:tcW w:w="647" w:type="pct"/>
            <w:gridSpan w:val="2"/>
            <w:tcBorders>
              <w:top w:val="nil"/>
              <w:left w:val="nil"/>
              <w:bottom w:val="nil"/>
              <w:right w:val="nil"/>
            </w:tcBorders>
            <w:noWrap/>
            <w:hideMark/>
          </w:tcPr>
          <w:p w14:paraId="09467B70" w14:textId="54159147"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(24,235)</w:t>
            </w:r>
          </w:p>
        </w:tc>
        <w:tc>
          <w:tcPr>
            <w:tcW w:w="647" w:type="pct"/>
            <w:tcBorders>
              <w:top w:val="nil"/>
              <w:left w:val="nil"/>
              <w:bottom w:val="nil"/>
              <w:right w:val="nil"/>
            </w:tcBorders>
            <w:noWrap/>
            <w:hideMark/>
          </w:tcPr>
          <w:p w14:paraId="6FFA3CFE" w14:textId="12705569"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(24,235)</w:t>
            </w:r>
          </w:p>
        </w:tc>
        <w:tc>
          <w:tcPr>
            <w:tcW w:w="647" w:type="pct"/>
            <w:tcBorders>
              <w:top w:val="nil"/>
              <w:left w:val="nil"/>
              <w:bottom w:val="nil"/>
              <w:right w:val="nil"/>
            </w:tcBorders>
            <w:noWrap/>
          </w:tcPr>
          <w:p w14:paraId="6E02DD26" w14:textId="01CF8AF6"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(24,235)</w:t>
            </w:r>
          </w:p>
        </w:tc>
        <w:tc>
          <w:tcPr>
            <w:tcW w:w="647" w:type="pct"/>
            <w:tcBorders>
              <w:top w:val="nil"/>
              <w:left w:val="nil"/>
              <w:bottom w:val="nil"/>
              <w:right w:val="nil"/>
            </w:tcBorders>
            <w:noWrap/>
            <w:hideMark/>
          </w:tcPr>
          <w:p w14:paraId="7EEAE4D3" w14:textId="740D4700"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c>
          <w:tcPr>
            <w:tcW w:w="646" w:type="pct"/>
            <w:tcBorders>
              <w:top w:val="nil"/>
              <w:left w:val="nil"/>
              <w:bottom w:val="nil"/>
              <w:right w:val="nil"/>
            </w:tcBorders>
            <w:noWrap/>
            <w:hideMark/>
          </w:tcPr>
          <w:p w14:paraId="145973C2" w14:textId="3FDC5020"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r>
      <w:tr w:rsidR="00AD1979" w:rsidRPr="003C0D78" w14:paraId="56BF8CB7" w14:textId="77777777" w:rsidTr="49BCD735">
        <w:trPr>
          <w:trHeight w:val="264"/>
        </w:trPr>
        <w:tc>
          <w:tcPr>
            <w:tcW w:w="1766" w:type="pct"/>
            <w:tcBorders>
              <w:top w:val="nil"/>
              <w:left w:val="nil"/>
              <w:bottom w:val="nil"/>
              <w:right w:val="nil"/>
            </w:tcBorders>
            <w:noWrap/>
            <w:vAlign w:val="bottom"/>
            <w:hideMark/>
          </w:tcPr>
          <w:p w14:paraId="2202BE34" w14:textId="77777777" w:rsidR="00AD1979" w:rsidRPr="00F65403" w:rsidRDefault="00AD1979" w:rsidP="007E737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647" w:type="pct"/>
            <w:gridSpan w:val="2"/>
            <w:tcBorders>
              <w:top w:val="nil"/>
              <w:left w:val="nil"/>
              <w:right w:val="nil"/>
            </w:tcBorders>
            <w:noWrap/>
            <w:hideMark/>
          </w:tcPr>
          <w:p w14:paraId="5E479932" w14:textId="5074AE57"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(9,</w:t>
            </w:r>
            <w:r w:rsidR="001E65B7" w:rsidRPr="49BCD735">
              <w:rPr>
                <w:rFonts w:eastAsia="Times New Roman" w:cs="Arial"/>
                <w:color w:val="000000" w:themeColor="text1"/>
                <w:sz w:val="20"/>
                <w:szCs w:val="20"/>
                <w:lang w:eastAsia="en-AU"/>
              </w:rPr>
              <w:t>219</w:t>
            </w:r>
            <w:r w:rsidRPr="49BCD735">
              <w:rPr>
                <w:rFonts w:eastAsia="Times New Roman" w:cs="Arial"/>
                <w:color w:val="000000" w:themeColor="text1"/>
                <w:sz w:val="20"/>
                <w:szCs w:val="20"/>
                <w:lang w:eastAsia="en-AU"/>
              </w:rPr>
              <w:t>)</w:t>
            </w:r>
          </w:p>
        </w:tc>
        <w:tc>
          <w:tcPr>
            <w:tcW w:w="647" w:type="pct"/>
            <w:tcBorders>
              <w:top w:val="nil"/>
              <w:left w:val="nil"/>
              <w:right w:val="nil"/>
            </w:tcBorders>
            <w:noWrap/>
            <w:hideMark/>
          </w:tcPr>
          <w:p w14:paraId="7BCCF7DD" w14:textId="1F9A9691"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(24,</w:t>
            </w:r>
            <w:r w:rsidR="00320937" w:rsidRPr="49BCD735">
              <w:rPr>
                <w:rFonts w:eastAsia="Times New Roman" w:cs="Arial"/>
                <w:color w:val="000000" w:themeColor="text1"/>
                <w:sz w:val="20"/>
                <w:szCs w:val="20"/>
                <w:lang w:eastAsia="en-AU"/>
              </w:rPr>
              <w:t>958</w:t>
            </w:r>
            <w:r w:rsidRPr="49BCD735">
              <w:rPr>
                <w:rFonts w:eastAsia="Times New Roman" w:cs="Arial"/>
                <w:color w:val="000000" w:themeColor="text1"/>
                <w:sz w:val="20"/>
                <w:szCs w:val="20"/>
                <w:lang w:eastAsia="en-AU"/>
              </w:rPr>
              <w:t>)</w:t>
            </w:r>
          </w:p>
        </w:tc>
        <w:tc>
          <w:tcPr>
            <w:tcW w:w="647" w:type="pct"/>
            <w:tcBorders>
              <w:top w:val="nil"/>
              <w:left w:val="nil"/>
              <w:right w:val="nil"/>
            </w:tcBorders>
            <w:noWrap/>
          </w:tcPr>
          <w:p w14:paraId="014DDE49" w14:textId="743D9924"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(952)</w:t>
            </w:r>
          </w:p>
        </w:tc>
        <w:tc>
          <w:tcPr>
            <w:tcW w:w="647" w:type="pct"/>
            <w:tcBorders>
              <w:top w:val="nil"/>
              <w:left w:val="nil"/>
              <w:right w:val="nil"/>
            </w:tcBorders>
            <w:noWrap/>
            <w:hideMark/>
          </w:tcPr>
          <w:p w14:paraId="235559E2" w14:textId="0FF6FAD7"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(3,810)</w:t>
            </w:r>
          </w:p>
        </w:tc>
        <w:tc>
          <w:tcPr>
            <w:tcW w:w="646" w:type="pct"/>
            <w:tcBorders>
              <w:top w:val="nil"/>
              <w:left w:val="nil"/>
              <w:right w:val="nil"/>
            </w:tcBorders>
            <w:noWrap/>
            <w:hideMark/>
          </w:tcPr>
          <w:p w14:paraId="1C65F1E5" w14:textId="0A54547F"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(20,196)</w:t>
            </w:r>
          </w:p>
        </w:tc>
      </w:tr>
      <w:tr w:rsidR="00AD1979" w:rsidRPr="003C0D78" w14:paraId="687322C3" w14:textId="77777777" w:rsidTr="49BCD735">
        <w:trPr>
          <w:trHeight w:val="264"/>
        </w:trPr>
        <w:tc>
          <w:tcPr>
            <w:tcW w:w="1766" w:type="pct"/>
            <w:tcBorders>
              <w:top w:val="nil"/>
              <w:left w:val="nil"/>
              <w:bottom w:val="nil"/>
              <w:right w:val="nil"/>
            </w:tcBorders>
            <w:noWrap/>
            <w:vAlign w:val="bottom"/>
          </w:tcPr>
          <w:p w14:paraId="50805D47" w14:textId="47E945AC" w:rsidR="00AD1979" w:rsidRDefault="00AD1979" w:rsidP="007E737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provisions</w:t>
            </w:r>
          </w:p>
        </w:tc>
        <w:tc>
          <w:tcPr>
            <w:tcW w:w="647" w:type="pct"/>
            <w:gridSpan w:val="2"/>
            <w:tcBorders>
              <w:top w:val="nil"/>
              <w:left w:val="nil"/>
              <w:right w:val="nil"/>
            </w:tcBorders>
            <w:noWrap/>
          </w:tcPr>
          <w:p w14:paraId="678750AC" w14:textId="603A34AC"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(9,912)</w:t>
            </w:r>
          </w:p>
        </w:tc>
        <w:tc>
          <w:tcPr>
            <w:tcW w:w="647" w:type="pct"/>
            <w:tcBorders>
              <w:top w:val="nil"/>
              <w:left w:val="nil"/>
              <w:right w:val="nil"/>
            </w:tcBorders>
            <w:noWrap/>
          </w:tcPr>
          <w:p w14:paraId="4D2EB531" w14:textId="34038E97"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(9,912)</w:t>
            </w:r>
          </w:p>
        </w:tc>
        <w:tc>
          <w:tcPr>
            <w:tcW w:w="647" w:type="pct"/>
            <w:tcBorders>
              <w:top w:val="nil"/>
              <w:left w:val="nil"/>
              <w:right w:val="nil"/>
            </w:tcBorders>
            <w:noWrap/>
          </w:tcPr>
          <w:p w14:paraId="13EA096C" w14:textId="0782041C"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(6,000)</w:t>
            </w:r>
          </w:p>
        </w:tc>
        <w:tc>
          <w:tcPr>
            <w:tcW w:w="647" w:type="pct"/>
            <w:tcBorders>
              <w:top w:val="nil"/>
              <w:left w:val="nil"/>
              <w:right w:val="nil"/>
            </w:tcBorders>
            <w:noWrap/>
          </w:tcPr>
          <w:p w14:paraId="147827F0" w14:textId="21E46411"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(3,912)</w:t>
            </w:r>
          </w:p>
        </w:tc>
        <w:tc>
          <w:tcPr>
            <w:tcW w:w="646" w:type="pct"/>
            <w:tcBorders>
              <w:top w:val="nil"/>
              <w:left w:val="nil"/>
              <w:right w:val="nil"/>
            </w:tcBorders>
            <w:noWrap/>
          </w:tcPr>
          <w:p w14:paraId="60A0E266" w14:textId="51DF9500" w:rsidR="00AD1979" w:rsidRPr="00F65403" w:rsidRDefault="00AD1979" w:rsidP="007E7379">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r>
      <w:tr w:rsidR="00AD1979" w:rsidRPr="003C0D78" w14:paraId="71013A89" w14:textId="77777777" w:rsidTr="49BCD735">
        <w:trPr>
          <w:trHeight w:val="264"/>
        </w:trPr>
        <w:tc>
          <w:tcPr>
            <w:tcW w:w="1766" w:type="pct"/>
            <w:tcBorders>
              <w:top w:val="nil"/>
              <w:left w:val="nil"/>
              <w:bottom w:val="nil"/>
              <w:right w:val="nil"/>
            </w:tcBorders>
            <w:noWrap/>
            <w:vAlign w:val="bottom"/>
          </w:tcPr>
          <w:p w14:paraId="24097A65" w14:textId="77777777" w:rsidR="00AD1979" w:rsidRDefault="00AD1979" w:rsidP="007E7379">
            <w:pPr>
              <w:spacing w:after="0" w:line="240" w:lineRule="auto"/>
              <w:rPr>
                <w:rFonts w:eastAsia="Times New Roman" w:cs="Arial"/>
                <w:color w:val="000000"/>
                <w:sz w:val="20"/>
                <w:szCs w:val="20"/>
                <w:lang w:eastAsia="en-AU"/>
              </w:rPr>
            </w:pPr>
          </w:p>
        </w:tc>
        <w:tc>
          <w:tcPr>
            <w:tcW w:w="647" w:type="pct"/>
            <w:gridSpan w:val="2"/>
            <w:tcBorders>
              <w:top w:val="single" w:sz="4" w:space="0" w:color="auto"/>
              <w:left w:val="nil"/>
              <w:right w:val="nil"/>
            </w:tcBorders>
            <w:noWrap/>
          </w:tcPr>
          <w:p w14:paraId="1AA92938" w14:textId="0963FD04" w:rsidR="00AD1979" w:rsidRPr="002F74F3" w:rsidRDefault="00AD1979" w:rsidP="007E7379">
            <w:pPr>
              <w:tabs>
                <w:tab w:val="decimal" w:pos="871"/>
              </w:tabs>
              <w:spacing w:after="0" w:line="240" w:lineRule="auto"/>
              <w:rPr>
                <w:rFonts w:eastAsia="Times New Roman" w:cs="Arial"/>
                <w:b/>
                <w:bCs/>
                <w:color w:val="000000"/>
                <w:sz w:val="20"/>
                <w:szCs w:val="20"/>
                <w:lang w:eastAsia="en-AU"/>
              </w:rPr>
            </w:pPr>
            <w:r w:rsidRPr="002F74F3">
              <w:rPr>
                <w:rFonts w:eastAsia="Times New Roman" w:cs="Arial"/>
                <w:b/>
                <w:bCs/>
                <w:color w:val="000000"/>
                <w:sz w:val="20"/>
                <w:szCs w:val="20"/>
                <w:lang w:eastAsia="en-AU"/>
              </w:rPr>
              <w:t>(43,366)</w:t>
            </w:r>
          </w:p>
        </w:tc>
        <w:tc>
          <w:tcPr>
            <w:tcW w:w="647" w:type="pct"/>
            <w:tcBorders>
              <w:top w:val="single" w:sz="4" w:space="0" w:color="auto"/>
              <w:left w:val="nil"/>
              <w:right w:val="nil"/>
            </w:tcBorders>
            <w:noWrap/>
          </w:tcPr>
          <w:p w14:paraId="669F097B" w14:textId="5BEE3807" w:rsidR="00AD1979" w:rsidRPr="002F74F3" w:rsidRDefault="00AD1979" w:rsidP="007E7379">
            <w:pPr>
              <w:tabs>
                <w:tab w:val="decimal" w:pos="871"/>
              </w:tabs>
              <w:spacing w:after="0" w:line="240" w:lineRule="auto"/>
              <w:rPr>
                <w:rFonts w:eastAsia="Times New Roman" w:cs="Arial"/>
                <w:b/>
                <w:bCs/>
                <w:color w:val="000000"/>
                <w:sz w:val="20"/>
                <w:szCs w:val="20"/>
                <w:lang w:eastAsia="en-AU"/>
              </w:rPr>
            </w:pPr>
            <w:r w:rsidRPr="002F74F3">
              <w:rPr>
                <w:rFonts w:eastAsia="Times New Roman" w:cs="Arial"/>
                <w:b/>
                <w:bCs/>
                <w:color w:val="000000"/>
                <w:sz w:val="20"/>
                <w:szCs w:val="20"/>
                <w:lang w:eastAsia="en-AU"/>
              </w:rPr>
              <w:t>(59,105)</w:t>
            </w:r>
          </w:p>
        </w:tc>
        <w:tc>
          <w:tcPr>
            <w:tcW w:w="647" w:type="pct"/>
            <w:tcBorders>
              <w:top w:val="single" w:sz="4" w:space="0" w:color="auto"/>
              <w:left w:val="nil"/>
              <w:right w:val="nil"/>
            </w:tcBorders>
            <w:noWrap/>
          </w:tcPr>
          <w:p w14:paraId="7E3BA01A" w14:textId="5CE83983" w:rsidR="00AD1979" w:rsidRPr="002F74F3" w:rsidRDefault="00AD1979" w:rsidP="007E7379">
            <w:pPr>
              <w:tabs>
                <w:tab w:val="decimal" w:pos="871"/>
              </w:tabs>
              <w:spacing w:after="0" w:line="240" w:lineRule="auto"/>
              <w:rPr>
                <w:rFonts w:eastAsia="Times New Roman" w:cs="Arial"/>
                <w:b/>
                <w:bCs/>
                <w:color w:val="000000"/>
                <w:sz w:val="20"/>
                <w:szCs w:val="20"/>
                <w:lang w:eastAsia="en-AU"/>
              </w:rPr>
            </w:pPr>
            <w:r w:rsidRPr="002F74F3">
              <w:rPr>
                <w:rFonts w:eastAsia="Times New Roman" w:cs="Arial"/>
                <w:b/>
                <w:bCs/>
                <w:color w:val="000000"/>
                <w:sz w:val="20"/>
                <w:szCs w:val="20"/>
                <w:lang w:eastAsia="en-AU"/>
              </w:rPr>
              <w:t>(31,187)</w:t>
            </w:r>
          </w:p>
        </w:tc>
        <w:tc>
          <w:tcPr>
            <w:tcW w:w="647" w:type="pct"/>
            <w:tcBorders>
              <w:top w:val="single" w:sz="4" w:space="0" w:color="auto"/>
              <w:left w:val="nil"/>
              <w:right w:val="nil"/>
            </w:tcBorders>
            <w:noWrap/>
          </w:tcPr>
          <w:p w14:paraId="5079FF47" w14:textId="53F32FAE" w:rsidR="00AD1979" w:rsidRPr="002F74F3" w:rsidRDefault="00AD1979" w:rsidP="007E7379">
            <w:pPr>
              <w:tabs>
                <w:tab w:val="decimal" w:pos="871"/>
              </w:tabs>
              <w:spacing w:after="0" w:line="240" w:lineRule="auto"/>
              <w:rPr>
                <w:rFonts w:eastAsia="Times New Roman" w:cs="Arial"/>
                <w:b/>
                <w:bCs/>
                <w:color w:val="000000"/>
                <w:sz w:val="20"/>
                <w:szCs w:val="20"/>
                <w:lang w:eastAsia="en-AU"/>
              </w:rPr>
            </w:pPr>
            <w:r w:rsidRPr="002F74F3">
              <w:rPr>
                <w:rFonts w:eastAsia="Times New Roman" w:cs="Arial"/>
                <w:b/>
                <w:bCs/>
                <w:color w:val="000000"/>
                <w:sz w:val="20"/>
                <w:szCs w:val="20"/>
                <w:lang w:eastAsia="en-AU"/>
              </w:rPr>
              <w:t>(7,722)</w:t>
            </w:r>
          </w:p>
        </w:tc>
        <w:tc>
          <w:tcPr>
            <w:tcW w:w="646" w:type="pct"/>
            <w:tcBorders>
              <w:top w:val="single" w:sz="4" w:space="0" w:color="auto"/>
              <w:left w:val="nil"/>
              <w:right w:val="nil"/>
            </w:tcBorders>
            <w:noWrap/>
          </w:tcPr>
          <w:p w14:paraId="73432E1E" w14:textId="3378FEED" w:rsidR="00AD1979" w:rsidRPr="002F74F3" w:rsidRDefault="00AD1979" w:rsidP="007E7379">
            <w:pPr>
              <w:tabs>
                <w:tab w:val="decimal" w:pos="871"/>
              </w:tabs>
              <w:spacing w:after="0" w:line="240" w:lineRule="auto"/>
              <w:rPr>
                <w:rFonts w:eastAsia="Times New Roman" w:cs="Arial"/>
                <w:b/>
                <w:bCs/>
                <w:color w:val="000000"/>
                <w:sz w:val="20"/>
                <w:szCs w:val="20"/>
                <w:lang w:eastAsia="en-AU"/>
              </w:rPr>
            </w:pPr>
            <w:r w:rsidRPr="002F74F3">
              <w:rPr>
                <w:rFonts w:eastAsia="Times New Roman" w:cs="Arial"/>
                <w:b/>
                <w:bCs/>
                <w:color w:val="000000"/>
                <w:sz w:val="20"/>
                <w:szCs w:val="20"/>
                <w:lang w:eastAsia="en-AU"/>
              </w:rPr>
              <w:t>(20,196)</w:t>
            </w:r>
          </w:p>
        </w:tc>
      </w:tr>
      <w:tr w:rsidR="00730623" w:rsidRPr="003C0D78" w14:paraId="197E7CB6" w14:textId="77777777" w:rsidTr="49BCD735">
        <w:trPr>
          <w:trHeight w:val="264"/>
        </w:trPr>
        <w:tc>
          <w:tcPr>
            <w:tcW w:w="1766" w:type="pct"/>
            <w:tcBorders>
              <w:top w:val="nil"/>
              <w:left w:val="nil"/>
              <w:bottom w:val="nil"/>
              <w:right w:val="nil"/>
            </w:tcBorders>
            <w:noWrap/>
            <w:vAlign w:val="bottom"/>
          </w:tcPr>
          <w:p w14:paraId="3E34634A" w14:textId="4C3EB47A" w:rsidR="00730623" w:rsidRPr="00F65403" w:rsidRDefault="00730623" w:rsidP="00730623">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Derivative </w:t>
            </w:r>
            <w:r>
              <w:rPr>
                <w:rFonts w:eastAsia="Times New Roman" w:cs="Arial"/>
                <w:color w:val="000000"/>
                <w:sz w:val="20"/>
                <w:szCs w:val="20"/>
                <w:lang w:eastAsia="en-AU"/>
              </w:rPr>
              <w:t>assets</w:t>
            </w:r>
          </w:p>
        </w:tc>
        <w:tc>
          <w:tcPr>
            <w:tcW w:w="647" w:type="pct"/>
            <w:gridSpan w:val="2"/>
            <w:tcBorders>
              <w:top w:val="nil"/>
              <w:left w:val="nil"/>
              <w:right w:val="nil"/>
            </w:tcBorders>
            <w:noWrap/>
          </w:tcPr>
          <w:p w14:paraId="7AD1E95E" w14:textId="706B5C41"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72,224 </w:t>
            </w:r>
          </w:p>
        </w:tc>
        <w:tc>
          <w:tcPr>
            <w:tcW w:w="647" w:type="pct"/>
            <w:tcBorders>
              <w:top w:val="nil"/>
              <w:left w:val="nil"/>
              <w:right w:val="nil"/>
            </w:tcBorders>
            <w:noWrap/>
          </w:tcPr>
          <w:p w14:paraId="61F2B308" w14:textId="17FC12AC"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71,</w:t>
            </w:r>
            <w:r w:rsidR="00467D9A" w:rsidRPr="49BCD735">
              <w:rPr>
                <w:rFonts w:eastAsia="Times New Roman" w:cs="Arial"/>
                <w:color w:val="000000" w:themeColor="text1"/>
                <w:sz w:val="20"/>
                <w:szCs w:val="20"/>
                <w:lang w:eastAsia="en-AU"/>
              </w:rPr>
              <w:t xml:space="preserve">815 </w:t>
            </w:r>
          </w:p>
        </w:tc>
        <w:tc>
          <w:tcPr>
            <w:tcW w:w="647" w:type="pct"/>
            <w:tcBorders>
              <w:top w:val="nil"/>
              <w:left w:val="nil"/>
              <w:right w:val="nil"/>
            </w:tcBorders>
            <w:noWrap/>
          </w:tcPr>
          <w:p w14:paraId="36CB2BB9" w14:textId="6F41BB84"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17,911 </w:t>
            </w:r>
          </w:p>
        </w:tc>
        <w:tc>
          <w:tcPr>
            <w:tcW w:w="647" w:type="pct"/>
            <w:tcBorders>
              <w:top w:val="nil"/>
              <w:left w:val="nil"/>
              <w:right w:val="nil"/>
            </w:tcBorders>
            <w:noWrap/>
          </w:tcPr>
          <w:p w14:paraId="2B592EAD" w14:textId="3ACC25E7"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19,993 </w:t>
            </w:r>
          </w:p>
        </w:tc>
        <w:tc>
          <w:tcPr>
            <w:tcW w:w="646" w:type="pct"/>
            <w:tcBorders>
              <w:top w:val="nil"/>
              <w:left w:val="nil"/>
              <w:right w:val="nil"/>
            </w:tcBorders>
            <w:noWrap/>
          </w:tcPr>
          <w:p w14:paraId="17606DDB" w14:textId="3A3B5115"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33,9</w:t>
            </w:r>
            <w:r w:rsidR="009155F8" w:rsidRPr="49BCD735">
              <w:rPr>
                <w:rFonts w:eastAsia="Times New Roman" w:cs="Arial"/>
                <w:color w:val="000000" w:themeColor="text1"/>
                <w:sz w:val="20"/>
                <w:szCs w:val="20"/>
                <w:lang w:eastAsia="en-AU"/>
              </w:rPr>
              <w:t>11</w:t>
            </w:r>
            <w:r w:rsidRPr="49BCD735">
              <w:rPr>
                <w:rFonts w:eastAsia="Times New Roman" w:cs="Arial"/>
                <w:color w:val="000000" w:themeColor="text1"/>
                <w:sz w:val="20"/>
                <w:szCs w:val="20"/>
                <w:lang w:eastAsia="en-AU"/>
              </w:rPr>
              <w:t xml:space="preserve"> </w:t>
            </w:r>
          </w:p>
        </w:tc>
      </w:tr>
      <w:tr w:rsidR="00730623" w:rsidRPr="003C0D78" w14:paraId="1C85B23D" w14:textId="77777777" w:rsidTr="49BCD735">
        <w:trPr>
          <w:trHeight w:val="264"/>
        </w:trPr>
        <w:tc>
          <w:tcPr>
            <w:tcW w:w="1766" w:type="pct"/>
            <w:tcBorders>
              <w:top w:val="nil"/>
              <w:left w:val="nil"/>
              <w:bottom w:val="nil"/>
              <w:right w:val="nil"/>
            </w:tcBorders>
            <w:noWrap/>
            <w:vAlign w:val="bottom"/>
            <w:hideMark/>
          </w:tcPr>
          <w:p w14:paraId="135D48B4" w14:textId="77777777" w:rsidR="00730623" w:rsidRPr="00F65403" w:rsidRDefault="00730623" w:rsidP="00730623">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liabilities</w:t>
            </w:r>
          </w:p>
        </w:tc>
        <w:tc>
          <w:tcPr>
            <w:tcW w:w="647" w:type="pct"/>
            <w:gridSpan w:val="2"/>
            <w:tcBorders>
              <w:top w:val="nil"/>
              <w:left w:val="nil"/>
              <w:bottom w:val="single" w:sz="4" w:space="0" w:color="auto"/>
              <w:right w:val="nil"/>
            </w:tcBorders>
            <w:noWrap/>
            <w:hideMark/>
          </w:tcPr>
          <w:p w14:paraId="7CBAD503" w14:textId="02606A5D"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(752)</w:t>
            </w:r>
          </w:p>
        </w:tc>
        <w:tc>
          <w:tcPr>
            <w:tcW w:w="647" w:type="pct"/>
            <w:tcBorders>
              <w:top w:val="nil"/>
              <w:left w:val="nil"/>
              <w:bottom w:val="single" w:sz="4" w:space="0" w:color="auto"/>
              <w:right w:val="nil"/>
            </w:tcBorders>
            <w:noWrap/>
            <w:hideMark/>
          </w:tcPr>
          <w:p w14:paraId="268ADA10" w14:textId="459E9C33"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(752)</w:t>
            </w:r>
          </w:p>
        </w:tc>
        <w:tc>
          <w:tcPr>
            <w:tcW w:w="647" w:type="pct"/>
            <w:tcBorders>
              <w:top w:val="nil"/>
              <w:left w:val="nil"/>
              <w:bottom w:val="single" w:sz="4" w:space="0" w:color="auto"/>
              <w:right w:val="nil"/>
            </w:tcBorders>
            <w:noWrap/>
          </w:tcPr>
          <w:p w14:paraId="37DC68F6" w14:textId="25BE09C0"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(752)</w:t>
            </w:r>
          </w:p>
        </w:tc>
        <w:tc>
          <w:tcPr>
            <w:tcW w:w="647" w:type="pct"/>
            <w:tcBorders>
              <w:top w:val="nil"/>
              <w:left w:val="nil"/>
              <w:bottom w:val="single" w:sz="4" w:space="0" w:color="auto"/>
              <w:right w:val="nil"/>
            </w:tcBorders>
            <w:noWrap/>
            <w:hideMark/>
          </w:tcPr>
          <w:p w14:paraId="1DB37458" w14:textId="48FBF177"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   </w:t>
            </w:r>
          </w:p>
        </w:tc>
        <w:tc>
          <w:tcPr>
            <w:tcW w:w="646" w:type="pct"/>
            <w:tcBorders>
              <w:top w:val="nil"/>
              <w:left w:val="nil"/>
              <w:bottom w:val="single" w:sz="4" w:space="0" w:color="auto"/>
              <w:right w:val="nil"/>
            </w:tcBorders>
            <w:noWrap/>
            <w:hideMark/>
          </w:tcPr>
          <w:p w14:paraId="088318AF" w14:textId="1EECA73C" w:rsidR="00730623" w:rsidRPr="00F65403" w:rsidRDefault="00730623" w:rsidP="00730623">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   </w:t>
            </w:r>
          </w:p>
        </w:tc>
      </w:tr>
      <w:tr w:rsidR="00730623" w:rsidRPr="003C0D78" w14:paraId="2299B9B3" w14:textId="77777777" w:rsidTr="49BCD735">
        <w:trPr>
          <w:trHeight w:val="264"/>
        </w:trPr>
        <w:tc>
          <w:tcPr>
            <w:tcW w:w="1766" w:type="pct"/>
            <w:tcBorders>
              <w:top w:val="nil"/>
              <w:left w:val="nil"/>
              <w:bottom w:val="nil"/>
              <w:right w:val="nil"/>
            </w:tcBorders>
            <w:noWrap/>
            <w:vAlign w:val="bottom"/>
          </w:tcPr>
          <w:p w14:paraId="7C7B0E55" w14:textId="77777777" w:rsidR="00730623" w:rsidRPr="00F65403" w:rsidRDefault="00730623" w:rsidP="00730623">
            <w:pPr>
              <w:spacing w:after="0" w:line="240" w:lineRule="auto"/>
              <w:rPr>
                <w:rFonts w:eastAsia="Times New Roman" w:cs="Arial"/>
                <w:b/>
                <w:color w:val="000000"/>
                <w:sz w:val="20"/>
                <w:szCs w:val="20"/>
                <w:lang w:eastAsia="en-AU"/>
              </w:rPr>
            </w:pPr>
          </w:p>
        </w:tc>
        <w:tc>
          <w:tcPr>
            <w:tcW w:w="647" w:type="pct"/>
            <w:gridSpan w:val="2"/>
            <w:tcBorders>
              <w:top w:val="single" w:sz="4" w:space="0" w:color="auto"/>
              <w:left w:val="nil"/>
              <w:bottom w:val="single" w:sz="4" w:space="0" w:color="auto"/>
              <w:right w:val="nil"/>
            </w:tcBorders>
            <w:noWrap/>
          </w:tcPr>
          <w:p w14:paraId="17E1CF0A" w14:textId="34B5D741"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71,472</w:t>
            </w:r>
          </w:p>
        </w:tc>
        <w:tc>
          <w:tcPr>
            <w:tcW w:w="647" w:type="pct"/>
            <w:tcBorders>
              <w:top w:val="single" w:sz="4" w:space="0" w:color="auto"/>
              <w:left w:val="nil"/>
              <w:bottom w:val="single" w:sz="4" w:space="0" w:color="auto"/>
              <w:right w:val="nil"/>
            </w:tcBorders>
            <w:noWrap/>
          </w:tcPr>
          <w:p w14:paraId="4CD0655C" w14:textId="42F9B3DC"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71,063</w:t>
            </w:r>
          </w:p>
        </w:tc>
        <w:tc>
          <w:tcPr>
            <w:tcW w:w="647" w:type="pct"/>
            <w:tcBorders>
              <w:top w:val="single" w:sz="4" w:space="0" w:color="auto"/>
              <w:left w:val="nil"/>
              <w:bottom w:val="single" w:sz="4" w:space="0" w:color="auto"/>
              <w:right w:val="nil"/>
            </w:tcBorders>
            <w:noWrap/>
          </w:tcPr>
          <w:p w14:paraId="71CD5322" w14:textId="43E70410"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17,159</w:t>
            </w:r>
          </w:p>
        </w:tc>
        <w:tc>
          <w:tcPr>
            <w:tcW w:w="647" w:type="pct"/>
            <w:tcBorders>
              <w:top w:val="single" w:sz="4" w:space="0" w:color="auto"/>
              <w:left w:val="nil"/>
              <w:bottom w:val="single" w:sz="4" w:space="0" w:color="auto"/>
              <w:right w:val="nil"/>
            </w:tcBorders>
            <w:noWrap/>
          </w:tcPr>
          <w:p w14:paraId="6CFB41F3" w14:textId="0EF81871"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19,993</w:t>
            </w:r>
          </w:p>
        </w:tc>
        <w:tc>
          <w:tcPr>
            <w:tcW w:w="646" w:type="pct"/>
            <w:tcBorders>
              <w:top w:val="single" w:sz="4" w:space="0" w:color="auto"/>
              <w:left w:val="nil"/>
              <w:bottom w:val="single" w:sz="4" w:space="0" w:color="auto"/>
              <w:right w:val="nil"/>
            </w:tcBorders>
            <w:noWrap/>
          </w:tcPr>
          <w:p w14:paraId="7E1DF831" w14:textId="3D0F8666"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33,</w:t>
            </w:r>
            <w:r w:rsidR="00855160" w:rsidRPr="49BCD735">
              <w:rPr>
                <w:rFonts w:eastAsia="Times New Roman" w:cs="Arial"/>
                <w:b/>
                <w:bCs/>
                <w:color w:val="000000" w:themeColor="text1"/>
                <w:sz w:val="20"/>
                <w:szCs w:val="20"/>
                <w:lang w:eastAsia="en-AU"/>
              </w:rPr>
              <w:t>911</w:t>
            </w:r>
          </w:p>
        </w:tc>
      </w:tr>
      <w:tr w:rsidR="00730623" w:rsidRPr="003C0D78" w14:paraId="5C448601" w14:textId="77777777" w:rsidTr="49BCD735">
        <w:trPr>
          <w:trHeight w:val="264"/>
        </w:trPr>
        <w:tc>
          <w:tcPr>
            <w:tcW w:w="1766" w:type="pct"/>
            <w:tcBorders>
              <w:top w:val="nil"/>
              <w:left w:val="nil"/>
              <w:bottom w:val="nil"/>
              <w:right w:val="nil"/>
            </w:tcBorders>
            <w:noWrap/>
            <w:vAlign w:val="bottom"/>
            <w:hideMark/>
          </w:tcPr>
          <w:p w14:paraId="50137F76" w14:textId="77777777" w:rsidR="00730623" w:rsidRPr="00F65403" w:rsidRDefault="00730623" w:rsidP="00730623">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47" w:type="pct"/>
            <w:gridSpan w:val="2"/>
            <w:tcBorders>
              <w:top w:val="single" w:sz="4" w:space="0" w:color="auto"/>
              <w:left w:val="nil"/>
              <w:bottom w:val="single" w:sz="4" w:space="0" w:color="auto"/>
              <w:right w:val="nil"/>
            </w:tcBorders>
            <w:noWrap/>
          </w:tcPr>
          <w:p w14:paraId="170DBFA4" w14:textId="70A3F3CF"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28,106</w:t>
            </w:r>
          </w:p>
        </w:tc>
        <w:tc>
          <w:tcPr>
            <w:tcW w:w="647" w:type="pct"/>
            <w:tcBorders>
              <w:top w:val="single" w:sz="4" w:space="0" w:color="auto"/>
              <w:left w:val="nil"/>
              <w:bottom w:val="single" w:sz="4" w:space="0" w:color="auto"/>
              <w:right w:val="nil"/>
            </w:tcBorders>
            <w:noWrap/>
          </w:tcPr>
          <w:p w14:paraId="057DAE07" w14:textId="4A55049C"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11,958</w:t>
            </w:r>
          </w:p>
        </w:tc>
        <w:tc>
          <w:tcPr>
            <w:tcW w:w="647" w:type="pct"/>
            <w:tcBorders>
              <w:top w:val="single" w:sz="4" w:space="0" w:color="auto"/>
              <w:left w:val="nil"/>
              <w:bottom w:val="single" w:sz="4" w:space="0" w:color="auto"/>
              <w:right w:val="nil"/>
            </w:tcBorders>
            <w:noWrap/>
          </w:tcPr>
          <w:p w14:paraId="418A05E7" w14:textId="775429D5"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(14,028)</w:t>
            </w:r>
          </w:p>
        </w:tc>
        <w:tc>
          <w:tcPr>
            <w:tcW w:w="647" w:type="pct"/>
            <w:tcBorders>
              <w:top w:val="single" w:sz="4" w:space="0" w:color="auto"/>
              <w:left w:val="nil"/>
              <w:bottom w:val="single" w:sz="4" w:space="0" w:color="auto"/>
              <w:right w:val="nil"/>
            </w:tcBorders>
            <w:noWrap/>
          </w:tcPr>
          <w:p w14:paraId="67115412" w14:textId="0F061D6F"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12,271</w:t>
            </w:r>
          </w:p>
        </w:tc>
        <w:tc>
          <w:tcPr>
            <w:tcW w:w="646" w:type="pct"/>
            <w:tcBorders>
              <w:top w:val="single" w:sz="4" w:space="0" w:color="auto"/>
              <w:left w:val="nil"/>
              <w:bottom w:val="single" w:sz="4" w:space="0" w:color="auto"/>
              <w:right w:val="nil"/>
            </w:tcBorders>
            <w:noWrap/>
          </w:tcPr>
          <w:p w14:paraId="1ED3189F" w14:textId="210925C5" w:rsidR="00730623" w:rsidRPr="00730623" w:rsidRDefault="00730623" w:rsidP="00730623">
            <w:pPr>
              <w:tabs>
                <w:tab w:val="decimal" w:pos="871"/>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13,71</w:t>
            </w:r>
            <w:r w:rsidR="00855160" w:rsidRPr="49BCD735">
              <w:rPr>
                <w:rFonts w:eastAsia="Times New Roman" w:cs="Arial"/>
                <w:b/>
                <w:bCs/>
                <w:color w:val="000000" w:themeColor="text1"/>
                <w:sz w:val="20"/>
                <w:szCs w:val="20"/>
                <w:lang w:eastAsia="en-AU"/>
              </w:rPr>
              <w:t>5</w:t>
            </w:r>
          </w:p>
        </w:tc>
      </w:tr>
    </w:tbl>
    <w:p w14:paraId="4BD5CBCC" w14:textId="1E6CC0C8" w:rsidR="002F74F3" w:rsidRDefault="002F74F3" w:rsidP="0039479B">
      <w:pPr>
        <w:pStyle w:val="BodyText"/>
        <w:rPr>
          <w:sz w:val="24"/>
          <w:szCs w:val="24"/>
          <w:lang w:val="en-AU"/>
        </w:rPr>
      </w:pPr>
    </w:p>
    <w:p w14:paraId="4D2C786B" w14:textId="27B7CE0E" w:rsidR="002F74F3" w:rsidRDefault="0053091E" w:rsidP="0053091E">
      <w:pPr>
        <w:pStyle w:val="BodyText"/>
        <w:rPr>
          <w:szCs w:val="24"/>
        </w:rPr>
      </w:pPr>
      <w:r w:rsidRPr="0053091E">
        <w:rPr>
          <w:lang w:val="en-AU"/>
        </w:rPr>
        <w:t>The Group had $</w:t>
      </w:r>
      <w:r>
        <w:rPr>
          <w:lang w:val="en-AU"/>
        </w:rPr>
        <w:t>356</w:t>
      </w:r>
      <w:r w:rsidR="008B6E3F">
        <w:rPr>
          <w:lang w:val="en-AU"/>
        </w:rPr>
        <w:t>.3</w:t>
      </w:r>
      <w:r w:rsidRPr="0053091E">
        <w:rPr>
          <w:lang w:val="en-AU"/>
        </w:rPr>
        <w:t xml:space="preserve"> million of cash and $</w:t>
      </w:r>
      <w:r w:rsidR="00400725">
        <w:rPr>
          <w:lang w:val="en-AU"/>
        </w:rPr>
        <w:t>233</w:t>
      </w:r>
      <w:r w:rsidR="008B6E3F">
        <w:rPr>
          <w:lang w:val="en-AU"/>
        </w:rPr>
        <w:t>.8</w:t>
      </w:r>
      <w:r w:rsidRPr="0053091E">
        <w:rPr>
          <w:lang w:val="en-AU"/>
        </w:rPr>
        <w:t xml:space="preserve"> million in committed undrawn floating rate borrowing facilities expiring beyond one year</w:t>
      </w:r>
      <w:r w:rsidR="003977EF">
        <w:rPr>
          <w:lang w:val="en-AU"/>
        </w:rPr>
        <w:t xml:space="preserve"> at 30 June 2025.</w:t>
      </w:r>
      <w:r w:rsidR="008B6E3F">
        <w:rPr>
          <w:sz w:val="24"/>
          <w:szCs w:val="24"/>
          <w:lang w:val="en-AU"/>
        </w:rPr>
        <w:br/>
      </w:r>
    </w:p>
    <w:tbl>
      <w:tblPr>
        <w:tblW w:w="4869" w:type="pct"/>
        <w:tblCellMar>
          <w:top w:w="28" w:type="dxa"/>
          <w:left w:w="28" w:type="dxa"/>
          <w:bottom w:w="28" w:type="dxa"/>
          <w:right w:w="28" w:type="dxa"/>
        </w:tblCellMar>
        <w:tblLook w:val="04A0" w:firstRow="1" w:lastRow="0" w:firstColumn="1" w:lastColumn="0" w:noHBand="0" w:noVBand="1"/>
      </w:tblPr>
      <w:tblGrid>
        <w:gridCol w:w="3106"/>
        <w:gridCol w:w="995"/>
        <w:gridCol w:w="142"/>
        <w:gridCol w:w="1137"/>
        <w:gridCol w:w="1137"/>
        <w:gridCol w:w="1137"/>
        <w:gridCol w:w="1136"/>
      </w:tblGrid>
      <w:tr w:rsidR="00730623" w:rsidRPr="003C0D78" w14:paraId="3BBCCBC4" w14:textId="77777777" w:rsidTr="0010235E">
        <w:trPr>
          <w:trHeight w:val="264"/>
        </w:trPr>
        <w:tc>
          <w:tcPr>
            <w:tcW w:w="1766" w:type="pct"/>
            <w:tcBorders>
              <w:top w:val="nil"/>
              <w:left w:val="nil"/>
              <w:bottom w:val="nil"/>
              <w:right w:val="nil"/>
            </w:tcBorders>
            <w:noWrap/>
            <w:vAlign w:val="bottom"/>
            <w:hideMark/>
          </w:tcPr>
          <w:p w14:paraId="0073F22E" w14:textId="77777777" w:rsidR="00730623" w:rsidRPr="00F65403" w:rsidRDefault="00730623" w:rsidP="008C2E60">
            <w:pPr>
              <w:spacing w:after="0" w:line="240" w:lineRule="auto"/>
              <w:rPr>
                <w:rFonts w:eastAsia="Times New Roman" w:cs="Arial"/>
                <w:sz w:val="20"/>
                <w:szCs w:val="20"/>
                <w:lang w:eastAsia="en-AU"/>
              </w:rPr>
            </w:pPr>
          </w:p>
        </w:tc>
        <w:tc>
          <w:tcPr>
            <w:tcW w:w="566" w:type="pct"/>
            <w:tcBorders>
              <w:top w:val="nil"/>
              <w:left w:val="nil"/>
              <w:bottom w:val="nil"/>
              <w:right w:val="nil"/>
            </w:tcBorders>
            <w:noWrap/>
            <w:vAlign w:val="bottom"/>
            <w:hideMark/>
          </w:tcPr>
          <w:p w14:paraId="7B1E8B79" w14:textId="77777777" w:rsidR="00730623" w:rsidRPr="00F65403" w:rsidRDefault="00730623" w:rsidP="008C2E60">
            <w:pPr>
              <w:spacing w:after="0" w:line="240" w:lineRule="auto"/>
              <w:rPr>
                <w:rFonts w:eastAsia="Times New Roman" w:cs="Arial"/>
                <w:sz w:val="20"/>
                <w:szCs w:val="20"/>
                <w:lang w:eastAsia="en-AU"/>
              </w:rPr>
            </w:pPr>
          </w:p>
        </w:tc>
        <w:tc>
          <w:tcPr>
            <w:tcW w:w="728" w:type="pct"/>
            <w:gridSpan w:val="2"/>
            <w:tcBorders>
              <w:top w:val="nil"/>
              <w:left w:val="nil"/>
              <w:bottom w:val="nil"/>
              <w:right w:val="nil"/>
            </w:tcBorders>
            <w:noWrap/>
            <w:vAlign w:val="bottom"/>
            <w:hideMark/>
          </w:tcPr>
          <w:p w14:paraId="5DD9AD13" w14:textId="77777777" w:rsidR="00730623" w:rsidRPr="00F65403" w:rsidRDefault="00730623" w:rsidP="008C2E60">
            <w:pPr>
              <w:spacing w:after="0" w:line="240" w:lineRule="auto"/>
              <w:rPr>
                <w:rFonts w:eastAsia="Times New Roman" w:cs="Arial"/>
                <w:sz w:val="20"/>
                <w:szCs w:val="20"/>
                <w:lang w:eastAsia="en-AU"/>
              </w:rPr>
            </w:pPr>
          </w:p>
        </w:tc>
        <w:tc>
          <w:tcPr>
            <w:tcW w:w="1940" w:type="pct"/>
            <w:gridSpan w:val="3"/>
            <w:tcBorders>
              <w:top w:val="nil"/>
              <w:left w:val="nil"/>
              <w:bottom w:val="nil"/>
              <w:right w:val="nil"/>
            </w:tcBorders>
            <w:noWrap/>
            <w:vAlign w:val="bottom"/>
            <w:hideMark/>
          </w:tcPr>
          <w:p w14:paraId="02D18A8C"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730623" w:rsidRPr="003C0D78" w14:paraId="5A7CE0E0" w14:textId="77777777" w:rsidTr="008C2E60">
        <w:trPr>
          <w:trHeight w:val="528"/>
        </w:trPr>
        <w:tc>
          <w:tcPr>
            <w:tcW w:w="1766" w:type="pct"/>
            <w:tcBorders>
              <w:top w:val="nil"/>
              <w:left w:val="nil"/>
              <w:bottom w:val="nil"/>
              <w:right w:val="nil"/>
            </w:tcBorders>
            <w:noWrap/>
            <w:vAlign w:val="bottom"/>
            <w:hideMark/>
          </w:tcPr>
          <w:p w14:paraId="54E1ECCE" w14:textId="1B193ABE" w:rsidR="00730623" w:rsidRPr="00F65403" w:rsidRDefault="00730623" w:rsidP="008C2E60">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w:t>
            </w:r>
            <w:r>
              <w:rPr>
                <w:rFonts w:eastAsia="Times New Roman" w:cs="Arial"/>
                <w:b/>
                <w:color w:val="000000"/>
                <w:sz w:val="20"/>
                <w:szCs w:val="20"/>
                <w:lang w:eastAsia="en-AU"/>
              </w:rPr>
              <w:t>4</w:t>
            </w:r>
          </w:p>
        </w:tc>
        <w:tc>
          <w:tcPr>
            <w:tcW w:w="647" w:type="pct"/>
            <w:gridSpan w:val="2"/>
            <w:tcBorders>
              <w:top w:val="nil"/>
              <w:left w:val="nil"/>
              <w:bottom w:val="nil"/>
              <w:right w:val="nil"/>
            </w:tcBorders>
            <w:vAlign w:val="bottom"/>
            <w:hideMark/>
          </w:tcPr>
          <w:p w14:paraId="7A467A11"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47" w:type="pct"/>
            <w:tcBorders>
              <w:top w:val="nil"/>
              <w:left w:val="nil"/>
              <w:bottom w:val="nil"/>
              <w:right w:val="nil"/>
            </w:tcBorders>
            <w:vAlign w:val="bottom"/>
            <w:hideMark/>
          </w:tcPr>
          <w:p w14:paraId="7CC5D934"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647" w:type="pct"/>
            <w:tcBorders>
              <w:top w:val="nil"/>
              <w:left w:val="nil"/>
              <w:bottom w:val="nil"/>
              <w:right w:val="nil"/>
            </w:tcBorders>
            <w:vAlign w:val="bottom"/>
            <w:hideMark/>
          </w:tcPr>
          <w:p w14:paraId="4D2AA9FC"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647" w:type="pct"/>
            <w:tcBorders>
              <w:top w:val="nil"/>
              <w:left w:val="nil"/>
              <w:bottom w:val="nil"/>
              <w:right w:val="nil"/>
            </w:tcBorders>
            <w:vAlign w:val="bottom"/>
            <w:hideMark/>
          </w:tcPr>
          <w:p w14:paraId="78C7F964" w14:textId="07D57080"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sidR="00A1219F">
              <w:rPr>
                <w:rFonts w:eastAsia="Times New Roman" w:cs="Arial"/>
                <w:b/>
                <w:color w:val="000000"/>
                <w:sz w:val="20"/>
                <w:szCs w:val="20"/>
                <w:lang w:eastAsia="en-AU"/>
              </w:rPr>
              <w:t>5</w:t>
            </w:r>
            <w:r w:rsidR="00A1219F" w:rsidRPr="00F65403">
              <w:rPr>
                <w:rFonts w:eastAsia="Times New Roman" w:cs="Arial"/>
                <w:b/>
                <w:color w:val="000000"/>
                <w:sz w:val="20"/>
                <w:szCs w:val="20"/>
                <w:lang w:eastAsia="en-AU"/>
              </w:rPr>
              <w:t xml:space="preserve"> </w:t>
            </w:r>
            <w:r w:rsidRPr="00F65403">
              <w:rPr>
                <w:rFonts w:eastAsia="Times New Roman" w:cs="Arial"/>
                <w:b/>
                <w:color w:val="000000"/>
                <w:sz w:val="20"/>
                <w:szCs w:val="20"/>
                <w:lang w:eastAsia="en-AU"/>
              </w:rPr>
              <w:t>years</w:t>
            </w:r>
          </w:p>
        </w:tc>
        <w:tc>
          <w:tcPr>
            <w:tcW w:w="646" w:type="pct"/>
            <w:tcBorders>
              <w:top w:val="nil"/>
              <w:left w:val="nil"/>
              <w:bottom w:val="nil"/>
              <w:right w:val="nil"/>
            </w:tcBorders>
            <w:vAlign w:val="bottom"/>
            <w:hideMark/>
          </w:tcPr>
          <w:p w14:paraId="2AB77128"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730623" w:rsidRPr="003C0D78" w14:paraId="1FD0878E" w14:textId="77777777" w:rsidTr="008C2E60">
        <w:trPr>
          <w:trHeight w:val="264"/>
        </w:trPr>
        <w:tc>
          <w:tcPr>
            <w:tcW w:w="1766" w:type="pct"/>
            <w:tcBorders>
              <w:top w:val="nil"/>
              <w:left w:val="nil"/>
              <w:bottom w:val="nil"/>
              <w:right w:val="nil"/>
            </w:tcBorders>
            <w:noWrap/>
            <w:vAlign w:val="bottom"/>
            <w:hideMark/>
          </w:tcPr>
          <w:p w14:paraId="03CBC6F2" w14:textId="77777777" w:rsidR="00730623" w:rsidRPr="00F65403" w:rsidRDefault="00730623" w:rsidP="008C2E60">
            <w:pPr>
              <w:spacing w:after="0" w:line="240" w:lineRule="auto"/>
              <w:jc w:val="center"/>
              <w:rPr>
                <w:rFonts w:eastAsia="Times New Roman" w:cs="Arial"/>
                <w:b/>
                <w:color w:val="000000"/>
                <w:sz w:val="20"/>
                <w:szCs w:val="20"/>
                <w:lang w:eastAsia="en-AU"/>
              </w:rPr>
            </w:pPr>
          </w:p>
        </w:tc>
        <w:tc>
          <w:tcPr>
            <w:tcW w:w="647" w:type="pct"/>
            <w:gridSpan w:val="2"/>
            <w:tcBorders>
              <w:top w:val="nil"/>
              <w:left w:val="nil"/>
              <w:bottom w:val="nil"/>
              <w:right w:val="nil"/>
            </w:tcBorders>
            <w:noWrap/>
            <w:vAlign w:val="bottom"/>
            <w:hideMark/>
          </w:tcPr>
          <w:p w14:paraId="3B9BF606"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693A224A"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7642501D"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69086391"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6" w:type="pct"/>
            <w:tcBorders>
              <w:top w:val="nil"/>
              <w:left w:val="nil"/>
              <w:bottom w:val="nil"/>
              <w:right w:val="nil"/>
            </w:tcBorders>
            <w:noWrap/>
            <w:vAlign w:val="bottom"/>
            <w:hideMark/>
          </w:tcPr>
          <w:p w14:paraId="01E09569" w14:textId="77777777" w:rsidR="00730623" w:rsidRPr="00F65403" w:rsidRDefault="00730623" w:rsidP="008C2E60">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3C4101" w:rsidRPr="003C0D78" w14:paraId="7321481D" w14:textId="77777777" w:rsidTr="008C2E60">
        <w:trPr>
          <w:trHeight w:val="264"/>
        </w:trPr>
        <w:tc>
          <w:tcPr>
            <w:tcW w:w="1766" w:type="pct"/>
            <w:tcBorders>
              <w:top w:val="nil"/>
              <w:left w:val="nil"/>
              <w:bottom w:val="nil"/>
              <w:right w:val="nil"/>
            </w:tcBorders>
            <w:noWrap/>
            <w:vAlign w:val="bottom"/>
            <w:hideMark/>
          </w:tcPr>
          <w:p w14:paraId="1DED2516" w14:textId="4C472991" w:rsidR="003C4101" w:rsidRPr="00F65403" w:rsidRDefault="003C4101" w:rsidP="003C410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Pr>
                <w:rFonts w:eastAsia="Times New Roman" w:cs="Arial"/>
                <w:color w:val="000000"/>
                <w:sz w:val="20"/>
                <w:szCs w:val="20"/>
                <w:lang w:eastAsia="en-AU"/>
              </w:rPr>
              <w:t>and other payables</w:t>
            </w:r>
          </w:p>
        </w:tc>
        <w:tc>
          <w:tcPr>
            <w:tcW w:w="647" w:type="pct"/>
            <w:gridSpan w:val="2"/>
            <w:tcBorders>
              <w:top w:val="nil"/>
              <w:left w:val="nil"/>
              <w:bottom w:val="nil"/>
              <w:right w:val="nil"/>
            </w:tcBorders>
            <w:noWrap/>
            <w:hideMark/>
          </w:tcPr>
          <w:p w14:paraId="2DB486F3" w14:textId="1857FB90" w:rsidR="003C4101" w:rsidRPr="00F65403" w:rsidRDefault="003C4101" w:rsidP="003C4101">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(3,164)</w:t>
            </w:r>
          </w:p>
        </w:tc>
        <w:tc>
          <w:tcPr>
            <w:tcW w:w="647" w:type="pct"/>
            <w:tcBorders>
              <w:top w:val="nil"/>
              <w:left w:val="nil"/>
              <w:bottom w:val="nil"/>
              <w:right w:val="nil"/>
            </w:tcBorders>
            <w:noWrap/>
            <w:hideMark/>
          </w:tcPr>
          <w:p w14:paraId="01A9D679" w14:textId="66BC5053" w:rsidR="003C4101" w:rsidRPr="00F65403" w:rsidRDefault="003C4101" w:rsidP="003C4101">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(3,164)</w:t>
            </w:r>
          </w:p>
        </w:tc>
        <w:tc>
          <w:tcPr>
            <w:tcW w:w="647" w:type="pct"/>
            <w:tcBorders>
              <w:top w:val="nil"/>
              <w:left w:val="nil"/>
              <w:bottom w:val="nil"/>
              <w:right w:val="nil"/>
            </w:tcBorders>
            <w:noWrap/>
          </w:tcPr>
          <w:p w14:paraId="6B958A4A" w14:textId="17E66E23" w:rsidR="003C4101" w:rsidRPr="00F65403" w:rsidRDefault="003C4101" w:rsidP="003C4101">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(3,164)</w:t>
            </w:r>
          </w:p>
        </w:tc>
        <w:tc>
          <w:tcPr>
            <w:tcW w:w="647" w:type="pct"/>
            <w:tcBorders>
              <w:top w:val="nil"/>
              <w:left w:val="nil"/>
              <w:bottom w:val="nil"/>
              <w:right w:val="nil"/>
            </w:tcBorders>
            <w:noWrap/>
            <w:hideMark/>
          </w:tcPr>
          <w:p w14:paraId="62E72AC6" w14:textId="11877BE1" w:rsidR="003C4101" w:rsidRPr="00F65403" w:rsidRDefault="003C4101" w:rsidP="003C4101">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c>
          <w:tcPr>
            <w:tcW w:w="646" w:type="pct"/>
            <w:tcBorders>
              <w:top w:val="nil"/>
              <w:left w:val="nil"/>
              <w:bottom w:val="nil"/>
              <w:right w:val="nil"/>
            </w:tcBorders>
            <w:noWrap/>
            <w:hideMark/>
          </w:tcPr>
          <w:p w14:paraId="5960D6E7" w14:textId="6D4D3E4A" w:rsidR="003C4101" w:rsidRPr="00F65403" w:rsidRDefault="003C4101" w:rsidP="003C4101">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r>
      <w:tr w:rsidR="001839FF" w:rsidRPr="003C0D78" w14:paraId="283EF7D2" w14:textId="77777777" w:rsidTr="008C2E60">
        <w:trPr>
          <w:trHeight w:val="264"/>
        </w:trPr>
        <w:tc>
          <w:tcPr>
            <w:tcW w:w="1766" w:type="pct"/>
            <w:tcBorders>
              <w:top w:val="nil"/>
              <w:left w:val="nil"/>
              <w:bottom w:val="nil"/>
              <w:right w:val="nil"/>
            </w:tcBorders>
            <w:noWrap/>
            <w:vAlign w:val="bottom"/>
          </w:tcPr>
          <w:p w14:paraId="2707277C" w14:textId="77777777" w:rsidR="001839FF" w:rsidRPr="00F65403" w:rsidRDefault="001839FF" w:rsidP="001839FF">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Derivative </w:t>
            </w:r>
            <w:r>
              <w:rPr>
                <w:rFonts w:eastAsia="Times New Roman" w:cs="Arial"/>
                <w:color w:val="000000"/>
                <w:sz w:val="20"/>
                <w:szCs w:val="20"/>
                <w:lang w:eastAsia="en-AU"/>
              </w:rPr>
              <w:t>assets</w:t>
            </w:r>
          </w:p>
        </w:tc>
        <w:tc>
          <w:tcPr>
            <w:tcW w:w="647" w:type="pct"/>
            <w:gridSpan w:val="2"/>
            <w:tcBorders>
              <w:top w:val="nil"/>
              <w:left w:val="nil"/>
              <w:right w:val="nil"/>
            </w:tcBorders>
            <w:noWrap/>
          </w:tcPr>
          <w:p w14:paraId="58828EF2" w14:textId="706FEBF3" w:rsidR="001839FF" w:rsidRPr="00F65403" w:rsidRDefault="001839FF" w:rsidP="001839FF">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13,830</w:t>
            </w:r>
          </w:p>
        </w:tc>
        <w:tc>
          <w:tcPr>
            <w:tcW w:w="647" w:type="pct"/>
            <w:tcBorders>
              <w:top w:val="nil"/>
              <w:left w:val="nil"/>
              <w:right w:val="nil"/>
            </w:tcBorders>
            <w:noWrap/>
          </w:tcPr>
          <w:p w14:paraId="23B2BE05" w14:textId="0EEB2855" w:rsidR="001839FF" w:rsidRPr="00F65403" w:rsidRDefault="001839FF" w:rsidP="001839FF">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29,561</w:t>
            </w:r>
          </w:p>
        </w:tc>
        <w:tc>
          <w:tcPr>
            <w:tcW w:w="647" w:type="pct"/>
            <w:tcBorders>
              <w:top w:val="nil"/>
              <w:left w:val="nil"/>
              <w:right w:val="nil"/>
            </w:tcBorders>
            <w:noWrap/>
          </w:tcPr>
          <w:p w14:paraId="1B309312" w14:textId="67C60E56" w:rsidR="001839FF" w:rsidRPr="00F65403" w:rsidRDefault="001839FF" w:rsidP="001839FF">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c>
          <w:tcPr>
            <w:tcW w:w="647" w:type="pct"/>
            <w:tcBorders>
              <w:top w:val="nil"/>
              <w:left w:val="nil"/>
              <w:right w:val="nil"/>
            </w:tcBorders>
            <w:noWrap/>
          </w:tcPr>
          <w:p w14:paraId="3186D76E" w14:textId="6E98ACE5" w:rsidR="001839FF" w:rsidRPr="00F65403" w:rsidRDefault="001839FF" w:rsidP="001839FF">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6,569</w:t>
            </w:r>
          </w:p>
        </w:tc>
        <w:tc>
          <w:tcPr>
            <w:tcW w:w="646" w:type="pct"/>
            <w:tcBorders>
              <w:top w:val="nil"/>
              <w:left w:val="nil"/>
              <w:right w:val="nil"/>
            </w:tcBorders>
            <w:noWrap/>
          </w:tcPr>
          <w:p w14:paraId="1D037227" w14:textId="61E8708A" w:rsidR="001839FF" w:rsidRPr="00F65403" w:rsidRDefault="001839FF" w:rsidP="001839FF">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22,991</w:t>
            </w:r>
          </w:p>
        </w:tc>
      </w:tr>
      <w:tr w:rsidR="003C4101" w:rsidRPr="003C0D78" w14:paraId="46A0CAF0" w14:textId="77777777" w:rsidTr="008C2E60">
        <w:trPr>
          <w:trHeight w:val="264"/>
        </w:trPr>
        <w:tc>
          <w:tcPr>
            <w:tcW w:w="1766" w:type="pct"/>
            <w:tcBorders>
              <w:top w:val="nil"/>
              <w:left w:val="nil"/>
              <w:bottom w:val="nil"/>
              <w:right w:val="nil"/>
            </w:tcBorders>
            <w:noWrap/>
            <w:vAlign w:val="bottom"/>
            <w:hideMark/>
          </w:tcPr>
          <w:p w14:paraId="33E2D3F5" w14:textId="77777777" w:rsidR="003C4101" w:rsidRPr="00F65403" w:rsidRDefault="003C4101" w:rsidP="003C4101">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47" w:type="pct"/>
            <w:gridSpan w:val="2"/>
            <w:tcBorders>
              <w:top w:val="single" w:sz="4" w:space="0" w:color="auto"/>
              <w:left w:val="nil"/>
              <w:bottom w:val="single" w:sz="4" w:space="0" w:color="auto"/>
              <w:right w:val="nil"/>
            </w:tcBorders>
            <w:noWrap/>
          </w:tcPr>
          <w:p w14:paraId="1FEA3646" w14:textId="2EC2AD68" w:rsidR="003C4101" w:rsidRPr="003C4101" w:rsidRDefault="003C4101" w:rsidP="003C4101">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10,666</w:t>
            </w:r>
          </w:p>
        </w:tc>
        <w:tc>
          <w:tcPr>
            <w:tcW w:w="647" w:type="pct"/>
            <w:tcBorders>
              <w:top w:val="single" w:sz="4" w:space="0" w:color="auto"/>
              <w:left w:val="nil"/>
              <w:bottom w:val="single" w:sz="4" w:space="0" w:color="auto"/>
              <w:right w:val="nil"/>
            </w:tcBorders>
            <w:noWrap/>
          </w:tcPr>
          <w:p w14:paraId="7730CDDA" w14:textId="2BDFC2FA" w:rsidR="003C4101" w:rsidRPr="003C4101" w:rsidRDefault="003C4101" w:rsidP="003C4101">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26,397</w:t>
            </w:r>
          </w:p>
        </w:tc>
        <w:tc>
          <w:tcPr>
            <w:tcW w:w="647" w:type="pct"/>
            <w:tcBorders>
              <w:top w:val="single" w:sz="4" w:space="0" w:color="auto"/>
              <w:left w:val="nil"/>
              <w:bottom w:val="single" w:sz="4" w:space="0" w:color="auto"/>
              <w:right w:val="nil"/>
            </w:tcBorders>
            <w:noWrap/>
          </w:tcPr>
          <w:p w14:paraId="26562DC4" w14:textId="541D2AC2" w:rsidR="003C4101" w:rsidRPr="003C4101" w:rsidRDefault="003C4101" w:rsidP="003C4101">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(3,164)</w:t>
            </w:r>
          </w:p>
        </w:tc>
        <w:tc>
          <w:tcPr>
            <w:tcW w:w="647" w:type="pct"/>
            <w:tcBorders>
              <w:top w:val="single" w:sz="4" w:space="0" w:color="auto"/>
              <w:left w:val="nil"/>
              <w:bottom w:val="single" w:sz="4" w:space="0" w:color="auto"/>
              <w:right w:val="nil"/>
            </w:tcBorders>
            <w:noWrap/>
          </w:tcPr>
          <w:p w14:paraId="53267E8F" w14:textId="1EECC0F1" w:rsidR="003C4101" w:rsidRPr="003C4101" w:rsidRDefault="003C4101" w:rsidP="003C4101">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6,569</w:t>
            </w:r>
          </w:p>
        </w:tc>
        <w:tc>
          <w:tcPr>
            <w:tcW w:w="646" w:type="pct"/>
            <w:tcBorders>
              <w:top w:val="single" w:sz="4" w:space="0" w:color="auto"/>
              <w:left w:val="nil"/>
              <w:bottom w:val="single" w:sz="4" w:space="0" w:color="auto"/>
              <w:right w:val="nil"/>
            </w:tcBorders>
            <w:noWrap/>
          </w:tcPr>
          <w:p w14:paraId="06D2234C" w14:textId="0C448D4A" w:rsidR="003C4101" w:rsidRPr="003C4101" w:rsidRDefault="003C4101" w:rsidP="003C4101">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22,991</w:t>
            </w:r>
          </w:p>
        </w:tc>
      </w:tr>
    </w:tbl>
    <w:p w14:paraId="4DCF2289" w14:textId="323A4BAE" w:rsidR="0039479B" w:rsidRPr="003C4101" w:rsidRDefault="003C4101" w:rsidP="0039479B">
      <w:pPr>
        <w:pStyle w:val="BodyText"/>
        <w:rPr>
          <w:lang w:val="en-AU"/>
        </w:rPr>
      </w:pPr>
      <w:r w:rsidRPr="003C4101">
        <w:rPr>
          <w:lang w:val="en-AU"/>
        </w:rPr>
        <w:br/>
        <w:t>The Group had $</w:t>
      </w:r>
      <w:r w:rsidR="003977EF">
        <w:rPr>
          <w:lang w:val="en-AU"/>
        </w:rPr>
        <w:t>264</w:t>
      </w:r>
      <w:r w:rsidR="008B6E3F">
        <w:rPr>
          <w:lang w:val="en-AU"/>
        </w:rPr>
        <w:t>.2</w:t>
      </w:r>
      <w:r w:rsidRPr="003C4101">
        <w:rPr>
          <w:lang w:val="en-AU"/>
        </w:rPr>
        <w:t xml:space="preserve"> million of cash</w:t>
      </w:r>
      <w:r w:rsidR="003977EF">
        <w:rPr>
          <w:lang w:val="en-AU"/>
        </w:rPr>
        <w:t xml:space="preserve"> at 30 June 2024</w:t>
      </w:r>
      <w:r w:rsidRPr="003C4101">
        <w:rPr>
          <w:lang w:val="en-AU"/>
        </w:rPr>
        <w:t>.</w:t>
      </w:r>
    </w:p>
    <w:p w14:paraId="5F526C0C" w14:textId="08612E0C" w:rsidR="008B6E3F" w:rsidRDefault="008B6E3F">
      <w:pPr>
        <w:rPr>
          <w:rFonts w:eastAsia="Arial" w:cs="Arial"/>
          <w:sz w:val="20"/>
          <w:szCs w:val="20"/>
        </w:rPr>
      </w:pPr>
      <w:r>
        <w:br w:type="page"/>
      </w:r>
    </w:p>
    <w:p w14:paraId="13302BCC" w14:textId="77777777" w:rsidR="003E4816" w:rsidRDefault="003E4816" w:rsidP="0039479B">
      <w:pPr>
        <w:pStyle w:val="BodyText"/>
        <w:rPr>
          <w:lang w:val="en-AU"/>
        </w:rPr>
      </w:pPr>
    </w:p>
    <w:p w14:paraId="113C67F6" w14:textId="799E92B0" w:rsidR="0039479B" w:rsidRPr="00F65403" w:rsidRDefault="00144B04" w:rsidP="0039479B">
      <w:pPr>
        <w:pStyle w:val="Heading8"/>
      </w:pPr>
      <w:r>
        <w:t>iv.</w:t>
      </w:r>
      <w:r>
        <w:tab/>
      </w:r>
      <w:r w:rsidR="0039479B">
        <w:t>Credit risk management</w:t>
      </w:r>
    </w:p>
    <w:p w14:paraId="556CF4B9" w14:textId="77777777" w:rsidR="0039479B" w:rsidRPr="00F65403" w:rsidRDefault="0039479B" w:rsidP="0039479B">
      <w:pPr>
        <w:pStyle w:val="BodyText"/>
        <w:rPr>
          <w:lang w:val="en-AU"/>
        </w:rPr>
      </w:pPr>
      <w:r w:rsidRPr="00F65403">
        <w:rPr>
          <w:lang w:val="en-AU"/>
        </w:rPr>
        <w:t xml:space="preserve">Credit risk refers to the possibility that a customer or borrower will default on their financial obligations as and when they fall due. The Group’s exposure to credit risk arises from the potential default of a counterparty on their contractual obligations resulting in financial loss to the Group. </w:t>
      </w:r>
    </w:p>
    <w:p w14:paraId="4FF54B6D" w14:textId="77777777" w:rsidR="0039479B" w:rsidRPr="00F65403" w:rsidRDefault="0039479B" w:rsidP="0039479B">
      <w:pPr>
        <w:pStyle w:val="BodyText"/>
        <w:rPr>
          <w:lang w:val="en-AU"/>
        </w:rPr>
      </w:pPr>
    </w:p>
    <w:p w14:paraId="105B75DC" w14:textId="49E5AEE0" w:rsidR="0039479B" w:rsidRPr="00F65403" w:rsidRDefault="0039479B" w:rsidP="0039479B">
      <w:pPr>
        <w:pStyle w:val="BodyText"/>
        <w:rPr>
          <w:lang w:val="en-AU"/>
        </w:rPr>
      </w:pPr>
      <w:r w:rsidRPr="00F65403">
        <w:rPr>
          <w:lang w:val="en-AU"/>
        </w:rPr>
        <w:t xml:space="preserve">For the </w:t>
      </w:r>
      <w:r w:rsidR="002F5693">
        <w:rPr>
          <w:lang w:val="en-AU"/>
        </w:rPr>
        <w:t xml:space="preserve">current and prior </w:t>
      </w:r>
      <w:r w:rsidRPr="00F65403">
        <w:rPr>
          <w:lang w:val="en-AU"/>
        </w:rPr>
        <w:t>period</w:t>
      </w:r>
      <w:r w:rsidR="002F5693">
        <w:rPr>
          <w:lang w:val="en-AU"/>
        </w:rPr>
        <w:t>s</w:t>
      </w:r>
      <w:r w:rsidRPr="00F65403">
        <w:rPr>
          <w:lang w:val="en-AU"/>
        </w:rPr>
        <w:t xml:space="preserve">, the Group’s exposure to credit risk is not material. </w:t>
      </w:r>
    </w:p>
    <w:p w14:paraId="1FC5238F" w14:textId="77777777" w:rsidR="0039479B" w:rsidRPr="00F65403" w:rsidRDefault="0039479B" w:rsidP="0039479B">
      <w:pPr>
        <w:pStyle w:val="BodyText"/>
        <w:rPr>
          <w:lang w:val="en-AU"/>
        </w:rPr>
      </w:pPr>
    </w:p>
    <w:p w14:paraId="68F1E5FC" w14:textId="48ACDE8D" w:rsidR="0039479B" w:rsidRPr="00F65403" w:rsidRDefault="00144B04" w:rsidP="0039479B">
      <w:pPr>
        <w:pStyle w:val="Heading8"/>
      </w:pPr>
      <w:r>
        <w:t>v.</w:t>
      </w:r>
      <w:r>
        <w:tab/>
      </w:r>
      <w:r w:rsidR="0039479B">
        <w:t>Foreign currency risk</w:t>
      </w:r>
    </w:p>
    <w:p w14:paraId="2310E7DD" w14:textId="77777777" w:rsidR="0039479B" w:rsidRPr="00F65403" w:rsidRDefault="0039479B" w:rsidP="0039479B">
      <w:pPr>
        <w:pStyle w:val="BodyText"/>
        <w:rPr>
          <w:lang w:val="en-AU"/>
        </w:rPr>
      </w:pPr>
      <w:r w:rsidRPr="00F65403">
        <w:rPr>
          <w:lang w:val="en-AU"/>
        </w:rP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w:t>
      </w:r>
    </w:p>
    <w:p w14:paraId="5A9BD1AA" w14:textId="77777777" w:rsidR="0039479B" w:rsidRPr="00F65403" w:rsidRDefault="0039479B" w:rsidP="0039479B">
      <w:pPr>
        <w:pStyle w:val="BodyText"/>
        <w:rPr>
          <w:lang w:val="en-AU"/>
        </w:rPr>
      </w:pPr>
    </w:p>
    <w:p w14:paraId="26C7526E" w14:textId="77777777" w:rsidR="0039479B" w:rsidRPr="00F65403" w:rsidRDefault="0039479B" w:rsidP="0039479B">
      <w:pPr>
        <w:pStyle w:val="BodyText"/>
        <w:rPr>
          <w:lang w:val="en-AU"/>
        </w:rPr>
      </w:pPr>
      <w:r w:rsidRPr="00F65403">
        <w:rPr>
          <w:lang w:val="en-AU"/>
        </w:rPr>
        <w:t xml:space="preserve">SEC’s treasury management policy requires the hedging of foreign currency risk using forward foreign exchange contracts for foreign currency exposures of anticipated cash flows in excess of $500,000 and to not enter into forward foreign exchange contracts until a firm commitment is in place. </w:t>
      </w:r>
    </w:p>
    <w:p w14:paraId="47B22079" w14:textId="77777777" w:rsidR="0039479B" w:rsidRPr="00F65403" w:rsidRDefault="0039479B" w:rsidP="0039479B">
      <w:pPr>
        <w:pStyle w:val="BodyText"/>
        <w:rPr>
          <w:lang w:val="en-AU"/>
        </w:rPr>
      </w:pPr>
    </w:p>
    <w:p w14:paraId="1794ABFC" w14:textId="77777777" w:rsidR="0039479B" w:rsidRPr="00F65403" w:rsidRDefault="0039479B" w:rsidP="0039479B">
      <w:pPr>
        <w:pStyle w:val="BodyText"/>
        <w:rPr>
          <w:lang w:val="en-AU"/>
        </w:rPr>
      </w:pPr>
      <w:r w:rsidRPr="00F65403">
        <w:rPr>
          <w:lang w:val="en-AU"/>
        </w:rPr>
        <w:t>The forward foreign exchange contracts are designated as cash flow hedges. During the year, no hedges were de-designated and all underlying forecast transactions remain highly probable as per original forecast.</w:t>
      </w:r>
    </w:p>
    <w:p w14:paraId="3D9696D9" w14:textId="77777777" w:rsidR="0039479B" w:rsidRPr="00F65403" w:rsidRDefault="0039479B" w:rsidP="0039479B">
      <w:pPr>
        <w:pStyle w:val="BodyText"/>
        <w:rPr>
          <w:lang w:val="en-AU"/>
        </w:rPr>
      </w:pPr>
    </w:p>
    <w:p w14:paraId="645AE5F9" w14:textId="14204237" w:rsidR="005E1D1D" w:rsidRPr="00F65403" w:rsidRDefault="0039479B" w:rsidP="0039479B">
      <w:pPr>
        <w:pStyle w:val="BodyText"/>
        <w:rPr>
          <w:lang w:val="en-AU"/>
        </w:rPr>
      </w:pPr>
      <w:r w:rsidRPr="00F65403">
        <w:rPr>
          <w:lang w:val="en-AU"/>
        </w:rPr>
        <w:t xml:space="preserve">The Group is exposed to foreign currency risk mainly through its payables relating to purchases of supplies and consumables from overseas. Exposures are against the US dollar (USD) and are managed through hedging instruments that allow the Group to fix its foreign currency transactions at acceptable rates. </w:t>
      </w:r>
      <w:r w:rsidR="003E4816" w:rsidRPr="003E4816">
        <w:rPr>
          <w:lang w:val="en-AU"/>
        </w:rPr>
        <w:t xml:space="preserve">For the </w:t>
      </w:r>
      <w:r w:rsidR="002F5693">
        <w:rPr>
          <w:lang w:val="en-AU"/>
        </w:rPr>
        <w:t xml:space="preserve">current and prior </w:t>
      </w:r>
      <w:r w:rsidR="003E4816" w:rsidRPr="003E4816">
        <w:rPr>
          <w:lang w:val="en-AU"/>
        </w:rPr>
        <w:t>period</w:t>
      </w:r>
      <w:r w:rsidR="002F5693">
        <w:rPr>
          <w:lang w:val="en-AU"/>
        </w:rPr>
        <w:t>s</w:t>
      </w:r>
      <w:r w:rsidR="003E4816" w:rsidRPr="003E4816">
        <w:rPr>
          <w:lang w:val="en-AU"/>
        </w:rPr>
        <w:t xml:space="preserve">, the Group’s exposure to </w:t>
      </w:r>
      <w:r w:rsidR="003E4816">
        <w:rPr>
          <w:lang w:val="en-AU"/>
        </w:rPr>
        <w:t>foreign currency</w:t>
      </w:r>
      <w:r w:rsidR="003E4816" w:rsidRPr="003E4816">
        <w:rPr>
          <w:lang w:val="en-AU"/>
        </w:rPr>
        <w:t xml:space="preserve"> risk is not material</w:t>
      </w:r>
      <w:r w:rsidR="00F73535">
        <w:rPr>
          <w:lang w:val="en-AU"/>
        </w:rPr>
        <w:t>.</w:t>
      </w:r>
    </w:p>
    <w:p w14:paraId="27535262" w14:textId="3D4A5BFA" w:rsidR="0039479B" w:rsidRPr="00F65403" w:rsidRDefault="005E1D1D" w:rsidP="0039479B">
      <w:pPr>
        <w:pStyle w:val="BodyText"/>
        <w:rPr>
          <w:lang w:val="en-AU"/>
        </w:rPr>
      </w:pPr>
      <w:r>
        <w:rPr>
          <w:lang w:val="en-AU"/>
        </w:rPr>
        <w:br/>
        <w:t>For the current and prior periods, the Group’s exposure to foreign currency risk is not material.</w:t>
      </w:r>
      <w:r w:rsidR="003E37C5">
        <w:rPr>
          <w:lang w:val="en-AU"/>
        </w:rPr>
        <w:br/>
      </w:r>
    </w:p>
    <w:p w14:paraId="428C4BF3" w14:textId="1782ACC8" w:rsidR="0039479B" w:rsidRPr="00F65403" w:rsidRDefault="00144B04" w:rsidP="0039479B">
      <w:pPr>
        <w:pStyle w:val="Heading8"/>
      </w:pPr>
      <w:r>
        <w:t>vi.</w:t>
      </w:r>
      <w:r>
        <w:tab/>
      </w:r>
      <w:r w:rsidR="0039479B">
        <w:t>Interest rate risk</w:t>
      </w:r>
    </w:p>
    <w:p w14:paraId="1B4A74A8" w14:textId="77777777" w:rsidR="0039479B" w:rsidRPr="00F65403" w:rsidRDefault="0039479B" w:rsidP="0039479B">
      <w:pPr>
        <w:pStyle w:val="BodyText"/>
        <w:rPr>
          <w:lang w:val="en-AU"/>
        </w:rPr>
      </w:pPr>
      <w:r w:rsidRPr="00F65403">
        <w:rPr>
          <w:lang w:val="en-AU"/>
        </w:rPr>
        <w:t>Cash flow interest rate risk is the risk that the future cash flows of a financial instrument will fluctuate because of changes in market interest rates. The Group has exposure to cash flow interest rate risks through cash and cash equivalents that are at floating rate.</w:t>
      </w:r>
    </w:p>
    <w:p w14:paraId="126A2089" w14:textId="77777777" w:rsidR="0039479B" w:rsidRPr="00F65403" w:rsidRDefault="0039479B" w:rsidP="0039479B">
      <w:pPr>
        <w:pStyle w:val="BodyText"/>
        <w:rPr>
          <w:lang w:val="en-AU"/>
        </w:rPr>
      </w:pPr>
    </w:p>
    <w:p w14:paraId="1242C40E" w14:textId="261AE751" w:rsidR="0039479B" w:rsidRPr="00F65403" w:rsidRDefault="00B30BA6" w:rsidP="0039479B">
      <w:pPr>
        <w:pStyle w:val="BodyText"/>
        <w:rPr>
          <w:lang w:val="en-AU"/>
        </w:rPr>
      </w:pPr>
      <w:r w:rsidRPr="00B30BA6">
        <w:rPr>
          <w:lang w:val="en-AU"/>
        </w:rPr>
        <w:t xml:space="preserve">For the </w:t>
      </w:r>
      <w:r w:rsidR="002F5693">
        <w:rPr>
          <w:lang w:val="en-AU"/>
        </w:rPr>
        <w:t xml:space="preserve">current and prior </w:t>
      </w:r>
      <w:r w:rsidRPr="00B30BA6">
        <w:rPr>
          <w:lang w:val="en-AU"/>
        </w:rPr>
        <w:t>period</w:t>
      </w:r>
      <w:r w:rsidR="002F5693">
        <w:rPr>
          <w:lang w:val="en-AU"/>
        </w:rPr>
        <w:t>s</w:t>
      </w:r>
      <w:r w:rsidRPr="00B30BA6">
        <w:rPr>
          <w:lang w:val="en-AU"/>
        </w:rPr>
        <w:t xml:space="preserve">, the Group’s exposure to </w:t>
      </w:r>
      <w:r w:rsidR="00426709">
        <w:rPr>
          <w:lang w:val="en-AU"/>
        </w:rPr>
        <w:t>interest rate</w:t>
      </w:r>
      <w:r w:rsidRPr="00B30BA6">
        <w:rPr>
          <w:lang w:val="en-AU"/>
        </w:rPr>
        <w:t xml:space="preserve"> risk is not material. </w:t>
      </w:r>
    </w:p>
    <w:p w14:paraId="5809CF0A" w14:textId="77777777" w:rsidR="003B7030" w:rsidRDefault="003B7030">
      <w:pPr>
        <w:rPr>
          <w:rFonts w:eastAsiaTheme="majorEastAsia" w:cstheme="majorBidi"/>
          <w:b/>
          <w:i/>
          <w:iCs/>
          <w:color w:val="272727" w:themeColor="text1" w:themeTint="D8"/>
          <w:sz w:val="20"/>
        </w:rPr>
      </w:pPr>
      <w:r>
        <w:br w:type="page"/>
      </w:r>
    </w:p>
    <w:p w14:paraId="3C863210" w14:textId="77777777" w:rsidR="006D7E83" w:rsidRPr="00F65403" w:rsidRDefault="006D7E83" w:rsidP="00A64832">
      <w:pPr>
        <w:pStyle w:val="BodyText"/>
        <w:rPr>
          <w:lang w:val="en-AU"/>
        </w:rPr>
      </w:pPr>
    </w:p>
    <w:p w14:paraId="48753EB6" w14:textId="245A4C27" w:rsidR="00437972" w:rsidRPr="00F65403" w:rsidRDefault="002128B0" w:rsidP="00437972">
      <w:pPr>
        <w:pStyle w:val="Heading7"/>
      </w:pPr>
      <w:r w:rsidRPr="00F65403">
        <w:t>Fair value of other financial assets and liabilities</w:t>
      </w:r>
    </w:p>
    <w:p w14:paraId="56B48FCD" w14:textId="0A83F76C" w:rsidR="00BE7E3D" w:rsidRPr="00F65403" w:rsidRDefault="00144B04" w:rsidP="715E2D1C">
      <w:pPr>
        <w:pStyle w:val="Heading8"/>
      </w:pPr>
      <w:proofErr w:type="spellStart"/>
      <w:r>
        <w:t>i</w:t>
      </w:r>
      <w:proofErr w:type="spellEnd"/>
      <w:r>
        <w:t>.</w:t>
      </w:r>
      <w:r>
        <w:tab/>
      </w:r>
      <w:r w:rsidR="6A76D626">
        <w:t>C</w:t>
      </w:r>
      <w:r w:rsidR="5B7A3F9D">
        <w:t>lasses and categories of financial instruments and their fair values</w:t>
      </w:r>
    </w:p>
    <w:p w14:paraId="05DE897F" w14:textId="77777777" w:rsidR="00BE7E3D" w:rsidRPr="00F65403" w:rsidRDefault="00BE7E3D" w:rsidP="00925551">
      <w:pPr>
        <w:pStyle w:val="BodyText"/>
        <w:rPr>
          <w:lang w:val="en-AU"/>
        </w:rPr>
      </w:pPr>
      <w:r w:rsidRPr="00F65403">
        <w:rPr>
          <w:lang w:val="en-AU"/>
        </w:rPr>
        <w:t>The following table combines information about:</w:t>
      </w:r>
    </w:p>
    <w:p w14:paraId="454D6DE1" w14:textId="77777777" w:rsidR="00BE7E3D" w:rsidRPr="00F65403" w:rsidRDefault="00BE7E3D" w:rsidP="00A64832">
      <w:pPr>
        <w:pStyle w:val="ListBullet"/>
        <w:rPr>
          <w:lang w:val="en-AU"/>
        </w:rPr>
      </w:pPr>
      <w:r w:rsidRPr="00F65403">
        <w:rPr>
          <w:lang w:val="en-AU"/>
        </w:rPr>
        <w:t>classes of financial instruments based on their nature and characteristics</w:t>
      </w:r>
    </w:p>
    <w:p w14:paraId="467D390A" w14:textId="77777777" w:rsidR="00BE7E3D" w:rsidRPr="00F65403" w:rsidRDefault="00BE7E3D" w:rsidP="00765D0C">
      <w:pPr>
        <w:pStyle w:val="ListBullet"/>
        <w:numPr>
          <w:ilvl w:val="1"/>
          <w:numId w:val="12"/>
        </w:numPr>
        <w:ind w:left="1134" w:hanging="425"/>
        <w:rPr>
          <w:lang w:val="en-AU"/>
        </w:rPr>
      </w:pPr>
      <w:r w:rsidRPr="00F65403">
        <w:rPr>
          <w:lang w:val="en-AU"/>
        </w:rPr>
        <w:t>amortised cost</w:t>
      </w:r>
    </w:p>
    <w:p w14:paraId="4D02087A" w14:textId="77777777" w:rsidR="00BE7E3D" w:rsidRPr="00F65403" w:rsidRDefault="00BE7E3D" w:rsidP="00765D0C">
      <w:pPr>
        <w:pStyle w:val="ListBullet"/>
        <w:numPr>
          <w:ilvl w:val="1"/>
          <w:numId w:val="12"/>
        </w:numPr>
        <w:ind w:left="1134" w:hanging="425"/>
        <w:rPr>
          <w:lang w:val="en-AU"/>
        </w:rPr>
      </w:pPr>
      <w:r w:rsidRPr="00F65403">
        <w:rPr>
          <w:lang w:val="en-AU"/>
        </w:rPr>
        <w:t>fair value through profit or loss (‘FVTPL’)</w:t>
      </w:r>
    </w:p>
    <w:p w14:paraId="620C13F9" w14:textId="77777777" w:rsidR="00BE7E3D" w:rsidRPr="00F65403" w:rsidRDefault="00BE7E3D" w:rsidP="00765D0C">
      <w:pPr>
        <w:pStyle w:val="ListBullet"/>
        <w:numPr>
          <w:ilvl w:val="1"/>
          <w:numId w:val="12"/>
        </w:numPr>
        <w:ind w:left="1134" w:hanging="425"/>
        <w:rPr>
          <w:lang w:val="en-AU"/>
        </w:rPr>
      </w:pPr>
      <w:r w:rsidRPr="00F65403">
        <w:rPr>
          <w:lang w:val="en-AU"/>
        </w:rPr>
        <w:t>fair value through other comprehensive income (‘FVOCI’)</w:t>
      </w:r>
    </w:p>
    <w:p w14:paraId="046727A1" w14:textId="77777777" w:rsidR="00BE7E3D" w:rsidRPr="00F65403" w:rsidRDefault="00BE7E3D" w:rsidP="00A64832">
      <w:pPr>
        <w:pStyle w:val="ListBullet"/>
        <w:rPr>
          <w:lang w:val="en-AU"/>
        </w:rPr>
      </w:pPr>
      <w:r w:rsidRPr="00F65403">
        <w:rPr>
          <w:lang w:val="en-AU"/>
        </w:rPr>
        <w:t>the carrying amounts of financial instruments</w:t>
      </w:r>
    </w:p>
    <w:p w14:paraId="0467FBBF" w14:textId="77777777" w:rsidR="00BE7E3D" w:rsidRPr="00F65403" w:rsidRDefault="00BE7E3D" w:rsidP="00A64832">
      <w:pPr>
        <w:pStyle w:val="ListBullet"/>
        <w:rPr>
          <w:lang w:val="en-AU"/>
        </w:rPr>
      </w:pPr>
      <w:r w:rsidRPr="00F65403">
        <w:rPr>
          <w:lang w:val="en-AU"/>
        </w:rPr>
        <w:t>fair values of financial instruments (except financial instruments when carrying amount approximates their fair value).</w:t>
      </w:r>
    </w:p>
    <w:p w14:paraId="059C52E6" w14:textId="77777777" w:rsidR="00BE7E3D" w:rsidRPr="00F65403" w:rsidRDefault="00BE7E3D" w:rsidP="00925551">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7"/>
        <w:gridCol w:w="1412"/>
        <w:gridCol w:w="1412"/>
        <w:gridCol w:w="1412"/>
        <w:gridCol w:w="1413"/>
      </w:tblGrid>
      <w:tr w:rsidR="00D31D72" w:rsidRPr="00D31D72" w14:paraId="5AA53E44" w14:textId="77777777" w:rsidTr="49BCD735">
        <w:tc>
          <w:tcPr>
            <w:tcW w:w="1871" w:type="pct"/>
            <w:tcBorders>
              <w:top w:val="nil"/>
              <w:left w:val="nil"/>
              <w:bottom w:val="nil"/>
              <w:right w:val="nil"/>
            </w:tcBorders>
            <w:noWrap/>
            <w:vAlign w:val="bottom"/>
            <w:hideMark/>
          </w:tcPr>
          <w:p w14:paraId="2F281662" w14:textId="77777777" w:rsidR="00D31D72" w:rsidRPr="00F65403" w:rsidRDefault="00D31D72" w:rsidP="00D31D72">
            <w:pPr>
              <w:spacing w:after="0" w:line="240" w:lineRule="auto"/>
              <w:rPr>
                <w:rFonts w:eastAsia="Times New Roman" w:cs="Arial"/>
                <w:sz w:val="20"/>
                <w:szCs w:val="20"/>
                <w:lang w:eastAsia="en-AU"/>
              </w:rPr>
            </w:pPr>
          </w:p>
        </w:tc>
        <w:tc>
          <w:tcPr>
            <w:tcW w:w="3129" w:type="pct"/>
            <w:gridSpan w:val="4"/>
            <w:tcBorders>
              <w:top w:val="nil"/>
              <w:left w:val="nil"/>
              <w:bottom w:val="nil"/>
              <w:right w:val="nil"/>
            </w:tcBorders>
            <w:vAlign w:val="center"/>
            <w:hideMark/>
          </w:tcPr>
          <w:p w14:paraId="12B8E7E7" w14:textId="77777777" w:rsidR="00D31D72" w:rsidRPr="00F65403" w:rsidRDefault="00D31D72" w:rsidP="00D31D7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value</w:t>
            </w:r>
          </w:p>
        </w:tc>
      </w:tr>
      <w:tr w:rsidR="00D31D72" w:rsidRPr="00D31D72" w14:paraId="795C4860" w14:textId="77777777" w:rsidTr="49BCD735">
        <w:trPr>
          <w:trHeight w:val="300"/>
        </w:trPr>
        <w:tc>
          <w:tcPr>
            <w:tcW w:w="1871" w:type="pct"/>
            <w:tcBorders>
              <w:top w:val="nil"/>
              <w:left w:val="nil"/>
              <w:bottom w:val="nil"/>
              <w:right w:val="nil"/>
            </w:tcBorders>
            <w:noWrap/>
            <w:vAlign w:val="center"/>
            <w:hideMark/>
          </w:tcPr>
          <w:p w14:paraId="10529D22" w14:textId="77777777" w:rsidR="00D31D72" w:rsidRPr="00F65403" w:rsidRDefault="00D31D72" w:rsidP="005E3536">
            <w:pPr>
              <w:spacing w:after="0" w:line="240" w:lineRule="auto"/>
              <w:rPr>
                <w:rFonts w:eastAsia="Times New Roman" w:cs="Arial"/>
                <w:b/>
                <w:color w:val="000000"/>
                <w:sz w:val="20"/>
                <w:szCs w:val="20"/>
                <w:lang w:eastAsia="en-AU"/>
              </w:rPr>
            </w:pPr>
          </w:p>
        </w:tc>
        <w:tc>
          <w:tcPr>
            <w:tcW w:w="3129" w:type="pct"/>
            <w:gridSpan w:val="4"/>
            <w:tcBorders>
              <w:top w:val="nil"/>
              <w:left w:val="nil"/>
              <w:bottom w:val="nil"/>
              <w:right w:val="nil"/>
            </w:tcBorders>
            <w:hideMark/>
          </w:tcPr>
          <w:p w14:paraId="084926A5" w14:textId="2B854D8B" w:rsidR="00D31D72" w:rsidRPr="00F65403" w:rsidRDefault="002F52E5" w:rsidP="00D31D7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D31D72" w:rsidRPr="00D31D72" w14:paraId="0D9B9AAE" w14:textId="77777777" w:rsidTr="49BCD735">
        <w:tc>
          <w:tcPr>
            <w:tcW w:w="1871" w:type="pct"/>
            <w:tcBorders>
              <w:top w:val="nil"/>
              <w:left w:val="nil"/>
              <w:bottom w:val="nil"/>
              <w:right w:val="nil"/>
            </w:tcBorders>
            <w:vAlign w:val="bottom"/>
            <w:hideMark/>
          </w:tcPr>
          <w:p w14:paraId="6451932B" w14:textId="77777777" w:rsidR="00D31D72" w:rsidRPr="00F65403" w:rsidRDefault="00D31D72" w:rsidP="00D31D7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82" w:type="pct"/>
            <w:tcBorders>
              <w:top w:val="nil"/>
              <w:left w:val="nil"/>
              <w:bottom w:val="nil"/>
              <w:right w:val="nil"/>
            </w:tcBorders>
            <w:vAlign w:val="center"/>
            <w:hideMark/>
          </w:tcPr>
          <w:p w14:paraId="7B2C0FA3" w14:textId="77777777" w:rsidR="00D31D72" w:rsidRPr="00F65403" w:rsidRDefault="00D31D72" w:rsidP="0014369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FVTPL</w:t>
            </w:r>
          </w:p>
        </w:tc>
        <w:tc>
          <w:tcPr>
            <w:tcW w:w="782" w:type="pct"/>
            <w:tcBorders>
              <w:top w:val="nil"/>
              <w:left w:val="nil"/>
              <w:bottom w:val="nil"/>
              <w:right w:val="nil"/>
            </w:tcBorders>
            <w:vAlign w:val="center"/>
            <w:hideMark/>
          </w:tcPr>
          <w:p w14:paraId="6460D2C7" w14:textId="77777777" w:rsidR="00D31D72" w:rsidRPr="00F65403" w:rsidRDefault="00D31D72" w:rsidP="0014369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782" w:type="pct"/>
            <w:tcBorders>
              <w:top w:val="nil"/>
              <w:left w:val="nil"/>
              <w:bottom w:val="nil"/>
              <w:right w:val="nil"/>
            </w:tcBorders>
            <w:vAlign w:val="center"/>
            <w:hideMark/>
          </w:tcPr>
          <w:p w14:paraId="71831227" w14:textId="77777777" w:rsidR="00D31D72" w:rsidRPr="00F65403" w:rsidRDefault="00D31D72" w:rsidP="0014369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783" w:type="pct"/>
            <w:tcBorders>
              <w:top w:val="nil"/>
              <w:left w:val="nil"/>
              <w:bottom w:val="nil"/>
              <w:right w:val="nil"/>
            </w:tcBorders>
            <w:vAlign w:val="center"/>
            <w:hideMark/>
          </w:tcPr>
          <w:p w14:paraId="4C5C57A8" w14:textId="77777777" w:rsidR="00D31D72" w:rsidRPr="00F65403" w:rsidRDefault="00D31D72" w:rsidP="0014369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D31D72" w:rsidRPr="00D31D72" w14:paraId="7F4D2CD2" w14:textId="77777777" w:rsidTr="49BCD735">
        <w:tc>
          <w:tcPr>
            <w:tcW w:w="1871" w:type="pct"/>
            <w:tcBorders>
              <w:top w:val="nil"/>
              <w:left w:val="nil"/>
              <w:bottom w:val="nil"/>
              <w:right w:val="nil"/>
            </w:tcBorders>
            <w:noWrap/>
            <w:vAlign w:val="center"/>
            <w:hideMark/>
          </w:tcPr>
          <w:p w14:paraId="2589C61A" w14:textId="77777777" w:rsidR="00D31D72" w:rsidRPr="00F65403" w:rsidRDefault="00D31D72" w:rsidP="00D31D72">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782" w:type="pct"/>
            <w:tcBorders>
              <w:top w:val="nil"/>
              <w:left w:val="nil"/>
              <w:bottom w:val="nil"/>
              <w:right w:val="nil"/>
            </w:tcBorders>
            <w:vAlign w:val="bottom"/>
            <w:hideMark/>
          </w:tcPr>
          <w:p w14:paraId="52DC897D" w14:textId="77777777" w:rsidR="00D31D72" w:rsidRPr="00F65403" w:rsidRDefault="00D31D72" w:rsidP="0014369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71936B55" w14:textId="77777777" w:rsidR="00D31D72" w:rsidRPr="00F65403" w:rsidRDefault="00D31D72" w:rsidP="0014369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3F897D70" w14:textId="77777777" w:rsidR="00D31D72" w:rsidRPr="00F65403" w:rsidRDefault="00D31D72" w:rsidP="0014369C">
            <w:pPr>
              <w:tabs>
                <w:tab w:val="decimal" w:pos="1096"/>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189DF859" w14:textId="77777777" w:rsidR="00D31D72" w:rsidRPr="00F65403" w:rsidRDefault="00D31D72" w:rsidP="0014369C">
            <w:pPr>
              <w:tabs>
                <w:tab w:val="decimal" w:pos="1096"/>
              </w:tabs>
              <w:spacing w:after="0" w:line="240" w:lineRule="auto"/>
              <w:rPr>
                <w:rFonts w:eastAsia="Times New Roman" w:cs="Arial"/>
                <w:sz w:val="20"/>
                <w:szCs w:val="20"/>
                <w:lang w:eastAsia="en-AU"/>
              </w:rPr>
            </w:pPr>
          </w:p>
        </w:tc>
      </w:tr>
      <w:tr w:rsidR="00AB757B" w:rsidRPr="00D31D72" w14:paraId="09996311" w14:textId="77777777" w:rsidTr="49BCD735">
        <w:tc>
          <w:tcPr>
            <w:tcW w:w="1871" w:type="pct"/>
            <w:tcBorders>
              <w:top w:val="nil"/>
              <w:left w:val="nil"/>
              <w:bottom w:val="nil"/>
              <w:right w:val="nil"/>
            </w:tcBorders>
            <w:noWrap/>
            <w:vAlign w:val="center"/>
            <w:hideMark/>
          </w:tcPr>
          <w:p w14:paraId="4EBD60DC" w14:textId="77777777" w:rsidR="00AB757B" w:rsidRPr="00F65403" w:rsidRDefault="00AB757B" w:rsidP="00AB757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782" w:type="pct"/>
            <w:tcBorders>
              <w:top w:val="nil"/>
              <w:left w:val="nil"/>
              <w:bottom w:val="nil"/>
              <w:right w:val="nil"/>
            </w:tcBorders>
            <w:hideMark/>
          </w:tcPr>
          <w:p w14:paraId="0B8A8A53" w14:textId="59A868F5" w:rsidR="00AB757B" w:rsidRPr="00360719" w:rsidRDefault="00AB757B"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5CE946D3" w14:textId="2CCF5C24" w:rsidR="00AB757B" w:rsidRPr="00360719" w:rsidRDefault="00AB757B"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7C4F0116" w14:textId="2A0EA274" w:rsidR="00AB757B" w:rsidRPr="00360719" w:rsidRDefault="00AB757B"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356,300 </w:t>
            </w:r>
          </w:p>
        </w:tc>
        <w:tc>
          <w:tcPr>
            <w:tcW w:w="783" w:type="pct"/>
            <w:tcBorders>
              <w:top w:val="nil"/>
              <w:left w:val="nil"/>
              <w:bottom w:val="nil"/>
              <w:right w:val="nil"/>
            </w:tcBorders>
            <w:hideMark/>
          </w:tcPr>
          <w:p w14:paraId="7DE9B388" w14:textId="1EC880BE" w:rsidR="00AB757B" w:rsidRPr="00360719" w:rsidRDefault="00AB757B"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356,300 </w:t>
            </w:r>
          </w:p>
        </w:tc>
      </w:tr>
      <w:tr w:rsidR="00AB757B" w:rsidRPr="00D31D72" w14:paraId="0D5AAA0D" w14:textId="77777777" w:rsidTr="49BCD735">
        <w:tc>
          <w:tcPr>
            <w:tcW w:w="1871" w:type="pct"/>
            <w:tcBorders>
              <w:top w:val="nil"/>
              <w:left w:val="nil"/>
              <w:bottom w:val="nil"/>
              <w:right w:val="nil"/>
            </w:tcBorders>
            <w:noWrap/>
            <w:vAlign w:val="center"/>
            <w:hideMark/>
          </w:tcPr>
          <w:p w14:paraId="5C7A43FD" w14:textId="77777777" w:rsidR="00AB757B" w:rsidRPr="00F65403" w:rsidRDefault="00AB757B" w:rsidP="00AB757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Receivables</w:t>
            </w:r>
          </w:p>
        </w:tc>
        <w:tc>
          <w:tcPr>
            <w:tcW w:w="782" w:type="pct"/>
            <w:tcBorders>
              <w:top w:val="nil"/>
              <w:left w:val="nil"/>
              <w:bottom w:val="nil"/>
              <w:right w:val="nil"/>
            </w:tcBorders>
            <w:hideMark/>
          </w:tcPr>
          <w:p w14:paraId="62B16188" w14:textId="0CFFC348" w:rsidR="00AB757B" w:rsidRPr="00360719" w:rsidRDefault="00AB757B"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49F788F4" w14:textId="4AF354DB" w:rsidR="00AB757B" w:rsidRPr="00360719" w:rsidRDefault="00AB757B"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384DDDB8" w14:textId="740B3C22" w:rsidR="00AB757B" w:rsidRPr="00360719" w:rsidRDefault="00AB757B"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3,200 </w:t>
            </w:r>
          </w:p>
        </w:tc>
        <w:tc>
          <w:tcPr>
            <w:tcW w:w="783" w:type="pct"/>
            <w:tcBorders>
              <w:top w:val="nil"/>
              <w:left w:val="nil"/>
              <w:bottom w:val="nil"/>
              <w:right w:val="nil"/>
            </w:tcBorders>
            <w:hideMark/>
          </w:tcPr>
          <w:p w14:paraId="1E3FB6F5" w14:textId="4A77635F" w:rsidR="00AB757B" w:rsidRPr="00360719" w:rsidRDefault="00AB757B"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3,200 </w:t>
            </w:r>
          </w:p>
        </w:tc>
      </w:tr>
      <w:tr w:rsidR="00AB757B" w:rsidRPr="00D31D72" w14:paraId="2E69F20C" w14:textId="77777777" w:rsidTr="49BCD735">
        <w:tc>
          <w:tcPr>
            <w:tcW w:w="1871" w:type="pct"/>
            <w:tcBorders>
              <w:top w:val="nil"/>
              <w:left w:val="nil"/>
              <w:bottom w:val="nil"/>
              <w:right w:val="nil"/>
            </w:tcBorders>
            <w:noWrap/>
            <w:vAlign w:val="center"/>
            <w:hideMark/>
          </w:tcPr>
          <w:p w14:paraId="6A3A6E6A" w14:textId="77777777" w:rsidR="00AB757B" w:rsidRPr="00F65403" w:rsidRDefault="00AB757B" w:rsidP="00AB757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financial instruments</w:t>
            </w:r>
          </w:p>
        </w:tc>
        <w:tc>
          <w:tcPr>
            <w:tcW w:w="782" w:type="pct"/>
            <w:tcBorders>
              <w:top w:val="nil"/>
              <w:left w:val="nil"/>
              <w:bottom w:val="nil"/>
              <w:right w:val="nil"/>
            </w:tcBorders>
            <w:hideMark/>
          </w:tcPr>
          <w:p w14:paraId="5A7F58D7" w14:textId="612C1B23" w:rsidR="00AB757B" w:rsidRPr="00360719" w:rsidRDefault="00AB757B"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72,224 </w:t>
            </w:r>
          </w:p>
        </w:tc>
        <w:tc>
          <w:tcPr>
            <w:tcW w:w="782" w:type="pct"/>
            <w:tcBorders>
              <w:top w:val="nil"/>
              <w:left w:val="nil"/>
              <w:bottom w:val="nil"/>
              <w:right w:val="nil"/>
            </w:tcBorders>
            <w:hideMark/>
          </w:tcPr>
          <w:p w14:paraId="62801D6D" w14:textId="7419EF91" w:rsidR="00AB757B" w:rsidRPr="00360719" w:rsidRDefault="00AB757B"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67F5B8F6" w14:textId="2208966C" w:rsidR="00AB757B" w:rsidRPr="00360719" w:rsidRDefault="00AB757B"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3" w:type="pct"/>
            <w:tcBorders>
              <w:top w:val="nil"/>
              <w:left w:val="nil"/>
              <w:bottom w:val="nil"/>
              <w:right w:val="nil"/>
            </w:tcBorders>
            <w:hideMark/>
          </w:tcPr>
          <w:p w14:paraId="58C59174" w14:textId="3A8816F1" w:rsidR="00AB757B" w:rsidRPr="00360719" w:rsidRDefault="00AB757B"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72,224 </w:t>
            </w:r>
          </w:p>
        </w:tc>
      </w:tr>
      <w:tr w:rsidR="00AB757B" w:rsidRPr="00D31D72" w14:paraId="33A5C654" w14:textId="77777777" w:rsidTr="0010235E">
        <w:tc>
          <w:tcPr>
            <w:tcW w:w="1871" w:type="pct"/>
            <w:tcBorders>
              <w:top w:val="nil"/>
              <w:left w:val="nil"/>
              <w:bottom w:val="nil"/>
              <w:right w:val="nil"/>
            </w:tcBorders>
            <w:noWrap/>
            <w:vAlign w:val="center"/>
          </w:tcPr>
          <w:p w14:paraId="3E4C65D6" w14:textId="618C7F7E" w:rsidR="00AB757B" w:rsidRPr="00F65403" w:rsidRDefault="00AB757B" w:rsidP="00AB757B">
            <w:pPr>
              <w:spacing w:after="0" w:line="240" w:lineRule="auto"/>
              <w:rPr>
                <w:rFonts w:eastAsia="Times New Roman" w:cs="Arial"/>
                <w:color w:val="000000"/>
                <w:sz w:val="20"/>
                <w:szCs w:val="20"/>
                <w:lang w:eastAsia="en-AU"/>
              </w:rPr>
            </w:pPr>
            <w:r w:rsidRPr="00AB757B">
              <w:rPr>
                <w:rFonts w:eastAsia="Times New Roman" w:cs="Arial"/>
                <w:color w:val="000000"/>
                <w:sz w:val="20"/>
                <w:szCs w:val="20"/>
                <w:lang w:eastAsia="en-AU"/>
              </w:rPr>
              <w:t>Futures deposits and margin calls</w:t>
            </w:r>
          </w:p>
        </w:tc>
        <w:tc>
          <w:tcPr>
            <w:tcW w:w="782" w:type="pct"/>
            <w:tcBorders>
              <w:top w:val="nil"/>
              <w:left w:val="nil"/>
              <w:bottom w:val="single" w:sz="4" w:space="0" w:color="auto"/>
              <w:right w:val="nil"/>
            </w:tcBorders>
          </w:tcPr>
          <w:p w14:paraId="13EBA174" w14:textId="11E4EA01" w:rsidR="00AB757B" w:rsidRPr="00360719" w:rsidRDefault="00AB757B"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single" w:sz="4" w:space="0" w:color="auto"/>
              <w:right w:val="nil"/>
            </w:tcBorders>
          </w:tcPr>
          <w:p w14:paraId="519DA965" w14:textId="15F1E2A9" w:rsidR="00AB757B" w:rsidRPr="00360719" w:rsidRDefault="00AB757B"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single" w:sz="4" w:space="0" w:color="auto"/>
              <w:right w:val="nil"/>
            </w:tcBorders>
          </w:tcPr>
          <w:p w14:paraId="287861C2" w14:textId="7B912D01" w:rsidR="00AB757B" w:rsidRPr="00360719" w:rsidRDefault="00AB757B"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12,210 </w:t>
            </w:r>
          </w:p>
        </w:tc>
        <w:tc>
          <w:tcPr>
            <w:tcW w:w="783" w:type="pct"/>
            <w:tcBorders>
              <w:top w:val="nil"/>
              <w:left w:val="nil"/>
              <w:bottom w:val="single" w:sz="4" w:space="0" w:color="auto"/>
              <w:right w:val="nil"/>
            </w:tcBorders>
          </w:tcPr>
          <w:p w14:paraId="2D4B0FB1" w14:textId="0B7887BC" w:rsidR="00AB757B" w:rsidRPr="00360719" w:rsidRDefault="00AB757B"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12,210 </w:t>
            </w:r>
          </w:p>
        </w:tc>
      </w:tr>
      <w:tr w:rsidR="00AB757B" w:rsidRPr="00D31D72" w14:paraId="4254A764" w14:textId="77777777" w:rsidTr="0010235E">
        <w:tc>
          <w:tcPr>
            <w:tcW w:w="1871" w:type="pct"/>
            <w:tcBorders>
              <w:top w:val="nil"/>
              <w:left w:val="nil"/>
              <w:bottom w:val="nil"/>
              <w:right w:val="nil"/>
            </w:tcBorders>
            <w:noWrap/>
            <w:vAlign w:val="center"/>
            <w:hideMark/>
          </w:tcPr>
          <w:p w14:paraId="026E7AB2" w14:textId="77777777" w:rsidR="00AB757B" w:rsidRPr="00F65403" w:rsidRDefault="00AB757B" w:rsidP="00AB757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hideMark/>
          </w:tcPr>
          <w:p w14:paraId="4F19A4A2" w14:textId="43C8D8CE" w:rsidR="00AB757B" w:rsidRPr="00360719" w:rsidRDefault="00AB757B" w:rsidP="00360719">
            <w:pPr>
              <w:tabs>
                <w:tab w:val="decimal" w:pos="987"/>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72,224 </w:t>
            </w:r>
          </w:p>
        </w:tc>
        <w:tc>
          <w:tcPr>
            <w:tcW w:w="782" w:type="pct"/>
            <w:tcBorders>
              <w:top w:val="single" w:sz="4" w:space="0" w:color="auto"/>
              <w:left w:val="nil"/>
              <w:bottom w:val="single" w:sz="4" w:space="0" w:color="auto"/>
              <w:right w:val="nil"/>
            </w:tcBorders>
            <w:hideMark/>
          </w:tcPr>
          <w:p w14:paraId="25CDAD6D" w14:textId="1E237E4D" w:rsidR="00AB757B" w:rsidRPr="00360719" w:rsidRDefault="00AB757B" w:rsidP="00360719">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   </w:t>
            </w:r>
          </w:p>
        </w:tc>
        <w:tc>
          <w:tcPr>
            <w:tcW w:w="782" w:type="pct"/>
            <w:tcBorders>
              <w:top w:val="single" w:sz="4" w:space="0" w:color="auto"/>
              <w:left w:val="nil"/>
              <w:bottom w:val="single" w:sz="4" w:space="0" w:color="auto"/>
              <w:right w:val="nil"/>
            </w:tcBorders>
            <w:hideMark/>
          </w:tcPr>
          <w:p w14:paraId="5E82E884" w14:textId="6C681E3D" w:rsidR="00AB757B" w:rsidRPr="00360719" w:rsidRDefault="00AB757B" w:rsidP="00360719">
            <w:pPr>
              <w:tabs>
                <w:tab w:val="decimal" w:pos="114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371,710</w:t>
            </w:r>
          </w:p>
        </w:tc>
        <w:tc>
          <w:tcPr>
            <w:tcW w:w="783" w:type="pct"/>
            <w:tcBorders>
              <w:top w:val="single" w:sz="4" w:space="0" w:color="auto"/>
              <w:left w:val="nil"/>
              <w:bottom w:val="single" w:sz="4" w:space="0" w:color="auto"/>
              <w:right w:val="nil"/>
            </w:tcBorders>
            <w:hideMark/>
          </w:tcPr>
          <w:p w14:paraId="5F1EF973" w14:textId="186C2EA8" w:rsidR="00AB757B" w:rsidRPr="00360719" w:rsidRDefault="00AB757B"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443,934</w:t>
            </w:r>
          </w:p>
        </w:tc>
      </w:tr>
      <w:tr w:rsidR="00D31D72" w:rsidRPr="00D31D72" w14:paraId="1629B0D7" w14:textId="77777777" w:rsidTr="0010235E">
        <w:tc>
          <w:tcPr>
            <w:tcW w:w="1871" w:type="pct"/>
            <w:tcBorders>
              <w:top w:val="nil"/>
              <w:left w:val="nil"/>
              <w:bottom w:val="nil"/>
              <w:right w:val="nil"/>
            </w:tcBorders>
            <w:noWrap/>
            <w:vAlign w:val="center"/>
            <w:hideMark/>
          </w:tcPr>
          <w:p w14:paraId="44A66F69" w14:textId="77777777" w:rsidR="00D31D72" w:rsidRPr="00F65403" w:rsidRDefault="00D31D72" w:rsidP="00D31D72">
            <w:pPr>
              <w:spacing w:after="0" w:line="240" w:lineRule="auto"/>
              <w:jc w:val="right"/>
              <w:rPr>
                <w:rFonts w:eastAsia="Times New Roman" w:cs="Arial"/>
                <w:b/>
                <w:color w:val="000000"/>
                <w:sz w:val="20"/>
                <w:szCs w:val="20"/>
                <w:lang w:eastAsia="en-AU"/>
              </w:rPr>
            </w:pPr>
          </w:p>
        </w:tc>
        <w:tc>
          <w:tcPr>
            <w:tcW w:w="782" w:type="pct"/>
            <w:tcBorders>
              <w:top w:val="single" w:sz="4" w:space="0" w:color="auto"/>
              <w:left w:val="nil"/>
              <w:bottom w:val="nil"/>
              <w:right w:val="nil"/>
            </w:tcBorders>
            <w:vAlign w:val="bottom"/>
            <w:hideMark/>
          </w:tcPr>
          <w:p w14:paraId="48D1AE8C" w14:textId="77777777" w:rsidR="00D31D72" w:rsidRPr="00360719" w:rsidRDefault="00D31D72" w:rsidP="00360719">
            <w:pPr>
              <w:tabs>
                <w:tab w:val="decimal" w:pos="987"/>
              </w:tabs>
              <w:spacing w:after="0" w:line="240" w:lineRule="auto"/>
              <w:rPr>
                <w:rFonts w:eastAsia="Times New Roman" w:cs="Arial"/>
                <w:color w:val="000000"/>
                <w:sz w:val="20"/>
                <w:szCs w:val="20"/>
                <w:lang w:eastAsia="en-AU"/>
              </w:rPr>
            </w:pPr>
          </w:p>
        </w:tc>
        <w:tc>
          <w:tcPr>
            <w:tcW w:w="782" w:type="pct"/>
            <w:tcBorders>
              <w:top w:val="single" w:sz="4" w:space="0" w:color="auto"/>
              <w:left w:val="nil"/>
              <w:bottom w:val="nil"/>
              <w:right w:val="nil"/>
            </w:tcBorders>
            <w:vAlign w:val="bottom"/>
            <w:hideMark/>
          </w:tcPr>
          <w:p w14:paraId="2F221963" w14:textId="77777777" w:rsidR="00D31D72" w:rsidRPr="00360719" w:rsidRDefault="00D31D72" w:rsidP="00360719">
            <w:pPr>
              <w:tabs>
                <w:tab w:val="decimal" w:pos="1000"/>
              </w:tabs>
              <w:spacing w:after="0" w:line="240" w:lineRule="auto"/>
              <w:rPr>
                <w:rFonts w:eastAsia="Times New Roman" w:cs="Arial"/>
                <w:color w:val="000000"/>
                <w:sz w:val="20"/>
                <w:szCs w:val="20"/>
                <w:lang w:eastAsia="en-AU"/>
              </w:rPr>
            </w:pPr>
          </w:p>
        </w:tc>
        <w:tc>
          <w:tcPr>
            <w:tcW w:w="782" w:type="pct"/>
            <w:tcBorders>
              <w:top w:val="single" w:sz="4" w:space="0" w:color="auto"/>
              <w:left w:val="nil"/>
              <w:bottom w:val="nil"/>
              <w:right w:val="nil"/>
            </w:tcBorders>
            <w:vAlign w:val="bottom"/>
            <w:hideMark/>
          </w:tcPr>
          <w:p w14:paraId="4A34AD5A" w14:textId="77777777" w:rsidR="00D31D72" w:rsidRPr="00360719" w:rsidRDefault="00D31D72" w:rsidP="00360719">
            <w:pPr>
              <w:tabs>
                <w:tab w:val="decimal" w:pos="1143"/>
              </w:tabs>
              <w:spacing w:after="0" w:line="240" w:lineRule="auto"/>
              <w:rPr>
                <w:rFonts w:eastAsia="Times New Roman" w:cs="Arial"/>
                <w:color w:val="000000"/>
                <w:sz w:val="20"/>
                <w:szCs w:val="20"/>
                <w:lang w:eastAsia="en-AU"/>
              </w:rPr>
            </w:pPr>
          </w:p>
        </w:tc>
        <w:tc>
          <w:tcPr>
            <w:tcW w:w="783" w:type="pct"/>
            <w:tcBorders>
              <w:top w:val="single" w:sz="4" w:space="0" w:color="auto"/>
              <w:left w:val="nil"/>
              <w:bottom w:val="nil"/>
              <w:right w:val="nil"/>
            </w:tcBorders>
            <w:vAlign w:val="bottom"/>
            <w:hideMark/>
          </w:tcPr>
          <w:p w14:paraId="61EB2CFC" w14:textId="77777777" w:rsidR="00D31D72" w:rsidRPr="00360719" w:rsidRDefault="00D31D72" w:rsidP="00360719">
            <w:pPr>
              <w:tabs>
                <w:tab w:val="decimal" w:pos="1003"/>
              </w:tabs>
              <w:spacing w:after="0" w:line="240" w:lineRule="auto"/>
              <w:rPr>
                <w:rFonts w:eastAsia="Times New Roman" w:cs="Arial"/>
                <w:b/>
                <w:bCs/>
                <w:color w:val="000000"/>
                <w:sz w:val="20"/>
                <w:szCs w:val="20"/>
                <w:lang w:eastAsia="en-AU"/>
              </w:rPr>
            </w:pPr>
          </w:p>
        </w:tc>
      </w:tr>
      <w:tr w:rsidR="00D31D72" w:rsidRPr="00D31D72" w14:paraId="5459BC75" w14:textId="77777777" w:rsidTr="49BCD735">
        <w:tc>
          <w:tcPr>
            <w:tcW w:w="1871" w:type="pct"/>
            <w:tcBorders>
              <w:top w:val="nil"/>
              <w:left w:val="nil"/>
              <w:bottom w:val="nil"/>
              <w:right w:val="nil"/>
            </w:tcBorders>
            <w:noWrap/>
            <w:vAlign w:val="center"/>
            <w:hideMark/>
          </w:tcPr>
          <w:p w14:paraId="5871F428" w14:textId="77777777" w:rsidR="00D31D72" w:rsidRPr="00F65403" w:rsidRDefault="00D31D72" w:rsidP="00D31D72">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782" w:type="pct"/>
            <w:tcBorders>
              <w:top w:val="nil"/>
              <w:left w:val="nil"/>
              <w:bottom w:val="nil"/>
              <w:right w:val="nil"/>
            </w:tcBorders>
            <w:vAlign w:val="bottom"/>
            <w:hideMark/>
          </w:tcPr>
          <w:p w14:paraId="5DB9A200" w14:textId="77777777" w:rsidR="00D31D72" w:rsidRPr="00360719" w:rsidRDefault="00D31D72" w:rsidP="00360719">
            <w:pPr>
              <w:tabs>
                <w:tab w:val="decimal" w:pos="987"/>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3588B005" w14:textId="77777777" w:rsidR="00D31D72" w:rsidRPr="00360719" w:rsidRDefault="00D31D72" w:rsidP="00360719">
            <w:pPr>
              <w:tabs>
                <w:tab w:val="decimal" w:pos="1000"/>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57D5775F" w14:textId="77777777" w:rsidR="00D31D72" w:rsidRPr="00360719" w:rsidRDefault="00D31D72" w:rsidP="00360719">
            <w:pPr>
              <w:tabs>
                <w:tab w:val="decimal" w:pos="1143"/>
              </w:tabs>
              <w:spacing w:after="0" w:line="240" w:lineRule="auto"/>
              <w:rPr>
                <w:rFonts w:eastAsia="Times New Roman" w:cs="Arial"/>
                <w:color w:val="000000"/>
                <w:sz w:val="20"/>
                <w:szCs w:val="20"/>
                <w:lang w:eastAsia="en-AU"/>
              </w:rPr>
            </w:pPr>
          </w:p>
        </w:tc>
        <w:tc>
          <w:tcPr>
            <w:tcW w:w="783" w:type="pct"/>
            <w:tcBorders>
              <w:top w:val="nil"/>
              <w:left w:val="nil"/>
              <w:bottom w:val="nil"/>
              <w:right w:val="nil"/>
            </w:tcBorders>
            <w:vAlign w:val="bottom"/>
            <w:hideMark/>
          </w:tcPr>
          <w:p w14:paraId="33516342" w14:textId="77777777" w:rsidR="00D31D72" w:rsidRPr="00360719" w:rsidRDefault="00D31D72" w:rsidP="00360719">
            <w:pPr>
              <w:tabs>
                <w:tab w:val="decimal" w:pos="1003"/>
              </w:tabs>
              <w:spacing w:after="0" w:line="240" w:lineRule="auto"/>
              <w:rPr>
                <w:rFonts w:eastAsia="Times New Roman" w:cs="Arial"/>
                <w:b/>
                <w:bCs/>
                <w:color w:val="000000"/>
                <w:sz w:val="20"/>
                <w:szCs w:val="20"/>
                <w:lang w:eastAsia="en-AU"/>
              </w:rPr>
            </w:pPr>
          </w:p>
        </w:tc>
      </w:tr>
      <w:tr w:rsidR="00360719" w:rsidRPr="00D31D72" w14:paraId="3DD767B5" w14:textId="77777777" w:rsidTr="49BCD735">
        <w:tc>
          <w:tcPr>
            <w:tcW w:w="1871" w:type="pct"/>
            <w:tcBorders>
              <w:top w:val="nil"/>
              <w:left w:val="nil"/>
              <w:bottom w:val="nil"/>
              <w:right w:val="nil"/>
            </w:tcBorders>
            <w:noWrap/>
            <w:vAlign w:val="center"/>
            <w:hideMark/>
          </w:tcPr>
          <w:p w14:paraId="119FBA69" w14:textId="77777777" w:rsidR="00360719" w:rsidRPr="00F65403" w:rsidRDefault="00360719" w:rsidP="0036071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782" w:type="pct"/>
            <w:tcBorders>
              <w:top w:val="nil"/>
              <w:left w:val="nil"/>
              <w:bottom w:val="nil"/>
              <w:right w:val="nil"/>
            </w:tcBorders>
            <w:hideMark/>
          </w:tcPr>
          <w:p w14:paraId="35DC005E" w14:textId="2A9BC9C2" w:rsidR="00360719" w:rsidRPr="00F65403" w:rsidRDefault="00360719"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5406D3F7" w14:textId="1FFD8E84" w:rsidR="00360719" w:rsidRPr="00F65403" w:rsidRDefault="00360719"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24FE7EF4" w14:textId="0BD126B8" w:rsidR="00360719" w:rsidRPr="00F65403" w:rsidRDefault="00360719"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24,235 </w:t>
            </w:r>
          </w:p>
        </w:tc>
        <w:tc>
          <w:tcPr>
            <w:tcW w:w="783" w:type="pct"/>
            <w:tcBorders>
              <w:top w:val="nil"/>
              <w:left w:val="nil"/>
              <w:bottom w:val="nil"/>
              <w:right w:val="nil"/>
            </w:tcBorders>
            <w:hideMark/>
          </w:tcPr>
          <w:p w14:paraId="52591069" w14:textId="7FF2C1F9" w:rsidR="00360719" w:rsidRPr="00360719" w:rsidRDefault="00360719"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24,235 </w:t>
            </w:r>
          </w:p>
        </w:tc>
      </w:tr>
      <w:tr w:rsidR="00360719" w:rsidRPr="00D31D72" w14:paraId="4402E186" w14:textId="77777777" w:rsidTr="49BCD735">
        <w:tc>
          <w:tcPr>
            <w:tcW w:w="1871" w:type="pct"/>
            <w:tcBorders>
              <w:top w:val="nil"/>
              <w:left w:val="nil"/>
              <w:bottom w:val="nil"/>
              <w:right w:val="nil"/>
            </w:tcBorders>
            <w:noWrap/>
            <w:vAlign w:val="center"/>
          </w:tcPr>
          <w:p w14:paraId="0D7846ED" w14:textId="6944CCC5" w:rsidR="00360719" w:rsidRPr="00F65403" w:rsidRDefault="00360719" w:rsidP="00360719">
            <w:pPr>
              <w:spacing w:after="0" w:line="240" w:lineRule="auto"/>
              <w:rPr>
                <w:rFonts w:eastAsia="Times New Roman" w:cs="Arial"/>
                <w:color w:val="000000"/>
                <w:sz w:val="20"/>
                <w:szCs w:val="20"/>
                <w:lang w:eastAsia="en-AU"/>
              </w:rPr>
            </w:pPr>
            <w:r w:rsidRPr="00AB757B">
              <w:rPr>
                <w:rFonts w:eastAsia="Times New Roman" w:cs="Arial"/>
                <w:color w:val="000000"/>
                <w:sz w:val="20"/>
                <w:szCs w:val="20"/>
                <w:lang w:eastAsia="en-AU"/>
              </w:rPr>
              <w:t>Derivative financial instruments</w:t>
            </w:r>
          </w:p>
        </w:tc>
        <w:tc>
          <w:tcPr>
            <w:tcW w:w="782" w:type="pct"/>
            <w:tcBorders>
              <w:top w:val="nil"/>
              <w:left w:val="nil"/>
              <w:bottom w:val="nil"/>
              <w:right w:val="nil"/>
            </w:tcBorders>
          </w:tcPr>
          <w:p w14:paraId="5A45A1AD" w14:textId="1F085A7B" w:rsidR="00360719" w:rsidRPr="00F65403" w:rsidRDefault="00360719"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tcPr>
          <w:p w14:paraId="3C5850CD" w14:textId="1E83DF40" w:rsidR="00360719" w:rsidRPr="00F65403" w:rsidRDefault="00360719"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752 </w:t>
            </w:r>
          </w:p>
        </w:tc>
        <w:tc>
          <w:tcPr>
            <w:tcW w:w="782" w:type="pct"/>
            <w:tcBorders>
              <w:top w:val="nil"/>
              <w:left w:val="nil"/>
              <w:bottom w:val="nil"/>
              <w:right w:val="nil"/>
            </w:tcBorders>
          </w:tcPr>
          <w:p w14:paraId="232091FB" w14:textId="4418676D" w:rsidR="00360719" w:rsidRPr="00F65403" w:rsidRDefault="00360719" w:rsidP="00360719">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3" w:type="pct"/>
            <w:tcBorders>
              <w:top w:val="nil"/>
              <w:left w:val="nil"/>
              <w:bottom w:val="nil"/>
              <w:right w:val="nil"/>
            </w:tcBorders>
          </w:tcPr>
          <w:p w14:paraId="338D04EE" w14:textId="77449DE1" w:rsidR="00360719" w:rsidRPr="00360719" w:rsidRDefault="00360719" w:rsidP="00360719">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752 </w:t>
            </w:r>
          </w:p>
        </w:tc>
      </w:tr>
      <w:tr w:rsidR="00360719" w:rsidRPr="00D31D72" w14:paraId="5A09AC17" w14:textId="77777777" w:rsidTr="0010235E">
        <w:tc>
          <w:tcPr>
            <w:tcW w:w="1871" w:type="pct"/>
            <w:tcBorders>
              <w:top w:val="nil"/>
              <w:left w:val="nil"/>
              <w:bottom w:val="nil"/>
              <w:right w:val="nil"/>
            </w:tcBorders>
            <w:noWrap/>
            <w:vAlign w:val="center"/>
            <w:hideMark/>
          </w:tcPr>
          <w:p w14:paraId="0BB2633F" w14:textId="77777777" w:rsidR="00360719" w:rsidRPr="00F65403" w:rsidRDefault="00360719" w:rsidP="0036071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782" w:type="pct"/>
            <w:tcBorders>
              <w:top w:val="nil"/>
              <w:left w:val="nil"/>
              <w:bottom w:val="single" w:sz="4" w:space="0" w:color="auto"/>
              <w:right w:val="nil"/>
            </w:tcBorders>
            <w:hideMark/>
          </w:tcPr>
          <w:p w14:paraId="7D9E4E2F" w14:textId="5AED85C8" w:rsidR="00360719" w:rsidRPr="00F65403" w:rsidRDefault="00360719" w:rsidP="00360719">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single" w:sz="4" w:space="0" w:color="auto"/>
              <w:right w:val="nil"/>
            </w:tcBorders>
            <w:hideMark/>
          </w:tcPr>
          <w:p w14:paraId="3D2A4EEB" w14:textId="5060271C" w:rsidR="00360719" w:rsidRPr="00F65403" w:rsidRDefault="00360719" w:rsidP="00360719">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single" w:sz="4" w:space="0" w:color="auto"/>
              <w:right w:val="nil"/>
            </w:tcBorders>
            <w:hideMark/>
          </w:tcPr>
          <w:p w14:paraId="1B22724D" w14:textId="7E1CB314" w:rsidR="00360719" w:rsidRPr="00F65403" w:rsidRDefault="00360719" w:rsidP="00360719">
            <w:pPr>
              <w:tabs>
                <w:tab w:val="decimal" w:pos="1143"/>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9,</w:t>
            </w:r>
            <w:r w:rsidR="00D753FD" w:rsidRPr="49BCD735">
              <w:rPr>
                <w:rFonts w:eastAsia="Times New Roman" w:cs="Arial"/>
                <w:color w:val="000000" w:themeColor="text1"/>
                <w:sz w:val="20"/>
                <w:szCs w:val="20"/>
                <w:lang w:eastAsia="en-AU"/>
              </w:rPr>
              <w:t>219</w:t>
            </w:r>
          </w:p>
        </w:tc>
        <w:tc>
          <w:tcPr>
            <w:tcW w:w="783" w:type="pct"/>
            <w:tcBorders>
              <w:top w:val="nil"/>
              <w:left w:val="nil"/>
              <w:bottom w:val="single" w:sz="4" w:space="0" w:color="auto"/>
              <w:right w:val="nil"/>
            </w:tcBorders>
            <w:hideMark/>
          </w:tcPr>
          <w:p w14:paraId="1387C127" w14:textId="2D1639E0" w:rsidR="00360719" w:rsidRPr="00360719" w:rsidRDefault="00360719" w:rsidP="00360719">
            <w:pPr>
              <w:tabs>
                <w:tab w:val="decimal" w:pos="1003"/>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 xml:space="preserve"> 9,2</w:t>
            </w:r>
            <w:r w:rsidR="00A50725" w:rsidRPr="49BCD735">
              <w:rPr>
                <w:rFonts w:eastAsia="Times New Roman" w:cs="Arial"/>
                <w:b/>
                <w:bCs/>
                <w:color w:val="000000" w:themeColor="text1"/>
                <w:sz w:val="20"/>
                <w:szCs w:val="20"/>
                <w:lang w:eastAsia="en-AU"/>
              </w:rPr>
              <w:t>19</w:t>
            </w:r>
            <w:r w:rsidRPr="49BCD735">
              <w:rPr>
                <w:rFonts w:eastAsia="Times New Roman" w:cs="Arial"/>
                <w:b/>
                <w:bCs/>
                <w:color w:val="000000" w:themeColor="text1"/>
                <w:sz w:val="20"/>
                <w:szCs w:val="20"/>
                <w:lang w:eastAsia="en-AU"/>
              </w:rPr>
              <w:t xml:space="preserve"> </w:t>
            </w:r>
          </w:p>
        </w:tc>
      </w:tr>
      <w:tr w:rsidR="00360719" w:rsidRPr="00D31D72" w14:paraId="625D6A4B" w14:textId="77777777" w:rsidTr="0010235E">
        <w:tc>
          <w:tcPr>
            <w:tcW w:w="1871" w:type="pct"/>
            <w:tcBorders>
              <w:top w:val="nil"/>
              <w:left w:val="nil"/>
              <w:bottom w:val="nil"/>
              <w:right w:val="nil"/>
            </w:tcBorders>
            <w:vAlign w:val="center"/>
            <w:hideMark/>
          </w:tcPr>
          <w:p w14:paraId="401BCDAA" w14:textId="77777777" w:rsidR="00360719" w:rsidRPr="00F65403" w:rsidRDefault="00360719" w:rsidP="00360719">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hideMark/>
          </w:tcPr>
          <w:p w14:paraId="77D3D826" w14:textId="610920DE" w:rsidR="00360719" w:rsidRPr="00360719" w:rsidRDefault="00360719" w:rsidP="00360719">
            <w:pPr>
              <w:tabs>
                <w:tab w:val="decimal" w:pos="987"/>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 </w:t>
            </w:r>
          </w:p>
        </w:tc>
        <w:tc>
          <w:tcPr>
            <w:tcW w:w="782" w:type="pct"/>
            <w:tcBorders>
              <w:top w:val="single" w:sz="4" w:space="0" w:color="auto"/>
              <w:left w:val="nil"/>
              <w:bottom w:val="single" w:sz="4" w:space="0" w:color="auto"/>
              <w:right w:val="nil"/>
            </w:tcBorders>
            <w:hideMark/>
          </w:tcPr>
          <w:p w14:paraId="15181362" w14:textId="3C5C934F" w:rsidR="00360719" w:rsidRPr="00360719" w:rsidRDefault="00360719" w:rsidP="00360719">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752 </w:t>
            </w:r>
          </w:p>
        </w:tc>
        <w:tc>
          <w:tcPr>
            <w:tcW w:w="782" w:type="pct"/>
            <w:tcBorders>
              <w:top w:val="single" w:sz="4" w:space="0" w:color="auto"/>
              <w:left w:val="nil"/>
              <w:bottom w:val="single" w:sz="4" w:space="0" w:color="auto"/>
              <w:right w:val="nil"/>
            </w:tcBorders>
            <w:hideMark/>
          </w:tcPr>
          <w:p w14:paraId="57AC4787" w14:textId="30E4F00A" w:rsidR="00360719" w:rsidRPr="00360719" w:rsidRDefault="00360719" w:rsidP="00360719">
            <w:pPr>
              <w:tabs>
                <w:tab w:val="decimal" w:pos="1143"/>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33,45</w:t>
            </w:r>
            <w:r w:rsidR="00A50725" w:rsidRPr="49BCD735">
              <w:rPr>
                <w:rFonts w:eastAsia="Times New Roman" w:cs="Arial"/>
                <w:b/>
                <w:bCs/>
                <w:color w:val="000000" w:themeColor="text1"/>
                <w:sz w:val="20"/>
                <w:szCs w:val="20"/>
                <w:lang w:eastAsia="en-AU"/>
              </w:rPr>
              <w:t>4</w:t>
            </w:r>
          </w:p>
        </w:tc>
        <w:tc>
          <w:tcPr>
            <w:tcW w:w="783" w:type="pct"/>
            <w:tcBorders>
              <w:top w:val="single" w:sz="4" w:space="0" w:color="auto"/>
              <w:left w:val="nil"/>
              <w:bottom w:val="single" w:sz="4" w:space="0" w:color="auto"/>
              <w:right w:val="nil"/>
            </w:tcBorders>
            <w:hideMark/>
          </w:tcPr>
          <w:p w14:paraId="0740F757" w14:textId="45177ACF" w:rsidR="00360719" w:rsidRPr="00360719" w:rsidRDefault="00360719" w:rsidP="00360719">
            <w:pPr>
              <w:tabs>
                <w:tab w:val="decimal" w:pos="1003"/>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34,20</w:t>
            </w:r>
            <w:r w:rsidR="00A50725" w:rsidRPr="49BCD735">
              <w:rPr>
                <w:rFonts w:eastAsia="Times New Roman" w:cs="Arial"/>
                <w:b/>
                <w:bCs/>
                <w:color w:val="000000" w:themeColor="text1"/>
                <w:sz w:val="20"/>
                <w:szCs w:val="20"/>
                <w:lang w:eastAsia="en-AU"/>
              </w:rPr>
              <w:t>6</w:t>
            </w:r>
          </w:p>
        </w:tc>
      </w:tr>
      <w:tr w:rsidR="00360719" w:rsidRPr="00D31D72" w14:paraId="37E5385A" w14:textId="77777777" w:rsidTr="0010235E">
        <w:tc>
          <w:tcPr>
            <w:tcW w:w="1871" w:type="pct"/>
            <w:tcBorders>
              <w:top w:val="nil"/>
              <w:left w:val="nil"/>
              <w:bottom w:val="nil"/>
              <w:right w:val="nil"/>
            </w:tcBorders>
            <w:noWrap/>
            <w:vAlign w:val="bottom"/>
            <w:hideMark/>
          </w:tcPr>
          <w:p w14:paraId="34C3A719" w14:textId="77777777" w:rsidR="00360719" w:rsidRPr="00F65403" w:rsidRDefault="00360719" w:rsidP="00360719">
            <w:pPr>
              <w:spacing w:after="0" w:line="240" w:lineRule="auto"/>
              <w:jc w:val="right"/>
              <w:rPr>
                <w:rFonts w:eastAsia="Times New Roman" w:cs="Arial"/>
                <w:b/>
                <w:color w:val="000000"/>
                <w:sz w:val="20"/>
                <w:szCs w:val="20"/>
                <w:lang w:eastAsia="en-AU"/>
              </w:rPr>
            </w:pPr>
          </w:p>
        </w:tc>
        <w:tc>
          <w:tcPr>
            <w:tcW w:w="782" w:type="pct"/>
            <w:tcBorders>
              <w:top w:val="single" w:sz="4" w:space="0" w:color="auto"/>
              <w:left w:val="nil"/>
              <w:bottom w:val="nil"/>
              <w:right w:val="nil"/>
            </w:tcBorders>
            <w:noWrap/>
            <w:vAlign w:val="bottom"/>
            <w:hideMark/>
          </w:tcPr>
          <w:p w14:paraId="5E4656B3" w14:textId="77777777" w:rsidR="00360719" w:rsidRPr="00F65403" w:rsidRDefault="00360719" w:rsidP="00360719">
            <w:pPr>
              <w:tabs>
                <w:tab w:val="decimal" w:pos="1096"/>
              </w:tabs>
              <w:spacing w:after="0" w:line="240" w:lineRule="auto"/>
              <w:rPr>
                <w:rFonts w:eastAsia="Times New Roman" w:cs="Arial"/>
                <w:sz w:val="20"/>
                <w:szCs w:val="20"/>
                <w:lang w:eastAsia="en-AU"/>
              </w:rPr>
            </w:pPr>
          </w:p>
        </w:tc>
        <w:tc>
          <w:tcPr>
            <w:tcW w:w="782" w:type="pct"/>
            <w:tcBorders>
              <w:top w:val="single" w:sz="4" w:space="0" w:color="auto"/>
              <w:left w:val="nil"/>
              <w:bottom w:val="nil"/>
              <w:right w:val="nil"/>
            </w:tcBorders>
            <w:noWrap/>
            <w:vAlign w:val="bottom"/>
            <w:hideMark/>
          </w:tcPr>
          <w:p w14:paraId="4B78FEF2" w14:textId="77777777" w:rsidR="00360719" w:rsidRPr="00F65403" w:rsidRDefault="00360719" w:rsidP="00360719">
            <w:pPr>
              <w:tabs>
                <w:tab w:val="decimal" w:pos="1096"/>
              </w:tabs>
              <w:spacing w:after="0" w:line="240" w:lineRule="auto"/>
              <w:rPr>
                <w:rFonts w:eastAsia="Times New Roman" w:cs="Arial"/>
                <w:sz w:val="20"/>
                <w:szCs w:val="20"/>
                <w:lang w:eastAsia="en-AU"/>
              </w:rPr>
            </w:pPr>
          </w:p>
        </w:tc>
        <w:tc>
          <w:tcPr>
            <w:tcW w:w="782" w:type="pct"/>
            <w:tcBorders>
              <w:top w:val="single" w:sz="4" w:space="0" w:color="auto"/>
              <w:left w:val="nil"/>
              <w:bottom w:val="nil"/>
              <w:right w:val="nil"/>
            </w:tcBorders>
            <w:noWrap/>
            <w:vAlign w:val="bottom"/>
            <w:hideMark/>
          </w:tcPr>
          <w:p w14:paraId="7BD975A8" w14:textId="77777777" w:rsidR="00360719" w:rsidRPr="00F65403" w:rsidRDefault="00360719" w:rsidP="00360719">
            <w:pPr>
              <w:tabs>
                <w:tab w:val="decimal" w:pos="1096"/>
              </w:tabs>
              <w:spacing w:after="0" w:line="240" w:lineRule="auto"/>
              <w:rPr>
                <w:rFonts w:eastAsia="Times New Roman" w:cs="Arial"/>
                <w:sz w:val="20"/>
                <w:szCs w:val="20"/>
                <w:lang w:eastAsia="en-AU"/>
              </w:rPr>
            </w:pPr>
          </w:p>
        </w:tc>
        <w:tc>
          <w:tcPr>
            <w:tcW w:w="783" w:type="pct"/>
            <w:tcBorders>
              <w:top w:val="single" w:sz="4" w:space="0" w:color="auto"/>
              <w:left w:val="nil"/>
              <w:bottom w:val="nil"/>
              <w:right w:val="nil"/>
            </w:tcBorders>
            <w:noWrap/>
            <w:vAlign w:val="bottom"/>
            <w:hideMark/>
          </w:tcPr>
          <w:p w14:paraId="6083B5E0" w14:textId="77777777" w:rsidR="00360719" w:rsidRPr="00F65403" w:rsidRDefault="00360719" w:rsidP="00360719">
            <w:pPr>
              <w:tabs>
                <w:tab w:val="decimal" w:pos="1096"/>
              </w:tabs>
              <w:spacing w:after="0" w:line="240" w:lineRule="auto"/>
              <w:rPr>
                <w:rFonts w:eastAsia="Times New Roman" w:cs="Arial"/>
                <w:sz w:val="20"/>
                <w:szCs w:val="20"/>
                <w:lang w:eastAsia="en-AU"/>
              </w:rPr>
            </w:pPr>
          </w:p>
        </w:tc>
      </w:tr>
    </w:tbl>
    <w:p w14:paraId="7249EB68" w14:textId="0DBCA6F9" w:rsidR="003B7030" w:rsidRDefault="003B7030" w:rsidP="003B7030">
      <w:pPr>
        <w:pStyle w:val="BodyText"/>
      </w:pPr>
    </w:p>
    <w:tbl>
      <w:tblPr>
        <w:tblW w:w="5000" w:type="pct"/>
        <w:tblCellMar>
          <w:top w:w="28" w:type="dxa"/>
          <w:left w:w="28" w:type="dxa"/>
          <w:bottom w:w="28" w:type="dxa"/>
          <w:right w:w="28" w:type="dxa"/>
        </w:tblCellMar>
        <w:tblLook w:val="04A0" w:firstRow="1" w:lastRow="0" w:firstColumn="1" w:lastColumn="0" w:noHBand="0" w:noVBand="1"/>
      </w:tblPr>
      <w:tblGrid>
        <w:gridCol w:w="3377"/>
        <w:gridCol w:w="1412"/>
        <w:gridCol w:w="1412"/>
        <w:gridCol w:w="1412"/>
        <w:gridCol w:w="1413"/>
      </w:tblGrid>
      <w:tr w:rsidR="00D31D72" w:rsidRPr="00D31D72" w14:paraId="7362B23F" w14:textId="77777777" w:rsidTr="49BCD735">
        <w:tc>
          <w:tcPr>
            <w:tcW w:w="1871" w:type="pct"/>
            <w:tcBorders>
              <w:top w:val="nil"/>
              <w:left w:val="nil"/>
              <w:bottom w:val="nil"/>
              <w:right w:val="nil"/>
            </w:tcBorders>
            <w:noWrap/>
            <w:vAlign w:val="bottom"/>
            <w:hideMark/>
          </w:tcPr>
          <w:p w14:paraId="6FAFB6B3" w14:textId="77777777" w:rsidR="00D31D72" w:rsidRPr="00F65403" w:rsidRDefault="00D31D72" w:rsidP="00D31D72">
            <w:pPr>
              <w:spacing w:after="0" w:line="240" w:lineRule="auto"/>
              <w:rPr>
                <w:rFonts w:eastAsia="Times New Roman" w:cs="Arial"/>
                <w:sz w:val="20"/>
                <w:szCs w:val="20"/>
                <w:lang w:eastAsia="en-AU"/>
              </w:rPr>
            </w:pPr>
          </w:p>
        </w:tc>
        <w:tc>
          <w:tcPr>
            <w:tcW w:w="3129" w:type="pct"/>
            <w:gridSpan w:val="4"/>
            <w:tcBorders>
              <w:top w:val="nil"/>
              <w:left w:val="nil"/>
              <w:bottom w:val="nil"/>
              <w:right w:val="nil"/>
            </w:tcBorders>
            <w:vAlign w:val="center"/>
            <w:hideMark/>
          </w:tcPr>
          <w:p w14:paraId="13D1D19A" w14:textId="77777777" w:rsidR="00D31D72" w:rsidRPr="00F65403" w:rsidRDefault="00D31D72" w:rsidP="00D31D7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value</w:t>
            </w:r>
          </w:p>
        </w:tc>
      </w:tr>
      <w:tr w:rsidR="00D31D72" w:rsidRPr="00D31D72" w14:paraId="1C0F1310" w14:textId="77777777" w:rsidTr="49BCD735">
        <w:tc>
          <w:tcPr>
            <w:tcW w:w="1871" w:type="pct"/>
            <w:tcBorders>
              <w:top w:val="nil"/>
              <w:left w:val="nil"/>
              <w:bottom w:val="nil"/>
              <w:right w:val="nil"/>
            </w:tcBorders>
            <w:noWrap/>
            <w:vAlign w:val="bottom"/>
            <w:hideMark/>
          </w:tcPr>
          <w:p w14:paraId="2C5D08A8" w14:textId="77777777" w:rsidR="00D31D72" w:rsidRPr="00F65403" w:rsidRDefault="00D31D72" w:rsidP="00D31D72">
            <w:pPr>
              <w:spacing w:after="0" w:line="240" w:lineRule="auto"/>
              <w:jc w:val="center"/>
              <w:rPr>
                <w:rFonts w:eastAsia="Times New Roman" w:cs="Arial"/>
                <w:b/>
                <w:color w:val="000000"/>
                <w:sz w:val="20"/>
                <w:szCs w:val="20"/>
                <w:lang w:eastAsia="en-AU"/>
              </w:rPr>
            </w:pPr>
          </w:p>
        </w:tc>
        <w:tc>
          <w:tcPr>
            <w:tcW w:w="3129" w:type="pct"/>
            <w:gridSpan w:val="4"/>
            <w:tcBorders>
              <w:top w:val="nil"/>
              <w:left w:val="nil"/>
              <w:bottom w:val="nil"/>
              <w:right w:val="nil"/>
            </w:tcBorders>
            <w:hideMark/>
          </w:tcPr>
          <w:p w14:paraId="1970EBB4" w14:textId="5278ECDE" w:rsidR="00D31D72" w:rsidRPr="00F65403" w:rsidRDefault="002F52E5" w:rsidP="00D31D72">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D31D72" w:rsidRPr="00D31D72" w14:paraId="6EB6814F" w14:textId="77777777" w:rsidTr="49BCD735">
        <w:tc>
          <w:tcPr>
            <w:tcW w:w="1871" w:type="pct"/>
            <w:tcBorders>
              <w:top w:val="nil"/>
              <w:left w:val="nil"/>
              <w:bottom w:val="nil"/>
              <w:right w:val="nil"/>
            </w:tcBorders>
            <w:vAlign w:val="bottom"/>
            <w:hideMark/>
          </w:tcPr>
          <w:p w14:paraId="095B08E9" w14:textId="77777777" w:rsidR="00D31D72" w:rsidRPr="00F65403" w:rsidRDefault="00D31D72" w:rsidP="00D31D7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782" w:type="pct"/>
            <w:tcBorders>
              <w:top w:val="nil"/>
              <w:left w:val="nil"/>
              <w:bottom w:val="nil"/>
              <w:right w:val="nil"/>
            </w:tcBorders>
            <w:vAlign w:val="center"/>
            <w:hideMark/>
          </w:tcPr>
          <w:p w14:paraId="1055FA68" w14:textId="77777777" w:rsidR="00D31D72" w:rsidRPr="00F65403" w:rsidRDefault="00D31D72" w:rsidP="00B82A2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FVTPL</w:t>
            </w:r>
          </w:p>
        </w:tc>
        <w:tc>
          <w:tcPr>
            <w:tcW w:w="782" w:type="pct"/>
            <w:tcBorders>
              <w:top w:val="nil"/>
              <w:left w:val="nil"/>
              <w:bottom w:val="nil"/>
              <w:right w:val="nil"/>
            </w:tcBorders>
            <w:vAlign w:val="center"/>
            <w:hideMark/>
          </w:tcPr>
          <w:p w14:paraId="4D74145D" w14:textId="77777777" w:rsidR="00D31D72" w:rsidRPr="00F65403" w:rsidRDefault="00D31D72" w:rsidP="00B82A2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782" w:type="pct"/>
            <w:tcBorders>
              <w:top w:val="nil"/>
              <w:left w:val="nil"/>
              <w:bottom w:val="nil"/>
              <w:right w:val="nil"/>
            </w:tcBorders>
            <w:vAlign w:val="center"/>
            <w:hideMark/>
          </w:tcPr>
          <w:p w14:paraId="793E108B" w14:textId="77777777" w:rsidR="00D31D72" w:rsidRPr="00F65403" w:rsidRDefault="00D31D72" w:rsidP="00B82A2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783" w:type="pct"/>
            <w:tcBorders>
              <w:top w:val="nil"/>
              <w:left w:val="nil"/>
              <w:bottom w:val="nil"/>
              <w:right w:val="nil"/>
            </w:tcBorders>
            <w:vAlign w:val="center"/>
            <w:hideMark/>
          </w:tcPr>
          <w:p w14:paraId="5D0D9FC0" w14:textId="77777777" w:rsidR="00D31D72" w:rsidRPr="00F65403" w:rsidRDefault="00D31D72" w:rsidP="00B82A2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D31D72" w:rsidRPr="00D31D72" w14:paraId="68EDCF43" w14:textId="77777777" w:rsidTr="49BCD735">
        <w:tc>
          <w:tcPr>
            <w:tcW w:w="1871" w:type="pct"/>
            <w:tcBorders>
              <w:top w:val="nil"/>
              <w:left w:val="nil"/>
              <w:bottom w:val="nil"/>
              <w:right w:val="nil"/>
            </w:tcBorders>
            <w:noWrap/>
            <w:vAlign w:val="center"/>
            <w:hideMark/>
          </w:tcPr>
          <w:p w14:paraId="6A8B9780" w14:textId="77777777" w:rsidR="00D31D72" w:rsidRPr="00F65403" w:rsidRDefault="00D31D72" w:rsidP="00D31D72">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782" w:type="pct"/>
            <w:tcBorders>
              <w:top w:val="nil"/>
              <w:left w:val="nil"/>
              <w:bottom w:val="nil"/>
              <w:right w:val="nil"/>
            </w:tcBorders>
            <w:vAlign w:val="bottom"/>
            <w:hideMark/>
          </w:tcPr>
          <w:p w14:paraId="1B7093B0"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48DE7A43"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1A054671"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576C1851"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r>
      <w:tr w:rsidR="00D31D72" w:rsidRPr="00D31D72" w14:paraId="149F6C4E" w14:textId="77777777" w:rsidTr="49BCD735">
        <w:tc>
          <w:tcPr>
            <w:tcW w:w="1871" w:type="pct"/>
            <w:tcBorders>
              <w:top w:val="nil"/>
              <w:left w:val="nil"/>
              <w:bottom w:val="nil"/>
              <w:right w:val="nil"/>
            </w:tcBorders>
            <w:noWrap/>
            <w:vAlign w:val="center"/>
            <w:hideMark/>
          </w:tcPr>
          <w:p w14:paraId="06353681" w14:textId="77777777" w:rsidR="00D31D72" w:rsidRPr="00F65403" w:rsidRDefault="00D31D72" w:rsidP="00D31D7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782" w:type="pct"/>
            <w:tcBorders>
              <w:top w:val="nil"/>
              <w:left w:val="nil"/>
              <w:bottom w:val="nil"/>
              <w:right w:val="nil"/>
            </w:tcBorders>
            <w:vAlign w:val="bottom"/>
            <w:hideMark/>
          </w:tcPr>
          <w:p w14:paraId="27EB9C4A" w14:textId="340B6920"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14D79442" w14:textId="0F1BC444"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2D5F657F"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264,215</w:t>
            </w:r>
          </w:p>
        </w:tc>
        <w:tc>
          <w:tcPr>
            <w:tcW w:w="783" w:type="pct"/>
            <w:tcBorders>
              <w:top w:val="nil"/>
              <w:left w:val="nil"/>
              <w:bottom w:val="nil"/>
              <w:right w:val="nil"/>
            </w:tcBorders>
            <w:vAlign w:val="bottom"/>
            <w:hideMark/>
          </w:tcPr>
          <w:p w14:paraId="3FC5717C"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264,215</w:t>
            </w:r>
          </w:p>
        </w:tc>
      </w:tr>
      <w:tr w:rsidR="00D31D72" w:rsidRPr="00D31D72" w14:paraId="1209A3C4" w14:textId="77777777" w:rsidTr="49BCD735">
        <w:tc>
          <w:tcPr>
            <w:tcW w:w="1871" w:type="pct"/>
            <w:tcBorders>
              <w:top w:val="nil"/>
              <w:left w:val="nil"/>
              <w:bottom w:val="nil"/>
              <w:right w:val="nil"/>
            </w:tcBorders>
            <w:noWrap/>
            <w:vAlign w:val="center"/>
            <w:hideMark/>
          </w:tcPr>
          <w:p w14:paraId="430AA009" w14:textId="77777777" w:rsidR="00D31D72" w:rsidRPr="00F65403" w:rsidRDefault="00D31D72" w:rsidP="00D31D7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Receivables</w:t>
            </w:r>
          </w:p>
        </w:tc>
        <w:tc>
          <w:tcPr>
            <w:tcW w:w="782" w:type="pct"/>
            <w:tcBorders>
              <w:top w:val="nil"/>
              <w:left w:val="nil"/>
              <w:bottom w:val="nil"/>
              <w:right w:val="nil"/>
            </w:tcBorders>
            <w:vAlign w:val="bottom"/>
            <w:hideMark/>
          </w:tcPr>
          <w:p w14:paraId="682BD4DB" w14:textId="505EAEC9"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7491CB45" w14:textId="7D8D7D3B"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182FFD9F"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126</w:t>
            </w:r>
          </w:p>
        </w:tc>
        <w:tc>
          <w:tcPr>
            <w:tcW w:w="783" w:type="pct"/>
            <w:tcBorders>
              <w:top w:val="nil"/>
              <w:left w:val="nil"/>
              <w:bottom w:val="nil"/>
              <w:right w:val="nil"/>
            </w:tcBorders>
            <w:vAlign w:val="bottom"/>
            <w:hideMark/>
          </w:tcPr>
          <w:p w14:paraId="04217171"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126</w:t>
            </w:r>
          </w:p>
        </w:tc>
      </w:tr>
      <w:tr w:rsidR="00D31D72" w:rsidRPr="00D31D72" w14:paraId="2BC92F8E" w14:textId="77777777" w:rsidTr="49BCD735">
        <w:tc>
          <w:tcPr>
            <w:tcW w:w="1871" w:type="pct"/>
            <w:tcBorders>
              <w:top w:val="nil"/>
              <w:left w:val="nil"/>
              <w:bottom w:val="nil"/>
              <w:right w:val="nil"/>
            </w:tcBorders>
            <w:noWrap/>
            <w:vAlign w:val="center"/>
            <w:hideMark/>
          </w:tcPr>
          <w:p w14:paraId="16DC5406" w14:textId="77777777" w:rsidR="00D31D72" w:rsidRPr="00F65403" w:rsidRDefault="00D31D72" w:rsidP="00D31D7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financial instruments</w:t>
            </w:r>
          </w:p>
        </w:tc>
        <w:tc>
          <w:tcPr>
            <w:tcW w:w="782" w:type="pct"/>
            <w:tcBorders>
              <w:top w:val="nil"/>
              <w:left w:val="nil"/>
              <w:bottom w:val="nil"/>
              <w:right w:val="nil"/>
            </w:tcBorders>
            <w:vAlign w:val="bottom"/>
            <w:hideMark/>
          </w:tcPr>
          <w:p w14:paraId="3BF6F167" w14:textId="1BD0BAAB"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782" w:type="pct"/>
            <w:tcBorders>
              <w:top w:val="nil"/>
              <w:left w:val="nil"/>
              <w:bottom w:val="nil"/>
              <w:right w:val="nil"/>
            </w:tcBorders>
            <w:vAlign w:val="bottom"/>
            <w:hideMark/>
          </w:tcPr>
          <w:p w14:paraId="0B97D7FC" w14:textId="00DB94B1"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5B4590AC" w14:textId="4BB8D468"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3" w:type="pct"/>
            <w:tcBorders>
              <w:top w:val="nil"/>
              <w:left w:val="nil"/>
              <w:bottom w:val="nil"/>
              <w:right w:val="nil"/>
            </w:tcBorders>
            <w:vAlign w:val="bottom"/>
            <w:hideMark/>
          </w:tcPr>
          <w:p w14:paraId="16CC042F"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D31D72" w:rsidRPr="00D31D72" w14:paraId="2917D10D" w14:textId="77777777" w:rsidTr="49BCD735">
        <w:tc>
          <w:tcPr>
            <w:tcW w:w="1871" w:type="pct"/>
            <w:tcBorders>
              <w:top w:val="nil"/>
              <w:left w:val="nil"/>
              <w:bottom w:val="nil"/>
              <w:right w:val="nil"/>
            </w:tcBorders>
            <w:noWrap/>
            <w:vAlign w:val="center"/>
            <w:hideMark/>
          </w:tcPr>
          <w:p w14:paraId="60322211" w14:textId="77777777" w:rsidR="00D31D72" w:rsidRPr="00F65403" w:rsidRDefault="00D31D72" w:rsidP="00D31D7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vAlign w:val="bottom"/>
            <w:hideMark/>
          </w:tcPr>
          <w:p w14:paraId="22E3D83F" w14:textId="69ED3A82"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782" w:type="pct"/>
            <w:tcBorders>
              <w:top w:val="single" w:sz="4" w:space="0" w:color="auto"/>
              <w:left w:val="nil"/>
              <w:bottom w:val="single" w:sz="4" w:space="0" w:color="auto"/>
              <w:right w:val="nil"/>
            </w:tcBorders>
            <w:vAlign w:val="bottom"/>
            <w:hideMark/>
          </w:tcPr>
          <w:p w14:paraId="19EBA80E" w14:textId="3EB03B02"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82" w:type="pct"/>
            <w:tcBorders>
              <w:top w:val="single" w:sz="4" w:space="0" w:color="auto"/>
              <w:left w:val="nil"/>
              <w:bottom w:val="single" w:sz="4" w:space="0" w:color="auto"/>
              <w:right w:val="nil"/>
            </w:tcBorders>
            <w:vAlign w:val="bottom"/>
            <w:hideMark/>
          </w:tcPr>
          <w:p w14:paraId="009AD949" w14:textId="77777777"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264,341</w:t>
            </w:r>
          </w:p>
        </w:tc>
        <w:tc>
          <w:tcPr>
            <w:tcW w:w="783" w:type="pct"/>
            <w:tcBorders>
              <w:top w:val="single" w:sz="4" w:space="0" w:color="auto"/>
              <w:left w:val="nil"/>
              <w:bottom w:val="single" w:sz="4" w:space="0" w:color="auto"/>
              <w:right w:val="nil"/>
            </w:tcBorders>
            <w:vAlign w:val="bottom"/>
            <w:hideMark/>
          </w:tcPr>
          <w:p w14:paraId="4F8E81D6" w14:textId="77777777"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278,171</w:t>
            </w:r>
          </w:p>
        </w:tc>
      </w:tr>
      <w:tr w:rsidR="00D31D72" w:rsidRPr="00D31D72" w14:paraId="689BC8A5" w14:textId="77777777" w:rsidTr="49BCD735">
        <w:tc>
          <w:tcPr>
            <w:tcW w:w="1871" w:type="pct"/>
            <w:tcBorders>
              <w:top w:val="nil"/>
              <w:left w:val="nil"/>
              <w:bottom w:val="nil"/>
              <w:right w:val="nil"/>
            </w:tcBorders>
            <w:noWrap/>
            <w:vAlign w:val="center"/>
            <w:hideMark/>
          </w:tcPr>
          <w:p w14:paraId="11BBAAA7" w14:textId="77777777" w:rsidR="00D31D72" w:rsidRPr="00F65403" w:rsidRDefault="00D31D72" w:rsidP="00D31D72">
            <w:pPr>
              <w:spacing w:after="0" w:line="240" w:lineRule="auto"/>
              <w:jc w:val="right"/>
              <w:rPr>
                <w:rFonts w:eastAsia="Times New Roman" w:cs="Arial"/>
                <w:b/>
                <w:color w:val="000000"/>
                <w:sz w:val="20"/>
                <w:szCs w:val="20"/>
                <w:lang w:eastAsia="en-AU"/>
              </w:rPr>
            </w:pPr>
          </w:p>
        </w:tc>
        <w:tc>
          <w:tcPr>
            <w:tcW w:w="782" w:type="pct"/>
            <w:tcBorders>
              <w:top w:val="nil"/>
              <w:left w:val="nil"/>
              <w:bottom w:val="nil"/>
              <w:right w:val="nil"/>
            </w:tcBorders>
            <w:vAlign w:val="bottom"/>
            <w:hideMark/>
          </w:tcPr>
          <w:p w14:paraId="63EC3EB1"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792E030F"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753852D4"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0CCE7CF0"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r>
      <w:tr w:rsidR="00D31D72" w:rsidRPr="00D31D72" w14:paraId="69CC7CA3" w14:textId="77777777" w:rsidTr="49BCD735">
        <w:tc>
          <w:tcPr>
            <w:tcW w:w="1871" w:type="pct"/>
            <w:tcBorders>
              <w:top w:val="nil"/>
              <w:left w:val="nil"/>
              <w:bottom w:val="nil"/>
              <w:right w:val="nil"/>
            </w:tcBorders>
            <w:noWrap/>
            <w:vAlign w:val="center"/>
            <w:hideMark/>
          </w:tcPr>
          <w:p w14:paraId="3B6D4A64" w14:textId="77777777" w:rsidR="00D31D72" w:rsidRPr="00F65403" w:rsidRDefault="00D31D72" w:rsidP="00D31D72">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782" w:type="pct"/>
            <w:tcBorders>
              <w:top w:val="nil"/>
              <w:left w:val="nil"/>
              <w:bottom w:val="nil"/>
              <w:right w:val="nil"/>
            </w:tcBorders>
            <w:vAlign w:val="bottom"/>
            <w:hideMark/>
          </w:tcPr>
          <w:p w14:paraId="2595CD96"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7EFCBE0B"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4113A1EF"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29382412" w14:textId="77777777" w:rsidR="00D31D72" w:rsidRPr="00F65403" w:rsidRDefault="00D31D72" w:rsidP="00B82A2C">
            <w:pPr>
              <w:tabs>
                <w:tab w:val="decimal" w:pos="1101"/>
              </w:tabs>
              <w:spacing w:after="0" w:line="240" w:lineRule="auto"/>
              <w:rPr>
                <w:rFonts w:eastAsia="Times New Roman" w:cs="Arial"/>
                <w:sz w:val="20"/>
                <w:szCs w:val="20"/>
                <w:lang w:eastAsia="en-AU"/>
              </w:rPr>
            </w:pPr>
          </w:p>
        </w:tc>
      </w:tr>
      <w:tr w:rsidR="00D31D72" w:rsidRPr="00D31D72" w14:paraId="0A82100C" w14:textId="77777777" w:rsidTr="49BCD735">
        <w:tc>
          <w:tcPr>
            <w:tcW w:w="1871" w:type="pct"/>
            <w:tcBorders>
              <w:top w:val="nil"/>
              <w:left w:val="nil"/>
              <w:bottom w:val="nil"/>
              <w:right w:val="nil"/>
            </w:tcBorders>
            <w:noWrap/>
            <w:vAlign w:val="center"/>
            <w:hideMark/>
          </w:tcPr>
          <w:p w14:paraId="64D65899" w14:textId="77777777" w:rsidR="00D31D72" w:rsidRPr="00F65403" w:rsidRDefault="00D31D72" w:rsidP="00D31D7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782" w:type="pct"/>
            <w:tcBorders>
              <w:top w:val="nil"/>
              <w:left w:val="nil"/>
              <w:bottom w:val="nil"/>
              <w:right w:val="nil"/>
            </w:tcBorders>
            <w:vAlign w:val="bottom"/>
            <w:hideMark/>
          </w:tcPr>
          <w:p w14:paraId="5B39B4C6"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4FD8F9E1"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51F7006F"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3,164</w:t>
            </w:r>
          </w:p>
        </w:tc>
        <w:tc>
          <w:tcPr>
            <w:tcW w:w="783" w:type="pct"/>
            <w:tcBorders>
              <w:top w:val="nil"/>
              <w:left w:val="nil"/>
              <w:bottom w:val="nil"/>
              <w:right w:val="nil"/>
            </w:tcBorders>
            <w:vAlign w:val="bottom"/>
            <w:hideMark/>
          </w:tcPr>
          <w:p w14:paraId="0BD8780C" w14:textId="77777777" w:rsidR="00D31D72" w:rsidRPr="00F65403" w:rsidRDefault="00D31D72" w:rsidP="00B82A2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3,164</w:t>
            </w:r>
          </w:p>
        </w:tc>
      </w:tr>
      <w:tr w:rsidR="00D31D72" w:rsidRPr="00D31D72" w14:paraId="046A032C" w14:textId="77777777" w:rsidTr="49BCD735">
        <w:tc>
          <w:tcPr>
            <w:tcW w:w="1871" w:type="pct"/>
            <w:tcBorders>
              <w:top w:val="nil"/>
              <w:left w:val="nil"/>
              <w:bottom w:val="nil"/>
              <w:right w:val="nil"/>
            </w:tcBorders>
            <w:vAlign w:val="center"/>
            <w:hideMark/>
          </w:tcPr>
          <w:p w14:paraId="1BA0F70A" w14:textId="77777777" w:rsidR="00D31D72" w:rsidRPr="00F65403" w:rsidRDefault="00D31D72" w:rsidP="00D31D7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vAlign w:val="bottom"/>
            <w:hideMark/>
          </w:tcPr>
          <w:p w14:paraId="5CD30AF8" w14:textId="48BDA147"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 </w:t>
            </w:r>
          </w:p>
        </w:tc>
        <w:tc>
          <w:tcPr>
            <w:tcW w:w="782" w:type="pct"/>
            <w:tcBorders>
              <w:top w:val="single" w:sz="4" w:space="0" w:color="auto"/>
              <w:left w:val="nil"/>
              <w:bottom w:val="single" w:sz="4" w:space="0" w:color="auto"/>
              <w:right w:val="nil"/>
            </w:tcBorders>
            <w:vAlign w:val="bottom"/>
            <w:hideMark/>
          </w:tcPr>
          <w:p w14:paraId="2758BE49" w14:textId="231036E6"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82" w:type="pct"/>
            <w:tcBorders>
              <w:top w:val="single" w:sz="4" w:space="0" w:color="auto"/>
              <w:left w:val="nil"/>
              <w:bottom w:val="single" w:sz="4" w:space="0" w:color="auto"/>
              <w:right w:val="nil"/>
            </w:tcBorders>
            <w:vAlign w:val="bottom"/>
            <w:hideMark/>
          </w:tcPr>
          <w:p w14:paraId="1288C978" w14:textId="7A591FAF"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3,164 </w:t>
            </w:r>
          </w:p>
        </w:tc>
        <w:tc>
          <w:tcPr>
            <w:tcW w:w="783" w:type="pct"/>
            <w:tcBorders>
              <w:top w:val="single" w:sz="4" w:space="0" w:color="auto"/>
              <w:left w:val="nil"/>
              <w:bottom w:val="single" w:sz="4" w:space="0" w:color="auto"/>
              <w:right w:val="nil"/>
            </w:tcBorders>
            <w:vAlign w:val="bottom"/>
            <w:hideMark/>
          </w:tcPr>
          <w:p w14:paraId="24A5B6FE" w14:textId="29353C5A" w:rsidR="00D31D72" w:rsidRPr="00F65403" w:rsidRDefault="00D31D72" w:rsidP="00B82A2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3,164 </w:t>
            </w:r>
          </w:p>
        </w:tc>
      </w:tr>
    </w:tbl>
    <w:p w14:paraId="328195AE" w14:textId="619CF882" w:rsidR="00F929AA" w:rsidRDefault="00F929AA" w:rsidP="00E5651C">
      <w:pPr>
        <w:pStyle w:val="BodyText"/>
        <w:rPr>
          <w:lang w:val="en-AU"/>
        </w:rPr>
      </w:pPr>
    </w:p>
    <w:p w14:paraId="5DF67382" w14:textId="77777777" w:rsidR="00F929AA" w:rsidRDefault="00F929AA">
      <w:pPr>
        <w:rPr>
          <w:rFonts w:eastAsia="Arial" w:cs="Arial"/>
          <w:sz w:val="20"/>
          <w:szCs w:val="20"/>
        </w:rPr>
      </w:pPr>
      <w:r>
        <w:br w:type="page"/>
      </w:r>
    </w:p>
    <w:p w14:paraId="20A47EB0" w14:textId="77777777" w:rsidR="00AC00EC" w:rsidRPr="00F65403" w:rsidRDefault="00AC00EC" w:rsidP="00E5651C">
      <w:pPr>
        <w:pStyle w:val="BodyText"/>
        <w:rPr>
          <w:lang w:val="en-AU"/>
        </w:rPr>
      </w:pPr>
    </w:p>
    <w:p w14:paraId="51F5568A" w14:textId="5ADCB189" w:rsidR="00AC00EC" w:rsidRPr="00F65403" w:rsidRDefault="00144B04" w:rsidP="00437972">
      <w:pPr>
        <w:pStyle w:val="Heading8"/>
      </w:pPr>
      <w:r>
        <w:t>ii.</w:t>
      </w:r>
      <w:r>
        <w:tab/>
      </w:r>
      <w:r w:rsidR="00AC00EC">
        <w:t>Fair value measurements</w:t>
      </w:r>
    </w:p>
    <w:p w14:paraId="4C05D2A2" w14:textId="77777777" w:rsidR="00AC00EC" w:rsidRPr="00F65403" w:rsidRDefault="00AC00EC" w:rsidP="00925551">
      <w:pPr>
        <w:pStyle w:val="BodyText"/>
        <w:rPr>
          <w:lang w:val="en-AU"/>
        </w:rPr>
      </w:pPr>
      <w:r w:rsidRPr="00F65403">
        <w:rPr>
          <w:lang w:val="en-AU"/>
        </w:rPr>
        <w:t>The following table provides an analysis of financial instruments that are measured after initial recognition at fair value, grouped into Levels 1 to 3 based on the degree to which the fair value is observable:</w:t>
      </w:r>
    </w:p>
    <w:p w14:paraId="166E7D47" w14:textId="77777777" w:rsidR="00AC00EC" w:rsidRPr="00F65403" w:rsidRDefault="00AC00EC" w:rsidP="00A64832">
      <w:pPr>
        <w:pStyle w:val="ListBullet"/>
        <w:rPr>
          <w:lang w:val="en-AU"/>
        </w:rPr>
      </w:pPr>
      <w:r w:rsidRPr="00F65403">
        <w:rPr>
          <w:lang w:val="en-AU"/>
        </w:rPr>
        <w:t>level 1 fair value measurements are those derived from quoted prices (unadjusted) in active markets for identical assets or liabilities</w:t>
      </w:r>
    </w:p>
    <w:p w14:paraId="27C8B9E7" w14:textId="77777777" w:rsidR="00AC00EC" w:rsidRPr="00F65403" w:rsidRDefault="00AC00EC" w:rsidP="00A64832">
      <w:pPr>
        <w:pStyle w:val="ListBullet"/>
        <w:rPr>
          <w:lang w:val="en-AU"/>
        </w:rPr>
      </w:pPr>
      <w:r w:rsidRPr="00F65403">
        <w:rPr>
          <w:lang w:val="en-AU"/>
        </w:rPr>
        <w:t>level 2 fair value measurements are those derived from inputs other than quoted prices included within level 1 that are observable for the asset or liability, either directly (as prices) or indirectly (derived from prices)</w:t>
      </w:r>
    </w:p>
    <w:p w14:paraId="5A9093BB" w14:textId="4FAB93A1" w:rsidR="00AC00EC" w:rsidRPr="00F65403" w:rsidRDefault="39AF5BC6" w:rsidP="00A64832">
      <w:pPr>
        <w:pStyle w:val="ListBullet"/>
        <w:rPr>
          <w:lang w:val="en-AU"/>
        </w:rPr>
      </w:pPr>
      <w:r w:rsidRPr="00F65403">
        <w:rPr>
          <w:lang w:val="en-AU"/>
        </w:rPr>
        <w:t>level 3 fair value measurements are those derived from valuation techniques that include inputs for the asset or liability that are not based on observable market data (unobservable inputs).</w:t>
      </w:r>
    </w:p>
    <w:p w14:paraId="6678E16B" w14:textId="30474882" w:rsidR="790DB98E" w:rsidRPr="00F65403" w:rsidRDefault="790DB98E" w:rsidP="00A64832">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8"/>
        <w:gridCol w:w="1128"/>
        <w:gridCol w:w="1130"/>
        <w:gridCol w:w="1132"/>
        <w:gridCol w:w="1132"/>
        <w:gridCol w:w="1126"/>
      </w:tblGrid>
      <w:tr w:rsidR="000A5A1C" w:rsidRPr="00E5651C" w14:paraId="1A73E9B3" w14:textId="77777777" w:rsidTr="002F52E5">
        <w:tc>
          <w:tcPr>
            <w:tcW w:w="1871" w:type="pct"/>
            <w:tcBorders>
              <w:top w:val="nil"/>
              <w:left w:val="nil"/>
              <w:bottom w:val="nil"/>
              <w:right w:val="nil"/>
            </w:tcBorders>
            <w:noWrap/>
            <w:vAlign w:val="bottom"/>
            <w:hideMark/>
          </w:tcPr>
          <w:p w14:paraId="14A8A6D1" w14:textId="77777777" w:rsidR="000A5A1C" w:rsidRPr="00F65403" w:rsidRDefault="000A5A1C" w:rsidP="000A5A1C">
            <w:pPr>
              <w:spacing w:after="0" w:line="240" w:lineRule="auto"/>
              <w:rPr>
                <w:rFonts w:eastAsia="Times New Roman" w:cs="Arial"/>
                <w:sz w:val="20"/>
                <w:szCs w:val="20"/>
                <w:lang w:eastAsia="en-AU"/>
              </w:rPr>
            </w:pPr>
          </w:p>
        </w:tc>
        <w:tc>
          <w:tcPr>
            <w:tcW w:w="3129" w:type="pct"/>
            <w:gridSpan w:val="5"/>
            <w:tcBorders>
              <w:top w:val="nil"/>
              <w:left w:val="nil"/>
              <w:bottom w:val="nil"/>
              <w:right w:val="nil"/>
            </w:tcBorders>
            <w:hideMark/>
          </w:tcPr>
          <w:p w14:paraId="25146503" w14:textId="72287614" w:rsidR="000A5A1C" w:rsidRPr="00F65403" w:rsidRDefault="002F52E5" w:rsidP="000A5A1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A5A1C" w:rsidRPr="00E5651C" w14:paraId="1E789DB7" w14:textId="77777777" w:rsidTr="00482775">
        <w:tc>
          <w:tcPr>
            <w:tcW w:w="1871" w:type="pct"/>
            <w:tcBorders>
              <w:top w:val="nil"/>
              <w:left w:val="nil"/>
              <w:bottom w:val="nil"/>
              <w:right w:val="nil"/>
            </w:tcBorders>
            <w:vAlign w:val="bottom"/>
            <w:hideMark/>
          </w:tcPr>
          <w:p w14:paraId="6BD9480C" w14:textId="77777777" w:rsidR="000A5A1C" w:rsidRPr="00F65403" w:rsidRDefault="000A5A1C" w:rsidP="000A5A1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25" w:type="pct"/>
            <w:tcBorders>
              <w:top w:val="nil"/>
              <w:left w:val="nil"/>
              <w:bottom w:val="nil"/>
              <w:right w:val="nil"/>
            </w:tcBorders>
            <w:vAlign w:val="center"/>
            <w:hideMark/>
          </w:tcPr>
          <w:p w14:paraId="09ADF444" w14:textId="77777777" w:rsidR="000A5A1C" w:rsidRPr="00F65403" w:rsidRDefault="000A5A1C"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26" w:type="pct"/>
            <w:tcBorders>
              <w:top w:val="nil"/>
              <w:left w:val="nil"/>
              <w:bottom w:val="nil"/>
              <w:right w:val="nil"/>
            </w:tcBorders>
            <w:vAlign w:val="center"/>
            <w:hideMark/>
          </w:tcPr>
          <w:p w14:paraId="71808A93" w14:textId="77777777" w:rsidR="000A5A1C" w:rsidRPr="00F65403" w:rsidRDefault="000A5A1C"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27" w:type="pct"/>
            <w:tcBorders>
              <w:top w:val="nil"/>
              <w:left w:val="nil"/>
              <w:bottom w:val="nil"/>
              <w:right w:val="nil"/>
            </w:tcBorders>
            <w:vAlign w:val="center"/>
            <w:hideMark/>
          </w:tcPr>
          <w:p w14:paraId="6B511A3E" w14:textId="77777777" w:rsidR="000A5A1C" w:rsidRPr="00F65403" w:rsidRDefault="000A5A1C"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27" w:type="pct"/>
            <w:tcBorders>
              <w:top w:val="nil"/>
              <w:left w:val="nil"/>
              <w:bottom w:val="nil"/>
              <w:right w:val="nil"/>
            </w:tcBorders>
            <w:vAlign w:val="center"/>
            <w:hideMark/>
          </w:tcPr>
          <w:p w14:paraId="2168ABA5" w14:textId="77777777" w:rsidR="000A5A1C" w:rsidRPr="00F65403" w:rsidRDefault="000A5A1C"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24" w:type="pct"/>
            <w:tcBorders>
              <w:top w:val="nil"/>
              <w:left w:val="nil"/>
              <w:bottom w:val="nil"/>
              <w:right w:val="nil"/>
            </w:tcBorders>
            <w:vAlign w:val="center"/>
            <w:hideMark/>
          </w:tcPr>
          <w:p w14:paraId="478D9ACE" w14:textId="77777777" w:rsidR="000A5A1C" w:rsidRPr="00F65403" w:rsidRDefault="000A5A1C"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C0BCC" w:rsidRPr="00E5651C" w14:paraId="532C0A73" w14:textId="77777777" w:rsidTr="00482775">
        <w:tc>
          <w:tcPr>
            <w:tcW w:w="1871" w:type="pct"/>
            <w:tcBorders>
              <w:top w:val="nil"/>
              <w:left w:val="nil"/>
              <w:bottom w:val="nil"/>
              <w:right w:val="nil"/>
            </w:tcBorders>
            <w:noWrap/>
            <w:vAlign w:val="bottom"/>
          </w:tcPr>
          <w:p w14:paraId="506E0430" w14:textId="21A549ED" w:rsidR="008C0BCC" w:rsidRPr="00F65403" w:rsidRDefault="008C0BCC" w:rsidP="005E3536">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25" w:type="pct"/>
            <w:tcBorders>
              <w:top w:val="nil"/>
              <w:left w:val="nil"/>
              <w:bottom w:val="nil"/>
              <w:right w:val="nil"/>
            </w:tcBorders>
            <w:noWrap/>
            <w:vAlign w:val="bottom"/>
          </w:tcPr>
          <w:p w14:paraId="27A389EB" w14:textId="77777777" w:rsidR="008C0BCC" w:rsidRPr="00F65403" w:rsidRDefault="008C0BCC" w:rsidP="008C0BCC">
            <w:pPr>
              <w:tabs>
                <w:tab w:val="decimal" w:pos="931"/>
              </w:tabs>
              <w:spacing w:after="0" w:line="240" w:lineRule="auto"/>
              <w:rPr>
                <w:rFonts w:eastAsia="Times New Roman" w:cs="Arial"/>
                <w:b/>
                <w:color w:val="000000"/>
                <w:sz w:val="20"/>
                <w:szCs w:val="20"/>
                <w:lang w:eastAsia="en-AU"/>
              </w:rPr>
            </w:pPr>
          </w:p>
        </w:tc>
        <w:tc>
          <w:tcPr>
            <w:tcW w:w="626" w:type="pct"/>
            <w:tcBorders>
              <w:top w:val="nil"/>
              <w:left w:val="nil"/>
              <w:bottom w:val="nil"/>
              <w:right w:val="nil"/>
            </w:tcBorders>
            <w:vAlign w:val="bottom"/>
          </w:tcPr>
          <w:p w14:paraId="47EEC61A" w14:textId="77777777" w:rsidR="008C0BCC" w:rsidRPr="00F65403" w:rsidRDefault="008C0BCC" w:rsidP="008C0BCC">
            <w:pPr>
              <w:tabs>
                <w:tab w:val="decimal" w:pos="931"/>
              </w:tabs>
              <w:spacing w:after="0" w:line="240" w:lineRule="auto"/>
              <w:rPr>
                <w:rFonts w:eastAsia="Times New Roman" w:cs="Arial"/>
                <w:sz w:val="20"/>
                <w:szCs w:val="20"/>
                <w:lang w:eastAsia="en-AU"/>
              </w:rPr>
            </w:pPr>
          </w:p>
        </w:tc>
        <w:tc>
          <w:tcPr>
            <w:tcW w:w="627" w:type="pct"/>
            <w:tcBorders>
              <w:top w:val="nil"/>
              <w:left w:val="nil"/>
              <w:bottom w:val="nil"/>
              <w:right w:val="nil"/>
            </w:tcBorders>
            <w:vAlign w:val="bottom"/>
          </w:tcPr>
          <w:p w14:paraId="2E32A318" w14:textId="77777777" w:rsidR="008C0BCC" w:rsidRPr="00F65403" w:rsidRDefault="008C0BCC" w:rsidP="008C0BCC">
            <w:pPr>
              <w:tabs>
                <w:tab w:val="decimal" w:pos="931"/>
              </w:tabs>
              <w:spacing w:after="0" w:line="240" w:lineRule="auto"/>
              <w:rPr>
                <w:rFonts w:eastAsia="Times New Roman" w:cs="Arial"/>
                <w:sz w:val="20"/>
                <w:szCs w:val="20"/>
                <w:lang w:eastAsia="en-AU"/>
              </w:rPr>
            </w:pPr>
          </w:p>
        </w:tc>
        <w:tc>
          <w:tcPr>
            <w:tcW w:w="627" w:type="pct"/>
            <w:tcBorders>
              <w:top w:val="nil"/>
              <w:left w:val="nil"/>
              <w:bottom w:val="nil"/>
              <w:right w:val="nil"/>
            </w:tcBorders>
            <w:vAlign w:val="bottom"/>
          </w:tcPr>
          <w:p w14:paraId="67A7ACC7" w14:textId="77777777" w:rsidR="008C0BCC" w:rsidRPr="00F65403" w:rsidRDefault="008C0BCC" w:rsidP="008C0BC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269C3F10" w14:textId="77777777" w:rsidR="008C0BCC" w:rsidRPr="00F65403" w:rsidRDefault="008C0BCC" w:rsidP="008C0BCC">
            <w:pPr>
              <w:tabs>
                <w:tab w:val="decimal" w:pos="931"/>
              </w:tabs>
              <w:spacing w:after="0" w:line="240" w:lineRule="auto"/>
              <w:rPr>
                <w:rFonts w:eastAsia="Times New Roman" w:cs="Arial"/>
                <w:sz w:val="20"/>
                <w:szCs w:val="20"/>
                <w:lang w:eastAsia="en-AU"/>
              </w:rPr>
            </w:pPr>
          </w:p>
        </w:tc>
      </w:tr>
      <w:tr w:rsidR="000A5A1C" w:rsidRPr="00E5651C" w14:paraId="1F7C5607" w14:textId="77777777" w:rsidTr="00482775">
        <w:tc>
          <w:tcPr>
            <w:tcW w:w="1871" w:type="pct"/>
            <w:tcBorders>
              <w:top w:val="nil"/>
              <w:left w:val="nil"/>
              <w:bottom w:val="nil"/>
              <w:right w:val="nil"/>
            </w:tcBorders>
            <w:noWrap/>
            <w:vAlign w:val="bottom"/>
            <w:hideMark/>
          </w:tcPr>
          <w:p w14:paraId="686C94C5" w14:textId="77777777" w:rsidR="000A5A1C" w:rsidRPr="00F65403" w:rsidRDefault="000A5A1C" w:rsidP="005E3536">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Assets</w:t>
            </w:r>
          </w:p>
        </w:tc>
        <w:tc>
          <w:tcPr>
            <w:tcW w:w="625" w:type="pct"/>
            <w:tcBorders>
              <w:top w:val="nil"/>
              <w:left w:val="nil"/>
              <w:bottom w:val="nil"/>
              <w:right w:val="nil"/>
            </w:tcBorders>
            <w:noWrap/>
            <w:vAlign w:val="bottom"/>
            <w:hideMark/>
          </w:tcPr>
          <w:p w14:paraId="28943218" w14:textId="77777777" w:rsidR="000A5A1C" w:rsidRPr="00F65403" w:rsidRDefault="000A5A1C" w:rsidP="008C0BCC">
            <w:pPr>
              <w:tabs>
                <w:tab w:val="decimal" w:pos="931"/>
              </w:tabs>
              <w:spacing w:after="0" w:line="240" w:lineRule="auto"/>
              <w:rPr>
                <w:rFonts w:eastAsia="Times New Roman" w:cs="Arial"/>
                <w:b/>
                <w:color w:val="000000"/>
                <w:sz w:val="20"/>
                <w:szCs w:val="20"/>
                <w:lang w:eastAsia="en-AU"/>
              </w:rPr>
            </w:pPr>
          </w:p>
        </w:tc>
        <w:tc>
          <w:tcPr>
            <w:tcW w:w="626" w:type="pct"/>
            <w:tcBorders>
              <w:top w:val="nil"/>
              <w:left w:val="nil"/>
              <w:bottom w:val="nil"/>
              <w:right w:val="nil"/>
            </w:tcBorders>
            <w:vAlign w:val="bottom"/>
            <w:hideMark/>
          </w:tcPr>
          <w:p w14:paraId="5852851B" w14:textId="77777777" w:rsidR="000A5A1C" w:rsidRPr="00F65403" w:rsidRDefault="000A5A1C" w:rsidP="008C0BCC">
            <w:pPr>
              <w:tabs>
                <w:tab w:val="decimal" w:pos="931"/>
              </w:tabs>
              <w:spacing w:after="0" w:line="240" w:lineRule="auto"/>
              <w:rPr>
                <w:rFonts w:eastAsia="Times New Roman" w:cs="Arial"/>
                <w:sz w:val="20"/>
                <w:szCs w:val="20"/>
                <w:lang w:eastAsia="en-AU"/>
              </w:rPr>
            </w:pPr>
          </w:p>
        </w:tc>
        <w:tc>
          <w:tcPr>
            <w:tcW w:w="627" w:type="pct"/>
            <w:tcBorders>
              <w:top w:val="nil"/>
              <w:left w:val="nil"/>
              <w:bottom w:val="nil"/>
              <w:right w:val="nil"/>
            </w:tcBorders>
            <w:vAlign w:val="bottom"/>
            <w:hideMark/>
          </w:tcPr>
          <w:p w14:paraId="70C93419" w14:textId="77777777" w:rsidR="000A5A1C" w:rsidRPr="00F65403" w:rsidRDefault="000A5A1C" w:rsidP="008C0BCC">
            <w:pPr>
              <w:tabs>
                <w:tab w:val="decimal" w:pos="931"/>
              </w:tabs>
              <w:spacing w:after="0" w:line="240" w:lineRule="auto"/>
              <w:rPr>
                <w:rFonts w:eastAsia="Times New Roman" w:cs="Arial"/>
                <w:sz w:val="20"/>
                <w:szCs w:val="20"/>
                <w:lang w:eastAsia="en-AU"/>
              </w:rPr>
            </w:pPr>
          </w:p>
        </w:tc>
        <w:tc>
          <w:tcPr>
            <w:tcW w:w="627" w:type="pct"/>
            <w:tcBorders>
              <w:top w:val="nil"/>
              <w:left w:val="nil"/>
              <w:bottom w:val="nil"/>
              <w:right w:val="nil"/>
            </w:tcBorders>
            <w:vAlign w:val="bottom"/>
            <w:hideMark/>
          </w:tcPr>
          <w:p w14:paraId="71E0945F" w14:textId="77777777" w:rsidR="000A5A1C" w:rsidRPr="00F65403" w:rsidRDefault="000A5A1C" w:rsidP="008C0BC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hideMark/>
          </w:tcPr>
          <w:p w14:paraId="4FA8F2ED" w14:textId="77777777" w:rsidR="000A5A1C" w:rsidRPr="00F65403" w:rsidRDefault="000A5A1C" w:rsidP="008C0BCC">
            <w:pPr>
              <w:tabs>
                <w:tab w:val="decimal" w:pos="931"/>
              </w:tabs>
              <w:spacing w:after="0" w:line="240" w:lineRule="auto"/>
              <w:rPr>
                <w:rFonts w:eastAsia="Times New Roman" w:cs="Arial"/>
                <w:sz w:val="20"/>
                <w:szCs w:val="20"/>
                <w:lang w:eastAsia="en-AU"/>
              </w:rPr>
            </w:pPr>
          </w:p>
        </w:tc>
      </w:tr>
      <w:tr w:rsidR="004B1C5A" w:rsidRPr="00E5651C" w14:paraId="5AEB714D" w14:textId="77777777" w:rsidTr="0071574A">
        <w:tc>
          <w:tcPr>
            <w:tcW w:w="1871" w:type="pct"/>
            <w:tcBorders>
              <w:top w:val="nil"/>
              <w:left w:val="nil"/>
              <w:bottom w:val="nil"/>
              <w:right w:val="nil"/>
            </w:tcBorders>
            <w:vAlign w:val="bottom"/>
            <w:hideMark/>
          </w:tcPr>
          <w:p w14:paraId="7FFCFB8B" w14:textId="77777777" w:rsidR="004B1C5A" w:rsidRPr="00F65403" w:rsidRDefault="004B1C5A" w:rsidP="004B1C5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economic hedges</w:t>
            </w:r>
          </w:p>
        </w:tc>
        <w:tc>
          <w:tcPr>
            <w:tcW w:w="625" w:type="pct"/>
            <w:tcBorders>
              <w:top w:val="nil"/>
              <w:left w:val="nil"/>
              <w:bottom w:val="nil"/>
              <w:right w:val="nil"/>
            </w:tcBorders>
            <w:noWrap/>
            <w:vAlign w:val="bottom"/>
            <w:hideMark/>
          </w:tcPr>
          <w:p w14:paraId="274AFBC2" w14:textId="3B4BAED5" w:rsidR="004B1C5A" w:rsidRPr="00F65403"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27,709 </w:t>
            </w:r>
          </w:p>
        </w:tc>
        <w:tc>
          <w:tcPr>
            <w:tcW w:w="626" w:type="pct"/>
            <w:tcBorders>
              <w:top w:val="nil"/>
              <w:left w:val="nil"/>
              <w:bottom w:val="nil"/>
              <w:right w:val="nil"/>
            </w:tcBorders>
            <w:vAlign w:val="bottom"/>
            <w:hideMark/>
          </w:tcPr>
          <w:p w14:paraId="02A9097D" w14:textId="617EED48"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5,575 </w:t>
            </w:r>
          </w:p>
        </w:tc>
        <w:tc>
          <w:tcPr>
            <w:tcW w:w="627" w:type="pct"/>
            <w:tcBorders>
              <w:top w:val="nil"/>
              <w:left w:val="nil"/>
              <w:bottom w:val="nil"/>
              <w:right w:val="nil"/>
            </w:tcBorders>
            <w:vAlign w:val="bottom"/>
            <w:hideMark/>
          </w:tcPr>
          <w:p w14:paraId="29DDA2E1" w14:textId="5D61BD12"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22,134 </w:t>
            </w:r>
          </w:p>
        </w:tc>
        <w:tc>
          <w:tcPr>
            <w:tcW w:w="627" w:type="pct"/>
            <w:tcBorders>
              <w:top w:val="nil"/>
              <w:left w:val="nil"/>
              <w:bottom w:val="nil"/>
              <w:right w:val="nil"/>
            </w:tcBorders>
            <w:vAlign w:val="bottom"/>
            <w:hideMark/>
          </w:tcPr>
          <w:p w14:paraId="36BE5A7F" w14:textId="099F342F"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3FA292ED" w14:textId="423674C9" w:rsidR="004B1C5A" w:rsidRPr="0010235E" w:rsidRDefault="004B1C5A" w:rsidP="0010235E">
            <w:pPr>
              <w:tabs>
                <w:tab w:val="decimal" w:pos="1020"/>
              </w:tabs>
              <w:spacing w:after="0" w:line="240" w:lineRule="auto"/>
              <w:rPr>
                <w:rFonts w:eastAsia="Times New Roman" w:cs="Arial"/>
                <w:color w:val="000000"/>
                <w:sz w:val="20"/>
                <w:szCs w:val="20"/>
                <w:lang w:eastAsia="en-AU"/>
              </w:rPr>
            </w:pPr>
            <w:r w:rsidRPr="0010235E">
              <w:rPr>
                <w:rFonts w:eastAsia="Times New Roman" w:cs="Arial"/>
                <w:color w:val="000000"/>
                <w:sz w:val="20"/>
                <w:szCs w:val="20"/>
                <w:lang w:eastAsia="en-AU"/>
              </w:rPr>
              <w:t xml:space="preserve"> 27,709 </w:t>
            </w:r>
          </w:p>
        </w:tc>
      </w:tr>
      <w:tr w:rsidR="004B1C5A" w:rsidRPr="00E5651C" w14:paraId="02FA337C" w14:textId="77777777" w:rsidTr="0071574A">
        <w:tc>
          <w:tcPr>
            <w:tcW w:w="1871" w:type="pct"/>
            <w:tcBorders>
              <w:top w:val="nil"/>
              <w:left w:val="nil"/>
              <w:bottom w:val="nil"/>
              <w:right w:val="nil"/>
            </w:tcBorders>
            <w:noWrap/>
            <w:vAlign w:val="bottom"/>
            <w:hideMark/>
          </w:tcPr>
          <w:p w14:paraId="156683B2" w14:textId="77777777" w:rsidR="004B1C5A" w:rsidRPr="00F65403" w:rsidRDefault="004B1C5A" w:rsidP="004B1C5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other</w:t>
            </w:r>
          </w:p>
        </w:tc>
        <w:tc>
          <w:tcPr>
            <w:tcW w:w="625" w:type="pct"/>
            <w:tcBorders>
              <w:top w:val="nil"/>
              <w:left w:val="nil"/>
              <w:bottom w:val="nil"/>
              <w:right w:val="nil"/>
            </w:tcBorders>
            <w:noWrap/>
            <w:vAlign w:val="bottom"/>
            <w:hideMark/>
          </w:tcPr>
          <w:p w14:paraId="18D70CA6" w14:textId="3E2B0B40" w:rsidR="004B1C5A" w:rsidRPr="00F65403"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44,515 </w:t>
            </w:r>
          </w:p>
        </w:tc>
        <w:tc>
          <w:tcPr>
            <w:tcW w:w="626" w:type="pct"/>
            <w:tcBorders>
              <w:top w:val="nil"/>
              <w:left w:val="nil"/>
              <w:bottom w:val="nil"/>
              <w:right w:val="nil"/>
            </w:tcBorders>
            <w:vAlign w:val="bottom"/>
            <w:hideMark/>
          </w:tcPr>
          <w:p w14:paraId="0D0CECA3" w14:textId="145B73FD"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7" w:type="pct"/>
            <w:tcBorders>
              <w:top w:val="nil"/>
              <w:left w:val="nil"/>
              <w:bottom w:val="nil"/>
              <w:right w:val="nil"/>
            </w:tcBorders>
            <w:vAlign w:val="bottom"/>
            <w:hideMark/>
          </w:tcPr>
          <w:p w14:paraId="43DEE2C3" w14:textId="137D6D4E"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7" w:type="pct"/>
            <w:tcBorders>
              <w:top w:val="nil"/>
              <w:left w:val="nil"/>
              <w:bottom w:val="nil"/>
              <w:right w:val="nil"/>
            </w:tcBorders>
            <w:vAlign w:val="bottom"/>
            <w:hideMark/>
          </w:tcPr>
          <w:p w14:paraId="58AE197F" w14:textId="4DD70C3F" w:rsidR="004B1C5A" w:rsidRPr="0071574A" w:rsidRDefault="004B1C5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44,515 </w:t>
            </w:r>
          </w:p>
        </w:tc>
        <w:tc>
          <w:tcPr>
            <w:tcW w:w="624" w:type="pct"/>
            <w:tcBorders>
              <w:top w:val="nil"/>
              <w:left w:val="nil"/>
              <w:bottom w:val="nil"/>
              <w:right w:val="nil"/>
            </w:tcBorders>
            <w:vAlign w:val="bottom"/>
            <w:hideMark/>
          </w:tcPr>
          <w:p w14:paraId="2A1501FE" w14:textId="4DFDAE98" w:rsidR="004B1C5A" w:rsidRPr="0010235E" w:rsidRDefault="004B1C5A" w:rsidP="0010235E">
            <w:pPr>
              <w:tabs>
                <w:tab w:val="decimal" w:pos="1020"/>
              </w:tabs>
              <w:spacing w:after="0" w:line="240" w:lineRule="auto"/>
              <w:rPr>
                <w:rFonts w:eastAsia="Times New Roman" w:cs="Arial"/>
                <w:color w:val="000000"/>
                <w:sz w:val="20"/>
                <w:szCs w:val="20"/>
                <w:lang w:eastAsia="en-AU"/>
              </w:rPr>
            </w:pPr>
            <w:r w:rsidRPr="0010235E">
              <w:rPr>
                <w:rFonts w:eastAsia="Times New Roman" w:cs="Arial"/>
                <w:color w:val="000000"/>
                <w:sz w:val="20"/>
                <w:szCs w:val="20"/>
                <w:lang w:eastAsia="en-AU"/>
              </w:rPr>
              <w:t xml:space="preserve"> 44,515 </w:t>
            </w:r>
          </w:p>
        </w:tc>
      </w:tr>
      <w:tr w:rsidR="004B1C5A" w:rsidRPr="00E5651C" w14:paraId="032E329F" w14:textId="77777777" w:rsidTr="0071574A">
        <w:tc>
          <w:tcPr>
            <w:tcW w:w="1871" w:type="pct"/>
            <w:tcBorders>
              <w:top w:val="nil"/>
              <w:left w:val="nil"/>
              <w:bottom w:val="nil"/>
              <w:right w:val="nil"/>
            </w:tcBorders>
            <w:noWrap/>
            <w:vAlign w:val="bottom"/>
            <w:hideMark/>
          </w:tcPr>
          <w:p w14:paraId="191602E9" w14:textId="5B6523D8" w:rsidR="004B1C5A" w:rsidRPr="00F65403" w:rsidRDefault="004B1C5A" w:rsidP="004B1C5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financial assets</w:t>
            </w:r>
          </w:p>
        </w:tc>
        <w:tc>
          <w:tcPr>
            <w:tcW w:w="625" w:type="pct"/>
            <w:tcBorders>
              <w:top w:val="single" w:sz="4" w:space="0" w:color="auto"/>
              <w:left w:val="nil"/>
              <w:bottom w:val="single" w:sz="4" w:space="0" w:color="auto"/>
              <w:right w:val="nil"/>
            </w:tcBorders>
            <w:vAlign w:val="bottom"/>
            <w:hideMark/>
          </w:tcPr>
          <w:p w14:paraId="7C7A70B2" w14:textId="17BB356F" w:rsidR="004B1C5A" w:rsidRPr="005D258F" w:rsidRDefault="004B1C5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72,224 </w:t>
            </w:r>
          </w:p>
        </w:tc>
        <w:tc>
          <w:tcPr>
            <w:tcW w:w="626" w:type="pct"/>
            <w:tcBorders>
              <w:top w:val="single" w:sz="4" w:space="0" w:color="auto"/>
              <w:left w:val="nil"/>
              <w:bottom w:val="single" w:sz="4" w:space="0" w:color="auto"/>
              <w:right w:val="nil"/>
            </w:tcBorders>
            <w:vAlign w:val="bottom"/>
            <w:hideMark/>
          </w:tcPr>
          <w:p w14:paraId="00424485" w14:textId="36B6984B" w:rsidR="004B1C5A" w:rsidRPr="005D258F" w:rsidRDefault="004B1C5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5,575 </w:t>
            </w:r>
          </w:p>
        </w:tc>
        <w:tc>
          <w:tcPr>
            <w:tcW w:w="627" w:type="pct"/>
            <w:tcBorders>
              <w:top w:val="single" w:sz="4" w:space="0" w:color="auto"/>
              <w:left w:val="nil"/>
              <w:bottom w:val="single" w:sz="4" w:space="0" w:color="auto"/>
              <w:right w:val="nil"/>
            </w:tcBorders>
            <w:vAlign w:val="bottom"/>
            <w:hideMark/>
          </w:tcPr>
          <w:p w14:paraId="094B4C81" w14:textId="333440A1" w:rsidR="004B1C5A" w:rsidRPr="005D258F" w:rsidRDefault="004B1C5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22,134 </w:t>
            </w:r>
          </w:p>
        </w:tc>
        <w:tc>
          <w:tcPr>
            <w:tcW w:w="627" w:type="pct"/>
            <w:tcBorders>
              <w:top w:val="single" w:sz="4" w:space="0" w:color="auto"/>
              <w:left w:val="nil"/>
              <w:bottom w:val="single" w:sz="4" w:space="0" w:color="auto"/>
              <w:right w:val="nil"/>
            </w:tcBorders>
            <w:vAlign w:val="bottom"/>
            <w:hideMark/>
          </w:tcPr>
          <w:p w14:paraId="28C2AE75" w14:textId="7A01D02B" w:rsidR="004B1C5A" w:rsidRPr="005D258F" w:rsidRDefault="004B1C5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44,515 </w:t>
            </w:r>
          </w:p>
        </w:tc>
        <w:tc>
          <w:tcPr>
            <w:tcW w:w="624" w:type="pct"/>
            <w:tcBorders>
              <w:top w:val="single" w:sz="4" w:space="0" w:color="auto"/>
              <w:left w:val="nil"/>
              <w:bottom w:val="single" w:sz="4" w:space="0" w:color="auto"/>
              <w:right w:val="nil"/>
            </w:tcBorders>
            <w:vAlign w:val="bottom"/>
            <w:hideMark/>
          </w:tcPr>
          <w:p w14:paraId="4FAB8C32" w14:textId="276EBCD9" w:rsidR="004B1C5A" w:rsidRPr="005D258F" w:rsidRDefault="004B1C5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72,224 </w:t>
            </w:r>
          </w:p>
        </w:tc>
      </w:tr>
      <w:tr w:rsidR="008C0BCC" w:rsidRPr="00E5651C" w14:paraId="788BEAFA" w14:textId="77777777" w:rsidTr="0071574A">
        <w:tc>
          <w:tcPr>
            <w:tcW w:w="1871" w:type="pct"/>
            <w:tcBorders>
              <w:top w:val="nil"/>
              <w:left w:val="nil"/>
              <w:bottom w:val="nil"/>
              <w:right w:val="nil"/>
            </w:tcBorders>
            <w:noWrap/>
            <w:vAlign w:val="bottom"/>
          </w:tcPr>
          <w:p w14:paraId="227285A3" w14:textId="77777777" w:rsidR="008C0BCC" w:rsidRPr="00F65403" w:rsidRDefault="008C0BCC" w:rsidP="005E3536">
            <w:pPr>
              <w:spacing w:after="0" w:line="240" w:lineRule="auto"/>
              <w:rPr>
                <w:rFonts w:eastAsia="Times New Roman" w:cs="Arial"/>
                <w:b/>
                <w:color w:val="000000"/>
                <w:sz w:val="20"/>
                <w:szCs w:val="20"/>
                <w:lang w:eastAsia="en-AU"/>
              </w:rPr>
            </w:pPr>
          </w:p>
        </w:tc>
        <w:tc>
          <w:tcPr>
            <w:tcW w:w="625" w:type="pct"/>
            <w:tcBorders>
              <w:top w:val="nil"/>
              <w:left w:val="nil"/>
              <w:bottom w:val="nil"/>
              <w:right w:val="nil"/>
            </w:tcBorders>
            <w:noWrap/>
            <w:vAlign w:val="bottom"/>
          </w:tcPr>
          <w:p w14:paraId="1E7D889F" w14:textId="77777777" w:rsidR="008C0BCC" w:rsidRPr="0071574A" w:rsidRDefault="008C0BCC" w:rsidP="0010235E">
            <w:pPr>
              <w:tabs>
                <w:tab w:val="decimal" w:pos="1020"/>
              </w:tabs>
              <w:spacing w:after="0" w:line="240" w:lineRule="auto"/>
              <w:rPr>
                <w:rFonts w:eastAsia="Times New Roman" w:cs="Arial"/>
                <w:color w:val="000000"/>
                <w:sz w:val="20"/>
                <w:szCs w:val="20"/>
                <w:lang w:eastAsia="en-AU"/>
              </w:rPr>
            </w:pPr>
          </w:p>
        </w:tc>
        <w:tc>
          <w:tcPr>
            <w:tcW w:w="626" w:type="pct"/>
            <w:tcBorders>
              <w:top w:val="nil"/>
              <w:left w:val="nil"/>
              <w:bottom w:val="nil"/>
              <w:right w:val="nil"/>
            </w:tcBorders>
            <w:vAlign w:val="bottom"/>
          </w:tcPr>
          <w:p w14:paraId="50EEFD66" w14:textId="77777777" w:rsidR="008C0BCC" w:rsidRPr="0071574A" w:rsidRDefault="008C0BCC" w:rsidP="0010235E">
            <w:pPr>
              <w:tabs>
                <w:tab w:val="decimal" w:pos="1020"/>
              </w:tabs>
              <w:spacing w:after="0" w:line="240" w:lineRule="auto"/>
              <w:rPr>
                <w:rFonts w:eastAsia="Times New Roman" w:cs="Arial"/>
                <w:color w:val="000000"/>
                <w:sz w:val="20"/>
                <w:szCs w:val="20"/>
                <w:lang w:eastAsia="en-AU"/>
              </w:rPr>
            </w:pPr>
          </w:p>
        </w:tc>
        <w:tc>
          <w:tcPr>
            <w:tcW w:w="627" w:type="pct"/>
            <w:tcBorders>
              <w:top w:val="nil"/>
              <w:left w:val="nil"/>
              <w:bottom w:val="nil"/>
              <w:right w:val="nil"/>
            </w:tcBorders>
            <w:vAlign w:val="bottom"/>
          </w:tcPr>
          <w:p w14:paraId="7B7C1063" w14:textId="77777777" w:rsidR="008C0BCC" w:rsidRPr="0071574A" w:rsidRDefault="008C0BCC" w:rsidP="0010235E">
            <w:pPr>
              <w:tabs>
                <w:tab w:val="decimal" w:pos="1020"/>
              </w:tabs>
              <w:spacing w:after="0" w:line="240" w:lineRule="auto"/>
              <w:rPr>
                <w:rFonts w:eastAsia="Times New Roman" w:cs="Arial"/>
                <w:color w:val="000000"/>
                <w:sz w:val="20"/>
                <w:szCs w:val="20"/>
                <w:lang w:eastAsia="en-AU"/>
              </w:rPr>
            </w:pPr>
          </w:p>
        </w:tc>
        <w:tc>
          <w:tcPr>
            <w:tcW w:w="627" w:type="pct"/>
            <w:tcBorders>
              <w:top w:val="nil"/>
              <w:left w:val="nil"/>
              <w:bottom w:val="nil"/>
              <w:right w:val="nil"/>
            </w:tcBorders>
            <w:vAlign w:val="bottom"/>
          </w:tcPr>
          <w:p w14:paraId="618D9A1A" w14:textId="77777777" w:rsidR="008C0BCC" w:rsidRPr="0071574A" w:rsidRDefault="008C0BCC" w:rsidP="0010235E">
            <w:pPr>
              <w:tabs>
                <w:tab w:val="decimal" w:pos="1020"/>
              </w:tabs>
              <w:spacing w:after="0" w:line="240" w:lineRule="auto"/>
              <w:rPr>
                <w:rFonts w:eastAsia="Times New Roman" w:cs="Arial"/>
                <w:color w:val="000000"/>
                <w:sz w:val="20"/>
                <w:szCs w:val="20"/>
                <w:lang w:eastAsia="en-AU"/>
              </w:rPr>
            </w:pPr>
          </w:p>
        </w:tc>
        <w:tc>
          <w:tcPr>
            <w:tcW w:w="624" w:type="pct"/>
            <w:tcBorders>
              <w:top w:val="nil"/>
              <w:left w:val="nil"/>
              <w:bottom w:val="nil"/>
              <w:right w:val="nil"/>
            </w:tcBorders>
            <w:vAlign w:val="bottom"/>
          </w:tcPr>
          <w:p w14:paraId="105DC644" w14:textId="77777777" w:rsidR="008C0BCC" w:rsidRPr="0071574A" w:rsidRDefault="008C0BCC" w:rsidP="0010235E">
            <w:pPr>
              <w:tabs>
                <w:tab w:val="decimal" w:pos="1020"/>
              </w:tabs>
              <w:spacing w:after="0" w:line="240" w:lineRule="auto"/>
              <w:rPr>
                <w:rFonts w:eastAsia="Times New Roman" w:cs="Arial"/>
                <w:color w:val="000000"/>
                <w:sz w:val="20"/>
                <w:szCs w:val="20"/>
                <w:lang w:eastAsia="en-AU"/>
              </w:rPr>
            </w:pPr>
          </w:p>
        </w:tc>
      </w:tr>
      <w:tr w:rsidR="000A5A1C" w:rsidRPr="00E5651C" w14:paraId="63749A8F" w14:textId="77777777" w:rsidTr="0071574A">
        <w:tc>
          <w:tcPr>
            <w:tcW w:w="1871" w:type="pct"/>
            <w:tcBorders>
              <w:top w:val="nil"/>
              <w:left w:val="nil"/>
              <w:bottom w:val="nil"/>
              <w:right w:val="nil"/>
            </w:tcBorders>
            <w:noWrap/>
            <w:vAlign w:val="bottom"/>
            <w:hideMark/>
          </w:tcPr>
          <w:p w14:paraId="5D5E6847" w14:textId="77777777" w:rsidR="000A5A1C" w:rsidRPr="00F65403" w:rsidRDefault="000A5A1C" w:rsidP="005E3536">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Liabilities</w:t>
            </w:r>
          </w:p>
        </w:tc>
        <w:tc>
          <w:tcPr>
            <w:tcW w:w="625" w:type="pct"/>
            <w:tcBorders>
              <w:top w:val="nil"/>
              <w:left w:val="nil"/>
              <w:bottom w:val="nil"/>
              <w:right w:val="nil"/>
            </w:tcBorders>
            <w:noWrap/>
            <w:vAlign w:val="bottom"/>
            <w:hideMark/>
          </w:tcPr>
          <w:p w14:paraId="09D35931" w14:textId="77777777" w:rsidR="000A5A1C" w:rsidRPr="0071574A" w:rsidRDefault="000A5A1C" w:rsidP="0010235E">
            <w:pPr>
              <w:tabs>
                <w:tab w:val="decimal" w:pos="1020"/>
              </w:tabs>
              <w:spacing w:after="0" w:line="240" w:lineRule="auto"/>
              <w:rPr>
                <w:rFonts w:eastAsia="Times New Roman" w:cs="Arial"/>
                <w:color w:val="000000"/>
                <w:sz w:val="20"/>
                <w:szCs w:val="20"/>
                <w:lang w:eastAsia="en-AU"/>
              </w:rPr>
            </w:pPr>
          </w:p>
        </w:tc>
        <w:tc>
          <w:tcPr>
            <w:tcW w:w="626" w:type="pct"/>
            <w:tcBorders>
              <w:top w:val="nil"/>
              <w:left w:val="nil"/>
              <w:bottom w:val="nil"/>
              <w:right w:val="nil"/>
            </w:tcBorders>
            <w:vAlign w:val="bottom"/>
            <w:hideMark/>
          </w:tcPr>
          <w:p w14:paraId="0C1167C6" w14:textId="77777777" w:rsidR="000A5A1C" w:rsidRPr="0071574A" w:rsidRDefault="000A5A1C" w:rsidP="0010235E">
            <w:pPr>
              <w:tabs>
                <w:tab w:val="decimal" w:pos="1020"/>
              </w:tabs>
              <w:spacing w:after="0" w:line="240" w:lineRule="auto"/>
              <w:rPr>
                <w:rFonts w:eastAsia="Times New Roman" w:cs="Arial"/>
                <w:color w:val="000000"/>
                <w:sz w:val="20"/>
                <w:szCs w:val="20"/>
                <w:lang w:eastAsia="en-AU"/>
              </w:rPr>
            </w:pPr>
          </w:p>
        </w:tc>
        <w:tc>
          <w:tcPr>
            <w:tcW w:w="627" w:type="pct"/>
            <w:tcBorders>
              <w:top w:val="nil"/>
              <w:left w:val="nil"/>
              <w:bottom w:val="nil"/>
              <w:right w:val="nil"/>
            </w:tcBorders>
            <w:vAlign w:val="bottom"/>
            <w:hideMark/>
          </w:tcPr>
          <w:p w14:paraId="12C6C889" w14:textId="77777777" w:rsidR="000A5A1C" w:rsidRPr="0071574A" w:rsidRDefault="000A5A1C" w:rsidP="0010235E">
            <w:pPr>
              <w:tabs>
                <w:tab w:val="decimal" w:pos="1020"/>
              </w:tabs>
              <w:spacing w:after="0" w:line="240" w:lineRule="auto"/>
              <w:rPr>
                <w:rFonts w:eastAsia="Times New Roman" w:cs="Arial"/>
                <w:color w:val="000000"/>
                <w:sz w:val="20"/>
                <w:szCs w:val="20"/>
                <w:lang w:eastAsia="en-AU"/>
              </w:rPr>
            </w:pPr>
          </w:p>
        </w:tc>
        <w:tc>
          <w:tcPr>
            <w:tcW w:w="627" w:type="pct"/>
            <w:tcBorders>
              <w:top w:val="nil"/>
              <w:left w:val="nil"/>
              <w:bottom w:val="nil"/>
              <w:right w:val="nil"/>
            </w:tcBorders>
            <w:vAlign w:val="bottom"/>
            <w:hideMark/>
          </w:tcPr>
          <w:p w14:paraId="6F07ECAF" w14:textId="77777777" w:rsidR="000A5A1C" w:rsidRPr="0071574A" w:rsidRDefault="000A5A1C" w:rsidP="0010235E">
            <w:pPr>
              <w:tabs>
                <w:tab w:val="decimal" w:pos="1020"/>
              </w:tabs>
              <w:spacing w:after="0" w:line="240" w:lineRule="auto"/>
              <w:rPr>
                <w:rFonts w:eastAsia="Times New Roman" w:cs="Arial"/>
                <w:color w:val="000000"/>
                <w:sz w:val="20"/>
                <w:szCs w:val="20"/>
                <w:lang w:eastAsia="en-AU"/>
              </w:rPr>
            </w:pPr>
          </w:p>
        </w:tc>
        <w:tc>
          <w:tcPr>
            <w:tcW w:w="624" w:type="pct"/>
            <w:tcBorders>
              <w:top w:val="nil"/>
              <w:left w:val="nil"/>
              <w:bottom w:val="nil"/>
              <w:right w:val="nil"/>
            </w:tcBorders>
            <w:vAlign w:val="bottom"/>
            <w:hideMark/>
          </w:tcPr>
          <w:p w14:paraId="1E0FE944" w14:textId="77777777" w:rsidR="000A5A1C" w:rsidRPr="0071574A" w:rsidRDefault="000A5A1C" w:rsidP="0010235E">
            <w:pPr>
              <w:tabs>
                <w:tab w:val="decimal" w:pos="1020"/>
              </w:tabs>
              <w:spacing w:after="0" w:line="240" w:lineRule="auto"/>
              <w:rPr>
                <w:rFonts w:eastAsia="Times New Roman" w:cs="Arial"/>
                <w:color w:val="000000"/>
                <w:sz w:val="20"/>
                <w:szCs w:val="20"/>
                <w:lang w:eastAsia="en-AU"/>
              </w:rPr>
            </w:pPr>
          </w:p>
        </w:tc>
      </w:tr>
      <w:tr w:rsidR="0071574A" w:rsidRPr="00E5651C" w14:paraId="74095656" w14:textId="77777777" w:rsidTr="0071574A">
        <w:tc>
          <w:tcPr>
            <w:tcW w:w="1871" w:type="pct"/>
            <w:tcBorders>
              <w:top w:val="nil"/>
              <w:left w:val="nil"/>
              <w:bottom w:val="nil"/>
              <w:right w:val="nil"/>
            </w:tcBorders>
            <w:vAlign w:val="bottom"/>
            <w:hideMark/>
          </w:tcPr>
          <w:p w14:paraId="104690FF" w14:textId="77777777" w:rsidR="002E1EBA" w:rsidRDefault="0071574A" w:rsidP="0071574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Forward foreign exchange </w:t>
            </w:r>
          </w:p>
          <w:p w14:paraId="0B5A5D62" w14:textId="0994106B" w:rsidR="0071574A" w:rsidRPr="00F65403" w:rsidRDefault="0071574A" w:rsidP="0071574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contracts - cash flow hedges</w:t>
            </w:r>
          </w:p>
        </w:tc>
        <w:tc>
          <w:tcPr>
            <w:tcW w:w="625" w:type="pct"/>
            <w:tcBorders>
              <w:top w:val="nil"/>
              <w:left w:val="nil"/>
              <w:bottom w:val="nil"/>
              <w:right w:val="nil"/>
            </w:tcBorders>
            <w:noWrap/>
            <w:vAlign w:val="bottom"/>
            <w:hideMark/>
          </w:tcPr>
          <w:p w14:paraId="24BD2EA0" w14:textId="1857E20D" w:rsidR="0071574A" w:rsidRPr="00F65403" w:rsidRDefault="0071574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752 </w:t>
            </w:r>
          </w:p>
        </w:tc>
        <w:tc>
          <w:tcPr>
            <w:tcW w:w="626" w:type="pct"/>
            <w:tcBorders>
              <w:top w:val="nil"/>
              <w:left w:val="nil"/>
              <w:bottom w:val="nil"/>
              <w:right w:val="nil"/>
            </w:tcBorders>
            <w:vAlign w:val="bottom"/>
            <w:hideMark/>
          </w:tcPr>
          <w:p w14:paraId="08B2888B" w14:textId="7E87D58D" w:rsidR="0071574A" w:rsidRPr="0071574A" w:rsidRDefault="0071574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7" w:type="pct"/>
            <w:tcBorders>
              <w:top w:val="nil"/>
              <w:left w:val="nil"/>
              <w:bottom w:val="nil"/>
              <w:right w:val="nil"/>
            </w:tcBorders>
            <w:vAlign w:val="bottom"/>
            <w:hideMark/>
          </w:tcPr>
          <w:p w14:paraId="442CFCDC" w14:textId="3C187158" w:rsidR="0071574A" w:rsidRPr="0071574A" w:rsidRDefault="0071574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752 </w:t>
            </w:r>
          </w:p>
        </w:tc>
        <w:tc>
          <w:tcPr>
            <w:tcW w:w="627" w:type="pct"/>
            <w:tcBorders>
              <w:top w:val="nil"/>
              <w:left w:val="nil"/>
              <w:bottom w:val="nil"/>
              <w:right w:val="nil"/>
            </w:tcBorders>
            <w:vAlign w:val="bottom"/>
            <w:hideMark/>
          </w:tcPr>
          <w:p w14:paraId="0CED5EE3" w14:textId="10C0FED5" w:rsidR="0071574A" w:rsidRPr="0071574A" w:rsidRDefault="0071574A" w:rsidP="0010235E">
            <w:pPr>
              <w:tabs>
                <w:tab w:val="decimal" w:pos="1020"/>
              </w:tabs>
              <w:spacing w:after="0" w:line="240" w:lineRule="auto"/>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095DF193" w14:textId="42B2EB64" w:rsidR="0071574A" w:rsidRPr="0010235E" w:rsidRDefault="0071574A" w:rsidP="0010235E">
            <w:pPr>
              <w:tabs>
                <w:tab w:val="decimal" w:pos="1020"/>
              </w:tabs>
              <w:spacing w:after="0" w:line="240" w:lineRule="auto"/>
              <w:rPr>
                <w:rFonts w:eastAsia="Times New Roman" w:cs="Arial"/>
                <w:color w:val="000000"/>
                <w:sz w:val="20"/>
                <w:szCs w:val="20"/>
                <w:lang w:eastAsia="en-AU"/>
              </w:rPr>
            </w:pPr>
            <w:r w:rsidRPr="0010235E">
              <w:rPr>
                <w:rFonts w:eastAsia="Times New Roman" w:cs="Arial"/>
                <w:color w:val="000000"/>
                <w:sz w:val="20"/>
                <w:szCs w:val="20"/>
                <w:lang w:eastAsia="en-AU"/>
              </w:rPr>
              <w:t xml:space="preserve"> 752 </w:t>
            </w:r>
          </w:p>
        </w:tc>
      </w:tr>
      <w:tr w:rsidR="0071574A" w:rsidRPr="00E5651C" w14:paraId="1B31C356" w14:textId="77777777" w:rsidTr="0071574A">
        <w:tc>
          <w:tcPr>
            <w:tcW w:w="1871" w:type="pct"/>
            <w:tcBorders>
              <w:top w:val="nil"/>
              <w:left w:val="nil"/>
              <w:bottom w:val="nil"/>
              <w:right w:val="nil"/>
            </w:tcBorders>
            <w:noWrap/>
            <w:vAlign w:val="bottom"/>
            <w:hideMark/>
          </w:tcPr>
          <w:p w14:paraId="25421B74" w14:textId="43BE2FB6" w:rsidR="0071574A" w:rsidRPr="00F65403" w:rsidRDefault="0071574A" w:rsidP="0071574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financial </w:t>
            </w:r>
            <w:r>
              <w:rPr>
                <w:rFonts w:eastAsia="Times New Roman" w:cs="Arial"/>
                <w:b/>
                <w:color w:val="000000"/>
                <w:sz w:val="20"/>
                <w:szCs w:val="20"/>
                <w:lang w:eastAsia="en-AU"/>
              </w:rPr>
              <w:t>liabilities</w:t>
            </w:r>
          </w:p>
        </w:tc>
        <w:tc>
          <w:tcPr>
            <w:tcW w:w="625" w:type="pct"/>
            <w:tcBorders>
              <w:top w:val="single" w:sz="4" w:space="0" w:color="auto"/>
              <w:left w:val="nil"/>
              <w:bottom w:val="single" w:sz="4" w:space="0" w:color="auto"/>
              <w:right w:val="nil"/>
            </w:tcBorders>
            <w:vAlign w:val="bottom"/>
            <w:hideMark/>
          </w:tcPr>
          <w:p w14:paraId="7423EE81" w14:textId="5E78009D" w:rsidR="0071574A" w:rsidRPr="005D258F" w:rsidRDefault="0071574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752 </w:t>
            </w:r>
          </w:p>
        </w:tc>
        <w:tc>
          <w:tcPr>
            <w:tcW w:w="626" w:type="pct"/>
            <w:tcBorders>
              <w:top w:val="single" w:sz="4" w:space="0" w:color="auto"/>
              <w:left w:val="nil"/>
              <w:bottom w:val="single" w:sz="4" w:space="0" w:color="auto"/>
              <w:right w:val="nil"/>
            </w:tcBorders>
            <w:vAlign w:val="bottom"/>
            <w:hideMark/>
          </w:tcPr>
          <w:p w14:paraId="2181C200" w14:textId="24D14109" w:rsidR="0071574A" w:rsidRPr="005D258F" w:rsidRDefault="0071574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   </w:t>
            </w:r>
          </w:p>
        </w:tc>
        <w:tc>
          <w:tcPr>
            <w:tcW w:w="627" w:type="pct"/>
            <w:tcBorders>
              <w:top w:val="single" w:sz="4" w:space="0" w:color="auto"/>
              <w:left w:val="nil"/>
              <w:bottom w:val="single" w:sz="4" w:space="0" w:color="auto"/>
              <w:right w:val="nil"/>
            </w:tcBorders>
            <w:vAlign w:val="bottom"/>
            <w:hideMark/>
          </w:tcPr>
          <w:p w14:paraId="09FC4CA6" w14:textId="6D90854D" w:rsidR="0071574A" w:rsidRPr="005D258F" w:rsidRDefault="0071574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752 </w:t>
            </w:r>
          </w:p>
        </w:tc>
        <w:tc>
          <w:tcPr>
            <w:tcW w:w="627" w:type="pct"/>
            <w:tcBorders>
              <w:top w:val="single" w:sz="4" w:space="0" w:color="auto"/>
              <w:left w:val="nil"/>
              <w:bottom w:val="single" w:sz="4" w:space="0" w:color="auto"/>
              <w:right w:val="nil"/>
            </w:tcBorders>
            <w:vAlign w:val="bottom"/>
            <w:hideMark/>
          </w:tcPr>
          <w:p w14:paraId="2F153D32" w14:textId="0834E0ED" w:rsidR="0071574A" w:rsidRPr="005D258F" w:rsidRDefault="0071574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   </w:t>
            </w:r>
          </w:p>
        </w:tc>
        <w:tc>
          <w:tcPr>
            <w:tcW w:w="624" w:type="pct"/>
            <w:tcBorders>
              <w:top w:val="single" w:sz="4" w:space="0" w:color="auto"/>
              <w:left w:val="nil"/>
              <w:bottom w:val="single" w:sz="4" w:space="0" w:color="auto"/>
              <w:right w:val="nil"/>
            </w:tcBorders>
            <w:vAlign w:val="bottom"/>
            <w:hideMark/>
          </w:tcPr>
          <w:p w14:paraId="5CD9662D" w14:textId="40F0BA57" w:rsidR="0071574A" w:rsidRPr="005D258F" w:rsidRDefault="0071574A" w:rsidP="0010235E">
            <w:pPr>
              <w:tabs>
                <w:tab w:val="decimal" w:pos="1020"/>
              </w:tabs>
              <w:spacing w:after="0" w:line="240" w:lineRule="auto"/>
              <w:rPr>
                <w:rFonts w:eastAsia="Times New Roman" w:cs="Arial"/>
                <w:b/>
                <w:bCs/>
                <w:color w:val="000000"/>
                <w:sz w:val="20"/>
                <w:szCs w:val="20"/>
                <w:lang w:eastAsia="en-AU"/>
              </w:rPr>
            </w:pPr>
            <w:r w:rsidRPr="005D258F">
              <w:rPr>
                <w:rFonts w:eastAsia="Times New Roman" w:cs="Arial"/>
                <w:b/>
                <w:bCs/>
                <w:color w:val="000000"/>
                <w:sz w:val="20"/>
                <w:szCs w:val="20"/>
                <w:lang w:eastAsia="en-AU"/>
              </w:rPr>
              <w:t xml:space="preserve"> 752 </w:t>
            </w:r>
          </w:p>
        </w:tc>
      </w:tr>
    </w:tbl>
    <w:p w14:paraId="5E108EC3" w14:textId="52E982AB" w:rsidR="000A5A1C" w:rsidRDefault="000A5A1C" w:rsidP="00217E47">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8"/>
        <w:gridCol w:w="1172"/>
        <w:gridCol w:w="1173"/>
        <w:gridCol w:w="1101"/>
        <w:gridCol w:w="1101"/>
        <w:gridCol w:w="1101"/>
      </w:tblGrid>
      <w:tr w:rsidR="006E6BF0" w:rsidRPr="005E3536" w14:paraId="1D87DBCF" w14:textId="77777777" w:rsidTr="002F52E5">
        <w:tc>
          <w:tcPr>
            <w:tcW w:w="1871" w:type="pct"/>
            <w:tcBorders>
              <w:top w:val="nil"/>
              <w:left w:val="nil"/>
              <w:bottom w:val="nil"/>
              <w:right w:val="nil"/>
            </w:tcBorders>
            <w:noWrap/>
            <w:vAlign w:val="bottom"/>
            <w:hideMark/>
          </w:tcPr>
          <w:p w14:paraId="50E7E9A4" w14:textId="77777777" w:rsidR="006E6BF0" w:rsidRPr="00F65403" w:rsidRDefault="006E6BF0">
            <w:pPr>
              <w:spacing w:after="0" w:line="240" w:lineRule="auto"/>
              <w:jc w:val="right"/>
              <w:rPr>
                <w:rFonts w:eastAsia="Times New Roman" w:cs="Arial"/>
                <w:sz w:val="20"/>
                <w:szCs w:val="20"/>
                <w:lang w:eastAsia="en-AU"/>
              </w:rPr>
            </w:pPr>
          </w:p>
        </w:tc>
        <w:tc>
          <w:tcPr>
            <w:tcW w:w="3129" w:type="pct"/>
            <w:gridSpan w:val="5"/>
            <w:tcBorders>
              <w:top w:val="nil"/>
              <w:left w:val="nil"/>
              <w:bottom w:val="nil"/>
              <w:right w:val="nil"/>
            </w:tcBorders>
            <w:hideMark/>
          </w:tcPr>
          <w:p w14:paraId="6BFB2A04" w14:textId="2EC8F817" w:rsidR="006E6BF0" w:rsidRPr="00F65403" w:rsidRDefault="002F52E5">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6E6BF0" w:rsidRPr="005E3536" w14:paraId="585608F6" w14:textId="77777777" w:rsidTr="002F52E5">
        <w:tc>
          <w:tcPr>
            <w:tcW w:w="1871" w:type="pct"/>
            <w:tcBorders>
              <w:top w:val="nil"/>
              <w:left w:val="nil"/>
              <w:bottom w:val="nil"/>
              <w:right w:val="nil"/>
            </w:tcBorders>
            <w:vAlign w:val="bottom"/>
            <w:hideMark/>
          </w:tcPr>
          <w:p w14:paraId="00084D86" w14:textId="77777777" w:rsidR="006E6BF0" w:rsidRPr="00F65403" w:rsidRDefault="006E6BF0">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49" w:type="pct"/>
            <w:tcBorders>
              <w:top w:val="nil"/>
              <w:left w:val="nil"/>
              <w:bottom w:val="nil"/>
              <w:right w:val="nil"/>
            </w:tcBorders>
            <w:vAlign w:val="center"/>
            <w:hideMark/>
          </w:tcPr>
          <w:p w14:paraId="5992BF6E" w14:textId="77777777" w:rsidR="006E6BF0" w:rsidRPr="00F65403" w:rsidRDefault="006E6BF0"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50" w:type="pct"/>
            <w:tcBorders>
              <w:top w:val="nil"/>
              <w:left w:val="nil"/>
              <w:bottom w:val="nil"/>
              <w:right w:val="nil"/>
            </w:tcBorders>
            <w:vAlign w:val="center"/>
            <w:hideMark/>
          </w:tcPr>
          <w:p w14:paraId="6DC6D02D" w14:textId="77777777" w:rsidR="006E6BF0" w:rsidRPr="00F65403" w:rsidRDefault="006E6BF0"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10" w:type="pct"/>
            <w:tcBorders>
              <w:top w:val="nil"/>
              <w:left w:val="nil"/>
              <w:bottom w:val="nil"/>
              <w:right w:val="nil"/>
            </w:tcBorders>
            <w:vAlign w:val="center"/>
            <w:hideMark/>
          </w:tcPr>
          <w:p w14:paraId="7F2D476E" w14:textId="77777777" w:rsidR="006E6BF0" w:rsidRPr="00F65403" w:rsidRDefault="006E6BF0"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10" w:type="pct"/>
            <w:tcBorders>
              <w:top w:val="nil"/>
              <w:left w:val="nil"/>
              <w:bottom w:val="nil"/>
              <w:right w:val="nil"/>
            </w:tcBorders>
            <w:vAlign w:val="center"/>
            <w:hideMark/>
          </w:tcPr>
          <w:p w14:paraId="071A352F" w14:textId="77777777" w:rsidR="006E6BF0" w:rsidRPr="00F65403" w:rsidRDefault="006E6BF0"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10" w:type="pct"/>
            <w:tcBorders>
              <w:top w:val="nil"/>
              <w:left w:val="nil"/>
              <w:bottom w:val="nil"/>
              <w:right w:val="nil"/>
            </w:tcBorders>
            <w:vAlign w:val="center"/>
            <w:hideMark/>
          </w:tcPr>
          <w:p w14:paraId="1377070C" w14:textId="77777777" w:rsidR="006E6BF0" w:rsidRPr="00F65403" w:rsidRDefault="006E6BF0"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5E3536" w:rsidRPr="005E3536" w14:paraId="2A6AA36F" w14:textId="77777777" w:rsidTr="002F52E5">
        <w:tc>
          <w:tcPr>
            <w:tcW w:w="1871" w:type="pct"/>
            <w:tcBorders>
              <w:top w:val="nil"/>
              <w:left w:val="nil"/>
              <w:bottom w:val="nil"/>
              <w:right w:val="nil"/>
            </w:tcBorders>
            <w:noWrap/>
            <w:vAlign w:val="bottom"/>
          </w:tcPr>
          <w:p w14:paraId="397B48A4" w14:textId="18F03726" w:rsidR="005E3536" w:rsidRPr="00F65403" w:rsidRDefault="005E3536" w:rsidP="005E3536">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49" w:type="pct"/>
            <w:tcBorders>
              <w:top w:val="nil"/>
              <w:left w:val="nil"/>
              <w:bottom w:val="nil"/>
              <w:right w:val="nil"/>
            </w:tcBorders>
            <w:noWrap/>
            <w:vAlign w:val="bottom"/>
          </w:tcPr>
          <w:p w14:paraId="499E7E7D" w14:textId="77777777" w:rsidR="005E3536" w:rsidRPr="00F65403" w:rsidRDefault="005E3536" w:rsidP="005E3536">
            <w:pPr>
              <w:tabs>
                <w:tab w:val="decimal" w:pos="931"/>
              </w:tabs>
              <w:spacing w:after="0" w:line="240" w:lineRule="auto"/>
              <w:rPr>
                <w:rFonts w:eastAsia="Times New Roman" w:cs="Arial"/>
                <w:b/>
                <w:color w:val="000000"/>
                <w:sz w:val="20"/>
                <w:szCs w:val="20"/>
                <w:lang w:eastAsia="en-AU"/>
              </w:rPr>
            </w:pPr>
          </w:p>
        </w:tc>
        <w:tc>
          <w:tcPr>
            <w:tcW w:w="650" w:type="pct"/>
            <w:tcBorders>
              <w:top w:val="nil"/>
              <w:left w:val="nil"/>
              <w:bottom w:val="nil"/>
              <w:right w:val="nil"/>
            </w:tcBorders>
            <w:vAlign w:val="bottom"/>
          </w:tcPr>
          <w:p w14:paraId="6067631D" w14:textId="77777777" w:rsidR="005E3536" w:rsidRPr="00F65403" w:rsidRDefault="005E3536"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79524A57" w14:textId="77777777" w:rsidR="005E3536" w:rsidRPr="00F65403" w:rsidRDefault="005E3536"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64FAE0A4" w14:textId="77777777" w:rsidR="005E3536" w:rsidRPr="00F65403" w:rsidRDefault="005E3536"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0788E94B" w14:textId="77777777" w:rsidR="005E3536" w:rsidRPr="00F65403" w:rsidRDefault="005E3536" w:rsidP="005E3536">
            <w:pPr>
              <w:tabs>
                <w:tab w:val="decimal" w:pos="931"/>
              </w:tabs>
              <w:spacing w:after="0" w:line="240" w:lineRule="auto"/>
              <w:rPr>
                <w:rFonts w:eastAsia="Times New Roman" w:cs="Arial"/>
                <w:sz w:val="20"/>
                <w:szCs w:val="20"/>
                <w:lang w:eastAsia="en-AU"/>
              </w:rPr>
            </w:pPr>
          </w:p>
        </w:tc>
      </w:tr>
      <w:tr w:rsidR="006E6BF0" w:rsidRPr="005E3536" w14:paraId="284FB17E" w14:textId="77777777" w:rsidTr="002F52E5">
        <w:tc>
          <w:tcPr>
            <w:tcW w:w="1871" w:type="pct"/>
            <w:tcBorders>
              <w:top w:val="nil"/>
              <w:left w:val="nil"/>
              <w:bottom w:val="nil"/>
              <w:right w:val="nil"/>
            </w:tcBorders>
            <w:noWrap/>
            <w:vAlign w:val="bottom"/>
            <w:hideMark/>
          </w:tcPr>
          <w:p w14:paraId="5F5C0BD0" w14:textId="77777777" w:rsidR="006E6BF0" w:rsidRPr="00F65403" w:rsidRDefault="006E6BF0" w:rsidP="005E3536">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Assets</w:t>
            </w:r>
          </w:p>
        </w:tc>
        <w:tc>
          <w:tcPr>
            <w:tcW w:w="649" w:type="pct"/>
            <w:tcBorders>
              <w:top w:val="nil"/>
              <w:left w:val="nil"/>
              <w:bottom w:val="nil"/>
              <w:right w:val="nil"/>
            </w:tcBorders>
            <w:noWrap/>
            <w:vAlign w:val="bottom"/>
            <w:hideMark/>
          </w:tcPr>
          <w:p w14:paraId="693E1436" w14:textId="77777777" w:rsidR="006E6BF0" w:rsidRPr="00F65403" w:rsidRDefault="006E6BF0" w:rsidP="005E3536">
            <w:pPr>
              <w:tabs>
                <w:tab w:val="decimal" w:pos="931"/>
              </w:tabs>
              <w:spacing w:after="0" w:line="240" w:lineRule="auto"/>
              <w:rPr>
                <w:rFonts w:eastAsia="Times New Roman" w:cs="Arial"/>
                <w:b/>
                <w:color w:val="000000"/>
                <w:sz w:val="20"/>
                <w:szCs w:val="20"/>
                <w:lang w:eastAsia="en-AU"/>
              </w:rPr>
            </w:pPr>
          </w:p>
        </w:tc>
        <w:tc>
          <w:tcPr>
            <w:tcW w:w="650" w:type="pct"/>
            <w:tcBorders>
              <w:top w:val="nil"/>
              <w:left w:val="nil"/>
              <w:bottom w:val="nil"/>
              <w:right w:val="nil"/>
            </w:tcBorders>
            <w:vAlign w:val="bottom"/>
            <w:hideMark/>
          </w:tcPr>
          <w:p w14:paraId="0D9A39CE" w14:textId="77777777" w:rsidR="006E6BF0" w:rsidRPr="00F65403" w:rsidRDefault="006E6BF0"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70A853AC" w14:textId="77777777" w:rsidR="006E6BF0" w:rsidRPr="00F65403" w:rsidRDefault="006E6BF0"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049EE466" w14:textId="77777777" w:rsidR="006E6BF0" w:rsidRPr="00F65403" w:rsidRDefault="006E6BF0" w:rsidP="005E3536">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5EACDAB8" w14:textId="77777777" w:rsidR="006E6BF0" w:rsidRPr="00F65403" w:rsidRDefault="006E6BF0" w:rsidP="005E3536">
            <w:pPr>
              <w:tabs>
                <w:tab w:val="decimal" w:pos="931"/>
              </w:tabs>
              <w:spacing w:after="0" w:line="240" w:lineRule="auto"/>
              <w:rPr>
                <w:rFonts w:eastAsia="Times New Roman" w:cs="Arial"/>
                <w:sz w:val="20"/>
                <w:szCs w:val="20"/>
                <w:lang w:eastAsia="en-AU"/>
              </w:rPr>
            </w:pPr>
          </w:p>
        </w:tc>
      </w:tr>
      <w:tr w:rsidR="006E6BF0" w:rsidRPr="005E3536" w14:paraId="314EBE76" w14:textId="77777777" w:rsidTr="002F52E5">
        <w:tc>
          <w:tcPr>
            <w:tcW w:w="1871" w:type="pct"/>
            <w:tcBorders>
              <w:top w:val="nil"/>
              <w:left w:val="nil"/>
              <w:bottom w:val="nil"/>
              <w:right w:val="nil"/>
            </w:tcBorders>
            <w:noWrap/>
            <w:vAlign w:val="bottom"/>
            <w:hideMark/>
          </w:tcPr>
          <w:p w14:paraId="1458F0CA" w14:textId="77777777" w:rsidR="006E6BF0" w:rsidRPr="00F65403" w:rsidRDefault="006E6BF0" w:rsidP="005E3536">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other</w:t>
            </w:r>
          </w:p>
        </w:tc>
        <w:tc>
          <w:tcPr>
            <w:tcW w:w="649" w:type="pct"/>
            <w:tcBorders>
              <w:top w:val="nil"/>
              <w:left w:val="nil"/>
              <w:bottom w:val="nil"/>
              <w:right w:val="nil"/>
            </w:tcBorders>
            <w:vAlign w:val="bottom"/>
            <w:hideMark/>
          </w:tcPr>
          <w:p w14:paraId="331A29D5" w14:textId="77777777" w:rsidR="006E6BF0" w:rsidRPr="00F65403" w:rsidRDefault="006E6BF0" w:rsidP="005E3536">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650" w:type="pct"/>
            <w:tcBorders>
              <w:top w:val="nil"/>
              <w:left w:val="nil"/>
              <w:bottom w:val="nil"/>
              <w:right w:val="nil"/>
            </w:tcBorders>
            <w:vAlign w:val="bottom"/>
            <w:hideMark/>
          </w:tcPr>
          <w:p w14:paraId="0DC3AFEA" w14:textId="77777777" w:rsidR="006E6BF0" w:rsidRPr="00F65403" w:rsidRDefault="006E6BF0" w:rsidP="005E3536">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10" w:type="pct"/>
            <w:tcBorders>
              <w:top w:val="nil"/>
              <w:left w:val="nil"/>
              <w:bottom w:val="nil"/>
              <w:right w:val="nil"/>
            </w:tcBorders>
            <w:vAlign w:val="bottom"/>
            <w:hideMark/>
          </w:tcPr>
          <w:p w14:paraId="27406E30" w14:textId="77777777" w:rsidR="006E6BF0" w:rsidRPr="00F65403" w:rsidRDefault="006E6BF0" w:rsidP="005E3536">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10" w:type="pct"/>
            <w:tcBorders>
              <w:top w:val="nil"/>
              <w:left w:val="nil"/>
              <w:bottom w:val="nil"/>
              <w:right w:val="nil"/>
            </w:tcBorders>
            <w:vAlign w:val="bottom"/>
            <w:hideMark/>
          </w:tcPr>
          <w:p w14:paraId="6DCFFA88" w14:textId="77777777" w:rsidR="006E6BF0" w:rsidRPr="00F65403" w:rsidRDefault="006E6BF0" w:rsidP="005E3536">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610" w:type="pct"/>
            <w:tcBorders>
              <w:top w:val="nil"/>
              <w:left w:val="nil"/>
              <w:bottom w:val="nil"/>
              <w:right w:val="nil"/>
            </w:tcBorders>
            <w:vAlign w:val="bottom"/>
            <w:hideMark/>
          </w:tcPr>
          <w:p w14:paraId="5ECB1E1A" w14:textId="77777777" w:rsidR="006E6BF0" w:rsidRPr="00F65403" w:rsidRDefault="006E6BF0" w:rsidP="005E3536">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6E6BF0" w:rsidRPr="005E3536" w14:paraId="04783990" w14:textId="77777777" w:rsidTr="002F52E5">
        <w:tc>
          <w:tcPr>
            <w:tcW w:w="1871" w:type="pct"/>
            <w:tcBorders>
              <w:top w:val="nil"/>
              <w:left w:val="nil"/>
              <w:bottom w:val="nil"/>
              <w:right w:val="nil"/>
            </w:tcBorders>
            <w:noWrap/>
            <w:vAlign w:val="bottom"/>
            <w:hideMark/>
          </w:tcPr>
          <w:p w14:paraId="34ED87BD" w14:textId="736AB0C9" w:rsidR="006E6BF0" w:rsidRPr="00F65403" w:rsidRDefault="006E6BF0" w:rsidP="005E3536">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financial assets</w:t>
            </w:r>
          </w:p>
        </w:tc>
        <w:tc>
          <w:tcPr>
            <w:tcW w:w="649" w:type="pct"/>
            <w:tcBorders>
              <w:top w:val="single" w:sz="4" w:space="0" w:color="auto"/>
              <w:left w:val="nil"/>
              <w:bottom w:val="single" w:sz="4" w:space="0" w:color="auto"/>
              <w:right w:val="nil"/>
            </w:tcBorders>
            <w:vAlign w:val="bottom"/>
            <w:hideMark/>
          </w:tcPr>
          <w:p w14:paraId="177D3375" w14:textId="0976DA57" w:rsidR="006E6BF0" w:rsidRPr="00F65403" w:rsidRDefault="006E6BF0" w:rsidP="005E3536">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650" w:type="pct"/>
            <w:tcBorders>
              <w:top w:val="single" w:sz="4" w:space="0" w:color="auto"/>
              <w:left w:val="nil"/>
              <w:bottom w:val="single" w:sz="4" w:space="0" w:color="auto"/>
              <w:right w:val="nil"/>
            </w:tcBorders>
            <w:vAlign w:val="bottom"/>
            <w:hideMark/>
          </w:tcPr>
          <w:p w14:paraId="392BC228" w14:textId="502E4FDF" w:rsidR="006E6BF0" w:rsidRPr="00F65403" w:rsidRDefault="005E3536" w:rsidP="005E3536">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610" w:type="pct"/>
            <w:tcBorders>
              <w:top w:val="single" w:sz="4" w:space="0" w:color="auto"/>
              <w:left w:val="nil"/>
              <w:bottom w:val="single" w:sz="4" w:space="0" w:color="auto"/>
              <w:right w:val="nil"/>
            </w:tcBorders>
            <w:vAlign w:val="bottom"/>
            <w:hideMark/>
          </w:tcPr>
          <w:p w14:paraId="5EC44A47" w14:textId="6D1D3AC8" w:rsidR="006E6BF0" w:rsidRPr="00F65403" w:rsidRDefault="005E3536" w:rsidP="005E3536">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610" w:type="pct"/>
            <w:tcBorders>
              <w:top w:val="single" w:sz="4" w:space="0" w:color="auto"/>
              <w:left w:val="nil"/>
              <w:bottom w:val="single" w:sz="4" w:space="0" w:color="auto"/>
              <w:right w:val="nil"/>
            </w:tcBorders>
            <w:vAlign w:val="bottom"/>
            <w:hideMark/>
          </w:tcPr>
          <w:p w14:paraId="2B626627" w14:textId="13A971E8" w:rsidR="006E6BF0" w:rsidRPr="00F65403" w:rsidRDefault="006E6BF0" w:rsidP="005E3536">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610" w:type="pct"/>
            <w:tcBorders>
              <w:top w:val="single" w:sz="4" w:space="0" w:color="auto"/>
              <w:left w:val="nil"/>
              <w:bottom w:val="single" w:sz="4" w:space="0" w:color="auto"/>
              <w:right w:val="nil"/>
            </w:tcBorders>
            <w:vAlign w:val="bottom"/>
            <w:hideMark/>
          </w:tcPr>
          <w:p w14:paraId="78F5B045" w14:textId="0213E33E" w:rsidR="006E6BF0" w:rsidRPr="00F65403" w:rsidRDefault="006E6BF0" w:rsidP="005E3536">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r>
    </w:tbl>
    <w:p w14:paraId="03E29F95" w14:textId="760EA22C" w:rsidR="000A5A1C" w:rsidRPr="00F65403" w:rsidRDefault="000A5A1C" w:rsidP="00217E47">
      <w:pPr>
        <w:pStyle w:val="BodyText"/>
        <w:rPr>
          <w:lang w:val="en-AU"/>
        </w:rPr>
      </w:pPr>
    </w:p>
    <w:p w14:paraId="24D52987" w14:textId="3245DDA4" w:rsidR="001156E1" w:rsidRPr="00F65403" w:rsidRDefault="001D40B7" w:rsidP="00217E47">
      <w:pPr>
        <w:pStyle w:val="BodyText"/>
        <w:rPr>
          <w:lang w:val="en-AU"/>
        </w:rPr>
      </w:pPr>
      <w:r w:rsidRPr="00F65403">
        <w:rPr>
          <w:lang w:val="en-AU"/>
        </w:rPr>
        <w:t xml:space="preserve">There have been no transfers between levels during the period. </w:t>
      </w:r>
      <w:r w:rsidR="001156E1" w:rsidRPr="00F65403">
        <w:rPr>
          <w:lang w:val="en-AU"/>
        </w:rPr>
        <w:t>Management has assessed that the carrying value of financial assets and financial liabilities to be comparable to fair value.</w:t>
      </w:r>
    </w:p>
    <w:p w14:paraId="19984F6C" w14:textId="4C14CC22" w:rsidR="001A4888" w:rsidRDefault="001A4888">
      <w:pPr>
        <w:rPr>
          <w:rFonts w:eastAsia="Arial" w:cs="Arial"/>
          <w:sz w:val="20"/>
          <w:szCs w:val="20"/>
        </w:rPr>
      </w:pPr>
      <w:r>
        <w:br w:type="page"/>
      </w:r>
    </w:p>
    <w:p w14:paraId="54E81755" w14:textId="77777777" w:rsidR="009E7541" w:rsidRPr="00F65403" w:rsidRDefault="009E7541" w:rsidP="00217E47">
      <w:pPr>
        <w:pStyle w:val="BodyText"/>
        <w:rPr>
          <w:lang w:val="en-AU"/>
        </w:rPr>
      </w:pPr>
    </w:p>
    <w:p w14:paraId="25A88A22" w14:textId="7DAF2A0C" w:rsidR="009E7541" w:rsidRPr="00F65403" w:rsidRDefault="00144B04" w:rsidP="00437972">
      <w:pPr>
        <w:pStyle w:val="Heading8"/>
      </w:pPr>
      <w:r>
        <w:t>iii.</w:t>
      </w:r>
      <w:r>
        <w:tab/>
      </w:r>
      <w:r w:rsidR="009E7541">
        <w:t>Estimation of fair values</w:t>
      </w:r>
    </w:p>
    <w:p w14:paraId="406BDC5E" w14:textId="668A1510" w:rsidR="009E7541" w:rsidRPr="00F65403" w:rsidRDefault="009E7541" w:rsidP="00217E47">
      <w:pPr>
        <w:pStyle w:val="BodyText"/>
        <w:rPr>
          <w:lang w:val="en-AU"/>
        </w:rPr>
      </w:pPr>
      <w:r w:rsidRPr="00F65403">
        <w:rPr>
          <w:lang w:val="en-AU"/>
        </w:rPr>
        <w:t>The following summarises the major methods and assumptions used in estimating the fair values of financial instruments:</w:t>
      </w:r>
      <w:r w:rsidR="00B50610" w:rsidRPr="00F65403">
        <w:rPr>
          <w:lang w:val="en-AU"/>
        </w:rPr>
        <w:t xml:space="preserve"> </w:t>
      </w:r>
    </w:p>
    <w:p w14:paraId="43704F70" w14:textId="316E3C8B" w:rsidR="009E7541" w:rsidRPr="00F65403" w:rsidRDefault="009E7541" w:rsidP="00A64832">
      <w:pPr>
        <w:pStyle w:val="ListBullet"/>
        <w:rPr>
          <w:lang w:val="en-AU"/>
        </w:rPr>
      </w:pPr>
      <w:r w:rsidRPr="00F65403">
        <w:rPr>
          <w:lang w:val="en-AU"/>
        </w:rPr>
        <w:t>receivables/payables with a remaining life of less than twelve months, the notional amount is deemed to reflect the fair value. All other receivables/payables are discounted to determine the fair value if the effect of discounting is material</w:t>
      </w:r>
      <w:r w:rsidR="00B50610" w:rsidRPr="00F65403">
        <w:rPr>
          <w:lang w:val="en-AU"/>
        </w:rPr>
        <w:t xml:space="preserve"> </w:t>
      </w:r>
    </w:p>
    <w:p w14:paraId="46A4596C" w14:textId="5A75D468" w:rsidR="00B50610" w:rsidRPr="00F65403" w:rsidRDefault="00B50610" w:rsidP="00A64832">
      <w:pPr>
        <w:pStyle w:val="ListBullet"/>
        <w:rPr>
          <w:lang w:val="en-AU"/>
        </w:rPr>
      </w:pPr>
      <w:r w:rsidRPr="00F65403">
        <w:rPr>
          <w:lang w:val="en-AU"/>
        </w:rPr>
        <w:t>the fair value of forward foreign exchange contracts is calculated as the present value of expected future cash flows estimated and discounted based on the applicable yield curves derived from quoted interest rates that reflect the credit risk of various counterparties.</w:t>
      </w:r>
    </w:p>
    <w:p w14:paraId="2A0766FE" w14:textId="20D00853" w:rsidR="00B50610" w:rsidRPr="00F65403" w:rsidRDefault="00B50610" w:rsidP="00A64832">
      <w:pPr>
        <w:pStyle w:val="ListBullet"/>
        <w:rPr>
          <w:lang w:val="en-AU"/>
        </w:rPr>
      </w:pPr>
      <w:r w:rsidRPr="00F65403">
        <w:rPr>
          <w:lang w:val="en-AU"/>
        </w:rPr>
        <w:t xml:space="preserve">the fair value of energy derivatives is determined as the present value of future contracted cash flows and credit adjustments. Cash flows are discounted using standard valuation techniques at applicable market yield having regard to timing of cash flows. </w:t>
      </w:r>
    </w:p>
    <w:p w14:paraId="326F6A2A" w14:textId="4F8B2CF3" w:rsidR="009E7541" w:rsidRDefault="00B50610" w:rsidP="003C6418">
      <w:pPr>
        <w:pStyle w:val="ListBullet"/>
        <w:rPr>
          <w:lang w:val="en-AU"/>
        </w:rPr>
      </w:pPr>
      <w:r w:rsidRPr="00F65403">
        <w:rPr>
          <w:lang w:val="en-AU"/>
        </w:rPr>
        <w:t>the fair value of lease liabilities is estimated as the present value of future cash flows discounted where the effect of discounting is material.</w:t>
      </w:r>
    </w:p>
    <w:p w14:paraId="5592CEB2" w14:textId="77777777" w:rsidR="002E1EBA" w:rsidRDefault="002E1EBA" w:rsidP="002E1EBA">
      <w:pPr>
        <w:pStyle w:val="ListBullet"/>
        <w:numPr>
          <w:ilvl w:val="0"/>
          <w:numId w:val="0"/>
        </w:numPr>
        <w:ind w:left="360"/>
        <w:rPr>
          <w:lang w:val="en-AU"/>
        </w:rPr>
      </w:pPr>
    </w:p>
    <w:p w14:paraId="6EEDE197" w14:textId="1660079C" w:rsidR="009E7541" w:rsidRPr="00F65403" w:rsidRDefault="009E7541" w:rsidP="00217E47">
      <w:pPr>
        <w:pStyle w:val="BodyText"/>
        <w:rPr>
          <w:lang w:val="en-AU"/>
        </w:rPr>
      </w:pPr>
      <w:r w:rsidRPr="00F65403">
        <w:rPr>
          <w:lang w:val="en-AU"/>
        </w:rPr>
        <w:t>The following table provides a reconciliation of fair value movements in Level 3 financial instruments:</w:t>
      </w:r>
    </w:p>
    <w:p w14:paraId="54F56CE9" w14:textId="77777777" w:rsidR="00D21B5A" w:rsidRPr="00F65403" w:rsidRDefault="00D21B5A" w:rsidP="00217E47">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6184"/>
        <w:gridCol w:w="1421"/>
        <w:gridCol w:w="1421"/>
      </w:tblGrid>
      <w:tr w:rsidR="004D4AD7" w:rsidRPr="005E3536" w14:paraId="78133F6C" w14:textId="77777777" w:rsidTr="005E3536">
        <w:tc>
          <w:tcPr>
            <w:tcW w:w="3426" w:type="pct"/>
            <w:tcBorders>
              <w:top w:val="nil"/>
              <w:left w:val="nil"/>
              <w:bottom w:val="nil"/>
              <w:right w:val="nil"/>
            </w:tcBorders>
            <w:noWrap/>
            <w:vAlign w:val="bottom"/>
            <w:hideMark/>
          </w:tcPr>
          <w:p w14:paraId="4E1C79BC" w14:textId="77777777" w:rsidR="004D4AD7" w:rsidRPr="00F65403" w:rsidRDefault="004D4AD7" w:rsidP="004D4AD7">
            <w:pPr>
              <w:spacing w:after="0" w:line="240" w:lineRule="auto"/>
              <w:rPr>
                <w:rFonts w:eastAsia="Times New Roman" w:cs="Arial"/>
                <w:sz w:val="20"/>
                <w:szCs w:val="20"/>
                <w:lang w:eastAsia="en-AU"/>
              </w:rPr>
            </w:pPr>
          </w:p>
        </w:tc>
        <w:tc>
          <w:tcPr>
            <w:tcW w:w="787" w:type="pct"/>
            <w:tcBorders>
              <w:top w:val="nil"/>
              <w:left w:val="nil"/>
              <w:bottom w:val="nil"/>
              <w:right w:val="nil"/>
            </w:tcBorders>
            <w:vAlign w:val="bottom"/>
            <w:hideMark/>
          </w:tcPr>
          <w:p w14:paraId="342A8EC0" w14:textId="77777777" w:rsidR="004D4AD7" w:rsidRPr="00F65403" w:rsidRDefault="004D4AD7"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87" w:type="pct"/>
            <w:tcBorders>
              <w:top w:val="nil"/>
              <w:left w:val="nil"/>
              <w:bottom w:val="nil"/>
              <w:right w:val="nil"/>
            </w:tcBorders>
            <w:noWrap/>
            <w:vAlign w:val="bottom"/>
            <w:hideMark/>
          </w:tcPr>
          <w:p w14:paraId="5FB32EB2" w14:textId="77777777" w:rsidR="004D4AD7" w:rsidRPr="00F65403" w:rsidRDefault="004D4AD7"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4D4AD7" w:rsidRPr="005E3536" w14:paraId="44798DE5" w14:textId="77777777" w:rsidTr="005E3536">
        <w:tc>
          <w:tcPr>
            <w:tcW w:w="3426" w:type="pct"/>
            <w:tcBorders>
              <w:top w:val="nil"/>
              <w:left w:val="nil"/>
              <w:bottom w:val="nil"/>
              <w:right w:val="nil"/>
            </w:tcBorders>
            <w:noWrap/>
            <w:vAlign w:val="bottom"/>
            <w:hideMark/>
          </w:tcPr>
          <w:p w14:paraId="15750D7F" w14:textId="77777777" w:rsidR="004D4AD7" w:rsidRPr="00F65403" w:rsidRDefault="004D4AD7" w:rsidP="004D4AD7">
            <w:pPr>
              <w:spacing w:after="0" w:line="240" w:lineRule="auto"/>
              <w:jc w:val="right"/>
              <w:rPr>
                <w:rFonts w:eastAsia="Times New Roman" w:cs="Arial"/>
                <w:b/>
                <w:color w:val="000000"/>
                <w:sz w:val="20"/>
                <w:szCs w:val="20"/>
                <w:lang w:eastAsia="en-AU"/>
              </w:rPr>
            </w:pPr>
          </w:p>
        </w:tc>
        <w:tc>
          <w:tcPr>
            <w:tcW w:w="787" w:type="pct"/>
            <w:tcBorders>
              <w:top w:val="nil"/>
              <w:left w:val="nil"/>
              <w:bottom w:val="nil"/>
              <w:right w:val="nil"/>
            </w:tcBorders>
            <w:noWrap/>
            <w:vAlign w:val="bottom"/>
            <w:hideMark/>
          </w:tcPr>
          <w:p w14:paraId="132835FD" w14:textId="77777777" w:rsidR="004D4AD7" w:rsidRPr="00F65403" w:rsidRDefault="004D4AD7"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87" w:type="pct"/>
            <w:tcBorders>
              <w:top w:val="nil"/>
              <w:left w:val="nil"/>
              <w:bottom w:val="nil"/>
              <w:right w:val="nil"/>
            </w:tcBorders>
            <w:noWrap/>
            <w:vAlign w:val="bottom"/>
            <w:hideMark/>
          </w:tcPr>
          <w:p w14:paraId="08ABDE3D" w14:textId="77777777" w:rsidR="004D4AD7" w:rsidRPr="00F65403" w:rsidRDefault="004D4AD7" w:rsidP="005E3536">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4D4AD7" w:rsidRPr="005E3536" w14:paraId="02765D18" w14:textId="77777777" w:rsidTr="005E3536">
        <w:tc>
          <w:tcPr>
            <w:tcW w:w="3426" w:type="pct"/>
            <w:tcBorders>
              <w:top w:val="nil"/>
              <w:left w:val="nil"/>
              <w:bottom w:val="nil"/>
              <w:right w:val="nil"/>
            </w:tcBorders>
            <w:noWrap/>
            <w:vAlign w:val="bottom"/>
            <w:hideMark/>
          </w:tcPr>
          <w:p w14:paraId="06456BD4" w14:textId="77777777" w:rsidR="004D4AD7" w:rsidRPr="00F65403" w:rsidRDefault="004D4AD7" w:rsidP="004D4AD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Opening balance</w:t>
            </w:r>
          </w:p>
        </w:tc>
        <w:tc>
          <w:tcPr>
            <w:tcW w:w="787" w:type="pct"/>
            <w:tcBorders>
              <w:top w:val="nil"/>
              <w:left w:val="nil"/>
              <w:bottom w:val="nil"/>
              <w:right w:val="nil"/>
            </w:tcBorders>
            <w:noWrap/>
            <w:vAlign w:val="bottom"/>
            <w:hideMark/>
          </w:tcPr>
          <w:p w14:paraId="2091AF9B" w14:textId="382BA06F" w:rsidR="004D4AD7" w:rsidRPr="00F65403" w:rsidRDefault="004D4AD7" w:rsidP="005E3536">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787" w:type="pct"/>
            <w:tcBorders>
              <w:top w:val="nil"/>
              <w:left w:val="nil"/>
              <w:bottom w:val="nil"/>
              <w:right w:val="nil"/>
            </w:tcBorders>
            <w:noWrap/>
            <w:vAlign w:val="bottom"/>
            <w:hideMark/>
          </w:tcPr>
          <w:p w14:paraId="100A9EAF" w14:textId="72E9DDAE" w:rsidR="004D4AD7" w:rsidRPr="00F65403" w:rsidRDefault="004D4AD7" w:rsidP="005E3536">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4D4AD7" w:rsidRPr="005E3536" w14:paraId="6DB265EF" w14:textId="77777777" w:rsidTr="005E3536">
        <w:tc>
          <w:tcPr>
            <w:tcW w:w="3426" w:type="pct"/>
            <w:tcBorders>
              <w:top w:val="nil"/>
              <w:left w:val="nil"/>
              <w:bottom w:val="nil"/>
              <w:right w:val="nil"/>
            </w:tcBorders>
            <w:noWrap/>
            <w:vAlign w:val="bottom"/>
            <w:hideMark/>
          </w:tcPr>
          <w:p w14:paraId="17C8607A" w14:textId="77777777" w:rsidR="004D4AD7" w:rsidRPr="00F65403" w:rsidRDefault="004D4AD7" w:rsidP="004D4AD7">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Total gains or losses recognised in profit or loss:</w:t>
            </w:r>
          </w:p>
        </w:tc>
        <w:tc>
          <w:tcPr>
            <w:tcW w:w="787" w:type="pct"/>
            <w:tcBorders>
              <w:top w:val="nil"/>
              <w:left w:val="nil"/>
              <w:bottom w:val="nil"/>
              <w:right w:val="nil"/>
            </w:tcBorders>
            <w:noWrap/>
            <w:vAlign w:val="bottom"/>
            <w:hideMark/>
          </w:tcPr>
          <w:p w14:paraId="1D081508" w14:textId="77777777" w:rsidR="004D4AD7" w:rsidRPr="00F65403" w:rsidRDefault="004D4AD7" w:rsidP="005E3536">
            <w:pPr>
              <w:tabs>
                <w:tab w:val="decimal" w:pos="1020"/>
              </w:tabs>
              <w:spacing w:after="0" w:line="240" w:lineRule="auto"/>
              <w:rPr>
                <w:rFonts w:eastAsia="Times New Roman" w:cs="Arial"/>
                <w:sz w:val="20"/>
                <w:szCs w:val="20"/>
                <w:lang w:eastAsia="en-AU"/>
              </w:rPr>
            </w:pPr>
          </w:p>
        </w:tc>
        <w:tc>
          <w:tcPr>
            <w:tcW w:w="787" w:type="pct"/>
            <w:tcBorders>
              <w:top w:val="nil"/>
              <w:left w:val="nil"/>
              <w:bottom w:val="nil"/>
              <w:right w:val="nil"/>
            </w:tcBorders>
            <w:noWrap/>
            <w:vAlign w:val="bottom"/>
            <w:hideMark/>
          </w:tcPr>
          <w:p w14:paraId="5A1B8B0D" w14:textId="77777777" w:rsidR="004D4AD7" w:rsidRPr="00F65403" w:rsidRDefault="004D4AD7" w:rsidP="005E3536">
            <w:pPr>
              <w:tabs>
                <w:tab w:val="decimal" w:pos="1020"/>
              </w:tabs>
              <w:spacing w:after="0" w:line="240" w:lineRule="auto"/>
              <w:rPr>
                <w:rFonts w:eastAsia="Times New Roman" w:cs="Arial"/>
                <w:sz w:val="20"/>
                <w:szCs w:val="20"/>
                <w:lang w:eastAsia="en-AU"/>
              </w:rPr>
            </w:pPr>
          </w:p>
        </w:tc>
      </w:tr>
      <w:tr w:rsidR="004D4AD7" w:rsidRPr="005E3536" w14:paraId="03DCF256" w14:textId="77777777" w:rsidTr="005E3536">
        <w:tc>
          <w:tcPr>
            <w:tcW w:w="3426" w:type="pct"/>
            <w:tcBorders>
              <w:top w:val="nil"/>
              <w:left w:val="nil"/>
              <w:bottom w:val="nil"/>
              <w:right w:val="nil"/>
            </w:tcBorders>
            <w:noWrap/>
            <w:vAlign w:val="bottom"/>
            <w:hideMark/>
          </w:tcPr>
          <w:p w14:paraId="6FFD7776" w14:textId="77777777" w:rsidR="004D4AD7" w:rsidRPr="00F65403" w:rsidRDefault="004D4AD7" w:rsidP="004D4AD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Settlements during the period</w:t>
            </w:r>
          </w:p>
        </w:tc>
        <w:tc>
          <w:tcPr>
            <w:tcW w:w="787" w:type="pct"/>
            <w:tcBorders>
              <w:top w:val="nil"/>
              <w:left w:val="nil"/>
              <w:bottom w:val="nil"/>
              <w:right w:val="nil"/>
            </w:tcBorders>
            <w:noWrap/>
            <w:vAlign w:val="bottom"/>
            <w:hideMark/>
          </w:tcPr>
          <w:p w14:paraId="4844B2AE" w14:textId="52083E1E" w:rsidR="004D4AD7" w:rsidRPr="00F65403" w:rsidRDefault="004D4AD7" w:rsidP="005E3536">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7" w:type="pct"/>
            <w:tcBorders>
              <w:top w:val="nil"/>
              <w:left w:val="nil"/>
              <w:bottom w:val="nil"/>
              <w:right w:val="nil"/>
            </w:tcBorders>
            <w:noWrap/>
            <w:vAlign w:val="bottom"/>
            <w:hideMark/>
          </w:tcPr>
          <w:p w14:paraId="0E879E9F" w14:textId="14EE0AC9" w:rsidR="004D4AD7" w:rsidRPr="00F65403" w:rsidRDefault="004D4AD7" w:rsidP="005E3536">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4D4AD7" w:rsidRPr="005E3536" w14:paraId="2BF524EC" w14:textId="77777777" w:rsidTr="005E3536">
        <w:tc>
          <w:tcPr>
            <w:tcW w:w="3426" w:type="pct"/>
            <w:tcBorders>
              <w:top w:val="nil"/>
              <w:left w:val="nil"/>
              <w:bottom w:val="nil"/>
              <w:right w:val="nil"/>
            </w:tcBorders>
            <w:noWrap/>
            <w:vAlign w:val="bottom"/>
            <w:hideMark/>
          </w:tcPr>
          <w:p w14:paraId="4E49860A" w14:textId="77777777" w:rsidR="004D4AD7" w:rsidRPr="00F65403" w:rsidRDefault="004D4AD7" w:rsidP="004D4AD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Changes in fair value</w:t>
            </w:r>
          </w:p>
        </w:tc>
        <w:tc>
          <w:tcPr>
            <w:tcW w:w="787" w:type="pct"/>
            <w:tcBorders>
              <w:top w:val="nil"/>
              <w:left w:val="nil"/>
              <w:bottom w:val="nil"/>
              <w:right w:val="nil"/>
            </w:tcBorders>
            <w:noWrap/>
            <w:vAlign w:val="bottom"/>
            <w:hideMark/>
          </w:tcPr>
          <w:p w14:paraId="26BC281E" w14:textId="01C1E773" w:rsidR="004D4AD7" w:rsidRPr="00F65403" w:rsidRDefault="00F875F5" w:rsidP="005E3536">
            <w:pPr>
              <w:tabs>
                <w:tab w:val="decimal" w:pos="1020"/>
              </w:tabs>
              <w:spacing w:after="0" w:line="240" w:lineRule="auto"/>
              <w:rPr>
                <w:rFonts w:eastAsia="Times New Roman" w:cs="Arial"/>
                <w:sz w:val="20"/>
                <w:szCs w:val="20"/>
                <w:lang w:eastAsia="en-AU"/>
              </w:rPr>
            </w:pPr>
            <w:r>
              <w:rPr>
                <w:rFonts w:eastAsia="Times New Roman" w:cs="Arial"/>
                <w:sz w:val="20"/>
                <w:szCs w:val="20"/>
                <w:lang w:eastAsia="en-AU"/>
              </w:rPr>
              <w:t>30,685</w:t>
            </w:r>
          </w:p>
        </w:tc>
        <w:tc>
          <w:tcPr>
            <w:tcW w:w="787" w:type="pct"/>
            <w:tcBorders>
              <w:top w:val="nil"/>
              <w:left w:val="nil"/>
              <w:bottom w:val="nil"/>
              <w:right w:val="nil"/>
            </w:tcBorders>
            <w:noWrap/>
            <w:vAlign w:val="bottom"/>
            <w:hideMark/>
          </w:tcPr>
          <w:p w14:paraId="1B5BCDDC" w14:textId="4C6F6389" w:rsidR="004D4AD7" w:rsidRPr="00F65403" w:rsidRDefault="004D4AD7" w:rsidP="005E3536">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4D4AD7" w:rsidRPr="005E3536" w14:paraId="3501AE70" w14:textId="77777777" w:rsidTr="005E3536">
        <w:tc>
          <w:tcPr>
            <w:tcW w:w="3426" w:type="pct"/>
            <w:tcBorders>
              <w:top w:val="nil"/>
              <w:left w:val="nil"/>
              <w:bottom w:val="nil"/>
              <w:right w:val="nil"/>
            </w:tcBorders>
            <w:noWrap/>
            <w:vAlign w:val="bottom"/>
            <w:hideMark/>
          </w:tcPr>
          <w:p w14:paraId="76964DD1" w14:textId="77777777" w:rsidR="004D4AD7" w:rsidRPr="00F65403" w:rsidRDefault="004D4AD7" w:rsidP="004D4AD7">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Closing balance</w:t>
            </w:r>
          </w:p>
        </w:tc>
        <w:tc>
          <w:tcPr>
            <w:tcW w:w="787" w:type="pct"/>
            <w:tcBorders>
              <w:top w:val="single" w:sz="4" w:space="0" w:color="auto"/>
              <w:left w:val="nil"/>
              <w:bottom w:val="single" w:sz="4" w:space="0" w:color="auto"/>
              <w:right w:val="nil"/>
            </w:tcBorders>
            <w:noWrap/>
            <w:vAlign w:val="bottom"/>
            <w:hideMark/>
          </w:tcPr>
          <w:p w14:paraId="342C43A7" w14:textId="11678EF7" w:rsidR="004D4AD7" w:rsidRPr="00F65403" w:rsidRDefault="002E1EBA" w:rsidP="005E3536">
            <w:pPr>
              <w:tabs>
                <w:tab w:val="decimal" w:pos="102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44,515</w:t>
            </w:r>
          </w:p>
        </w:tc>
        <w:tc>
          <w:tcPr>
            <w:tcW w:w="787" w:type="pct"/>
            <w:tcBorders>
              <w:top w:val="single" w:sz="4" w:space="0" w:color="auto"/>
              <w:left w:val="nil"/>
              <w:bottom w:val="single" w:sz="4" w:space="0" w:color="auto"/>
              <w:right w:val="nil"/>
            </w:tcBorders>
            <w:noWrap/>
            <w:vAlign w:val="bottom"/>
            <w:hideMark/>
          </w:tcPr>
          <w:p w14:paraId="212C212E" w14:textId="1A5F699B" w:rsidR="004D4AD7" w:rsidRPr="00F65403" w:rsidRDefault="004D4AD7" w:rsidP="005E3536">
            <w:pPr>
              <w:tabs>
                <w:tab w:val="decimal" w:pos="1020"/>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r>
    </w:tbl>
    <w:p w14:paraId="55BE0EBB" w14:textId="01124049" w:rsidR="00B50610" w:rsidRPr="00F65403" w:rsidRDefault="00B50610" w:rsidP="00EF6F7A">
      <w:pPr>
        <w:pStyle w:val="BodyText"/>
        <w:rPr>
          <w:lang w:val="en-AU"/>
        </w:rPr>
      </w:pPr>
    </w:p>
    <w:p w14:paraId="4AD5187A" w14:textId="6B8D396B" w:rsidR="006E5222" w:rsidRPr="00F65403" w:rsidRDefault="00144B04" w:rsidP="00650186">
      <w:pPr>
        <w:pStyle w:val="Heading8"/>
      </w:pPr>
      <w:r>
        <w:t>iv.</w:t>
      </w:r>
      <w:r>
        <w:tab/>
      </w:r>
      <w:r w:rsidR="004D4AD7">
        <w:t>Valuation</w:t>
      </w:r>
      <w:r w:rsidR="006E5222">
        <w:t xml:space="preserve"> inputs and relationships to fair values</w:t>
      </w:r>
    </w:p>
    <w:p w14:paraId="581FCE41" w14:textId="7A862B83" w:rsidR="006E5222" w:rsidRPr="00F65403" w:rsidRDefault="006E5222" w:rsidP="00217E47">
      <w:pPr>
        <w:pStyle w:val="BodyText"/>
        <w:rPr>
          <w:lang w:val="en-AU"/>
        </w:rPr>
      </w:pPr>
      <w:r w:rsidRPr="00F65403">
        <w:rPr>
          <w:lang w:val="en-AU"/>
        </w:rPr>
        <w:t xml:space="preserve">The following table summarises the quantitative information about the significant unobservable inputs used in level 3 fair value measurement of the energy </w:t>
      </w:r>
      <w:r w:rsidRPr="00ED7A17">
        <w:rPr>
          <w:lang w:val="en-AU"/>
        </w:rPr>
        <w:t>derivative (see iii. above for the valuation</w:t>
      </w:r>
      <w:r w:rsidRPr="00F65403">
        <w:rPr>
          <w:lang w:val="en-AU"/>
        </w:rPr>
        <w:t xml:space="preserve"> technique adopted):</w:t>
      </w:r>
    </w:p>
    <w:p w14:paraId="19AAD8CE" w14:textId="77777777" w:rsidR="00217E47" w:rsidRPr="00F65403" w:rsidRDefault="00217E47" w:rsidP="00217E47">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49"/>
        <w:gridCol w:w="1599"/>
        <w:gridCol w:w="1432"/>
        <w:gridCol w:w="1323"/>
        <w:gridCol w:w="1323"/>
      </w:tblGrid>
      <w:tr w:rsidR="00217E47" w:rsidRPr="00217E47" w14:paraId="1A42B3D2" w14:textId="77777777" w:rsidTr="0091015E">
        <w:tc>
          <w:tcPr>
            <w:tcW w:w="1855" w:type="pct"/>
            <w:tcBorders>
              <w:top w:val="nil"/>
              <w:left w:val="nil"/>
              <w:bottom w:val="nil"/>
              <w:right w:val="nil"/>
            </w:tcBorders>
            <w:noWrap/>
            <w:vAlign w:val="bottom"/>
            <w:hideMark/>
          </w:tcPr>
          <w:p w14:paraId="2BBD58F4" w14:textId="3C5305D4" w:rsidR="00217E47" w:rsidRPr="00F65403" w:rsidRDefault="00217E47" w:rsidP="00DF1767">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886" w:type="pct"/>
            <w:tcBorders>
              <w:top w:val="nil"/>
              <w:left w:val="nil"/>
              <w:bottom w:val="single" w:sz="4" w:space="0" w:color="auto"/>
              <w:right w:val="nil"/>
            </w:tcBorders>
            <w:vAlign w:val="bottom"/>
            <w:hideMark/>
          </w:tcPr>
          <w:p w14:paraId="1A0A5811" w14:textId="77777777"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 of inputs</w:t>
            </w:r>
          </w:p>
        </w:tc>
        <w:tc>
          <w:tcPr>
            <w:tcW w:w="793" w:type="pct"/>
            <w:tcBorders>
              <w:top w:val="nil"/>
              <w:left w:val="nil"/>
              <w:bottom w:val="single" w:sz="4" w:space="0" w:color="auto"/>
              <w:right w:val="nil"/>
            </w:tcBorders>
            <w:noWrap/>
            <w:vAlign w:val="bottom"/>
            <w:hideMark/>
          </w:tcPr>
          <w:p w14:paraId="19E14C56" w14:textId="77777777"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Sensitivity</w:t>
            </w:r>
          </w:p>
        </w:tc>
        <w:tc>
          <w:tcPr>
            <w:tcW w:w="1466" w:type="pct"/>
            <w:gridSpan w:val="2"/>
            <w:tcBorders>
              <w:top w:val="nil"/>
              <w:left w:val="nil"/>
              <w:bottom w:val="single" w:sz="4" w:space="0" w:color="auto"/>
              <w:right w:val="nil"/>
            </w:tcBorders>
            <w:vAlign w:val="bottom"/>
            <w:hideMark/>
          </w:tcPr>
          <w:p w14:paraId="733A2FA5" w14:textId="1E4F7B09"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 $000's</w:t>
            </w:r>
          </w:p>
        </w:tc>
      </w:tr>
      <w:tr w:rsidR="00DF1767" w:rsidRPr="00217E47" w14:paraId="73E71EA6" w14:textId="77777777" w:rsidTr="0091015E">
        <w:tc>
          <w:tcPr>
            <w:tcW w:w="1855" w:type="pct"/>
            <w:tcBorders>
              <w:top w:val="nil"/>
              <w:left w:val="nil"/>
              <w:bottom w:val="nil"/>
              <w:right w:val="nil"/>
            </w:tcBorders>
            <w:noWrap/>
            <w:vAlign w:val="center"/>
            <w:hideMark/>
          </w:tcPr>
          <w:p w14:paraId="465D2D44" w14:textId="3EF8A321"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Energy derivatives </w:t>
            </w:r>
            <w:r w:rsidR="00104757">
              <w:rPr>
                <w:rFonts w:eastAsia="Times New Roman" w:cs="Arial"/>
                <w:color w:val="000000"/>
                <w:sz w:val="20"/>
                <w:szCs w:val="20"/>
                <w:lang w:eastAsia="en-AU"/>
              </w:rPr>
              <w:t>-</w:t>
            </w:r>
            <w:r w:rsidR="00104757" w:rsidRPr="00F65403">
              <w:rPr>
                <w:rFonts w:eastAsia="Times New Roman" w:cs="Arial"/>
                <w:color w:val="000000"/>
                <w:sz w:val="20"/>
                <w:szCs w:val="20"/>
                <w:lang w:eastAsia="en-AU"/>
              </w:rPr>
              <w:t xml:space="preserve"> </w:t>
            </w:r>
            <w:r w:rsidRPr="00F65403">
              <w:rPr>
                <w:rFonts w:eastAsia="Times New Roman" w:cs="Arial"/>
                <w:color w:val="000000"/>
                <w:sz w:val="20"/>
                <w:szCs w:val="20"/>
                <w:lang w:eastAsia="en-AU"/>
              </w:rPr>
              <w:t>other</w:t>
            </w:r>
            <w:r w:rsidR="00045685" w:rsidRPr="00F65403">
              <w:rPr>
                <w:rFonts w:eastAsia="Times New Roman" w:cs="Arial"/>
                <w:color w:val="000000"/>
                <w:sz w:val="20"/>
                <w:szCs w:val="20"/>
                <w:lang w:eastAsia="en-AU"/>
              </w:rPr>
              <w:t>:</w:t>
            </w:r>
          </w:p>
        </w:tc>
        <w:tc>
          <w:tcPr>
            <w:tcW w:w="886" w:type="pct"/>
            <w:tcBorders>
              <w:top w:val="nil"/>
              <w:left w:val="nil"/>
              <w:bottom w:val="nil"/>
              <w:right w:val="nil"/>
            </w:tcBorders>
            <w:vAlign w:val="bottom"/>
            <w:hideMark/>
          </w:tcPr>
          <w:p w14:paraId="7F9E530E" w14:textId="77777777" w:rsidR="00DF1767" w:rsidRPr="00F65403" w:rsidRDefault="00DF1767" w:rsidP="00DF1767">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77E5399E" w14:textId="77777777" w:rsidR="00DF1767" w:rsidRPr="00F65403" w:rsidRDefault="00DF176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2FE05437" w14:textId="77777777" w:rsidR="00DF1767" w:rsidRPr="00F65403" w:rsidRDefault="00DF176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4C0B9886" w14:textId="77777777" w:rsidR="00DF1767" w:rsidRPr="00F65403" w:rsidRDefault="00DF1767" w:rsidP="00DF1767">
            <w:pPr>
              <w:spacing w:after="0" w:line="240" w:lineRule="auto"/>
              <w:rPr>
                <w:rFonts w:eastAsia="Times New Roman" w:cs="Arial"/>
                <w:sz w:val="20"/>
                <w:szCs w:val="20"/>
                <w:lang w:eastAsia="en-AU"/>
              </w:rPr>
            </w:pPr>
          </w:p>
        </w:tc>
      </w:tr>
      <w:tr w:rsidR="00DF1767" w:rsidRPr="00217E47" w14:paraId="56E8E263" w14:textId="77777777" w:rsidTr="003B076A">
        <w:tc>
          <w:tcPr>
            <w:tcW w:w="1855" w:type="pct"/>
            <w:tcBorders>
              <w:top w:val="nil"/>
              <w:left w:val="nil"/>
              <w:bottom w:val="nil"/>
              <w:right w:val="nil"/>
            </w:tcBorders>
            <w:noWrap/>
            <w:vAlign w:val="bottom"/>
            <w:hideMark/>
          </w:tcPr>
          <w:p w14:paraId="048FBB92" w14:textId="77E5D043"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Quarterly BESS</w:t>
            </w:r>
            <w:r w:rsidR="005412C4">
              <w:rPr>
                <w:rFonts w:eastAsia="Times New Roman" w:cs="Arial"/>
                <w:color w:val="000000"/>
                <w:sz w:val="20"/>
                <w:szCs w:val="20"/>
                <w:lang w:eastAsia="en-AU"/>
              </w:rPr>
              <w:t>*</w:t>
            </w:r>
            <w:r w:rsidR="00104757">
              <w:rPr>
                <w:rFonts w:eastAsia="Times New Roman" w:cs="Arial"/>
                <w:color w:val="000000"/>
                <w:sz w:val="20"/>
                <w:szCs w:val="20"/>
                <w:lang w:eastAsia="en-AU"/>
              </w:rPr>
              <w:t xml:space="preserve"> </w:t>
            </w:r>
            <w:r w:rsidRPr="00F65403">
              <w:rPr>
                <w:rFonts w:eastAsia="Times New Roman" w:cs="Arial"/>
                <w:color w:val="000000"/>
                <w:sz w:val="20"/>
                <w:szCs w:val="20"/>
                <w:lang w:eastAsia="en-AU"/>
              </w:rPr>
              <w:t xml:space="preserve">revenue ($/MW) </w:t>
            </w:r>
          </w:p>
        </w:tc>
        <w:tc>
          <w:tcPr>
            <w:tcW w:w="886" w:type="pct"/>
            <w:tcBorders>
              <w:top w:val="nil"/>
              <w:left w:val="nil"/>
              <w:bottom w:val="nil"/>
              <w:right w:val="nil"/>
            </w:tcBorders>
            <w:vAlign w:val="center"/>
            <w:hideMark/>
          </w:tcPr>
          <w:p w14:paraId="191B8DDC" w14:textId="6396F856" w:rsidR="00DF1767" w:rsidRPr="00F65403" w:rsidRDefault="006F6293" w:rsidP="0098561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 xml:space="preserve">18,443 </w:t>
            </w:r>
            <w:r w:rsidR="00104757">
              <w:rPr>
                <w:rFonts w:eastAsia="Times New Roman" w:cs="Arial"/>
                <w:color w:val="000000"/>
                <w:sz w:val="20"/>
                <w:szCs w:val="20"/>
                <w:lang w:eastAsia="en-AU"/>
              </w:rPr>
              <w:t>-</w:t>
            </w:r>
            <w:r>
              <w:rPr>
                <w:rFonts w:eastAsia="Times New Roman" w:cs="Arial"/>
                <w:color w:val="000000"/>
                <w:sz w:val="20"/>
                <w:szCs w:val="20"/>
                <w:lang w:eastAsia="en-AU"/>
              </w:rPr>
              <w:t xml:space="preserve"> 52,876</w:t>
            </w:r>
          </w:p>
        </w:tc>
        <w:tc>
          <w:tcPr>
            <w:tcW w:w="793" w:type="pct"/>
            <w:tcBorders>
              <w:top w:val="nil"/>
              <w:left w:val="nil"/>
              <w:bottom w:val="nil"/>
              <w:right w:val="nil"/>
            </w:tcBorders>
            <w:vAlign w:val="center"/>
            <w:hideMark/>
          </w:tcPr>
          <w:p w14:paraId="511DDEC7" w14:textId="77777777" w:rsidR="00DF1767" w:rsidRPr="00F65403" w:rsidRDefault="00DF1767" w:rsidP="00DF1767">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+/-10% </w:t>
            </w:r>
          </w:p>
        </w:tc>
        <w:tc>
          <w:tcPr>
            <w:tcW w:w="733" w:type="pct"/>
            <w:tcBorders>
              <w:top w:val="nil"/>
              <w:left w:val="nil"/>
              <w:bottom w:val="nil"/>
              <w:right w:val="nil"/>
            </w:tcBorders>
            <w:vAlign w:val="center"/>
            <w:hideMark/>
          </w:tcPr>
          <w:p w14:paraId="01F8586E" w14:textId="5B26610A" w:rsidR="00DF1767" w:rsidRPr="00F65403" w:rsidRDefault="00DF1767" w:rsidP="00DF1767">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 </w:t>
            </w:r>
            <w:r w:rsidR="003B076A">
              <w:rPr>
                <w:rFonts w:eastAsia="Times New Roman" w:cs="Arial"/>
                <w:sz w:val="20"/>
                <w:szCs w:val="20"/>
                <w:lang w:eastAsia="en-AU"/>
              </w:rPr>
              <w:t>4,801</w:t>
            </w:r>
          </w:p>
        </w:tc>
        <w:tc>
          <w:tcPr>
            <w:tcW w:w="733" w:type="pct"/>
            <w:tcBorders>
              <w:top w:val="nil"/>
              <w:left w:val="nil"/>
              <w:bottom w:val="nil"/>
              <w:right w:val="nil"/>
            </w:tcBorders>
            <w:vAlign w:val="center"/>
            <w:hideMark/>
          </w:tcPr>
          <w:p w14:paraId="2F652929" w14:textId="4E6156B4" w:rsidR="00DF1767" w:rsidRPr="00F65403" w:rsidRDefault="003B076A" w:rsidP="00DF1767">
            <w:pPr>
              <w:spacing w:after="0" w:line="240" w:lineRule="auto"/>
              <w:jc w:val="center"/>
              <w:rPr>
                <w:rFonts w:eastAsia="Times New Roman" w:cs="Arial"/>
                <w:sz w:val="20"/>
                <w:szCs w:val="20"/>
                <w:lang w:eastAsia="en-AU"/>
              </w:rPr>
            </w:pPr>
            <w:r>
              <w:rPr>
                <w:rFonts w:eastAsia="Times New Roman" w:cs="Arial"/>
                <w:sz w:val="20"/>
                <w:szCs w:val="20"/>
                <w:lang w:eastAsia="en-AU"/>
              </w:rPr>
              <w:t>(4,731)</w:t>
            </w:r>
            <w:r w:rsidR="00DF1767" w:rsidRPr="00F65403">
              <w:rPr>
                <w:rFonts w:eastAsia="Times New Roman" w:cs="Arial"/>
                <w:sz w:val="20"/>
                <w:szCs w:val="20"/>
                <w:lang w:eastAsia="en-AU"/>
              </w:rPr>
              <w:t> </w:t>
            </w:r>
          </w:p>
        </w:tc>
      </w:tr>
      <w:tr w:rsidR="00DF1767" w:rsidRPr="00217E47" w14:paraId="2D72D61B" w14:textId="77777777" w:rsidTr="003B076A">
        <w:tc>
          <w:tcPr>
            <w:tcW w:w="1855" w:type="pct"/>
            <w:tcBorders>
              <w:top w:val="nil"/>
              <w:left w:val="nil"/>
              <w:bottom w:val="nil"/>
              <w:right w:val="nil"/>
            </w:tcBorders>
            <w:hideMark/>
          </w:tcPr>
          <w:p w14:paraId="3F41CE4D" w14:textId="36E235E4"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Discount rate - risk free rates of zero-coupon government bond yield (2-</w:t>
            </w:r>
            <w:r w:rsidR="00E30F54">
              <w:rPr>
                <w:rFonts w:eastAsia="Times New Roman" w:cs="Arial"/>
                <w:color w:val="000000"/>
                <w:sz w:val="20"/>
                <w:szCs w:val="20"/>
                <w:lang w:eastAsia="en-AU"/>
              </w:rPr>
              <w:t>10</w:t>
            </w:r>
            <w:r w:rsidRPr="00F65403">
              <w:rPr>
                <w:rFonts w:eastAsia="Times New Roman" w:cs="Arial"/>
                <w:color w:val="000000"/>
                <w:sz w:val="20"/>
                <w:szCs w:val="20"/>
                <w:lang w:eastAsia="en-AU"/>
              </w:rPr>
              <w:t xml:space="preserve"> year bond) </w:t>
            </w:r>
          </w:p>
        </w:tc>
        <w:tc>
          <w:tcPr>
            <w:tcW w:w="886" w:type="pct"/>
            <w:tcBorders>
              <w:top w:val="nil"/>
              <w:left w:val="nil"/>
              <w:bottom w:val="nil"/>
              <w:right w:val="nil"/>
            </w:tcBorders>
            <w:vAlign w:val="center"/>
            <w:hideMark/>
          </w:tcPr>
          <w:p w14:paraId="5A942DBF" w14:textId="31C1E2CB" w:rsidR="00DF1767" w:rsidRPr="00F65403" w:rsidRDefault="0098561A" w:rsidP="0098561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 xml:space="preserve">3.41 </w:t>
            </w:r>
            <w:r w:rsidR="00104757">
              <w:rPr>
                <w:rFonts w:eastAsia="Times New Roman" w:cs="Arial"/>
                <w:color w:val="000000"/>
                <w:sz w:val="20"/>
                <w:szCs w:val="20"/>
                <w:lang w:eastAsia="en-AU"/>
              </w:rPr>
              <w:t>-</w:t>
            </w:r>
            <w:r>
              <w:rPr>
                <w:rFonts w:eastAsia="Times New Roman" w:cs="Arial"/>
                <w:color w:val="000000"/>
                <w:sz w:val="20"/>
                <w:szCs w:val="20"/>
                <w:lang w:eastAsia="en-AU"/>
              </w:rPr>
              <w:t xml:space="preserve"> 4.35%</w:t>
            </w:r>
          </w:p>
        </w:tc>
        <w:tc>
          <w:tcPr>
            <w:tcW w:w="793" w:type="pct"/>
            <w:tcBorders>
              <w:top w:val="nil"/>
              <w:left w:val="nil"/>
              <w:bottom w:val="nil"/>
              <w:right w:val="nil"/>
            </w:tcBorders>
            <w:vAlign w:val="center"/>
            <w:hideMark/>
          </w:tcPr>
          <w:p w14:paraId="01ABE70F" w14:textId="77777777" w:rsidR="00DF1767" w:rsidRPr="00F65403" w:rsidRDefault="00DF1767" w:rsidP="00DF1767">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 </w:t>
            </w:r>
          </w:p>
        </w:tc>
        <w:tc>
          <w:tcPr>
            <w:tcW w:w="733" w:type="pct"/>
            <w:tcBorders>
              <w:top w:val="nil"/>
              <w:left w:val="nil"/>
              <w:bottom w:val="nil"/>
              <w:right w:val="nil"/>
            </w:tcBorders>
            <w:vAlign w:val="center"/>
            <w:hideMark/>
          </w:tcPr>
          <w:p w14:paraId="3ACBE8CA" w14:textId="7A0D48A4" w:rsidR="00DF1767" w:rsidRPr="00F65403" w:rsidRDefault="00E30F54" w:rsidP="00DF1767">
            <w:pPr>
              <w:spacing w:after="0" w:line="240" w:lineRule="auto"/>
              <w:jc w:val="center"/>
              <w:rPr>
                <w:rFonts w:eastAsia="Times New Roman" w:cs="Arial"/>
                <w:sz w:val="20"/>
                <w:szCs w:val="20"/>
                <w:lang w:eastAsia="en-AU"/>
              </w:rPr>
            </w:pPr>
            <w:r>
              <w:rPr>
                <w:rFonts w:eastAsia="Times New Roman" w:cs="Arial"/>
                <w:sz w:val="20"/>
                <w:szCs w:val="20"/>
                <w:lang w:eastAsia="en-AU"/>
              </w:rPr>
              <w:t>(</w:t>
            </w:r>
            <w:r w:rsidR="0098561A">
              <w:rPr>
                <w:rFonts w:eastAsia="Times New Roman" w:cs="Arial"/>
                <w:sz w:val="20"/>
                <w:szCs w:val="20"/>
                <w:lang w:eastAsia="en-AU"/>
              </w:rPr>
              <w:t>125)</w:t>
            </w:r>
            <w:r w:rsidR="00DF1767" w:rsidRPr="00F65403">
              <w:rPr>
                <w:rFonts w:eastAsia="Times New Roman" w:cs="Arial"/>
                <w:sz w:val="20"/>
                <w:szCs w:val="20"/>
                <w:lang w:eastAsia="en-AU"/>
              </w:rPr>
              <w:t> </w:t>
            </w:r>
          </w:p>
        </w:tc>
        <w:tc>
          <w:tcPr>
            <w:tcW w:w="733" w:type="pct"/>
            <w:tcBorders>
              <w:top w:val="nil"/>
              <w:left w:val="nil"/>
              <w:bottom w:val="nil"/>
              <w:right w:val="nil"/>
            </w:tcBorders>
            <w:vAlign w:val="center"/>
            <w:hideMark/>
          </w:tcPr>
          <w:p w14:paraId="3BAE6C05" w14:textId="22A853C4" w:rsidR="00DF1767" w:rsidRPr="00F65403" w:rsidRDefault="00E30F54" w:rsidP="00DF1767">
            <w:pPr>
              <w:spacing w:after="0" w:line="240" w:lineRule="auto"/>
              <w:jc w:val="center"/>
              <w:rPr>
                <w:rFonts w:eastAsia="Times New Roman" w:cs="Arial"/>
                <w:sz w:val="20"/>
                <w:szCs w:val="20"/>
                <w:lang w:eastAsia="en-AU"/>
              </w:rPr>
            </w:pPr>
            <w:r>
              <w:rPr>
                <w:rFonts w:eastAsia="Times New Roman" w:cs="Arial"/>
                <w:sz w:val="20"/>
                <w:szCs w:val="20"/>
                <w:lang w:eastAsia="en-AU"/>
              </w:rPr>
              <w:t>126</w:t>
            </w:r>
            <w:r w:rsidR="00DF1767" w:rsidRPr="00F65403">
              <w:rPr>
                <w:rFonts w:eastAsia="Times New Roman" w:cs="Arial"/>
                <w:sz w:val="20"/>
                <w:szCs w:val="20"/>
                <w:lang w:eastAsia="en-AU"/>
              </w:rPr>
              <w:t> </w:t>
            </w:r>
          </w:p>
        </w:tc>
      </w:tr>
      <w:tr w:rsidR="00DF1767" w:rsidRPr="00217E47" w14:paraId="2C69C673" w14:textId="77777777" w:rsidTr="003B076A">
        <w:tc>
          <w:tcPr>
            <w:tcW w:w="1855" w:type="pct"/>
            <w:tcBorders>
              <w:top w:val="nil"/>
              <w:left w:val="nil"/>
              <w:bottom w:val="nil"/>
              <w:right w:val="nil"/>
            </w:tcBorders>
            <w:hideMark/>
          </w:tcPr>
          <w:p w14:paraId="298C9EEE" w14:textId="39560D5B"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Credit value adjustment </w:t>
            </w:r>
            <w:r w:rsidR="00104757">
              <w:rPr>
                <w:rFonts w:eastAsia="Times New Roman" w:cs="Arial"/>
                <w:color w:val="000000"/>
                <w:sz w:val="20"/>
                <w:szCs w:val="20"/>
                <w:lang w:eastAsia="en-AU"/>
              </w:rPr>
              <w:t>-</w:t>
            </w:r>
            <w:r w:rsidR="00104757" w:rsidRPr="00F65403">
              <w:rPr>
                <w:rFonts w:eastAsia="Times New Roman" w:cs="Arial"/>
                <w:color w:val="000000"/>
                <w:sz w:val="20"/>
                <w:szCs w:val="20"/>
                <w:lang w:eastAsia="en-AU"/>
              </w:rPr>
              <w:t xml:space="preserve"> </w:t>
            </w:r>
            <w:r w:rsidR="003D349E">
              <w:rPr>
                <w:rFonts w:eastAsia="Times New Roman" w:cs="Arial"/>
                <w:color w:val="000000"/>
                <w:sz w:val="20"/>
                <w:szCs w:val="20"/>
                <w:lang w:eastAsia="en-AU"/>
              </w:rPr>
              <w:t>probability of default</w:t>
            </w:r>
            <w:r w:rsidRPr="00F65403">
              <w:rPr>
                <w:rFonts w:eastAsia="Times New Roman" w:cs="Arial"/>
                <w:color w:val="000000"/>
                <w:sz w:val="20"/>
                <w:szCs w:val="20"/>
                <w:lang w:eastAsia="en-AU"/>
              </w:rPr>
              <w:t> </w:t>
            </w:r>
          </w:p>
        </w:tc>
        <w:tc>
          <w:tcPr>
            <w:tcW w:w="886" w:type="pct"/>
            <w:tcBorders>
              <w:top w:val="nil"/>
              <w:left w:val="nil"/>
              <w:bottom w:val="nil"/>
              <w:right w:val="nil"/>
            </w:tcBorders>
            <w:vAlign w:val="center"/>
            <w:hideMark/>
          </w:tcPr>
          <w:p w14:paraId="12B9D121" w14:textId="06316FBD" w:rsidR="00DF1767" w:rsidRPr="00F65403" w:rsidRDefault="003D349E" w:rsidP="00A779F8">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w:t>
            </w:r>
          </w:p>
        </w:tc>
        <w:tc>
          <w:tcPr>
            <w:tcW w:w="793" w:type="pct"/>
            <w:tcBorders>
              <w:top w:val="nil"/>
              <w:left w:val="nil"/>
              <w:bottom w:val="nil"/>
              <w:right w:val="nil"/>
            </w:tcBorders>
            <w:vAlign w:val="center"/>
            <w:hideMark/>
          </w:tcPr>
          <w:p w14:paraId="7D988918" w14:textId="77777777" w:rsidR="00DF1767" w:rsidRPr="00F65403" w:rsidRDefault="00DF1767" w:rsidP="00DF1767">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 </w:t>
            </w:r>
          </w:p>
        </w:tc>
        <w:tc>
          <w:tcPr>
            <w:tcW w:w="733" w:type="pct"/>
            <w:tcBorders>
              <w:top w:val="nil"/>
              <w:left w:val="nil"/>
              <w:bottom w:val="nil"/>
              <w:right w:val="nil"/>
            </w:tcBorders>
            <w:vAlign w:val="center"/>
            <w:hideMark/>
          </w:tcPr>
          <w:p w14:paraId="5FD06111" w14:textId="67930DA3" w:rsidR="00DF1767" w:rsidRPr="00F65403" w:rsidRDefault="00DF1767" w:rsidP="00DF1767">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 </w:t>
            </w:r>
            <w:r w:rsidR="003D349E">
              <w:rPr>
                <w:rFonts w:eastAsia="Times New Roman" w:cs="Arial"/>
                <w:sz w:val="20"/>
                <w:szCs w:val="20"/>
                <w:lang w:eastAsia="en-AU"/>
              </w:rPr>
              <w:t>(135)</w:t>
            </w:r>
          </w:p>
        </w:tc>
        <w:tc>
          <w:tcPr>
            <w:tcW w:w="733" w:type="pct"/>
            <w:tcBorders>
              <w:top w:val="nil"/>
              <w:left w:val="nil"/>
              <w:bottom w:val="nil"/>
              <w:right w:val="nil"/>
            </w:tcBorders>
            <w:vAlign w:val="center"/>
            <w:hideMark/>
          </w:tcPr>
          <w:p w14:paraId="5828B30C" w14:textId="19DF9D08" w:rsidR="00DF1767" w:rsidRPr="00F65403" w:rsidRDefault="00A779F8" w:rsidP="00DF1767">
            <w:pPr>
              <w:spacing w:after="0" w:line="240" w:lineRule="auto"/>
              <w:jc w:val="center"/>
              <w:rPr>
                <w:rFonts w:eastAsia="Times New Roman" w:cs="Arial"/>
                <w:sz w:val="20"/>
                <w:szCs w:val="20"/>
                <w:lang w:eastAsia="en-AU"/>
              </w:rPr>
            </w:pPr>
            <w:r>
              <w:rPr>
                <w:rFonts w:eastAsia="Times New Roman" w:cs="Arial"/>
                <w:sz w:val="20"/>
                <w:szCs w:val="20"/>
                <w:lang w:eastAsia="en-AU"/>
              </w:rPr>
              <w:t>(117)</w:t>
            </w:r>
            <w:r w:rsidR="00DF1767" w:rsidRPr="00F65403">
              <w:rPr>
                <w:rFonts w:eastAsia="Times New Roman" w:cs="Arial"/>
                <w:sz w:val="20"/>
                <w:szCs w:val="20"/>
                <w:lang w:eastAsia="en-AU"/>
              </w:rPr>
              <w:t> </w:t>
            </w:r>
          </w:p>
        </w:tc>
      </w:tr>
      <w:tr w:rsidR="00217E47" w:rsidRPr="00217E47" w14:paraId="3C72716A" w14:textId="77777777" w:rsidTr="0091015E">
        <w:tc>
          <w:tcPr>
            <w:tcW w:w="1855" w:type="pct"/>
            <w:tcBorders>
              <w:top w:val="nil"/>
              <w:left w:val="nil"/>
              <w:bottom w:val="nil"/>
              <w:right w:val="nil"/>
            </w:tcBorders>
            <w:noWrap/>
            <w:vAlign w:val="bottom"/>
            <w:hideMark/>
          </w:tcPr>
          <w:p w14:paraId="1C6A9613" w14:textId="77777777" w:rsidR="00217E47" w:rsidRPr="00F65403" w:rsidRDefault="00217E47" w:rsidP="00DF1767">
            <w:pPr>
              <w:spacing w:after="0" w:line="240" w:lineRule="auto"/>
              <w:rPr>
                <w:rFonts w:eastAsia="Times New Roman" w:cs="Arial"/>
                <w:sz w:val="20"/>
                <w:szCs w:val="20"/>
                <w:lang w:eastAsia="en-AU"/>
              </w:rPr>
            </w:pPr>
          </w:p>
        </w:tc>
        <w:tc>
          <w:tcPr>
            <w:tcW w:w="886" w:type="pct"/>
            <w:tcBorders>
              <w:top w:val="nil"/>
              <w:left w:val="nil"/>
              <w:bottom w:val="nil"/>
              <w:right w:val="nil"/>
            </w:tcBorders>
            <w:vAlign w:val="bottom"/>
            <w:hideMark/>
          </w:tcPr>
          <w:p w14:paraId="400C0A14" w14:textId="77777777" w:rsidR="00217E47" w:rsidRPr="00F65403" w:rsidRDefault="00217E47" w:rsidP="00DF1767">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28EB7D6E" w14:textId="77777777" w:rsidR="00217E47" w:rsidRPr="00F65403" w:rsidRDefault="00217E4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6D37A878" w14:textId="77777777" w:rsidR="00217E47" w:rsidRPr="00F65403" w:rsidRDefault="00217E4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0B46F6B0" w14:textId="77777777" w:rsidR="00217E47" w:rsidRPr="00F65403" w:rsidRDefault="00217E47" w:rsidP="00DF1767">
            <w:pPr>
              <w:spacing w:after="0" w:line="240" w:lineRule="auto"/>
              <w:rPr>
                <w:rFonts w:eastAsia="Times New Roman" w:cs="Arial"/>
                <w:sz w:val="20"/>
                <w:szCs w:val="20"/>
                <w:lang w:eastAsia="en-AU"/>
              </w:rPr>
            </w:pPr>
          </w:p>
        </w:tc>
      </w:tr>
      <w:tr w:rsidR="00217E47" w:rsidRPr="00217E47" w14:paraId="73383B98" w14:textId="77777777" w:rsidTr="0091015E">
        <w:tc>
          <w:tcPr>
            <w:tcW w:w="1855" w:type="pct"/>
            <w:tcBorders>
              <w:top w:val="nil"/>
              <w:left w:val="nil"/>
              <w:bottom w:val="nil"/>
              <w:right w:val="nil"/>
            </w:tcBorders>
            <w:noWrap/>
            <w:vAlign w:val="bottom"/>
            <w:hideMark/>
          </w:tcPr>
          <w:p w14:paraId="7980DB19" w14:textId="0ABDDE1B" w:rsidR="00217E47" w:rsidRPr="00F65403" w:rsidRDefault="00217E47" w:rsidP="00DF1767">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886" w:type="pct"/>
            <w:tcBorders>
              <w:top w:val="nil"/>
              <w:left w:val="nil"/>
              <w:bottom w:val="single" w:sz="4" w:space="0" w:color="auto"/>
              <w:right w:val="nil"/>
            </w:tcBorders>
            <w:vAlign w:val="bottom"/>
            <w:hideMark/>
          </w:tcPr>
          <w:p w14:paraId="5F6242AB" w14:textId="77777777"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 of inputs</w:t>
            </w:r>
          </w:p>
        </w:tc>
        <w:tc>
          <w:tcPr>
            <w:tcW w:w="793" w:type="pct"/>
            <w:tcBorders>
              <w:top w:val="nil"/>
              <w:left w:val="nil"/>
              <w:bottom w:val="single" w:sz="4" w:space="0" w:color="auto"/>
              <w:right w:val="nil"/>
            </w:tcBorders>
            <w:noWrap/>
            <w:vAlign w:val="bottom"/>
            <w:hideMark/>
          </w:tcPr>
          <w:p w14:paraId="57A48C3C" w14:textId="77777777"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Sensitivity</w:t>
            </w:r>
          </w:p>
        </w:tc>
        <w:tc>
          <w:tcPr>
            <w:tcW w:w="1466" w:type="pct"/>
            <w:gridSpan w:val="2"/>
            <w:tcBorders>
              <w:top w:val="nil"/>
              <w:left w:val="nil"/>
              <w:bottom w:val="single" w:sz="4" w:space="0" w:color="auto"/>
              <w:right w:val="nil"/>
            </w:tcBorders>
            <w:vAlign w:val="bottom"/>
            <w:hideMark/>
          </w:tcPr>
          <w:p w14:paraId="5EA4CC23" w14:textId="732B86CF" w:rsidR="00217E47" w:rsidRPr="00F65403" w:rsidRDefault="00217E47" w:rsidP="00DF176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 $000's</w:t>
            </w:r>
          </w:p>
        </w:tc>
      </w:tr>
      <w:tr w:rsidR="00DF1767" w:rsidRPr="00217E47" w14:paraId="0C292B23" w14:textId="77777777" w:rsidTr="0091015E">
        <w:tc>
          <w:tcPr>
            <w:tcW w:w="1855" w:type="pct"/>
            <w:tcBorders>
              <w:top w:val="nil"/>
              <w:left w:val="nil"/>
              <w:bottom w:val="nil"/>
              <w:right w:val="nil"/>
            </w:tcBorders>
            <w:noWrap/>
            <w:vAlign w:val="center"/>
            <w:hideMark/>
          </w:tcPr>
          <w:p w14:paraId="3A3602BA" w14:textId="697E33FC"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Energy derivatives </w:t>
            </w:r>
            <w:r w:rsidR="00104757">
              <w:rPr>
                <w:rFonts w:eastAsia="Times New Roman" w:cs="Arial"/>
                <w:color w:val="000000"/>
                <w:sz w:val="20"/>
                <w:szCs w:val="20"/>
                <w:lang w:eastAsia="en-AU"/>
              </w:rPr>
              <w:t>-</w:t>
            </w:r>
            <w:r w:rsidR="00104757" w:rsidRPr="00F65403">
              <w:rPr>
                <w:rFonts w:eastAsia="Times New Roman" w:cs="Arial"/>
                <w:color w:val="000000"/>
                <w:sz w:val="20"/>
                <w:szCs w:val="20"/>
                <w:lang w:eastAsia="en-AU"/>
              </w:rPr>
              <w:t xml:space="preserve"> </w:t>
            </w:r>
            <w:r w:rsidRPr="00F65403">
              <w:rPr>
                <w:rFonts w:eastAsia="Times New Roman" w:cs="Arial"/>
                <w:color w:val="000000"/>
                <w:sz w:val="20"/>
                <w:szCs w:val="20"/>
                <w:lang w:eastAsia="en-AU"/>
              </w:rPr>
              <w:t>other</w:t>
            </w:r>
            <w:r w:rsidR="00045685" w:rsidRPr="00F65403">
              <w:rPr>
                <w:rFonts w:eastAsia="Times New Roman" w:cs="Arial"/>
                <w:color w:val="000000"/>
                <w:sz w:val="20"/>
                <w:szCs w:val="20"/>
                <w:lang w:eastAsia="en-AU"/>
              </w:rPr>
              <w:t>:</w:t>
            </w:r>
          </w:p>
        </w:tc>
        <w:tc>
          <w:tcPr>
            <w:tcW w:w="886" w:type="pct"/>
            <w:tcBorders>
              <w:top w:val="nil"/>
              <w:left w:val="nil"/>
              <w:bottom w:val="nil"/>
              <w:right w:val="nil"/>
            </w:tcBorders>
            <w:noWrap/>
            <w:vAlign w:val="bottom"/>
            <w:hideMark/>
          </w:tcPr>
          <w:p w14:paraId="451362B3" w14:textId="77777777" w:rsidR="00DF1767" w:rsidRPr="00F65403" w:rsidRDefault="00DF1767" w:rsidP="00DF1767">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13BE51A9" w14:textId="77777777" w:rsidR="00DF1767" w:rsidRPr="00F65403" w:rsidRDefault="00DF176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074F71B3" w14:textId="77777777" w:rsidR="00DF1767" w:rsidRPr="00F65403" w:rsidRDefault="00DF1767" w:rsidP="00DF1767">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0DC9A770" w14:textId="77777777" w:rsidR="00DF1767" w:rsidRPr="00F65403" w:rsidRDefault="00DF1767" w:rsidP="00DF1767">
            <w:pPr>
              <w:spacing w:after="0" w:line="240" w:lineRule="auto"/>
              <w:rPr>
                <w:rFonts w:eastAsia="Times New Roman" w:cs="Arial"/>
                <w:sz w:val="20"/>
                <w:szCs w:val="20"/>
                <w:lang w:eastAsia="en-AU"/>
              </w:rPr>
            </w:pPr>
          </w:p>
        </w:tc>
      </w:tr>
      <w:tr w:rsidR="00DF1767" w:rsidRPr="00217E47" w14:paraId="17C7C389" w14:textId="77777777" w:rsidTr="00A779F8">
        <w:tc>
          <w:tcPr>
            <w:tcW w:w="1855" w:type="pct"/>
            <w:tcBorders>
              <w:top w:val="nil"/>
              <w:left w:val="nil"/>
              <w:bottom w:val="nil"/>
              <w:right w:val="nil"/>
            </w:tcBorders>
            <w:noWrap/>
            <w:vAlign w:val="bottom"/>
            <w:hideMark/>
          </w:tcPr>
          <w:p w14:paraId="2268A114" w14:textId="77777777"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Quarterly BESS revenue ($/MW) </w:t>
            </w:r>
          </w:p>
        </w:tc>
        <w:tc>
          <w:tcPr>
            <w:tcW w:w="886" w:type="pct"/>
            <w:tcBorders>
              <w:top w:val="nil"/>
              <w:left w:val="nil"/>
              <w:bottom w:val="nil"/>
              <w:right w:val="nil"/>
            </w:tcBorders>
            <w:noWrap/>
            <w:vAlign w:val="center"/>
            <w:hideMark/>
          </w:tcPr>
          <w:p w14:paraId="22F83B0F" w14:textId="3461CBFF"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11,380 - 86,679</w:t>
            </w:r>
          </w:p>
        </w:tc>
        <w:tc>
          <w:tcPr>
            <w:tcW w:w="793" w:type="pct"/>
            <w:tcBorders>
              <w:top w:val="nil"/>
              <w:left w:val="nil"/>
              <w:bottom w:val="nil"/>
              <w:right w:val="nil"/>
            </w:tcBorders>
            <w:vAlign w:val="center"/>
            <w:hideMark/>
          </w:tcPr>
          <w:p w14:paraId="27FE6A2B" w14:textId="26DBC656" w:rsidR="00DF1767" w:rsidRPr="00F65403" w:rsidRDefault="00DF1767" w:rsidP="00A779F8">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+/-10%</w:t>
            </w:r>
          </w:p>
        </w:tc>
        <w:tc>
          <w:tcPr>
            <w:tcW w:w="733" w:type="pct"/>
            <w:tcBorders>
              <w:top w:val="nil"/>
              <w:left w:val="nil"/>
              <w:bottom w:val="nil"/>
              <w:right w:val="nil"/>
            </w:tcBorders>
            <w:noWrap/>
            <w:vAlign w:val="center"/>
            <w:hideMark/>
          </w:tcPr>
          <w:p w14:paraId="663BC48B"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11,655</w:t>
            </w:r>
          </w:p>
        </w:tc>
        <w:tc>
          <w:tcPr>
            <w:tcW w:w="733" w:type="pct"/>
            <w:tcBorders>
              <w:top w:val="nil"/>
              <w:left w:val="nil"/>
              <w:bottom w:val="nil"/>
              <w:right w:val="nil"/>
            </w:tcBorders>
            <w:noWrap/>
            <w:vAlign w:val="center"/>
            <w:hideMark/>
          </w:tcPr>
          <w:p w14:paraId="1DEFE8EE"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(21,881)</w:t>
            </w:r>
          </w:p>
        </w:tc>
      </w:tr>
      <w:tr w:rsidR="00DF1767" w:rsidRPr="00217E47" w14:paraId="13D9B9B2" w14:textId="77777777" w:rsidTr="00A779F8">
        <w:tc>
          <w:tcPr>
            <w:tcW w:w="1855" w:type="pct"/>
            <w:tcBorders>
              <w:top w:val="nil"/>
              <w:left w:val="nil"/>
              <w:bottom w:val="nil"/>
              <w:right w:val="nil"/>
            </w:tcBorders>
            <w:hideMark/>
          </w:tcPr>
          <w:p w14:paraId="65A526C6" w14:textId="58DA737B"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Discount rate - risk free rates of zero-coupon government bond yield (2-</w:t>
            </w:r>
            <w:r w:rsidR="00E30F54">
              <w:rPr>
                <w:rFonts w:eastAsia="Times New Roman" w:cs="Arial"/>
                <w:color w:val="000000"/>
                <w:sz w:val="20"/>
                <w:szCs w:val="20"/>
                <w:lang w:eastAsia="en-AU"/>
              </w:rPr>
              <w:t>10</w:t>
            </w:r>
            <w:r w:rsidRPr="00F65403">
              <w:rPr>
                <w:rFonts w:eastAsia="Times New Roman" w:cs="Arial"/>
                <w:color w:val="000000"/>
                <w:sz w:val="20"/>
                <w:szCs w:val="20"/>
                <w:lang w:eastAsia="en-AU"/>
              </w:rPr>
              <w:t xml:space="preserve"> year bond) </w:t>
            </w:r>
          </w:p>
        </w:tc>
        <w:tc>
          <w:tcPr>
            <w:tcW w:w="886" w:type="pct"/>
            <w:tcBorders>
              <w:top w:val="nil"/>
              <w:left w:val="nil"/>
              <w:bottom w:val="nil"/>
              <w:right w:val="nil"/>
            </w:tcBorders>
            <w:noWrap/>
            <w:vAlign w:val="center"/>
            <w:hideMark/>
          </w:tcPr>
          <w:p w14:paraId="0BCD6920" w14:textId="58549CC5"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3.9 - 4.1%</w:t>
            </w:r>
          </w:p>
        </w:tc>
        <w:tc>
          <w:tcPr>
            <w:tcW w:w="793" w:type="pct"/>
            <w:tcBorders>
              <w:top w:val="nil"/>
              <w:left w:val="nil"/>
              <w:bottom w:val="nil"/>
              <w:right w:val="nil"/>
            </w:tcBorders>
            <w:vAlign w:val="center"/>
            <w:hideMark/>
          </w:tcPr>
          <w:p w14:paraId="6246B961" w14:textId="410F0F01" w:rsidR="00DF1767" w:rsidRPr="00F65403" w:rsidRDefault="00DF1767" w:rsidP="00A779F8">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w:t>
            </w:r>
          </w:p>
        </w:tc>
        <w:tc>
          <w:tcPr>
            <w:tcW w:w="733" w:type="pct"/>
            <w:tcBorders>
              <w:top w:val="nil"/>
              <w:left w:val="nil"/>
              <w:bottom w:val="nil"/>
              <w:right w:val="nil"/>
            </w:tcBorders>
            <w:noWrap/>
            <w:vAlign w:val="center"/>
            <w:hideMark/>
          </w:tcPr>
          <w:p w14:paraId="4E42A663"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1,109</w:t>
            </w:r>
          </w:p>
        </w:tc>
        <w:tc>
          <w:tcPr>
            <w:tcW w:w="733" w:type="pct"/>
            <w:tcBorders>
              <w:top w:val="nil"/>
              <w:left w:val="nil"/>
              <w:bottom w:val="nil"/>
              <w:right w:val="nil"/>
            </w:tcBorders>
            <w:noWrap/>
            <w:vAlign w:val="center"/>
            <w:hideMark/>
          </w:tcPr>
          <w:p w14:paraId="6DF6103C"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(1,154)</w:t>
            </w:r>
          </w:p>
        </w:tc>
      </w:tr>
      <w:tr w:rsidR="00DF1767" w:rsidRPr="00217E47" w14:paraId="4E80BC63" w14:textId="77777777" w:rsidTr="00A779F8">
        <w:tc>
          <w:tcPr>
            <w:tcW w:w="1855" w:type="pct"/>
            <w:tcBorders>
              <w:top w:val="nil"/>
              <w:left w:val="nil"/>
              <w:bottom w:val="nil"/>
              <w:right w:val="nil"/>
            </w:tcBorders>
            <w:hideMark/>
          </w:tcPr>
          <w:p w14:paraId="22B5AAB9" w14:textId="20A9CF6E" w:rsidR="00DF1767" w:rsidRPr="00F65403" w:rsidRDefault="00DF1767" w:rsidP="00DF1767">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Credit value adjustment - non-financial corporate BBB-rated bond yield (3-10 year) </w:t>
            </w:r>
          </w:p>
        </w:tc>
        <w:tc>
          <w:tcPr>
            <w:tcW w:w="886" w:type="pct"/>
            <w:tcBorders>
              <w:top w:val="nil"/>
              <w:left w:val="nil"/>
              <w:bottom w:val="nil"/>
              <w:right w:val="nil"/>
            </w:tcBorders>
            <w:noWrap/>
            <w:vAlign w:val="center"/>
            <w:hideMark/>
          </w:tcPr>
          <w:p w14:paraId="2E633281" w14:textId="299D4CA0"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 xml:space="preserve">5.4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6.1%</w:t>
            </w:r>
          </w:p>
        </w:tc>
        <w:tc>
          <w:tcPr>
            <w:tcW w:w="793" w:type="pct"/>
            <w:tcBorders>
              <w:top w:val="nil"/>
              <w:left w:val="nil"/>
              <w:bottom w:val="nil"/>
              <w:right w:val="nil"/>
            </w:tcBorders>
            <w:vAlign w:val="center"/>
            <w:hideMark/>
          </w:tcPr>
          <w:p w14:paraId="2E955AA7" w14:textId="4168BE70" w:rsidR="00DF1767" w:rsidRPr="00F65403" w:rsidRDefault="00DF1767" w:rsidP="00A779F8">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w:t>
            </w:r>
          </w:p>
        </w:tc>
        <w:tc>
          <w:tcPr>
            <w:tcW w:w="733" w:type="pct"/>
            <w:tcBorders>
              <w:top w:val="nil"/>
              <w:left w:val="nil"/>
              <w:bottom w:val="nil"/>
              <w:right w:val="nil"/>
            </w:tcBorders>
            <w:noWrap/>
            <w:vAlign w:val="center"/>
            <w:hideMark/>
          </w:tcPr>
          <w:p w14:paraId="32C37FB3"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1,657</w:t>
            </w:r>
          </w:p>
        </w:tc>
        <w:tc>
          <w:tcPr>
            <w:tcW w:w="733" w:type="pct"/>
            <w:tcBorders>
              <w:top w:val="nil"/>
              <w:left w:val="nil"/>
              <w:bottom w:val="nil"/>
              <w:right w:val="nil"/>
            </w:tcBorders>
            <w:noWrap/>
            <w:vAlign w:val="center"/>
            <w:hideMark/>
          </w:tcPr>
          <w:p w14:paraId="1106D75D" w14:textId="77777777" w:rsidR="00DF1767" w:rsidRPr="00F65403" w:rsidRDefault="00DF1767" w:rsidP="00A779F8">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1,733</w:t>
            </w:r>
          </w:p>
        </w:tc>
      </w:tr>
    </w:tbl>
    <w:p w14:paraId="4BE8B738" w14:textId="769FFFD9" w:rsidR="00437972" w:rsidRPr="00F65403" w:rsidRDefault="005412C4" w:rsidP="00217E47">
      <w:pPr>
        <w:pStyle w:val="BodyText"/>
        <w:rPr>
          <w:lang w:val="en-AU"/>
        </w:rPr>
      </w:pPr>
      <w:r>
        <w:rPr>
          <w:lang w:val="en-AU"/>
        </w:rPr>
        <w:br/>
        <w:t>* Battery Energy Storage System</w:t>
      </w:r>
    </w:p>
    <w:p w14:paraId="0C927D93" w14:textId="77777777" w:rsidR="00437972" w:rsidRPr="00F65403" w:rsidRDefault="00437972" w:rsidP="00217E47">
      <w:pPr>
        <w:pStyle w:val="BodyText"/>
        <w:rPr>
          <w:sz w:val="24"/>
          <w:szCs w:val="24"/>
          <w:lang w:val="en-AU"/>
        </w:rPr>
      </w:pPr>
      <w:r w:rsidRPr="00F65403">
        <w:rPr>
          <w:sz w:val="24"/>
          <w:szCs w:val="24"/>
          <w:lang w:val="en-AU"/>
        </w:rPr>
        <w:br w:type="page"/>
      </w:r>
    </w:p>
    <w:p w14:paraId="1EB60DC0" w14:textId="77777777" w:rsidR="00927A58" w:rsidRDefault="00927A58" w:rsidP="00927A58">
      <w:pPr>
        <w:pStyle w:val="Heading7"/>
      </w:pPr>
      <w:r w:rsidRPr="00F65403">
        <w:t>Income tax</w:t>
      </w:r>
    </w:p>
    <w:p w14:paraId="493A51B2" w14:textId="77777777" w:rsidR="00927A58" w:rsidRPr="00F65403" w:rsidRDefault="00927A58" w:rsidP="00927A58">
      <w:pPr>
        <w:pStyle w:val="BodyText"/>
        <w:rPr>
          <w:lang w:val="en-AU"/>
        </w:rPr>
      </w:pPr>
      <w:r w:rsidRPr="00F65403">
        <w:rPr>
          <w:lang w:val="en-AU"/>
        </w:rPr>
        <w:t xml:space="preserve">On 17 December 2024, the Group entered into the National Tax Equivalent Regime (NTER), pursuant to section 88(1) of the </w:t>
      </w:r>
      <w:r w:rsidRPr="00AA3AC5">
        <w:rPr>
          <w:i/>
          <w:iCs/>
          <w:lang w:val="en-AU"/>
        </w:rPr>
        <w:t>State Owned Enterprises Act 1992</w:t>
      </w:r>
      <w:r w:rsidRPr="00F65403">
        <w:rPr>
          <w:lang w:val="en-AU"/>
        </w:rPr>
        <w:t xml:space="preserve">, which is administered by the Australian Taxation Office (ATO). The difference between the NTER and the Commonwealth legislation is that the tax liability is paid to the Victorian State Government rather than the Commonwealth Government. </w:t>
      </w:r>
    </w:p>
    <w:p w14:paraId="5D5CF66C" w14:textId="77777777" w:rsidR="00927A58" w:rsidRPr="00F65403" w:rsidRDefault="00927A58" w:rsidP="00927A58">
      <w:pPr>
        <w:pStyle w:val="BodyText"/>
        <w:rPr>
          <w:lang w:val="en-AU"/>
        </w:rPr>
      </w:pPr>
    </w:p>
    <w:p w14:paraId="5266887E" w14:textId="77777777" w:rsidR="00927A58" w:rsidRPr="00F65403" w:rsidRDefault="00927A58" w:rsidP="00927A58">
      <w:pPr>
        <w:pStyle w:val="BodyText"/>
        <w:rPr>
          <w:lang w:val="en-AU"/>
        </w:rPr>
      </w:pPr>
      <w:r w:rsidRPr="00F65403">
        <w:rPr>
          <w:lang w:val="en-AU"/>
        </w:rPr>
        <w:t xml:space="preserve">The regime is applied to all open income tax periods and consequently, an income tax return was prepared and lodged for the period from incorporation to 30 June 2024. </w:t>
      </w:r>
    </w:p>
    <w:p w14:paraId="428F1BE5" w14:textId="77777777" w:rsidR="00927A58" w:rsidRDefault="00927A58" w:rsidP="00927A58">
      <w:pPr>
        <w:pStyle w:val="BodyText"/>
        <w:rPr>
          <w:lang w:val="en-AU"/>
        </w:rPr>
      </w:pPr>
    </w:p>
    <w:p w14:paraId="5098C212" w14:textId="42FA80E7" w:rsidR="00151BE9" w:rsidRPr="00BE7B93" w:rsidRDefault="00BE7B93" w:rsidP="001513B5">
      <w:pPr>
        <w:pStyle w:val="Heading8"/>
        <w:tabs>
          <w:tab w:val="clear" w:pos="357"/>
          <w:tab w:val="left" w:pos="567"/>
        </w:tabs>
        <w:ind w:left="284" w:hanging="284"/>
      </w:pPr>
      <w:proofErr w:type="spellStart"/>
      <w:r w:rsidRPr="001513B5">
        <w:rPr>
          <w:rFonts w:eastAsia="Arial" w:cs="Arial"/>
          <w:szCs w:val="20"/>
        </w:rPr>
        <w:t>i</w:t>
      </w:r>
      <w:proofErr w:type="spellEnd"/>
      <w:r w:rsidRPr="001513B5">
        <w:rPr>
          <w:rFonts w:eastAsia="Arial" w:cs="Arial"/>
          <w:szCs w:val="20"/>
        </w:rPr>
        <w:t>.</w:t>
      </w:r>
      <w:r w:rsidRPr="001513B5">
        <w:rPr>
          <w:rFonts w:eastAsia="Arial" w:cs="Arial"/>
          <w:szCs w:val="20"/>
        </w:rPr>
        <w:tab/>
        <w:t>Accounting policy</w:t>
      </w:r>
    </w:p>
    <w:p w14:paraId="072DFD08" w14:textId="7DB50216" w:rsidR="00927A58" w:rsidRPr="00F65403" w:rsidRDefault="00927A58" w:rsidP="00927A58">
      <w:pPr>
        <w:pStyle w:val="BodyText"/>
        <w:rPr>
          <w:lang w:val="en-AU"/>
        </w:rPr>
      </w:pPr>
      <w:r w:rsidRPr="00F65403">
        <w:rPr>
          <w:lang w:val="en-AU"/>
        </w:rPr>
        <w:t xml:space="preserve">Income tax on the consolidated statement of </w:t>
      </w:r>
      <w:r w:rsidR="00342E24">
        <w:rPr>
          <w:lang w:val="en-AU"/>
        </w:rPr>
        <w:t>profit or loss</w:t>
      </w:r>
      <w:r w:rsidRPr="00F65403">
        <w:rPr>
          <w:lang w:val="en-AU"/>
        </w:rPr>
        <w:t xml:space="preserve"> for the year comprises current and deferred tax. Income tax is recognised in the consolidated statement of </w:t>
      </w:r>
      <w:r w:rsidR="00342E24">
        <w:rPr>
          <w:lang w:val="en-AU"/>
        </w:rPr>
        <w:t>profit or loss</w:t>
      </w:r>
      <w:r w:rsidRPr="00F65403">
        <w:rPr>
          <w:lang w:val="en-AU"/>
        </w:rPr>
        <w:t xml:space="preserve"> except to the extent that it relates to items recognised directly in equity.</w:t>
      </w:r>
    </w:p>
    <w:p w14:paraId="0A50D169" w14:textId="77777777" w:rsidR="00927A58" w:rsidRPr="00F65403" w:rsidRDefault="00927A58" w:rsidP="00927A58">
      <w:pPr>
        <w:pStyle w:val="BodyText"/>
        <w:rPr>
          <w:lang w:val="en-AU"/>
        </w:rPr>
      </w:pPr>
    </w:p>
    <w:p w14:paraId="597E50C8" w14:textId="77777777" w:rsidR="00927A58" w:rsidRPr="00F65403" w:rsidRDefault="00927A58" w:rsidP="00927A58">
      <w:pPr>
        <w:pStyle w:val="BodyText"/>
        <w:rPr>
          <w:lang w:val="en-AU"/>
        </w:rPr>
      </w:pPr>
      <w:r w:rsidRPr="00F65403">
        <w:rPr>
          <w:lang w:val="en-AU"/>
        </w:rPr>
        <w:t>Current tax is the expected tax payable on the taxable income for the year, based on the notional corporate income tax rate of 30%, adjusted by changes in deferred tax assets and liabilities and any adjustment to tax payable in respect of previous years.</w:t>
      </w:r>
    </w:p>
    <w:p w14:paraId="5DEDE5DE" w14:textId="77777777" w:rsidR="00927A58" w:rsidRPr="00F65403" w:rsidRDefault="00927A58" w:rsidP="00927A58">
      <w:pPr>
        <w:pStyle w:val="BodyText"/>
        <w:rPr>
          <w:lang w:val="en-AU"/>
        </w:rPr>
      </w:pPr>
    </w:p>
    <w:p w14:paraId="0A984DFE" w14:textId="77777777" w:rsidR="00927A58" w:rsidRPr="00F65403" w:rsidRDefault="00927A58" w:rsidP="00927A58">
      <w:pPr>
        <w:pStyle w:val="BodyText"/>
        <w:rPr>
          <w:lang w:val="en-AU"/>
        </w:rPr>
      </w:pPr>
      <w:r w:rsidRPr="00F65403">
        <w:rPr>
          <w:lang w:val="en-AU"/>
        </w:rPr>
        <w:t>Deferred tax is providing for temporary differences between the carrying amounts of assets and liabilities for financial reporting purposes and the amounts used for taxation purposes at balance date. Deferred tax assets and liabilities are recognised at the tax rates expected to apply when the assets are recovered or liabilities are settled based on those tax rates which are enacted or substantially enacted at balance date.</w:t>
      </w:r>
    </w:p>
    <w:p w14:paraId="0FF4C2AC" w14:textId="77777777" w:rsidR="00927A58" w:rsidRPr="00F65403" w:rsidRDefault="00927A58" w:rsidP="00927A58">
      <w:pPr>
        <w:pStyle w:val="BodyText"/>
        <w:rPr>
          <w:lang w:val="en-AU"/>
        </w:rPr>
      </w:pPr>
    </w:p>
    <w:p w14:paraId="3BDCF935" w14:textId="77777777" w:rsidR="00927A58" w:rsidRPr="00F65403" w:rsidRDefault="00927A58" w:rsidP="00927A58">
      <w:pPr>
        <w:pStyle w:val="BodyText"/>
        <w:rPr>
          <w:lang w:val="en-AU"/>
        </w:rPr>
      </w:pPr>
      <w:r w:rsidRPr="00F65403">
        <w:rPr>
          <w:lang w:val="en-AU"/>
        </w:rPr>
        <w:t>A deferred tax asset is recognised only to the extent that it is probable that future taxable profits will be available against which the asset can be utilised. Deferred tax assets are reviewed at each reporting date and are reduced to the extent that it is no longer probable that the related tax benefit will be realised. Deferred tax liabilities are reported net of any deferred tax assets.</w:t>
      </w:r>
    </w:p>
    <w:p w14:paraId="27512CFD" w14:textId="77777777" w:rsidR="00927A58" w:rsidRPr="00F65403" w:rsidRDefault="00927A58" w:rsidP="00927A58">
      <w:pPr>
        <w:pStyle w:val="BodyText"/>
        <w:rPr>
          <w:lang w:val="en-AU"/>
        </w:rPr>
      </w:pPr>
    </w:p>
    <w:p w14:paraId="7037AB5E" w14:textId="1CDD4801" w:rsidR="00927A58" w:rsidRPr="00F65403" w:rsidRDefault="00927A58" w:rsidP="00927A58">
      <w:pPr>
        <w:pStyle w:val="BodyText"/>
        <w:rPr>
          <w:lang w:val="en-AU"/>
        </w:rPr>
      </w:pPr>
      <w:r w:rsidRPr="00F65403">
        <w:rPr>
          <w:lang w:val="en-AU"/>
        </w:rPr>
        <w:t>The Group has formed an income tax consolidated group consisting of SEC Victoria and its controlled entities. SEC Victoria is the head entity of the tax consolidated group.</w:t>
      </w:r>
      <w:r w:rsidR="00B0504E">
        <w:rPr>
          <w:lang w:val="en-AU"/>
        </w:rPr>
        <w:t xml:space="preserve"> The head entity and the controlled entities in the tax consolidated group ea</w:t>
      </w:r>
      <w:r w:rsidR="00577222">
        <w:rPr>
          <w:lang w:val="en-AU"/>
        </w:rPr>
        <w:t xml:space="preserve">ch account for their own current and deferred tax amounts. These tax amounts are measured as if each entity in the tax consolidated group continues </w:t>
      </w:r>
      <w:r w:rsidR="00E63F33">
        <w:rPr>
          <w:lang w:val="en-AU"/>
        </w:rPr>
        <w:t>to</w:t>
      </w:r>
      <w:r w:rsidR="00577222">
        <w:rPr>
          <w:lang w:val="en-AU"/>
        </w:rPr>
        <w:t xml:space="preserve"> be a standalone tax payer in its own right. In addition to its own current and deferred tax amounts the head </w:t>
      </w:r>
      <w:r w:rsidR="00E63F33">
        <w:rPr>
          <w:lang w:val="en-AU"/>
        </w:rPr>
        <w:t>entity</w:t>
      </w:r>
      <w:r w:rsidR="00577222">
        <w:rPr>
          <w:lang w:val="en-AU"/>
        </w:rPr>
        <w:t xml:space="preserve"> also recognises the current tax liabilities (or assets) and the deferred tax assets it has assumed from unused tax losses from </w:t>
      </w:r>
      <w:r w:rsidR="00E63F33">
        <w:rPr>
          <w:lang w:val="en-AU"/>
        </w:rPr>
        <w:t>controlled entities in the tax consolidated group.</w:t>
      </w:r>
    </w:p>
    <w:p w14:paraId="22B61D9A" w14:textId="77777777" w:rsidR="00927A58" w:rsidRPr="00F65403" w:rsidRDefault="00927A58" w:rsidP="00927A58">
      <w:pPr>
        <w:pStyle w:val="BodyText"/>
        <w:rPr>
          <w:highlight w:val="yellow"/>
          <w:lang w:val="en-AU"/>
        </w:rPr>
      </w:pPr>
    </w:p>
    <w:p w14:paraId="45A983C0" w14:textId="241E0572" w:rsidR="00902C42" w:rsidRPr="005568AC" w:rsidRDefault="00902C42" w:rsidP="001513B5">
      <w:pPr>
        <w:pStyle w:val="Heading8"/>
        <w:tabs>
          <w:tab w:val="clear" w:pos="357"/>
          <w:tab w:val="left" w:pos="567"/>
        </w:tabs>
        <w:ind w:left="284" w:hanging="284"/>
      </w:pPr>
      <w:r w:rsidRPr="001513B5">
        <w:rPr>
          <w:rFonts w:eastAsia="Arial" w:cs="Arial"/>
          <w:szCs w:val="20"/>
        </w:rPr>
        <w:t>i</w:t>
      </w:r>
      <w:r w:rsidR="00BE7B93" w:rsidRPr="001513B5">
        <w:rPr>
          <w:rFonts w:eastAsia="Arial" w:cs="Arial"/>
          <w:szCs w:val="20"/>
        </w:rPr>
        <w:t>i</w:t>
      </w:r>
      <w:r w:rsidRPr="001513B5">
        <w:rPr>
          <w:rFonts w:eastAsia="Arial" w:cs="Arial"/>
          <w:szCs w:val="20"/>
        </w:rPr>
        <w:t xml:space="preserve">.     </w:t>
      </w:r>
      <w:r w:rsidR="00495F81" w:rsidRPr="001513B5">
        <w:rPr>
          <w:rFonts w:eastAsia="Arial" w:cs="Arial"/>
          <w:szCs w:val="20"/>
        </w:rPr>
        <w:t>Components of i</w:t>
      </w:r>
      <w:r w:rsidRPr="001513B5">
        <w:rPr>
          <w:rFonts w:eastAsia="Arial" w:cs="Arial"/>
          <w:szCs w:val="20"/>
        </w:rPr>
        <w:t xml:space="preserve">ncome tax </w:t>
      </w:r>
      <w:r w:rsidR="00BE7B93" w:rsidRPr="001513B5">
        <w:rPr>
          <w:rFonts w:eastAsia="Arial" w:cs="Arial"/>
          <w:szCs w:val="20"/>
        </w:rPr>
        <w:t>expense</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902C42" w:rsidRPr="0073009A" w14:paraId="2A010BF5" w14:textId="77777777" w:rsidTr="00AA3AC5">
        <w:trPr>
          <w:trHeight w:val="170"/>
        </w:trPr>
        <w:tc>
          <w:tcPr>
            <w:tcW w:w="3525" w:type="pct"/>
            <w:tcBorders>
              <w:top w:val="nil"/>
              <w:left w:val="nil"/>
              <w:bottom w:val="nil"/>
              <w:right w:val="nil"/>
            </w:tcBorders>
            <w:noWrap/>
            <w:vAlign w:val="bottom"/>
            <w:hideMark/>
          </w:tcPr>
          <w:p w14:paraId="6416E225" w14:textId="77777777" w:rsidR="00902C42" w:rsidRPr="005568AC" w:rsidRDefault="00902C42">
            <w:pPr>
              <w:spacing w:after="0" w:line="240" w:lineRule="auto"/>
              <w:rPr>
                <w:rFonts w:eastAsia="Times New Roman" w:cs="Arial"/>
                <w:b/>
                <w:bCs/>
                <w:sz w:val="20"/>
                <w:szCs w:val="20"/>
                <w:lang w:eastAsia="en-AU"/>
              </w:rPr>
            </w:pPr>
          </w:p>
        </w:tc>
        <w:tc>
          <w:tcPr>
            <w:tcW w:w="738" w:type="pct"/>
            <w:tcBorders>
              <w:top w:val="nil"/>
              <w:left w:val="nil"/>
              <w:bottom w:val="nil"/>
              <w:right w:val="nil"/>
            </w:tcBorders>
            <w:noWrap/>
            <w:vAlign w:val="bottom"/>
            <w:hideMark/>
          </w:tcPr>
          <w:p w14:paraId="5CEE83B3" w14:textId="2939CDC4" w:rsidR="00902C42" w:rsidRPr="00F65403" w:rsidRDefault="00E92E58"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00902C42"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453F5733" w14:textId="5A262ABD" w:rsidR="00902C42" w:rsidRPr="00F65403" w:rsidRDefault="00E92E58"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25 October 2023 to 30 June </w:t>
            </w:r>
            <w:r w:rsidR="00902C42" w:rsidRPr="413EB596">
              <w:rPr>
                <w:rFonts w:eastAsia="Times New Roman" w:cs="Arial"/>
                <w:b/>
                <w:bCs/>
                <w:color w:val="000000" w:themeColor="text1"/>
                <w:sz w:val="20"/>
                <w:szCs w:val="20"/>
                <w:lang w:eastAsia="en-AU"/>
              </w:rPr>
              <w:t>2024</w:t>
            </w:r>
          </w:p>
        </w:tc>
      </w:tr>
      <w:tr w:rsidR="00902C42" w:rsidRPr="0073009A" w14:paraId="64B83F63" w14:textId="77777777" w:rsidTr="00AA3AC5">
        <w:trPr>
          <w:trHeight w:val="170"/>
        </w:trPr>
        <w:tc>
          <w:tcPr>
            <w:tcW w:w="3525" w:type="pct"/>
            <w:tcBorders>
              <w:top w:val="nil"/>
              <w:left w:val="nil"/>
              <w:bottom w:val="nil"/>
              <w:right w:val="nil"/>
            </w:tcBorders>
            <w:noWrap/>
            <w:vAlign w:val="bottom"/>
            <w:hideMark/>
          </w:tcPr>
          <w:p w14:paraId="053473F9" w14:textId="77777777" w:rsidR="00902C42" w:rsidRPr="00F65403" w:rsidRDefault="00902C42"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4851D340" w14:textId="77777777" w:rsidR="00902C42" w:rsidRPr="00F65403" w:rsidRDefault="00902C42"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06221625" w14:textId="77777777" w:rsidR="00902C42" w:rsidRPr="00F65403" w:rsidRDefault="00902C42">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902C42" w:rsidRPr="0073009A" w14:paraId="70DC5ABA" w14:textId="77777777" w:rsidTr="00AA3AC5">
        <w:trPr>
          <w:trHeight w:val="170"/>
        </w:trPr>
        <w:tc>
          <w:tcPr>
            <w:tcW w:w="3525" w:type="pct"/>
            <w:tcBorders>
              <w:top w:val="nil"/>
              <w:left w:val="nil"/>
              <w:bottom w:val="nil"/>
              <w:right w:val="nil"/>
            </w:tcBorders>
            <w:noWrap/>
            <w:vAlign w:val="bottom"/>
            <w:hideMark/>
          </w:tcPr>
          <w:p w14:paraId="0B64B0C7" w14:textId="77777777" w:rsidR="00902C42" w:rsidRPr="00F65403" w:rsidRDefault="00902C4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Current tax </w:t>
            </w:r>
          </w:p>
        </w:tc>
        <w:tc>
          <w:tcPr>
            <w:tcW w:w="738" w:type="pct"/>
            <w:tcBorders>
              <w:top w:val="nil"/>
              <w:left w:val="nil"/>
              <w:right w:val="nil"/>
            </w:tcBorders>
            <w:noWrap/>
            <w:vAlign w:val="bottom"/>
            <w:hideMark/>
          </w:tcPr>
          <w:p w14:paraId="30DE86C7" w14:textId="77777777"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c>
          <w:tcPr>
            <w:tcW w:w="737" w:type="pct"/>
            <w:tcBorders>
              <w:top w:val="nil"/>
              <w:left w:val="nil"/>
              <w:right w:val="nil"/>
            </w:tcBorders>
            <w:noWrap/>
            <w:vAlign w:val="bottom"/>
            <w:hideMark/>
          </w:tcPr>
          <w:p w14:paraId="63E55AE1" w14:textId="77777777"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902C42" w:rsidRPr="0073009A" w14:paraId="6E426595" w14:textId="77777777" w:rsidTr="00AA3AC5">
        <w:trPr>
          <w:trHeight w:val="170"/>
        </w:trPr>
        <w:tc>
          <w:tcPr>
            <w:tcW w:w="3525" w:type="pct"/>
            <w:tcBorders>
              <w:top w:val="nil"/>
              <w:left w:val="nil"/>
              <w:bottom w:val="nil"/>
              <w:right w:val="nil"/>
            </w:tcBorders>
            <w:noWrap/>
            <w:vAlign w:val="bottom"/>
            <w:hideMark/>
          </w:tcPr>
          <w:p w14:paraId="50918E7A" w14:textId="77777777" w:rsidR="00902C42" w:rsidRPr="00F65403" w:rsidRDefault="00902C4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Deferred tax </w:t>
            </w:r>
          </w:p>
        </w:tc>
        <w:tc>
          <w:tcPr>
            <w:tcW w:w="738" w:type="pct"/>
            <w:tcBorders>
              <w:top w:val="nil"/>
              <w:left w:val="nil"/>
              <w:right w:val="nil"/>
            </w:tcBorders>
            <w:noWrap/>
            <w:vAlign w:val="bottom"/>
            <w:hideMark/>
          </w:tcPr>
          <w:p w14:paraId="7B13B05D" w14:textId="3BD2E69B" w:rsidR="00902C42" w:rsidRPr="00F65403" w:rsidRDefault="00FC54AD">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1,869</w:t>
            </w:r>
          </w:p>
        </w:tc>
        <w:tc>
          <w:tcPr>
            <w:tcW w:w="737" w:type="pct"/>
            <w:tcBorders>
              <w:top w:val="nil"/>
              <w:left w:val="nil"/>
              <w:right w:val="nil"/>
            </w:tcBorders>
            <w:noWrap/>
            <w:vAlign w:val="bottom"/>
            <w:hideMark/>
          </w:tcPr>
          <w:p w14:paraId="3D61DC04" w14:textId="77777777"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902C42" w:rsidRPr="0073009A" w14:paraId="790EC6B4" w14:textId="77777777" w:rsidTr="00AA3AC5">
        <w:trPr>
          <w:trHeight w:val="170"/>
        </w:trPr>
        <w:tc>
          <w:tcPr>
            <w:tcW w:w="3525" w:type="pct"/>
            <w:tcBorders>
              <w:top w:val="nil"/>
              <w:left w:val="nil"/>
              <w:bottom w:val="nil"/>
              <w:right w:val="nil"/>
            </w:tcBorders>
            <w:noWrap/>
            <w:vAlign w:val="bottom"/>
            <w:hideMark/>
          </w:tcPr>
          <w:p w14:paraId="0440070F" w14:textId="77777777" w:rsidR="00902C42" w:rsidRPr="00F65403" w:rsidRDefault="00902C4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Over/(under) provision in respect of prior years</w:t>
            </w:r>
          </w:p>
        </w:tc>
        <w:tc>
          <w:tcPr>
            <w:tcW w:w="738" w:type="pct"/>
            <w:tcBorders>
              <w:left w:val="nil"/>
              <w:bottom w:val="single" w:sz="4" w:space="0" w:color="auto"/>
              <w:right w:val="nil"/>
            </w:tcBorders>
            <w:noWrap/>
            <w:vAlign w:val="bottom"/>
            <w:hideMark/>
          </w:tcPr>
          <w:p w14:paraId="275B7CBA" w14:textId="0498E047" w:rsidR="00902C42" w:rsidRPr="00F65403" w:rsidRDefault="00FC54AD">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3,370</w:t>
            </w:r>
          </w:p>
        </w:tc>
        <w:tc>
          <w:tcPr>
            <w:tcW w:w="737" w:type="pct"/>
            <w:tcBorders>
              <w:left w:val="nil"/>
              <w:bottom w:val="single" w:sz="4" w:space="0" w:color="auto"/>
              <w:right w:val="nil"/>
            </w:tcBorders>
            <w:noWrap/>
            <w:vAlign w:val="bottom"/>
            <w:hideMark/>
          </w:tcPr>
          <w:p w14:paraId="7BCCC0D6" w14:textId="77777777"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902C42" w:rsidRPr="0073009A" w14:paraId="627A9C03" w14:textId="77777777" w:rsidTr="00AA3AC5">
        <w:trPr>
          <w:trHeight w:val="170"/>
        </w:trPr>
        <w:tc>
          <w:tcPr>
            <w:tcW w:w="3525" w:type="pct"/>
            <w:tcBorders>
              <w:top w:val="nil"/>
              <w:left w:val="nil"/>
              <w:bottom w:val="nil"/>
              <w:right w:val="nil"/>
            </w:tcBorders>
            <w:noWrap/>
            <w:vAlign w:val="bottom"/>
            <w:hideMark/>
          </w:tcPr>
          <w:p w14:paraId="46E9D60F" w14:textId="04FDC960" w:rsidR="00902C42" w:rsidRPr="00F65403" w:rsidRDefault="00902C42"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 income tax expense</w:t>
            </w:r>
            <w:r w:rsidR="00C639DA">
              <w:rPr>
                <w:rFonts w:eastAsia="Times New Roman" w:cs="Arial"/>
                <w:b/>
                <w:bCs/>
                <w:color w:val="000000" w:themeColor="text1"/>
                <w:sz w:val="20"/>
                <w:szCs w:val="20"/>
                <w:lang w:eastAsia="en-AU"/>
              </w:rPr>
              <w:t xml:space="preserve"> </w:t>
            </w:r>
            <w:r w:rsidR="005F1BD9">
              <w:rPr>
                <w:rFonts w:eastAsia="Times New Roman" w:cs="Arial"/>
                <w:b/>
                <w:bCs/>
                <w:color w:val="000000" w:themeColor="text1"/>
                <w:sz w:val="20"/>
                <w:szCs w:val="20"/>
                <w:lang w:eastAsia="en-AU"/>
              </w:rPr>
              <w:t xml:space="preserve">reported in the statement of profit </w:t>
            </w:r>
            <w:r w:rsidR="009640BE">
              <w:rPr>
                <w:rFonts w:eastAsia="Times New Roman" w:cs="Arial"/>
                <w:b/>
                <w:bCs/>
                <w:color w:val="000000" w:themeColor="text1"/>
                <w:sz w:val="20"/>
                <w:szCs w:val="20"/>
                <w:lang w:eastAsia="en-AU"/>
              </w:rPr>
              <w:t>or loss</w:t>
            </w:r>
          </w:p>
        </w:tc>
        <w:tc>
          <w:tcPr>
            <w:tcW w:w="738" w:type="pct"/>
            <w:tcBorders>
              <w:top w:val="single" w:sz="4" w:space="0" w:color="auto"/>
              <w:left w:val="nil"/>
              <w:bottom w:val="single" w:sz="4" w:space="0" w:color="auto"/>
              <w:right w:val="nil"/>
            </w:tcBorders>
            <w:noWrap/>
            <w:vAlign w:val="bottom"/>
            <w:hideMark/>
          </w:tcPr>
          <w:p w14:paraId="13C5E23B" w14:textId="548EACDE" w:rsidR="00902C42" w:rsidRPr="00B24B86" w:rsidRDefault="00FC54AD">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5,239</w:t>
            </w:r>
          </w:p>
        </w:tc>
        <w:tc>
          <w:tcPr>
            <w:tcW w:w="737" w:type="pct"/>
            <w:tcBorders>
              <w:top w:val="single" w:sz="4" w:space="0" w:color="auto"/>
              <w:left w:val="nil"/>
              <w:bottom w:val="single" w:sz="4" w:space="0" w:color="auto"/>
              <w:right w:val="nil"/>
            </w:tcBorders>
            <w:noWrap/>
            <w:vAlign w:val="bottom"/>
            <w:hideMark/>
          </w:tcPr>
          <w:p w14:paraId="2984B0AD" w14:textId="77777777" w:rsidR="00902C42" w:rsidRPr="00B24B86" w:rsidRDefault="00902C42">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r w:rsidR="009640BE" w:rsidRPr="0073009A" w14:paraId="37F143FD" w14:textId="77777777" w:rsidTr="00AA3AC5">
        <w:trPr>
          <w:trHeight w:val="170"/>
        </w:trPr>
        <w:tc>
          <w:tcPr>
            <w:tcW w:w="3525" w:type="pct"/>
            <w:tcBorders>
              <w:top w:val="nil"/>
              <w:left w:val="nil"/>
              <w:bottom w:val="nil"/>
              <w:right w:val="nil"/>
            </w:tcBorders>
            <w:noWrap/>
            <w:vAlign w:val="bottom"/>
          </w:tcPr>
          <w:p w14:paraId="21F4BDF9" w14:textId="77777777" w:rsidR="009640BE" w:rsidRPr="413EB596" w:rsidRDefault="009640BE" w:rsidP="413EB596">
            <w:pPr>
              <w:spacing w:after="0" w:line="240" w:lineRule="auto"/>
              <w:rPr>
                <w:rFonts w:eastAsia="Times New Roman" w:cs="Arial"/>
                <w:b/>
                <w:bCs/>
                <w:color w:val="000000" w:themeColor="text1"/>
                <w:sz w:val="20"/>
                <w:szCs w:val="20"/>
                <w:lang w:eastAsia="en-AU"/>
              </w:rPr>
            </w:pPr>
          </w:p>
        </w:tc>
        <w:tc>
          <w:tcPr>
            <w:tcW w:w="738" w:type="pct"/>
            <w:tcBorders>
              <w:top w:val="single" w:sz="4" w:space="0" w:color="auto"/>
              <w:left w:val="nil"/>
              <w:right w:val="nil"/>
            </w:tcBorders>
            <w:noWrap/>
            <w:vAlign w:val="bottom"/>
          </w:tcPr>
          <w:p w14:paraId="4528BBB2" w14:textId="77777777" w:rsidR="009640BE" w:rsidRPr="413EB596" w:rsidRDefault="009640BE">
            <w:pPr>
              <w:tabs>
                <w:tab w:val="decimal" w:pos="1020"/>
              </w:tabs>
              <w:spacing w:after="0" w:line="240" w:lineRule="auto"/>
              <w:rPr>
                <w:rFonts w:eastAsia="Times New Roman" w:cs="Arial"/>
                <w:b/>
                <w:bCs/>
                <w:color w:val="000000" w:themeColor="text1"/>
                <w:sz w:val="20"/>
                <w:szCs w:val="20"/>
                <w:lang w:eastAsia="en-AU"/>
              </w:rPr>
            </w:pPr>
          </w:p>
        </w:tc>
        <w:tc>
          <w:tcPr>
            <w:tcW w:w="737" w:type="pct"/>
            <w:tcBorders>
              <w:top w:val="single" w:sz="4" w:space="0" w:color="auto"/>
              <w:left w:val="nil"/>
              <w:right w:val="nil"/>
            </w:tcBorders>
            <w:noWrap/>
            <w:vAlign w:val="bottom"/>
          </w:tcPr>
          <w:p w14:paraId="46B56505" w14:textId="77777777" w:rsidR="009640BE" w:rsidRPr="413EB596" w:rsidRDefault="009640BE">
            <w:pPr>
              <w:tabs>
                <w:tab w:val="decimal" w:pos="1020"/>
              </w:tabs>
              <w:spacing w:after="0" w:line="240" w:lineRule="auto"/>
              <w:rPr>
                <w:rFonts w:eastAsia="Times New Roman" w:cs="Arial"/>
                <w:b/>
                <w:bCs/>
                <w:color w:val="000000" w:themeColor="text1"/>
                <w:sz w:val="20"/>
                <w:szCs w:val="20"/>
                <w:lang w:eastAsia="en-AU"/>
              </w:rPr>
            </w:pPr>
          </w:p>
        </w:tc>
      </w:tr>
      <w:tr w:rsidR="00AA3AC5" w:rsidRPr="413EB596" w14:paraId="02B5D7D7" w14:textId="77777777" w:rsidTr="00AA3AC5">
        <w:trPr>
          <w:trHeight w:val="170"/>
        </w:trPr>
        <w:tc>
          <w:tcPr>
            <w:tcW w:w="3525" w:type="pct"/>
            <w:tcBorders>
              <w:top w:val="nil"/>
              <w:left w:val="nil"/>
              <w:bottom w:val="nil"/>
              <w:right w:val="nil"/>
            </w:tcBorders>
            <w:noWrap/>
            <w:vAlign w:val="bottom"/>
          </w:tcPr>
          <w:p w14:paraId="219A643C" w14:textId="77777777" w:rsidR="00773633" w:rsidRPr="00AA3AC5" w:rsidRDefault="00773633" w:rsidP="0075264E">
            <w:pPr>
              <w:spacing w:after="0" w:line="240" w:lineRule="auto"/>
              <w:rPr>
                <w:rFonts w:eastAsia="Times New Roman" w:cs="Arial"/>
                <w:i/>
                <w:iCs/>
                <w:color w:val="000000" w:themeColor="text1"/>
                <w:sz w:val="20"/>
                <w:szCs w:val="20"/>
                <w:lang w:eastAsia="en-AU"/>
              </w:rPr>
            </w:pPr>
            <w:r w:rsidRPr="00AA3AC5">
              <w:rPr>
                <w:rFonts w:eastAsia="Times New Roman" w:cs="Arial"/>
                <w:i/>
                <w:iCs/>
                <w:color w:val="000000" w:themeColor="text1"/>
                <w:sz w:val="20"/>
                <w:szCs w:val="20"/>
                <w:lang w:eastAsia="en-AU"/>
              </w:rPr>
              <w:t>Deferred tax expense related to items recognised in OCI during the year</w:t>
            </w:r>
          </w:p>
        </w:tc>
        <w:tc>
          <w:tcPr>
            <w:tcW w:w="738" w:type="pct"/>
            <w:tcBorders>
              <w:left w:val="nil"/>
              <w:right w:val="nil"/>
            </w:tcBorders>
            <w:noWrap/>
            <w:vAlign w:val="bottom"/>
          </w:tcPr>
          <w:p w14:paraId="3B040A12" w14:textId="77777777" w:rsidR="00773633" w:rsidRPr="413EB596" w:rsidRDefault="00773633" w:rsidP="00773633">
            <w:pPr>
              <w:spacing w:after="0" w:line="240" w:lineRule="auto"/>
              <w:rPr>
                <w:rFonts w:eastAsia="Times New Roman" w:cs="Arial"/>
                <w:b/>
                <w:bCs/>
                <w:color w:val="000000" w:themeColor="text1"/>
                <w:sz w:val="20"/>
                <w:szCs w:val="20"/>
                <w:lang w:eastAsia="en-AU"/>
              </w:rPr>
            </w:pPr>
          </w:p>
        </w:tc>
        <w:tc>
          <w:tcPr>
            <w:tcW w:w="737" w:type="pct"/>
            <w:tcBorders>
              <w:left w:val="nil"/>
              <w:right w:val="nil"/>
            </w:tcBorders>
            <w:noWrap/>
            <w:vAlign w:val="bottom"/>
          </w:tcPr>
          <w:p w14:paraId="250317D4" w14:textId="77777777" w:rsidR="00773633" w:rsidRPr="413EB596" w:rsidRDefault="00773633" w:rsidP="00773633">
            <w:pPr>
              <w:spacing w:after="0" w:line="240" w:lineRule="auto"/>
              <w:rPr>
                <w:rFonts w:eastAsia="Times New Roman" w:cs="Arial"/>
                <w:b/>
                <w:bCs/>
                <w:color w:val="000000" w:themeColor="text1"/>
                <w:sz w:val="20"/>
                <w:szCs w:val="20"/>
                <w:lang w:eastAsia="en-AU"/>
              </w:rPr>
            </w:pPr>
          </w:p>
        </w:tc>
      </w:tr>
      <w:tr w:rsidR="00773633" w:rsidRPr="001513B5" w14:paraId="0180EE58" w14:textId="77777777" w:rsidTr="00AA3AC5">
        <w:trPr>
          <w:trHeight w:val="170"/>
        </w:trPr>
        <w:tc>
          <w:tcPr>
            <w:tcW w:w="3525" w:type="pct"/>
            <w:tcBorders>
              <w:top w:val="nil"/>
              <w:left w:val="nil"/>
              <w:bottom w:val="nil"/>
              <w:right w:val="nil"/>
            </w:tcBorders>
            <w:noWrap/>
            <w:vAlign w:val="bottom"/>
          </w:tcPr>
          <w:p w14:paraId="152612F3" w14:textId="77777777" w:rsidR="00773633" w:rsidRPr="00AA3AC5" w:rsidRDefault="00773633" w:rsidP="0075264E">
            <w:pPr>
              <w:spacing w:after="0" w:line="240" w:lineRule="auto"/>
              <w:rPr>
                <w:rFonts w:eastAsia="Times New Roman" w:cs="Arial"/>
                <w:color w:val="000000" w:themeColor="text1"/>
                <w:sz w:val="20"/>
                <w:szCs w:val="20"/>
                <w:lang w:eastAsia="en-AU"/>
              </w:rPr>
            </w:pPr>
            <w:r w:rsidRPr="00AA3AC5">
              <w:rPr>
                <w:rFonts w:eastAsia="Times New Roman" w:cs="Arial"/>
                <w:color w:val="000000" w:themeColor="text1"/>
                <w:sz w:val="20"/>
                <w:szCs w:val="20"/>
                <w:lang w:eastAsia="en-AU"/>
              </w:rPr>
              <w:t>Net loss in fair value of cash flow hedges</w:t>
            </w:r>
          </w:p>
        </w:tc>
        <w:tc>
          <w:tcPr>
            <w:tcW w:w="738" w:type="pct"/>
            <w:tcBorders>
              <w:left w:val="nil"/>
              <w:bottom w:val="single" w:sz="4" w:space="0" w:color="auto"/>
              <w:right w:val="nil"/>
            </w:tcBorders>
            <w:noWrap/>
            <w:vAlign w:val="bottom"/>
          </w:tcPr>
          <w:p w14:paraId="70B19E76" w14:textId="77777777" w:rsidR="00773633" w:rsidRPr="00AA3AC5" w:rsidRDefault="00773633" w:rsidP="00AA3AC5">
            <w:pPr>
              <w:tabs>
                <w:tab w:val="decimal" w:pos="1020"/>
              </w:tabs>
              <w:spacing w:after="0" w:line="240" w:lineRule="auto"/>
              <w:rPr>
                <w:rFonts w:eastAsia="Times New Roman" w:cs="Arial"/>
                <w:color w:val="000000" w:themeColor="text1"/>
                <w:sz w:val="20"/>
                <w:szCs w:val="20"/>
                <w:lang w:eastAsia="en-AU"/>
              </w:rPr>
            </w:pPr>
            <w:r w:rsidRPr="00AA3AC5">
              <w:rPr>
                <w:rFonts w:eastAsia="Times New Roman" w:cs="Arial"/>
                <w:color w:val="000000" w:themeColor="text1"/>
                <w:sz w:val="20"/>
                <w:szCs w:val="20"/>
                <w:lang w:eastAsia="en-AU"/>
              </w:rPr>
              <w:t>(226)</w:t>
            </w:r>
          </w:p>
        </w:tc>
        <w:tc>
          <w:tcPr>
            <w:tcW w:w="737" w:type="pct"/>
            <w:tcBorders>
              <w:left w:val="nil"/>
              <w:bottom w:val="single" w:sz="4" w:space="0" w:color="auto"/>
              <w:right w:val="nil"/>
            </w:tcBorders>
            <w:noWrap/>
            <w:vAlign w:val="bottom"/>
          </w:tcPr>
          <w:p w14:paraId="69190FD3" w14:textId="77777777" w:rsidR="00773633" w:rsidRPr="00AA3AC5" w:rsidRDefault="00773633" w:rsidP="00AA3AC5">
            <w:pPr>
              <w:tabs>
                <w:tab w:val="decimal" w:pos="1020"/>
              </w:tabs>
              <w:spacing w:after="0" w:line="240" w:lineRule="auto"/>
              <w:rPr>
                <w:rFonts w:eastAsia="Times New Roman" w:cs="Arial"/>
                <w:color w:val="000000" w:themeColor="text1"/>
                <w:sz w:val="20"/>
                <w:szCs w:val="20"/>
                <w:lang w:eastAsia="en-AU"/>
              </w:rPr>
            </w:pPr>
            <w:r w:rsidRPr="00AA3AC5">
              <w:rPr>
                <w:rFonts w:eastAsia="Times New Roman" w:cs="Arial"/>
                <w:color w:val="000000" w:themeColor="text1"/>
                <w:sz w:val="20"/>
                <w:szCs w:val="20"/>
                <w:lang w:eastAsia="en-AU"/>
              </w:rPr>
              <w:t>-</w:t>
            </w:r>
          </w:p>
        </w:tc>
      </w:tr>
      <w:tr w:rsidR="00773633" w:rsidRPr="413EB596" w14:paraId="35AC06CD" w14:textId="77777777" w:rsidTr="00773633">
        <w:trPr>
          <w:trHeight w:val="170"/>
        </w:trPr>
        <w:tc>
          <w:tcPr>
            <w:tcW w:w="3525" w:type="pct"/>
            <w:tcBorders>
              <w:top w:val="nil"/>
              <w:left w:val="nil"/>
              <w:bottom w:val="nil"/>
              <w:right w:val="nil"/>
            </w:tcBorders>
            <w:noWrap/>
            <w:vAlign w:val="bottom"/>
          </w:tcPr>
          <w:p w14:paraId="4A444D88" w14:textId="77777777" w:rsidR="00773633" w:rsidRPr="413EB596" w:rsidRDefault="00773633" w:rsidP="0075264E">
            <w:pPr>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Deferred tax benefit charged to OCI</w:t>
            </w:r>
          </w:p>
        </w:tc>
        <w:tc>
          <w:tcPr>
            <w:tcW w:w="738" w:type="pct"/>
            <w:tcBorders>
              <w:top w:val="single" w:sz="4" w:space="0" w:color="auto"/>
              <w:left w:val="nil"/>
              <w:bottom w:val="single" w:sz="4" w:space="0" w:color="auto"/>
              <w:right w:val="nil"/>
            </w:tcBorders>
            <w:noWrap/>
            <w:vAlign w:val="bottom"/>
          </w:tcPr>
          <w:p w14:paraId="395F30A7" w14:textId="77777777" w:rsidR="00773633" w:rsidRPr="00773633" w:rsidRDefault="00773633" w:rsidP="00AA3AC5">
            <w:pPr>
              <w:tabs>
                <w:tab w:val="decimal" w:pos="1020"/>
              </w:tabs>
              <w:spacing w:after="0" w:line="240" w:lineRule="auto"/>
              <w:rPr>
                <w:rFonts w:eastAsia="Times New Roman" w:cs="Arial"/>
                <w:b/>
                <w:bCs/>
                <w:color w:val="000000" w:themeColor="text1"/>
                <w:sz w:val="20"/>
                <w:szCs w:val="20"/>
                <w:lang w:eastAsia="en-AU"/>
              </w:rPr>
            </w:pPr>
            <w:r w:rsidRPr="00773633">
              <w:rPr>
                <w:rFonts w:eastAsia="Times New Roman" w:cs="Arial"/>
                <w:b/>
                <w:bCs/>
                <w:color w:val="000000" w:themeColor="text1"/>
                <w:sz w:val="20"/>
                <w:szCs w:val="20"/>
                <w:lang w:eastAsia="en-AU"/>
              </w:rPr>
              <w:t>(226)</w:t>
            </w:r>
          </w:p>
        </w:tc>
        <w:tc>
          <w:tcPr>
            <w:tcW w:w="737" w:type="pct"/>
            <w:tcBorders>
              <w:top w:val="single" w:sz="4" w:space="0" w:color="auto"/>
              <w:left w:val="nil"/>
              <w:bottom w:val="single" w:sz="4" w:space="0" w:color="auto"/>
              <w:right w:val="nil"/>
            </w:tcBorders>
            <w:noWrap/>
            <w:vAlign w:val="bottom"/>
          </w:tcPr>
          <w:p w14:paraId="13DA383C" w14:textId="77777777" w:rsidR="00773633" w:rsidRPr="00773633" w:rsidRDefault="00773633" w:rsidP="00AA3AC5">
            <w:pPr>
              <w:tabs>
                <w:tab w:val="decimal" w:pos="1020"/>
              </w:tabs>
              <w:spacing w:after="0" w:line="240" w:lineRule="auto"/>
              <w:rPr>
                <w:rFonts w:eastAsia="Times New Roman" w:cs="Arial"/>
                <w:b/>
                <w:bCs/>
                <w:color w:val="000000" w:themeColor="text1"/>
                <w:sz w:val="20"/>
                <w:szCs w:val="20"/>
                <w:lang w:eastAsia="en-AU"/>
              </w:rPr>
            </w:pPr>
            <w:r w:rsidRPr="00773633">
              <w:rPr>
                <w:rFonts w:eastAsia="Times New Roman" w:cs="Arial"/>
                <w:b/>
                <w:bCs/>
                <w:color w:val="000000" w:themeColor="text1"/>
                <w:sz w:val="20"/>
                <w:szCs w:val="20"/>
                <w:lang w:eastAsia="en-AU"/>
              </w:rPr>
              <w:t>-</w:t>
            </w:r>
          </w:p>
        </w:tc>
      </w:tr>
    </w:tbl>
    <w:p w14:paraId="4B2D0711" w14:textId="3BAF4EFB" w:rsidR="00650186" w:rsidRDefault="00650186" w:rsidP="001513B5">
      <w:pPr>
        <w:pStyle w:val="Heading8"/>
        <w:tabs>
          <w:tab w:val="clear" w:pos="357"/>
          <w:tab w:val="left" w:pos="567"/>
        </w:tabs>
        <w:ind w:left="0"/>
      </w:pPr>
    </w:p>
    <w:p w14:paraId="63067B48" w14:textId="77777777" w:rsidR="00650186" w:rsidRDefault="00650186">
      <w:pPr>
        <w:rPr>
          <w:rFonts w:eastAsiaTheme="majorEastAsia" w:cstheme="majorBidi"/>
          <w:b/>
          <w:i/>
          <w:iCs/>
          <w:color w:val="272727" w:themeColor="text1" w:themeTint="D8"/>
          <w:sz w:val="20"/>
        </w:rPr>
      </w:pPr>
      <w:r>
        <w:br w:type="page"/>
      </w:r>
    </w:p>
    <w:p w14:paraId="14BFFDA7" w14:textId="409F94A0" w:rsidR="00902C42" w:rsidRPr="00082167" w:rsidRDefault="00650186" w:rsidP="001513B5">
      <w:pPr>
        <w:pStyle w:val="Heading8"/>
        <w:tabs>
          <w:tab w:val="clear" w:pos="357"/>
          <w:tab w:val="left" w:pos="567"/>
        </w:tabs>
        <w:ind w:left="0"/>
      </w:pPr>
      <w:r>
        <w:br/>
      </w:r>
      <w:r w:rsidR="00E92E58" w:rsidRPr="001513B5">
        <w:rPr>
          <w:rFonts w:eastAsia="Arial" w:cs="Arial"/>
          <w:szCs w:val="20"/>
        </w:rPr>
        <w:t>iii.</w:t>
      </w:r>
      <w:r w:rsidR="00495F81" w:rsidRPr="001513B5">
        <w:rPr>
          <w:rFonts w:eastAsia="Arial" w:cs="Arial"/>
          <w:szCs w:val="20"/>
        </w:rPr>
        <w:t xml:space="preserve">  </w:t>
      </w:r>
      <w:r w:rsidR="00902C42" w:rsidRPr="001513B5">
        <w:rPr>
          <w:rFonts w:eastAsia="Arial" w:cs="Arial"/>
          <w:szCs w:val="20"/>
        </w:rPr>
        <w:t xml:space="preserve"> Numerical reconciliation of income tax expense to prima facie tax payable</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902C42" w:rsidRPr="0073009A" w14:paraId="548B4B40" w14:textId="77777777" w:rsidTr="413EB596">
        <w:trPr>
          <w:trHeight w:val="300"/>
        </w:trPr>
        <w:tc>
          <w:tcPr>
            <w:tcW w:w="3525" w:type="pct"/>
            <w:tcBorders>
              <w:top w:val="nil"/>
              <w:left w:val="nil"/>
              <w:bottom w:val="nil"/>
              <w:right w:val="nil"/>
            </w:tcBorders>
            <w:noWrap/>
            <w:vAlign w:val="bottom"/>
            <w:hideMark/>
          </w:tcPr>
          <w:p w14:paraId="2472ABFD" w14:textId="77777777" w:rsidR="00902C42" w:rsidRPr="005568AC" w:rsidRDefault="00902C42">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5E3CC4DA" w14:textId="486B80E1" w:rsidR="00902C42" w:rsidRPr="00F65403" w:rsidRDefault="006D3787"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00902C42"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5C58C505" w14:textId="7F0BE497" w:rsidR="00902C42" w:rsidRPr="00F65403" w:rsidRDefault="006D3787"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25 October 2023 to 30 June </w:t>
            </w:r>
            <w:r w:rsidR="00902C42" w:rsidRPr="413EB596">
              <w:rPr>
                <w:rFonts w:eastAsia="Times New Roman" w:cs="Arial"/>
                <w:b/>
                <w:bCs/>
                <w:color w:val="000000" w:themeColor="text1"/>
                <w:sz w:val="20"/>
                <w:szCs w:val="20"/>
                <w:lang w:eastAsia="en-AU"/>
              </w:rPr>
              <w:t>2024</w:t>
            </w:r>
          </w:p>
        </w:tc>
      </w:tr>
      <w:tr w:rsidR="00902C42" w:rsidRPr="0073009A" w14:paraId="5069AF71" w14:textId="77777777" w:rsidTr="413EB596">
        <w:trPr>
          <w:trHeight w:val="300"/>
        </w:trPr>
        <w:tc>
          <w:tcPr>
            <w:tcW w:w="3525" w:type="pct"/>
            <w:tcBorders>
              <w:top w:val="nil"/>
              <w:left w:val="nil"/>
              <w:bottom w:val="nil"/>
              <w:right w:val="nil"/>
            </w:tcBorders>
            <w:noWrap/>
            <w:vAlign w:val="bottom"/>
            <w:hideMark/>
          </w:tcPr>
          <w:p w14:paraId="7ED2A871" w14:textId="77777777" w:rsidR="00902C42" w:rsidRPr="00F65403" w:rsidRDefault="00902C42"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72950137" w14:textId="77777777" w:rsidR="00902C42" w:rsidRPr="00F65403" w:rsidRDefault="00902C42"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595C9915" w14:textId="77777777" w:rsidR="00902C42" w:rsidRPr="00F65403" w:rsidRDefault="00902C42">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902C42" w:rsidRPr="0073009A" w14:paraId="1E71B502" w14:textId="77777777" w:rsidTr="413EB596">
        <w:trPr>
          <w:trHeight w:val="300"/>
        </w:trPr>
        <w:tc>
          <w:tcPr>
            <w:tcW w:w="3525" w:type="pct"/>
            <w:tcBorders>
              <w:top w:val="nil"/>
              <w:left w:val="nil"/>
              <w:bottom w:val="nil"/>
              <w:right w:val="nil"/>
            </w:tcBorders>
            <w:noWrap/>
            <w:vAlign w:val="bottom"/>
            <w:hideMark/>
          </w:tcPr>
          <w:p w14:paraId="017C62B6" w14:textId="68D56C01" w:rsidR="00902C42" w:rsidRPr="00F65403" w:rsidRDefault="00897780">
            <w:pPr>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(Loss)/p</w:t>
            </w:r>
            <w:r w:rsidR="00902C42" w:rsidRPr="413EB596">
              <w:rPr>
                <w:rFonts w:eastAsia="Times New Roman" w:cs="Arial"/>
                <w:color w:val="000000" w:themeColor="text1"/>
                <w:sz w:val="20"/>
                <w:szCs w:val="20"/>
                <w:lang w:eastAsia="en-AU"/>
              </w:rPr>
              <w:t>rofit from continuing operations before income tax expense</w:t>
            </w:r>
          </w:p>
        </w:tc>
        <w:tc>
          <w:tcPr>
            <w:tcW w:w="738" w:type="pct"/>
            <w:tcBorders>
              <w:top w:val="nil"/>
              <w:left w:val="nil"/>
              <w:bottom w:val="nil"/>
              <w:right w:val="nil"/>
            </w:tcBorders>
            <w:noWrap/>
            <w:vAlign w:val="bottom"/>
            <w:hideMark/>
          </w:tcPr>
          <w:p w14:paraId="1BE39FBC" w14:textId="6BF13C88"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75282F" w:rsidRPr="413EB596">
              <w:rPr>
                <w:rFonts w:eastAsia="Times New Roman" w:cs="Arial"/>
                <w:color w:val="000000" w:themeColor="text1"/>
                <w:sz w:val="20"/>
                <w:szCs w:val="20"/>
                <w:lang w:eastAsia="en-AU"/>
              </w:rPr>
              <w:t>1,580</w:t>
            </w:r>
            <w:r w:rsidRPr="413EB596">
              <w:rPr>
                <w:rFonts w:eastAsia="Times New Roman" w:cs="Arial"/>
                <w:color w:val="000000" w:themeColor="text1"/>
                <w:sz w:val="20"/>
                <w:szCs w:val="20"/>
                <w:lang w:eastAsia="en-AU"/>
              </w:rPr>
              <w:t>)</w:t>
            </w:r>
          </w:p>
        </w:tc>
        <w:tc>
          <w:tcPr>
            <w:tcW w:w="737" w:type="pct"/>
            <w:tcBorders>
              <w:top w:val="nil"/>
              <w:left w:val="nil"/>
              <w:bottom w:val="nil"/>
              <w:right w:val="nil"/>
            </w:tcBorders>
            <w:noWrap/>
            <w:vAlign w:val="bottom"/>
            <w:hideMark/>
          </w:tcPr>
          <w:p w14:paraId="0673AAF2" w14:textId="383DA74C" w:rsidR="00902C42" w:rsidRPr="00F65403" w:rsidRDefault="006D3787">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5,828</w:t>
            </w:r>
          </w:p>
        </w:tc>
      </w:tr>
      <w:tr w:rsidR="00902C42" w:rsidRPr="0073009A" w14:paraId="717F1737" w14:textId="77777777" w:rsidTr="413EB596">
        <w:trPr>
          <w:trHeight w:val="300"/>
        </w:trPr>
        <w:tc>
          <w:tcPr>
            <w:tcW w:w="3525" w:type="pct"/>
            <w:tcBorders>
              <w:top w:val="nil"/>
              <w:left w:val="nil"/>
              <w:bottom w:val="nil"/>
              <w:right w:val="nil"/>
            </w:tcBorders>
            <w:noWrap/>
            <w:vAlign w:val="bottom"/>
            <w:hideMark/>
          </w:tcPr>
          <w:p w14:paraId="6B624C9E" w14:textId="3047DCFC" w:rsidR="00902C42" w:rsidRPr="00F65403" w:rsidRDefault="00902C4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at the Australian tax rate of 30%</w:t>
            </w:r>
            <w:r w:rsidR="00495E8D">
              <w:rPr>
                <w:rFonts w:eastAsia="Times New Roman" w:cs="Arial"/>
                <w:color w:val="000000" w:themeColor="text1"/>
                <w:sz w:val="20"/>
                <w:szCs w:val="20"/>
                <w:lang w:eastAsia="en-AU"/>
              </w:rPr>
              <w:t xml:space="preserve"> (2024: not applicable)</w:t>
            </w:r>
          </w:p>
        </w:tc>
        <w:tc>
          <w:tcPr>
            <w:tcW w:w="738" w:type="pct"/>
            <w:tcBorders>
              <w:top w:val="nil"/>
              <w:left w:val="nil"/>
              <w:right w:val="nil"/>
            </w:tcBorders>
            <w:noWrap/>
            <w:vAlign w:val="bottom"/>
            <w:hideMark/>
          </w:tcPr>
          <w:p w14:paraId="3522451B" w14:textId="4EDD0FF0"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75282F" w:rsidRPr="413EB596">
              <w:rPr>
                <w:rFonts w:eastAsia="Times New Roman" w:cs="Arial"/>
                <w:color w:val="000000" w:themeColor="text1"/>
                <w:sz w:val="20"/>
                <w:szCs w:val="20"/>
                <w:lang w:eastAsia="en-AU"/>
              </w:rPr>
              <w:t>474</w:t>
            </w:r>
            <w:r w:rsidRPr="413EB596">
              <w:rPr>
                <w:rFonts w:eastAsia="Times New Roman" w:cs="Arial"/>
                <w:color w:val="000000" w:themeColor="text1"/>
                <w:sz w:val="20"/>
                <w:szCs w:val="20"/>
                <w:lang w:eastAsia="en-AU"/>
              </w:rPr>
              <w:t>)</w:t>
            </w:r>
          </w:p>
        </w:tc>
        <w:tc>
          <w:tcPr>
            <w:tcW w:w="737" w:type="pct"/>
            <w:tcBorders>
              <w:top w:val="nil"/>
              <w:left w:val="nil"/>
              <w:right w:val="nil"/>
            </w:tcBorders>
            <w:noWrap/>
            <w:vAlign w:val="bottom"/>
            <w:hideMark/>
          </w:tcPr>
          <w:p w14:paraId="7EC1F273" w14:textId="77777777" w:rsidR="00902C42" w:rsidRPr="00F65403" w:rsidRDefault="00902C42">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902C42" w:rsidRPr="0073009A" w14:paraId="0207B31D" w14:textId="77777777" w:rsidTr="413EB596">
        <w:trPr>
          <w:trHeight w:val="300"/>
        </w:trPr>
        <w:tc>
          <w:tcPr>
            <w:tcW w:w="3525" w:type="pct"/>
            <w:tcBorders>
              <w:top w:val="nil"/>
              <w:left w:val="nil"/>
              <w:bottom w:val="nil"/>
              <w:right w:val="nil"/>
            </w:tcBorders>
            <w:noWrap/>
            <w:vAlign w:val="bottom"/>
            <w:hideMark/>
          </w:tcPr>
          <w:p w14:paraId="356CF4C0" w14:textId="77777777" w:rsidR="00902C42" w:rsidRPr="00F65403" w:rsidRDefault="00902C42">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effect of amounts which are not deductible (taxable) in calculating taxable income:</w:t>
            </w:r>
          </w:p>
        </w:tc>
        <w:tc>
          <w:tcPr>
            <w:tcW w:w="738" w:type="pct"/>
            <w:tcBorders>
              <w:top w:val="nil"/>
              <w:left w:val="nil"/>
              <w:right w:val="nil"/>
            </w:tcBorders>
            <w:noWrap/>
            <w:vAlign w:val="bottom"/>
            <w:hideMark/>
          </w:tcPr>
          <w:p w14:paraId="2FF62C83" w14:textId="77777777" w:rsidR="00902C42" w:rsidRPr="00F65403" w:rsidRDefault="00902C42">
            <w:pPr>
              <w:tabs>
                <w:tab w:val="decimal" w:pos="1020"/>
              </w:tabs>
              <w:spacing w:after="0" w:line="240" w:lineRule="auto"/>
              <w:rPr>
                <w:rFonts w:eastAsia="Times New Roman" w:cs="Arial"/>
                <w:color w:val="000000"/>
                <w:sz w:val="20"/>
                <w:szCs w:val="20"/>
                <w:lang w:eastAsia="en-AU"/>
              </w:rPr>
            </w:pPr>
          </w:p>
        </w:tc>
        <w:tc>
          <w:tcPr>
            <w:tcW w:w="737" w:type="pct"/>
            <w:tcBorders>
              <w:top w:val="nil"/>
              <w:left w:val="nil"/>
              <w:right w:val="nil"/>
            </w:tcBorders>
            <w:noWrap/>
            <w:vAlign w:val="bottom"/>
            <w:hideMark/>
          </w:tcPr>
          <w:p w14:paraId="1216715D" w14:textId="77777777" w:rsidR="00902C42" w:rsidRPr="00F65403" w:rsidRDefault="00902C42">
            <w:pPr>
              <w:tabs>
                <w:tab w:val="decimal" w:pos="1020"/>
              </w:tabs>
              <w:spacing w:after="0" w:line="240" w:lineRule="auto"/>
              <w:rPr>
                <w:rFonts w:eastAsia="Times New Roman" w:cs="Arial"/>
                <w:color w:val="000000"/>
                <w:sz w:val="20"/>
                <w:szCs w:val="20"/>
                <w:lang w:eastAsia="en-AU"/>
              </w:rPr>
            </w:pPr>
          </w:p>
        </w:tc>
      </w:tr>
      <w:tr w:rsidR="00BB56E8" w:rsidRPr="0073009A" w14:paraId="3F13BEAD" w14:textId="77777777" w:rsidTr="413EB596">
        <w:trPr>
          <w:trHeight w:val="300"/>
        </w:trPr>
        <w:tc>
          <w:tcPr>
            <w:tcW w:w="3525" w:type="pct"/>
            <w:tcBorders>
              <w:top w:val="nil"/>
              <w:left w:val="nil"/>
              <w:bottom w:val="nil"/>
              <w:right w:val="nil"/>
            </w:tcBorders>
            <w:noWrap/>
            <w:vAlign w:val="bottom"/>
          </w:tcPr>
          <w:p w14:paraId="319AF79A" w14:textId="05A8A4A8" w:rsidR="00BB56E8" w:rsidRDefault="00BB56E8" w:rsidP="00BB56E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Share of loss of equity accounted investee not recognised</w:t>
            </w:r>
          </w:p>
        </w:tc>
        <w:tc>
          <w:tcPr>
            <w:tcW w:w="738" w:type="pct"/>
            <w:tcBorders>
              <w:left w:val="nil"/>
              <w:right w:val="nil"/>
            </w:tcBorders>
            <w:noWrap/>
            <w:vAlign w:val="bottom"/>
          </w:tcPr>
          <w:p w14:paraId="2119A81D" w14:textId="49CB1F8F" w:rsidR="00BB56E8"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2,334</w:t>
            </w:r>
          </w:p>
        </w:tc>
        <w:tc>
          <w:tcPr>
            <w:tcW w:w="737" w:type="pct"/>
            <w:tcBorders>
              <w:left w:val="nil"/>
              <w:right w:val="nil"/>
            </w:tcBorders>
            <w:noWrap/>
            <w:vAlign w:val="bottom"/>
          </w:tcPr>
          <w:p w14:paraId="705319DA" w14:textId="10869D86" w:rsidR="00BB56E8"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B56E8" w:rsidRPr="0073009A" w14:paraId="51B89AB7" w14:textId="77777777" w:rsidTr="413EB596">
        <w:trPr>
          <w:trHeight w:val="300"/>
        </w:trPr>
        <w:tc>
          <w:tcPr>
            <w:tcW w:w="3525" w:type="pct"/>
            <w:tcBorders>
              <w:top w:val="nil"/>
              <w:left w:val="nil"/>
              <w:bottom w:val="nil"/>
              <w:right w:val="nil"/>
            </w:tcBorders>
            <w:noWrap/>
            <w:vAlign w:val="bottom"/>
          </w:tcPr>
          <w:p w14:paraId="7C6F0718" w14:textId="4C026BFD" w:rsidR="00BB56E8" w:rsidRDefault="00BB56E8" w:rsidP="00BB56E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Acquisition of </w:t>
            </w:r>
            <w:r w:rsidR="004C00D9" w:rsidRPr="413EB596">
              <w:rPr>
                <w:rFonts w:eastAsia="Times New Roman" w:cs="Arial"/>
                <w:color w:val="000000" w:themeColor="text1"/>
                <w:sz w:val="20"/>
                <w:szCs w:val="20"/>
                <w:lang w:eastAsia="en-AU"/>
              </w:rPr>
              <w:t>SEC</w:t>
            </w:r>
            <w:r w:rsidRPr="413EB596">
              <w:rPr>
                <w:rFonts w:eastAsia="Times New Roman" w:cs="Arial"/>
                <w:color w:val="000000" w:themeColor="text1"/>
                <w:sz w:val="20"/>
                <w:szCs w:val="20"/>
                <w:lang w:eastAsia="en-AU"/>
              </w:rPr>
              <w:t xml:space="preserve"> Renewable Energy Park</w:t>
            </w:r>
            <w:r w:rsidR="004C00D9" w:rsidRPr="413EB596">
              <w:rPr>
                <w:rFonts w:eastAsia="Times New Roman" w:cs="Arial"/>
                <w:color w:val="000000" w:themeColor="text1"/>
                <w:sz w:val="20"/>
                <w:szCs w:val="20"/>
                <w:lang w:eastAsia="en-AU"/>
              </w:rPr>
              <w:t xml:space="preserve"> - Horsham</w:t>
            </w:r>
          </w:p>
        </w:tc>
        <w:tc>
          <w:tcPr>
            <w:tcW w:w="738" w:type="pct"/>
            <w:tcBorders>
              <w:left w:val="nil"/>
              <w:right w:val="nil"/>
            </w:tcBorders>
            <w:noWrap/>
            <w:vAlign w:val="bottom"/>
          </w:tcPr>
          <w:p w14:paraId="4A702054" w14:textId="77777777" w:rsidR="00BB56E8"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737" w:type="pct"/>
            <w:tcBorders>
              <w:left w:val="nil"/>
              <w:right w:val="nil"/>
            </w:tcBorders>
            <w:noWrap/>
            <w:vAlign w:val="bottom"/>
          </w:tcPr>
          <w:p w14:paraId="4A95039E" w14:textId="77777777" w:rsidR="00BB56E8"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B56E8" w:rsidRPr="0073009A" w14:paraId="06507F29" w14:textId="77777777" w:rsidTr="413EB596">
        <w:trPr>
          <w:trHeight w:val="300"/>
        </w:trPr>
        <w:tc>
          <w:tcPr>
            <w:tcW w:w="3525" w:type="pct"/>
            <w:tcBorders>
              <w:top w:val="nil"/>
              <w:left w:val="nil"/>
              <w:bottom w:val="nil"/>
              <w:right w:val="nil"/>
            </w:tcBorders>
            <w:noWrap/>
            <w:vAlign w:val="bottom"/>
          </w:tcPr>
          <w:p w14:paraId="321441E9" w14:textId="77777777" w:rsidR="00BB56E8" w:rsidRDefault="00BB56E8" w:rsidP="00BB56E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Under/(over) from prior years</w:t>
            </w:r>
          </w:p>
        </w:tc>
        <w:tc>
          <w:tcPr>
            <w:tcW w:w="738" w:type="pct"/>
            <w:tcBorders>
              <w:left w:val="nil"/>
              <w:bottom w:val="single" w:sz="4" w:space="0" w:color="auto"/>
              <w:right w:val="nil"/>
            </w:tcBorders>
            <w:noWrap/>
            <w:vAlign w:val="bottom"/>
          </w:tcPr>
          <w:p w14:paraId="4E3162E8" w14:textId="5ED24860" w:rsidR="00BB56E8"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3,370</w:t>
            </w:r>
          </w:p>
        </w:tc>
        <w:tc>
          <w:tcPr>
            <w:tcW w:w="737" w:type="pct"/>
            <w:tcBorders>
              <w:left w:val="nil"/>
              <w:bottom w:val="single" w:sz="4" w:space="0" w:color="auto"/>
              <w:right w:val="nil"/>
            </w:tcBorders>
            <w:noWrap/>
            <w:vAlign w:val="bottom"/>
          </w:tcPr>
          <w:p w14:paraId="57AC4143" w14:textId="77777777" w:rsidR="00BB56E8" w:rsidRPr="00F65403" w:rsidRDefault="00BB56E8" w:rsidP="00BB56E8">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B56E8" w:rsidRPr="0073009A" w14:paraId="05D0904B" w14:textId="77777777" w:rsidTr="413EB596">
        <w:trPr>
          <w:trHeight w:val="300"/>
        </w:trPr>
        <w:tc>
          <w:tcPr>
            <w:tcW w:w="3525" w:type="pct"/>
            <w:tcBorders>
              <w:top w:val="nil"/>
              <w:left w:val="nil"/>
              <w:bottom w:val="nil"/>
              <w:right w:val="nil"/>
            </w:tcBorders>
            <w:noWrap/>
            <w:vAlign w:val="bottom"/>
            <w:hideMark/>
          </w:tcPr>
          <w:p w14:paraId="592AF6E0" w14:textId="77777777" w:rsidR="00BB56E8" w:rsidRPr="00F65403" w:rsidRDefault="00BB56E8"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 income tax expense</w:t>
            </w:r>
          </w:p>
        </w:tc>
        <w:tc>
          <w:tcPr>
            <w:tcW w:w="738" w:type="pct"/>
            <w:tcBorders>
              <w:top w:val="single" w:sz="4" w:space="0" w:color="auto"/>
              <w:left w:val="nil"/>
              <w:bottom w:val="single" w:sz="4" w:space="0" w:color="auto"/>
              <w:right w:val="nil"/>
            </w:tcBorders>
            <w:noWrap/>
            <w:vAlign w:val="bottom"/>
            <w:hideMark/>
          </w:tcPr>
          <w:p w14:paraId="604DC4F1" w14:textId="2A565C97" w:rsidR="00BB56E8" w:rsidRPr="005568AC" w:rsidRDefault="00BB56E8" w:rsidP="00BB56E8">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5,239</w:t>
            </w:r>
          </w:p>
        </w:tc>
        <w:tc>
          <w:tcPr>
            <w:tcW w:w="737" w:type="pct"/>
            <w:tcBorders>
              <w:top w:val="single" w:sz="4" w:space="0" w:color="auto"/>
              <w:left w:val="nil"/>
              <w:bottom w:val="single" w:sz="4" w:space="0" w:color="auto"/>
              <w:right w:val="nil"/>
            </w:tcBorders>
            <w:noWrap/>
            <w:vAlign w:val="bottom"/>
            <w:hideMark/>
          </w:tcPr>
          <w:p w14:paraId="22893C07" w14:textId="77777777" w:rsidR="00BB56E8" w:rsidRPr="005568AC" w:rsidRDefault="00BB56E8" w:rsidP="00BB56E8">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bl>
    <w:p w14:paraId="2D3C461E" w14:textId="4FF5893C" w:rsidR="00902C42" w:rsidRPr="00486F4A" w:rsidRDefault="00902C42" w:rsidP="001513B5">
      <w:pPr>
        <w:pStyle w:val="Heading8"/>
        <w:tabs>
          <w:tab w:val="clear" w:pos="357"/>
          <w:tab w:val="left" w:pos="567"/>
        </w:tabs>
        <w:ind w:left="0"/>
      </w:pPr>
      <w:r>
        <w:br/>
      </w:r>
      <w:r w:rsidR="006D3787" w:rsidRPr="001513B5">
        <w:rPr>
          <w:rFonts w:eastAsia="Arial" w:cs="Arial"/>
          <w:szCs w:val="20"/>
        </w:rPr>
        <w:t>iv.</w:t>
      </w:r>
      <w:r w:rsidRPr="001513B5">
        <w:rPr>
          <w:rFonts w:eastAsia="Arial" w:cs="Arial"/>
          <w:szCs w:val="20"/>
        </w:rPr>
        <w:t xml:space="preserve"> Deferred tax balances</w:t>
      </w:r>
    </w:p>
    <w:tbl>
      <w:tblPr>
        <w:tblW w:w="5000" w:type="pct"/>
        <w:tblBorders>
          <w:bottom w:val="doub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331"/>
        <w:gridCol w:w="1348"/>
        <w:gridCol w:w="1347"/>
      </w:tblGrid>
      <w:tr w:rsidR="006D3787" w:rsidRPr="0073009A" w14:paraId="4866ED49" w14:textId="77777777" w:rsidTr="00A50760">
        <w:tc>
          <w:tcPr>
            <w:tcW w:w="3507" w:type="pct"/>
            <w:noWrap/>
            <w:vAlign w:val="bottom"/>
            <w:hideMark/>
          </w:tcPr>
          <w:p w14:paraId="7C5AC190" w14:textId="77777777" w:rsidR="006D3787" w:rsidRPr="005568AC" w:rsidRDefault="006D3787">
            <w:pPr>
              <w:spacing w:after="0" w:line="240" w:lineRule="auto"/>
              <w:rPr>
                <w:rFonts w:eastAsia="Times New Roman" w:cs="Arial"/>
                <w:sz w:val="20"/>
                <w:szCs w:val="20"/>
                <w:lang w:eastAsia="en-AU"/>
              </w:rPr>
            </w:pPr>
          </w:p>
        </w:tc>
        <w:tc>
          <w:tcPr>
            <w:tcW w:w="747" w:type="pct"/>
            <w:vAlign w:val="bottom"/>
          </w:tcPr>
          <w:p w14:paraId="3F72F76E" w14:textId="4AAE9EEF" w:rsidR="006D3787" w:rsidRPr="00F65403" w:rsidRDefault="00847AEC" w:rsidP="00A50760">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2025</w:t>
            </w:r>
          </w:p>
        </w:tc>
        <w:tc>
          <w:tcPr>
            <w:tcW w:w="746" w:type="pct"/>
            <w:noWrap/>
            <w:vAlign w:val="bottom"/>
          </w:tcPr>
          <w:p w14:paraId="388B05B6" w14:textId="28141396" w:rsidR="006D3787" w:rsidRPr="00F65403" w:rsidRDefault="00847AEC" w:rsidP="00A50760">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2024</w:t>
            </w:r>
          </w:p>
        </w:tc>
      </w:tr>
      <w:tr w:rsidR="006D3787" w:rsidRPr="0073009A" w14:paraId="3DF7D8AE" w14:textId="77777777" w:rsidTr="00A50760">
        <w:tc>
          <w:tcPr>
            <w:tcW w:w="3507" w:type="pct"/>
            <w:noWrap/>
            <w:vAlign w:val="bottom"/>
            <w:hideMark/>
          </w:tcPr>
          <w:p w14:paraId="2FA9DF04" w14:textId="77777777" w:rsidR="006D3787" w:rsidRPr="005568AC" w:rsidRDefault="006D3787" w:rsidP="413EB596">
            <w:pPr>
              <w:spacing w:after="0" w:line="240" w:lineRule="auto"/>
              <w:rPr>
                <w:rFonts w:eastAsia="Times New Roman" w:cs="Arial"/>
                <w:b/>
                <w:bCs/>
                <w:i/>
                <w:iCs/>
                <w:color w:val="000000"/>
                <w:sz w:val="20"/>
                <w:szCs w:val="20"/>
                <w:lang w:eastAsia="en-AU"/>
              </w:rPr>
            </w:pPr>
          </w:p>
        </w:tc>
        <w:tc>
          <w:tcPr>
            <w:tcW w:w="747" w:type="pct"/>
            <w:vAlign w:val="bottom"/>
          </w:tcPr>
          <w:p w14:paraId="73A860A2" w14:textId="77777777" w:rsidR="006D3787" w:rsidRPr="00F65403" w:rsidRDefault="006D3787" w:rsidP="00A50760">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46" w:type="pct"/>
            <w:noWrap/>
            <w:vAlign w:val="bottom"/>
            <w:hideMark/>
          </w:tcPr>
          <w:p w14:paraId="1D902568" w14:textId="77777777" w:rsidR="006D3787" w:rsidRPr="00F65403" w:rsidRDefault="006D3787" w:rsidP="00A50760">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6D3787" w:rsidRPr="0073009A" w14:paraId="0F8F7759" w14:textId="77777777" w:rsidTr="00A50760">
        <w:tc>
          <w:tcPr>
            <w:tcW w:w="3507" w:type="pct"/>
            <w:noWrap/>
            <w:vAlign w:val="bottom"/>
          </w:tcPr>
          <w:p w14:paraId="68405324" w14:textId="77777777" w:rsidR="006D3787" w:rsidRDefault="006D3787">
            <w:pPr>
              <w:spacing w:after="0" w:line="240" w:lineRule="auto"/>
              <w:rPr>
                <w:rFonts w:eastAsia="Times New Roman" w:cs="Arial"/>
                <w:color w:val="000000"/>
                <w:sz w:val="20"/>
                <w:szCs w:val="20"/>
                <w:lang w:eastAsia="en-AU"/>
              </w:rPr>
            </w:pPr>
            <w:r w:rsidRPr="413EB596">
              <w:rPr>
                <w:rFonts w:eastAsia="Times New Roman" w:cs="Arial"/>
                <w:b/>
                <w:bCs/>
                <w:i/>
                <w:iCs/>
                <w:color w:val="000000" w:themeColor="text1"/>
                <w:sz w:val="20"/>
                <w:szCs w:val="20"/>
                <w:lang w:eastAsia="en-AU"/>
              </w:rPr>
              <w:t>Deferred tax assets</w:t>
            </w:r>
          </w:p>
        </w:tc>
        <w:tc>
          <w:tcPr>
            <w:tcW w:w="747" w:type="pct"/>
          </w:tcPr>
          <w:p w14:paraId="7FD97C64" w14:textId="77777777" w:rsidR="006D3787" w:rsidRPr="00F65403" w:rsidRDefault="006D3787">
            <w:pPr>
              <w:tabs>
                <w:tab w:val="decimal" w:pos="1020"/>
              </w:tabs>
              <w:spacing w:after="0" w:line="240" w:lineRule="auto"/>
              <w:rPr>
                <w:rFonts w:eastAsia="Times New Roman" w:cs="Arial"/>
                <w:color w:val="000000"/>
                <w:sz w:val="20"/>
                <w:szCs w:val="20"/>
                <w:lang w:eastAsia="en-AU"/>
              </w:rPr>
            </w:pPr>
          </w:p>
        </w:tc>
        <w:tc>
          <w:tcPr>
            <w:tcW w:w="746" w:type="pct"/>
            <w:noWrap/>
            <w:vAlign w:val="bottom"/>
          </w:tcPr>
          <w:p w14:paraId="5585F832" w14:textId="77777777" w:rsidR="006D3787" w:rsidRPr="00F65403" w:rsidRDefault="006D3787">
            <w:pPr>
              <w:tabs>
                <w:tab w:val="decimal" w:pos="1020"/>
              </w:tabs>
              <w:spacing w:after="0" w:line="240" w:lineRule="auto"/>
              <w:rPr>
                <w:rFonts w:eastAsia="Times New Roman" w:cs="Arial"/>
                <w:color w:val="000000"/>
                <w:sz w:val="20"/>
                <w:szCs w:val="20"/>
                <w:lang w:eastAsia="en-AU"/>
              </w:rPr>
            </w:pPr>
          </w:p>
        </w:tc>
      </w:tr>
      <w:tr w:rsidR="006D3787" w:rsidRPr="0073009A" w14:paraId="26A83E4E" w14:textId="77777777" w:rsidTr="00A50760">
        <w:tc>
          <w:tcPr>
            <w:tcW w:w="3507" w:type="pct"/>
            <w:noWrap/>
            <w:vAlign w:val="bottom"/>
          </w:tcPr>
          <w:p w14:paraId="3495DCB4" w14:textId="74ED913B" w:rsidR="006D3787" w:rsidRDefault="006D3787" w:rsidP="00E53484">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Accruals </w:t>
            </w:r>
          </w:p>
        </w:tc>
        <w:tc>
          <w:tcPr>
            <w:tcW w:w="747" w:type="pct"/>
            <w:vAlign w:val="bottom"/>
          </w:tcPr>
          <w:p w14:paraId="4285D526" w14:textId="2A55B528" w:rsidR="006D3787" w:rsidRDefault="00F77182" w:rsidP="00A50760">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99</w:t>
            </w:r>
          </w:p>
        </w:tc>
        <w:tc>
          <w:tcPr>
            <w:tcW w:w="746" w:type="pct"/>
            <w:noWrap/>
            <w:vAlign w:val="bottom"/>
          </w:tcPr>
          <w:p w14:paraId="234EF20A" w14:textId="351394A7" w:rsidR="006D3787" w:rsidRDefault="00F77182" w:rsidP="00A50760">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486F4A" w:rsidRPr="0073009A" w14:paraId="61BAC67A" w14:textId="77777777" w:rsidTr="00A50760">
        <w:tc>
          <w:tcPr>
            <w:tcW w:w="3507" w:type="pct"/>
            <w:noWrap/>
            <w:vAlign w:val="bottom"/>
          </w:tcPr>
          <w:p w14:paraId="4941D004" w14:textId="361EE975" w:rsidR="00486F4A" w:rsidRPr="413EB596" w:rsidRDefault="00486F4A" w:rsidP="00486F4A">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Employee provisions</w:t>
            </w:r>
          </w:p>
        </w:tc>
        <w:tc>
          <w:tcPr>
            <w:tcW w:w="747" w:type="pct"/>
            <w:vAlign w:val="bottom"/>
          </w:tcPr>
          <w:p w14:paraId="7CD606F6" w14:textId="676D7489"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610</w:t>
            </w:r>
          </w:p>
        </w:tc>
        <w:tc>
          <w:tcPr>
            <w:tcW w:w="746" w:type="pct"/>
            <w:noWrap/>
            <w:vAlign w:val="bottom"/>
          </w:tcPr>
          <w:p w14:paraId="39D5FF95" w14:textId="0B5BA6B3"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486F4A" w:rsidRPr="0073009A" w14:paraId="40B03181" w14:textId="77777777" w:rsidTr="00A50760">
        <w:tc>
          <w:tcPr>
            <w:tcW w:w="3507" w:type="pct"/>
            <w:noWrap/>
            <w:vAlign w:val="bottom"/>
          </w:tcPr>
          <w:p w14:paraId="0D782ABB" w14:textId="5AEF016C" w:rsidR="00486F4A" w:rsidRPr="413EB596" w:rsidRDefault="00486F4A" w:rsidP="00486F4A">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Lease liabilities</w:t>
            </w:r>
          </w:p>
        </w:tc>
        <w:tc>
          <w:tcPr>
            <w:tcW w:w="747" w:type="pct"/>
            <w:vAlign w:val="bottom"/>
          </w:tcPr>
          <w:p w14:paraId="560BF9E9" w14:textId="5DDD428D"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2,766</w:t>
            </w:r>
          </w:p>
        </w:tc>
        <w:tc>
          <w:tcPr>
            <w:tcW w:w="746" w:type="pct"/>
            <w:noWrap/>
            <w:vAlign w:val="bottom"/>
          </w:tcPr>
          <w:p w14:paraId="247F3F68" w14:textId="7EE12039"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486F4A" w:rsidRPr="0073009A" w14:paraId="71C671BD" w14:textId="77777777" w:rsidTr="00A50760">
        <w:tc>
          <w:tcPr>
            <w:tcW w:w="3507" w:type="pct"/>
            <w:noWrap/>
            <w:vAlign w:val="bottom"/>
          </w:tcPr>
          <w:p w14:paraId="2F1E6037" w14:textId="1E1676DC" w:rsidR="00486F4A" w:rsidRPr="413EB596" w:rsidRDefault="00486F4A" w:rsidP="00486F4A">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Other financial liabilities</w:t>
            </w:r>
          </w:p>
        </w:tc>
        <w:tc>
          <w:tcPr>
            <w:tcW w:w="747" w:type="pct"/>
            <w:vAlign w:val="bottom"/>
          </w:tcPr>
          <w:p w14:paraId="3B5DF725" w14:textId="06349A82"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2</w:t>
            </w:r>
            <w:r w:rsidR="003759E9">
              <w:rPr>
                <w:rFonts w:eastAsia="Times New Roman" w:cs="Arial"/>
                <w:color w:val="000000" w:themeColor="text1"/>
                <w:sz w:val="20"/>
                <w:szCs w:val="20"/>
                <w:lang w:eastAsia="en-AU"/>
              </w:rPr>
              <w:t>26</w:t>
            </w:r>
          </w:p>
        </w:tc>
        <w:tc>
          <w:tcPr>
            <w:tcW w:w="746" w:type="pct"/>
            <w:noWrap/>
            <w:vAlign w:val="bottom"/>
          </w:tcPr>
          <w:p w14:paraId="1EDF2621" w14:textId="71874877"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486F4A" w:rsidRPr="0073009A" w14:paraId="2BBA6BA5" w14:textId="77777777" w:rsidTr="00A50760">
        <w:tc>
          <w:tcPr>
            <w:tcW w:w="3507" w:type="pct"/>
            <w:tcBorders>
              <w:bottom w:val="nil"/>
            </w:tcBorders>
            <w:noWrap/>
            <w:vAlign w:val="bottom"/>
          </w:tcPr>
          <w:p w14:paraId="17956429" w14:textId="5EDA9B9B" w:rsidR="00486F4A" w:rsidRPr="413EB596" w:rsidRDefault="00486F4A" w:rsidP="00486F4A">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Tax losses</w:t>
            </w:r>
          </w:p>
        </w:tc>
        <w:tc>
          <w:tcPr>
            <w:tcW w:w="747" w:type="pct"/>
            <w:tcBorders>
              <w:bottom w:val="nil"/>
            </w:tcBorders>
            <w:vAlign w:val="bottom"/>
          </w:tcPr>
          <w:p w14:paraId="59303D61" w14:textId="6F75A4F4" w:rsidR="00486F4A" w:rsidRPr="413EB596" w:rsidRDefault="003759E9"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15,746</w:t>
            </w:r>
          </w:p>
        </w:tc>
        <w:tc>
          <w:tcPr>
            <w:tcW w:w="746" w:type="pct"/>
            <w:tcBorders>
              <w:bottom w:val="nil"/>
            </w:tcBorders>
            <w:noWrap/>
            <w:vAlign w:val="bottom"/>
          </w:tcPr>
          <w:p w14:paraId="2AAF8CD4" w14:textId="6DCA60E2"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486F4A" w:rsidRPr="0073009A" w14:paraId="535E28D6" w14:textId="77777777" w:rsidTr="00A50760">
        <w:tc>
          <w:tcPr>
            <w:tcW w:w="3507" w:type="pct"/>
            <w:tcBorders>
              <w:bottom w:val="nil"/>
            </w:tcBorders>
            <w:noWrap/>
            <w:vAlign w:val="bottom"/>
          </w:tcPr>
          <w:p w14:paraId="7CBCC4ED" w14:textId="0390604E" w:rsidR="00486F4A" w:rsidRPr="413EB596" w:rsidRDefault="00486F4A" w:rsidP="00486F4A">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Other</w:t>
            </w:r>
          </w:p>
        </w:tc>
        <w:tc>
          <w:tcPr>
            <w:tcW w:w="747" w:type="pct"/>
            <w:tcBorders>
              <w:bottom w:val="single" w:sz="4" w:space="0" w:color="auto"/>
            </w:tcBorders>
            <w:vAlign w:val="bottom"/>
          </w:tcPr>
          <w:p w14:paraId="70DBB3CD" w14:textId="4932D9F0" w:rsidR="00486F4A" w:rsidRPr="413EB596" w:rsidRDefault="003759E9"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23</w:t>
            </w:r>
          </w:p>
        </w:tc>
        <w:tc>
          <w:tcPr>
            <w:tcW w:w="746" w:type="pct"/>
            <w:tcBorders>
              <w:bottom w:val="single" w:sz="4" w:space="0" w:color="auto"/>
            </w:tcBorders>
            <w:noWrap/>
            <w:vAlign w:val="bottom"/>
          </w:tcPr>
          <w:p w14:paraId="378DBB7B" w14:textId="1613C4A3" w:rsidR="00486F4A" w:rsidRPr="413EB596" w:rsidRDefault="00F77182"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CB3F8F" w:rsidRPr="0073009A" w14:paraId="26A58E21" w14:textId="77777777" w:rsidTr="00A50760">
        <w:tc>
          <w:tcPr>
            <w:tcW w:w="3507" w:type="pct"/>
            <w:tcBorders>
              <w:bottom w:val="nil"/>
            </w:tcBorders>
            <w:noWrap/>
            <w:vAlign w:val="bottom"/>
          </w:tcPr>
          <w:p w14:paraId="31DDF2C1" w14:textId="0FC1F4E2" w:rsidR="00CB3F8F" w:rsidRPr="413EB596" w:rsidRDefault="00CB3F8F" w:rsidP="00CB3F8F">
            <w:pPr>
              <w:spacing w:after="0" w:line="240" w:lineRule="auto"/>
              <w:rPr>
                <w:rFonts w:eastAsia="Times New Roman" w:cs="Arial"/>
                <w:color w:val="000000" w:themeColor="text1"/>
                <w:sz w:val="20"/>
                <w:szCs w:val="20"/>
                <w:lang w:eastAsia="en-AU"/>
              </w:rPr>
            </w:pPr>
            <w:r>
              <w:rPr>
                <w:rFonts w:eastAsia="Times New Roman" w:cs="Arial"/>
                <w:b/>
                <w:bCs/>
                <w:color w:val="000000"/>
                <w:sz w:val="20"/>
                <w:szCs w:val="20"/>
                <w:lang w:eastAsia="en-AU"/>
              </w:rPr>
              <w:t>Total</w:t>
            </w:r>
          </w:p>
        </w:tc>
        <w:tc>
          <w:tcPr>
            <w:tcW w:w="747" w:type="pct"/>
            <w:tcBorders>
              <w:top w:val="single" w:sz="4" w:space="0" w:color="auto"/>
              <w:bottom w:val="single" w:sz="4" w:space="0" w:color="auto"/>
            </w:tcBorders>
            <w:vAlign w:val="bottom"/>
          </w:tcPr>
          <w:p w14:paraId="2AB6B4F9" w14:textId="1EDC3A00" w:rsidR="00CB3F8F" w:rsidRDefault="00CB3F8F"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b/>
                <w:bCs/>
                <w:color w:val="000000"/>
                <w:sz w:val="20"/>
                <w:szCs w:val="20"/>
                <w:lang w:eastAsia="en-AU"/>
              </w:rPr>
              <w:t>19,470</w:t>
            </w:r>
          </w:p>
        </w:tc>
        <w:tc>
          <w:tcPr>
            <w:tcW w:w="746" w:type="pct"/>
            <w:tcBorders>
              <w:top w:val="single" w:sz="4" w:space="0" w:color="auto"/>
              <w:bottom w:val="single" w:sz="4" w:space="0" w:color="auto"/>
            </w:tcBorders>
            <w:noWrap/>
            <w:vAlign w:val="bottom"/>
          </w:tcPr>
          <w:p w14:paraId="3E498CA6" w14:textId="7E65E35A" w:rsidR="00CB3F8F" w:rsidRPr="001513B5" w:rsidRDefault="000F3905" w:rsidP="00A50760">
            <w:pPr>
              <w:tabs>
                <w:tab w:val="decimal" w:pos="1020"/>
              </w:tabs>
              <w:spacing w:after="0" w:line="240" w:lineRule="auto"/>
              <w:rPr>
                <w:rFonts w:eastAsia="Times New Roman" w:cs="Arial"/>
                <w:b/>
                <w:color w:val="000000" w:themeColor="text1"/>
                <w:sz w:val="20"/>
                <w:szCs w:val="20"/>
                <w:lang w:eastAsia="en-AU"/>
              </w:rPr>
            </w:pPr>
            <w:r w:rsidRPr="001513B5">
              <w:rPr>
                <w:rFonts w:eastAsia="Times New Roman" w:cs="Arial"/>
                <w:b/>
                <w:color w:val="000000" w:themeColor="text1"/>
                <w:sz w:val="20"/>
                <w:szCs w:val="20"/>
                <w:lang w:eastAsia="en-AU"/>
              </w:rPr>
              <w:t>-</w:t>
            </w:r>
          </w:p>
        </w:tc>
      </w:tr>
      <w:tr w:rsidR="00CB3F8F" w:rsidRPr="0073009A" w14:paraId="172C8662" w14:textId="77777777" w:rsidTr="00A50760">
        <w:tc>
          <w:tcPr>
            <w:tcW w:w="3507" w:type="pct"/>
            <w:tcBorders>
              <w:bottom w:val="nil"/>
            </w:tcBorders>
            <w:noWrap/>
            <w:vAlign w:val="bottom"/>
          </w:tcPr>
          <w:p w14:paraId="0789674E" w14:textId="77777777" w:rsidR="00CB3F8F" w:rsidRPr="413EB596" w:rsidRDefault="00CB3F8F" w:rsidP="00486F4A">
            <w:pPr>
              <w:spacing w:after="0" w:line="240" w:lineRule="auto"/>
              <w:rPr>
                <w:rFonts w:eastAsia="Times New Roman" w:cs="Arial"/>
                <w:color w:val="000000" w:themeColor="text1"/>
                <w:sz w:val="20"/>
                <w:szCs w:val="20"/>
                <w:lang w:eastAsia="en-AU"/>
              </w:rPr>
            </w:pPr>
          </w:p>
        </w:tc>
        <w:tc>
          <w:tcPr>
            <w:tcW w:w="747" w:type="pct"/>
            <w:tcBorders>
              <w:top w:val="single" w:sz="4" w:space="0" w:color="auto"/>
              <w:bottom w:val="nil"/>
            </w:tcBorders>
            <w:vAlign w:val="bottom"/>
          </w:tcPr>
          <w:p w14:paraId="3D4CBF9A"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c>
          <w:tcPr>
            <w:tcW w:w="746" w:type="pct"/>
            <w:tcBorders>
              <w:top w:val="single" w:sz="4" w:space="0" w:color="auto"/>
              <w:bottom w:val="nil"/>
            </w:tcBorders>
            <w:noWrap/>
            <w:vAlign w:val="bottom"/>
          </w:tcPr>
          <w:p w14:paraId="445F4D7D"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r>
      <w:tr w:rsidR="00CB3F8F" w:rsidRPr="0073009A" w14:paraId="43A6F17A" w14:textId="77777777" w:rsidTr="00A50760">
        <w:tc>
          <w:tcPr>
            <w:tcW w:w="3507" w:type="pct"/>
            <w:tcBorders>
              <w:bottom w:val="nil"/>
            </w:tcBorders>
            <w:noWrap/>
            <w:vAlign w:val="bottom"/>
          </w:tcPr>
          <w:p w14:paraId="74531A07" w14:textId="071E7434" w:rsidR="00CB3F8F" w:rsidRPr="413EB596" w:rsidRDefault="00CB3F8F" w:rsidP="00CB3F8F">
            <w:pPr>
              <w:spacing w:after="0" w:line="240" w:lineRule="auto"/>
              <w:rPr>
                <w:rFonts w:eastAsia="Times New Roman" w:cs="Arial"/>
                <w:color w:val="000000" w:themeColor="text1"/>
                <w:sz w:val="20"/>
                <w:szCs w:val="20"/>
                <w:lang w:eastAsia="en-AU"/>
              </w:rPr>
            </w:pPr>
            <w:r w:rsidRPr="413EB596">
              <w:rPr>
                <w:rFonts w:eastAsia="Times New Roman" w:cs="Arial"/>
                <w:b/>
                <w:bCs/>
                <w:i/>
                <w:iCs/>
                <w:color w:val="000000" w:themeColor="text1"/>
                <w:sz w:val="20"/>
                <w:szCs w:val="20"/>
                <w:lang w:eastAsia="en-AU"/>
              </w:rPr>
              <w:t>Deferred tax liabilities</w:t>
            </w:r>
          </w:p>
        </w:tc>
        <w:tc>
          <w:tcPr>
            <w:tcW w:w="747" w:type="pct"/>
            <w:tcBorders>
              <w:bottom w:val="nil"/>
            </w:tcBorders>
            <w:vAlign w:val="bottom"/>
          </w:tcPr>
          <w:p w14:paraId="331A6220"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c>
          <w:tcPr>
            <w:tcW w:w="746" w:type="pct"/>
            <w:tcBorders>
              <w:bottom w:val="nil"/>
            </w:tcBorders>
            <w:noWrap/>
            <w:vAlign w:val="bottom"/>
          </w:tcPr>
          <w:p w14:paraId="1633288A"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r>
      <w:tr w:rsidR="000F4775" w:rsidRPr="0073009A" w14:paraId="53D62E16" w14:textId="77777777" w:rsidTr="00A50760">
        <w:tc>
          <w:tcPr>
            <w:tcW w:w="3507" w:type="pct"/>
            <w:tcBorders>
              <w:bottom w:val="nil"/>
            </w:tcBorders>
            <w:noWrap/>
            <w:vAlign w:val="bottom"/>
          </w:tcPr>
          <w:p w14:paraId="2BC1B528" w14:textId="68C59831" w:rsidR="000F4775" w:rsidRPr="413EB596" w:rsidRDefault="000F4775" w:rsidP="000F4775">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Trade payables</w:t>
            </w:r>
          </w:p>
        </w:tc>
        <w:tc>
          <w:tcPr>
            <w:tcW w:w="747" w:type="pct"/>
            <w:tcBorders>
              <w:bottom w:val="nil"/>
            </w:tcBorders>
            <w:vAlign w:val="bottom"/>
          </w:tcPr>
          <w:p w14:paraId="414F9792" w14:textId="129FFED1" w:rsidR="000F4775" w:rsidRDefault="003539F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r w:rsidR="000F4775">
              <w:rPr>
                <w:rFonts w:eastAsia="Times New Roman" w:cs="Arial"/>
                <w:color w:val="000000" w:themeColor="text1"/>
                <w:sz w:val="20"/>
                <w:szCs w:val="20"/>
                <w:lang w:eastAsia="en-AU"/>
              </w:rPr>
              <w:t>110</w:t>
            </w:r>
            <w:r>
              <w:rPr>
                <w:rFonts w:eastAsia="Times New Roman" w:cs="Arial"/>
                <w:color w:val="000000" w:themeColor="text1"/>
                <w:sz w:val="20"/>
                <w:szCs w:val="20"/>
                <w:lang w:eastAsia="en-AU"/>
              </w:rPr>
              <w:t>)</w:t>
            </w:r>
          </w:p>
        </w:tc>
        <w:tc>
          <w:tcPr>
            <w:tcW w:w="746" w:type="pct"/>
            <w:tcBorders>
              <w:bottom w:val="nil"/>
            </w:tcBorders>
            <w:noWrap/>
            <w:vAlign w:val="bottom"/>
          </w:tcPr>
          <w:p w14:paraId="2576A64A" w14:textId="4D872840" w:rsidR="000F4775" w:rsidRDefault="003A6E0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0F4775" w:rsidRPr="0073009A" w14:paraId="0E727761" w14:textId="77777777" w:rsidTr="00A50760">
        <w:tc>
          <w:tcPr>
            <w:tcW w:w="3507" w:type="pct"/>
            <w:tcBorders>
              <w:bottom w:val="nil"/>
            </w:tcBorders>
            <w:noWrap/>
            <w:vAlign w:val="bottom"/>
          </w:tcPr>
          <w:p w14:paraId="76D4ED71" w14:textId="7F6C7720" w:rsidR="000F4775" w:rsidRPr="413EB596" w:rsidRDefault="000F4775" w:rsidP="000F4775">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Other financial assets</w:t>
            </w:r>
          </w:p>
        </w:tc>
        <w:tc>
          <w:tcPr>
            <w:tcW w:w="747" w:type="pct"/>
            <w:tcBorders>
              <w:bottom w:val="nil"/>
            </w:tcBorders>
            <w:vAlign w:val="bottom"/>
          </w:tcPr>
          <w:p w14:paraId="61A60EB2" w14:textId="0B7345CA" w:rsidR="000F4775" w:rsidRDefault="003539F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r w:rsidR="000F4775">
              <w:rPr>
                <w:rFonts w:eastAsia="Times New Roman" w:cs="Arial"/>
                <w:color w:val="000000" w:themeColor="text1"/>
                <w:sz w:val="20"/>
                <w:szCs w:val="20"/>
                <w:lang w:eastAsia="en-AU"/>
              </w:rPr>
              <w:t>21,667</w:t>
            </w:r>
            <w:r>
              <w:rPr>
                <w:rFonts w:eastAsia="Times New Roman" w:cs="Arial"/>
                <w:color w:val="000000" w:themeColor="text1"/>
                <w:sz w:val="20"/>
                <w:szCs w:val="20"/>
                <w:lang w:eastAsia="en-AU"/>
              </w:rPr>
              <w:t>)</w:t>
            </w:r>
          </w:p>
        </w:tc>
        <w:tc>
          <w:tcPr>
            <w:tcW w:w="746" w:type="pct"/>
            <w:tcBorders>
              <w:bottom w:val="nil"/>
            </w:tcBorders>
            <w:noWrap/>
            <w:vAlign w:val="bottom"/>
          </w:tcPr>
          <w:p w14:paraId="3A8EAC3D" w14:textId="4024EEA2" w:rsidR="000F4775" w:rsidRDefault="003A6E0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0F4775" w:rsidRPr="0073009A" w14:paraId="66751D4D" w14:textId="77777777" w:rsidTr="00A50760">
        <w:tc>
          <w:tcPr>
            <w:tcW w:w="3507" w:type="pct"/>
            <w:tcBorders>
              <w:bottom w:val="nil"/>
            </w:tcBorders>
            <w:noWrap/>
            <w:vAlign w:val="bottom"/>
          </w:tcPr>
          <w:p w14:paraId="499C2799" w14:textId="7F22F2F8" w:rsidR="000F4775" w:rsidRPr="413EB596" w:rsidRDefault="000F4775" w:rsidP="000F4775">
            <w:pPr>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Property, plant and equipment</w:t>
            </w:r>
          </w:p>
        </w:tc>
        <w:tc>
          <w:tcPr>
            <w:tcW w:w="747" w:type="pct"/>
            <w:tcBorders>
              <w:bottom w:val="single" w:sz="4" w:space="0" w:color="auto"/>
            </w:tcBorders>
            <w:vAlign w:val="bottom"/>
          </w:tcPr>
          <w:p w14:paraId="06A7FF03" w14:textId="1110D0A5" w:rsidR="000F4775" w:rsidRDefault="003539F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r w:rsidR="000F4775">
              <w:rPr>
                <w:rFonts w:eastAsia="Times New Roman" w:cs="Arial"/>
                <w:color w:val="000000" w:themeColor="text1"/>
                <w:sz w:val="20"/>
                <w:szCs w:val="20"/>
                <w:lang w:eastAsia="en-AU"/>
              </w:rPr>
              <w:t>2,706</w:t>
            </w:r>
            <w:r>
              <w:rPr>
                <w:rFonts w:eastAsia="Times New Roman" w:cs="Arial"/>
                <w:color w:val="000000" w:themeColor="text1"/>
                <w:sz w:val="20"/>
                <w:szCs w:val="20"/>
                <w:lang w:eastAsia="en-AU"/>
              </w:rPr>
              <w:t>)</w:t>
            </w:r>
          </w:p>
        </w:tc>
        <w:tc>
          <w:tcPr>
            <w:tcW w:w="746" w:type="pct"/>
            <w:tcBorders>
              <w:bottom w:val="single" w:sz="4" w:space="0" w:color="auto"/>
            </w:tcBorders>
            <w:noWrap/>
            <w:vAlign w:val="bottom"/>
          </w:tcPr>
          <w:p w14:paraId="75EED52D" w14:textId="7DCDCAF5" w:rsidR="000F4775" w:rsidRDefault="003A6E0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CB3F8F" w:rsidRPr="0073009A" w14:paraId="5EDBA7DD" w14:textId="77777777" w:rsidTr="00A50760">
        <w:tc>
          <w:tcPr>
            <w:tcW w:w="3507" w:type="pct"/>
            <w:tcBorders>
              <w:bottom w:val="nil"/>
            </w:tcBorders>
            <w:noWrap/>
            <w:vAlign w:val="bottom"/>
          </w:tcPr>
          <w:p w14:paraId="653173D5" w14:textId="0218906E" w:rsidR="00CB3F8F" w:rsidRPr="000F3905" w:rsidRDefault="000F4775" w:rsidP="00CB3F8F">
            <w:pPr>
              <w:spacing w:after="0" w:line="240" w:lineRule="auto"/>
              <w:rPr>
                <w:rFonts w:eastAsia="Times New Roman" w:cs="Arial"/>
                <w:b/>
                <w:bCs/>
                <w:color w:val="000000" w:themeColor="text1"/>
                <w:sz w:val="20"/>
                <w:szCs w:val="20"/>
                <w:lang w:eastAsia="en-AU"/>
              </w:rPr>
            </w:pPr>
            <w:r w:rsidRPr="000F3905">
              <w:rPr>
                <w:rFonts w:eastAsia="Times New Roman" w:cs="Arial"/>
                <w:b/>
                <w:bCs/>
                <w:color w:val="000000" w:themeColor="text1"/>
                <w:sz w:val="20"/>
                <w:szCs w:val="20"/>
                <w:lang w:eastAsia="en-AU"/>
              </w:rPr>
              <w:t>Total</w:t>
            </w:r>
          </w:p>
        </w:tc>
        <w:tc>
          <w:tcPr>
            <w:tcW w:w="747" w:type="pct"/>
            <w:tcBorders>
              <w:top w:val="single" w:sz="4" w:space="0" w:color="auto"/>
              <w:bottom w:val="single" w:sz="4" w:space="0" w:color="auto"/>
            </w:tcBorders>
            <w:vAlign w:val="bottom"/>
          </w:tcPr>
          <w:p w14:paraId="3535967C" w14:textId="364B7800" w:rsidR="00CB3F8F" w:rsidRPr="000F3905" w:rsidRDefault="003539FB" w:rsidP="00A50760">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r w:rsidR="000F3905" w:rsidRPr="000F3905">
              <w:rPr>
                <w:rFonts w:eastAsia="Times New Roman" w:cs="Arial"/>
                <w:b/>
                <w:bCs/>
                <w:color w:val="000000" w:themeColor="text1"/>
                <w:sz w:val="20"/>
                <w:szCs w:val="20"/>
                <w:lang w:eastAsia="en-AU"/>
              </w:rPr>
              <w:t>24,483</w:t>
            </w:r>
            <w:r>
              <w:rPr>
                <w:rFonts w:eastAsia="Times New Roman" w:cs="Arial"/>
                <w:b/>
                <w:bCs/>
                <w:color w:val="000000" w:themeColor="text1"/>
                <w:sz w:val="20"/>
                <w:szCs w:val="20"/>
                <w:lang w:eastAsia="en-AU"/>
              </w:rPr>
              <w:t>)</w:t>
            </w:r>
          </w:p>
        </w:tc>
        <w:tc>
          <w:tcPr>
            <w:tcW w:w="746" w:type="pct"/>
            <w:tcBorders>
              <w:top w:val="single" w:sz="4" w:space="0" w:color="auto"/>
              <w:bottom w:val="single" w:sz="4" w:space="0" w:color="auto"/>
            </w:tcBorders>
            <w:noWrap/>
            <w:vAlign w:val="bottom"/>
          </w:tcPr>
          <w:p w14:paraId="63DAE04C" w14:textId="5A14D737" w:rsidR="00CB3F8F" w:rsidRPr="000F3905" w:rsidRDefault="003A6E0B" w:rsidP="00A50760">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p>
        </w:tc>
      </w:tr>
      <w:tr w:rsidR="00CB3F8F" w:rsidRPr="0073009A" w14:paraId="525F83E9" w14:textId="77777777" w:rsidTr="00A50760">
        <w:tc>
          <w:tcPr>
            <w:tcW w:w="3507" w:type="pct"/>
            <w:tcBorders>
              <w:bottom w:val="nil"/>
            </w:tcBorders>
            <w:noWrap/>
            <w:vAlign w:val="bottom"/>
          </w:tcPr>
          <w:p w14:paraId="24362DF3" w14:textId="77777777" w:rsidR="00CB3F8F" w:rsidRPr="413EB596" w:rsidRDefault="00CB3F8F" w:rsidP="00CB3F8F">
            <w:pPr>
              <w:spacing w:after="0" w:line="240" w:lineRule="auto"/>
              <w:rPr>
                <w:rFonts w:eastAsia="Times New Roman" w:cs="Arial"/>
                <w:color w:val="000000" w:themeColor="text1"/>
                <w:sz w:val="20"/>
                <w:szCs w:val="20"/>
                <w:lang w:eastAsia="en-AU"/>
              </w:rPr>
            </w:pPr>
          </w:p>
        </w:tc>
        <w:tc>
          <w:tcPr>
            <w:tcW w:w="747" w:type="pct"/>
            <w:tcBorders>
              <w:top w:val="single" w:sz="4" w:space="0" w:color="auto"/>
              <w:bottom w:val="nil"/>
            </w:tcBorders>
            <w:vAlign w:val="bottom"/>
          </w:tcPr>
          <w:p w14:paraId="4D8D7926"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c>
          <w:tcPr>
            <w:tcW w:w="746" w:type="pct"/>
            <w:tcBorders>
              <w:top w:val="single" w:sz="4" w:space="0" w:color="auto"/>
              <w:bottom w:val="nil"/>
            </w:tcBorders>
            <w:noWrap/>
            <w:vAlign w:val="bottom"/>
          </w:tcPr>
          <w:p w14:paraId="476D97A6" w14:textId="77777777" w:rsidR="00CB3F8F" w:rsidRDefault="00CB3F8F" w:rsidP="00A50760">
            <w:pPr>
              <w:tabs>
                <w:tab w:val="decimal" w:pos="1020"/>
              </w:tabs>
              <w:spacing w:after="0" w:line="240" w:lineRule="auto"/>
              <w:rPr>
                <w:rFonts w:eastAsia="Times New Roman" w:cs="Arial"/>
                <w:color w:val="000000" w:themeColor="text1"/>
                <w:sz w:val="20"/>
                <w:szCs w:val="20"/>
                <w:lang w:eastAsia="en-AU"/>
              </w:rPr>
            </w:pPr>
          </w:p>
        </w:tc>
      </w:tr>
      <w:tr w:rsidR="00CB3F8F" w:rsidRPr="0073009A" w14:paraId="4A2A7B47" w14:textId="77777777" w:rsidTr="00A50760">
        <w:tc>
          <w:tcPr>
            <w:tcW w:w="3507" w:type="pct"/>
            <w:tcBorders>
              <w:bottom w:val="nil"/>
            </w:tcBorders>
            <w:noWrap/>
            <w:vAlign w:val="bottom"/>
          </w:tcPr>
          <w:p w14:paraId="2DCE0965" w14:textId="3237E65B" w:rsidR="00CB3F8F" w:rsidRPr="413EB596" w:rsidRDefault="003A6E0B" w:rsidP="00CB3F8F">
            <w:pPr>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Set</w:t>
            </w:r>
            <w:r w:rsidR="00FB252F">
              <w:rPr>
                <w:rFonts w:eastAsia="Times New Roman" w:cs="Arial"/>
                <w:color w:val="000000" w:themeColor="text1"/>
                <w:sz w:val="20"/>
                <w:szCs w:val="20"/>
                <w:lang w:eastAsia="en-AU"/>
              </w:rPr>
              <w:t>-</w:t>
            </w:r>
            <w:r>
              <w:rPr>
                <w:rFonts w:eastAsia="Times New Roman" w:cs="Arial"/>
                <w:color w:val="000000" w:themeColor="text1"/>
                <w:sz w:val="20"/>
                <w:szCs w:val="20"/>
                <w:lang w:eastAsia="en-AU"/>
              </w:rPr>
              <w:t>off of deferred tax assets</w:t>
            </w:r>
          </w:p>
        </w:tc>
        <w:tc>
          <w:tcPr>
            <w:tcW w:w="747" w:type="pct"/>
            <w:tcBorders>
              <w:bottom w:val="single" w:sz="4" w:space="0" w:color="auto"/>
            </w:tcBorders>
            <w:vAlign w:val="bottom"/>
          </w:tcPr>
          <w:p w14:paraId="544B3FBB" w14:textId="5AD0AD42" w:rsidR="00CB3F8F" w:rsidRDefault="003A6E0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19,470</w:t>
            </w:r>
          </w:p>
        </w:tc>
        <w:tc>
          <w:tcPr>
            <w:tcW w:w="746" w:type="pct"/>
            <w:tcBorders>
              <w:bottom w:val="single" w:sz="4" w:space="0" w:color="auto"/>
            </w:tcBorders>
            <w:noWrap/>
            <w:vAlign w:val="bottom"/>
          </w:tcPr>
          <w:p w14:paraId="65D8D32E" w14:textId="364ABFAF" w:rsidR="00CB3F8F" w:rsidRDefault="003A6E0B" w:rsidP="00A50760">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A50760" w:rsidRPr="0073009A" w14:paraId="1C75E22A" w14:textId="77777777" w:rsidTr="00AA3AC5">
        <w:tc>
          <w:tcPr>
            <w:tcW w:w="3507" w:type="pct"/>
            <w:tcBorders>
              <w:bottom w:val="nil"/>
            </w:tcBorders>
            <w:noWrap/>
            <w:vAlign w:val="bottom"/>
          </w:tcPr>
          <w:p w14:paraId="4C89C6DF" w14:textId="2CA90518" w:rsidR="006D3787" w:rsidRDefault="006D3787" w:rsidP="00A50760">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Net deferred tax liabilities</w:t>
            </w:r>
          </w:p>
        </w:tc>
        <w:tc>
          <w:tcPr>
            <w:tcW w:w="747" w:type="pct"/>
            <w:tcBorders>
              <w:top w:val="single" w:sz="4" w:space="0" w:color="auto"/>
              <w:bottom w:val="double" w:sz="4" w:space="0" w:color="auto"/>
            </w:tcBorders>
            <w:vAlign w:val="bottom"/>
          </w:tcPr>
          <w:p w14:paraId="3257EF86" w14:textId="6C3FFA3C" w:rsidR="006D3787" w:rsidRDefault="003539FB" w:rsidP="00A50760">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(5,013)</w:t>
            </w:r>
          </w:p>
        </w:tc>
        <w:tc>
          <w:tcPr>
            <w:tcW w:w="746" w:type="pct"/>
            <w:tcBorders>
              <w:top w:val="single" w:sz="4" w:space="0" w:color="auto"/>
              <w:bottom w:val="double" w:sz="4" w:space="0" w:color="auto"/>
            </w:tcBorders>
            <w:noWrap/>
            <w:vAlign w:val="bottom"/>
          </w:tcPr>
          <w:p w14:paraId="728CBE85" w14:textId="1F910835" w:rsidR="006D3787" w:rsidRDefault="003539FB" w:rsidP="00A50760">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w:t>
            </w:r>
          </w:p>
        </w:tc>
      </w:tr>
      <w:tr w:rsidR="00A50760" w:rsidRPr="0073009A" w14:paraId="52D36B4B" w14:textId="77777777" w:rsidTr="00AA3AC5">
        <w:tc>
          <w:tcPr>
            <w:tcW w:w="3507" w:type="pct"/>
            <w:tcBorders>
              <w:bottom w:val="nil"/>
            </w:tcBorders>
            <w:noWrap/>
            <w:vAlign w:val="bottom"/>
          </w:tcPr>
          <w:p w14:paraId="54C788FD" w14:textId="77777777" w:rsidR="00A50760" w:rsidRPr="413EB596" w:rsidRDefault="00A50760" w:rsidP="413EB596">
            <w:pPr>
              <w:spacing w:after="0" w:line="240" w:lineRule="auto"/>
              <w:rPr>
                <w:rFonts w:eastAsia="Times New Roman" w:cs="Arial"/>
                <w:b/>
                <w:bCs/>
                <w:color w:val="000000" w:themeColor="text1"/>
                <w:sz w:val="20"/>
                <w:szCs w:val="20"/>
                <w:lang w:eastAsia="en-AU"/>
              </w:rPr>
            </w:pPr>
          </w:p>
        </w:tc>
        <w:tc>
          <w:tcPr>
            <w:tcW w:w="747" w:type="pct"/>
            <w:tcBorders>
              <w:top w:val="double" w:sz="4" w:space="0" w:color="auto"/>
              <w:bottom w:val="nil"/>
            </w:tcBorders>
            <w:vAlign w:val="bottom"/>
          </w:tcPr>
          <w:p w14:paraId="05DF272F" w14:textId="77777777" w:rsidR="00A50760" w:rsidRPr="413EB596" w:rsidRDefault="00A50760" w:rsidP="00A50760">
            <w:pPr>
              <w:tabs>
                <w:tab w:val="decimal" w:pos="1020"/>
              </w:tabs>
              <w:spacing w:after="0" w:line="240" w:lineRule="auto"/>
              <w:rPr>
                <w:rFonts w:eastAsia="Times New Roman" w:cs="Arial"/>
                <w:b/>
                <w:bCs/>
                <w:color w:val="000000" w:themeColor="text1"/>
                <w:sz w:val="20"/>
                <w:szCs w:val="20"/>
                <w:lang w:eastAsia="en-AU"/>
              </w:rPr>
            </w:pPr>
          </w:p>
        </w:tc>
        <w:tc>
          <w:tcPr>
            <w:tcW w:w="746" w:type="pct"/>
            <w:tcBorders>
              <w:top w:val="double" w:sz="4" w:space="0" w:color="auto"/>
              <w:bottom w:val="nil"/>
            </w:tcBorders>
            <w:noWrap/>
            <w:vAlign w:val="bottom"/>
          </w:tcPr>
          <w:p w14:paraId="5CEEDE4F" w14:textId="77777777" w:rsidR="00A50760" w:rsidRDefault="00A50760" w:rsidP="00A50760">
            <w:pPr>
              <w:tabs>
                <w:tab w:val="decimal" w:pos="1020"/>
              </w:tabs>
              <w:spacing w:after="0" w:line="240" w:lineRule="auto"/>
              <w:rPr>
                <w:rFonts w:eastAsia="Times New Roman" w:cs="Arial"/>
                <w:b/>
                <w:bCs/>
                <w:color w:val="000000" w:themeColor="text1"/>
                <w:sz w:val="20"/>
                <w:szCs w:val="20"/>
                <w:lang w:eastAsia="en-AU"/>
              </w:rPr>
            </w:pPr>
          </w:p>
        </w:tc>
      </w:tr>
    </w:tbl>
    <w:p w14:paraId="40083081" w14:textId="6F6ABBD5" w:rsidR="00650186" w:rsidRDefault="00650186" w:rsidP="413EB596">
      <w:pPr>
        <w:pStyle w:val="BodyText"/>
        <w:rPr>
          <w:highlight w:val="yellow"/>
          <w:lang w:val="en-AU"/>
        </w:rPr>
      </w:pPr>
    </w:p>
    <w:tbl>
      <w:tblPr>
        <w:tblW w:w="5000" w:type="pct"/>
        <w:tblBorders>
          <w:bottom w:val="doub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331"/>
        <w:gridCol w:w="1348"/>
        <w:gridCol w:w="1347"/>
      </w:tblGrid>
      <w:tr w:rsidR="00650186" w:rsidRPr="0073009A" w14:paraId="5C5BA53D" w14:textId="77777777" w:rsidTr="0075264E">
        <w:tc>
          <w:tcPr>
            <w:tcW w:w="3507" w:type="pct"/>
            <w:noWrap/>
            <w:vAlign w:val="bottom"/>
          </w:tcPr>
          <w:p w14:paraId="4AC759DA" w14:textId="77777777" w:rsidR="00650186" w:rsidRPr="00A50760" w:rsidRDefault="00650186" w:rsidP="0075264E">
            <w:pPr>
              <w:spacing w:after="0" w:line="240" w:lineRule="auto"/>
              <w:rPr>
                <w:rFonts w:eastAsia="Times New Roman" w:cs="Arial"/>
                <w:b/>
                <w:bCs/>
                <w:i/>
                <w:iCs/>
                <w:color w:val="000000" w:themeColor="text1"/>
                <w:sz w:val="20"/>
                <w:szCs w:val="20"/>
                <w:lang w:eastAsia="en-AU"/>
              </w:rPr>
            </w:pPr>
            <w:r w:rsidRPr="00A50760">
              <w:rPr>
                <w:rFonts w:eastAsia="Times New Roman" w:cs="Arial"/>
                <w:b/>
                <w:bCs/>
                <w:i/>
                <w:iCs/>
                <w:color w:val="000000" w:themeColor="text1"/>
                <w:sz w:val="20"/>
                <w:szCs w:val="20"/>
                <w:lang w:eastAsia="en-AU"/>
              </w:rPr>
              <w:t>Movement in deferred taxes</w:t>
            </w:r>
          </w:p>
        </w:tc>
        <w:tc>
          <w:tcPr>
            <w:tcW w:w="747" w:type="pct"/>
            <w:tcBorders>
              <w:top w:val="nil"/>
              <w:bottom w:val="nil"/>
            </w:tcBorders>
            <w:vAlign w:val="bottom"/>
          </w:tcPr>
          <w:p w14:paraId="5CCEE20D" w14:textId="77777777" w:rsidR="00650186" w:rsidRPr="413EB596" w:rsidRDefault="00650186" w:rsidP="0075264E">
            <w:pPr>
              <w:tabs>
                <w:tab w:val="decimal" w:pos="1020"/>
              </w:tabs>
              <w:spacing w:after="0" w:line="240" w:lineRule="auto"/>
              <w:rPr>
                <w:rFonts w:eastAsia="Times New Roman" w:cs="Arial"/>
                <w:b/>
                <w:bCs/>
                <w:color w:val="000000" w:themeColor="text1"/>
                <w:sz w:val="20"/>
                <w:szCs w:val="20"/>
                <w:lang w:eastAsia="en-AU"/>
              </w:rPr>
            </w:pPr>
          </w:p>
        </w:tc>
        <w:tc>
          <w:tcPr>
            <w:tcW w:w="746" w:type="pct"/>
            <w:tcBorders>
              <w:top w:val="nil"/>
              <w:bottom w:val="nil"/>
            </w:tcBorders>
            <w:noWrap/>
            <w:vAlign w:val="bottom"/>
          </w:tcPr>
          <w:p w14:paraId="07C2EF1B" w14:textId="77777777" w:rsidR="00650186" w:rsidRDefault="00650186" w:rsidP="0075264E">
            <w:pPr>
              <w:tabs>
                <w:tab w:val="decimal" w:pos="1020"/>
              </w:tabs>
              <w:spacing w:after="0" w:line="240" w:lineRule="auto"/>
              <w:rPr>
                <w:rFonts w:eastAsia="Times New Roman" w:cs="Arial"/>
                <w:b/>
                <w:bCs/>
                <w:color w:val="000000" w:themeColor="text1"/>
                <w:sz w:val="20"/>
                <w:szCs w:val="20"/>
                <w:lang w:eastAsia="en-AU"/>
              </w:rPr>
            </w:pPr>
          </w:p>
        </w:tc>
      </w:tr>
      <w:tr w:rsidR="00650186" w:rsidRPr="0073009A" w14:paraId="3186F3A8" w14:textId="77777777" w:rsidTr="0075264E">
        <w:tc>
          <w:tcPr>
            <w:tcW w:w="3507" w:type="pct"/>
            <w:noWrap/>
            <w:vAlign w:val="bottom"/>
          </w:tcPr>
          <w:p w14:paraId="42DF0B79" w14:textId="77777777" w:rsidR="00650186" w:rsidRPr="00A50760" w:rsidRDefault="00650186"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Opening net deferred tax assets/(liabilities)</w:t>
            </w:r>
          </w:p>
        </w:tc>
        <w:tc>
          <w:tcPr>
            <w:tcW w:w="747" w:type="pct"/>
            <w:tcBorders>
              <w:top w:val="nil"/>
              <w:bottom w:val="nil"/>
            </w:tcBorders>
            <w:vAlign w:val="bottom"/>
          </w:tcPr>
          <w:p w14:paraId="01C7F388"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c>
          <w:tcPr>
            <w:tcW w:w="746" w:type="pct"/>
            <w:tcBorders>
              <w:top w:val="nil"/>
              <w:bottom w:val="nil"/>
            </w:tcBorders>
            <w:noWrap/>
            <w:vAlign w:val="bottom"/>
          </w:tcPr>
          <w:p w14:paraId="6ED66253"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650186" w:rsidRPr="0073009A" w14:paraId="050FF5A4" w14:textId="77777777" w:rsidTr="0075264E">
        <w:tc>
          <w:tcPr>
            <w:tcW w:w="3507" w:type="pct"/>
            <w:noWrap/>
            <w:vAlign w:val="bottom"/>
          </w:tcPr>
          <w:p w14:paraId="213E34FF" w14:textId="77777777" w:rsidR="00650186" w:rsidRPr="00A50760" w:rsidRDefault="00650186"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Charged to the statement of profit or loss</w:t>
            </w:r>
          </w:p>
        </w:tc>
        <w:tc>
          <w:tcPr>
            <w:tcW w:w="747" w:type="pct"/>
            <w:tcBorders>
              <w:top w:val="nil"/>
              <w:bottom w:val="nil"/>
            </w:tcBorders>
            <w:vAlign w:val="bottom"/>
          </w:tcPr>
          <w:p w14:paraId="6A83E09E"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(5,239)</w:t>
            </w:r>
          </w:p>
        </w:tc>
        <w:tc>
          <w:tcPr>
            <w:tcW w:w="746" w:type="pct"/>
            <w:tcBorders>
              <w:top w:val="nil"/>
              <w:bottom w:val="nil"/>
            </w:tcBorders>
            <w:noWrap/>
            <w:vAlign w:val="bottom"/>
          </w:tcPr>
          <w:p w14:paraId="604D0043"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650186" w:rsidRPr="0073009A" w14:paraId="1C401F3B" w14:textId="77777777" w:rsidTr="0075264E">
        <w:tc>
          <w:tcPr>
            <w:tcW w:w="3507" w:type="pct"/>
            <w:noWrap/>
            <w:vAlign w:val="bottom"/>
          </w:tcPr>
          <w:p w14:paraId="504F4C40" w14:textId="77777777" w:rsidR="00650186" w:rsidRPr="00A50760" w:rsidRDefault="00650186"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Charged to equity</w:t>
            </w:r>
          </w:p>
        </w:tc>
        <w:tc>
          <w:tcPr>
            <w:tcW w:w="747" w:type="pct"/>
            <w:tcBorders>
              <w:top w:val="nil"/>
              <w:bottom w:val="single" w:sz="4" w:space="0" w:color="auto"/>
            </w:tcBorders>
            <w:vAlign w:val="bottom"/>
          </w:tcPr>
          <w:p w14:paraId="0D2D0B85"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226</w:t>
            </w:r>
          </w:p>
        </w:tc>
        <w:tc>
          <w:tcPr>
            <w:tcW w:w="746" w:type="pct"/>
            <w:tcBorders>
              <w:top w:val="nil"/>
              <w:bottom w:val="single" w:sz="4" w:space="0" w:color="auto"/>
            </w:tcBorders>
            <w:noWrap/>
            <w:vAlign w:val="bottom"/>
          </w:tcPr>
          <w:p w14:paraId="141F9FBF" w14:textId="77777777" w:rsidR="00650186" w:rsidRPr="00A50760" w:rsidRDefault="00650186"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650186" w:rsidRPr="0073009A" w14:paraId="181B3C40" w14:textId="77777777" w:rsidTr="0075264E">
        <w:tc>
          <w:tcPr>
            <w:tcW w:w="3507" w:type="pct"/>
            <w:tcBorders>
              <w:bottom w:val="nil"/>
            </w:tcBorders>
            <w:noWrap/>
            <w:vAlign w:val="bottom"/>
          </w:tcPr>
          <w:p w14:paraId="62FAE0CA" w14:textId="77777777" w:rsidR="00650186" w:rsidRPr="413EB596" w:rsidRDefault="00650186" w:rsidP="0075264E">
            <w:pPr>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Closing net deferred tax liabilities</w:t>
            </w:r>
          </w:p>
        </w:tc>
        <w:tc>
          <w:tcPr>
            <w:tcW w:w="747" w:type="pct"/>
            <w:tcBorders>
              <w:top w:val="single" w:sz="4" w:space="0" w:color="auto"/>
              <w:bottom w:val="double" w:sz="4" w:space="0" w:color="auto"/>
            </w:tcBorders>
            <w:vAlign w:val="bottom"/>
          </w:tcPr>
          <w:p w14:paraId="4D8E94BA" w14:textId="77777777" w:rsidR="00650186" w:rsidRPr="413EB596" w:rsidRDefault="00650186"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(5,013)</w:t>
            </w:r>
          </w:p>
        </w:tc>
        <w:tc>
          <w:tcPr>
            <w:tcW w:w="746" w:type="pct"/>
            <w:tcBorders>
              <w:top w:val="single" w:sz="4" w:space="0" w:color="auto"/>
              <w:bottom w:val="double" w:sz="4" w:space="0" w:color="auto"/>
            </w:tcBorders>
            <w:noWrap/>
            <w:vAlign w:val="bottom"/>
          </w:tcPr>
          <w:p w14:paraId="71EC7A42" w14:textId="77777777" w:rsidR="00650186" w:rsidRDefault="00650186"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p>
        </w:tc>
      </w:tr>
    </w:tbl>
    <w:p w14:paraId="5B2AE064" w14:textId="48F67D7D" w:rsidR="007B6B67" w:rsidRDefault="007B6B67" w:rsidP="413EB596">
      <w:pPr>
        <w:pStyle w:val="BodyText"/>
        <w:rPr>
          <w:highlight w:val="yellow"/>
          <w:lang w:val="en-AU"/>
        </w:rPr>
      </w:pPr>
    </w:p>
    <w:p w14:paraId="33390CA3" w14:textId="77777777" w:rsidR="007B6B67" w:rsidRDefault="007B6B67">
      <w:pPr>
        <w:rPr>
          <w:rFonts w:eastAsia="Arial" w:cs="Arial"/>
          <w:sz w:val="20"/>
          <w:szCs w:val="20"/>
          <w:highlight w:val="yellow"/>
        </w:rPr>
      </w:pPr>
      <w:r>
        <w:rPr>
          <w:highlight w:val="yellow"/>
        </w:rPr>
        <w:br w:type="page"/>
      </w:r>
    </w:p>
    <w:p w14:paraId="7EEC43EB" w14:textId="77777777" w:rsidR="002B1EBF" w:rsidRPr="00F65403" w:rsidRDefault="002B1EBF" w:rsidP="413EB596">
      <w:pPr>
        <w:pStyle w:val="BodyText"/>
        <w:rPr>
          <w:highlight w:val="yellow"/>
          <w:lang w:val="en-AU"/>
        </w:rPr>
      </w:pPr>
    </w:p>
    <w:p w14:paraId="149477A0" w14:textId="2BCF13F1" w:rsidR="003539FB" w:rsidRPr="009D3AA5" w:rsidRDefault="003539FB" w:rsidP="001513B5">
      <w:pPr>
        <w:pStyle w:val="Heading8"/>
        <w:tabs>
          <w:tab w:val="clear" w:pos="357"/>
          <w:tab w:val="left" w:pos="284"/>
        </w:tabs>
        <w:ind w:left="284" w:hanging="284"/>
        <w:rPr>
          <w:rFonts w:eastAsia="Arial" w:cs="Arial"/>
          <w:szCs w:val="20"/>
        </w:rPr>
      </w:pPr>
      <w:r w:rsidRPr="009D3AA5">
        <w:rPr>
          <w:rFonts w:eastAsia="Arial" w:cs="Arial"/>
          <w:szCs w:val="20"/>
        </w:rPr>
        <w:t>v. Significant judgement</w:t>
      </w:r>
      <w:r w:rsidR="008A3695" w:rsidRPr="009D3AA5">
        <w:rPr>
          <w:rFonts w:eastAsia="Arial" w:cs="Arial"/>
          <w:szCs w:val="20"/>
        </w:rPr>
        <w:t>s</w:t>
      </w:r>
    </w:p>
    <w:p w14:paraId="39B04A2C" w14:textId="06674711" w:rsidR="007F58DB" w:rsidRDefault="007F58DB" w:rsidP="007F58DB">
      <w:pPr>
        <w:pStyle w:val="BodyText"/>
        <w:rPr>
          <w:lang w:val="en-AU"/>
        </w:rPr>
      </w:pPr>
      <w:r w:rsidRPr="00BE52F0">
        <w:rPr>
          <w:lang w:val="en-AU"/>
        </w:rPr>
        <w:t>The Group recogn</w:t>
      </w:r>
      <w:r>
        <w:rPr>
          <w:lang w:val="en-AU"/>
        </w:rPr>
        <w:t>ises a deferred tax asset relating to tax losses. The recoverability of this deferred tax asset is dependent on the generation of sufficient taxable income to utilise those tax losses. Management judgements and esti</w:t>
      </w:r>
      <w:r w:rsidR="001650C6">
        <w:rPr>
          <w:lang w:val="en-AU"/>
        </w:rPr>
        <w:t xml:space="preserve">mates are required in the assessment of this recoverability, including forecasting </w:t>
      </w:r>
      <w:r w:rsidR="00DB6CFF">
        <w:rPr>
          <w:lang w:val="en-AU"/>
        </w:rPr>
        <w:t>sufficient future taxable income.</w:t>
      </w:r>
    </w:p>
    <w:p w14:paraId="2E6FF5E3" w14:textId="77777777" w:rsidR="008A3695" w:rsidRDefault="008A3695" w:rsidP="007F58DB">
      <w:pPr>
        <w:pStyle w:val="BodyText"/>
      </w:pPr>
    </w:p>
    <w:p w14:paraId="3106BD10" w14:textId="732EB65B" w:rsidR="00027D53" w:rsidRPr="00BD3F4E" w:rsidRDefault="00A8116B" w:rsidP="001513B5">
      <w:pPr>
        <w:pStyle w:val="BodyText"/>
        <w:rPr>
          <w:rFonts w:eastAsiaTheme="majorEastAsia"/>
          <w:szCs w:val="24"/>
        </w:rPr>
      </w:pPr>
      <w:r>
        <w:t>The accounting carrying value of the Group’s investment in MREH is significantly lower than the tax cost base, primarily as a result of the equity accounted share of accumulated losses to date</w:t>
      </w:r>
      <w:r w:rsidR="005E5D0F">
        <w:t xml:space="preserve">. </w:t>
      </w:r>
      <w:r w:rsidR="00964E95">
        <w:t xml:space="preserve">The resulting temporary difference </w:t>
      </w:r>
      <w:r w:rsidR="00FB01A2">
        <w:t>for which a</w:t>
      </w:r>
      <w:r w:rsidR="008A3695">
        <w:t xml:space="preserve"> deferred tax </w:t>
      </w:r>
      <w:r w:rsidR="00220C67">
        <w:t>asset</w:t>
      </w:r>
      <w:r w:rsidR="008A3695">
        <w:t xml:space="preserve"> has not been </w:t>
      </w:r>
      <w:r w:rsidR="00091FD3">
        <w:t>recognised</w:t>
      </w:r>
      <w:r w:rsidR="00551770">
        <w:t xml:space="preserve"> total</w:t>
      </w:r>
      <w:r w:rsidR="00FB01A2">
        <w:t>s</w:t>
      </w:r>
      <w:r w:rsidR="00551770">
        <w:t xml:space="preserve"> $</w:t>
      </w:r>
      <w:r w:rsidR="008545AC">
        <w:t>4,782,000</w:t>
      </w:r>
      <w:r w:rsidR="00FB01A2">
        <w:t xml:space="preserve"> (2024: nil)</w:t>
      </w:r>
      <w:r w:rsidR="00650E53">
        <w:t>.</w:t>
      </w:r>
      <w:r w:rsidR="001D2820">
        <w:t xml:space="preserve"> </w:t>
      </w:r>
      <w:r w:rsidR="00BE52F0">
        <w:t>Management judgment is that i</w:t>
      </w:r>
      <w:r w:rsidR="00A54C1A">
        <w:t>t is not yet probabl</w:t>
      </w:r>
      <w:r w:rsidR="00DE5314">
        <w:t>e that the temporary difference will reverse in the foreseeable future.</w:t>
      </w:r>
      <w:r w:rsidR="00B41FBA">
        <w:br/>
      </w:r>
    </w:p>
    <w:p w14:paraId="232B8440" w14:textId="5FD061EC" w:rsidR="00620321" w:rsidRPr="00F65403" w:rsidRDefault="00497021" w:rsidP="003E264D">
      <w:pPr>
        <w:pStyle w:val="Heading7"/>
      </w:pPr>
      <w:r w:rsidRPr="00F65403">
        <w:t>Controlled entities</w:t>
      </w:r>
    </w:p>
    <w:p w14:paraId="577D5AE6" w14:textId="6C2B1741" w:rsidR="00620321" w:rsidRPr="00F65403" w:rsidRDefault="00620321" w:rsidP="002B1EBF">
      <w:pPr>
        <w:pStyle w:val="BodyText"/>
        <w:rPr>
          <w:lang w:val="en-AU"/>
        </w:rPr>
      </w:pPr>
      <w:r w:rsidRPr="00F65403">
        <w:rPr>
          <w:lang w:val="en-AU"/>
        </w:rPr>
        <w:t xml:space="preserve">The </w:t>
      </w:r>
      <w:r w:rsidR="00C70909" w:rsidRPr="00F65403">
        <w:rPr>
          <w:lang w:val="en-AU"/>
        </w:rPr>
        <w:t xml:space="preserve">consolidated financial statements of the </w:t>
      </w:r>
      <w:r w:rsidRPr="00F65403">
        <w:rPr>
          <w:lang w:val="en-AU"/>
        </w:rPr>
        <w:t>Group</w:t>
      </w:r>
      <w:r w:rsidR="00C70909" w:rsidRPr="00F65403">
        <w:rPr>
          <w:lang w:val="en-AU"/>
        </w:rPr>
        <w:t xml:space="preserve"> include: </w:t>
      </w:r>
    </w:p>
    <w:p w14:paraId="28012AC1" w14:textId="77777777" w:rsidR="002B1EBF" w:rsidRPr="00F65403" w:rsidRDefault="002B1EBF" w:rsidP="002B1EBF">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1986"/>
        <w:gridCol w:w="2834"/>
        <w:gridCol w:w="1560"/>
        <w:gridCol w:w="1323"/>
        <w:gridCol w:w="1323"/>
      </w:tblGrid>
      <w:tr w:rsidR="00CF37E4" w:rsidRPr="00B46905" w14:paraId="7079B403" w14:textId="77777777" w:rsidTr="413EB596">
        <w:tc>
          <w:tcPr>
            <w:tcW w:w="1100" w:type="pct"/>
            <w:vMerge w:val="restart"/>
            <w:tcBorders>
              <w:top w:val="nil"/>
              <w:left w:val="nil"/>
              <w:right w:val="nil"/>
            </w:tcBorders>
            <w:vAlign w:val="center"/>
            <w:hideMark/>
          </w:tcPr>
          <w:p w14:paraId="0F1C9C65" w14:textId="77777777" w:rsidR="00CF37E4" w:rsidRPr="00F65403" w:rsidRDefault="00CF37E4">
            <w:pPr>
              <w:spacing w:after="0" w:line="240" w:lineRule="auto"/>
              <w:rPr>
                <w:rFonts w:eastAsia="Times New Roman" w:cs="Arial"/>
                <w:b/>
                <w:color w:val="000000"/>
                <w:sz w:val="20"/>
                <w:szCs w:val="20"/>
                <w:lang w:eastAsia="en-AU"/>
              </w:rPr>
            </w:pPr>
            <w:r w:rsidRPr="00F65403">
              <w:rPr>
                <w:rFonts w:eastAsia="Times New Roman" w:cs="Arial"/>
                <w:b/>
                <w:sz w:val="20"/>
                <w:szCs w:val="20"/>
                <w:lang w:eastAsia="en-AU"/>
              </w:rPr>
              <w:t>Name of entity</w:t>
            </w:r>
            <w:r w:rsidRPr="00F65403">
              <w:rPr>
                <w:rFonts w:eastAsia="Times New Roman" w:cs="Arial"/>
                <w:color w:val="000000"/>
                <w:sz w:val="20"/>
                <w:szCs w:val="20"/>
                <w:lang w:eastAsia="en-AU"/>
              </w:rPr>
              <w:t> </w:t>
            </w:r>
          </w:p>
        </w:tc>
        <w:tc>
          <w:tcPr>
            <w:tcW w:w="1570" w:type="pct"/>
            <w:vMerge w:val="restart"/>
            <w:tcBorders>
              <w:top w:val="nil"/>
              <w:left w:val="nil"/>
              <w:right w:val="nil"/>
            </w:tcBorders>
            <w:vAlign w:val="center"/>
          </w:tcPr>
          <w:p w14:paraId="38499F2C" w14:textId="63C36D1A" w:rsidR="00CF37E4" w:rsidRPr="00F65403" w:rsidRDefault="00CF37E4" w:rsidP="00B94E93">
            <w:pPr>
              <w:spacing w:after="0" w:line="240" w:lineRule="auto"/>
              <w:rPr>
                <w:rFonts w:eastAsia="Times New Roman" w:cs="Arial"/>
                <w:b/>
                <w:sz w:val="20"/>
                <w:szCs w:val="20"/>
                <w:lang w:eastAsia="en-AU"/>
              </w:rPr>
            </w:pPr>
            <w:r w:rsidRPr="00F65403">
              <w:rPr>
                <w:rFonts w:eastAsia="Times New Roman" w:cs="Arial"/>
                <w:b/>
                <w:sz w:val="20"/>
                <w:szCs w:val="20"/>
                <w:lang w:eastAsia="en-AU"/>
              </w:rPr>
              <w:t>Principal activities</w:t>
            </w:r>
          </w:p>
        </w:tc>
        <w:tc>
          <w:tcPr>
            <w:tcW w:w="864" w:type="pct"/>
            <w:vMerge w:val="restart"/>
            <w:tcBorders>
              <w:top w:val="nil"/>
              <w:left w:val="nil"/>
              <w:right w:val="nil"/>
            </w:tcBorders>
            <w:vAlign w:val="center"/>
            <w:hideMark/>
          </w:tcPr>
          <w:p w14:paraId="57A88CE2" w14:textId="583F6512" w:rsidR="00CF37E4" w:rsidRPr="00F65403" w:rsidRDefault="00CF37E4" w:rsidP="00CF37E4">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Country of incorporation</w:t>
            </w:r>
            <w:r w:rsidR="002E15AF">
              <w:rPr>
                <w:rFonts w:eastAsia="Times New Roman" w:cs="Arial"/>
                <w:b/>
                <w:sz w:val="20"/>
                <w:szCs w:val="20"/>
                <w:lang w:eastAsia="en-AU"/>
              </w:rPr>
              <w:t>*</w:t>
            </w:r>
          </w:p>
        </w:tc>
        <w:tc>
          <w:tcPr>
            <w:tcW w:w="1466" w:type="pct"/>
            <w:gridSpan w:val="2"/>
            <w:tcBorders>
              <w:top w:val="nil"/>
              <w:left w:val="nil"/>
              <w:bottom w:val="nil"/>
              <w:right w:val="nil"/>
            </w:tcBorders>
            <w:vAlign w:val="center"/>
            <w:hideMark/>
          </w:tcPr>
          <w:p w14:paraId="21CDD539" w14:textId="04C73F4B" w:rsidR="00CF37E4" w:rsidRPr="00F65403" w:rsidRDefault="00CF37E4" w:rsidP="00CF37E4">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Ownership interest</w:t>
            </w:r>
          </w:p>
        </w:tc>
      </w:tr>
      <w:tr w:rsidR="00CF37E4" w:rsidRPr="00B46905" w14:paraId="1BFECF2B" w14:textId="77777777" w:rsidTr="413EB596">
        <w:tc>
          <w:tcPr>
            <w:tcW w:w="1100" w:type="pct"/>
            <w:vMerge/>
            <w:vAlign w:val="center"/>
          </w:tcPr>
          <w:p w14:paraId="7D1360B4" w14:textId="77777777" w:rsidR="00CF37E4" w:rsidRPr="00F65403" w:rsidRDefault="00CF37E4">
            <w:pPr>
              <w:spacing w:after="0" w:line="240" w:lineRule="auto"/>
              <w:rPr>
                <w:rFonts w:eastAsia="Times New Roman" w:cs="Arial"/>
                <w:b/>
                <w:sz w:val="20"/>
                <w:szCs w:val="20"/>
                <w:lang w:eastAsia="en-AU"/>
              </w:rPr>
            </w:pPr>
          </w:p>
        </w:tc>
        <w:tc>
          <w:tcPr>
            <w:tcW w:w="1570" w:type="pct"/>
            <w:vMerge/>
          </w:tcPr>
          <w:p w14:paraId="2ADDBC21" w14:textId="77777777" w:rsidR="00CF37E4" w:rsidRPr="00F65403" w:rsidRDefault="00CF37E4" w:rsidP="009B5019">
            <w:pPr>
              <w:spacing w:after="0" w:line="240" w:lineRule="auto"/>
              <w:jc w:val="center"/>
              <w:rPr>
                <w:rFonts w:eastAsia="Times New Roman" w:cs="Arial"/>
                <w:b/>
                <w:sz w:val="20"/>
                <w:szCs w:val="20"/>
                <w:lang w:eastAsia="en-AU"/>
              </w:rPr>
            </w:pPr>
          </w:p>
        </w:tc>
        <w:tc>
          <w:tcPr>
            <w:tcW w:w="864" w:type="pct"/>
            <w:vMerge/>
            <w:vAlign w:val="center"/>
          </w:tcPr>
          <w:p w14:paraId="6B71D9D1" w14:textId="66D8EBDF" w:rsidR="00CF37E4" w:rsidRPr="00F65403" w:rsidRDefault="00CF37E4" w:rsidP="009B5019">
            <w:pPr>
              <w:spacing w:after="0" w:line="240" w:lineRule="auto"/>
              <w:jc w:val="center"/>
              <w:rPr>
                <w:rFonts w:eastAsia="Times New Roman" w:cs="Arial"/>
                <w:b/>
                <w:sz w:val="20"/>
                <w:szCs w:val="20"/>
                <w:lang w:eastAsia="en-AU"/>
              </w:rPr>
            </w:pPr>
          </w:p>
        </w:tc>
        <w:tc>
          <w:tcPr>
            <w:tcW w:w="733" w:type="pct"/>
            <w:tcBorders>
              <w:top w:val="nil"/>
              <w:left w:val="nil"/>
              <w:bottom w:val="nil"/>
              <w:right w:val="nil"/>
            </w:tcBorders>
            <w:vAlign w:val="center"/>
          </w:tcPr>
          <w:p w14:paraId="09BE0DA8" w14:textId="79052415" w:rsidR="00CF37E4" w:rsidRPr="00F65403" w:rsidRDefault="00CF37E4" w:rsidP="009B5019">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2025</w:t>
            </w:r>
          </w:p>
        </w:tc>
        <w:tc>
          <w:tcPr>
            <w:tcW w:w="733" w:type="pct"/>
            <w:tcBorders>
              <w:top w:val="nil"/>
              <w:left w:val="nil"/>
              <w:bottom w:val="nil"/>
              <w:right w:val="nil"/>
            </w:tcBorders>
            <w:vAlign w:val="center"/>
          </w:tcPr>
          <w:p w14:paraId="5B1E9AB4" w14:textId="648B474F" w:rsidR="00CF37E4" w:rsidRPr="00F65403" w:rsidDel="007751AA" w:rsidRDefault="00CF37E4" w:rsidP="00B94E93">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2024</w:t>
            </w:r>
          </w:p>
        </w:tc>
      </w:tr>
      <w:tr w:rsidR="00CF37E4" w:rsidRPr="00B46905" w14:paraId="0ED97F83" w14:textId="77777777" w:rsidTr="413EB596">
        <w:tc>
          <w:tcPr>
            <w:tcW w:w="1100" w:type="pct"/>
            <w:tcBorders>
              <w:top w:val="nil"/>
              <w:left w:val="nil"/>
              <w:bottom w:val="nil"/>
              <w:right w:val="nil"/>
            </w:tcBorders>
            <w:hideMark/>
          </w:tcPr>
          <w:p w14:paraId="07FBBBCC" w14:textId="77777777" w:rsidR="00CF37E4" w:rsidRPr="00F65403" w:rsidRDefault="00CF37E4" w:rsidP="00B4690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SEC Energy Pty Ltd </w:t>
            </w:r>
          </w:p>
        </w:tc>
        <w:tc>
          <w:tcPr>
            <w:tcW w:w="1570" w:type="pct"/>
            <w:tcBorders>
              <w:top w:val="nil"/>
              <w:left w:val="nil"/>
              <w:bottom w:val="nil"/>
              <w:right w:val="nil"/>
            </w:tcBorders>
          </w:tcPr>
          <w:p w14:paraId="08045D3C" w14:textId="535B06F1" w:rsidR="00CF37E4" w:rsidRPr="00F65403" w:rsidRDefault="00CF37E4" w:rsidP="00B46905">
            <w:pPr>
              <w:spacing w:after="0" w:line="240" w:lineRule="auto"/>
              <w:rPr>
                <w:rFonts w:eastAsia="Times New Roman" w:cs="Arial"/>
                <w:color w:val="000000"/>
                <w:sz w:val="20"/>
                <w:szCs w:val="20"/>
                <w:lang w:eastAsia="en-AU"/>
              </w:rPr>
            </w:pPr>
            <w:r w:rsidRPr="00F65403">
              <w:rPr>
                <w:rFonts w:cs="Arial"/>
                <w:sz w:val="20"/>
                <w:szCs w:val="20"/>
              </w:rPr>
              <w:t>Electricity retailing to Commercial and Industrial (C&amp;I) customers</w:t>
            </w:r>
          </w:p>
        </w:tc>
        <w:tc>
          <w:tcPr>
            <w:tcW w:w="864" w:type="pct"/>
            <w:tcBorders>
              <w:top w:val="nil"/>
              <w:left w:val="nil"/>
              <w:bottom w:val="nil"/>
              <w:right w:val="nil"/>
            </w:tcBorders>
            <w:hideMark/>
          </w:tcPr>
          <w:p w14:paraId="5F603961" w14:textId="16C07715" w:rsidR="00CF37E4" w:rsidRPr="00F65403" w:rsidRDefault="00CF37E4" w:rsidP="005E3A5F">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098627E4" w14:textId="70A50D35" w:rsidR="00CF37E4" w:rsidRPr="00F65403" w:rsidRDefault="00CF37E4" w:rsidP="005E3A5F">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7AB50DA5" w14:textId="6AD3C136" w:rsidR="00CF37E4" w:rsidRPr="00F65403" w:rsidRDefault="003B5E29" w:rsidP="005E3A5F">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r>
      <w:tr w:rsidR="003B5E29" w:rsidRPr="00B46905" w14:paraId="1F49D9D3" w14:textId="77777777" w:rsidTr="413EB596">
        <w:tc>
          <w:tcPr>
            <w:tcW w:w="1100" w:type="pct"/>
            <w:tcBorders>
              <w:top w:val="nil"/>
              <w:left w:val="nil"/>
              <w:bottom w:val="nil"/>
              <w:right w:val="nil"/>
            </w:tcBorders>
            <w:hideMark/>
          </w:tcPr>
          <w:p w14:paraId="48FD6EC6" w14:textId="77777777" w:rsidR="003B5E29" w:rsidRPr="00F65403" w:rsidRDefault="003B5E29" w:rsidP="003B5E2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SEC Infrastructure Pty Ltd </w:t>
            </w:r>
          </w:p>
        </w:tc>
        <w:tc>
          <w:tcPr>
            <w:tcW w:w="1570" w:type="pct"/>
            <w:tcBorders>
              <w:top w:val="nil"/>
              <w:left w:val="nil"/>
              <w:bottom w:val="nil"/>
              <w:right w:val="nil"/>
            </w:tcBorders>
          </w:tcPr>
          <w:p w14:paraId="180B9706" w14:textId="66263187" w:rsidR="003B5E29" w:rsidRPr="00F65403" w:rsidRDefault="003B5E29" w:rsidP="003B5E29">
            <w:pPr>
              <w:spacing w:after="0" w:line="240" w:lineRule="auto"/>
              <w:rPr>
                <w:rFonts w:eastAsia="Times New Roman" w:cs="Arial"/>
                <w:color w:val="000000"/>
                <w:sz w:val="20"/>
                <w:szCs w:val="20"/>
                <w:lang w:eastAsia="en-AU"/>
              </w:rPr>
            </w:pPr>
            <w:r w:rsidRPr="00F65403">
              <w:rPr>
                <w:rFonts w:cs="Arial"/>
                <w:sz w:val="20"/>
                <w:szCs w:val="20"/>
              </w:rPr>
              <w:t>Investment in renewable energy projects in Victoria</w:t>
            </w:r>
          </w:p>
        </w:tc>
        <w:tc>
          <w:tcPr>
            <w:tcW w:w="864" w:type="pct"/>
            <w:tcBorders>
              <w:top w:val="nil"/>
              <w:left w:val="nil"/>
              <w:bottom w:val="nil"/>
              <w:right w:val="nil"/>
            </w:tcBorders>
            <w:hideMark/>
          </w:tcPr>
          <w:p w14:paraId="3D8F85E2" w14:textId="06F8AD62"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461014C7" w14:textId="0D203749"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71FA02C9" w14:textId="58A831D2"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r>
      <w:tr w:rsidR="003B5E29" w:rsidRPr="00B46905" w14:paraId="545DAD2D" w14:textId="77777777" w:rsidTr="413EB596">
        <w:tc>
          <w:tcPr>
            <w:tcW w:w="1100" w:type="pct"/>
            <w:tcBorders>
              <w:top w:val="nil"/>
              <w:left w:val="nil"/>
              <w:bottom w:val="nil"/>
              <w:right w:val="nil"/>
            </w:tcBorders>
            <w:hideMark/>
          </w:tcPr>
          <w:p w14:paraId="6F36306B" w14:textId="77777777" w:rsidR="003B5E29" w:rsidRPr="00F65403" w:rsidRDefault="003B5E29" w:rsidP="003B5E2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Horsham Solar Farm 7 Hold Co Pty Ltd</w:t>
            </w:r>
          </w:p>
        </w:tc>
        <w:tc>
          <w:tcPr>
            <w:tcW w:w="1570" w:type="pct"/>
            <w:tcBorders>
              <w:top w:val="nil"/>
              <w:left w:val="nil"/>
              <w:bottom w:val="nil"/>
              <w:right w:val="nil"/>
            </w:tcBorders>
          </w:tcPr>
          <w:p w14:paraId="6892BD4B" w14:textId="0316701F" w:rsidR="003B5E29" w:rsidRPr="00F65403" w:rsidRDefault="009A0EB5" w:rsidP="003B5E2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Holding company </w:t>
            </w:r>
          </w:p>
        </w:tc>
        <w:tc>
          <w:tcPr>
            <w:tcW w:w="864" w:type="pct"/>
            <w:tcBorders>
              <w:top w:val="nil"/>
              <w:left w:val="nil"/>
              <w:bottom w:val="nil"/>
              <w:right w:val="nil"/>
            </w:tcBorders>
            <w:hideMark/>
          </w:tcPr>
          <w:p w14:paraId="0CEC5EA1" w14:textId="27F5A537"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62F6ED60" w14:textId="15D00394"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35FD6021" w14:textId="478C3335"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3B5E29" w:rsidRPr="00B46905" w14:paraId="778C6CA8" w14:textId="77777777" w:rsidTr="413EB596">
        <w:tc>
          <w:tcPr>
            <w:tcW w:w="1100" w:type="pct"/>
            <w:tcBorders>
              <w:top w:val="nil"/>
              <w:left w:val="nil"/>
              <w:bottom w:val="nil"/>
              <w:right w:val="nil"/>
            </w:tcBorders>
            <w:hideMark/>
          </w:tcPr>
          <w:p w14:paraId="28C9735D" w14:textId="77777777" w:rsidR="003B5E29" w:rsidRPr="00F65403" w:rsidRDefault="003B5E29" w:rsidP="003B5E2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ESCO Solar Farm 7 Pty Ltd</w:t>
            </w:r>
          </w:p>
        </w:tc>
        <w:tc>
          <w:tcPr>
            <w:tcW w:w="1570" w:type="pct"/>
            <w:tcBorders>
              <w:top w:val="nil"/>
              <w:left w:val="nil"/>
              <w:bottom w:val="nil"/>
              <w:right w:val="nil"/>
            </w:tcBorders>
          </w:tcPr>
          <w:p w14:paraId="01A37DF8" w14:textId="6246EA0C" w:rsidR="003B5E29" w:rsidRPr="00F65403" w:rsidRDefault="003B5E29" w:rsidP="003B5E29">
            <w:pPr>
              <w:spacing w:after="0" w:line="240" w:lineRule="auto"/>
              <w:rPr>
                <w:rFonts w:eastAsia="Times New Roman" w:cs="Arial"/>
                <w:color w:val="000000"/>
                <w:sz w:val="20"/>
                <w:szCs w:val="20"/>
                <w:lang w:eastAsia="en-AU"/>
              </w:rPr>
            </w:pPr>
            <w:r w:rsidRPr="00F65403">
              <w:rPr>
                <w:rFonts w:cs="Arial"/>
                <w:sz w:val="20"/>
                <w:szCs w:val="20"/>
              </w:rPr>
              <w:t>Trustee for the ESCO Solar Farm 7 trust</w:t>
            </w:r>
          </w:p>
        </w:tc>
        <w:tc>
          <w:tcPr>
            <w:tcW w:w="864" w:type="pct"/>
            <w:tcBorders>
              <w:top w:val="nil"/>
              <w:left w:val="nil"/>
              <w:bottom w:val="nil"/>
              <w:right w:val="nil"/>
            </w:tcBorders>
            <w:hideMark/>
          </w:tcPr>
          <w:p w14:paraId="535B6C5C" w14:textId="6825FB03"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7558DA63" w14:textId="141B8F6A"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6CBF076A" w14:textId="68956400"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3B5E29" w:rsidRPr="00B46905" w14:paraId="2467FB01" w14:textId="77777777" w:rsidTr="413EB596">
        <w:tc>
          <w:tcPr>
            <w:tcW w:w="1100" w:type="pct"/>
            <w:tcBorders>
              <w:top w:val="nil"/>
              <w:left w:val="nil"/>
              <w:bottom w:val="nil"/>
              <w:right w:val="nil"/>
            </w:tcBorders>
          </w:tcPr>
          <w:p w14:paraId="0A5926FC" w14:textId="4CDEBD15" w:rsidR="003B5E29" w:rsidRPr="00F65403" w:rsidRDefault="516CA4DB" w:rsidP="003B5E29">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ESCO Solar Farm 7 Trust</w:t>
            </w:r>
          </w:p>
        </w:tc>
        <w:tc>
          <w:tcPr>
            <w:tcW w:w="1570" w:type="pct"/>
            <w:tcBorders>
              <w:top w:val="nil"/>
              <w:left w:val="nil"/>
              <w:bottom w:val="nil"/>
              <w:right w:val="nil"/>
            </w:tcBorders>
          </w:tcPr>
          <w:p w14:paraId="7C1B8705" w14:textId="506F3096" w:rsidR="003B5E29" w:rsidRPr="00F65403" w:rsidRDefault="002B2361" w:rsidP="003B5E29">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Construction and operation of SEC Renewable Energy Park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Horsham</w:t>
            </w:r>
          </w:p>
        </w:tc>
        <w:tc>
          <w:tcPr>
            <w:tcW w:w="864" w:type="pct"/>
            <w:tcBorders>
              <w:top w:val="nil"/>
              <w:left w:val="nil"/>
              <w:bottom w:val="nil"/>
              <w:right w:val="nil"/>
            </w:tcBorders>
          </w:tcPr>
          <w:p w14:paraId="19394759" w14:textId="633C7919"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tcPr>
          <w:p w14:paraId="4572E4D8" w14:textId="21FEA65A"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63C1FF32" w14:textId="462A357B" w:rsidR="003B5E29" w:rsidRPr="00F65403" w:rsidRDefault="003B5E29" w:rsidP="003B5E29">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bl>
    <w:p w14:paraId="756D5E82" w14:textId="067C842B" w:rsidR="00B74C15" w:rsidRPr="00F65403" w:rsidRDefault="002E15AF" w:rsidP="00027D53">
      <w:pPr>
        <w:pStyle w:val="BodyText"/>
        <w:rPr>
          <w:lang w:val="en-AU"/>
        </w:rPr>
      </w:pPr>
      <w:r>
        <w:rPr>
          <w:lang w:val="en-AU"/>
        </w:rPr>
        <w:br/>
        <w:t xml:space="preserve">* </w:t>
      </w:r>
      <w:r w:rsidR="00D55F3F" w:rsidRPr="00F65403">
        <w:rPr>
          <w:lang w:val="en-AU"/>
        </w:rPr>
        <w:t>The country of incorporation is also the principal place of business.</w:t>
      </w:r>
    </w:p>
    <w:p w14:paraId="465D0A5F" w14:textId="77777777" w:rsidR="00D55F3F" w:rsidRPr="00F65403" w:rsidRDefault="00D55F3F" w:rsidP="00027D53">
      <w:pPr>
        <w:pStyle w:val="BodyText"/>
        <w:rPr>
          <w:lang w:val="en-AU"/>
        </w:rPr>
      </w:pPr>
    </w:p>
    <w:p w14:paraId="129596D5" w14:textId="25E0F5CC" w:rsidR="00052C58" w:rsidRPr="00F65403" w:rsidRDefault="00144B04" w:rsidP="715E2D1C">
      <w:pPr>
        <w:pStyle w:val="Heading8"/>
      </w:pPr>
      <w:proofErr w:type="spellStart"/>
      <w:r>
        <w:t>i</w:t>
      </w:r>
      <w:proofErr w:type="spellEnd"/>
      <w:r>
        <w:t>.</w:t>
      </w:r>
      <w:r>
        <w:tab/>
      </w:r>
      <w:r w:rsidR="493E7BA2">
        <w:t>Principles of consolidation</w:t>
      </w:r>
    </w:p>
    <w:p w14:paraId="3B1320EC" w14:textId="77777777" w:rsidR="00052C58" w:rsidRPr="00F65403" w:rsidRDefault="00052C58" w:rsidP="00052C58">
      <w:pPr>
        <w:pStyle w:val="BodyText"/>
        <w:rPr>
          <w:lang w:val="en-AU"/>
        </w:rPr>
      </w:pPr>
      <w:r w:rsidRPr="00F65403">
        <w:rPr>
          <w:lang w:val="en-AU"/>
        </w:rPr>
        <w:t xml:space="preserve">Subsidiaries are all entities over which the Group has control. The Group controls an entity where the Group is exposed to, or has rights to, variable returns from its involvement with the entity and has the ability to affect those returns through its power to direct the activities of the entity. Subsidiaries are fully consolidated from the date on which control is transferred to the Group. They are deconsolidated from the date that control ceases.  </w:t>
      </w:r>
    </w:p>
    <w:p w14:paraId="04A01223" w14:textId="77777777" w:rsidR="00052C58" w:rsidRPr="00F65403" w:rsidRDefault="00052C58" w:rsidP="00052C58">
      <w:pPr>
        <w:pStyle w:val="BodyText"/>
        <w:rPr>
          <w:lang w:val="en-AU"/>
        </w:rPr>
      </w:pPr>
    </w:p>
    <w:p w14:paraId="0E3B41DC" w14:textId="0BE48AA8" w:rsidR="00B74C15" w:rsidRPr="00F65403" w:rsidRDefault="00052C58" w:rsidP="00052C58">
      <w:pPr>
        <w:pStyle w:val="BodyText"/>
        <w:rPr>
          <w:lang w:val="en-AU"/>
        </w:rPr>
      </w:pPr>
      <w:r w:rsidRPr="00F65403">
        <w:rPr>
          <w:lang w:val="en-AU"/>
        </w:rPr>
        <w:t>Inter-company transactions, balances and unrealised gains on transactions between group companies are eliminated. Unrealised losses are also eliminated unless the transaction provides evidence of an impairment of the transferred asset. Accounting policies of subsidiaries have been changed where necessary to ensure consistency with the policies adopted by the Group.</w:t>
      </w:r>
    </w:p>
    <w:p w14:paraId="6DFA10E6" w14:textId="47D58DF1" w:rsidR="00030242" w:rsidRDefault="00030242">
      <w:pPr>
        <w:rPr>
          <w:rFonts w:eastAsia="Arial" w:cs="Arial"/>
          <w:sz w:val="20"/>
          <w:szCs w:val="20"/>
        </w:rPr>
      </w:pPr>
      <w:r>
        <w:br w:type="page"/>
      </w:r>
    </w:p>
    <w:p w14:paraId="66B34239" w14:textId="77777777" w:rsidR="007C7BDB" w:rsidRPr="00F65403" w:rsidRDefault="007C7BDB" w:rsidP="00052C58">
      <w:pPr>
        <w:pStyle w:val="BodyText"/>
        <w:rPr>
          <w:lang w:val="en-AU"/>
        </w:rPr>
      </w:pPr>
    </w:p>
    <w:p w14:paraId="64A15AF3" w14:textId="2C544646" w:rsidR="007C7BDB" w:rsidRPr="00F65403" w:rsidRDefault="007C7BDB" w:rsidP="007C7BDB">
      <w:pPr>
        <w:pStyle w:val="Heading7"/>
      </w:pPr>
      <w:r w:rsidRPr="00F65403">
        <w:t>Parent entity information</w:t>
      </w:r>
    </w:p>
    <w:tbl>
      <w:tblPr>
        <w:tblW w:w="5025" w:type="pct"/>
        <w:tblLayout w:type="fixed"/>
        <w:tblCellMar>
          <w:top w:w="28" w:type="dxa"/>
          <w:left w:w="28" w:type="dxa"/>
          <w:bottom w:w="28" w:type="dxa"/>
          <w:right w:w="28" w:type="dxa"/>
        </w:tblCellMar>
        <w:tblLook w:val="04A0" w:firstRow="1" w:lastRow="0" w:firstColumn="1" w:lastColumn="0" w:noHBand="0" w:noVBand="1"/>
      </w:tblPr>
      <w:tblGrid>
        <w:gridCol w:w="6237"/>
        <w:gridCol w:w="1417"/>
        <w:gridCol w:w="1417"/>
      </w:tblGrid>
      <w:tr w:rsidR="007C7BDB" w:rsidRPr="00CA725E" w14:paraId="651A1C40" w14:textId="77777777" w:rsidTr="001513B5">
        <w:tc>
          <w:tcPr>
            <w:tcW w:w="3438" w:type="pct"/>
            <w:tcBorders>
              <w:top w:val="nil"/>
              <w:left w:val="nil"/>
              <w:bottom w:val="nil"/>
              <w:right w:val="nil"/>
            </w:tcBorders>
            <w:noWrap/>
            <w:vAlign w:val="bottom"/>
            <w:hideMark/>
          </w:tcPr>
          <w:p w14:paraId="1D2B02B5" w14:textId="77777777" w:rsidR="007C7BDB" w:rsidRPr="00F65403" w:rsidRDefault="007C7BDB">
            <w:pPr>
              <w:spacing w:after="0" w:line="240" w:lineRule="auto"/>
              <w:rPr>
                <w:rFonts w:eastAsia="Times New Roman" w:cs="Arial"/>
                <w:sz w:val="20"/>
                <w:szCs w:val="20"/>
                <w:lang w:eastAsia="en-AU"/>
              </w:rPr>
            </w:pPr>
          </w:p>
        </w:tc>
        <w:tc>
          <w:tcPr>
            <w:tcW w:w="781" w:type="pct"/>
            <w:tcBorders>
              <w:top w:val="nil"/>
              <w:left w:val="nil"/>
              <w:bottom w:val="nil"/>
              <w:right w:val="nil"/>
            </w:tcBorders>
            <w:vAlign w:val="center"/>
            <w:hideMark/>
          </w:tcPr>
          <w:p w14:paraId="161398D9"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82" w:type="pct"/>
            <w:tcBorders>
              <w:top w:val="nil"/>
              <w:left w:val="nil"/>
              <w:bottom w:val="nil"/>
              <w:right w:val="nil"/>
            </w:tcBorders>
            <w:vAlign w:val="center"/>
            <w:hideMark/>
          </w:tcPr>
          <w:p w14:paraId="08DB6E10"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7C7BDB" w:rsidRPr="00CA725E" w14:paraId="1FB31AF3" w14:textId="77777777" w:rsidTr="001513B5">
        <w:tc>
          <w:tcPr>
            <w:tcW w:w="3438" w:type="pct"/>
            <w:tcBorders>
              <w:top w:val="nil"/>
              <w:left w:val="nil"/>
              <w:bottom w:val="nil"/>
              <w:right w:val="nil"/>
            </w:tcBorders>
            <w:vAlign w:val="center"/>
            <w:hideMark/>
          </w:tcPr>
          <w:p w14:paraId="35BAA52F" w14:textId="77777777" w:rsidR="007C7BDB" w:rsidRPr="00F65403" w:rsidRDefault="007C7BDB">
            <w:pPr>
              <w:spacing w:after="0" w:line="240" w:lineRule="auto"/>
              <w:rPr>
                <w:rFonts w:eastAsia="Times New Roman" w:cs="Arial"/>
                <w:i/>
                <w:color w:val="000000"/>
                <w:sz w:val="20"/>
                <w:szCs w:val="20"/>
                <w:lang w:eastAsia="en-AU"/>
              </w:rPr>
            </w:pPr>
          </w:p>
        </w:tc>
        <w:tc>
          <w:tcPr>
            <w:tcW w:w="781" w:type="pct"/>
            <w:tcBorders>
              <w:top w:val="nil"/>
              <w:left w:val="nil"/>
              <w:bottom w:val="nil"/>
              <w:right w:val="nil"/>
            </w:tcBorders>
            <w:hideMark/>
          </w:tcPr>
          <w:p w14:paraId="545FBF0F"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82" w:type="pct"/>
            <w:tcBorders>
              <w:top w:val="nil"/>
              <w:left w:val="nil"/>
              <w:bottom w:val="nil"/>
              <w:right w:val="nil"/>
            </w:tcBorders>
            <w:hideMark/>
          </w:tcPr>
          <w:p w14:paraId="78318B1F"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7C7BDB" w:rsidRPr="00CA725E" w14:paraId="3DD61CFD" w14:textId="77777777" w:rsidTr="001513B5">
        <w:tc>
          <w:tcPr>
            <w:tcW w:w="3438" w:type="pct"/>
            <w:tcBorders>
              <w:top w:val="nil"/>
              <w:left w:val="nil"/>
              <w:bottom w:val="nil"/>
              <w:right w:val="nil"/>
            </w:tcBorders>
            <w:vAlign w:val="center"/>
          </w:tcPr>
          <w:p w14:paraId="351DAB54"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i/>
                <w:color w:val="000000"/>
                <w:sz w:val="20"/>
                <w:szCs w:val="20"/>
                <w:lang w:eastAsia="en-AU"/>
              </w:rPr>
              <w:t>Financial position</w:t>
            </w:r>
          </w:p>
        </w:tc>
        <w:tc>
          <w:tcPr>
            <w:tcW w:w="781" w:type="pct"/>
            <w:tcBorders>
              <w:top w:val="nil"/>
              <w:left w:val="nil"/>
              <w:bottom w:val="nil"/>
              <w:right w:val="nil"/>
            </w:tcBorders>
            <w:vAlign w:val="center"/>
          </w:tcPr>
          <w:p w14:paraId="4E428131" w14:textId="77777777" w:rsidR="007C7BDB" w:rsidRPr="00F65403" w:rsidRDefault="007C7BDB">
            <w:pPr>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center"/>
          </w:tcPr>
          <w:p w14:paraId="6863202C" w14:textId="77777777" w:rsidR="007C7BDB" w:rsidRPr="00F65403" w:rsidRDefault="007C7BDB">
            <w:pPr>
              <w:spacing w:after="0" w:line="240" w:lineRule="auto"/>
              <w:jc w:val="right"/>
              <w:rPr>
                <w:rFonts w:eastAsia="Times New Roman" w:cs="Arial"/>
                <w:color w:val="000000"/>
                <w:sz w:val="20"/>
                <w:szCs w:val="20"/>
                <w:lang w:eastAsia="en-AU"/>
              </w:rPr>
            </w:pPr>
          </w:p>
        </w:tc>
      </w:tr>
      <w:tr w:rsidR="008B75AA" w:rsidRPr="00CA725E" w14:paraId="04C21AF2" w14:textId="77777777" w:rsidTr="001513B5">
        <w:tc>
          <w:tcPr>
            <w:tcW w:w="3438" w:type="pct"/>
            <w:tcBorders>
              <w:top w:val="nil"/>
              <w:left w:val="nil"/>
              <w:bottom w:val="nil"/>
              <w:right w:val="nil"/>
            </w:tcBorders>
            <w:vAlign w:val="center"/>
            <w:hideMark/>
          </w:tcPr>
          <w:p w14:paraId="5A22EA0E" w14:textId="77777777" w:rsidR="008B75AA" w:rsidRPr="00F65403" w:rsidRDefault="008B75AA" w:rsidP="008B75A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Current assets</w:t>
            </w:r>
          </w:p>
        </w:tc>
        <w:tc>
          <w:tcPr>
            <w:tcW w:w="781" w:type="pct"/>
            <w:tcBorders>
              <w:top w:val="nil"/>
              <w:left w:val="nil"/>
              <w:bottom w:val="nil"/>
              <w:right w:val="nil"/>
            </w:tcBorders>
            <w:vAlign w:val="center"/>
            <w:hideMark/>
          </w:tcPr>
          <w:p w14:paraId="0879F441" w14:textId="31A1FE5A" w:rsidR="008B75AA" w:rsidRPr="00305C06" w:rsidRDefault="008B75AA" w:rsidP="008B75AA">
            <w:pPr>
              <w:spacing w:after="0" w:line="240" w:lineRule="auto"/>
              <w:jc w:val="right"/>
              <w:rPr>
                <w:rFonts w:eastAsia="Times New Roman" w:cs="Arial"/>
                <w:color w:val="000000"/>
                <w:sz w:val="20"/>
                <w:szCs w:val="20"/>
                <w:highlight w:val="yellow"/>
                <w:lang w:eastAsia="en-AU"/>
              </w:rPr>
            </w:pPr>
            <w:r w:rsidRPr="49BCD735">
              <w:rPr>
                <w:rFonts w:cs="Arial"/>
                <w:color w:val="000000" w:themeColor="text1"/>
                <w:sz w:val="20"/>
                <w:szCs w:val="20"/>
              </w:rPr>
              <w:t xml:space="preserve">          336,827 </w:t>
            </w:r>
          </w:p>
        </w:tc>
        <w:tc>
          <w:tcPr>
            <w:tcW w:w="782" w:type="pct"/>
            <w:tcBorders>
              <w:top w:val="nil"/>
              <w:left w:val="nil"/>
              <w:bottom w:val="nil"/>
              <w:right w:val="nil"/>
            </w:tcBorders>
            <w:vAlign w:val="center"/>
            <w:hideMark/>
          </w:tcPr>
          <w:p w14:paraId="499C1AEF" w14:textId="2B246807" w:rsidR="008B75AA" w:rsidRPr="00C54994" w:rsidRDefault="008B75AA" w:rsidP="008B75AA">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264,291</w:t>
            </w:r>
          </w:p>
        </w:tc>
      </w:tr>
      <w:tr w:rsidR="00C54994" w:rsidRPr="00CA725E" w14:paraId="5E22C200" w14:textId="77777777" w:rsidTr="001513B5">
        <w:trPr>
          <w:trHeight w:val="300"/>
        </w:trPr>
        <w:tc>
          <w:tcPr>
            <w:tcW w:w="3438" w:type="pct"/>
            <w:tcBorders>
              <w:top w:val="nil"/>
              <w:left w:val="nil"/>
              <w:bottom w:val="nil"/>
              <w:right w:val="nil"/>
            </w:tcBorders>
            <w:vAlign w:val="center"/>
            <w:hideMark/>
          </w:tcPr>
          <w:p w14:paraId="25905A68" w14:textId="77777777" w:rsidR="00C54994" w:rsidRPr="00F65403" w:rsidRDefault="00C54994" w:rsidP="00C54994">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Non-current assets</w:t>
            </w:r>
          </w:p>
        </w:tc>
        <w:tc>
          <w:tcPr>
            <w:tcW w:w="781" w:type="pct"/>
            <w:tcBorders>
              <w:top w:val="nil"/>
              <w:left w:val="nil"/>
              <w:bottom w:val="single" w:sz="4" w:space="0" w:color="auto"/>
              <w:right w:val="nil"/>
            </w:tcBorders>
            <w:vAlign w:val="center"/>
          </w:tcPr>
          <w:p w14:paraId="2DE90CDE" w14:textId="1DAA06FC" w:rsidR="00C54994" w:rsidRPr="00305C06" w:rsidRDefault="00C54994" w:rsidP="00C54994">
            <w:pPr>
              <w:spacing w:after="0" w:line="240" w:lineRule="auto"/>
              <w:jc w:val="right"/>
              <w:rPr>
                <w:rFonts w:eastAsia="Times New Roman" w:cs="Arial"/>
                <w:color w:val="000000"/>
                <w:sz w:val="20"/>
                <w:szCs w:val="20"/>
                <w:highlight w:val="yellow"/>
                <w:lang w:eastAsia="en-AU"/>
              </w:rPr>
            </w:pPr>
            <w:r w:rsidRPr="413EB596">
              <w:rPr>
                <w:rFonts w:cs="Arial"/>
                <w:color w:val="000000" w:themeColor="text1"/>
                <w:sz w:val="20"/>
                <w:szCs w:val="20"/>
              </w:rPr>
              <w:t xml:space="preserve">          3</w:t>
            </w:r>
            <w:r w:rsidR="000F30D9">
              <w:rPr>
                <w:rFonts w:cs="Arial"/>
                <w:color w:val="000000" w:themeColor="text1"/>
                <w:sz w:val="20"/>
                <w:szCs w:val="20"/>
              </w:rPr>
              <w:t>32,</w:t>
            </w:r>
            <w:r w:rsidR="00DA1D7A">
              <w:rPr>
                <w:rFonts w:cs="Arial"/>
                <w:color w:val="000000" w:themeColor="text1"/>
                <w:sz w:val="20"/>
                <w:szCs w:val="20"/>
              </w:rPr>
              <w:t>087</w:t>
            </w:r>
            <w:r w:rsidR="00704FB9" w:rsidRPr="413EB596">
              <w:rPr>
                <w:rFonts w:cs="Arial"/>
                <w:color w:val="000000" w:themeColor="text1"/>
                <w:sz w:val="20"/>
                <w:szCs w:val="20"/>
              </w:rPr>
              <w:t xml:space="preserve"> </w:t>
            </w:r>
          </w:p>
        </w:tc>
        <w:tc>
          <w:tcPr>
            <w:tcW w:w="782" w:type="pct"/>
            <w:tcBorders>
              <w:top w:val="nil"/>
              <w:left w:val="nil"/>
              <w:bottom w:val="single" w:sz="4" w:space="0" w:color="auto"/>
              <w:right w:val="nil"/>
            </w:tcBorders>
            <w:vAlign w:val="center"/>
          </w:tcPr>
          <w:p w14:paraId="609F6641" w14:textId="63DB1423" w:rsidR="00C54994" w:rsidRPr="00C54994" w:rsidRDefault="00C54994" w:rsidP="00C54994">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73,145</w:t>
            </w:r>
          </w:p>
        </w:tc>
      </w:tr>
      <w:tr w:rsidR="00C54994" w:rsidRPr="00CA725E" w14:paraId="111555BC" w14:textId="77777777" w:rsidTr="001513B5">
        <w:trPr>
          <w:trHeight w:val="300"/>
        </w:trPr>
        <w:tc>
          <w:tcPr>
            <w:tcW w:w="3438" w:type="pct"/>
            <w:tcBorders>
              <w:top w:val="nil"/>
              <w:left w:val="nil"/>
              <w:bottom w:val="nil"/>
              <w:right w:val="nil"/>
            </w:tcBorders>
            <w:vAlign w:val="center"/>
            <w:hideMark/>
          </w:tcPr>
          <w:p w14:paraId="76795389" w14:textId="77777777" w:rsidR="00C54994" w:rsidRPr="00F65403" w:rsidRDefault="00C54994" w:rsidP="00C54994">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assets</w:t>
            </w:r>
          </w:p>
        </w:tc>
        <w:tc>
          <w:tcPr>
            <w:tcW w:w="781" w:type="pct"/>
            <w:tcBorders>
              <w:top w:val="nil"/>
              <w:left w:val="nil"/>
              <w:bottom w:val="single" w:sz="4" w:space="0" w:color="auto"/>
              <w:right w:val="nil"/>
            </w:tcBorders>
            <w:vAlign w:val="center"/>
          </w:tcPr>
          <w:p w14:paraId="2786B14C" w14:textId="49075A2A" w:rsidR="00C54994" w:rsidRPr="00305C06" w:rsidRDefault="00C54994" w:rsidP="49BCD735">
            <w:pPr>
              <w:spacing w:after="0" w:line="240" w:lineRule="auto"/>
              <w:jc w:val="right"/>
              <w:rPr>
                <w:rFonts w:eastAsia="Times New Roman" w:cs="Arial"/>
                <w:b/>
                <w:bCs/>
                <w:color w:val="000000"/>
                <w:sz w:val="20"/>
                <w:szCs w:val="20"/>
                <w:highlight w:val="yellow"/>
                <w:lang w:eastAsia="en-AU"/>
              </w:rPr>
            </w:pPr>
            <w:r w:rsidRPr="413EB596">
              <w:rPr>
                <w:rFonts w:cs="Arial"/>
                <w:b/>
                <w:bCs/>
                <w:color w:val="000000" w:themeColor="text1"/>
                <w:sz w:val="20"/>
                <w:szCs w:val="20"/>
              </w:rPr>
              <w:t xml:space="preserve">          6</w:t>
            </w:r>
            <w:r w:rsidR="004477A8">
              <w:rPr>
                <w:rFonts w:cs="Arial"/>
                <w:b/>
                <w:bCs/>
                <w:color w:val="000000" w:themeColor="text1"/>
                <w:sz w:val="20"/>
                <w:szCs w:val="20"/>
              </w:rPr>
              <w:t>6</w:t>
            </w:r>
            <w:r w:rsidR="002501DD">
              <w:rPr>
                <w:rFonts w:cs="Arial"/>
                <w:b/>
                <w:bCs/>
                <w:color w:val="000000" w:themeColor="text1"/>
                <w:sz w:val="20"/>
                <w:szCs w:val="20"/>
              </w:rPr>
              <w:t>8,914</w:t>
            </w:r>
            <w:r w:rsidR="00704FB9" w:rsidRPr="413EB596">
              <w:rPr>
                <w:rFonts w:cs="Arial"/>
                <w:b/>
                <w:bCs/>
                <w:color w:val="000000" w:themeColor="text1"/>
                <w:sz w:val="20"/>
                <w:szCs w:val="20"/>
              </w:rPr>
              <w:t xml:space="preserve"> </w:t>
            </w:r>
          </w:p>
        </w:tc>
        <w:tc>
          <w:tcPr>
            <w:tcW w:w="782" w:type="pct"/>
            <w:tcBorders>
              <w:top w:val="nil"/>
              <w:left w:val="nil"/>
              <w:bottom w:val="single" w:sz="4" w:space="0" w:color="auto"/>
              <w:right w:val="nil"/>
            </w:tcBorders>
            <w:vAlign w:val="center"/>
          </w:tcPr>
          <w:p w14:paraId="754C7444" w14:textId="7A9FF062" w:rsidR="00C54994" w:rsidRPr="00F65403" w:rsidRDefault="00C54994" w:rsidP="49BCD735">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 xml:space="preserve">           337,436 </w:t>
            </w:r>
          </w:p>
        </w:tc>
      </w:tr>
      <w:tr w:rsidR="007C7BDB" w:rsidRPr="00CA725E" w14:paraId="486F994F" w14:textId="77777777" w:rsidTr="001513B5">
        <w:tc>
          <w:tcPr>
            <w:tcW w:w="3438" w:type="pct"/>
            <w:tcBorders>
              <w:top w:val="nil"/>
              <w:left w:val="nil"/>
              <w:bottom w:val="nil"/>
              <w:right w:val="nil"/>
            </w:tcBorders>
            <w:vAlign w:val="center"/>
            <w:hideMark/>
          </w:tcPr>
          <w:p w14:paraId="7A86B8AD"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Current liabilities</w:t>
            </w:r>
          </w:p>
        </w:tc>
        <w:tc>
          <w:tcPr>
            <w:tcW w:w="781" w:type="pct"/>
            <w:tcBorders>
              <w:top w:val="nil"/>
              <w:left w:val="nil"/>
              <w:bottom w:val="nil"/>
              <w:right w:val="nil"/>
            </w:tcBorders>
            <w:vAlign w:val="center"/>
            <w:hideMark/>
          </w:tcPr>
          <w:p w14:paraId="1D67CB92" w14:textId="3A1ADF1D" w:rsidR="007C7BDB" w:rsidRPr="00C54994" w:rsidRDefault="004477A8">
            <w:pPr>
              <w:spacing w:after="0" w:line="240" w:lineRule="auto"/>
              <w:jc w:val="right"/>
              <w:rPr>
                <w:rFonts w:eastAsia="Times New Roman" w:cs="Arial"/>
                <w:color w:val="000000"/>
                <w:sz w:val="20"/>
                <w:szCs w:val="20"/>
                <w:lang w:eastAsia="en-AU"/>
              </w:rPr>
            </w:pPr>
            <w:r>
              <w:rPr>
                <w:rFonts w:eastAsia="Times New Roman" w:cs="Arial"/>
                <w:color w:val="000000" w:themeColor="text1"/>
                <w:sz w:val="20"/>
                <w:szCs w:val="20"/>
                <w:lang w:eastAsia="en-AU"/>
              </w:rPr>
              <w:t>12,806</w:t>
            </w:r>
          </w:p>
        </w:tc>
        <w:tc>
          <w:tcPr>
            <w:tcW w:w="782" w:type="pct"/>
            <w:tcBorders>
              <w:top w:val="nil"/>
              <w:left w:val="nil"/>
              <w:bottom w:val="nil"/>
              <w:right w:val="nil"/>
            </w:tcBorders>
            <w:vAlign w:val="center"/>
            <w:hideMark/>
          </w:tcPr>
          <w:p w14:paraId="31F96A4B" w14:textId="77777777" w:rsidR="007C7BDB" w:rsidRPr="00F65403" w:rsidRDefault="007C7BD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3,863</w:t>
            </w:r>
          </w:p>
        </w:tc>
      </w:tr>
      <w:tr w:rsidR="007C7BDB" w:rsidRPr="00CA725E" w14:paraId="7BAAA9C3" w14:textId="77777777" w:rsidTr="001513B5">
        <w:tc>
          <w:tcPr>
            <w:tcW w:w="3438" w:type="pct"/>
            <w:tcBorders>
              <w:top w:val="nil"/>
              <w:left w:val="nil"/>
              <w:bottom w:val="nil"/>
              <w:right w:val="nil"/>
            </w:tcBorders>
            <w:vAlign w:val="center"/>
            <w:hideMark/>
          </w:tcPr>
          <w:p w14:paraId="7C595246"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Non-current liabilities</w:t>
            </w:r>
          </w:p>
        </w:tc>
        <w:tc>
          <w:tcPr>
            <w:tcW w:w="781" w:type="pct"/>
            <w:tcBorders>
              <w:top w:val="nil"/>
              <w:left w:val="nil"/>
              <w:bottom w:val="nil"/>
              <w:right w:val="nil"/>
            </w:tcBorders>
            <w:vAlign w:val="center"/>
            <w:hideMark/>
          </w:tcPr>
          <w:p w14:paraId="09B63AD3" w14:textId="33EE3DEB" w:rsidR="007C7BDB" w:rsidRPr="00C54994" w:rsidRDefault="00C54994">
            <w:pPr>
              <w:spacing w:after="0" w:line="240" w:lineRule="auto"/>
              <w:jc w:val="right"/>
              <w:rPr>
                <w:rFonts w:eastAsia="Times New Roman" w:cs="Arial"/>
                <w:color w:val="000000"/>
                <w:sz w:val="20"/>
                <w:szCs w:val="20"/>
                <w:lang w:eastAsia="en-AU"/>
              </w:rPr>
            </w:pPr>
            <w:r w:rsidRPr="49BCD735">
              <w:rPr>
                <w:rFonts w:eastAsia="Times New Roman" w:cs="Arial"/>
                <w:color w:val="000000" w:themeColor="text1"/>
                <w:sz w:val="20"/>
                <w:szCs w:val="20"/>
                <w:lang w:eastAsia="en-AU"/>
              </w:rPr>
              <w:t>2,</w:t>
            </w:r>
            <w:r w:rsidR="002501DD">
              <w:rPr>
                <w:rFonts w:eastAsia="Times New Roman" w:cs="Arial"/>
                <w:color w:val="000000" w:themeColor="text1"/>
                <w:sz w:val="20"/>
                <w:szCs w:val="20"/>
                <w:lang w:eastAsia="en-AU"/>
              </w:rPr>
              <w:t>140</w:t>
            </w:r>
          </w:p>
        </w:tc>
        <w:tc>
          <w:tcPr>
            <w:tcW w:w="782" w:type="pct"/>
            <w:tcBorders>
              <w:top w:val="nil"/>
              <w:left w:val="nil"/>
              <w:bottom w:val="nil"/>
              <w:right w:val="nil"/>
            </w:tcBorders>
            <w:vAlign w:val="center"/>
            <w:hideMark/>
          </w:tcPr>
          <w:p w14:paraId="2EFB59A4" w14:textId="77777777" w:rsidR="007C7BDB" w:rsidRPr="00F65403" w:rsidRDefault="007C7BD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106</w:t>
            </w:r>
          </w:p>
        </w:tc>
      </w:tr>
      <w:tr w:rsidR="007C7BDB" w:rsidRPr="00CA725E" w14:paraId="3F67B68B" w14:textId="77777777" w:rsidTr="001513B5">
        <w:tc>
          <w:tcPr>
            <w:tcW w:w="3438" w:type="pct"/>
            <w:tcBorders>
              <w:top w:val="nil"/>
              <w:left w:val="nil"/>
              <w:bottom w:val="nil"/>
              <w:right w:val="nil"/>
            </w:tcBorders>
            <w:vAlign w:val="center"/>
            <w:hideMark/>
          </w:tcPr>
          <w:p w14:paraId="5D3F9F17" w14:textId="77777777" w:rsidR="007C7BDB" w:rsidRPr="00F65403" w:rsidRDefault="007C7BD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liabilities</w:t>
            </w:r>
          </w:p>
        </w:tc>
        <w:tc>
          <w:tcPr>
            <w:tcW w:w="781" w:type="pct"/>
            <w:tcBorders>
              <w:top w:val="single" w:sz="4" w:space="0" w:color="auto"/>
              <w:left w:val="nil"/>
              <w:bottom w:val="single" w:sz="4" w:space="0" w:color="auto"/>
              <w:right w:val="nil"/>
            </w:tcBorders>
            <w:vAlign w:val="center"/>
            <w:hideMark/>
          </w:tcPr>
          <w:p w14:paraId="6CC71BEE" w14:textId="55CA26CD" w:rsidR="007C7BDB" w:rsidRPr="00C54994" w:rsidRDefault="00A16566" w:rsidP="49BCD735">
            <w:pPr>
              <w:spacing w:after="0" w:line="240" w:lineRule="auto"/>
              <w:jc w:val="right"/>
              <w:rPr>
                <w:rFonts w:eastAsia="Times New Roman" w:cs="Arial"/>
                <w:b/>
                <w:bCs/>
                <w:color w:val="000000"/>
                <w:sz w:val="20"/>
                <w:szCs w:val="20"/>
                <w:lang w:eastAsia="en-AU"/>
              </w:rPr>
            </w:pPr>
            <w:r>
              <w:rPr>
                <w:rFonts w:eastAsia="Times New Roman" w:cs="Arial"/>
                <w:b/>
                <w:bCs/>
                <w:color w:val="000000" w:themeColor="text1"/>
                <w:sz w:val="20"/>
                <w:szCs w:val="20"/>
                <w:lang w:eastAsia="en-AU"/>
              </w:rPr>
              <w:t>1</w:t>
            </w:r>
            <w:r w:rsidR="003A018C">
              <w:rPr>
                <w:rFonts w:eastAsia="Times New Roman" w:cs="Arial"/>
                <w:b/>
                <w:bCs/>
                <w:color w:val="000000" w:themeColor="text1"/>
                <w:sz w:val="20"/>
                <w:szCs w:val="20"/>
                <w:lang w:eastAsia="en-AU"/>
              </w:rPr>
              <w:t>4,946</w:t>
            </w:r>
          </w:p>
        </w:tc>
        <w:tc>
          <w:tcPr>
            <w:tcW w:w="782" w:type="pct"/>
            <w:tcBorders>
              <w:top w:val="single" w:sz="4" w:space="0" w:color="auto"/>
              <w:left w:val="nil"/>
              <w:bottom w:val="single" w:sz="4" w:space="0" w:color="auto"/>
              <w:right w:val="nil"/>
            </w:tcBorders>
            <w:vAlign w:val="center"/>
            <w:hideMark/>
          </w:tcPr>
          <w:p w14:paraId="2D876CDA"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3,969</w:t>
            </w:r>
          </w:p>
        </w:tc>
      </w:tr>
      <w:tr w:rsidR="007C7BDB" w:rsidRPr="00CA725E" w14:paraId="005DBE64" w14:textId="77777777" w:rsidTr="001513B5">
        <w:tc>
          <w:tcPr>
            <w:tcW w:w="3438" w:type="pct"/>
            <w:tcBorders>
              <w:top w:val="nil"/>
              <w:left w:val="nil"/>
              <w:bottom w:val="nil"/>
              <w:right w:val="nil"/>
            </w:tcBorders>
            <w:vAlign w:val="center"/>
            <w:hideMark/>
          </w:tcPr>
          <w:p w14:paraId="08D2DA0D" w14:textId="77777777" w:rsidR="007C7BDB" w:rsidRPr="00F65403" w:rsidRDefault="007C7BD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assets</w:t>
            </w:r>
          </w:p>
        </w:tc>
        <w:tc>
          <w:tcPr>
            <w:tcW w:w="781" w:type="pct"/>
            <w:tcBorders>
              <w:top w:val="nil"/>
              <w:left w:val="nil"/>
              <w:bottom w:val="single" w:sz="4" w:space="0" w:color="auto"/>
              <w:right w:val="nil"/>
            </w:tcBorders>
            <w:vAlign w:val="center"/>
            <w:hideMark/>
          </w:tcPr>
          <w:p w14:paraId="1C03D940" w14:textId="69A2FD97" w:rsidR="007C7BDB" w:rsidRPr="00C54994" w:rsidRDefault="00A16566" w:rsidP="49BCD735">
            <w:pPr>
              <w:spacing w:after="0" w:line="240" w:lineRule="auto"/>
              <w:jc w:val="right"/>
              <w:rPr>
                <w:rFonts w:eastAsia="Times New Roman" w:cs="Arial"/>
                <w:b/>
                <w:bCs/>
                <w:color w:val="000000"/>
                <w:sz w:val="20"/>
                <w:szCs w:val="20"/>
                <w:lang w:eastAsia="en-AU"/>
              </w:rPr>
            </w:pPr>
            <w:r>
              <w:rPr>
                <w:rFonts w:eastAsia="Times New Roman" w:cs="Arial"/>
                <w:b/>
                <w:bCs/>
                <w:color w:val="000000" w:themeColor="text1"/>
                <w:sz w:val="20"/>
                <w:szCs w:val="20"/>
                <w:lang w:eastAsia="en-AU"/>
              </w:rPr>
              <w:t>653,968</w:t>
            </w:r>
          </w:p>
        </w:tc>
        <w:tc>
          <w:tcPr>
            <w:tcW w:w="782" w:type="pct"/>
            <w:tcBorders>
              <w:top w:val="nil"/>
              <w:left w:val="nil"/>
              <w:bottom w:val="single" w:sz="4" w:space="0" w:color="auto"/>
              <w:right w:val="nil"/>
            </w:tcBorders>
            <w:vAlign w:val="center"/>
            <w:hideMark/>
          </w:tcPr>
          <w:p w14:paraId="5AB22C63" w14:textId="77777777" w:rsidR="007C7BDB" w:rsidRPr="00F65403" w:rsidRDefault="007C7BD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333,467</w:t>
            </w:r>
          </w:p>
        </w:tc>
      </w:tr>
      <w:tr w:rsidR="007C7BDB" w:rsidRPr="00CA725E" w14:paraId="3BA5FE8F" w14:textId="77777777" w:rsidTr="001513B5">
        <w:tc>
          <w:tcPr>
            <w:tcW w:w="3438" w:type="pct"/>
            <w:tcBorders>
              <w:top w:val="nil"/>
              <w:left w:val="nil"/>
              <w:bottom w:val="nil"/>
              <w:right w:val="nil"/>
            </w:tcBorders>
            <w:vAlign w:val="center"/>
            <w:hideMark/>
          </w:tcPr>
          <w:p w14:paraId="275DAF70" w14:textId="77777777" w:rsidR="007C7BDB" w:rsidRPr="00F65403" w:rsidRDefault="007C7BDB">
            <w:pPr>
              <w:spacing w:after="0" w:line="240" w:lineRule="auto"/>
              <w:jc w:val="right"/>
              <w:rPr>
                <w:rFonts w:eastAsia="Times New Roman" w:cs="Arial"/>
                <w:b/>
                <w:color w:val="000000"/>
                <w:sz w:val="20"/>
                <w:szCs w:val="20"/>
                <w:lang w:eastAsia="en-AU"/>
              </w:rPr>
            </w:pPr>
          </w:p>
        </w:tc>
        <w:tc>
          <w:tcPr>
            <w:tcW w:w="781" w:type="pct"/>
            <w:tcBorders>
              <w:top w:val="nil"/>
              <w:left w:val="nil"/>
              <w:bottom w:val="nil"/>
              <w:right w:val="nil"/>
            </w:tcBorders>
            <w:vAlign w:val="center"/>
            <w:hideMark/>
          </w:tcPr>
          <w:p w14:paraId="50201C80" w14:textId="77777777" w:rsidR="007C7BDB" w:rsidRPr="00C54994" w:rsidRDefault="007C7BDB">
            <w:pPr>
              <w:spacing w:after="0" w:line="240" w:lineRule="auto"/>
              <w:rPr>
                <w:rFonts w:eastAsia="Times New Roman" w:cs="Arial"/>
                <w:sz w:val="20"/>
                <w:szCs w:val="20"/>
                <w:lang w:eastAsia="en-AU"/>
              </w:rPr>
            </w:pPr>
          </w:p>
        </w:tc>
        <w:tc>
          <w:tcPr>
            <w:tcW w:w="782" w:type="pct"/>
            <w:tcBorders>
              <w:top w:val="nil"/>
              <w:left w:val="nil"/>
              <w:bottom w:val="nil"/>
              <w:right w:val="nil"/>
            </w:tcBorders>
            <w:vAlign w:val="center"/>
            <w:hideMark/>
          </w:tcPr>
          <w:p w14:paraId="7AF2474B" w14:textId="77777777" w:rsidR="007C7BDB" w:rsidRPr="00F65403" w:rsidRDefault="007C7BDB">
            <w:pPr>
              <w:spacing w:after="0" w:line="240" w:lineRule="auto"/>
              <w:jc w:val="right"/>
              <w:rPr>
                <w:rFonts w:eastAsia="Times New Roman" w:cs="Arial"/>
                <w:sz w:val="20"/>
                <w:szCs w:val="20"/>
                <w:lang w:eastAsia="en-AU"/>
              </w:rPr>
            </w:pPr>
          </w:p>
        </w:tc>
      </w:tr>
      <w:tr w:rsidR="007C7BDB" w:rsidRPr="00CA725E" w14:paraId="4884BD28" w14:textId="77777777" w:rsidTr="001513B5">
        <w:tc>
          <w:tcPr>
            <w:tcW w:w="3438" w:type="pct"/>
            <w:tcBorders>
              <w:top w:val="nil"/>
              <w:left w:val="nil"/>
              <w:bottom w:val="nil"/>
              <w:right w:val="nil"/>
            </w:tcBorders>
            <w:vAlign w:val="center"/>
            <w:hideMark/>
          </w:tcPr>
          <w:p w14:paraId="6A238698"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Issued shares</w:t>
            </w:r>
          </w:p>
        </w:tc>
        <w:tc>
          <w:tcPr>
            <w:tcW w:w="781" w:type="pct"/>
            <w:tcBorders>
              <w:top w:val="nil"/>
              <w:left w:val="nil"/>
              <w:bottom w:val="nil"/>
              <w:right w:val="nil"/>
            </w:tcBorders>
            <w:vAlign w:val="center"/>
            <w:hideMark/>
          </w:tcPr>
          <w:p w14:paraId="6FEF5C78" w14:textId="77777777" w:rsidR="007C7BDB" w:rsidRPr="00C54994" w:rsidRDefault="007C7BDB">
            <w:pPr>
              <w:spacing w:after="0" w:line="240" w:lineRule="auto"/>
              <w:jc w:val="right"/>
              <w:rPr>
                <w:rFonts w:eastAsia="Times New Roman" w:cs="Arial"/>
                <w:color w:val="000000"/>
                <w:sz w:val="20"/>
                <w:szCs w:val="20"/>
                <w:lang w:eastAsia="en-AU"/>
              </w:rPr>
            </w:pPr>
            <w:r w:rsidRPr="00C54994">
              <w:rPr>
                <w:rFonts w:eastAsia="Times New Roman" w:cs="Arial"/>
                <w:color w:val="000000"/>
                <w:sz w:val="20"/>
                <w:szCs w:val="20"/>
                <w:lang w:eastAsia="en-AU"/>
              </w:rPr>
              <w:t xml:space="preserve">-   </w:t>
            </w:r>
          </w:p>
        </w:tc>
        <w:tc>
          <w:tcPr>
            <w:tcW w:w="782" w:type="pct"/>
            <w:tcBorders>
              <w:top w:val="nil"/>
              <w:left w:val="nil"/>
              <w:bottom w:val="nil"/>
              <w:right w:val="nil"/>
            </w:tcBorders>
            <w:vAlign w:val="center"/>
            <w:hideMark/>
          </w:tcPr>
          <w:p w14:paraId="4CBB4CF9" w14:textId="77777777" w:rsidR="007C7BDB" w:rsidRPr="00F65403" w:rsidRDefault="007C7BD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7C7BDB" w:rsidRPr="00CA725E" w14:paraId="275C23BB" w14:textId="77777777" w:rsidTr="001513B5">
        <w:tc>
          <w:tcPr>
            <w:tcW w:w="3438" w:type="pct"/>
            <w:tcBorders>
              <w:top w:val="nil"/>
              <w:left w:val="nil"/>
              <w:bottom w:val="nil"/>
              <w:right w:val="nil"/>
            </w:tcBorders>
            <w:vAlign w:val="center"/>
            <w:hideMark/>
          </w:tcPr>
          <w:p w14:paraId="27597310"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Contributed capital</w:t>
            </w:r>
          </w:p>
        </w:tc>
        <w:tc>
          <w:tcPr>
            <w:tcW w:w="781" w:type="pct"/>
            <w:tcBorders>
              <w:top w:val="nil"/>
              <w:left w:val="nil"/>
              <w:bottom w:val="nil"/>
              <w:right w:val="nil"/>
            </w:tcBorders>
            <w:vAlign w:val="center"/>
            <w:hideMark/>
          </w:tcPr>
          <w:p w14:paraId="2D9FE3E3" w14:textId="573FFB80" w:rsidR="007C7BDB" w:rsidRPr="00C54994" w:rsidRDefault="00C54994">
            <w:pPr>
              <w:spacing w:after="0" w:line="240" w:lineRule="auto"/>
              <w:jc w:val="right"/>
              <w:rPr>
                <w:rFonts w:eastAsia="Times New Roman" w:cs="Arial"/>
                <w:color w:val="000000"/>
                <w:sz w:val="20"/>
                <w:szCs w:val="20"/>
                <w:lang w:eastAsia="en-AU"/>
              </w:rPr>
            </w:pPr>
            <w:r w:rsidRPr="49BCD735">
              <w:rPr>
                <w:rFonts w:eastAsia="Times New Roman" w:cs="Arial"/>
                <w:color w:val="000000" w:themeColor="text1"/>
                <w:sz w:val="20"/>
                <w:szCs w:val="20"/>
                <w:lang w:eastAsia="en-AU"/>
              </w:rPr>
              <w:t>680</w:t>
            </w:r>
            <w:r w:rsidR="007C7BDB" w:rsidRPr="49BCD735">
              <w:rPr>
                <w:rFonts w:eastAsia="Times New Roman" w:cs="Arial"/>
                <w:color w:val="000000" w:themeColor="text1"/>
                <w:sz w:val="20"/>
                <w:szCs w:val="20"/>
                <w:lang w:eastAsia="en-AU"/>
              </w:rPr>
              <w:t>,000</w:t>
            </w:r>
          </w:p>
        </w:tc>
        <w:tc>
          <w:tcPr>
            <w:tcW w:w="782" w:type="pct"/>
            <w:tcBorders>
              <w:top w:val="nil"/>
              <w:left w:val="nil"/>
              <w:bottom w:val="nil"/>
              <w:right w:val="nil"/>
            </w:tcBorders>
            <w:vAlign w:val="center"/>
            <w:hideMark/>
          </w:tcPr>
          <w:p w14:paraId="69F64258" w14:textId="77777777" w:rsidR="007C7BDB" w:rsidRPr="00F65403" w:rsidRDefault="007C7BD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336,000</w:t>
            </w:r>
          </w:p>
        </w:tc>
      </w:tr>
      <w:tr w:rsidR="007C7BDB" w:rsidRPr="00CA725E" w14:paraId="190216E4" w14:textId="77777777" w:rsidTr="001513B5">
        <w:tc>
          <w:tcPr>
            <w:tcW w:w="3438" w:type="pct"/>
            <w:tcBorders>
              <w:top w:val="nil"/>
              <w:left w:val="nil"/>
              <w:bottom w:val="nil"/>
              <w:right w:val="nil"/>
            </w:tcBorders>
            <w:vAlign w:val="center"/>
            <w:hideMark/>
          </w:tcPr>
          <w:p w14:paraId="14D376C8" w14:textId="54A7D2DE" w:rsidR="007C7BDB" w:rsidRPr="00F65403" w:rsidRDefault="00A37D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Accumulated losses</w:t>
            </w:r>
          </w:p>
        </w:tc>
        <w:tc>
          <w:tcPr>
            <w:tcW w:w="781" w:type="pct"/>
            <w:tcBorders>
              <w:top w:val="nil"/>
              <w:left w:val="nil"/>
              <w:bottom w:val="nil"/>
              <w:right w:val="nil"/>
            </w:tcBorders>
            <w:noWrap/>
            <w:vAlign w:val="bottom"/>
            <w:hideMark/>
          </w:tcPr>
          <w:p w14:paraId="0F8092D4" w14:textId="44DFAA37" w:rsidR="007C7BDB" w:rsidRPr="00C54994" w:rsidRDefault="007C7BDB">
            <w:pPr>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A16566">
              <w:rPr>
                <w:rFonts w:eastAsia="Times New Roman" w:cs="Arial"/>
                <w:color w:val="000000" w:themeColor="text1"/>
                <w:sz w:val="20"/>
                <w:szCs w:val="20"/>
                <w:lang w:eastAsia="en-AU"/>
              </w:rPr>
              <w:t>26,</w:t>
            </w:r>
            <w:r w:rsidR="00844DC5">
              <w:rPr>
                <w:rFonts w:eastAsia="Times New Roman" w:cs="Arial"/>
                <w:color w:val="000000" w:themeColor="text1"/>
                <w:sz w:val="20"/>
                <w:szCs w:val="20"/>
                <w:lang w:eastAsia="en-AU"/>
              </w:rPr>
              <w:t>032</w:t>
            </w:r>
            <w:r w:rsidRPr="413EB596">
              <w:rPr>
                <w:rFonts w:eastAsia="Times New Roman" w:cs="Arial"/>
                <w:color w:val="000000" w:themeColor="text1"/>
                <w:sz w:val="20"/>
                <w:szCs w:val="20"/>
                <w:lang w:eastAsia="en-AU"/>
              </w:rPr>
              <w:t>)</w:t>
            </w:r>
          </w:p>
        </w:tc>
        <w:tc>
          <w:tcPr>
            <w:tcW w:w="782" w:type="pct"/>
            <w:tcBorders>
              <w:top w:val="nil"/>
              <w:left w:val="nil"/>
              <w:bottom w:val="nil"/>
              <w:right w:val="nil"/>
            </w:tcBorders>
            <w:noWrap/>
            <w:vAlign w:val="bottom"/>
            <w:hideMark/>
          </w:tcPr>
          <w:p w14:paraId="528D7D05" w14:textId="77777777" w:rsidR="007C7BDB" w:rsidRPr="00F65403" w:rsidRDefault="007C7BD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(2,533)</w:t>
            </w:r>
          </w:p>
        </w:tc>
      </w:tr>
      <w:tr w:rsidR="003341AD" w:rsidRPr="00CA725E" w14:paraId="40AD45DB" w14:textId="77777777" w:rsidTr="001513B5">
        <w:tc>
          <w:tcPr>
            <w:tcW w:w="3438" w:type="pct"/>
            <w:tcBorders>
              <w:top w:val="nil"/>
              <w:left w:val="nil"/>
              <w:bottom w:val="nil"/>
              <w:right w:val="nil"/>
            </w:tcBorders>
            <w:vAlign w:val="center"/>
            <w:hideMark/>
          </w:tcPr>
          <w:p w14:paraId="0034D5CA" w14:textId="77777777" w:rsidR="003341AD" w:rsidRPr="00F65403" w:rsidRDefault="003341AD" w:rsidP="003341AD">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equity</w:t>
            </w:r>
          </w:p>
        </w:tc>
        <w:tc>
          <w:tcPr>
            <w:tcW w:w="781" w:type="pct"/>
            <w:tcBorders>
              <w:top w:val="single" w:sz="4" w:space="0" w:color="auto"/>
              <w:left w:val="nil"/>
              <w:bottom w:val="single" w:sz="4" w:space="0" w:color="auto"/>
              <w:right w:val="nil"/>
            </w:tcBorders>
            <w:vAlign w:val="center"/>
            <w:hideMark/>
          </w:tcPr>
          <w:p w14:paraId="05FA5943" w14:textId="1BEE2F84" w:rsidR="003341AD" w:rsidRPr="00C54994" w:rsidRDefault="003341AD" w:rsidP="49BCD735">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6</w:t>
            </w:r>
            <w:r w:rsidR="00844DC5">
              <w:rPr>
                <w:rFonts w:eastAsia="Times New Roman" w:cs="Arial"/>
                <w:b/>
                <w:bCs/>
                <w:color w:val="000000" w:themeColor="text1"/>
                <w:sz w:val="20"/>
                <w:szCs w:val="20"/>
                <w:lang w:eastAsia="en-AU"/>
              </w:rPr>
              <w:t>53,968</w:t>
            </w:r>
          </w:p>
        </w:tc>
        <w:tc>
          <w:tcPr>
            <w:tcW w:w="782" w:type="pct"/>
            <w:tcBorders>
              <w:top w:val="single" w:sz="4" w:space="0" w:color="auto"/>
              <w:left w:val="nil"/>
              <w:bottom w:val="single" w:sz="4" w:space="0" w:color="auto"/>
              <w:right w:val="nil"/>
            </w:tcBorders>
            <w:vAlign w:val="center"/>
            <w:hideMark/>
          </w:tcPr>
          <w:p w14:paraId="703F1FA1" w14:textId="0A8DD0BD" w:rsidR="003341AD" w:rsidRPr="00F65403" w:rsidRDefault="003341AD" w:rsidP="49BCD735">
            <w:pPr>
              <w:spacing w:after="0" w:line="240" w:lineRule="auto"/>
              <w:jc w:val="right"/>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333,467</w:t>
            </w:r>
          </w:p>
        </w:tc>
      </w:tr>
    </w:tbl>
    <w:p w14:paraId="326311F8" w14:textId="77777777" w:rsidR="003341AD" w:rsidRPr="00F65403" w:rsidRDefault="003341AD"/>
    <w:tbl>
      <w:tblPr>
        <w:tblW w:w="5000" w:type="pct"/>
        <w:tblLayout w:type="fixed"/>
        <w:tblCellMar>
          <w:top w:w="28" w:type="dxa"/>
          <w:left w:w="28" w:type="dxa"/>
          <w:bottom w:w="28" w:type="dxa"/>
          <w:right w:w="28" w:type="dxa"/>
        </w:tblCellMar>
        <w:tblLook w:val="04A0" w:firstRow="1" w:lastRow="0" w:firstColumn="1" w:lastColumn="0" w:noHBand="0" w:noVBand="1"/>
      </w:tblPr>
      <w:tblGrid>
        <w:gridCol w:w="6242"/>
        <w:gridCol w:w="1392"/>
        <w:gridCol w:w="1392"/>
      </w:tblGrid>
      <w:tr w:rsidR="00D308C1" w:rsidRPr="00F65403" w14:paraId="73FB693E" w14:textId="77777777" w:rsidTr="49BCD735">
        <w:tc>
          <w:tcPr>
            <w:tcW w:w="3458" w:type="pct"/>
            <w:tcBorders>
              <w:top w:val="nil"/>
              <w:left w:val="nil"/>
              <w:bottom w:val="nil"/>
              <w:right w:val="nil"/>
            </w:tcBorders>
            <w:noWrap/>
            <w:vAlign w:val="bottom"/>
          </w:tcPr>
          <w:p w14:paraId="0F02A983" w14:textId="77777777" w:rsidR="00D308C1" w:rsidRPr="00F65403" w:rsidRDefault="00D308C1" w:rsidP="00D308C1">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tcPr>
          <w:p w14:paraId="742DB4AB" w14:textId="5C6E3500" w:rsidR="00D308C1" w:rsidRPr="00F65403" w:rsidRDefault="00D308C1" w:rsidP="00D308C1">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Year ended 30 June 2025</w:t>
            </w:r>
          </w:p>
        </w:tc>
        <w:tc>
          <w:tcPr>
            <w:tcW w:w="771" w:type="pct"/>
            <w:tcBorders>
              <w:top w:val="nil"/>
              <w:left w:val="nil"/>
              <w:bottom w:val="nil"/>
              <w:right w:val="nil"/>
            </w:tcBorders>
            <w:noWrap/>
            <w:vAlign w:val="center"/>
          </w:tcPr>
          <w:p w14:paraId="1878F929" w14:textId="661560A0" w:rsidR="00D308C1" w:rsidRPr="00F65403" w:rsidRDefault="00D308C1" w:rsidP="00D308C1">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25 October 2023 to 30 June 2024</w:t>
            </w:r>
          </w:p>
        </w:tc>
      </w:tr>
      <w:tr w:rsidR="007C7BDB" w:rsidRPr="00CA725E" w14:paraId="11C34F20" w14:textId="77777777" w:rsidTr="49BCD735">
        <w:tc>
          <w:tcPr>
            <w:tcW w:w="3458" w:type="pct"/>
            <w:tcBorders>
              <w:top w:val="nil"/>
              <w:left w:val="nil"/>
              <w:bottom w:val="nil"/>
              <w:right w:val="nil"/>
            </w:tcBorders>
            <w:noWrap/>
            <w:vAlign w:val="bottom"/>
            <w:hideMark/>
          </w:tcPr>
          <w:p w14:paraId="525DB880" w14:textId="77777777" w:rsidR="007C7BDB" w:rsidRPr="00F65403" w:rsidRDefault="007C7BDB">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hideMark/>
          </w:tcPr>
          <w:p w14:paraId="707BED73" w14:textId="52850743" w:rsidR="007C7BDB" w:rsidRPr="00F65403" w:rsidRDefault="00D308C1" w:rsidP="00D308C1">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$000's</w:t>
            </w:r>
          </w:p>
        </w:tc>
        <w:tc>
          <w:tcPr>
            <w:tcW w:w="771" w:type="pct"/>
            <w:tcBorders>
              <w:top w:val="nil"/>
              <w:left w:val="nil"/>
              <w:bottom w:val="nil"/>
              <w:right w:val="nil"/>
            </w:tcBorders>
            <w:noWrap/>
            <w:vAlign w:val="center"/>
            <w:hideMark/>
          </w:tcPr>
          <w:p w14:paraId="5D5144A5" w14:textId="54748847" w:rsidR="007C7BDB" w:rsidRPr="00F65403" w:rsidRDefault="00D308C1" w:rsidP="00D308C1">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$000's</w:t>
            </w:r>
          </w:p>
        </w:tc>
      </w:tr>
      <w:tr w:rsidR="007C7BDB" w:rsidRPr="00CA725E" w14:paraId="5935D324" w14:textId="77777777" w:rsidTr="49BCD735">
        <w:tc>
          <w:tcPr>
            <w:tcW w:w="3458" w:type="pct"/>
            <w:tcBorders>
              <w:top w:val="nil"/>
              <w:left w:val="nil"/>
              <w:bottom w:val="nil"/>
              <w:right w:val="nil"/>
            </w:tcBorders>
            <w:vAlign w:val="center"/>
            <w:hideMark/>
          </w:tcPr>
          <w:p w14:paraId="0CBF48A8" w14:textId="77777777" w:rsidR="007C7BDB" w:rsidRPr="00F65403" w:rsidRDefault="007C7BDB">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performance</w:t>
            </w:r>
          </w:p>
        </w:tc>
        <w:tc>
          <w:tcPr>
            <w:tcW w:w="771" w:type="pct"/>
            <w:tcBorders>
              <w:top w:val="nil"/>
              <w:left w:val="nil"/>
              <w:bottom w:val="nil"/>
              <w:right w:val="nil"/>
            </w:tcBorders>
            <w:vAlign w:val="center"/>
            <w:hideMark/>
          </w:tcPr>
          <w:p w14:paraId="21531A31" w14:textId="77777777" w:rsidR="007C7BDB" w:rsidRPr="00F65403" w:rsidRDefault="007C7BDB">
            <w:pPr>
              <w:spacing w:after="0" w:line="240" w:lineRule="auto"/>
              <w:rPr>
                <w:rFonts w:eastAsia="Times New Roman" w:cs="Arial"/>
                <w:i/>
                <w:color w:val="000000"/>
                <w:sz w:val="20"/>
                <w:szCs w:val="20"/>
                <w:lang w:eastAsia="en-AU"/>
              </w:rPr>
            </w:pPr>
          </w:p>
        </w:tc>
        <w:tc>
          <w:tcPr>
            <w:tcW w:w="771" w:type="pct"/>
            <w:tcBorders>
              <w:top w:val="nil"/>
              <w:left w:val="nil"/>
              <w:bottom w:val="nil"/>
              <w:right w:val="nil"/>
            </w:tcBorders>
            <w:vAlign w:val="center"/>
            <w:hideMark/>
          </w:tcPr>
          <w:p w14:paraId="0C209662" w14:textId="77777777" w:rsidR="007C7BDB" w:rsidRPr="00F65403" w:rsidRDefault="007C7BDB">
            <w:pPr>
              <w:spacing w:after="0" w:line="240" w:lineRule="auto"/>
              <w:jc w:val="right"/>
              <w:rPr>
                <w:rFonts w:eastAsia="Times New Roman" w:cs="Arial"/>
                <w:sz w:val="20"/>
                <w:szCs w:val="20"/>
                <w:lang w:eastAsia="en-AU"/>
              </w:rPr>
            </w:pPr>
          </w:p>
        </w:tc>
      </w:tr>
      <w:tr w:rsidR="007C7BDB" w:rsidRPr="00CA725E" w14:paraId="5E83ACDB" w14:textId="77777777" w:rsidTr="49BCD735">
        <w:tc>
          <w:tcPr>
            <w:tcW w:w="3458" w:type="pct"/>
            <w:tcBorders>
              <w:top w:val="nil"/>
              <w:left w:val="nil"/>
              <w:bottom w:val="nil"/>
              <w:right w:val="nil"/>
            </w:tcBorders>
            <w:vAlign w:val="center"/>
            <w:hideMark/>
          </w:tcPr>
          <w:p w14:paraId="00F1E5FF" w14:textId="5CBA4098" w:rsidR="007C7BDB" w:rsidRPr="00F65403" w:rsidRDefault="00A37D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w:t>
            </w:r>
            <w:r w:rsidR="007C7BDB" w:rsidRPr="00F65403">
              <w:rPr>
                <w:rFonts w:eastAsia="Times New Roman" w:cs="Arial"/>
                <w:color w:val="000000"/>
                <w:sz w:val="20"/>
                <w:szCs w:val="20"/>
                <w:lang w:eastAsia="en-AU"/>
              </w:rPr>
              <w:t>oss for the period</w:t>
            </w:r>
          </w:p>
        </w:tc>
        <w:tc>
          <w:tcPr>
            <w:tcW w:w="771" w:type="pct"/>
            <w:tcBorders>
              <w:top w:val="nil"/>
              <w:left w:val="nil"/>
              <w:bottom w:val="nil"/>
              <w:right w:val="nil"/>
            </w:tcBorders>
            <w:noWrap/>
            <w:vAlign w:val="bottom"/>
            <w:hideMark/>
          </w:tcPr>
          <w:p w14:paraId="5B1119EA" w14:textId="02F36066" w:rsidR="007C7BDB" w:rsidRPr="00F65403" w:rsidRDefault="007C7BDB" w:rsidP="0010235E">
            <w:pPr>
              <w:tabs>
                <w:tab w:val="decimal" w:pos="1020"/>
              </w:tabs>
              <w:spacing w:after="0" w:line="240" w:lineRule="auto"/>
              <w:rPr>
                <w:rFonts w:eastAsia="Times New Roman" w:cs="Arial"/>
                <w:color w:val="000000"/>
                <w:sz w:val="20"/>
                <w:szCs w:val="20"/>
                <w:lang w:eastAsia="en-AU"/>
              </w:rPr>
            </w:pPr>
            <w:r w:rsidRPr="0010235E">
              <w:rPr>
                <w:rFonts w:eastAsia="Times New Roman" w:cs="Arial"/>
                <w:color w:val="000000"/>
                <w:sz w:val="20"/>
                <w:szCs w:val="20"/>
                <w:lang w:eastAsia="en-AU"/>
              </w:rPr>
              <w:t>(</w:t>
            </w:r>
            <w:r w:rsidR="002A7C67">
              <w:rPr>
                <w:rFonts w:eastAsia="Times New Roman" w:cs="Arial"/>
                <w:color w:val="000000"/>
                <w:sz w:val="20"/>
                <w:szCs w:val="20"/>
                <w:lang w:eastAsia="en-AU"/>
              </w:rPr>
              <w:t>23,499</w:t>
            </w:r>
            <w:r w:rsidRPr="0010235E">
              <w:rPr>
                <w:rFonts w:eastAsia="Times New Roman" w:cs="Arial"/>
                <w:color w:val="000000"/>
                <w:sz w:val="20"/>
                <w:szCs w:val="20"/>
                <w:lang w:eastAsia="en-AU"/>
              </w:rPr>
              <w:t>)</w:t>
            </w:r>
          </w:p>
        </w:tc>
        <w:tc>
          <w:tcPr>
            <w:tcW w:w="771" w:type="pct"/>
            <w:tcBorders>
              <w:top w:val="nil"/>
              <w:left w:val="nil"/>
              <w:bottom w:val="nil"/>
              <w:right w:val="nil"/>
            </w:tcBorders>
            <w:noWrap/>
            <w:vAlign w:val="bottom"/>
            <w:hideMark/>
          </w:tcPr>
          <w:p w14:paraId="3A1BFB47" w14:textId="77777777" w:rsidR="007C7BDB" w:rsidRPr="00F65403" w:rsidRDefault="007C7BDB" w:rsidP="0010235E">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(2,533)</w:t>
            </w:r>
          </w:p>
        </w:tc>
      </w:tr>
      <w:tr w:rsidR="007C7BDB" w:rsidRPr="00CA725E" w14:paraId="6D6BF30F" w14:textId="77777777" w:rsidTr="49BCD735">
        <w:tc>
          <w:tcPr>
            <w:tcW w:w="3458" w:type="pct"/>
            <w:tcBorders>
              <w:top w:val="nil"/>
              <w:left w:val="nil"/>
              <w:bottom w:val="nil"/>
              <w:right w:val="nil"/>
            </w:tcBorders>
            <w:vAlign w:val="center"/>
            <w:hideMark/>
          </w:tcPr>
          <w:p w14:paraId="7C8B3422" w14:textId="77777777" w:rsidR="007C7BDB" w:rsidRPr="00F65403" w:rsidRDefault="007C7BD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comprehensive income</w:t>
            </w:r>
          </w:p>
        </w:tc>
        <w:tc>
          <w:tcPr>
            <w:tcW w:w="771" w:type="pct"/>
            <w:tcBorders>
              <w:top w:val="nil"/>
              <w:left w:val="nil"/>
              <w:bottom w:val="nil"/>
              <w:right w:val="nil"/>
            </w:tcBorders>
            <w:vAlign w:val="center"/>
            <w:hideMark/>
          </w:tcPr>
          <w:p w14:paraId="035BEFBF" w14:textId="77777777" w:rsidR="007C7BDB" w:rsidRPr="00F65403" w:rsidRDefault="007C7BDB" w:rsidP="0010235E">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c>
          <w:tcPr>
            <w:tcW w:w="771" w:type="pct"/>
            <w:tcBorders>
              <w:top w:val="nil"/>
              <w:left w:val="nil"/>
              <w:bottom w:val="nil"/>
              <w:right w:val="nil"/>
            </w:tcBorders>
            <w:vAlign w:val="center"/>
            <w:hideMark/>
          </w:tcPr>
          <w:p w14:paraId="79091B5F" w14:textId="77777777" w:rsidR="007C7BDB" w:rsidRPr="00F65403" w:rsidRDefault="007C7BDB" w:rsidP="0010235E">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7C7BDB" w:rsidRPr="00CA725E" w14:paraId="58CAC1FF" w14:textId="77777777" w:rsidTr="49BCD735">
        <w:tc>
          <w:tcPr>
            <w:tcW w:w="3458" w:type="pct"/>
            <w:tcBorders>
              <w:top w:val="nil"/>
              <w:left w:val="nil"/>
              <w:bottom w:val="nil"/>
              <w:right w:val="nil"/>
            </w:tcBorders>
            <w:vAlign w:val="center"/>
            <w:hideMark/>
          </w:tcPr>
          <w:p w14:paraId="615887D9" w14:textId="551FD78B" w:rsidR="007C7BDB" w:rsidRPr="00F65403" w:rsidRDefault="007C7BD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comprehensive loss for the period</w:t>
            </w:r>
          </w:p>
        </w:tc>
        <w:tc>
          <w:tcPr>
            <w:tcW w:w="771" w:type="pct"/>
            <w:tcBorders>
              <w:top w:val="single" w:sz="4" w:space="0" w:color="auto"/>
              <w:left w:val="nil"/>
              <w:bottom w:val="single" w:sz="4" w:space="0" w:color="auto"/>
              <w:right w:val="nil"/>
            </w:tcBorders>
            <w:noWrap/>
            <w:vAlign w:val="bottom"/>
            <w:hideMark/>
          </w:tcPr>
          <w:p w14:paraId="1C608459" w14:textId="4DC5D9FB" w:rsidR="007C7BDB" w:rsidRPr="0056456F" w:rsidRDefault="007C7BDB" w:rsidP="0010235E">
            <w:pPr>
              <w:tabs>
                <w:tab w:val="decimal" w:pos="1020"/>
              </w:tabs>
              <w:spacing w:after="0" w:line="240" w:lineRule="auto"/>
              <w:rPr>
                <w:rFonts w:eastAsia="Times New Roman" w:cs="Arial"/>
                <w:b/>
                <w:bCs/>
                <w:color w:val="000000"/>
                <w:sz w:val="20"/>
                <w:szCs w:val="20"/>
                <w:lang w:eastAsia="en-AU"/>
              </w:rPr>
            </w:pPr>
            <w:r w:rsidRPr="0010235E">
              <w:rPr>
                <w:rFonts w:eastAsia="Times New Roman" w:cs="Arial"/>
                <w:b/>
                <w:bCs/>
                <w:color w:val="000000"/>
                <w:sz w:val="20"/>
                <w:szCs w:val="20"/>
                <w:lang w:eastAsia="en-AU"/>
              </w:rPr>
              <w:t>(</w:t>
            </w:r>
            <w:r w:rsidR="002A7C67">
              <w:rPr>
                <w:rFonts w:eastAsia="Times New Roman" w:cs="Arial"/>
                <w:b/>
                <w:bCs/>
                <w:color w:val="000000"/>
                <w:sz w:val="20"/>
                <w:szCs w:val="20"/>
                <w:lang w:eastAsia="en-AU"/>
              </w:rPr>
              <w:t>23,499</w:t>
            </w:r>
            <w:r w:rsidRPr="0010235E">
              <w:rPr>
                <w:rFonts w:eastAsia="Times New Roman" w:cs="Arial"/>
                <w:b/>
                <w:bCs/>
                <w:color w:val="000000"/>
                <w:sz w:val="20"/>
                <w:szCs w:val="20"/>
                <w:lang w:eastAsia="en-AU"/>
              </w:rPr>
              <w:t>)</w:t>
            </w:r>
          </w:p>
        </w:tc>
        <w:tc>
          <w:tcPr>
            <w:tcW w:w="771" w:type="pct"/>
            <w:tcBorders>
              <w:top w:val="single" w:sz="4" w:space="0" w:color="auto"/>
              <w:left w:val="nil"/>
              <w:bottom w:val="single" w:sz="4" w:space="0" w:color="auto"/>
              <w:right w:val="nil"/>
            </w:tcBorders>
            <w:noWrap/>
            <w:vAlign w:val="bottom"/>
            <w:hideMark/>
          </w:tcPr>
          <w:p w14:paraId="3DC20F1E" w14:textId="77777777" w:rsidR="007C7BDB" w:rsidRPr="0056456F" w:rsidRDefault="007C7BDB" w:rsidP="0010235E">
            <w:pPr>
              <w:tabs>
                <w:tab w:val="decimal" w:pos="1020"/>
              </w:tabs>
              <w:spacing w:after="0" w:line="240" w:lineRule="auto"/>
              <w:rPr>
                <w:rFonts w:eastAsia="Times New Roman" w:cs="Arial"/>
                <w:b/>
                <w:bCs/>
                <w:color w:val="000000"/>
                <w:sz w:val="20"/>
                <w:szCs w:val="20"/>
                <w:lang w:eastAsia="en-AU"/>
              </w:rPr>
            </w:pPr>
            <w:r w:rsidRPr="0056456F">
              <w:rPr>
                <w:rFonts w:eastAsia="Times New Roman" w:cs="Arial"/>
                <w:b/>
                <w:bCs/>
                <w:color w:val="000000"/>
                <w:sz w:val="20"/>
                <w:szCs w:val="20"/>
                <w:lang w:eastAsia="en-AU"/>
              </w:rPr>
              <w:t>(2,533)</w:t>
            </w:r>
          </w:p>
        </w:tc>
      </w:tr>
    </w:tbl>
    <w:p w14:paraId="75813424" w14:textId="77777777" w:rsidR="007C7BDB" w:rsidRPr="00F65403" w:rsidRDefault="007C7BDB" w:rsidP="007C7BDB">
      <w:pPr>
        <w:pStyle w:val="BodyText"/>
        <w:rPr>
          <w:lang w:val="en-AU"/>
        </w:rPr>
      </w:pPr>
    </w:p>
    <w:p w14:paraId="78BA477B" w14:textId="0B70683C" w:rsidR="007C7BDB" w:rsidRPr="00F65403" w:rsidRDefault="00144B04" w:rsidP="715E2D1C">
      <w:pPr>
        <w:pStyle w:val="Heading8"/>
      </w:pPr>
      <w:proofErr w:type="spellStart"/>
      <w:r>
        <w:t>i</w:t>
      </w:r>
      <w:proofErr w:type="spellEnd"/>
      <w:r>
        <w:t>.</w:t>
      </w:r>
      <w:r>
        <w:tab/>
      </w:r>
      <w:r w:rsidR="3EB3AF2F">
        <w:t xml:space="preserve">Guarantees entered into by the parent entity in relation to the debts of its subsidiaries </w:t>
      </w:r>
    </w:p>
    <w:p w14:paraId="1D552402" w14:textId="77777777" w:rsidR="007C7BDB" w:rsidRPr="00F65403" w:rsidRDefault="007C7BDB" w:rsidP="007C7BDB">
      <w:pPr>
        <w:pStyle w:val="BodyText"/>
        <w:rPr>
          <w:lang w:val="en-AU"/>
        </w:rPr>
      </w:pPr>
      <w:r w:rsidRPr="00F65403">
        <w:rPr>
          <w:lang w:val="en-AU"/>
        </w:rPr>
        <w:t xml:space="preserve">The Parent Entity has not guaranteed any debts of its subsidiaries (2024: Nil) </w:t>
      </w:r>
    </w:p>
    <w:p w14:paraId="665330F9" w14:textId="77777777" w:rsidR="007C7BDB" w:rsidRPr="00F65403" w:rsidRDefault="007C7BDB" w:rsidP="007C7BDB">
      <w:pPr>
        <w:pStyle w:val="BodyText"/>
        <w:rPr>
          <w:lang w:val="en-AU"/>
        </w:rPr>
      </w:pPr>
    </w:p>
    <w:p w14:paraId="208AAEE7" w14:textId="62033DEF" w:rsidR="007C7BDB" w:rsidRPr="00F65403" w:rsidRDefault="00144B04" w:rsidP="007C7BDB">
      <w:pPr>
        <w:pStyle w:val="Heading8"/>
      </w:pPr>
      <w:r>
        <w:t>ii.</w:t>
      </w:r>
      <w:r>
        <w:tab/>
      </w:r>
      <w:r w:rsidR="007C7BDB">
        <w:t xml:space="preserve">Contingent liabilities </w:t>
      </w:r>
    </w:p>
    <w:p w14:paraId="0364A3B8" w14:textId="77777777" w:rsidR="007C7BDB" w:rsidRPr="00F65403" w:rsidRDefault="007C7BDB" w:rsidP="007C7BDB">
      <w:pPr>
        <w:pStyle w:val="BodyText"/>
        <w:rPr>
          <w:lang w:val="en-AU"/>
        </w:rPr>
      </w:pPr>
      <w:r w:rsidRPr="00F65403">
        <w:rPr>
          <w:lang w:val="en-AU"/>
        </w:rPr>
        <w:t xml:space="preserve">There are no contingent liabilities of the Parent Entity at 30 June 2025 (2024: Nil). </w:t>
      </w:r>
    </w:p>
    <w:p w14:paraId="46E98E7A" w14:textId="77777777" w:rsidR="007C7BDB" w:rsidRPr="00F65403" w:rsidRDefault="007C7BDB" w:rsidP="007C7BDB">
      <w:pPr>
        <w:pStyle w:val="BodyText"/>
        <w:rPr>
          <w:lang w:val="en-AU"/>
        </w:rPr>
      </w:pPr>
    </w:p>
    <w:p w14:paraId="090BC6D9" w14:textId="64240F9F" w:rsidR="007C7BDB" w:rsidRPr="00F65403" w:rsidRDefault="00144B04" w:rsidP="007C7BDB">
      <w:pPr>
        <w:pStyle w:val="Heading8"/>
      </w:pPr>
      <w:r>
        <w:t>iii.</w:t>
      </w:r>
      <w:r>
        <w:tab/>
      </w:r>
      <w:r w:rsidR="007C7BDB">
        <w:t xml:space="preserve">Capital expenditure commitments </w:t>
      </w:r>
    </w:p>
    <w:p w14:paraId="23D83538" w14:textId="77777777" w:rsidR="007C7BDB" w:rsidRPr="00F65403" w:rsidRDefault="007C7BDB" w:rsidP="007C7BDB">
      <w:pPr>
        <w:pStyle w:val="BodyText"/>
        <w:rPr>
          <w:lang w:val="en-AU"/>
        </w:rPr>
      </w:pPr>
      <w:r w:rsidRPr="00F65403">
        <w:rPr>
          <w:lang w:val="en-AU"/>
        </w:rPr>
        <w:t>As at 30 June 2025, the Parent Entity had no commitments for the acquisition of property, plant and equipment (2024: Nil).</w:t>
      </w:r>
    </w:p>
    <w:p w14:paraId="4F987A7A" w14:textId="21140FC1" w:rsidR="00D06852" w:rsidRDefault="00D06852">
      <w:pPr>
        <w:rPr>
          <w:rFonts w:eastAsia="Arial" w:cs="Arial"/>
          <w:sz w:val="20"/>
          <w:szCs w:val="20"/>
        </w:rPr>
      </w:pPr>
      <w:r>
        <w:br w:type="page"/>
      </w:r>
    </w:p>
    <w:p w14:paraId="199523E5" w14:textId="3C281AA9" w:rsidR="0039406F" w:rsidRPr="00F65403" w:rsidRDefault="0039406F" w:rsidP="0039406F">
      <w:pPr>
        <w:pStyle w:val="Heading7"/>
      </w:pPr>
      <w:r w:rsidRPr="00F65403">
        <w:t xml:space="preserve">Acquisition of SEC Renewable Energy Park </w:t>
      </w:r>
      <w:r w:rsidR="00104757">
        <w:t>-</w:t>
      </w:r>
      <w:r w:rsidRPr="00F65403">
        <w:t xml:space="preserve"> Horsham </w:t>
      </w:r>
    </w:p>
    <w:p w14:paraId="098ED00D" w14:textId="5F30F3E4" w:rsidR="0039406F" w:rsidRPr="00F65403" w:rsidRDefault="0039406F" w:rsidP="0039406F">
      <w:pPr>
        <w:pStyle w:val="BodyText"/>
        <w:rPr>
          <w:lang w:val="en-AU"/>
        </w:rPr>
      </w:pPr>
      <w:r w:rsidRPr="00F65403">
        <w:rPr>
          <w:lang w:val="en-AU"/>
        </w:rPr>
        <w:t xml:space="preserve">On 5 September 2024, the Group acquired 100% of the issued shares Horsham Solar Farm 7 </w:t>
      </w:r>
      <w:proofErr w:type="spellStart"/>
      <w:r w:rsidRPr="00F65403">
        <w:rPr>
          <w:lang w:val="en-AU"/>
        </w:rPr>
        <w:t>HoldCo</w:t>
      </w:r>
      <w:proofErr w:type="spellEnd"/>
      <w:r w:rsidRPr="00F65403">
        <w:rPr>
          <w:lang w:val="en-AU"/>
        </w:rPr>
        <w:t xml:space="preserve"> Pty Ltd and its controlled entities (Horsham) from OX2 Holding Overseas AB (OX2) for cash consideration. This transaction resulted in SEC acquiring development rights to construct and operate a solar farm and associated battery energy storage system to be known as SEC Renewable Energy Park </w:t>
      </w:r>
      <w:r w:rsidR="00104757">
        <w:rPr>
          <w:lang w:val="en-AU"/>
        </w:rPr>
        <w:t>-</w:t>
      </w:r>
      <w:r w:rsidRPr="00F65403">
        <w:rPr>
          <w:lang w:val="en-AU"/>
        </w:rPr>
        <w:t xml:space="preserve"> Horsham.</w:t>
      </w:r>
    </w:p>
    <w:p w14:paraId="46D03D9E" w14:textId="77777777" w:rsidR="0039406F" w:rsidRPr="00F65403" w:rsidRDefault="0039406F" w:rsidP="0039406F">
      <w:pPr>
        <w:pStyle w:val="BodyText"/>
        <w:rPr>
          <w:lang w:val="en-AU"/>
        </w:rPr>
      </w:pPr>
    </w:p>
    <w:p w14:paraId="3DD8A765" w14:textId="77777777" w:rsidR="0039406F" w:rsidRPr="00F65403" w:rsidRDefault="0039406F" w:rsidP="0039406F">
      <w:pPr>
        <w:pStyle w:val="BodyText"/>
        <w:rPr>
          <w:lang w:val="en-AU"/>
        </w:rPr>
      </w:pPr>
      <w:r w:rsidRPr="00F65403">
        <w:rPr>
          <w:lang w:val="en-AU"/>
        </w:rPr>
        <w:t>The acquisition of Horsham was not accounted for as a business combination because the set of activities acquired did not meet the definition of a business. Where an acquisition does not meet the definition of a business, the transaction is accounted for as an asset acquisition. Identifiable assets acquired and any labilities assumed in the acquisition are measured at their relative fair values on acquisition. Costs directly attributable to the acquisition are capitalised.</w:t>
      </w:r>
    </w:p>
    <w:p w14:paraId="3B9AB518" w14:textId="77777777" w:rsidR="0039406F" w:rsidRPr="00F65403" w:rsidRDefault="0039406F" w:rsidP="0039406F">
      <w:pPr>
        <w:pStyle w:val="BodyText"/>
        <w:rPr>
          <w:lang w:val="en-AU"/>
        </w:rPr>
      </w:pPr>
    </w:p>
    <w:p w14:paraId="392226AC" w14:textId="77777777" w:rsidR="0039406F" w:rsidRPr="00F65403" w:rsidRDefault="0039406F" w:rsidP="0039406F">
      <w:pPr>
        <w:pStyle w:val="BodyText"/>
        <w:rPr>
          <w:lang w:val="en-AU"/>
        </w:rPr>
      </w:pPr>
      <w:r w:rsidRPr="00F65403">
        <w:rPr>
          <w:lang w:val="en-AU"/>
        </w:rPr>
        <w:t>Details of the purchase consideration and purchase price allocation to identifiable assets acquired are as follows:</w:t>
      </w:r>
    </w:p>
    <w:p w14:paraId="6E325CDD" w14:textId="77777777" w:rsidR="0039406F" w:rsidRPr="00F65403" w:rsidRDefault="0039406F" w:rsidP="0039406F">
      <w:pPr>
        <w:pStyle w:val="BodyText"/>
        <w:rPr>
          <w:lang w:val="en-AU"/>
        </w:rPr>
      </w:pPr>
    </w:p>
    <w:tbl>
      <w:tblPr>
        <w:tblW w:w="4952" w:type="pct"/>
        <w:tblLayout w:type="fixed"/>
        <w:tblCellMar>
          <w:top w:w="28" w:type="dxa"/>
          <w:left w:w="28" w:type="dxa"/>
          <w:bottom w:w="28" w:type="dxa"/>
          <w:right w:w="85" w:type="dxa"/>
        </w:tblCellMar>
        <w:tblLook w:val="04A0" w:firstRow="1" w:lastRow="0" w:firstColumn="1" w:lastColumn="0" w:noHBand="0" w:noVBand="1"/>
      </w:tblPr>
      <w:tblGrid>
        <w:gridCol w:w="7230"/>
        <w:gridCol w:w="708"/>
        <w:gridCol w:w="1001"/>
      </w:tblGrid>
      <w:tr w:rsidR="0039406F" w:rsidRPr="00A15857" w14:paraId="03A62A61" w14:textId="77777777" w:rsidTr="00AA3AC5">
        <w:trPr>
          <w:trHeight w:val="227"/>
        </w:trPr>
        <w:tc>
          <w:tcPr>
            <w:tcW w:w="4044" w:type="pct"/>
            <w:tcBorders>
              <w:top w:val="nil"/>
              <w:left w:val="nil"/>
              <w:bottom w:val="nil"/>
              <w:right w:val="nil"/>
            </w:tcBorders>
            <w:hideMark/>
          </w:tcPr>
          <w:p w14:paraId="1D2175F6" w14:textId="77777777" w:rsidR="0039406F" w:rsidRPr="00F65403" w:rsidRDefault="0039406F">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27B71298" w14:textId="77777777" w:rsidR="0039406F" w:rsidRPr="00F65403" w:rsidRDefault="0039406F">
            <w:pPr>
              <w:spacing w:after="0" w:line="240" w:lineRule="auto"/>
              <w:jc w:val="center"/>
              <w:rPr>
                <w:rFonts w:eastAsia="Times New Roman" w:cs="Arial"/>
                <w:b/>
                <w:sz w:val="20"/>
                <w:szCs w:val="20"/>
                <w:lang w:eastAsia="en-AU"/>
              </w:rPr>
            </w:pPr>
          </w:p>
        </w:tc>
        <w:tc>
          <w:tcPr>
            <w:tcW w:w="560" w:type="pct"/>
            <w:tcBorders>
              <w:top w:val="nil"/>
              <w:left w:val="nil"/>
              <w:bottom w:val="nil"/>
              <w:right w:val="nil"/>
            </w:tcBorders>
            <w:hideMark/>
          </w:tcPr>
          <w:p w14:paraId="35511BD9" w14:textId="77777777" w:rsidR="0039406F" w:rsidRPr="00F65403" w:rsidRDefault="0039406F">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2025</w:t>
            </w:r>
          </w:p>
        </w:tc>
      </w:tr>
      <w:tr w:rsidR="0039406F" w:rsidRPr="00A15857" w14:paraId="7F3AC7E1" w14:textId="77777777" w:rsidTr="00AA3AC5">
        <w:trPr>
          <w:trHeight w:val="227"/>
        </w:trPr>
        <w:tc>
          <w:tcPr>
            <w:tcW w:w="4044" w:type="pct"/>
            <w:tcBorders>
              <w:top w:val="nil"/>
              <w:left w:val="nil"/>
              <w:bottom w:val="nil"/>
              <w:right w:val="nil"/>
            </w:tcBorders>
            <w:noWrap/>
            <w:vAlign w:val="center"/>
            <w:hideMark/>
          </w:tcPr>
          <w:p w14:paraId="18B476D9" w14:textId="77777777" w:rsidR="0039406F" w:rsidRPr="00F65403" w:rsidRDefault="0039406F">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5E4031BB" w14:textId="77777777" w:rsidR="0039406F" w:rsidRPr="00F65403" w:rsidRDefault="0039406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Note</w:t>
            </w:r>
          </w:p>
        </w:tc>
        <w:tc>
          <w:tcPr>
            <w:tcW w:w="560" w:type="pct"/>
            <w:tcBorders>
              <w:top w:val="nil"/>
              <w:left w:val="nil"/>
              <w:bottom w:val="nil"/>
              <w:right w:val="nil"/>
            </w:tcBorders>
            <w:noWrap/>
            <w:hideMark/>
          </w:tcPr>
          <w:p w14:paraId="5FC0B709" w14:textId="77777777" w:rsidR="0039406F" w:rsidRPr="00F65403" w:rsidRDefault="0039406F">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39406F" w:rsidRPr="00A15857" w14:paraId="13943A56" w14:textId="77777777" w:rsidTr="00AA3AC5">
        <w:trPr>
          <w:trHeight w:val="227"/>
        </w:trPr>
        <w:tc>
          <w:tcPr>
            <w:tcW w:w="4044" w:type="pct"/>
            <w:tcBorders>
              <w:top w:val="nil"/>
              <w:left w:val="nil"/>
              <w:bottom w:val="nil"/>
              <w:right w:val="nil"/>
            </w:tcBorders>
            <w:noWrap/>
            <w:vAlign w:val="center"/>
            <w:hideMark/>
          </w:tcPr>
          <w:p w14:paraId="01963D27" w14:textId="192986AA" w:rsidR="0039406F" w:rsidRPr="00F65403" w:rsidRDefault="0039406F">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Cash consideration to acquire Horsham</w:t>
            </w:r>
          </w:p>
        </w:tc>
        <w:tc>
          <w:tcPr>
            <w:tcW w:w="396" w:type="pct"/>
            <w:tcBorders>
              <w:top w:val="nil"/>
              <w:left w:val="nil"/>
              <w:bottom w:val="nil"/>
              <w:right w:val="nil"/>
            </w:tcBorders>
          </w:tcPr>
          <w:p w14:paraId="7BB4ACD9" w14:textId="77777777" w:rsidR="0039406F" w:rsidRPr="00F65403" w:rsidRDefault="0039406F">
            <w:pPr>
              <w:spacing w:after="0" w:line="240" w:lineRule="auto"/>
              <w:jc w:val="center"/>
              <w:rPr>
                <w:rFonts w:eastAsia="Times New Roman" w:cs="Arial"/>
                <w:color w:val="000000"/>
                <w:sz w:val="20"/>
                <w:szCs w:val="20"/>
                <w:lang w:eastAsia="en-AU"/>
              </w:rPr>
            </w:pPr>
          </w:p>
        </w:tc>
        <w:tc>
          <w:tcPr>
            <w:tcW w:w="560" w:type="pct"/>
            <w:tcBorders>
              <w:top w:val="nil"/>
              <w:left w:val="nil"/>
              <w:right w:val="nil"/>
            </w:tcBorders>
            <w:noWrap/>
            <w:vAlign w:val="bottom"/>
            <w:hideMark/>
          </w:tcPr>
          <w:p w14:paraId="5D57FD10" w14:textId="5046105D" w:rsidR="0039406F" w:rsidRPr="00F65403" w:rsidRDefault="003A3FA5" w:rsidP="00664D75">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w:t>
            </w:r>
            <w:r w:rsidR="00664D75">
              <w:rPr>
                <w:rFonts w:eastAsia="Times New Roman" w:cs="Arial"/>
                <w:color w:val="000000"/>
                <w:sz w:val="20"/>
                <w:szCs w:val="20"/>
                <w:lang w:eastAsia="en-AU"/>
              </w:rPr>
              <w:t>,000</w:t>
            </w:r>
          </w:p>
        </w:tc>
      </w:tr>
      <w:tr w:rsidR="00664D75" w:rsidRPr="00A15857" w14:paraId="7BC4D8BA" w14:textId="77777777" w:rsidTr="00AA3AC5">
        <w:trPr>
          <w:trHeight w:val="227"/>
        </w:trPr>
        <w:tc>
          <w:tcPr>
            <w:tcW w:w="4044" w:type="pct"/>
            <w:tcBorders>
              <w:top w:val="nil"/>
              <w:left w:val="nil"/>
              <w:bottom w:val="nil"/>
              <w:right w:val="nil"/>
            </w:tcBorders>
            <w:noWrap/>
            <w:vAlign w:val="center"/>
          </w:tcPr>
          <w:p w14:paraId="6C1817FB" w14:textId="7FEA9043" w:rsidR="00664D75" w:rsidRPr="00F65403" w:rsidRDefault="00664D7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Deferred consideration</w:t>
            </w:r>
          </w:p>
        </w:tc>
        <w:tc>
          <w:tcPr>
            <w:tcW w:w="396" w:type="pct"/>
            <w:tcBorders>
              <w:top w:val="nil"/>
              <w:left w:val="nil"/>
              <w:right w:val="nil"/>
            </w:tcBorders>
          </w:tcPr>
          <w:p w14:paraId="735CE880" w14:textId="0049453A" w:rsidR="00664D75" w:rsidRPr="00F65403" w:rsidRDefault="00CC39E6">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8</w:t>
            </w:r>
          </w:p>
        </w:tc>
        <w:tc>
          <w:tcPr>
            <w:tcW w:w="560" w:type="pct"/>
            <w:tcBorders>
              <w:top w:val="nil"/>
              <w:left w:val="nil"/>
              <w:right w:val="nil"/>
            </w:tcBorders>
            <w:noWrap/>
            <w:vAlign w:val="bottom"/>
          </w:tcPr>
          <w:p w14:paraId="4E505B21" w14:textId="21C429FF" w:rsidR="00664D75" w:rsidRPr="00F65403" w:rsidRDefault="00310CEA" w:rsidP="00664D75">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w:t>
            </w:r>
            <w:r w:rsidR="00664D75">
              <w:rPr>
                <w:rFonts w:eastAsia="Times New Roman" w:cs="Arial"/>
                <w:color w:val="000000"/>
                <w:sz w:val="20"/>
                <w:szCs w:val="20"/>
                <w:lang w:eastAsia="en-AU"/>
              </w:rPr>
              <w:t>,000</w:t>
            </w:r>
          </w:p>
        </w:tc>
      </w:tr>
      <w:tr w:rsidR="0039406F" w:rsidRPr="00A15857" w14:paraId="654B3B1E" w14:textId="77777777" w:rsidTr="00AA3AC5">
        <w:trPr>
          <w:trHeight w:val="227"/>
        </w:trPr>
        <w:tc>
          <w:tcPr>
            <w:tcW w:w="4044" w:type="pct"/>
            <w:tcBorders>
              <w:top w:val="nil"/>
              <w:left w:val="nil"/>
              <w:bottom w:val="nil"/>
              <w:right w:val="nil"/>
            </w:tcBorders>
            <w:noWrap/>
            <w:vAlign w:val="center"/>
            <w:hideMark/>
          </w:tcPr>
          <w:p w14:paraId="388EC1D2" w14:textId="77777777" w:rsidR="0039406F" w:rsidRPr="00F65403" w:rsidRDefault="0039406F">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Directly attributable transaction costs capitalised</w:t>
            </w:r>
          </w:p>
        </w:tc>
        <w:tc>
          <w:tcPr>
            <w:tcW w:w="396" w:type="pct"/>
            <w:tcBorders>
              <w:top w:val="nil"/>
              <w:left w:val="nil"/>
              <w:right w:val="nil"/>
            </w:tcBorders>
          </w:tcPr>
          <w:p w14:paraId="57AE6131" w14:textId="77777777" w:rsidR="0039406F" w:rsidRPr="00F65403" w:rsidRDefault="0039406F">
            <w:pPr>
              <w:spacing w:after="0" w:line="240" w:lineRule="auto"/>
              <w:jc w:val="center"/>
              <w:rPr>
                <w:rFonts w:eastAsia="Times New Roman" w:cs="Arial"/>
                <w:color w:val="000000"/>
                <w:sz w:val="20"/>
                <w:szCs w:val="20"/>
                <w:lang w:eastAsia="en-AU"/>
              </w:rPr>
            </w:pPr>
          </w:p>
        </w:tc>
        <w:tc>
          <w:tcPr>
            <w:tcW w:w="560" w:type="pct"/>
            <w:tcBorders>
              <w:left w:val="nil"/>
              <w:bottom w:val="single" w:sz="4" w:space="0" w:color="auto"/>
              <w:right w:val="nil"/>
            </w:tcBorders>
            <w:noWrap/>
            <w:vAlign w:val="bottom"/>
            <w:hideMark/>
          </w:tcPr>
          <w:p w14:paraId="57D36EB7" w14:textId="2AEEA89D" w:rsidR="0039406F" w:rsidRPr="00F65403" w:rsidRDefault="00664D75" w:rsidP="00664D75">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749</w:t>
            </w:r>
            <w:r w:rsidR="0039406F" w:rsidRPr="00F65403">
              <w:rPr>
                <w:rFonts w:eastAsia="Times New Roman" w:cs="Arial"/>
                <w:color w:val="000000"/>
                <w:sz w:val="20"/>
                <w:szCs w:val="20"/>
                <w:lang w:eastAsia="en-AU"/>
              </w:rPr>
              <w:t xml:space="preserve"> </w:t>
            </w:r>
          </w:p>
        </w:tc>
      </w:tr>
      <w:tr w:rsidR="0039406F" w:rsidRPr="00A15857" w14:paraId="113815BE" w14:textId="77777777" w:rsidTr="00AA3AC5">
        <w:trPr>
          <w:trHeight w:val="227"/>
        </w:trPr>
        <w:tc>
          <w:tcPr>
            <w:tcW w:w="4044" w:type="pct"/>
            <w:tcBorders>
              <w:top w:val="nil"/>
              <w:left w:val="nil"/>
              <w:bottom w:val="nil"/>
              <w:right w:val="nil"/>
            </w:tcBorders>
            <w:noWrap/>
            <w:vAlign w:val="center"/>
            <w:hideMark/>
          </w:tcPr>
          <w:p w14:paraId="1227E989" w14:textId="77777777" w:rsidR="0039406F" w:rsidRPr="00F65403" w:rsidRDefault="0039406F">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Total</w:t>
            </w:r>
          </w:p>
        </w:tc>
        <w:tc>
          <w:tcPr>
            <w:tcW w:w="396" w:type="pct"/>
            <w:tcBorders>
              <w:top w:val="nil"/>
              <w:left w:val="nil"/>
              <w:bottom w:val="nil"/>
              <w:right w:val="nil"/>
            </w:tcBorders>
          </w:tcPr>
          <w:p w14:paraId="2036D502" w14:textId="77777777" w:rsidR="0039406F" w:rsidRPr="00F65403" w:rsidRDefault="0039406F">
            <w:pPr>
              <w:spacing w:after="0" w:line="240" w:lineRule="auto"/>
              <w:jc w:val="center"/>
              <w:rPr>
                <w:rFonts w:eastAsia="Times New Roman" w:cs="Arial"/>
                <w:b/>
                <w:color w:val="000000"/>
                <w:sz w:val="20"/>
                <w:szCs w:val="20"/>
                <w:lang w:eastAsia="en-AU"/>
              </w:rPr>
            </w:pPr>
          </w:p>
        </w:tc>
        <w:tc>
          <w:tcPr>
            <w:tcW w:w="560" w:type="pct"/>
            <w:tcBorders>
              <w:top w:val="single" w:sz="4" w:space="0" w:color="auto"/>
              <w:left w:val="nil"/>
              <w:bottom w:val="single" w:sz="4" w:space="0" w:color="auto"/>
              <w:right w:val="nil"/>
            </w:tcBorders>
            <w:noWrap/>
            <w:vAlign w:val="bottom"/>
            <w:hideMark/>
          </w:tcPr>
          <w:p w14:paraId="729675F4" w14:textId="20C746EF" w:rsidR="0039406F" w:rsidRPr="00F65403" w:rsidRDefault="00664D75" w:rsidP="00664D75">
            <w:pPr>
              <w:tabs>
                <w:tab w:val="decimal" w:pos="95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13,749</w:t>
            </w:r>
            <w:r w:rsidR="0039406F" w:rsidRPr="00F65403">
              <w:rPr>
                <w:rFonts w:eastAsia="Times New Roman" w:cs="Arial"/>
                <w:b/>
                <w:color w:val="000000"/>
                <w:sz w:val="20"/>
                <w:szCs w:val="20"/>
                <w:lang w:eastAsia="en-AU"/>
              </w:rPr>
              <w:t xml:space="preserve"> </w:t>
            </w:r>
          </w:p>
        </w:tc>
      </w:tr>
      <w:tr w:rsidR="0039406F" w:rsidRPr="00A15857" w14:paraId="0140D770" w14:textId="77777777" w:rsidTr="00AA3AC5">
        <w:trPr>
          <w:trHeight w:val="227"/>
        </w:trPr>
        <w:tc>
          <w:tcPr>
            <w:tcW w:w="4044" w:type="pct"/>
            <w:tcBorders>
              <w:top w:val="nil"/>
              <w:left w:val="nil"/>
              <w:bottom w:val="nil"/>
              <w:right w:val="nil"/>
            </w:tcBorders>
            <w:noWrap/>
            <w:vAlign w:val="center"/>
            <w:hideMark/>
          </w:tcPr>
          <w:p w14:paraId="2FA6D67E" w14:textId="77777777" w:rsidR="0039406F" w:rsidRPr="00F65403" w:rsidRDefault="0039406F">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2E7F69A7" w14:textId="77777777" w:rsidR="0039406F" w:rsidRPr="00F65403" w:rsidRDefault="0039406F">
            <w:pPr>
              <w:spacing w:after="0" w:line="240" w:lineRule="auto"/>
              <w:jc w:val="center"/>
              <w:rPr>
                <w:rFonts w:eastAsia="Times New Roman" w:cs="Arial"/>
                <w:sz w:val="20"/>
                <w:szCs w:val="20"/>
                <w:lang w:eastAsia="en-AU"/>
              </w:rPr>
            </w:pPr>
          </w:p>
        </w:tc>
        <w:tc>
          <w:tcPr>
            <w:tcW w:w="560" w:type="pct"/>
            <w:tcBorders>
              <w:top w:val="single" w:sz="4" w:space="0" w:color="auto"/>
              <w:left w:val="nil"/>
              <w:bottom w:val="nil"/>
              <w:right w:val="nil"/>
            </w:tcBorders>
            <w:noWrap/>
            <w:vAlign w:val="bottom"/>
            <w:hideMark/>
          </w:tcPr>
          <w:p w14:paraId="69050940" w14:textId="77777777" w:rsidR="0039406F" w:rsidRPr="00F65403" w:rsidRDefault="0039406F">
            <w:pPr>
              <w:tabs>
                <w:tab w:val="decimal" w:pos="958"/>
              </w:tabs>
              <w:spacing w:after="0" w:line="240" w:lineRule="auto"/>
              <w:rPr>
                <w:rFonts w:eastAsia="Times New Roman" w:cs="Arial"/>
                <w:sz w:val="20"/>
                <w:szCs w:val="20"/>
                <w:lang w:eastAsia="en-AU"/>
              </w:rPr>
            </w:pPr>
          </w:p>
        </w:tc>
      </w:tr>
      <w:tr w:rsidR="00664D75" w:rsidRPr="00A15857" w14:paraId="2D1BD3D4" w14:textId="77777777" w:rsidTr="00AA3AC5">
        <w:trPr>
          <w:trHeight w:val="227"/>
        </w:trPr>
        <w:tc>
          <w:tcPr>
            <w:tcW w:w="4044" w:type="pct"/>
            <w:tcBorders>
              <w:top w:val="nil"/>
              <w:left w:val="nil"/>
              <w:bottom w:val="nil"/>
              <w:right w:val="nil"/>
            </w:tcBorders>
            <w:noWrap/>
            <w:vAlign w:val="center"/>
            <w:hideMark/>
          </w:tcPr>
          <w:p w14:paraId="2F95887B" w14:textId="17F905A2" w:rsidR="00664D75" w:rsidRPr="00F65403" w:rsidRDefault="00D62195" w:rsidP="00664D7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Recognised as a</w:t>
            </w:r>
            <w:r w:rsidR="00664D75" w:rsidRPr="00F65403">
              <w:rPr>
                <w:rFonts w:eastAsia="Times New Roman" w:cs="Arial"/>
                <w:color w:val="000000"/>
                <w:sz w:val="20"/>
                <w:szCs w:val="20"/>
                <w:lang w:eastAsia="en-AU"/>
              </w:rPr>
              <w:t>ssets under construction</w:t>
            </w:r>
          </w:p>
        </w:tc>
        <w:tc>
          <w:tcPr>
            <w:tcW w:w="396" w:type="pct"/>
            <w:tcBorders>
              <w:top w:val="nil"/>
              <w:left w:val="nil"/>
              <w:right w:val="nil"/>
            </w:tcBorders>
          </w:tcPr>
          <w:p w14:paraId="16A19148" w14:textId="4759E447" w:rsidR="00664D75" w:rsidRPr="00F65403" w:rsidRDefault="00F77370" w:rsidP="00664D75">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w:t>
            </w:r>
          </w:p>
        </w:tc>
        <w:tc>
          <w:tcPr>
            <w:tcW w:w="560" w:type="pct"/>
            <w:tcBorders>
              <w:top w:val="nil"/>
              <w:left w:val="nil"/>
              <w:bottom w:val="single" w:sz="4" w:space="0" w:color="auto"/>
              <w:right w:val="nil"/>
            </w:tcBorders>
            <w:noWrap/>
            <w:vAlign w:val="bottom"/>
            <w:hideMark/>
          </w:tcPr>
          <w:p w14:paraId="4F4F37C8" w14:textId="5E975C1F" w:rsidR="00664D75" w:rsidRPr="00664D75" w:rsidRDefault="00664D75" w:rsidP="00664D75">
            <w:pPr>
              <w:tabs>
                <w:tab w:val="decimal" w:pos="958"/>
              </w:tabs>
              <w:spacing w:after="0" w:line="240" w:lineRule="auto"/>
              <w:rPr>
                <w:rFonts w:eastAsia="Times New Roman" w:cs="Arial"/>
                <w:bCs/>
                <w:color w:val="000000"/>
                <w:sz w:val="20"/>
                <w:szCs w:val="20"/>
                <w:lang w:eastAsia="en-AU"/>
              </w:rPr>
            </w:pPr>
            <w:r w:rsidRPr="00D15AF6">
              <w:rPr>
                <w:rFonts w:eastAsia="Times New Roman" w:cs="Arial"/>
                <w:color w:val="000000"/>
                <w:sz w:val="20"/>
                <w:szCs w:val="20"/>
                <w:lang w:eastAsia="en-AU"/>
              </w:rPr>
              <w:t xml:space="preserve">13,749 </w:t>
            </w:r>
          </w:p>
        </w:tc>
      </w:tr>
      <w:tr w:rsidR="00664D75" w:rsidRPr="00A15857" w14:paraId="69861B1C" w14:textId="77777777" w:rsidTr="00AA3AC5">
        <w:trPr>
          <w:trHeight w:val="227"/>
        </w:trPr>
        <w:tc>
          <w:tcPr>
            <w:tcW w:w="4044" w:type="pct"/>
            <w:tcBorders>
              <w:top w:val="nil"/>
              <w:left w:val="nil"/>
              <w:bottom w:val="nil"/>
              <w:right w:val="nil"/>
            </w:tcBorders>
            <w:noWrap/>
            <w:vAlign w:val="center"/>
            <w:hideMark/>
          </w:tcPr>
          <w:p w14:paraId="1F9A37D8" w14:textId="77777777" w:rsidR="00664D75" w:rsidRPr="00F65403" w:rsidRDefault="00664D75" w:rsidP="00664D75">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Total assets acquired</w:t>
            </w:r>
          </w:p>
        </w:tc>
        <w:tc>
          <w:tcPr>
            <w:tcW w:w="396" w:type="pct"/>
            <w:tcBorders>
              <w:top w:val="nil"/>
              <w:left w:val="nil"/>
              <w:bottom w:val="nil"/>
              <w:right w:val="nil"/>
            </w:tcBorders>
          </w:tcPr>
          <w:p w14:paraId="7A5D2C69" w14:textId="77777777" w:rsidR="00664D75" w:rsidRPr="00F65403" w:rsidRDefault="00664D75" w:rsidP="00664D75">
            <w:pPr>
              <w:spacing w:after="0" w:line="240" w:lineRule="auto"/>
              <w:jc w:val="center"/>
              <w:rPr>
                <w:rFonts w:eastAsia="Times New Roman" w:cs="Arial"/>
                <w:b/>
                <w:color w:val="000000"/>
                <w:sz w:val="20"/>
                <w:szCs w:val="20"/>
                <w:lang w:eastAsia="en-AU"/>
              </w:rPr>
            </w:pPr>
          </w:p>
        </w:tc>
        <w:tc>
          <w:tcPr>
            <w:tcW w:w="560" w:type="pct"/>
            <w:tcBorders>
              <w:top w:val="single" w:sz="4" w:space="0" w:color="auto"/>
              <w:left w:val="nil"/>
              <w:bottom w:val="single" w:sz="4" w:space="0" w:color="auto"/>
              <w:right w:val="nil"/>
            </w:tcBorders>
            <w:noWrap/>
            <w:vAlign w:val="bottom"/>
            <w:hideMark/>
          </w:tcPr>
          <w:p w14:paraId="637DBB44" w14:textId="6FB5F36A" w:rsidR="00664D75" w:rsidRPr="00F65403" w:rsidRDefault="00664D75" w:rsidP="00664D75">
            <w:pPr>
              <w:tabs>
                <w:tab w:val="decimal" w:pos="958"/>
              </w:tabs>
              <w:spacing w:after="0" w:line="240" w:lineRule="auto"/>
              <w:rPr>
                <w:rFonts w:eastAsia="Times New Roman" w:cs="Arial"/>
                <w:b/>
                <w:color w:val="000000"/>
                <w:sz w:val="20"/>
                <w:szCs w:val="20"/>
                <w:lang w:eastAsia="en-AU"/>
              </w:rPr>
            </w:pPr>
            <w:r w:rsidRPr="00655641">
              <w:rPr>
                <w:rFonts w:eastAsia="Times New Roman" w:cs="Arial"/>
                <w:b/>
                <w:color w:val="000000"/>
                <w:sz w:val="20"/>
                <w:szCs w:val="20"/>
                <w:lang w:eastAsia="en-AU"/>
              </w:rPr>
              <w:t xml:space="preserve">13,749 </w:t>
            </w:r>
          </w:p>
        </w:tc>
      </w:tr>
    </w:tbl>
    <w:p w14:paraId="6EE3B36C" w14:textId="67BBE14D" w:rsidR="00FD2568" w:rsidRDefault="00664D75" w:rsidP="00AA3AC5">
      <w:pPr>
        <w:pStyle w:val="BodyText"/>
        <w:rPr>
          <w:rStyle w:val="Heading7Char"/>
        </w:rPr>
      </w:pPr>
      <w:r>
        <w:rPr>
          <w:lang w:val="en-AU"/>
        </w:rPr>
        <w:br/>
      </w:r>
      <w:r w:rsidR="002420CE">
        <w:rPr>
          <w:lang w:val="en-AU"/>
        </w:rPr>
        <w:t xml:space="preserve">Deferred consideration is payable on </w:t>
      </w:r>
      <w:r w:rsidR="00F553A7">
        <w:rPr>
          <w:lang w:val="en-AU"/>
        </w:rPr>
        <w:t xml:space="preserve">key </w:t>
      </w:r>
      <w:r w:rsidR="002420CE">
        <w:rPr>
          <w:lang w:val="en-AU"/>
        </w:rPr>
        <w:t xml:space="preserve">project milestones achieved </w:t>
      </w:r>
      <w:r w:rsidR="002C16B5">
        <w:rPr>
          <w:lang w:val="en-AU"/>
        </w:rPr>
        <w:t xml:space="preserve">including solar energisation, BESS </w:t>
      </w:r>
      <w:r w:rsidR="005412C4">
        <w:rPr>
          <w:lang w:val="en-AU"/>
        </w:rPr>
        <w:t xml:space="preserve">(battery energy storage system) </w:t>
      </w:r>
      <w:r w:rsidR="002C16B5">
        <w:rPr>
          <w:lang w:val="en-AU"/>
        </w:rPr>
        <w:t>energisation and commercial operations date.</w:t>
      </w:r>
      <w:r w:rsidR="002420CE">
        <w:rPr>
          <w:lang w:val="en-AU"/>
        </w:rPr>
        <w:t xml:space="preserve"> </w:t>
      </w:r>
      <w:r w:rsidR="00BB3136">
        <w:rPr>
          <w:lang w:val="en-AU"/>
        </w:rPr>
        <w:br/>
      </w:r>
    </w:p>
    <w:p w14:paraId="4A2428D7" w14:textId="77777777" w:rsidR="004155DD" w:rsidRPr="00F65403" w:rsidRDefault="004155DD" w:rsidP="004155DD">
      <w:pPr>
        <w:pStyle w:val="Heading7"/>
        <w:rPr>
          <w:rStyle w:val="Heading7Char"/>
          <w:b/>
        </w:rPr>
      </w:pPr>
      <w:r w:rsidRPr="00F65403">
        <w:rPr>
          <w:rStyle w:val="Heading7Char"/>
          <w:b/>
        </w:rPr>
        <w:t>Interests in equity accounted investees</w:t>
      </w:r>
    </w:p>
    <w:p w14:paraId="683FAAF3" w14:textId="540F6634" w:rsidR="004155DD" w:rsidRPr="00F65403" w:rsidRDefault="004155DD" w:rsidP="004155DD">
      <w:pPr>
        <w:pStyle w:val="BodyText"/>
        <w:rPr>
          <w:lang w:val="en-AU"/>
        </w:rPr>
      </w:pPr>
      <w:r w:rsidRPr="00F65403">
        <w:rPr>
          <w:lang w:val="en-AU"/>
        </w:rPr>
        <w:t xml:space="preserve">Set out below are the associates and joint ventures which are material to the Group at 30 June 2025. </w:t>
      </w:r>
    </w:p>
    <w:p w14:paraId="6D8E2D3A" w14:textId="77777777" w:rsidR="004155DD" w:rsidRPr="00F65403" w:rsidRDefault="004155DD" w:rsidP="004155DD">
      <w:pPr>
        <w:pStyle w:val="BodyText"/>
        <w:rPr>
          <w:lang w:val="en-AU"/>
        </w:rPr>
      </w:pPr>
    </w:p>
    <w:p w14:paraId="36D16B5B" w14:textId="493308D7" w:rsidR="004155DD" w:rsidRPr="00F65403" w:rsidRDefault="004155DD" w:rsidP="004155DD">
      <w:pPr>
        <w:pStyle w:val="BodyText"/>
        <w:rPr>
          <w:lang w:val="en-AU"/>
        </w:rPr>
      </w:pPr>
      <w:r w:rsidRPr="00F65403">
        <w:rPr>
          <w:lang w:val="en-AU"/>
        </w:rPr>
        <w:t>All entities are incorporated and operate in Australia. Ownership interest remains unchanged from 30 June 2024.</w:t>
      </w:r>
    </w:p>
    <w:tbl>
      <w:tblPr>
        <w:tblStyle w:val="TableGrid"/>
        <w:tblW w:w="4992" w:type="pct"/>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95"/>
        <w:gridCol w:w="1092"/>
        <w:gridCol w:w="1033"/>
        <w:gridCol w:w="1191"/>
        <w:gridCol w:w="935"/>
        <w:gridCol w:w="1033"/>
        <w:gridCol w:w="1033"/>
      </w:tblGrid>
      <w:tr w:rsidR="00416DBF" w:rsidRPr="00172070" w14:paraId="0C42D18B" w14:textId="77777777" w:rsidTr="00AA3AC5">
        <w:trPr>
          <w:trHeight w:val="227"/>
        </w:trPr>
        <w:tc>
          <w:tcPr>
            <w:tcW w:w="1495" w:type="pct"/>
            <w:tcBorders>
              <w:top w:val="nil"/>
              <w:bottom w:val="nil"/>
            </w:tcBorders>
            <w:vAlign w:val="bottom"/>
          </w:tcPr>
          <w:p w14:paraId="1B105409" w14:textId="77777777" w:rsidR="00416DBF" w:rsidRPr="00F65403" w:rsidRDefault="00416DBF">
            <w:pPr>
              <w:jc w:val="center"/>
              <w:rPr>
                <w:rFonts w:eastAsia="Times New Roman" w:cs="Arial"/>
                <w:b/>
                <w:color w:val="000000"/>
                <w:sz w:val="20"/>
                <w:szCs w:val="20"/>
                <w:lang w:eastAsia="en-AU"/>
              </w:rPr>
            </w:pPr>
          </w:p>
        </w:tc>
        <w:tc>
          <w:tcPr>
            <w:tcW w:w="606" w:type="pct"/>
            <w:tcBorders>
              <w:top w:val="nil"/>
              <w:bottom w:val="nil"/>
            </w:tcBorders>
            <w:vAlign w:val="bottom"/>
          </w:tcPr>
          <w:p w14:paraId="5C749CCF" w14:textId="77777777" w:rsidR="00416DBF" w:rsidRPr="00F65403" w:rsidRDefault="00416DBF">
            <w:pPr>
              <w:jc w:val="center"/>
              <w:rPr>
                <w:rFonts w:eastAsia="Times New Roman" w:cs="Arial"/>
                <w:b/>
                <w:color w:val="000000"/>
                <w:sz w:val="20"/>
                <w:szCs w:val="20"/>
                <w:lang w:eastAsia="en-AU"/>
              </w:rPr>
            </w:pPr>
          </w:p>
        </w:tc>
        <w:tc>
          <w:tcPr>
            <w:tcW w:w="573" w:type="pct"/>
            <w:tcBorders>
              <w:top w:val="nil"/>
              <w:bottom w:val="nil"/>
            </w:tcBorders>
          </w:tcPr>
          <w:p w14:paraId="62468947" w14:textId="77777777" w:rsidR="00416DBF" w:rsidRPr="00F65403" w:rsidRDefault="00416DBF">
            <w:pPr>
              <w:jc w:val="center"/>
              <w:rPr>
                <w:rFonts w:eastAsia="Times New Roman" w:cs="Arial"/>
                <w:b/>
                <w:color w:val="000000"/>
                <w:sz w:val="20"/>
                <w:szCs w:val="20"/>
                <w:lang w:eastAsia="en-AU"/>
              </w:rPr>
            </w:pPr>
          </w:p>
        </w:tc>
        <w:tc>
          <w:tcPr>
            <w:tcW w:w="661" w:type="pct"/>
            <w:tcBorders>
              <w:top w:val="nil"/>
              <w:bottom w:val="nil"/>
            </w:tcBorders>
            <w:vAlign w:val="bottom"/>
          </w:tcPr>
          <w:p w14:paraId="00B08C3E" w14:textId="26609526" w:rsidR="00416DBF" w:rsidRPr="00F65403" w:rsidRDefault="00416DBF">
            <w:pPr>
              <w:jc w:val="center"/>
              <w:rPr>
                <w:rFonts w:eastAsia="Times New Roman" w:cs="Arial"/>
                <w:b/>
                <w:color w:val="000000"/>
                <w:sz w:val="20"/>
                <w:szCs w:val="20"/>
                <w:lang w:eastAsia="en-AU"/>
              </w:rPr>
            </w:pPr>
          </w:p>
        </w:tc>
        <w:tc>
          <w:tcPr>
            <w:tcW w:w="519" w:type="pct"/>
            <w:tcBorders>
              <w:top w:val="nil"/>
              <w:bottom w:val="nil"/>
            </w:tcBorders>
            <w:vAlign w:val="bottom"/>
          </w:tcPr>
          <w:p w14:paraId="1000CE3D" w14:textId="77777777" w:rsidR="00416DBF" w:rsidRPr="00F65403" w:rsidRDefault="00416DBF">
            <w:pPr>
              <w:jc w:val="center"/>
              <w:rPr>
                <w:rFonts w:eastAsia="Times New Roman" w:cs="Arial"/>
                <w:b/>
                <w:color w:val="000000"/>
                <w:sz w:val="20"/>
                <w:szCs w:val="20"/>
                <w:lang w:eastAsia="en-AU"/>
              </w:rPr>
            </w:pPr>
          </w:p>
        </w:tc>
        <w:tc>
          <w:tcPr>
            <w:tcW w:w="1146" w:type="pct"/>
            <w:gridSpan w:val="2"/>
            <w:tcBorders>
              <w:top w:val="nil"/>
              <w:bottom w:val="nil"/>
            </w:tcBorders>
            <w:vAlign w:val="bottom"/>
          </w:tcPr>
          <w:p w14:paraId="09F4B7FB"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r>
      <w:tr w:rsidR="00416DBF" w:rsidRPr="0009330D" w14:paraId="2562FB6B" w14:textId="77777777" w:rsidTr="00AA3AC5">
        <w:trPr>
          <w:trHeight w:val="227"/>
        </w:trPr>
        <w:tc>
          <w:tcPr>
            <w:tcW w:w="1495" w:type="pct"/>
            <w:tcBorders>
              <w:top w:val="nil"/>
              <w:bottom w:val="single" w:sz="4" w:space="0" w:color="auto"/>
            </w:tcBorders>
            <w:vAlign w:val="bottom"/>
          </w:tcPr>
          <w:p w14:paraId="7A6D89E9"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Name of entity</w:t>
            </w:r>
          </w:p>
        </w:tc>
        <w:tc>
          <w:tcPr>
            <w:tcW w:w="606" w:type="pct"/>
            <w:tcBorders>
              <w:top w:val="nil"/>
              <w:bottom w:val="single" w:sz="4" w:space="0" w:color="auto"/>
            </w:tcBorders>
            <w:vAlign w:val="bottom"/>
          </w:tcPr>
          <w:p w14:paraId="5750B1FB"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Ownership interest</w:t>
            </w:r>
          </w:p>
        </w:tc>
        <w:tc>
          <w:tcPr>
            <w:tcW w:w="573" w:type="pct"/>
            <w:tcBorders>
              <w:top w:val="nil"/>
              <w:bottom w:val="single" w:sz="4" w:space="0" w:color="auto"/>
            </w:tcBorders>
          </w:tcPr>
          <w:p w14:paraId="752F706A" w14:textId="1EE3777D" w:rsidR="00416DBF" w:rsidRPr="00F65403" w:rsidRDefault="00416DBF">
            <w:pPr>
              <w:jc w:val="center"/>
              <w:rPr>
                <w:rFonts w:eastAsia="Times New Roman" w:cs="Arial"/>
                <w:b/>
                <w:color w:val="000000"/>
                <w:sz w:val="20"/>
                <w:szCs w:val="20"/>
                <w:lang w:eastAsia="en-AU"/>
              </w:rPr>
            </w:pPr>
            <w:r>
              <w:rPr>
                <w:rFonts w:eastAsia="Times New Roman" w:cs="Arial"/>
                <w:b/>
                <w:color w:val="000000"/>
                <w:sz w:val="20"/>
                <w:szCs w:val="20"/>
                <w:lang w:eastAsia="en-AU"/>
              </w:rPr>
              <w:t>Voting rights</w:t>
            </w:r>
          </w:p>
        </w:tc>
        <w:tc>
          <w:tcPr>
            <w:tcW w:w="661" w:type="pct"/>
            <w:tcBorders>
              <w:top w:val="nil"/>
              <w:bottom w:val="single" w:sz="4" w:space="0" w:color="auto"/>
            </w:tcBorders>
            <w:vAlign w:val="bottom"/>
          </w:tcPr>
          <w:p w14:paraId="4DC8D5DB" w14:textId="0AF1B16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Nature of relationship</w:t>
            </w:r>
          </w:p>
        </w:tc>
        <w:tc>
          <w:tcPr>
            <w:tcW w:w="519" w:type="pct"/>
            <w:tcBorders>
              <w:top w:val="nil"/>
              <w:bottom w:val="single" w:sz="4" w:space="0" w:color="auto"/>
            </w:tcBorders>
            <w:vAlign w:val="bottom"/>
          </w:tcPr>
          <w:p w14:paraId="2CC10D13"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Method</w:t>
            </w:r>
          </w:p>
        </w:tc>
        <w:tc>
          <w:tcPr>
            <w:tcW w:w="573" w:type="pct"/>
            <w:tcBorders>
              <w:top w:val="nil"/>
              <w:bottom w:val="single" w:sz="4" w:space="0" w:color="auto"/>
            </w:tcBorders>
            <w:vAlign w:val="bottom"/>
          </w:tcPr>
          <w:p w14:paraId="051F5591"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573" w:type="pct"/>
            <w:tcBorders>
              <w:top w:val="nil"/>
              <w:bottom w:val="single" w:sz="4" w:space="0" w:color="auto"/>
            </w:tcBorders>
            <w:vAlign w:val="bottom"/>
          </w:tcPr>
          <w:p w14:paraId="1E224FFA"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416DBF" w:rsidRPr="00172070" w14:paraId="12D35E2D" w14:textId="77777777" w:rsidTr="00AA3AC5">
        <w:trPr>
          <w:trHeight w:val="227"/>
        </w:trPr>
        <w:tc>
          <w:tcPr>
            <w:tcW w:w="1495" w:type="pct"/>
            <w:tcBorders>
              <w:top w:val="single" w:sz="4" w:space="0" w:color="auto"/>
              <w:bottom w:val="nil"/>
            </w:tcBorders>
            <w:vAlign w:val="bottom"/>
          </w:tcPr>
          <w:p w14:paraId="61540A4A" w14:textId="77777777" w:rsidR="00416DBF" w:rsidRPr="00F65403" w:rsidRDefault="00416DBF">
            <w:pPr>
              <w:jc w:val="center"/>
              <w:rPr>
                <w:rFonts w:eastAsia="Times New Roman" w:cs="Arial"/>
                <w:b/>
                <w:color w:val="000000"/>
                <w:sz w:val="20"/>
                <w:szCs w:val="20"/>
                <w:lang w:eastAsia="en-AU"/>
              </w:rPr>
            </w:pPr>
          </w:p>
        </w:tc>
        <w:tc>
          <w:tcPr>
            <w:tcW w:w="606" w:type="pct"/>
            <w:tcBorders>
              <w:top w:val="single" w:sz="4" w:space="0" w:color="auto"/>
              <w:bottom w:val="nil"/>
            </w:tcBorders>
            <w:vAlign w:val="bottom"/>
          </w:tcPr>
          <w:p w14:paraId="701BB197"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573" w:type="pct"/>
            <w:tcBorders>
              <w:top w:val="single" w:sz="4" w:space="0" w:color="auto"/>
              <w:bottom w:val="nil"/>
            </w:tcBorders>
          </w:tcPr>
          <w:p w14:paraId="65E01920" w14:textId="7D7150B5" w:rsidR="00416DBF" w:rsidRPr="00F65403" w:rsidRDefault="00416DBF">
            <w:pPr>
              <w:jc w:val="center"/>
              <w:rPr>
                <w:rFonts w:eastAsia="Times New Roman" w:cs="Arial"/>
                <w:b/>
                <w:color w:val="000000"/>
                <w:sz w:val="20"/>
                <w:szCs w:val="20"/>
                <w:lang w:eastAsia="en-AU"/>
              </w:rPr>
            </w:pPr>
            <w:r>
              <w:rPr>
                <w:rFonts w:eastAsia="Times New Roman" w:cs="Arial"/>
                <w:b/>
                <w:color w:val="000000"/>
                <w:sz w:val="20"/>
                <w:szCs w:val="20"/>
                <w:lang w:eastAsia="en-AU"/>
              </w:rPr>
              <w:t>%</w:t>
            </w:r>
          </w:p>
        </w:tc>
        <w:tc>
          <w:tcPr>
            <w:tcW w:w="661" w:type="pct"/>
            <w:tcBorders>
              <w:top w:val="single" w:sz="4" w:space="0" w:color="auto"/>
              <w:bottom w:val="nil"/>
            </w:tcBorders>
            <w:vAlign w:val="bottom"/>
          </w:tcPr>
          <w:p w14:paraId="7178DF98" w14:textId="3C5D645D" w:rsidR="00416DBF" w:rsidRPr="00F65403" w:rsidRDefault="00416DBF">
            <w:pPr>
              <w:jc w:val="center"/>
              <w:rPr>
                <w:rFonts w:eastAsia="Times New Roman" w:cs="Arial"/>
                <w:b/>
                <w:color w:val="000000"/>
                <w:sz w:val="20"/>
                <w:szCs w:val="20"/>
                <w:lang w:eastAsia="en-AU"/>
              </w:rPr>
            </w:pPr>
          </w:p>
        </w:tc>
        <w:tc>
          <w:tcPr>
            <w:tcW w:w="519" w:type="pct"/>
            <w:tcBorders>
              <w:top w:val="single" w:sz="4" w:space="0" w:color="auto"/>
              <w:bottom w:val="nil"/>
            </w:tcBorders>
            <w:vAlign w:val="bottom"/>
          </w:tcPr>
          <w:p w14:paraId="4526C03B" w14:textId="77777777" w:rsidR="00416DBF" w:rsidRPr="00F65403" w:rsidRDefault="00416DBF">
            <w:pPr>
              <w:jc w:val="center"/>
              <w:rPr>
                <w:rFonts w:eastAsia="Times New Roman" w:cs="Arial"/>
                <w:b/>
                <w:color w:val="000000"/>
                <w:sz w:val="20"/>
                <w:szCs w:val="20"/>
                <w:lang w:eastAsia="en-AU"/>
              </w:rPr>
            </w:pPr>
          </w:p>
        </w:tc>
        <w:tc>
          <w:tcPr>
            <w:tcW w:w="573" w:type="pct"/>
            <w:tcBorders>
              <w:top w:val="single" w:sz="4" w:space="0" w:color="auto"/>
              <w:bottom w:val="nil"/>
            </w:tcBorders>
            <w:vAlign w:val="bottom"/>
          </w:tcPr>
          <w:p w14:paraId="7AA97491"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73" w:type="pct"/>
            <w:tcBorders>
              <w:top w:val="single" w:sz="4" w:space="0" w:color="auto"/>
              <w:bottom w:val="nil"/>
            </w:tcBorders>
            <w:vAlign w:val="bottom"/>
          </w:tcPr>
          <w:p w14:paraId="51E9D669" w14:textId="77777777" w:rsidR="00416DBF" w:rsidRPr="00F65403" w:rsidRDefault="00416DBF">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416DBF" w:rsidRPr="0009330D" w14:paraId="5684B29E" w14:textId="77777777" w:rsidTr="00AA3AC5">
        <w:trPr>
          <w:trHeight w:val="227"/>
        </w:trPr>
        <w:tc>
          <w:tcPr>
            <w:tcW w:w="1495" w:type="pct"/>
            <w:tcBorders>
              <w:top w:val="nil"/>
              <w:bottom w:val="nil"/>
            </w:tcBorders>
          </w:tcPr>
          <w:p w14:paraId="51D0AAA1" w14:textId="77777777" w:rsidR="00416DBF" w:rsidRPr="00F65403" w:rsidRDefault="00416DBF">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A1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6" w:type="pct"/>
            <w:tcBorders>
              <w:top w:val="nil"/>
              <w:bottom w:val="nil"/>
            </w:tcBorders>
          </w:tcPr>
          <w:p w14:paraId="4D2ECADD" w14:textId="77777777"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30</w:t>
            </w:r>
          </w:p>
        </w:tc>
        <w:tc>
          <w:tcPr>
            <w:tcW w:w="573" w:type="pct"/>
            <w:tcBorders>
              <w:top w:val="nil"/>
              <w:bottom w:val="nil"/>
            </w:tcBorders>
          </w:tcPr>
          <w:p w14:paraId="6E85642E" w14:textId="79F9DDC0" w:rsidR="00416DBF" w:rsidRPr="00F65403" w:rsidRDefault="00416DBF">
            <w:pPr>
              <w:jc w:val="center"/>
              <w:rPr>
                <w:rFonts w:eastAsia="Times New Roman" w:cs="Arial"/>
                <w:color w:val="000000"/>
                <w:sz w:val="20"/>
                <w:szCs w:val="20"/>
                <w:lang w:eastAsia="en-AU"/>
              </w:rPr>
            </w:pPr>
            <w:r>
              <w:rPr>
                <w:rFonts w:eastAsia="Times New Roman" w:cs="Arial"/>
                <w:color w:val="000000"/>
                <w:sz w:val="20"/>
                <w:szCs w:val="20"/>
                <w:lang w:eastAsia="en-AU"/>
              </w:rPr>
              <w:t>30</w:t>
            </w:r>
          </w:p>
        </w:tc>
        <w:tc>
          <w:tcPr>
            <w:tcW w:w="661" w:type="pct"/>
            <w:tcBorders>
              <w:top w:val="nil"/>
              <w:bottom w:val="nil"/>
            </w:tcBorders>
          </w:tcPr>
          <w:p w14:paraId="17295B1A" w14:textId="0FB00390"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519" w:type="pct"/>
            <w:tcBorders>
              <w:top w:val="nil"/>
              <w:bottom w:val="nil"/>
            </w:tcBorders>
          </w:tcPr>
          <w:p w14:paraId="2898AD9E" w14:textId="77777777"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573" w:type="pct"/>
            <w:tcBorders>
              <w:top w:val="nil"/>
              <w:bottom w:val="nil"/>
            </w:tcBorders>
            <w:vAlign w:val="bottom"/>
          </w:tcPr>
          <w:p w14:paraId="04495095" w14:textId="4BBEF046"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71,066</w:t>
            </w:r>
          </w:p>
        </w:tc>
        <w:tc>
          <w:tcPr>
            <w:tcW w:w="573" w:type="pct"/>
            <w:tcBorders>
              <w:top w:val="nil"/>
              <w:bottom w:val="nil"/>
            </w:tcBorders>
            <w:vAlign w:val="bottom"/>
          </w:tcPr>
          <w:p w14:paraId="0BA510DD" w14:textId="29900743"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29,659</w:t>
            </w:r>
          </w:p>
        </w:tc>
      </w:tr>
      <w:tr w:rsidR="00416DBF" w:rsidRPr="0009330D" w14:paraId="79761378" w14:textId="77777777" w:rsidTr="00AA3AC5">
        <w:trPr>
          <w:trHeight w:val="227"/>
        </w:trPr>
        <w:tc>
          <w:tcPr>
            <w:tcW w:w="1495" w:type="pct"/>
            <w:tcBorders>
              <w:top w:val="nil"/>
              <w:bottom w:val="nil"/>
            </w:tcBorders>
          </w:tcPr>
          <w:p w14:paraId="3BC54A6A" w14:textId="77777777" w:rsidR="00416DBF" w:rsidRPr="00F65403" w:rsidRDefault="00416DBF">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A2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6" w:type="pct"/>
            <w:tcBorders>
              <w:top w:val="nil"/>
              <w:bottom w:val="nil"/>
            </w:tcBorders>
          </w:tcPr>
          <w:p w14:paraId="1AC49762" w14:textId="77777777"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30</w:t>
            </w:r>
          </w:p>
        </w:tc>
        <w:tc>
          <w:tcPr>
            <w:tcW w:w="573" w:type="pct"/>
            <w:tcBorders>
              <w:top w:val="nil"/>
              <w:bottom w:val="nil"/>
            </w:tcBorders>
          </w:tcPr>
          <w:p w14:paraId="6C635DF5" w14:textId="20A3515B" w:rsidR="00416DBF" w:rsidRPr="00F65403" w:rsidRDefault="00416DBF">
            <w:pPr>
              <w:jc w:val="center"/>
              <w:rPr>
                <w:rFonts w:eastAsia="Times New Roman" w:cs="Arial"/>
                <w:color w:val="000000"/>
                <w:sz w:val="20"/>
                <w:szCs w:val="20"/>
                <w:lang w:eastAsia="en-AU"/>
              </w:rPr>
            </w:pPr>
            <w:r>
              <w:rPr>
                <w:rFonts w:eastAsia="Times New Roman" w:cs="Arial"/>
                <w:color w:val="000000"/>
                <w:sz w:val="20"/>
                <w:szCs w:val="20"/>
                <w:lang w:eastAsia="en-AU"/>
              </w:rPr>
              <w:t>30</w:t>
            </w:r>
          </w:p>
        </w:tc>
        <w:tc>
          <w:tcPr>
            <w:tcW w:w="661" w:type="pct"/>
            <w:tcBorders>
              <w:top w:val="nil"/>
              <w:bottom w:val="nil"/>
            </w:tcBorders>
          </w:tcPr>
          <w:p w14:paraId="02F03A09" w14:textId="36D033E3"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519" w:type="pct"/>
            <w:tcBorders>
              <w:top w:val="nil"/>
              <w:bottom w:val="nil"/>
            </w:tcBorders>
          </w:tcPr>
          <w:p w14:paraId="54EF1DEC" w14:textId="77777777"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573" w:type="pct"/>
            <w:tcBorders>
              <w:top w:val="nil"/>
              <w:bottom w:val="nil"/>
            </w:tcBorders>
            <w:vAlign w:val="bottom"/>
          </w:tcPr>
          <w:p w14:paraId="745BB87B" w14:textId="032E3166"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67,112</w:t>
            </w:r>
          </w:p>
        </w:tc>
        <w:tc>
          <w:tcPr>
            <w:tcW w:w="573" w:type="pct"/>
            <w:tcBorders>
              <w:top w:val="nil"/>
              <w:bottom w:val="nil"/>
            </w:tcBorders>
            <w:vAlign w:val="bottom"/>
          </w:tcPr>
          <w:p w14:paraId="7DC13E0A" w14:textId="6847C23D"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24,857</w:t>
            </w:r>
          </w:p>
        </w:tc>
      </w:tr>
      <w:tr w:rsidR="00416DBF" w:rsidRPr="0009330D" w14:paraId="0E0BA508" w14:textId="77777777" w:rsidTr="00AA3AC5">
        <w:trPr>
          <w:trHeight w:val="227"/>
        </w:trPr>
        <w:tc>
          <w:tcPr>
            <w:tcW w:w="1495" w:type="pct"/>
            <w:tcBorders>
              <w:top w:val="nil"/>
              <w:bottom w:val="nil"/>
            </w:tcBorders>
          </w:tcPr>
          <w:p w14:paraId="41D5DCF4" w14:textId="77777777" w:rsidR="00416DBF" w:rsidRPr="00F65403" w:rsidRDefault="00416DBF">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A3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6" w:type="pct"/>
            <w:tcBorders>
              <w:top w:val="nil"/>
              <w:bottom w:val="nil"/>
            </w:tcBorders>
          </w:tcPr>
          <w:p w14:paraId="448A47F2" w14:textId="7F349093"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4</w:t>
            </w:r>
            <w:r>
              <w:rPr>
                <w:rFonts w:eastAsia="Times New Roman" w:cs="Arial"/>
                <w:color w:val="000000"/>
                <w:sz w:val="20"/>
                <w:szCs w:val="20"/>
                <w:lang w:eastAsia="en-AU"/>
              </w:rPr>
              <w:t>7</w:t>
            </w:r>
          </w:p>
        </w:tc>
        <w:tc>
          <w:tcPr>
            <w:tcW w:w="573" w:type="pct"/>
            <w:tcBorders>
              <w:top w:val="nil"/>
              <w:bottom w:val="nil"/>
            </w:tcBorders>
          </w:tcPr>
          <w:p w14:paraId="3269F338" w14:textId="71605158" w:rsidR="00416DBF" w:rsidRPr="00F65403" w:rsidRDefault="00416DBF">
            <w:pPr>
              <w:jc w:val="center"/>
              <w:rPr>
                <w:rFonts w:eastAsia="Times New Roman" w:cs="Arial"/>
                <w:color w:val="000000"/>
                <w:sz w:val="20"/>
                <w:szCs w:val="20"/>
                <w:lang w:eastAsia="en-AU"/>
              </w:rPr>
            </w:pPr>
            <w:r>
              <w:rPr>
                <w:rFonts w:eastAsia="Times New Roman" w:cs="Arial"/>
                <w:color w:val="000000"/>
                <w:sz w:val="20"/>
                <w:szCs w:val="20"/>
                <w:lang w:eastAsia="en-AU"/>
              </w:rPr>
              <w:t>49</w:t>
            </w:r>
          </w:p>
        </w:tc>
        <w:tc>
          <w:tcPr>
            <w:tcW w:w="661" w:type="pct"/>
            <w:tcBorders>
              <w:top w:val="nil"/>
              <w:bottom w:val="nil"/>
            </w:tcBorders>
          </w:tcPr>
          <w:p w14:paraId="07F6D773" w14:textId="7F567240"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519" w:type="pct"/>
            <w:tcBorders>
              <w:top w:val="nil"/>
              <w:bottom w:val="nil"/>
            </w:tcBorders>
          </w:tcPr>
          <w:p w14:paraId="23B403A9" w14:textId="77777777" w:rsidR="00416DBF" w:rsidRPr="00F65403" w:rsidRDefault="00416DBF">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573" w:type="pct"/>
            <w:tcBorders>
              <w:top w:val="nil"/>
              <w:bottom w:val="single" w:sz="4" w:space="0" w:color="auto"/>
            </w:tcBorders>
            <w:vAlign w:val="bottom"/>
          </w:tcPr>
          <w:p w14:paraId="4BFD3CAA" w14:textId="0677A8F4"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38,578</w:t>
            </w:r>
          </w:p>
        </w:tc>
        <w:tc>
          <w:tcPr>
            <w:tcW w:w="573" w:type="pct"/>
            <w:tcBorders>
              <w:top w:val="nil"/>
              <w:bottom w:val="single" w:sz="4" w:space="0" w:color="auto"/>
            </w:tcBorders>
            <w:vAlign w:val="bottom"/>
          </w:tcPr>
          <w:p w14:paraId="4D0D3088" w14:textId="420D8E53" w:rsidR="00416DBF" w:rsidRPr="00F65403" w:rsidRDefault="00416DBF">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10,398</w:t>
            </w:r>
          </w:p>
        </w:tc>
      </w:tr>
      <w:tr w:rsidR="007300A8" w:rsidRPr="0009330D" w14:paraId="13016240" w14:textId="77777777" w:rsidTr="00AA3AC5">
        <w:trPr>
          <w:trHeight w:val="227"/>
        </w:trPr>
        <w:tc>
          <w:tcPr>
            <w:tcW w:w="3854" w:type="pct"/>
            <w:gridSpan w:val="5"/>
            <w:tcBorders>
              <w:top w:val="nil"/>
            </w:tcBorders>
          </w:tcPr>
          <w:p w14:paraId="6FC6CC4A" w14:textId="116E786D" w:rsidR="007300A8" w:rsidRPr="00F65403" w:rsidRDefault="007300A8">
            <w:pPr>
              <w:rPr>
                <w:rFonts w:eastAsia="Times New Roman" w:cs="Arial"/>
                <w:b/>
                <w:color w:val="000000"/>
                <w:sz w:val="20"/>
                <w:szCs w:val="20"/>
                <w:lang w:eastAsia="en-AU"/>
              </w:rPr>
            </w:pPr>
            <w:r w:rsidRPr="00F65403">
              <w:rPr>
                <w:rFonts w:eastAsia="Times New Roman" w:cs="Arial"/>
                <w:b/>
                <w:color w:val="000000"/>
                <w:sz w:val="20"/>
                <w:szCs w:val="20"/>
                <w:lang w:eastAsia="en-AU"/>
              </w:rPr>
              <w:t>Total equity-accounted investments </w:t>
            </w:r>
          </w:p>
        </w:tc>
        <w:tc>
          <w:tcPr>
            <w:tcW w:w="573" w:type="pct"/>
            <w:tcBorders>
              <w:top w:val="single" w:sz="4" w:space="0" w:color="auto"/>
              <w:bottom w:val="single" w:sz="4" w:space="0" w:color="auto"/>
            </w:tcBorders>
            <w:vAlign w:val="bottom"/>
          </w:tcPr>
          <w:p w14:paraId="38982F6A" w14:textId="749078EC" w:rsidR="007300A8" w:rsidRPr="00F65403" w:rsidRDefault="007300A8">
            <w:pPr>
              <w:tabs>
                <w:tab w:val="decimal" w:pos="958"/>
              </w:tabs>
              <w:rPr>
                <w:rFonts w:eastAsia="Times New Roman" w:cs="Arial"/>
                <w:b/>
                <w:color w:val="000000"/>
                <w:sz w:val="20"/>
                <w:szCs w:val="20"/>
                <w:lang w:eastAsia="en-AU"/>
              </w:rPr>
            </w:pPr>
            <w:r>
              <w:rPr>
                <w:rFonts w:eastAsia="Times New Roman" w:cs="Arial"/>
                <w:b/>
                <w:color w:val="000000"/>
                <w:sz w:val="20"/>
                <w:szCs w:val="20"/>
                <w:lang w:eastAsia="en-AU"/>
              </w:rPr>
              <w:t>176,756</w:t>
            </w:r>
          </w:p>
        </w:tc>
        <w:tc>
          <w:tcPr>
            <w:tcW w:w="573" w:type="pct"/>
            <w:tcBorders>
              <w:top w:val="single" w:sz="4" w:space="0" w:color="auto"/>
              <w:bottom w:val="single" w:sz="4" w:space="0" w:color="auto"/>
            </w:tcBorders>
            <w:vAlign w:val="bottom"/>
          </w:tcPr>
          <w:p w14:paraId="415FCB27" w14:textId="77777777" w:rsidR="007300A8" w:rsidRPr="00F65403" w:rsidRDefault="007300A8">
            <w:pPr>
              <w:tabs>
                <w:tab w:val="decimal" w:pos="958"/>
              </w:tabs>
              <w:rPr>
                <w:rFonts w:eastAsia="Times New Roman" w:cs="Arial"/>
                <w:b/>
                <w:color w:val="000000"/>
                <w:sz w:val="20"/>
                <w:szCs w:val="20"/>
                <w:lang w:eastAsia="en-AU"/>
              </w:rPr>
            </w:pPr>
            <w:r w:rsidRPr="00F65403">
              <w:rPr>
                <w:rFonts w:eastAsia="Times New Roman" w:cs="Arial"/>
                <w:b/>
                <w:color w:val="000000"/>
                <w:sz w:val="20"/>
                <w:szCs w:val="20"/>
                <w:lang w:eastAsia="en-AU"/>
              </w:rPr>
              <w:t>64,913</w:t>
            </w:r>
          </w:p>
        </w:tc>
      </w:tr>
    </w:tbl>
    <w:p w14:paraId="3722E4E0" w14:textId="77777777" w:rsidR="004155DD" w:rsidRPr="00F65403" w:rsidRDefault="004155DD" w:rsidP="004155DD">
      <w:pPr>
        <w:pStyle w:val="BodyText"/>
        <w:rPr>
          <w:lang w:val="en-AU"/>
        </w:rPr>
      </w:pPr>
    </w:p>
    <w:p w14:paraId="50B344FC" w14:textId="061D2261" w:rsidR="004155DD" w:rsidRPr="00F65403" w:rsidRDefault="004155DD" w:rsidP="004155DD">
      <w:pPr>
        <w:pStyle w:val="BodyText"/>
        <w:rPr>
          <w:lang w:val="en-AU"/>
        </w:rPr>
      </w:pPr>
      <w:r w:rsidRPr="00F65403">
        <w:rPr>
          <w:lang w:val="en-AU"/>
        </w:rPr>
        <w:t xml:space="preserve">In November 2023, the Group committed to invest $245 million in the Melbourne Renewable Energy Hub (MREH) project being developed </w:t>
      </w:r>
      <w:r w:rsidR="29D5823B" w:rsidRPr="4B396C1E">
        <w:rPr>
          <w:lang w:val="en-AU"/>
        </w:rPr>
        <w:t>in Plumpton</w:t>
      </w:r>
      <w:r w:rsidRPr="00F65403">
        <w:rPr>
          <w:lang w:val="en-AU"/>
        </w:rPr>
        <w:t>, Victoria by Equis Australia. Its value in the financial report is represented by the cash calls injected into the project to support construction, offset by any gain</w:t>
      </w:r>
      <w:r w:rsidR="002C70D1">
        <w:rPr>
          <w:lang w:val="en-AU"/>
        </w:rPr>
        <w:t xml:space="preserve"> or </w:t>
      </w:r>
      <w:r w:rsidRPr="00F65403">
        <w:rPr>
          <w:lang w:val="en-AU"/>
        </w:rPr>
        <w:t>loss incurred by the investee.</w:t>
      </w:r>
    </w:p>
    <w:p w14:paraId="7073A3A3" w14:textId="3006CD7B" w:rsidR="004155DD" w:rsidRPr="00F65403" w:rsidRDefault="00144B04" w:rsidP="715E2D1C">
      <w:pPr>
        <w:pStyle w:val="Heading8"/>
      </w:pPr>
      <w:proofErr w:type="spellStart"/>
      <w:r>
        <w:t>i</w:t>
      </w:r>
      <w:proofErr w:type="spellEnd"/>
      <w:r>
        <w:t>.</w:t>
      </w:r>
      <w:r>
        <w:tab/>
      </w:r>
      <w:r w:rsidR="3DCB3FA3">
        <w:t>Principles of equity accounting</w:t>
      </w:r>
    </w:p>
    <w:p w14:paraId="1F598F4A" w14:textId="77777777" w:rsidR="004155DD" w:rsidRPr="00F65403" w:rsidRDefault="004155DD" w:rsidP="004155DD">
      <w:pPr>
        <w:pStyle w:val="Heading9"/>
      </w:pPr>
      <w:r w:rsidRPr="00F65403">
        <w:t xml:space="preserve">Joint arrangements </w:t>
      </w:r>
    </w:p>
    <w:p w14:paraId="49DAD316" w14:textId="77777777" w:rsidR="004155DD" w:rsidRPr="00F65403" w:rsidRDefault="004155DD" w:rsidP="004155DD">
      <w:pPr>
        <w:pStyle w:val="BodyText"/>
        <w:rPr>
          <w:lang w:val="en-AU"/>
        </w:rPr>
      </w:pPr>
      <w:r w:rsidRPr="00F65403">
        <w:rPr>
          <w:lang w:val="en-AU"/>
        </w:rPr>
        <w:t xml:space="preserve">Under AASB 11 </w:t>
      </w:r>
      <w:r w:rsidRPr="00AA3AC5">
        <w:rPr>
          <w:i/>
          <w:iCs/>
          <w:lang w:val="en-AU"/>
        </w:rPr>
        <w:t>Joint Arrangements</w:t>
      </w:r>
      <w:r w:rsidRPr="00F65403">
        <w:rPr>
          <w:lang w:val="en-AU"/>
        </w:rPr>
        <w:t xml:space="preserve"> investments in joint arrangements are classified as either joint operations or joint ventures. The classification depends on the contractual rights and obligations of each investor, rather than the legal structure of the joint arrangement. The Group has interests in joint ventures, which are accounted for using the equity method, after initially being recognised at cost in the consolidated statement of financial position.</w:t>
      </w:r>
    </w:p>
    <w:p w14:paraId="6AE0DE96" w14:textId="77777777" w:rsidR="004155DD" w:rsidRPr="00AA3AC5" w:rsidRDefault="004155DD" w:rsidP="004155DD">
      <w:pPr>
        <w:pStyle w:val="BodyText"/>
        <w:rPr>
          <w:sz w:val="10"/>
          <w:szCs w:val="10"/>
          <w:lang w:val="en-AU"/>
        </w:rPr>
      </w:pPr>
    </w:p>
    <w:p w14:paraId="4FC81A66" w14:textId="77777777" w:rsidR="004155DD" w:rsidRPr="00F65403" w:rsidRDefault="004155DD" w:rsidP="004155DD">
      <w:pPr>
        <w:pStyle w:val="Heading9"/>
      </w:pPr>
      <w:r w:rsidRPr="00F65403">
        <w:rPr>
          <w:rStyle w:val="Heading8Char"/>
          <w:b w:val="0"/>
          <w:i/>
        </w:rPr>
        <w:t xml:space="preserve">Equity method </w:t>
      </w:r>
    </w:p>
    <w:p w14:paraId="4AA9A946" w14:textId="2CAC739E" w:rsidR="004155DD" w:rsidRPr="00F65403" w:rsidRDefault="004155DD" w:rsidP="004155DD">
      <w:pPr>
        <w:pStyle w:val="BodyText"/>
        <w:rPr>
          <w:lang w:val="en-AU"/>
        </w:rPr>
      </w:pPr>
      <w:r w:rsidRPr="00F65403">
        <w:rPr>
          <w:lang w:val="en-AU"/>
        </w:rPr>
        <w:t>Under the equity method of accounting, the investments are initially recognised at cost and adjusted thereafter to recognise the Group’s share of the post-acquisition profits or losses of the investee in profit or loss, and the Group’s share of movements in other comprehensive income of the investee. Dividends received or receivable from associates and joint ventures are recognised as a reduction in the carrying amount of the investment.</w:t>
      </w:r>
    </w:p>
    <w:p w14:paraId="69CFC3AF" w14:textId="77777777" w:rsidR="004155DD" w:rsidRPr="00AA3AC5" w:rsidRDefault="004155DD" w:rsidP="004155DD">
      <w:pPr>
        <w:pStyle w:val="BodyText"/>
        <w:rPr>
          <w:sz w:val="8"/>
          <w:szCs w:val="8"/>
          <w:lang w:val="en-AU"/>
        </w:rPr>
      </w:pPr>
    </w:p>
    <w:p w14:paraId="61B3D505" w14:textId="5979FECF" w:rsidR="004155DD" w:rsidRPr="00F65403" w:rsidRDefault="004155DD" w:rsidP="004155DD">
      <w:pPr>
        <w:pStyle w:val="BodyText"/>
        <w:rPr>
          <w:lang w:val="en-AU"/>
        </w:rPr>
      </w:pPr>
      <w:r w:rsidRPr="00F65403">
        <w:rPr>
          <w:lang w:val="en-AU"/>
        </w:rPr>
        <w:t xml:space="preserve">Where the Group’s share of losses in an equity-accounted investment equals or exceeds its interest in the entity, including any other unsecured long-term receivables, the </w:t>
      </w:r>
      <w:r w:rsidR="00AA5D44">
        <w:rPr>
          <w:lang w:val="en-AU"/>
        </w:rPr>
        <w:t>G</w:t>
      </w:r>
      <w:r w:rsidRPr="00F65403">
        <w:rPr>
          <w:lang w:val="en-AU"/>
        </w:rPr>
        <w:t>roup does not recognise further losses, unless it has incurred obligations or made payments on behalf of the other entity.</w:t>
      </w:r>
      <w:r w:rsidR="00AA5D44">
        <w:rPr>
          <w:lang w:val="en-AU"/>
        </w:rPr>
        <w:t xml:space="preserve"> </w:t>
      </w:r>
      <w:r w:rsidRPr="00F65403">
        <w:rPr>
          <w:lang w:val="en-AU"/>
        </w:rPr>
        <w:t xml:space="preserve">Unrealised gains on transactions between the Group and its associates and joint ventures are eliminated to the extent of the Group’s interest in these entities. Unrealised losses are also eliminated unless the transaction provides evidence of an impairment of the asset transferred. Accounting policies of equity-accounted investees have been changed where necessary to ensure consistency with the policies adopted by the Group. </w:t>
      </w:r>
    </w:p>
    <w:p w14:paraId="4B000F8F" w14:textId="77777777" w:rsidR="004155DD" w:rsidRPr="00AA3AC5" w:rsidRDefault="004155DD" w:rsidP="004155DD">
      <w:pPr>
        <w:pStyle w:val="BodyText"/>
        <w:rPr>
          <w:sz w:val="8"/>
          <w:szCs w:val="8"/>
          <w:lang w:val="en-AU"/>
        </w:rPr>
      </w:pPr>
    </w:p>
    <w:p w14:paraId="5C61CC9F" w14:textId="77777777" w:rsidR="004155DD" w:rsidRPr="00F65403" w:rsidRDefault="004155DD" w:rsidP="004155DD">
      <w:pPr>
        <w:pStyle w:val="BodyText"/>
        <w:rPr>
          <w:lang w:val="en-AU"/>
        </w:rPr>
      </w:pPr>
      <w:r w:rsidRPr="00F65403">
        <w:rPr>
          <w:lang w:val="en-AU"/>
        </w:rPr>
        <w:t>The carrying amount of equity-accounted investments is tested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of disposal and value in use. Prior impairment charges are reviewed for possible reversal of the impairment at the end of each reporting period.</w:t>
      </w:r>
    </w:p>
    <w:p w14:paraId="2EF3CA47" w14:textId="77777777" w:rsidR="004155DD" w:rsidRPr="00AA3AC5" w:rsidRDefault="004155DD" w:rsidP="004155DD">
      <w:pPr>
        <w:pStyle w:val="BodyText"/>
        <w:rPr>
          <w:sz w:val="10"/>
          <w:szCs w:val="10"/>
          <w:lang w:val="en-AU"/>
        </w:rPr>
      </w:pPr>
    </w:p>
    <w:p w14:paraId="59A3C974" w14:textId="1E8B214D" w:rsidR="004155DD" w:rsidRPr="00F65403" w:rsidRDefault="00144B04" w:rsidP="004155DD">
      <w:pPr>
        <w:pStyle w:val="Heading8"/>
      </w:pPr>
      <w:r>
        <w:t>ii.</w:t>
      </w:r>
      <w:r>
        <w:tab/>
      </w:r>
      <w:r w:rsidR="004155DD">
        <w:t>Significant judgement</w:t>
      </w:r>
    </w:p>
    <w:p w14:paraId="7B7441CD" w14:textId="141CD28F" w:rsidR="004155DD" w:rsidRDefault="004155DD" w:rsidP="004155DD">
      <w:pPr>
        <w:pStyle w:val="BodyText"/>
        <w:rPr>
          <w:lang w:val="en-AU"/>
        </w:rPr>
      </w:pPr>
      <w:r w:rsidRPr="00F65403">
        <w:rPr>
          <w:lang w:val="en-AU"/>
        </w:rPr>
        <w:t xml:space="preserve">The investment agreements in relation to MREH require unanimous consent from both parties for relevant activities that impact returns such as decisions on entering funding arrangements, material acquisition or disposal of assets, approving any transactions outside approved business plan and approving the business plan. Based on these factors, joint control has been </w:t>
      </w:r>
      <w:r w:rsidR="00EF6079" w:rsidRPr="00F65403">
        <w:rPr>
          <w:lang w:val="en-AU"/>
        </w:rPr>
        <w:t>assessed,</w:t>
      </w:r>
      <w:r w:rsidRPr="00F65403">
        <w:rPr>
          <w:lang w:val="en-AU"/>
        </w:rPr>
        <w:t xml:space="preserve"> and the arrangements are accounted for as a joint venture, even though the Group holds less than 50% ownership interest.</w:t>
      </w:r>
    </w:p>
    <w:p w14:paraId="0EBA0A13" w14:textId="77777777" w:rsidR="00EF6079" w:rsidRPr="00AA3AC5" w:rsidRDefault="00EF6079" w:rsidP="004155DD">
      <w:pPr>
        <w:pStyle w:val="BodyText"/>
        <w:rPr>
          <w:sz w:val="10"/>
          <w:szCs w:val="10"/>
          <w:lang w:val="en-AU"/>
        </w:rPr>
      </w:pPr>
    </w:p>
    <w:p w14:paraId="5D39CFA3" w14:textId="3AA4AAA0" w:rsidR="00EF6079" w:rsidRPr="00F65403" w:rsidRDefault="007C3CA9" w:rsidP="004155DD">
      <w:pPr>
        <w:pStyle w:val="BodyText"/>
        <w:rPr>
          <w:lang w:val="en-AU"/>
        </w:rPr>
      </w:pPr>
      <w:r w:rsidRPr="007C3CA9">
        <w:rPr>
          <w:lang w:val="en-AU"/>
        </w:rPr>
        <w:t xml:space="preserve">A Revenue Support Agreement (RSA) was executed between SEC Energy and Equis to </w:t>
      </w:r>
      <w:r>
        <w:rPr>
          <w:lang w:val="en-AU"/>
        </w:rPr>
        <w:t>support</w:t>
      </w:r>
      <w:r w:rsidRPr="007C3CA9">
        <w:rPr>
          <w:lang w:val="en-AU"/>
        </w:rPr>
        <w:t xml:space="preserve"> the Melbourne Renewable Energy Hub (MREH) A1 and A2 batteries. While both counterparties recognise the RSA as a derivative, there is a difference in the valuation methodology used by each party. </w:t>
      </w:r>
      <w:r w:rsidR="008D5741" w:rsidRPr="008D5741">
        <w:rPr>
          <w:lang w:val="en-AU"/>
        </w:rPr>
        <w:t xml:space="preserve">SEC </w:t>
      </w:r>
      <w:r w:rsidR="00B65F36">
        <w:rPr>
          <w:lang w:val="en-AU"/>
        </w:rPr>
        <w:t>has adjusted the</w:t>
      </w:r>
      <w:r w:rsidR="008D5741" w:rsidRPr="008D5741">
        <w:rPr>
          <w:lang w:val="en-AU"/>
        </w:rPr>
        <w:t xml:space="preserve"> accounting valuation of the </w:t>
      </w:r>
      <w:r w:rsidR="008E0758">
        <w:rPr>
          <w:lang w:val="en-AU"/>
        </w:rPr>
        <w:t xml:space="preserve">RSA in the summary financial information of A1 and A2 </w:t>
      </w:r>
      <w:r w:rsidR="008D5741" w:rsidRPr="008D5741">
        <w:rPr>
          <w:lang w:val="en-AU"/>
        </w:rPr>
        <w:t xml:space="preserve">to </w:t>
      </w:r>
      <w:r w:rsidR="00EA6669">
        <w:rPr>
          <w:lang w:val="en-AU"/>
        </w:rPr>
        <w:t>align to</w:t>
      </w:r>
      <w:r w:rsidR="008D5741" w:rsidRPr="008D5741">
        <w:rPr>
          <w:lang w:val="en-AU"/>
        </w:rPr>
        <w:t xml:space="preserve"> SEC’s valuation before recognising its equity accounted share of profit or loss</w:t>
      </w:r>
      <w:r w:rsidR="00380EAB">
        <w:rPr>
          <w:lang w:val="en-AU"/>
        </w:rPr>
        <w:t xml:space="preserve"> </w:t>
      </w:r>
      <w:r w:rsidR="00380EAB" w:rsidRPr="007C3CA9">
        <w:rPr>
          <w:lang w:val="en-AU"/>
        </w:rPr>
        <w:t>in accordance with equity accounting principles</w:t>
      </w:r>
      <w:r w:rsidR="006024B0">
        <w:rPr>
          <w:lang w:val="en-AU"/>
        </w:rPr>
        <w:t>.</w:t>
      </w:r>
    </w:p>
    <w:p w14:paraId="360D4D6F" w14:textId="77777777" w:rsidR="004155DD" w:rsidRPr="00AA3AC5" w:rsidRDefault="004155DD" w:rsidP="004155DD">
      <w:pPr>
        <w:pStyle w:val="BodyText"/>
        <w:rPr>
          <w:sz w:val="10"/>
          <w:szCs w:val="10"/>
          <w:lang w:val="en-AU"/>
        </w:rPr>
      </w:pPr>
    </w:p>
    <w:p w14:paraId="5DCF14A3" w14:textId="77777777" w:rsidR="00287726" w:rsidRDefault="00326F17" w:rsidP="004155DD">
      <w:pPr>
        <w:pStyle w:val="Heading8"/>
        <w:rPr>
          <w:rStyle w:val="Heading8Char"/>
          <w:b/>
          <w:i/>
          <w:iCs/>
        </w:rPr>
      </w:pPr>
      <w:r w:rsidRPr="00326F17">
        <w:rPr>
          <w:rStyle w:val="Heading8Char"/>
          <w:b/>
          <w:i/>
          <w:iCs/>
        </w:rPr>
        <w:t xml:space="preserve">iii. </w:t>
      </w:r>
      <w:r w:rsidR="004155DD" w:rsidRPr="00326F17">
        <w:rPr>
          <w:rStyle w:val="Heading8Char"/>
          <w:b/>
          <w:i/>
          <w:iCs/>
        </w:rPr>
        <w:t>Commitments and contingent liabilities in respect of joint ventures</w:t>
      </w:r>
    </w:p>
    <w:p w14:paraId="37606DD2" w14:textId="38312E41" w:rsidR="004155DD" w:rsidRPr="00287726" w:rsidRDefault="00287726" w:rsidP="00287726">
      <w:pPr>
        <w:pStyle w:val="Heading8"/>
        <w:tabs>
          <w:tab w:val="clear" w:pos="357"/>
          <w:tab w:val="left" w:pos="709"/>
        </w:tabs>
        <w:ind w:left="0" w:firstLine="0"/>
        <w:rPr>
          <w:b w:val="0"/>
          <w:bCs/>
          <w:i w:val="0"/>
          <w:iCs w:val="0"/>
        </w:rPr>
      </w:pPr>
      <w:r w:rsidRPr="00287726">
        <w:rPr>
          <w:rFonts w:eastAsia="Arial" w:cs="Arial"/>
          <w:b w:val="0"/>
          <w:i w:val="0"/>
          <w:iCs w:val="0"/>
          <w:color w:val="auto"/>
          <w:szCs w:val="20"/>
        </w:rPr>
        <w:t>The full capital commitments of the joint ventures are listed below. SEC’s contribution to these commitments are covered by</w:t>
      </w:r>
      <w:r>
        <w:rPr>
          <w:rFonts w:eastAsia="Arial" w:cs="Arial"/>
          <w:b w:val="0"/>
          <w:i w:val="0"/>
          <w:iCs w:val="0"/>
          <w:color w:val="auto"/>
          <w:szCs w:val="20"/>
        </w:rPr>
        <w:t xml:space="preserve"> its</w:t>
      </w:r>
      <w:r w:rsidR="00274C45">
        <w:rPr>
          <w:rFonts w:eastAsia="Arial" w:cs="Arial"/>
          <w:b w:val="0"/>
          <w:i w:val="0"/>
          <w:iCs w:val="0"/>
          <w:color w:val="auto"/>
          <w:szCs w:val="20"/>
        </w:rPr>
        <w:t xml:space="preserve"> committed cash calls, as disclosed at Note 19. Commitments:</w:t>
      </w:r>
      <w:r>
        <w:rPr>
          <w:b w:val="0"/>
          <w:bCs/>
          <w:i w:val="0"/>
          <w:iCs w:val="0"/>
        </w:rPr>
        <w:t xml:space="preserve"> </w:t>
      </w:r>
      <w:r w:rsidR="0002775C">
        <w:rPr>
          <w:b w:val="0"/>
          <w:bCs/>
          <w:i w:val="0"/>
          <w:iCs w:val="0"/>
        </w:rPr>
        <w:br/>
      </w:r>
      <w:r w:rsidR="0002775C" w:rsidRPr="00AA3AC5">
        <w:rPr>
          <w:b w:val="0"/>
          <w:bCs/>
          <w:i w:val="0"/>
          <w:iCs w:val="0"/>
          <w:color w:val="FFFFFF" w:themeColor="background1"/>
          <w:sz w:val="10"/>
          <w:szCs w:val="12"/>
        </w:rPr>
        <w:t>2</w:t>
      </w:r>
    </w:p>
    <w:tbl>
      <w:tblPr>
        <w:tblW w:w="5000" w:type="pct"/>
        <w:tblCellMar>
          <w:top w:w="28" w:type="dxa"/>
          <w:left w:w="28" w:type="dxa"/>
          <w:bottom w:w="28" w:type="dxa"/>
          <w:right w:w="28" w:type="dxa"/>
        </w:tblCellMar>
        <w:tblLook w:val="04A0" w:firstRow="1" w:lastRow="0" w:firstColumn="1" w:lastColumn="0" w:noHBand="0" w:noVBand="1"/>
      </w:tblPr>
      <w:tblGrid>
        <w:gridCol w:w="2664"/>
        <w:gridCol w:w="1060"/>
        <w:gridCol w:w="1060"/>
        <w:gridCol w:w="1060"/>
        <w:gridCol w:w="1061"/>
        <w:gridCol w:w="1060"/>
        <w:gridCol w:w="1061"/>
      </w:tblGrid>
      <w:tr w:rsidR="004155DD" w:rsidRPr="00041E62" w14:paraId="0D19A80F" w14:textId="77777777" w:rsidTr="00AA3AC5">
        <w:trPr>
          <w:trHeight w:val="170"/>
        </w:trPr>
        <w:tc>
          <w:tcPr>
            <w:tcW w:w="1476" w:type="pct"/>
            <w:tcBorders>
              <w:top w:val="nil"/>
              <w:left w:val="nil"/>
              <w:bottom w:val="nil"/>
              <w:right w:val="nil"/>
            </w:tcBorders>
            <w:noWrap/>
            <w:vAlign w:val="bottom"/>
            <w:hideMark/>
          </w:tcPr>
          <w:p w14:paraId="0961EA9B" w14:textId="77777777" w:rsidR="004155DD" w:rsidRPr="00AA3AC5" w:rsidRDefault="004155DD">
            <w:pPr>
              <w:spacing w:after="0" w:line="240" w:lineRule="auto"/>
              <w:rPr>
                <w:rFonts w:eastAsia="Times New Roman" w:cs="Arial"/>
                <w:sz w:val="18"/>
                <w:szCs w:val="18"/>
                <w:lang w:eastAsia="en-AU"/>
              </w:rPr>
            </w:pPr>
          </w:p>
        </w:tc>
        <w:tc>
          <w:tcPr>
            <w:tcW w:w="1174" w:type="pct"/>
            <w:gridSpan w:val="2"/>
            <w:tcBorders>
              <w:top w:val="nil"/>
              <w:left w:val="nil"/>
              <w:bottom w:val="nil"/>
              <w:right w:val="nil"/>
            </w:tcBorders>
            <w:noWrap/>
            <w:vAlign w:val="bottom"/>
            <w:hideMark/>
          </w:tcPr>
          <w:p w14:paraId="0C720392"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MREH A1</w:t>
            </w:r>
          </w:p>
        </w:tc>
        <w:tc>
          <w:tcPr>
            <w:tcW w:w="1175" w:type="pct"/>
            <w:gridSpan w:val="2"/>
            <w:tcBorders>
              <w:top w:val="nil"/>
              <w:left w:val="nil"/>
              <w:bottom w:val="nil"/>
              <w:right w:val="nil"/>
            </w:tcBorders>
            <w:vAlign w:val="bottom"/>
            <w:hideMark/>
          </w:tcPr>
          <w:p w14:paraId="0CFFA18E"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MREH A2</w:t>
            </w:r>
          </w:p>
        </w:tc>
        <w:tc>
          <w:tcPr>
            <w:tcW w:w="1175" w:type="pct"/>
            <w:gridSpan w:val="2"/>
            <w:tcBorders>
              <w:top w:val="nil"/>
              <w:left w:val="nil"/>
              <w:bottom w:val="nil"/>
              <w:right w:val="nil"/>
            </w:tcBorders>
            <w:vAlign w:val="bottom"/>
            <w:hideMark/>
          </w:tcPr>
          <w:p w14:paraId="45E569D3"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MREH A3</w:t>
            </w:r>
          </w:p>
        </w:tc>
      </w:tr>
      <w:tr w:rsidR="004155DD" w:rsidRPr="00041E62" w14:paraId="3601B229" w14:textId="77777777" w:rsidTr="00AA3AC5">
        <w:trPr>
          <w:trHeight w:val="170"/>
        </w:trPr>
        <w:tc>
          <w:tcPr>
            <w:tcW w:w="1476" w:type="pct"/>
            <w:tcBorders>
              <w:top w:val="nil"/>
              <w:left w:val="nil"/>
              <w:bottom w:val="nil"/>
              <w:right w:val="nil"/>
            </w:tcBorders>
            <w:noWrap/>
            <w:vAlign w:val="bottom"/>
            <w:hideMark/>
          </w:tcPr>
          <w:p w14:paraId="2C510A36" w14:textId="77777777" w:rsidR="004155DD" w:rsidRPr="00AA3AC5" w:rsidRDefault="004155DD">
            <w:pPr>
              <w:spacing w:after="0" w:line="240" w:lineRule="auto"/>
              <w:jc w:val="center"/>
              <w:rPr>
                <w:rFonts w:eastAsia="Times New Roman" w:cs="Arial"/>
                <w:b/>
                <w:color w:val="000000"/>
                <w:sz w:val="18"/>
                <w:szCs w:val="18"/>
                <w:lang w:eastAsia="en-AU"/>
              </w:rPr>
            </w:pPr>
          </w:p>
        </w:tc>
        <w:tc>
          <w:tcPr>
            <w:tcW w:w="587" w:type="pct"/>
            <w:tcBorders>
              <w:top w:val="nil"/>
              <w:left w:val="nil"/>
              <w:bottom w:val="nil"/>
              <w:right w:val="nil"/>
            </w:tcBorders>
            <w:noWrap/>
            <w:hideMark/>
          </w:tcPr>
          <w:p w14:paraId="3C018D63"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2025</w:t>
            </w:r>
          </w:p>
        </w:tc>
        <w:tc>
          <w:tcPr>
            <w:tcW w:w="587" w:type="pct"/>
            <w:tcBorders>
              <w:top w:val="nil"/>
              <w:left w:val="nil"/>
              <w:bottom w:val="nil"/>
              <w:right w:val="nil"/>
            </w:tcBorders>
            <w:noWrap/>
            <w:hideMark/>
          </w:tcPr>
          <w:p w14:paraId="2299EBA7"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2024</w:t>
            </w:r>
          </w:p>
        </w:tc>
        <w:tc>
          <w:tcPr>
            <w:tcW w:w="587" w:type="pct"/>
            <w:tcBorders>
              <w:top w:val="nil"/>
              <w:left w:val="nil"/>
              <w:bottom w:val="nil"/>
              <w:right w:val="nil"/>
            </w:tcBorders>
            <w:hideMark/>
          </w:tcPr>
          <w:p w14:paraId="05F23399"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2025</w:t>
            </w:r>
          </w:p>
        </w:tc>
        <w:tc>
          <w:tcPr>
            <w:tcW w:w="587" w:type="pct"/>
            <w:tcBorders>
              <w:top w:val="nil"/>
              <w:left w:val="nil"/>
              <w:bottom w:val="nil"/>
              <w:right w:val="nil"/>
            </w:tcBorders>
            <w:hideMark/>
          </w:tcPr>
          <w:p w14:paraId="37B22476"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2024</w:t>
            </w:r>
          </w:p>
        </w:tc>
        <w:tc>
          <w:tcPr>
            <w:tcW w:w="587" w:type="pct"/>
            <w:tcBorders>
              <w:top w:val="nil"/>
              <w:left w:val="nil"/>
              <w:bottom w:val="nil"/>
              <w:right w:val="nil"/>
            </w:tcBorders>
            <w:hideMark/>
          </w:tcPr>
          <w:p w14:paraId="482D9F54"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2025</w:t>
            </w:r>
          </w:p>
        </w:tc>
        <w:tc>
          <w:tcPr>
            <w:tcW w:w="588" w:type="pct"/>
            <w:tcBorders>
              <w:top w:val="nil"/>
              <w:left w:val="nil"/>
              <w:bottom w:val="nil"/>
              <w:right w:val="nil"/>
            </w:tcBorders>
            <w:noWrap/>
            <w:hideMark/>
          </w:tcPr>
          <w:p w14:paraId="194638E7"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2024</w:t>
            </w:r>
          </w:p>
        </w:tc>
      </w:tr>
      <w:tr w:rsidR="004155DD" w:rsidRPr="00041E62" w14:paraId="1E62111B" w14:textId="77777777" w:rsidTr="00AA3AC5">
        <w:trPr>
          <w:trHeight w:val="170"/>
        </w:trPr>
        <w:tc>
          <w:tcPr>
            <w:tcW w:w="1476" w:type="pct"/>
            <w:tcBorders>
              <w:top w:val="nil"/>
              <w:left w:val="nil"/>
              <w:bottom w:val="nil"/>
              <w:right w:val="nil"/>
            </w:tcBorders>
            <w:noWrap/>
            <w:vAlign w:val="bottom"/>
            <w:hideMark/>
          </w:tcPr>
          <w:p w14:paraId="7A1CAA3B" w14:textId="77777777" w:rsidR="004155DD" w:rsidRPr="00AA3AC5" w:rsidRDefault="004155DD">
            <w:pPr>
              <w:spacing w:after="0" w:line="240" w:lineRule="auto"/>
              <w:jc w:val="right"/>
              <w:rPr>
                <w:rFonts w:eastAsia="Times New Roman" w:cs="Arial"/>
                <w:b/>
                <w:color w:val="000000"/>
                <w:sz w:val="18"/>
                <w:szCs w:val="18"/>
                <w:lang w:eastAsia="en-AU"/>
              </w:rPr>
            </w:pPr>
          </w:p>
        </w:tc>
        <w:tc>
          <w:tcPr>
            <w:tcW w:w="587" w:type="pct"/>
            <w:tcBorders>
              <w:top w:val="nil"/>
              <w:left w:val="nil"/>
              <w:bottom w:val="nil"/>
              <w:right w:val="nil"/>
            </w:tcBorders>
            <w:noWrap/>
            <w:hideMark/>
          </w:tcPr>
          <w:p w14:paraId="38BB8362"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c>
          <w:tcPr>
            <w:tcW w:w="587" w:type="pct"/>
            <w:tcBorders>
              <w:top w:val="nil"/>
              <w:left w:val="nil"/>
              <w:bottom w:val="nil"/>
              <w:right w:val="nil"/>
            </w:tcBorders>
            <w:noWrap/>
            <w:hideMark/>
          </w:tcPr>
          <w:p w14:paraId="0CAC1A73"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c>
          <w:tcPr>
            <w:tcW w:w="587" w:type="pct"/>
            <w:tcBorders>
              <w:top w:val="nil"/>
              <w:left w:val="nil"/>
              <w:bottom w:val="nil"/>
              <w:right w:val="nil"/>
            </w:tcBorders>
            <w:noWrap/>
            <w:hideMark/>
          </w:tcPr>
          <w:p w14:paraId="417F6B12"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c>
          <w:tcPr>
            <w:tcW w:w="587" w:type="pct"/>
            <w:tcBorders>
              <w:top w:val="nil"/>
              <w:left w:val="nil"/>
              <w:bottom w:val="nil"/>
              <w:right w:val="nil"/>
            </w:tcBorders>
            <w:noWrap/>
            <w:hideMark/>
          </w:tcPr>
          <w:p w14:paraId="503B5B58"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c>
          <w:tcPr>
            <w:tcW w:w="587" w:type="pct"/>
            <w:tcBorders>
              <w:top w:val="nil"/>
              <w:left w:val="nil"/>
              <w:bottom w:val="nil"/>
              <w:right w:val="nil"/>
            </w:tcBorders>
            <w:noWrap/>
            <w:hideMark/>
          </w:tcPr>
          <w:p w14:paraId="102C1597"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c>
          <w:tcPr>
            <w:tcW w:w="588" w:type="pct"/>
            <w:tcBorders>
              <w:top w:val="nil"/>
              <w:left w:val="nil"/>
              <w:bottom w:val="nil"/>
              <w:right w:val="nil"/>
            </w:tcBorders>
            <w:noWrap/>
            <w:hideMark/>
          </w:tcPr>
          <w:p w14:paraId="0644F470" w14:textId="77777777" w:rsidR="004155DD" w:rsidRPr="00AA3AC5" w:rsidRDefault="004155DD">
            <w:pPr>
              <w:spacing w:after="0" w:line="240" w:lineRule="auto"/>
              <w:jc w:val="center"/>
              <w:rPr>
                <w:rFonts w:eastAsia="Times New Roman" w:cs="Arial"/>
                <w:b/>
                <w:color w:val="000000"/>
                <w:sz w:val="18"/>
                <w:szCs w:val="18"/>
                <w:lang w:eastAsia="en-AU"/>
              </w:rPr>
            </w:pPr>
            <w:r w:rsidRPr="00AA3AC5">
              <w:rPr>
                <w:rFonts w:eastAsia="Times New Roman" w:cs="Arial"/>
                <w:b/>
                <w:color w:val="000000"/>
                <w:sz w:val="18"/>
                <w:szCs w:val="18"/>
                <w:lang w:eastAsia="en-AU"/>
              </w:rPr>
              <w:t>$000's</w:t>
            </w:r>
          </w:p>
        </w:tc>
      </w:tr>
      <w:tr w:rsidR="004155DD" w:rsidRPr="00041E62" w14:paraId="7F26A1E0" w14:textId="77777777" w:rsidTr="00AA3AC5">
        <w:trPr>
          <w:trHeight w:val="170"/>
        </w:trPr>
        <w:tc>
          <w:tcPr>
            <w:tcW w:w="1476" w:type="pct"/>
            <w:tcBorders>
              <w:top w:val="nil"/>
              <w:left w:val="nil"/>
              <w:bottom w:val="nil"/>
              <w:right w:val="nil"/>
            </w:tcBorders>
            <w:vAlign w:val="bottom"/>
            <w:hideMark/>
          </w:tcPr>
          <w:p w14:paraId="3336F6ED" w14:textId="77777777" w:rsidR="004155DD" w:rsidRPr="00AA3AC5" w:rsidRDefault="004155DD">
            <w:pPr>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 xml:space="preserve">Commitment for construction of battery energy storage system (BESS) infrastructure </w:t>
            </w:r>
          </w:p>
        </w:tc>
        <w:tc>
          <w:tcPr>
            <w:tcW w:w="587" w:type="pct"/>
            <w:tcBorders>
              <w:top w:val="nil"/>
              <w:left w:val="nil"/>
              <w:bottom w:val="nil"/>
              <w:right w:val="nil"/>
            </w:tcBorders>
            <w:noWrap/>
            <w:vAlign w:val="bottom"/>
            <w:hideMark/>
          </w:tcPr>
          <w:p w14:paraId="5EABABD3" w14:textId="6341C456" w:rsidR="004155DD" w:rsidRPr="00AA3AC5" w:rsidRDefault="00365F8F">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38,731</w:t>
            </w:r>
          </w:p>
        </w:tc>
        <w:tc>
          <w:tcPr>
            <w:tcW w:w="587" w:type="pct"/>
            <w:tcBorders>
              <w:top w:val="nil"/>
              <w:left w:val="nil"/>
              <w:bottom w:val="nil"/>
              <w:right w:val="nil"/>
            </w:tcBorders>
            <w:noWrap/>
            <w:vAlign w:val="bottom"/>
            <w:hideMark/>
          </w:tcPr>
          <w:p w14:paraId="7AEBB3A9" w14:textId="77777777" w:rsidR="004155DD" w:rsidRPr="00AA3AC5" w:rsidRDefault="004155DD">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130,411</w:t>
            </w:r>
          </w:p>
        </w:tc>
        <w:tc>
          <w:tcPr>
            <w:tcW w:w="587" w:type="pct"/>
            <w:tcBorders>
              <w:top w:val="nil"/>
              <w:left w:val="nil"/>
              <w:bottom w:val="nil"/>
              <w:right w:val="nil"/>
            </w:tcBorders>
            <w:noWrap/>
            <w:vAlign w:val="bottom"/>
            <w:hideMark/>
          </w:tcPr>
          <w:p w14:paraId="3F585DD2" w14:textId="48C3C16E" w:rsidR="004155DD" w:rsidRPr="00AA3AC5" w:rsidRDefault="009D347A">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41,351</w:t>
            </w:r>
          </w:p>
        </w:tc>
        <w:tc>
          <w:tcPr>
            <w:tcW w:w="587" w:type="pct"/>
            <w:tcBorders>
              <w:top w:val="nil"/>
              <w:left w:val="nil"/>
              <w:bottom w:val="nil"/>
              <w:right w:val="nil"/>
            </w:tcBorders>
            <w:noWrap/>
            <w:vAlign w:val="bottom"/>
            <w:hideMark/>
          </w:tcPr>
          <w:p w14:paraId="3C140BD8" w14:textId="77777777" w:rsidR="004155DD" w:rsidRPr="00AA3AC5" w:rsidRDefault="004155DD">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183,833</w:t>
            </w:r>
          </w:p>
        </w:tc>
        <w:tc>
          <w:tcPr>
            <w:tcW w:w="587" w:type="pct"/>
            <w:tcBorders>
              <w:top w:val="nil"/>
              <w:left w:val="nil"/>
              <w:bottom w:val="nil"/>
              <w:right w:val="nil"/>
            </w:tcBorders>
            <w:noWrap/>
            <w:vAlign w:val="bottom"/>
            <w:hideMark/>
          </w:tcPr>
          <w:p w14:paraId="68172D0A" w14:textId="3F2D1AF6" w:rsidR="004155DD" w:rsidRPr="00AA3AC5" w:rsidRDefault="009D347A">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78,267</w:t>
            </w:r>
          </w:p>
        </w:tc>
        <w:tc>
          <w:tcPr>
            <w:tcW w:w="588" w:type="pct"/>
            <w:tcBorders>
              <w:top w:val="nil"/>
              <w:left w:val="nil"/>
              <w:bottom w:val="nil"/>
              <w:right w:val="nil"/>
            </w:tcBorders>
            <w:noWrap/>
            <w:vAlign w:val="bottom"/>
            <w:hideMark/>
          </w:tcPr>
          <w:p w14:paraId="5C27D516" w14:textId="77777777" w:rsidR="004155DD" w:rsidRPr="00AA3AC5" w:rsidRDefault="004155DD">
            <w:pPr>
              <w:tabs>
                <w:tab w:val="decimal" w:pos="871"/>
              </w:tabs>
              <w:spacing w:after="0" w:line="240" w:lineRule="auto"/>
              <w:rPr>
                <w:rFonts w:eastAsia="Times New Roman" w:cs="Arial"/>
                <w:color w:val="000000"/>
                <w:sz w:val="18"/>
                <w:szCs w:val="18"/>
                <w:lang w:eastAsia="en-AU"/>
              </w:rPr>
            </w:pPr>
            <w:r w:rsidRPr="00AA3AC5">
              <w:rPr>
                <w:rFonts w:eastAsia="Times New Roman" w:cs="Arial"/>
                <w:color w:val="000000"/>
                <w:sz w:val="18"/>
                <w:szCs w:val="18"/>
                <w:lang w:eastAsia="en-AU"/>
              </w:rPr>
              <w:t>295,710</w:t>
            </w:r>
          </w:p>
        </w:tc>
      </w:tr>
    </w:tbl>
    <w:p w14:paraId="081D1C5E" w14:textId="77777777" w:rsidR="004155DD" w:rsidRPr="00AA3AC5" w:rsidRDefault="004155DD" w:rsidP="004155DD">
      <w:pPr>
        <w:pStyle w:val="BodyText"/>
        <w:rPr>
          <w:sz w:val="10"/>
          <w:szCs w:val="10"/>
          <w:lang w:val="en-AU"/>
        </w:rPr>
      </w:pPr>
    </w:p>
    <w:p w14:paraId="54B61406" w14:textId="03D0B104" w:rsidR="004155DD" w:rsidRPr="00F65403" w:rsidRDefault="004155DD" w:rsidP="00AA3AC5">
      <w:pPr>
        <w:pStyle w:val="BodyText"/>
        <w:tabs>
          <w:tab w:val="left" w:pos="426"/>
        </w:tabs>
        <w:rPr>
          <w:rStyle w:val="Heading8Char"/>
          <w:b w:val="0"/>
          <w:i w:val="0"/>
        </w:rPr>
      </w:pPr>
      <w:r w:rsidRPr="73EA7D12">
        <w:rPr>
          <w:lang w:val="en-AU"/>
        </w:rPr>
        <w:t xml:space="preserve">MREH A3 is counterparty to the lease disclosed </w:t>
      </w:r>
      <w:r w:rsidRPr="00E3163F">
        <w:rPr>
          <w:lang w:val="en-AU"/>
        </w:rPr>
        <w:t xml:space="preserve">in Note </w:t>
      </w:r>
      <w:r w:rsidR="00274C45" w:rsidRPr="00E3163F">
        <w:rPr>
          <w:lang w:val="en-AU"/>
        </w:rPr>
        <w:t>19</w:t>
      </w:r>
      <w:r w:rsidRPr="00E3163F">
        <w:rPr>
          <w:lang w:val="en-AU"/>
        </w:rPr>
        <w:t xml:space="preserve">. </w:t>
      </w:r>
      <w:r w:rsidR="00837E21" w:rsidRPr="00E3163F">
        <w:rPr>
          <w:lang w:val="en-AU"/>
        </w:rPr>
        <w:t xml:space="preserve">Commitments </w:t>
      </w:r>
      <w:r w:rsidRPr="00E3163F">
        <w:rPr>
          <w:lang w:val="en-AU"/>
        </w:rPr>
        <w:t xml:space="preserve">and will be derecognising the associated fixed asset on its balance sheet on commencement of the lease. The joint ventures had no other </w:t>
      </w:r>
      <w:r w:rsidR="003F597B">
        <w:rPr>
          <w:lang w:val="en-AU"/>
        </w:rPr>
        <w:t xml:space="preserve">capital </w:t>
      </w:r>
      <w:r w:rsidRPr="00E3163F">
        <w:rPr>
          <w:lang w:val="en-AU"/>
        </w:rPr>
        <w:t>commitments or contingent liabilities at 30 June 2025 (30 June 2024: Nil).</w:t>
      </w:r>
      <w:r w:rsidR="00E90B07">
        <w:rPr>
          <w:lang w:val="en-AU"/>
        </w:rPr>
        <w:br/>
      </w:r>
      <w:r w:rsidR="00144B04" w:rsidRPr="33D5A590">
        <w:rPr>
          <w:rStyle w:val="Heading8Char"/>
          <w:bCs/>
        </w:rPr>
        <w:t>i</w:t>
      </w:r>
      <w:r w:rsidR="00326F17">
        <w:rPr>
          <w:rStyle w:val="Heading8Char"/>
          <w:bCs/>
        </w:rPr>
        <w:t>v</w:t>
      </w:r>
      <w:r w:rsidR="00144B04" w:rsidRPr="33D5A590">
        <w:rPr>
          <w:rStyle w:val="Heading8Char"/>
          <w:bCs/>
        </w:rPr>
        <w:t>.</w:t>
      </w:r>
      <w:r w:rsidR="00144B04">
        <w:tab/>
      </w:r>
      <w:r w:rsidRPr="33D5A590">
        <w:rPr>
          <w:rStyle w:val="Heading8Char"/>
          <w:bCs/>
        </w:rPr>
        <w:t>Summary of financial information of joint ventures</w:t>
      </w:r>
    </w:p>
    <w:p w14:paraId="682B158D" w14:textId="77777777" w:rsidR="004155DD" w:rsidRPr="00F65403" w:rsidRDefault="004155DD" w:rsidP="004155DD">
      <w:pPr>
        <w:pStyle w:val="BodyText"/>
        <w:rPr>
          <w:lang w:val="en-AU"/>
        </w:rPr>
      </w:pPr>
      <w:r w:rsidRPr="00F65403">
        <w:rPr>
          <w:lang w:val="en-AU"/>
        </w:rPr>
        <w:t>Summarised financial information of the joint ventures, based on its financial statements are set out below:</w:t>
      </w:r>
    </w:p>
    <w:tbl>
      <w:tblPr>
        <w:tblW w:w="5000" w:type="pct"/>
        <w:tblCellMar>
          <w:top w:w="28" w:type="dxa"/>
          <w:left w:w="28" w:type="dxa"/>
          <w:bottom w:w="28" w:type="dxa"/>
          <w:right w:w="28" w:type="dxa"/>
        </w:tblCellMar>
        <w:tblLook w:val="04A0" w:firstRow="1" w:lastRow="0" w:firstColumn="1" w:lastColumn="0" w:noHBand="0" w:noVBand="1"/>
      </w:tblPr>
      <w:tblGrid>
        <w:gridCol w:w="2547"/>
        <w:gridCol w:w="1220"/>
        <w:gridCol w:w="1121"/>
        <w:gridCol w:w="973"/>
        <w:gridCol w:w="179"/>
        <w:gridCol w:w="1163"/>
        <w:gridCol w:w="892"/>
        <w:gridCol w:w="931"/>
      </w:tblGrid>
      <w:tr w:rsidR="004155DD" w:rsidRPr="0036312D" w14:paraId="120181BE" w14:textId="77777777" w:rsidTr="00077B78">
        <w:trPr>
          <w:trHeight w:val="57"/>
        </w:trPr>
        <w:tc>
          <w:tcPr>
            <w:tcW w:w="1411" w:type="pct"/>
            <w:tcBorders>
              <w:top w:val="nil"/>
              <w:left w:val="nil"/>
              <w:bottom w:val="nil"/>
              <w:right w:val="nil"/>
            </w:tcBorders>
            <w:vAlign w:val="center"/>
            <w:hideMark/>
          </w:tcPr>
          <w:p w14:paraId="57E6A73A" w14:textId="77777777" w:rsidR="004155DD" w:rsidRPr="00F65403" w:rsidRDefault="004155DD">
            <w:pPr>
              <w:spacing w:after="0" w:line="240" w:lineRule="auto"/>
              <w:rPr>
                <w:rFonts w:eastAsia="Times New Roman" w:cs="Arial"/>
                <w:sz w:val="20"/>
                <w:szCs w:val="20"/>
                <w:lang w:eastAsia="en-AU"/>
              </w:rPr>
            </w:pPr>
          </w:p>
        </w:tc>
        <w:tc>
          <w:tcPr>
            <w:tcW w:w="1836" w:type="pct"/>
            <w:gridSpan w:val="3"/>
            <w:tcBorders>
              <w:top w:val="nil"/>
              <w:left w:val="nil"/>
              <w:bottom w:val="nil"/>
              <w:right w:val="nil"/>
            </w:tcBorders>
            <w:vAlign w:val="center"/>
            <w:hideMark/>
          </w:tcPr>
          <w:p w14:paraId="46AA3037"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99" w:type="pct"/>
            <w:tcBorders>
              <w:top w:val="nil"/>
              <w:left w:val="nil"/>
              <w:bottom w:val="nil"/>
              <w:right w:val="nil"/>
            </w:tcBorders>
            <w:vAlign w:val="center"/>
            <w:hideMark/>
          </w:tcPr>
          <w:p w14:paraId="0A088726" w14:textId="77777777" w:rsidR="004155DD" w:rsidRPr="00F65403" w:rsidRDefault="004155DD">
            <w:pPr>
              <w:spacing w:after="0" w:line="240" w:lineRule="auto"/>
              <w:jc w:val="center"/>
              <w:rPr>
                <w:rFonts w:eastAsia="Times New Roman" w:cs="Arial"/>
                <w:b/>
                <w:color w:val="000000"/>
                <w:sz w:val="20"/>
                <w:szCs w:val="20"/>
                <w:lang w:eastAsia="en-AU"/>
              </w:rPr>
            </w:pPr>
          </w:p>
        </w:tc>
        <w:tc>
          <w:tcPr>
            <w:tcW w:w="1654" w:type="pct"/>
            <w:gridSpan w:val="3"/>
            <w:tcBorders>
              <w:top w:val="nil"/>
              <w:left w:val="nil"/>
              <w:bottom w:val="nil"/>
              <w:right w:val="nil"/>
            </w:tcBorders>
            <w:vAlign w:val="center"/>
            <w:hideMark/>
          </w:tcPr>
          <w:p w14:paraId="04357621"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4155DD" w:rsidRPr="0036312D" w14:paraId="36000B54" w14:textId="77777777" w:rsidTr="00077B78">
        <w:trPr>
          <w:trHeight w:val="57"/>
        </w:trPr>
        <w:tc>
          <w:tcPr>
            <w:tcW w:w="1411" w:type="pct"/>
            <w:tcBorders>
              <w:top w:val="nil"/>
              <w:left w:val="nil"/>
              <w:bottom w:val="nil"/>
              <w:right w:val="nil"/>
            </w:tcBorders>
            <w:vAlign w:val="center"/>
            <w:hideMark/>
          </w:tcPr>
          <w:p w14:paraId="5EDB20E0" w14:textId="77777777" w:rsidR="004155DD" w:rsidRPr="00F65403" w:rsidRDefault="004155DD">
            <w:pPr>
              <w:spacing w:after="0" w:line="240" w:lineRule="auto"/>
              <w:jc w:val="center"/>
              <w:rPr>
                <w:rFonts w:eastAsia="Times New Roman" w:cs="Arial"/>
                <w:b/>
                <w:color w:val="000000"/>
                <w:sz w:val="20"/>
                <w:szCs w:val="20"/>
                <w:lang w:eastAsia="en-AU"/>
              </w:rPr>
            </w:pPr>
          </w:p>
        </w:tc>
        <w:tc>
          <w:tcPr>
            <w:tcW w:w="1836" w:type="pct"/>
            <w:gridSpan w:val="3"/>
            <w:tcBorders>
              <w:top w:val="nil"/>
              <w:left w:val="nil"/>
              <w:bottom w:val="nil"/>
              <w:right w:val="nil"/>
            </w:tcBorders>
            <w:hideMark/>
          </w:tcPr>
          <w:p w14:paraId="17891CD3"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99" w:type="pct"/>
            <w:tcBorders>
              <w:top w:val="nil"/>
              <w:left w:val="nil"/>
              <w:bottom w:val="nil"/>
              <w:right w:val="nil"/>
            </w:tcBorders>
            <w:vAlign w:val="center"/>
            <w:hideMark/>
          </w:tcPr>
          <w:p w14:paraId="02239044" w14:textId="77777777" w:rsidR="004155DD" w:rsidRPr="00F65403" w:rsidRDefault="004155DD">
            <w:pPr>
              <w:spacing w:after="0" w:line="240" w:lineRule="auto"/>
              <w:jc w:val="center"/>
              <w:rPr>
                <w:rFonts w:eastAsia="Times New Roman" w:cs="Arial"/>
                <w:b/>
                <w:color w:val="000000"/>
                <w:sz w:val="20"/>
                <w:szCs w:val="20"/>
                <w:lang w:eastAsia="en-AU"/>
              </w:rPr>
            </w:pPr>
          </w:p>
        </w:tc>
        <w:tc>
          <w:tcPr>
            <w:tcW w:w="1654" w:type="pct"/>
            <w:gridSpan w:val="3"/>
            <w:tcBorders>
              <w:top w:val="nil"/>
              <w:left w:val="nil"/>
              <w:bottom w:val="nil"/>
              <w:right w:val="nil"/>
            </w:tcBorders>
            <w:hideMark/>
          </w:tcPr>
          <w:p w14:paraId="29622A5D"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77B78" w:rsidRPr="0036312D" w14:paraId="12E643B5" w14:textId="77777777" w:rsidTr="00077B78">
        <w:trPr>
          <w:trHeight w:val="57"/>
        </w:trPr>
        <w:tc>
          <w:tcPr>
            <w:tcW w:w="1411" w:type="pct"/>
            <w:tcBorders>
              <w:top w:val="nil"/>
              <w:left w:val="nil"/>
              <w:bottom w:val="nil"/>
              <w:right w:val="nil"/>
            </w:tcBorders>
            <w:vAlign w:val="center"/>
            <w:hideMark/>
          </w:tcPr>
          <w:p w14:paraId="3ABF6251" w14:textId="77777777" w:rsidR="004155DD" w:rsidRPr="00F65403" w:rsidRDefault="004155DD">
            <w:pPr>
              <w:spacing w:after="0" w:line="240" w:lineRule="auto"/>
              <w:jc w:val="center"/>
              <w:rPr>
                <w:rFonts w:eastAsia="Times New Roman" w:cs="Arial"/>
                <w:b/>
                <w:color w:val="000000"/>
                <w:sz w:val="20"/>
                <w:szCs w:val="20"/>
                <w:lang w:eastAsia="en-AU"/>
              </w:rPr>
            </w:pPr>
          </w:p>
        </w:tc>
        <w:tc>
          <w:tcPr>
            <w:tcW w:w="676" w:type="pct"/>
            <w:tcBorders>
              <w:top w:val="nil"/>
              <w:left w:val="nil"/>
              <w:bottom w:val="nil"/>
              <w:right w:val="nil"/>
            </w:tcBorders>
            <w:hideMark/>
          </w:tcPr>
          <w:p w14:paraId="5B2B9E3B"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A1</w:t>
            </w:r>
          </w:p>
        </w:tc>
        <w:tc>
          <w:tcPr>
            <w:tcW w:w="621" w:type="pct"/>
            <w:tcBorders>
              <w:top w:val="nil"/>
              <w:left w:val="nil"/>
              <w:bottom w:val="nil"/>
              <w:right w:val="nil"/>
            </w:tcBorders>
            <w:hideMark/>
          </w:tcPr>
          <w:p w14:paraId="33623159"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A2</w:t>
            </w:r>
          </w:p>
        </w:tc>
        <w:tc>
          <w:tcPr>
            <w:tcW w:w="539" w:type="pct"/>
            <w:tcBorders>
              <w:top w:val="nil"/>
              <w:left w:val="nil"/>
              <w:bottom w:val="nil"/>
              <w:right w:val="nil"/>
            </w:tcBorders>
            <w:hideMark/>
          </w:tcPr>
          <w:p w14:paraId="590BFD18"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A3</w:t>
            </w:r>
          </w:p>
        </w:tc>
        <w:tc>
          <w:tcPr>
            <w:tcW w:w="99" w:type="pct"/>
            <w:tcBorders>
              <w:top w:val="nil"/>
              <w:left w:val="nil"/>
              <w:bottom w:val="nil"/>
              <w:right w:val="nil"/>
            </w:tcBorders>
            <w:hideMark/>
          </w:tcPr>
          <w:p w14:paraId="3BF972C9" w14:textId="77777777" w:rsidR="004155DD" w:rsidRPr="00F65403" w:rsidRDefault="004155DD">
            <w:pPr>
              <w:spacing w:after="0" w:line="240" w:lineRule="auto"/>
              <w:jc w:val="center"/>
              <w:rPr>
                <w:rFonts w:eastAsia="Times New Roman" w:cs="Arial"/>
                <w:b/>
                <w:color w:val="000000"/>
                <w:sz w:val="20"/>
                <w:szCs w:val="20"/>
                <w:lang w:eastAsia="en-AU"/>
              </w:rPr>
            </w:pPr>
          </w:p>
        </w:tc>
        <w:tc>
          <w:tcPr>
            <w:tcW w:w="644" w:type="pct"/>
            <w:tcBorders>
              <w:top w:val="nil"/>
              <w:left w:val="nil"/>
              <w:bottom w:val="nil"/>
              <w:right w:val="nil"/>
            </w:tcBorders>
            <w:hideMark/>
          </w:tcPr>
          <w:p w14:paraId="6BB56687"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A1</w:t>
            </w:r>
          </w:p>
        </w:tc>
        <w:tc>
          <w:tcPr>
            <w:tcW w:w="494" w:type="pct"/>
            <w:tcBorders>
              <w:top w:val="nil"/>
              <w:left w:val="nil"/>
              <w:bottom w:val="nil"/>
              <w:right w:val="nil"/>
            </w:tcBorders>
            <w:hideMark/>
          </w:tcPr>
          <w:p w14:paraId="292B3D42"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A2</w:t>
            </w:r>
          </w:p>
        </w:tc>
        <w:tc>
          <w:tcPr>
            <w:tcW w:w="516" w:type="pct"/>
            <w:tcBorders>
              <w:top w:val="nil"/>
              <w:left w:val="nil"/>
              <w:bottom w:val="nil"/>
              <w:right w:val="nil"/>
            </w:tcBorders>
            <w:hideMark/>
          </w:tcPr>
          <w:p w14:paraId="7AD9DC53" w14:textId="77777777" w:rsidR="004155DD" w:rsidRPr="00F65403" w:rsidRDefault="004155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A3</w:t>
            </w:r>
          </w:p>
        </w:tc>
      </w:tr>
      <w:tr w:rsidR="00077B78" w:rsidRPr="0036312D" w14:paraId="7EA7E34D" w14:textId="77777777" w:rsidTr="00077B78">
        <w:trPr>
          <w:trHeight w:val="57"/>
        </w:trPr>
        <w:tc>
          <w:tcPr>
            <w:tcW w:w="1411" w:type="pct"/>
            <w:tcBorders>
              <w:top w:val="nil"/>
              <w:left w:val="nil"/>
              <w:bottom w:val="nil"/>
              <w:right w:val="nil"/>
            </w:tcBorders>
            <w:vAlign w:val="center"/>
            <w:hideMark/>
          </w:tcPr>
          <w:p w14:paraId="26C02B6E" w14:textId="77777777" w:rsidR="00B2056C" w:rsidRPr="00F65403" w:rsidRDefault="00B2056C" w:rsidP="00B2056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 </w:t>
            </w:r>
          </w:p>
        </w:tc>
        <w:tc>
          <w:tcPr>
            <w:tcW w:w="676" w:type="pct"/>
            <w:tcBorders>
              <w:top w:val="nil"/>
              <w:left w:val="nil"/>
              <w:bottom w:val="nil"/>
              <w:right w:val="nil"/>
            </w:tcBorders>
            <w:vAlign w:val="bottom"/>
            <w:hideMark/>
          </w:tcPr>
          <w:p w14:paraId="354EE90A" w14:textId="0412DAE6"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19,213</w:t>
            </w:r>
          </w:p>
        </w:tc>
        <w:tc>
          <w:tcPr>
            <w:tcW w:w="621" w:type="pct"/>
            <w:tcBorders>
              <w:top w:val="nil"/>
              <w:left w:val="nil"/>
              <w:bottom w:val="nil"/>
              <w:right w:val="nil"/>
            </w:tcBorders>
            <w:vAlign w:val="bottom"/>
            <w:hideMark/>
          </w:tcPr>
          <w:p w14:paraId="2F4EE273" w14:textId="46B1D352"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8,976</w:t>
            </w:r>
          </w:p>
        </w:tc>
        <w:tc>
          <w:tcPr>
            <w:tcW w:w="539" w:type="pct"/>
            <w:tcBorders>
              <w:top w:val="nil"/>
              <w:left w:val="nil"/>
              <w:bottom w:val="nil"/>
              <w:right w:val="nil"/>
            </w:tcBorders>
            <w:vAlign w:val="bottom"/>
            <w:hideMark/>
          </w:tcPr>
          <w:p w14:paraId="00522A00" w14:textId="73BC00F0"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9,995</w:t>
            </w:r>
          </w:p>
        </w:tc>
        <w:tc>
          <w:tcPr>
            <w:tcW w:w="99" w:type="pct"/>
            <w:tcBorders>
              <w:top w:val="nil"/>
              <w:left w:val="nil"/>
              <w:right w:val="nil"/>
            </w:tcBorders>
            <w:vAlign w:val="bottom"/>
            <w:hideMark/>
          </w:tcPr>
          <w:p w14:paraId="6B21FBC4" w14:textId="77777777" w:rsidR="00B2056C" w:rsidRPr="00F65403" w:rsidRDefault="00B2056C" w:rsidP="00B2056C">
            <w:pPr>
              <w:spacing w:after="0" w:line="240" w:lineRule="auto"/>
              <w:jc w:val="right"/>
              <w:rPr>
                <w:rFonts w:eastAsia="Times New Roman" w:cs="Arial"/>
                <w:color w:val="000000"/>
                <w:sz w:val="20"/>
                <w:szCs w:val="20"/>
                <w:lang w:eastAsia="en-AU"/>
              </w:rPr>
            </w:pPr>
          </w:p>
        </w:tc>
        <w:tc>
          <w:tcPr>
            <w:tcW w:w="644" w:type="pct"/>
            <w:tcBorders>
              <w:top w:val="nil"/>
              <w:left w:val="nil"/>
              <w:bottom w:val="nil"/>
              <w:right w:val="nil"/>
            </w:tcBorders>
            <w:vAlign w:val="bottom"/>
            <w:hideMark/>
          </w:tcPr>
          <w:p w14:paraId="11C49022"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23,556 </w:t>
            </w:r>
          </w:p>
        </w:tc>
        <w:tc>
          <w:tcPr>
            <w:tcW w:w="494" w:type="pct"/>
            <w:tcBorders>
              <w:top w:val="nil"/>
              <w:left w:val="nil"/>
              <w:bottom w:val="nil"/>
              <w:right w:val="nil"/>
            </w:tcBorders>
            <w:vAlign w:val="bottom"/>
            <w:hideMark/>
          </w:tcPr>
          <w:p w14:paraId="3CDA28DE"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11,057 </w:t>
            </w:r>
          </w:p>
        </w:tc>
        <w:tc>
          <w:tcPr>
            <w:tcW w:w="516" w:type="pct"/>
            <w:tcBorders>
              <w:top w:val="nil"/>
              <w:left w:val="nil"/>
              <w:bottom w:val="nil"/>
              <w:right w:val="nil"/>
            </w:tcBorders>
            <w:vAlign w:val="bottom"/>
            <w:hideMark/>
          </w:tcPr>
          <w:p w14:paraId="185E8F30"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1,050 </w:t>
            </w:r>
          </w:p>
        </w:tc>
      </w:tr>
      <w:tr w:rsidR="00077B78" w:rsidRPr="0036312D" w14:paraId="5F74740A" w14:textId="77777777" w:rsidTr="00077B78">
        <w:trPr>
          <w:trHeight w:val="57"/>
        </w:trPr>
        <w:tc>
          <w:tcPr>
            <w:tcW w:w="1411" w:type="pct"/>
            <w:tcBorders>
              <w:top w:val="nil"/>
              <w:left w:val="nil"/>
              <w:bottom w:val="nil"/>
              <w:right w:val="nil"/>
            </w:tcBorders>
            <w:vAlign w:val="center"/>
            <w:hideMark/>
          </w:tcPr>
          <w:p w14:paraId="09C7EA07" w14:textId="77777777" w:rsidR="00B2056C" w:rsidRPr="00F65403" w:rsidRDefault="00B2056C" w:rsidP="00B2056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current assets </w:t>
            </w:r>
          </w:p>
        </w:tc>
        <w:tc>
          <w:tcPr>
            <w:tcW w:w="676" w:type="pct"/>
            <w:tcBorders>
              <w:top w:val="nil"/>
              <w:left w:val="nil"/>
              <w:bottom w:val="single" w:sz="4" w:space="0" w:color="auto"/>
              <w:right w:val="nil"/>
            </w:tcBorders>
            <w:vAlign w:val="bottom"/>
            <w:hideMark/>
          </w:tcPr>
          <w:p w14:paraId="5569B521" w14:textId="3F886B1F"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12,414</w:t>
            </w:r>
          </w:p>
        </w:tc>
        <w:tc>
          <w:tcPr>
            <w:tcW w:w="621" w:type="pct"/>
            <w:tcBorders>
              <w:top w:val="nil"/>
              <w:left w:val="nil"/>
              <w:bottom w:val="single" w:sz="4" w:space="0" w:color="auto"/>
              <w:right w:val="nil"/>
            </w:tcBorders>
            <w:vAlign w:val="bottom"/>
            <w:hideMark/>
          </w:tcPr>
          <w:p w14:paraId="5356A1BB" w14:textId="63437229"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1,037</w:t>
            </w:r>
          </w:p>
        </w:tc>
        <w:tc>
          <w:tcPr>
            <w:tcW w:w="539" w:type="pct"/>
            <w:tcBorders>
              <w:top w:val="nil"/>
              <w:left w:val="nil"/>
              <w:bottom w:val="single" w:sz="4" w:space="0" w:color="auto"/>
              <w:right w:val="nil"/>
            </w:tcBorders>
            <w:vAlign w:val="bottom"/>
            <w:hideMark/>
          </w:tcPr>
          <w:p w14:paraId="3D876E9B" w14:textId="680C6D06" w:rsidR="00B2056C" w:rsidRPr="00F65403" w:rsidRDefault="00B2056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799</w:t>
            </w:r>
          </w:p>
        </w:tc>
        <w:tc>
          <w:tcPr>
            <w:tcW w:w="99" w:type="pct"/>
            <w:tcBorders>
              <w:top w:val="nil"/>
              <w:left w:val="nil"/>
              <w:right w:val="nil"/>
            </w:tcBorders>
            <w:vAlign w:val="bottom"/>
            <w:hideMark/>
          </w:tcPr>
          <w:p w14:paraId="0FAB0AD3" w14:textId="77777777" w:rsidR="00B2056C" w:rsidRPr="00F65403" w:rsidRDefault="00B2056C" w:rsidP="00B2056C">
            <w:pPr>
              <w:spacing w:after="0" w:line="240" w:lineRule="auto"/>
              <w:jc w:val="right"/>
              <w:rPr>
                <w:rFonts w:eastAsia="Times New Roman" w:cs="Arial"/>
                <w:color w:val="000000"/>
                <w:sz w:val="20"/>
                <w:szCs w:val="20"/>
                <w:lang w:eastAsia="en-AU"/>
              </w:rPr>
            </w:pPr>
          </w:p>
        </w:tc>
        <w:tc>
          <w:tcPr>
            <w:tcW w:w="644" w:type="pct"/>
            <w:tcBorders>
              <w:top w:val="nil"/>
              <w:left w:val="nil"/>
              <w:bottom w:val="single" w:sz="4" w:space="0" w:color="auto"/>
              <w:right w:val="nil"/>
            </w:tcBorders>
            <w:vAlign w:val="bottom"/>
            <w:hideMark/>
          </w:tcPr>
          <w:p w14:paraId="2FCB0450"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13,512 </w:t>
            </w:r>
          </w:p>
        </w:tc>
        <w:tc>
          <w:tcPr>
            <w:tcW w:w="494" w:type="pct"/>
            <w:tcBorders>
              <w:top w:val="nil"/>
              <w:left w:val="nil"/>
              <w:bottom w:val="single" w:sz="4" w:space="0" w:color="auto"/>
              <w:right w:val="nil"/>
            </w:tcBorders>
            <w:vAlign w:val="bottom"/>
            <w:hideMark/>
          </w:tcPr>
          <w:p w14:paraId="1A714BBA"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4,007 </w:t>
            </w:r>
          </w:p>
        </w:tc>
        <w:tc>
          <w:tcPr>
            <w:tcW w:w="516" w:type="pct"/>
            <w:tcBorders>
              <w:top w:val="nil"/>
              <w:left w:val="nil"/>
              <w:bottom w:val="single" w:sz="4" w:space="0" w:color="auto"/>
              <w:right w:val="nil"/>
            </w:tcBorders>
            <w:vAlign w:val="bottom"/>
            <w:hideMark/>
          </w:tcPr>
          <w:p w14:paraId="0772F02C" w14:textId="77777777" w:rsidR="00B2056C" w:rsidRPr="00F65403" w:rsidRDefault="00B2056C" w:rsidP="00B2056C">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3,550 </w:t>
            </w:r>
          </w:p>
        </w:tc>
      </w:tr>
      <w:tr w:rsidR="00077B78" w:rsidRPr="0036312D" w14:paraId="41DE9A3A" w14:textId="77777777" w:rsidTr="00077B78">
        <w:trPr>
          <w:trHeight w:val="57"/>
        </w:trPr>
        <w:tc>
          <w:tcPr>
            <w:tcW w:w="1411" w:type="pct"/>
            <w:tcBorders>
              <w:top w:val="nil"/>
              <w:left w:val="nil"/>
              <w:bottom w:val="nil"/>
              <w:right w:val="nil"/>
            </w:tcBorders>
            <w:vAlign w:val="center"/>
            <w:hideMark/>
          </w:tcPr>
          <w:p w14:paraId="11949C58" w14:textId="77777777" w:rsidR="00B2056C" w:rsidRPr="00F65403" w:rsidRDefault="00B2056C" w:rsidP="00B2056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current assets</w:t>
            </w:r>
            <w:r w:rsidRPr="00F65403">
              <w:rPr>
                <w:rFonts w:eastAsia="Times New Roman" w:cs="Arial"/>
                <w:color w:val="000000"/>
                <w:sz w:val="20"/>
                <w:szCs w:val="20"/>
                <w:lang w:eastAsia="en-AU"/>
              </w:rPr>
              <w:t> </w:t>
            </w:r>
          </w:p>
        </w:tc>
        <w:tc>
          <w:tcPr>
            <w:tcW w:w="676" w:type="pct"/>
            <w:tcBorders>
              <w:top w:val="single" w:sz="4" w:space="0" w:color="auto"/>
              <w:left w:val="nil"/>
              <w:bottom w:val="single" w:sz="4" w:space="0" w:color="auto"/>
              <w:right w:val="nil"/>
            </w:tcBorders>
            <w:vAlign w:val="bottom"/>
            <w:hideMark/>
          </w:tcPr>
          <w:p w14:paraId="0D3EA75A" w14:textId="7713409B" w:rsidR="00B2056C" w:rsidRPr="00EE6DFD" w:rsidRDefault="00B2056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31,627</w:t>
            </w:r>
          </w:p>
        </w:tc>
        <w:tc>
          <w:tcPr>
            <w:tcW w:w="621" w:type="pct"/>
            <w:tcBorders>
              <w:top w:val="single" w:sz="4" w:space="0" w:color="auto"/>
              <w:left w:val="nil"/>
              <w:bottom w:val="single" w:sz="4" w:space="0" w:color="auto"/>
              <w:right w:val="nil"/>
            </w:tcBorders>
            <w:vAlign w:val="bottom"/>
            <w:hideMark/>
          </w:tcPr>
          <w:p w14:paraId="37A6D0D5" w14:textId="111D49B5" w:rsidR="00B2056C" w:rsidRPr="00EE6DFD" w:rsidRDefault="00B2056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10,013</w:t>
            </w:r>
          </w:p>
        </w:tc>
        <w:tc>
          <w:tcPr>
            <w:tcW w:w="539" w:type="pct"/>
            <w:tcBorders>
              <w:top w:val="single" w:sz="4" w:space="0" w:color="auto"/>
              <w:left w:val="nil"/>
              <w:bottom w:val="single" w:sz="4" w:space="0" w:color="auto"/>
              <w:right w:val="nil"/>
            </w:tcBorders>
            <w:vAlign w:val="bottom"/>
            <w:hideMark/>
          </w:tcPr>
          <w:p w14:paraId="15A64A82" w14:textId="30B78213" w:rsidR="00B2056C" w:rsidRPr="00EE6DFD" w:rsidRDefault="00B2056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10,794</w:t>
            </w:r>
          </w:p>
        </w:tc>
        <w:tc>
          <w:tcPr>
            <w:tcW w:w="99" w:type="pct"/>
            <w:tcBorders>
              <w:left w:val="nil"/>
              <w:right w:val="nil"/>
            </w:tcBorders>
            <w:vAlign w:val="bottom"/>
            <w:hideMark/>
          </w:tcPr>
          <w:p w14:paraId="27850983" w14:textId="77777777" w:rsidR="00B2056C" w:rsidRPr="00F65403" w:rsidRDefault="00B2056C" w:rsidP="00B2056C">
            <w:pPr>
              <w:spacing w:after="0" w:line="240" w:lineRule="auto"/>
              <w:jc w:val="right"/>
              <w:rPr>
                <w:rFonts w:eastAsia="Times New Roman" w:cs="Arial"/>
                <w:b/>
                <w:color w:val="000000"/>
                <w:sz w:val="20"/>
                <w:szCs w:val="20"/>
                <w:lang w:eastAsia="en-AU"/>
              </w:rPr>
            </w:pPr>
          </w:p>
        </w:tc>
        <w:tc>
          <w:tcPr>
            <w:tcW w:w="644" w:type="pct"/>
            <w:tcBorders>
              <w:top w:val="single" w:sz="4" w:space="0" w:color="auto"/>
              <w:left w:val="nil"/>
              <w:bottom w:val="single" w:sz="4" w:space="0" w:color="auto"/>
              <w:right w:val="nil"/>
            </w:tcBorders>
            <w:vAlign w:val="bottom"/>
            <w:hideMark/>
          </w:tcPr>
          <w:p w14:paraId="35CAA77B" w14:textId="77777777" w:rsidR="00B2056C" w:rsidRPr="00F65403" w:rsidRDefault="00B2056C" w:rsidP="00B2056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37,068</w:t>
            </w:r>
            <w:r w:rsidRPr="00F65403">
              <w:rPr>
                <w:rFonts w:eastAsia="Times New Roman" w:cs="Arial"/>
                <w:color w:val="000000"/>
                <w:sz w:val="20"/>
                <w:szCs w:val="20"/>
                <w:lang w:eastAsia="en-AU"/>
              </w:rPr>
              <w:t> </w:t>
            </w:r>
          </w:p>
        </w:tc>
        <w:tc>
          <w:tcPr>
            <w:tcW w:w="494" w:type="pct"/>
            <w:tcBorders>
              <w:top w:val="single" w:sz="4" w:space="0" w:color="auto"/>
              <w:left w:val="nil"/>
              <w:bottom w:val="single" w:sz="4" w:space="0" w:color="auto"/>
              <w:right w:val="nil"/>
            </w:tcBorders>
            <w:vAlign w:val="bottom"/>
            <w:hideMark/>
          </w:tcPr>
          <w:p w14:paraId="3A87D8B3" w14:textId="77777777" w:rsidR="00B2056C" w:rsidRPr="00F65403" w:rsidRDefault="00B2056C" w:rsidP="00B2056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15,065</w:t>
            </w:r>
            <w:r w:rsidRPr="00F65403">
              <w:rPr>
                <w:rFonts w:eastAsia="Times New Roman" w:cs="Arial"/>
                <w:color w:val="000000"/>
                <w:sz w:val="20"/>
                <w:szCs w:val="20"/>
                <w:lang w:eastAsia="en-AU"/>
              </w:rPr>
              <w:t> </w:t>
            </w:r>
          </w:p>
        </w:tc>
        <w:tc>
          <w:tcPr>
            <w:tcW w:w="516" w:type="pct"/>
            <w:tcBorders>
              <w:top w:val="single" w:sz="4" w:space="0" w:color="auto"/>
              <w:left w:val="nil"/>
              <w:bottom w:val="single" w:sz="4" w:space="0" w:color="auto"/>
              <w:right w:val="nil"/>
            </w:tcBorders>
            <w:vAlign w:val="bottom"/>
            <w:hideMark/>
          </w:tcPr>
          <w:p w14:paraId="08911BA7" w14:textId="77777777" w:rsidR="00B2056C" w:rsidRPr="00F65403" w:rsidRDefault="00B2056C" w:rsidP="00B2056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4,600</w:t>
            </w:r>
            <w:r w:rsidRPr="00F65403">
              <w:rPr>
                <w:rFonts w:eastAsia="Times New Roman" w:cs="Arial"/>
                <w:color w:val="000000"/>
                <w:sz w:val="20"/>
                <w:szCs w:val="20"/>
                <w:lang w:eastAsia="en-AU"/>
              </w:rPr>
              <w:t> </w:t>
            </w:r>
          </w:p>
        </w:tc>
      </w:tr>
      <w:tr w:rsidR="00077B78" w:rsidRPr="0036312D" w14:paraId="664E6022" w14:textId="77777777" w:rsidTr="00077B78">
        <w:trPr>
          <w:trHeight w:val="57"/>
        </w:trPr>
        <w:tc>
          <w:tcPr>
            <w:tcW w:w="1411" w:type="pct"/>
            <w:tcBorders>
              <w:top w:val="nil"/>
              <w:left w:val="nil"/>
              <w:bottom w:val="nil"/>
              <w:right w:val="nil"/>
            </w:tcBorders>
            <w:vAlign w:val="center"/>
            <w:hideMark/>
          </w:tcPr>
          <w:p w14:paraId="13CF84A1" w14:textId="77777777" w:rsidR="004155DD" w:rsidRPr="00F65403" w:rsidRDefault="004155DD">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non-current assets</w:t>
            </w:r>
            <w:r w:rsidRPr="00F65403">
              <w:rPr>
                <w:rFonts w:eastAsia="Times New Roman" w:cs="Arial"/>
                <w:color w:val="000000"/>
                <w:sz w:val="20"/>
                <w:szCs w:val="20"/>
                <w:lang w:eastAsia="en-AU"/>
              </w:rPr>
              <w:t> </w:t>
            </w:r>
          </w:p>
        </w:tc>
        <w:tc>
          <w:tcPr>
            <w:tcW w:w="676" w:type="pct"/>
            <w:tcBorders>
              <w:top w:val="single" w:sz="4" w:space="0" w:color="auto"/>
              <w:left w:val="nil"/>
              <w:bottom w:val="single" w:sz="4" w:space="0" w:color="auto"/>
              <w:right w:val="nil"/>
            </w:tcBorders>
            <w:vAlign w:val="bottom"/>
            <w:hideMark/>
          </w:tcPr>
          <w:p w14:paraId="1B1FDB00" w14:textId="37463BC7" w:rsidR="004155DD" w:rsidRPr="00EE6DFD" w:rsidRDefault="006357E4"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258,146</w:t>
            </w:r>
          </w:p>
        </w:tc>
        <w:tc>
          <w:tcPr>
            <w:tcW w:w="621" w:type="pct"/>
            <w:tcBorders>
              <w:top w:val="single" w:sz="4" w:space="0" w:color="auto"/>
              <w:left w:val="nil"/>
              <w:bottom w:val="single" w:sz="4" w:space="0" w:color="auto"/>
              <w:right w:val="nil"/>
            </w:tcBorders>
            <w:vAlign w:val="bottom"/>
            <w:hideMark/>
          </w:tcPr>
          <w:p w14:paraId="30213F8E" w14:textId="4799E46E" w:rsidR="004155DD" w:rsidRPr="00EE6DFD" w:rsidRDefault="006357E4"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254,229</w:t>
            </w:r>
          </w:p>
        </w:tc>
        <w:tc>
          <w:tcPr>
            <w:tcW w:w="539" w:type="pct"/>
            <w:tcBorders>
              <w:top w:val="single" w:sz="4" w:space="0" w:color="auto"/>
              <w:left w:val="nil"/>
              <w:bottom w:val="single" w:sz="4" w:space="0" w:color="auto"/>
              <w:right w:val="nil"/>
            </w:tcBorders>
            <w:vAlign w:val="bottom"/>
            <w:hideMark/>
          </w:tcPr>
          <w:p w14:paraId="068FF90A" w14:textId="1769CA64" w:rsidR="004155DD" w:rsidRPr="00EE6DFD" w:rsidRDefault="00927DC9" w:rsidP="00D253DB">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370,038</w:t>
            </w:r>
          </w:p>
        </w:tc>
        <w:tc>
          <w:tcPr>
            <w:tcW w:w="99" w:type="pct"/>
            <w:tcBorders>
              <w:left w:val="nil"/>
              <w:right w:val="nil"/>
            </w:tcBorders>
            <w:vAlign w:val="bottom"/>
            <w:hideMark/>
          </w:tcPr>
          <w:p w14:paraId="5C51AEED" w14:textId="77777777" w:rsidR="004155DD" w:rsidRPr="00F65403" w:rsidRDefault="004155DD">
            <w:pPr>
              <w:spacing w:after="0" w:line="240" w:lineRule="auto"/>
              <w:jc w:val="right"/>
              <w:rPr>
                <w:rFonts w:eastAsia="Times New Roman" w:cs="Arial"/>
                <w:b/>
                <w:color w:val="000000"/>
                <w:sz w:val="20"/>
                <w:szCs w:val="20"/>
                <w:lang w:eastAsia="en-AU"/>
              </w:rPr>
            </w:pPr>
          </w:p>
        </w:tc>
        <w:tc>
          <w:tcPr>
            <w:tcW w:w="644" w:type="pct"/>
            <w:tcBorders>
              <w:top w:val="single" w:sz="4" w:space="0" w:color="auto"/>
              <w:left w:val="nil"/>
              <w:bottom w:val="single" w:sz="4" w:space="0" w:color="auto"/>
              <w:right w:val="nil"/>
            </w:tcBorders>
            <w:vAlign w:val="bottom"/>
            <w:hideMark/>
          </w:tcPr>
          <w:p w14:paraId="44B0A013"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149,458</w:t>
            </w:r>
            <w:r w:rsidRPr="00F65403">
              <w:rPr>
                <w:rFonts w:eastAsia="Times New Roman" w:cs="Arial"/>
                <w:color w:val="000000"/>
                <w:sz w:val="20"/>
                <w:szCs w:val="20"/>
                <w:lang w:eastAsia="en-AU"/>
              </w:rPr>
              <w:t> </w:t>
            </w:r>
          </w:p>
        </w:tc>
        <w:tc>
          <w:tcPr>
            <w:tcW w:w="494" w:type="pct"/>
            <w:tcBorders>
              <w:top w:val="single" w:sz="4" w:space="0" w:color="auto"/>
              <w:left w:val="nil"/>
              <w:bottom w:val="single" w:sz="4" w:space="0" w:color="auto"/>
              <w:right w:val="nil"/>
            </w:tcBorders>
            <w:vAlign w:val="bottom"/>
            <w:hideMark/>
          </w:tcPr>
          <w:p w14:paraId="46F9DAE9"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95,499</w:t>
            </w:r>
            <w:r w:rsidRPr="00F65403">
              <w:rPr>
                <w:rFonts w:eastAsia="Times New Roman" w:cs="Arial"/>
                <w:color w:val="000000"/>
                <w:sz w:val="20"/>
                <w:szCs w:val="20"/>
                <w:lang w:eastAsia="en-AU"/>
              </w:rPr>
              <w:t> </w:t>
            </w:r>
          </w:p>
        </w:tc>
        <w:tc>
          <w:tcPr>
            <w:tcW w:w="516" w:type="pct"/>
            <w:tcBorders>
              <w:top w:val="single" w:sz="4" w:space="0" w:color="auto"/>
              <w:left w:val="nil"/>
              <w:bottom w:val="single" w:sz="4" w:space="0" w:color="auto"/>
              <w:right w:val="nil"/>
            </w:tcBorders>
            <w:vAlign w:val="bottom"/>
            <w:hideMark/>
          </w:tcPr>
          <w:p w14:paraId="7A4FE698"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127,900</w:t>
            </w:r>
            <w:r w:rsidRPr="00F65403">
              <w:rPr>
                <w:rFonts w:eastAsia="Times New Roman" w:cs="Arial"/>
                <w:color w:val="000000"/>
                <w:sz w:val="20"/>
                <w:szCs w:val="20"/>
                <w:lang w:eastAsia="en-AU"/>
              </w:rPr>
              <w:t> </w:t>
            </w:r>
          </w:p>
        </w:tc>
      </w:tr>
      <w:tr w:rsidR="00077B78" w:rsidRPr="0036312D" w14:paraId="6EA730A3" w14:textId="77777777" w:rsidTr="00077B78">
        <w:trPr>
          <w:trHeight w:val="57"/>
        </w:trPr>
        <w:tc>
          <w:tcPr>
            <w:tcW w:w="1411" w:type="pct"/>
            <w:tcBorders>
              <w:top w:val="nil"/>
              <w:left w:val="nil"/>
              <w:bottom w:val="nil"/>
              <w:right w:val="nil"/>
            </w:tcBorders>
            <w:vAlign w:val="center"/>
            <w:hideMark/>
          </w:tcPr>
          <w:p w14:paraId="67CAEF8F" w14:textId="77777777" w:rsidR="004155DD" w:rsidRPr="00F65403" w:rsidRDefault="004155DD">
            <w:pPr>
              <w:spacing w:after="0" w:line="240" w:lineRule="auto"/>
              <w:jc w:val="right"/>
              <w:rPr>
                <w:rFonts w:eastAsia="Times New Roman" w:cs="Arial"/>
                <w:b/>
                <w:color w:val="000000"/>
                <w:sz w:val="20"/>
                <w:szCs w:val="20"/>
                <w:lang w:eastAsia="en-AU"/>
              </w:rPr>
            </w:pPr>
          </w:p>
        </w:tc>
        <w:tc>
          <w:tcPr>
            <w:tcW w:w="676" w:type="pct"/>
            <w:tcBorders>
              <w:top w:val="single" w:sz="4" w:space="0" w:color="auto"/>
              <w:left w:val="nil"/>
              <w:bottom w:val="nil"/>
              <w:right w:val="nil"/>
            </w:tcBorders>
            <w:vAlign w:val="bottom"/>
            <w:hideMark/>
          </w:tcPr>
          <w:p w14:paraId="6F5540C6" w14:textId="77777777" w:rsidR="004155DD" w:rsidRPr="00D253DB" w:rsidRDefault="004155DD" w:rsidP="00D253DB">
            <w:pPr>
              <w:spacing w:after="0" w:line="240" w:lineRule="auto"/>
              <w:jc w:val="right"/>
              <w:rPr>
                <w:rFonts w:eastAsia="Times New Roman" w:cs="Arial"/>
                <w:color w:val="000000"/>
                <w:sz w:val="20"/>
                <w:szCs w:val="20"/>
                <w:lang w:eastAsia="en-AU"/>
              </w:rPr>
            </w:pPr>
          </w:p>
        </w:tc>
        <w:tc>
          <w:tcPr>
            <w:tcW w:w="621" w:type="pct"/>
            <w:tcBorders>
              <w:top w:val="single" w:sz="4" w:space="0" w:color="auto"/>
              <w:left w:val="nil"/>
              <w:bottom w:val="nil"/>
              <w:right w:val="nil"/>
            </w:tcBorders>
            <w:vAlign w:val="bottom"/>
            <w:hideMark/>
          </w:tcPr>
          <w:p w14:paraId="34A2E77D" w14:textId="77777777" w:rsidR="004155DD" w:rsidRPr="00D253DB" w:rsidRDefault="004155DD" w:rsidP="00D253DB">
            <w:pPr>
              <w:spacing w:after="0" w:line="240" w:lineRule="auto"/>
              <w:jc w:val="right"/>
              <w:rPr>
                <w:rFonts w:eastAsia="Times New Roman" w:cs="Arial"/>
                <w:color w:val="000000"/>
                <w:sz w:val="20"/>
                <w:szCs w:val="20"/>
                <w:lang w:eastAsia="en-AU"/>
              </w:rPr>
            </w:pPr>
          </w:p>
        </w:tc>
        <w:tc>
          <w:tcPr>
            <w:tcW w:w="539" w:type="pct"/>
            <w:tcBorders>
              <w:top w:val="single" w:sz="4" w:space="0" w:color="auto"/>
              <w:left w:val="nil"/>
              <w:bottom w:val="nil"/>
              <w:right w:val="nil"/>
            </w:tcBorders>
            <w:vAlign w:val="bottom"/>
            <w:hideMark/>
          </w:tcPr>
          <w:p w14:paraId="68976E1D" w14:textId="77777777" w:rsidR="004155DD" w:rsidRPr="00D253DB" w:rsidRDefault="004155DD" w:rsidP="00D253DB">
            <w:pPr>
              <w:spacing w:after="0" w:line="240" w:lineRule="auto"/>
              <w:jc w:val="right"/>
              <w:rPr>
                <w:rFonts w:eastAsia="Times New Roman" w:cs="Arial"/>
                <w:color w:val="000000"/>
                <w:sz w:val="20"/>
                <w:szCs w:val="20"/>
                <w:lang w:eastAsia="en-AU"/>
              </w:rPr>
            </w:pPr>
          </w:p>
        </w:tc>
        <w:tc>
          <w:tcPr>
            <w:tcW w:w="99" w:type="pct"/>
            <w:tcBorders>
              <w:left w:val="nil"/>
              <w:bottom w:val="nil"/>
              <w:right w:val="nil"/>
            </w:tcBorders>
            <w:vAlign w:val="bottom"/>
            <w:hideMark/>
          </w:tcPr>
          <w:p w14:paraId="14684839" w14:textId="77777777" w:rsidR="004155DD" w:rsidRPr="00F65403" w:rsidRDefault="004155DD">
            <w:pPr>
              <w:spacing w:after="0" w:line="240" w:lineRule="auto"/>
              <w:jc w:val="right"/>
              <w:rPr>
                <w:rFonts w:eastAsia="Times New Roman" w:cs="Arial"/>
                <w:sz w:val="20"/>
                <w:szCs w:val="20"/>
                <w:lang w:eastAsia="en-AU"/>
              </w:rPr>
            </w:pPr>
          </w:p>
        </w:tc>
        <w:tc>
          <w:tcPr>
            <w:tcW w:w="644" w:type="pct"/>
            <w:tcBorders>
              <w:top w:val="single" w:sz="4" w:space="0" w:color="auto"/>
              <w:left w:val="nil"/>
              <w:bottom w:val="nil"/>
              <w:right w:val="nil"/>
            </w:tcBorders>
            <w:vAlign w:val="bottom"/>
            <w:hideMark/>
          </w:tcPr>
          <w:p w14:paraId="7FA76594" w14:textId="77777777" w:rsidR="004155DD" w:rsidRPr="00F65403" w:rsidRDefault="004155DD">
            <w:pPr>
              <w:spacing w:after="0" w:line="240" w:lineRule="auto"/>
              <w:jc w:val="right"/>
              <w:rPr>
                <w:rFonts w:eastAsia="Times New Roman" w:cs="Arial"/>
                <w:sz w:val="20"/>
                <w:szCs w:val="20"/>
                <w:lang w:eastAsia="en-AU"/>
              </w:rPr>
            </w:pPr>
          </w:p>
        </w:tc>
        <w:tc>
          <w:tcPr>
            <w:tcW w:w="494" w:type="pct"/>
            <w:tcBorders>
              <w:top w:val="single" w:sz="4" w:space="0" w:color="auto"/>
              <w:left w:val="nil"/>
              <w:bottom w:val="nil"/>
              <w:right w:val="nil"/>
            </w:tcBorders>
            <w:vAlign w:val="bottom"/>
            <w:hideMark/>
          </w:tcPr>
          <w:p w14:paraId="53F0EBC8" w14:textId="77777777" w:rsidR="004155DD" w:rsidRPr="00F65403" w:rsidRDefault="004155DD">
            <w:pPr>
              <w:spacing w:after="0" w:line="240" w:lineRule="auto"/>
              <w:jc w:val="right"/>
              <w:rPr>
                <w:rFonts w:eastAsia="Times New Roman" w:cs="Arial"/>
                <w:sz w:val="20"/>
                <w:szCs w:val="20"/>
                <w:lang w:eastAsia="en-AU"/>
              </w:rPr>
            </w:pPr>
          </w:p>
        </w:tc>
        <w:tc>
          <w:tcPr>
            <w:tcW w:w="516" w:type="pct"/>
            <w:tcBorders>
              <w:top w:val="single" w:sz="4" w:space="0" w:color="auto"/>
              <w:left w:val="nil"/>
              <w:bottom w:val="nil"/>
              <w:right w:val="nil"/>
            </w:tcBorders>
            <w:vAlign w:val="bottom"/>
            <w:hideMark/>
          </w:tcPr>
          <w:p w14:paraId="5C922BCD" w14:textId="77777777" w:rsidR="004155DD" w:rsidRPr="00F65403" w:rsidRDefault="004155DD">
            <w:pPr>
              <w:spacing w:after="0" w:line="240" w:lineRule="auto"/>
              <w:jc w:val="right"/>
              <w:rPr>
                <w:rFonts w:eastAsia="Times New Roman" w:cs="Arial"/>
                <w:sz w:val="20"/>
                <w:szCs w:val="20"/>
                <w:lang w:eastAsia="en-AU"/>
              </w:rPr>
            </w:pPr>
          </w:p>
        </w:tc>
      </w:tr>
      <w:tr w:rsidR="00077B78" w:rsidRPr="0036312D" w14:paraId="6DCE6561" w14:textId="77777777" w:rsidTr="00077B78">
        <w:trPr>
          <w:trHeight w:val="57"/>
        </w:trPr>
        <w:tc>
          <w:tcPr>
            <w:tcW w:w="1411" w:type="pct"/>
            <w:tcBorders>
              <w:top w:val="nil"/>
              <w:left w:val="nil"/>
              <w:bottom w:val="nil"/>
              <w:right w:val="nil"/>
            </w:tcBorders>
            <w:vAlign w:val="center"/>
            <w:hideMark/>
          </w:tcPr>
          <w:p w14:paraId="1F01BCE7" w14:textId="77777777" w:rsidR="004155DD" w:rsidRPr="00F65403" w:rsidRDefault="004155D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Financial liabilities excluding trade payables </w:t>
            </w:r>
          </w:p>
        </w:tc>
        <w:tc>
          <w:tcPr>
            <w:tcW w:w="676" w:type="pct"/>
            <w:tcBorders>
              <w:top w:val="nil"/>
              <w:left w:val="nil"/>
              <w:right w:val="nil"/>
            </w:tcBorders>
            <w:vAlign w:val="bottom"/>
          </w:tcPr>
          <w:p w14:paraId="20B89BBF" w14:textId="5006926B" w:rsidR="004155DD" w:rsidRPr="00F65403" w:rsidRDefault="00477EEA" w:rsidP="00D253D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621" w:type="pct"/>
            <w:tcBorders>
              <w:top w:val="nil"/>
              <w:left w:val="nil"/>
              <w:right w:val="nil"/>
            </w:tcBorders>
            <w:vAlign w:val="bottom"/>
          </w:tcPr>
          <w:p w14:paraId="653BC035" w14:textId="39E8E816" w:rsidR="004155DD" w:rsidRPr="00F65403" w:rsidRDefault="00477EEA" w:rsidP="00D253D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539" w:type="pct"/>
            <w:tcBorders>
              <w:top w:val="nil"/>
              <w:left w:val="nil"/>
              <w:right w:val="nil"/>
            </w:tcBorders>
            <w:vAlign w:val="bottom"/>
          </w:tcPr>
          <w:p w14:paraId="40499895" w14:textId="22BB553D" w:rsidR="004155DD" w:rsidRPr="00F65403" w:rsidRDefault="00477EEA" w:rsidP="00D253D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99" w:type="pct"/>
            <w:tcBorders>
              <w:top w:val="nil"/>
              <w:left w:val="nil"/>
              <w:bottom w:val="nil"/>
              <w:right w:val="nil"/>
            </w:tcBorders>
            <w:vAlign w:val="bottom"/>
            <w:hideMark/>
          </w:tcPr>
          <w:p w14:paraId="626F521C" w14:textId="77777777" w:rsidR="004155DD" w:rsidRPr="00F65403" w:rsidRDefault="004155DD">
            <w:pPr>
              <w:spacing w:after="0" w:line="240" w:lineRule="auto"/>
              <w:jc w:val="right"/>
              <w:rPr>
                <w:rFonts w:eastAsia="Times New Roman" w:cs="Arial"/>
                <w:color w:val="000000"/>
                <w:sz w:val="20"/>
                <w:szCs w:val="20"/>
                <w:lang w:eastAsia="en-AU"/>
              </w:rPr>
            </w:pPr>
          </w:p>
        </w:tc>
        <w:tc>
          <w:tcPr>
            <w:tcW w:w="644" w:type="pct"/>
            <w:tcBorders>
              <w:top w:val="nil"/>
              <w:left w:val="nil"/>
              <w:right w:val="nil"/>
            </w:tcBorders>
            <w:vAlign w:val="bottom"/>
            <w:hideMark/>
          </w:tcPr>
          <w:p w14:paraId="63ADEF09"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17 </w:t>
            </w:r>
          </w:p>
        </w:tc>
        <w:tc>
          <w:tcPr>
            <w:tcW w:w="494" w:type="pct"/>
            <w:tcBorders>
              <w:top w:val="nil"/>
              <w:left w:val="nil"/>
              <w:right w:val="nil"/>
            </w:tcBorders>
            <w:vAlign w:val="bottom"/>
            <w:hideMark/>
          </w:tcPr>
          <w:p w14:paraId="22B81792"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17 </w:t>
            </w:r>
          </w:p>
        </w:tc>
        <w:tc>
          <w:tcPr>
            <w:tcW w:w="516" w:type="pct"/>
            <w:tcBorders>
              <w:top w:val="nil"/>
              <w:left w:val="nil"/>
              <w:right w:val="nil"/>
            </w:tcBorders>
            <w:vAlign w:val="bottom"/>
            <w:hideMark/>
          </w:tcPr>
          <w:p w14:paraId="0B6CF3B7"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478 </w:t>
            </w:r>
          </w:p>
        </w:tc>
      </w:tr>
      <w:tr w:rsidR="00077B78" w:rsidRPr="0036312D" w14:paraId="6456F93E" w14:textId="77777777" w:rsidTr="00077B78">
        <w:trPr>
          <w:trHeight w:val="57"/>
        </w:trPr>
        <w:tc>
          <w:tcPr>
            <w:tcW w:w="1411" w:type="pct"/>
            <w:tcBorders>
              <w:top w:val="nil"/>
              <w:left w:val="nil"/>
              <w:bottom w:val="nil"/>
              <w:right w:val="nil"/>
            </w:tcBorders>
            <w:vAlign w:val="center"/>
            <w:hideMark/>
          </w:tcPr>
          <w:p w14:paraId="22143965" w14:textId="77777777" w:rsidR="0050744C" w:rsidRPr="0051699C" w:rsidRDefault="0050744C" w:rsidP="0050744C">
            <w:pPr>
              <w:spacing w:after="0" w:line="240" w:lineRule="auto"/>
              <w:rPr>
                <w:rFonts w:eastAsia="Times New Roman" w:cs="Arial"/>
                <w:bCs/>
                <w:color w:val="000000"/>
                <w:sz w:val="20"/>
                <w:szCs w:val="20"/>
                <w:lang w:eastAsia="en-AU"/>
              </w:rPr>
            </w:pPr>
            <w:r w:rsidRPr="0051699C">
              <w:rPr>
                <w:rFonts w:eastAsia="Times New Roman" w:cs="Arial"/>
                <w:bCs/>
                <w:color w:val="000000"/>
                <w:sz w:val="20"/>
                <w:szCs w:val="20"/>
                <w:lang w:eastAsia="en-AU"/>
              </w:rPr>
              <w:t>Other current liabilities </w:t>
            </w:r>
          </w:p>
        </w:tc>
        <w:tc>
          <w:tcPr>
            <w:tcW w:w="676" w:type="pct"/>
            <w:tcBorders>
              <w:top w:val="nil"/>
              <w:left w:val="nil"/>
              <w:bottom w:val="single" w:sz="4" w:space="0" w:color="auto"/>
              <w:right w:val="nil"/>
            </w:tcBorders>
            <w:vAlign w:val="bottom"/>
            <w:hideMark/>
          </w:tcPr>
          <w:p w14:paraId="7CEA949B" w14:textId="193FA79A" w:rsidR="0050744C" w:rsidRPr="00D253DB" w:rsidRDefault="0050744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15,450</w:t>
            </w:r>
          </w:p>
        </w:tc>
        <w:tc>
          <w:tcPr>
            <w:tcW w:w="621" w:type="pct"/>
            <w:tcBorders>
              <w:top w:val="nil"/>
              <w:left w:val="nil"/>
              <w:bottom w:val="single" w:sz="4" w:space="0" w:color="auto"/>
              <w:right w:val="nil"/>
            </w:tcBorders>
            <w:vAlign w:val="bottom"/>
            <w:hideMark/>
          </w:tcPr>
          <w:p w14:paraId="4E53F1FF" w14:textId="7A4D9E01" w:rsidR="0050744C" w:rsidRPr="00D253DB" w:rsidRDefault="0050744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5,603</w:t>
            </w:r>
          </w:p>
        </w:tc>
        <w:tc>
          <w:tcPr>
            <w:tcW w:w="539" w:type="pct"/>
            <w:tcBorders>
              <w:top w:val="nil"/>
              <w:left w:val="nil"/>
              <w:bottom w:val="single" w:sz="4" w:space="0" w:color="auto"/>
              <w:right w:val="nil"/>
            </w:tcBorders>
            <w:vAlign w:val="bottom"/>
            <w:hideMark/>
          </w:tcPr>
          <w:p w14:paraId="0577AEDD" w14:textId="508AB328" w:rsidR="0050744C" w:rsidRPr="00D253DB" w:rsidRDefault="0050744C" w:rsidP="00D253DB">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5,443</w:t>
            </w:r>
          </w:p>
        </w:tc>
        <w:tc>
          <w:tcPr>
            <w:tcW w:w="99" w:type="pct"/>
            <w:tcBorders>
              <w:top w:val="nil"/>
              <w:left w:val="nil"/>
              <w:bottom w:val="nil"/>
              <w:right w:val="nil"/>
            </w:tcBorders>
            <w:vAlign w:val="bottom"/>
            <w:hideMark/>
          </w:tcPr>
          <w:p w14:paraId="5B7C04FD" w14:textId="77777777" w:rsidR="0050744C" w:rsidRPr="0051699C" w:rsidRDefault="0050744C" w:rsidP="0050744C">
            <w:pPr>
              <w:spacing w:after="0" w:line="240" w:lineRule="auto"/>
              <w:jc w:val="right"/>
              <w:rPr>
                <w:rFonts w:eastAsia="Times New Roman" w:cs="Arial"/>
                <w:bCs/>
                <w:color w:val="000000"/>
                <w:sz w:val="20"/>
                <w:szCs w:val="20"/>
                <w:lang w:eastAsia="en-AU"/>
              </w:rPr>
            </w:pPr>
          </w:p>
        </w:tc>
        <w:tc>
          <w:tcPr>
            <w:tcW w:w="644" w:type="pct"/>
            <w:tcBorders>
              <w:top w:val="nil"/>
              <w:left w:val="nil"/>
              <w:bottom w:val="single" w:sz="4" w:space="0" w:color="auto"/>
              <w:right w:val="nil"/>
            </w:tcBorders>
            <w:vAlign w:val="bottom"/>
            <w:hideMark/>
          </w:tcPr>
          <w:p w14:paraId="3FD83A4C" w14:textId="77777777" w:rsidR="0050744C" w:rsidRPr="0051699C" w:rsidRDefault="0050744C" w:rsidP="0050744C">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67,071 </w:t>
            </w:r>
          </w:p>
        </w:tc>
        <w:tc>
          <w:tcPr>
            <w:tcW w:w="494" w:type="pct"/>
            <w:tcBorders>
              <w:top w:val="nil"/>
              <w:left w:val="nil"/>
              <w:bottom w:val="single" w:sz="4" w:space="0" w:color="auto"/>
              <w:right w:val="nil"/>
            </w:tcBorders>
            <w:vAlign w:val="bottom"/>
            <w:hideMark/>
          </w:tcPr>
          <w:p w14:paraId="65414E06" w14:textId="77777777" w:rsidR="0050744C" w:rsidRPr="0051699C" w:rsidRDefault="0050744C" w:rsidP="0050744C">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7,438 </w:t>
            </w:r>
          </w:p>
        </w:tc>
        <w:tc>
          <w:tcPr>
            <w:tcW w:w="516" w:type="pct"/>
            <w:tcBorders>
              <w:top w:val="nil"/>
              <w:left w:val="nil"/>
              <w:bottom w:val="single" w:sz="4" w:space="0" w:color="auto"/>
              <w:right w:val="nil"/>
            </w:tcBorders>
            <w:vAlign w:val="bottom"/>
            <w:hideMark/>
          </w:tcPr>
          <w:p w14:paraId="155B22E9" w14:textId="77777777" w:rsidR="0050744C" w:rsidRPr="0051699C" w:rsidRDefault="0050744C" w:rsidP="0050744C">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5,890 </w:t>
            </w:r>
          </w:p>
        </w:tc>
      </w:tr>
      <w:tr w:rsidR="00077B78" w:rsidRPr="0036312D" w14:paraId="1160BED1" w14:textId="77777777" w:rsidTr="00077B78">
        <w:trPr>
          <w:trHeight w:val="57"/>
        </w:trPr>
        <w:tc>
          <w:tcPr>
            <w:tcW w:w="1411" w:type="pct"/>
            <w:tcBorders>
              <w:top w:val="nil"/>
              <w:left w:val="nil"/>
              <w:bottom w:val="nil"/>
              <w:right w:val="nil"/>
            </w:tcBorders>
            <w:vAlign w:val="center"/>
            <w:hideMark/>
          </w:tcPr>
          <w:p w14:paraId="77A4ACFE" w14:textId="77777777" w:rsidR="0050744C" w:rsidRPr="00F65403" w:rsidRDefault="0050744C" w:rsidP="0050744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current liabilities</w:t>
            </w:r>
            <w:r w:rsidRPr="00F65403">
              <w:rPr>
                <w:rFonts w:eastAsia="Times New Roman" w:cs="Arial"/>
                <w:color w:val="000000"/>
                <w:sz w:val="20"/>
                <w:szCs w:val="20"/>
                <w:lang w:eastAsia="en-AU"/>
              </w:rPr>
              <w:t> </w:t>
            </w:r>
          </w:p>
        </w:tc>
        <w:tc>
          <w:tcPr>
            <w:tcW w:w="676" w:type="pct"/>
            <w:tcBorders>
              <w:top w:val="single" w:sz="4" w:space="0" w:color="auto"/>
              <w:left w:val="nil"/>
              <w:bottom w:val="single" w:sz="4" w:space="0" w:color="auto"/>
              <w:right w:val="nil"/>
            </w:tcBorders>
            <w:vAlign w:val="bottom"/>
            <w:hideMark/>
          </w:tcPr>
          <w:p w14:paraId="038D7494" w14:textId="32109DB7" w:rsidR="0050744C" w:rsidRPr="00EE6DFD" w:rsidRDefault="0050744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15,450</w:t>
            </w:r>
          </w:p>
        </w:tc>
        <w:tc>
          <w:tcPr>
            <w:tcW w:w="621" w:type="pct"/>
            <w:tcBorders>
              <w:top w:val="single" w:sz="4" w:space="0" w:color="auto"/>
              <w:left w:val="nil"/>
              <w:bottom w:val="single" w:sz="4" w:space="0" w:color="auto"/>
              <w:right w:val="nil"/>
            </w:tcBorders>
            <w:vAlign w:val="bottom"/>
            <w:hideMark/>
          </w:tcPr>
          <w:p w14:paraId="64BDFF3F" w14:textId="16C5E3A3" w:rsidR="0050744C" w:rsidRPr="00EE6DFD" w:rsidRDefault="0050744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5,603</w:t>
            </w:r>
          </w:p>
        </w:tc>
        <w:tc>
          <w:tcPr>
            <w:tcW w:w="539" w:type="pct"/>
            <w:tcBorders>
              <w:top w:val="single" w:sz="4" w:space="0" w:color="auto"/>
              <w:left w:val="nil"/>
              <w:bottom w:val="single" w:sz="4" w:space="0" w:color="auto"/>
              <w:right w:val="nil"/>
            </w:tcBorders>
            <w:vAlign w:val="bottom"/>
            <w:hideMark/>
          </w:tcPr>
          <w:p w14:paraId="67F5F78A" w14:textId="70022F4C" w:rsidR="0050744C" w:rsidRPr="00EE6DFD" w:rsidRDefault="0050744C" w:rsidP="00D253DB">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5,443</w:t>
            </w:r>
          </w:p>
        </w:tc>
        <w:tc>
          <w:tcPr>
            <w:tcW w:w="99" w:type="pct"/>
            <w:tcBorders>
              <w:top w:val="nil"/>
              <w:left w:val="nil"/>
              <w:bottom w:val="nil"/>
              <w:right w:val="nil"/>
            </w:tcBorders>
            <w:vAlign w:val="bottom"/>
            <w:hideMark/>
          </w:tcPr>
          <w:p w14:paraId="6226594C" w14:textId="77777777" w:rsidR="0050744C" w:rsidRPr="00F65403" w:rsidRDefault="0050744C" w:rsidP="0050744C">
            <w:pPr>
              <w:spacing w:after="0" w:line="240" w:lineRule="auto"/>
              <w:jc w:val="right"/>
              <w:rPr>
                <w:rFonts w:eastAsia="Times New Roman" w:cs="Arial"/>
                <w:b/>
                <w:color w:val="000000"/>
                <w:sz w:val="20"/>
                <w:szCs w:val="20"/>
                <w:lang w:eastAsia="en-AU"/>
              </w:rPr>
            </w:pPr>
          </w:p>
        </w:tc>
        <w:tc>
          <w:tcPr>
            <w:tcW w:w="644" w:type="pct"/>
            <w:tcBorders>
              <w:top w:val="single" w:sz="4" w:space="0" w:color="auto"/>
              <w:left w:val="nil"/>
              <w:bottom w:val="single" w:sz="4" w:space="0" w:color="auto"/>
              <w:right w:val="nil"/>
            </w:tcBorders>
            <w:vAlign w:val="bottom"/>
            <w:hideMark/>
          </w:tcPr>
          <w:p w14:paraId="743CB596" w14:textId="77777777" w:rsidR="0050744C" w:rsidRPr="00F65403" w:rsidRDefault="0050744C" w:rsidP="0050744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67,088</w:t>
            </w:r>
            <w:r w:rsidRPr="00F65403">
              <w:rPr>
                <w:rFonts w:eastAsia="Times New Roman" w:cs="Arial"/>
                <w:color w:val="000000"/>
                <w:sz w:val="20"/>
                <w:szCs w:val="20"/>
                <w:lang w:eastAsia="en-AU"/>
              </w:rPr>
              <w:t> </w:t>
            </w:r>
          </w:p>
        </w:tc>
        <w:tc>
          <w:tcPr>
            <w:tcW w:w="494" w:type="pct"/>
            <w:tcBorders>
              <w:top w:val="single" w:sz="4" w:space="0" w:color="auto"/>
              <w:left w:val="nil"/>
              <w:bottom w:val="single" w:sz="4" w:space="0" w:color="auto"/>
              <w:right w:val="nil"/>
            </w:tcBorders>
            <w:vAlign w:val="bottom"/>
            <w:hideMark/>
          </w:tcPr>
          <w:p w14:paraId="580F3ACB" w14:textId="77777777" w:rsidR="0050744C" w:rsidRPr="00F65403" w:rsidRDefault="0050744C" w:rsidP="0050744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7,455</w:t>
            </w:r>
            <w:r w:rsidRPr="00F65403">
              <w:rPr>
                <w:rFonts w:eastAsia="Times New Roman" w:cs="Arial"/>
                <w:color w:val="000000"/>
                <w:sz w:val="20"/>
                <w:szCs w:val="20"/>
                <w:lang w:eastAsia="en-AU"/>
              </w:rPr>
              <w:t> </w:t>
            </w:r>
          </w:p>
        </w:tc>
        <w:tc>
          <w:tcPr>
            <w:tcW w:w="516" w:type="pct"/>
            <w:tcBorders>
              <w:top w:val="single" w:sz="4" w:space="0" w:color="auto"/>
              <w:left w:val="nil"/>
              <w:bottom w:val="single" w:sz="4" w:space="0" w:color="auto"/>
              <w:right w:val="nil"/>
            </w:tcBorders>
            <w:vAlign w:val="bottom"/>
            <w:hideMark/>
          </w:tcPr>
          <w:p w14:paraId="5B4F6EF6" w14:textId="77777777" w:rsidR="0050744C" w:rsidRPr="00F65403" w:rsidRDefault="0050744C" w:rsidP="0050744C">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6,368</w:t>
            </w:r>
            <w:r w:rsidRPr="00F65403">
              <w:rPr>
                <w:rFonts w:eastAsia="Times New Roman" w:cs="Arial"/>
                <w:color w:val="000000"/>
                <w:sz w:val="20"/>
                <w:szCs w:val="20"/>
                <w:lang w:eastAsia="en-AU"/>
              </w:rPr>
              <w:t> </w:t>
            </w:r>
          </w:p>
        </w:tc>
      </w:tr>
      <w:tr w:rsidR="00077B78" w:rsidRPr="0036312D" w14:paraId="3E00B445" w14:textId="77777777" w:rsidTr="00077B78">
        <w:trPr>
          <w:trHeight w:val="57"/>
        </w:trPr>
        <w:tc>
          <w:tcPr>
            <w:tcW w:w="1411" w:type="pct"/>
            <w:tcBorders>
              <w:top w:val="nil"/>
              <w:left w:val="nil"/>
              <w:bottom w:val="nil"/>
              <w:right w:val="nil"/>
            </w:tcBorders>
            <w:vAlign w:val="center"/>
          </w:tcPr>
          <w:p w14:paraId="69A6C6DF" w14:textId="5463DD1F" w:rsidR="00510ACC" w:rsidRPr="00477EEA" w:rsidRDefault="00510ACC" w:rsidP="00510ACC">
            <w:pPr>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Non-current f</w:t>
            </w:r>
            <w:r w:rsidRPr="00477EEA">
              <w:rPr>
                <w:rFonts w:eastAsia="Times New Roman" w:cs="Arial"/>
                <w:bCs/>
                <w:color w:val="000000"/>
                <w:sz w:val="20"/>
                <w:szCs w:val="20"/>
                <w:lang w:eastAsia="en-AU"/>
              </w:rPr>
              <w:t>inancial liabilities excluding trade payables</w:t>
            </w:r>
          </w:p>
        </w:tc>
        <w:tc>
          <w:tcPr>
            <w:tcW w:w="676" w:type="pct"/>
            <w:tcBorders>
              <w:top w:val="single" w:sz="4" w:space="0" w:color="auto"/>
              <w:left w:val="nil"/>
              <w:right w:val="nil"/>
            </w:tcBorders>
            <w:vAlign w:val="bottom"/>
          </w:tcPr>
          <w:p w14:paraId="3E2854DE" w14:textId="028C7499"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31,485</w:t>
            </w:r>
          </w:p>
        </w:tc>
        <w:tc>
          <w:tcPr>
            <w:tcW w:w="621" w:type="pct"/>
            <w:tcBorders>
              <w:top w:val="single" w:sz="4" w:space="0" w:color="auto"/>
              <w:left w:val="nil"/>
              <w:right w:val="nil"/>
            </w:tcBorders>
            <w:vAlign w:val="bottom"/>
          </w:tcPr>
          <w:p w14:paraId="2C4CAC28" w14:textId="04B34072"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31,486</w:t>
            </w:r>
          </w:p>
        </w:tc>
        <w:tc>
          <w:tcPr>
            <w:tcW w:w="539" w:type="pct"/>
            <w:tcBorders>
              <w:top w:val="single" w:sz="4" w:space="0" w:color="auto"/>
              <w:left w:val="nil"/>
              <w:right w:val="nil"/>
            </w:tcBorders>
            <w:vAlign w:val="bottom"/>
          </w:tcPr>
          <w:p w14:paraId="14753667" w14:textId="67BAD527"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17,790</w:t>
            </w:r>
          </w:p>
        </w:tc>
        <w:tc>
          <w:tcPr>
            <w:tcW w:w="99" w:type="pct"/>
            <w:tcBorders>
              <w:top w:val="nil"/>
              <w:left w:val="nil"/>
              <w:right w:val="nil"/>
            </w:tcBorders>
            <w:vAlign w:val="bottom"/>
          </w:tcPr>
          <w:p w14:paraId="6FB4C5E9" w14:textId="77777777" w:rsidR="00510ACC" w:rsidRPr="00F65403" w:rsidRDefault="00510ACC" w:rsidP="00510ACC">
            <w:pPr>
              <w:spacing w:after="0" w:line="240" w:lineRule="auto"/>
              <w:jc w:val="right"/>
              <w:rPr>
                <w:rFonts w:eastAsia="Times New Roman" w:cs="Arial"/>
                <w:b/>
                <w:color w:val="000000"/>
                <w:sz w:val="20"/>
                <w:szCs w:val="20"/>
                <w:lang w:eastAsia="en-AU"/>
              </w:rPr>
            </w:pPr>
          </w:p>
        </w:tc>
        <w:tc>
          <w:tcPr>
            <w:tcW w:w="644" w:type="pct"/>
            <w:tcBorders>
              <w:top w:val="single" w:sz="4" w:space="0" w:color="auto"/>
              <w:left w:val="nil"/>
              <w:right w:val="nil"/>
            </w:tcBorders>
            <w:vAlign w:val="bottom"/>
          </w:tcPr>
          <w:p w14:paraId="05197A34" w14:textId="5A263DE6"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c>
          <w:tcPr>
            <w:tcW w:w="494" w:type="pct"/>
            <w:tcBorders>
              <w:top w:val="single" w:sz="4" w:space="0" w:color="auto"/>
              <w:left w:val="nil"/>
              <w:right w:val="nil"/>
            </w:tcBorders>
            <w:vAlign w:val="bottom"/>
          </w:tcPr>
          <w:p w14:paraId="3D71C86D" w14:textId="08217680"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c>
          <w:tcPr>
            <w:tcW w:w="516" w:type="pct"/>
            <w:tcBorders>
              <w:top w:val="single" w:sz="4" w:space="0" w:color="auto"/>
              <w:left w:val="nil"/>
              <w:right w:val="nil"/>
            </w:tcBorders>
            <w:vAlign w:val="bottom"/>
          </w:tcPr>
          <w:p w14:paraId="5122C587" w14:textId="06CBCD18"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r>
      <w:tr w:rsidR="00077B78" w:rsidRPr="0036312D" w14:paraId="6CDE2BDF" w14:textId="77777777" w:rsidTr="00077B78">
        <w:trPr>
          <w:trHeight w:val="57"/>
        </w:trPr>
        <w:tc>
          <w:tcPr>
            <w:tcW w:w="1411" w:type="pct"/>
            <w:tcBorders>
              <w:top w:val="nil"/>
              <w:left w:val="nil"/>
              <w:bottom w:val="nil"/>
              <w:right w:val="nil"/>
            </w:tcBorders>
            <w:vAlign w:val="center"/>
          </w:tcPr>
          <w:p w14:paraId="181B4427" w14:textId="64B3C170" w:rsidR="00510ACC" w:rsidRPr="0050744C" w:rsidRDefault="00510ACC" w:rsidP="00510ACC">
            <w:pPr>
              <w:spacing w:after="0" w:line="240" w:lineRule="auto"/>
              <w:rPr>
                <w:rFonts w:eastAsia="Times New Roman" w:cs="Arial"/>
                <w:bCs/>
                <w:color w:val="000000"/>
                <w:sz w:val="20"/>
                <w:szCs w:val="20"/>
                <w:lang w:eastAsia="en-AU"/>
              </w:rPr>
            </w:pPr>
            <w:r w:rsidRPr="0050744C">
              <w:rPr>
                <w:rFonts w:eastAsia="Times New Roman" w:cs="Arial"/>
                <w:bCs/>
                <w:color w:val="000000"/>
                <w:sz w:val="20"/>
                <w:szCs w:val="20"/>
                <w:lang w:eastAsia="en-AU"/>
              </w:rPr>
              <w:t>Other non-current liabilities</w:t>
            </w:r>
          </w:p>
        </w:tc>
        <w:tc>
          <w:tcPr>
            <w:tcW w:w="676" w:type="pct"/>
            <w:tcBorders>
              <w:top w:val="nil"/>
              <w:left w:val="nil"/>
              <w:bottom w:val="single" w:sz="4" w:space="0" w:color="auto"/>
              <w:right w:val="nil"/>
            </w:tcBorders>
            <w:vAlign w:val="bottom"/>
          </w:tcPr>
          <w:p w14:paraId="69123DFE" w14:textId="6161C32F"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5,951</w:t>
            </w:r>
          </w:p>
        </w:tc>
        <w:tc>
          <w:tcPr>
            <w:tcW w:w="621" w:type="pct"/>
            <w:tcBorders>
              <w:top w:val="nil"/>
              <w:left w:val="nil"/>
              <w:bottom w:val="single" w:sz="4" w:space="0" w:color="auto"/>
              <w:right w:val="nil"/>
            </w:tcBorders>
            <w:vAlign w:val="bottom"/>
          </w:tcPr>
          <w:p w14:paraId="7BE13175" w14:textId="6BBC09C9"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3,445</w:t>
            </w:r>
          </w:p>
        </w:tc>
        <w:tc>
          <w:tcPr>
            <w:tcW w:w="539" w:type="pct"/>
            <w:tcBorders>
              <w:top w:val="nil"/>
              <w:left w:val="nil"/>
              <w:bottom w:val="single" w:sz="4" w:space="0" w:color="auto"/>
              <w:right w:val="nil"/>
            </w:tcBorders>
            <w:vAlign w:val="bottom"/>
          </w:tcPr>
          <w:p w14:paraId="09333CD5" w14:textId="059024D8" w:rsidR="00510ACC" w:rsidRPr="00D253DB" w:rsidRDefault="00510ACC" w:rsidP="00510ACC">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298,575</w:t>
            </w:r>
          </w:p>
        </w:tc>
        <w:tc>
          <w:tcPr>
            <w:tcW w:w="99" w:type="pct"/>
            <w:tcBorders>
              <w:top w:val="nil"/>
              <w:left w:val="nil"/>
              <w:right w:val="nil"/>
            </w:tcBorders>
            <w:vAlign w:val="bottom"/>
          </w:tcPr>
          <w:p w14:paraId="0DB17D71" w14:textId="77777777" w:rsidR="00510ACC" w:rsidRPr="00F65403" w:rsidRDefault="00510ACC" w:rsidP="00510ACC">
            <w:pPr>
              <w:spacing w:after="0" w:line="240" w:lineRule="auto"/>
              <w:jc w:val="right"/>
              <w:rPr>
                <w:rFonts w:eastAsia="Times New Roman" w:cs="Arial"/>
                <w:b/>
                <w:color w:val="000000"/>
                <w:sz w:val="20"/>
                <w:szCs w:val="20"/>
                <w:lang w:eastAsia="en-AU"/>
              </w:rPr>
            </w:pPr>
          </w:p>
        </w:tc>
        <w:tc>
          <w:tcPr>
            <w:tcW w:w="644" w:type="pct"/>
            <w:tcBorders>
              <w:top w:val="nil"/>
              <w:left w:val="nil"/>
              <w:bottom w:val="single" w:sz="4" w:space="0" w:color="auto"/>
              <w:right w:val="nil"/>
            </w:tcBorders>
            <w:vAlign w:val="bottom"/>
          </w:tcPr>
          <w:p w14:paraId="6D260528" w14:textId="7291B2C7"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20,573 </w:t>
            </w:r>
          </w:p>
        </w:tc>
        <w:tc>
          <w:tcPr>
            <w:tcW w:w="494" w:type="pct"/>
            <w:tcBorders>
              <w:top w:val="nil"/>
              <w:left w:val="nil"/>
              <w:bottom w:val="single" w:sz="4" w:space="0" w:color="auto"/>
              <w:right w:val="nil"/>
            </w:tcBorders>
            <w:vAlign w:val="bottom"/>
          </w:tcPr>
          <w:p w14:paraId="66A0B6B5" w14:textId="5A846C9C"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20,251 </w:t>
            </w:r>
          </w:p>
        </w:tc>
        <w:tc>
          <w:tcPr>
            <w:tcW w:w="516" w:type="pct"/>
            <w:tcBorders>
              <w:top w:val="nil"/>
              <w:left w:val="nil"/>
              <w:bottom w:val="single" w:sz="4" w:space="0" w:color="auto"/>
              <w:right w:val="nil"/>
            </w:tcBorders>
            <w:vAlign w:val="bottom"/>
          </w:tcPr>
          <w:p w14:paraId="3E8E1C3D" w14:textId="2547814D" w:rsidR="00510ACC" w:rsidRPr="00510ACC" w:rsidRDefault="00510ACC" w:rsidP="00510ACC">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106,923 </w:t>
            </w:r>
          </w:p>
        </w:tc>
      </w:tr>
      <w:tr w:rsidR="00077B78" w:rsidRPr="0036312D" w14:paraId="2F37C204" w14:textId="77777777" w:rsidTr="00077B78">
        <w:trPr>
          <w:trHeight w:val="57"/>
        </w:trPr>
        <w:tc>
          <w:tcPr>
            <w:tcW w:w="1411" w:type="pct"/>
            <w:tcBorders>
              <w:top w:val="nil"/>
              <w:left w:val="nil"/>
              <w:bottom w:val="nil"/>
              <w:right w:val="nil"/>
            </w:tcBorders>
            <w:vAlign w:val="center"/>
            <w:hideMark/>
          </w:tcPr>
          <w:p w14:paraId="47851D89" w14:textId="77777777" w:rsidR="007E56B1" w:rsidRPr="00F65403" w:rsidRDefault="007E56B1" w:rsidP="007E56B1">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non-current liabilities</w:t>
            </w:r>
            <w:r w:rsidRPr="00F65403">
              <w:rPr>
                <w:rFonts w:eastAsia="Times New Roman" w:cs="Arial"/>
                <w:color w:val="000000"/>
                <w:sz w:val="20"/>
                <w:szCs w:val="20"/>
                <w:lang w:eastAsia="en-AU"/>
              </w:rPr>
              <w:t> </w:t>
            </w:r>
          </w:p>
        </w:tc>
        <w:tc>
          <w:tcPr>
            <w:tcW w:w="676" w:type="pct"/>
            <w:tcBorders>
              <w:top w:val="single" w:sz="4" w:space="0" w:color="auto"/>
              <w:left w:val="nil"/>
              <w:bottom w:val="nil"/>
              <w:right w:val="nil"/>
            </w:tcBorders>
            <w:vAlign w:val="bottom"/>
            <w:hideMark/>
          </w:tcPr>
          <w:p w14:paraId="58CAE0CB" w14:textId="06651864" w:rsidR="007E56B1" w:rsidRPr="00E326C0" w:rsidRDefault="007E56B1" w:rsidP="00D253DB">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37,436</w:t>
            </w:r>
          </w:p>
        </w:tc>
        <w:tc>
          <w:tcPr>
            <w:tcW w:w="621" w:type="pct"/>
            <w:tcBorders>
              <w:top w:val="single" w:sz="4" w:space="0" w:color="auto"/>
              <w:left w:val="nil"/>
              <w:bottom w:val="nil"/>
              <w:right w:val="nil"/>
            </w:tcBorders>
            <w:vAlign w:val="bottom"/>
            <w:hideMark/>
          </w:tcPr>
          <w:p w14:paraId="7A1EA548" w14:textId="0070D2BB" w:rsidR="007E56B1" w:rsidRPr="00E326C0" w:rsidRDefault="007E56B1" w:rsidP="00D253DB">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34,931</w:t>
            </w:r>
          </w:p>
        </w:tc>
        <w:tc>
          <w:tcPr>
            <w:tcW w:w="539" w:type="pct"/>
            <w:tcBorders>
              <w:top w:val="single" w:sz="4" w:space="0" w:color="auto"/>
              <w:left w:val="nil"/>
              <w:bottom w:val="nil"/>
              <w:right w:val="nil"/>
            </w:tcBorders>
            <w:vAlign w:val="bottom"/>
            <w:hideMark/>
          </w:tcPr>
          <w:p w14:paraId="04B7BDAF" w14:textId="4FF0656C" w:rsidR="007E56B1" w:rsidRPr="00E326C0" w:rsidRDefault="007E56B1" w:rsidP="00D253DB">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316,365</w:t>
            </w:r>
          </w:p>
        </w:tc>
        <w:tc>
          <w:tcPr>
            <w:tcW w:w="99" w:type="pct"/>
            <w:tcBorders>
              <w:left w:val="nil"/>
              <w:bottom w:val="nil"/>
              <w:right w:val="nil"/>
            </w:tcBorders>
            <w:vAlign w:val="bottom"/>
            <w:hideMark/>
          </w:tcPr>
          <w:p w14:paraId="17F4A63D" w14:textId="77777777" w:rsidR="007E56B1" w:rsidRPr="00927DC9" w:rsidRDefault="007E56B1" w:rsidP="007E56B1">
            <w:pPr>
              <w:spacing w:after="0" w:line="240" w:lineRule="auto"/>
              <w:jc w:val="right"/>
              <w:rPr>
                <w:rFonts w:eastAsia="Times New Roman" w:cs="Arial"/>
                <w:b/>
                <w:bCs/>
                <w:color w:val="000000"/>
                <w:sz w:val="20"/>
                <w:szCs w:val="20"/>
                <w:lang w:eastAsia="en-AU"/>
              </w:rPr>
            </w:pPr>
          </w:p>
        </w:tc>
        <w:tc>
          <w:tcPr>
            <w:tcW w:w="644" w:type="pct"/>
            <w:tcBorders>
              <w:top w:val="single" w:sz="4" w:space="0" w:color="auto"/>
              <w:left w:val="nil"/>
              <w:bottom w:val="nil"/>
              <w:right w:val="nil"/>
            </w:tcBorders>
            <w:vAlign w:val="bottom"/>
            <w:hideMark/>
          </w:tcPr>
          <w:p w14:paraId="1F9A2676" w14:textId="77777777" w:rsidR="007E56B1" w:rsidRPr="00E326C0" w:rsidRDefault="007E56B1" w:rsidP="007E56B1">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20,573 </w:t>
            </w:r>
          </w:p>
        </w:tc>
        <w:tc>
          <w:tcPr>
            <w:tcW w:w="494" w:type="pct"/>
            <w:tcBorders>
              <w:top w:val="single" w:sz="4" w:space="0" w:color="auto"/>
              <w:left w:val="nil"/>
              <w:bottom w:val="nil"/>
              <w:right w:val="nil"/>
            </w:tcBorders>
            <w:vAlign w:val="bottom"/>
            <w:hideMark/>
          </w:tcPr>
          <w:p w14:paraId="77C24E76" w14:textId="77777777" w:rsidR="007E56B1" w:rsidRPr="00E326C0" w:rsidRDefault="007E56B1" w:rsidP="007E56B1">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20,251 </w:t>
            </w:r>
          </w:p>
        </w:tc>
        <w:tc>
          <w:tcPr>
            <w:tcW w:w="516" w:type="pct"/>
            <w:tcBorders>
              <w:top w:val="single" w:sz="4" w:space="0" w:color="auto"/>
              <w:left w:val="nil"/>
              <w:bottom w:val="nil"/>
              <w:right w:val="nil"/>
            </w:tcBorders>
            <w:vAlign w:val="bottom"/>
            <w:hideMark/>
          </w:tcPr>
          <w:p w14:paraId="7448FDA6" w14:textId="77777777" w:rsidR="007E56B1" w:rsidRPr="00E326C0" w:rsidRDefault="007E56B1" w:rsidP="007E56B1">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106,923 </w:t>
            </w:r>
          </w:p>
        </w:tc>
      </w:tr>
      <w:tr w:rsidR="00077B78" w:rsidRPr="0036312D" w14:paraId="2E97EF69" w14:textId="77777777" w:rsidTr="00077B78">
        <w:trPr>
          <w:trHeight w:val="57"/>
        </w:trPr>
        <w:tc>
          <w:tcPr>
            <w:tcW w:w="1411" w:type="pct"/>
            <w:tcBorders>
              <w:top w:val="nil"/>
              <w:left w:val="nil"/>
              <w:bottom w:val="nil"/>
              <w:right w:val="nil"/>
            </w:tcBorders>
            <w:vAlign w:val="center"/>
            <w:hideMark/>
          </w:tcPr>
          <w:p w14:paraId="091ADEE9" w14:textId="77777777" w:rsidR="004155DD" w:rsidRPr="00F65403" w:rsidRDefault="004155DD">
            <w:pPr>
              <w:spacing w:after="0" w:line="240" w:lineRule="auto"/>
              <w:jc w:val="right"/>
              <w:rPr>
                <w:rFonts w:eastAsia="Times New Roman" w:cs="Arial"/>
                <w:b/>
                <w:color w:val="000000"/>
                <w:sz w:val="20"/>
                <w:szCs w:val="20"/>
                <w:lang w:eastAsia="en-AU"/>
              </w:rPr>
            </w:pPr>
          </w:p>
        </w:tc>
        <w:tc>
          <w:tcPr>
            <w:tcW w:w="676" w:type="pct"/>
            <w:tcBorders>
              <w:top w:val="nil"/>
              <w:left w:val="nil"/>
              <w:bottom w:val="single" w:sz="4" w:space="0" w:color="auto"/>
              <w:right w:val="nil"/>
            </w:tcBorders>
            <w:vAlign w:val="bottom"/>
            <w:hideMark/>
          </w:tcPr>
          <w:p w14:paraId="66E640BF" w14:textId="77777777" w:rsidR="004155DD" w:rsidRPr="00F65403" w:rsidRDefault="004155DD">
            <w:pPr>
              <w:spacing w:after="0" w:line="240" w:lineRule="auto"/>
              <w:jc w:val="right"/>
              <w:rPr>
                <w:rFonts w:eastAsia="Times New Roman" w:cs="Arial"/>
                <w:sz w:val="20"/>
                <w:szCs w:val="20"/>
                <w:lang w:eastAsia="en-AU"/>
              </w:rPr>
            </w:pPr>
          </w:p>
        </w:tc>
        <w:tc>
          <w:tcPr>
            <w:tcW w:w="621" w:type="pct"/>
            <w:tcBorders>
              <w:top w:val="nil"/>
              <w:left w:val="nil"/>
              <w:bottom w:val="single" w:sz="4" w:space="0" w:color="auto"/>
              <w:right w:val="nil"/>
            </w:tcBorders>
            <w:vAlign w:val="bottom"/>
            <w:hideMark/>
          </w:tcPr>
          <w:p w14:paraId="2A4ED0C1" w14:textId="77777777" w:rsidR="004155DD" w:rsidRPr="00F65403" w:rsidRDefault="004155DD">
            <w:pPr>
              <w:spacing w:after="0" w:line="240" w:lineRule="auto"/>
              <w:jc w:val="right"/>
              <w:rPr>
                <w:rFonts w:eastAsia="Times New Roman" w:cs="Arial"/>
                <w:sz w:val="20"/>
                <w:szCs w:val="20"/>
                <w:lang w:eastAsia="en-AU"/>
              </w:rPr>
            </w:pPr>
          </w:p>
        </w:tc>
        <w:tc>
          <w:tcPr>
            <w:tcW w:w="539" w:type="pct"/>
            <w:tcBorders>
              <w:top w:val="nil"/>
              <w:left w:val="nil"/>
              <w:bottom w:val="single" w:sz="4" w:space="0" w:color="auto"/>
              <w:right w:val="nil"/>
            </w:tcBorders>
            <w:vAlign w:val="bottom"/>
            <w:hideMark/>
          </w:tcPr>
          <w:p w14:paraId="2CAB4F23" w14:textId="77777777" w:rsidR="004155DD" w:rsidRPr="00F65403" w:rsidRDefault="004155DD">
            <w:pPr>
              <w:spacing w:after="0" w:line="240" w:lineRule="auto"/>
              <w:jc w:val="right"/>
              <w:rPr>
                <w:rFonts w:eastAsia="Times New Roman" w:cs="Arial"/>
                <w:sz w:val="20"/>
                <w:szCs w:val="20"/>
                <w:lang w:eastAsia="en-AU"/>
              </w:rPr>
            </w:pPr>
          </w:p>
        </w:tc>
        <w:tc>
          <w:tcPr>
            <w:tcW w:w="99" w:type="pct"/>
            <w:tcBorders>
              <w:top w:val="nil"/>
              <w:left w:val="nil"/>
              <w:bottom w:val="nil"/>
              <w:right w:val="nil"/>
            </w:tcBorders>
            <w:vAlign w:val="bottom"/>
            <w:hideMark/>
          </w:tcPr>
          <w:p w14:paraId="4307AF15" w14:textId="77777777" w:rsidR="004155DD" w:rsidRPr="00F65403" w:rsidRDefault="004155DD">
            <w:pPr>
              <w:spacing w:after="0" w:line="240" w:lineRule="auto"/>
              <w:jc w:val="right"/>
              <w:rPr>
                <w:rFonts w:eastAsia="Times New Roman" w:cs="Arial"/>
                <w:sz w:val="20"/>
                <w:szCs w:val="20"/>
                <w:lang w:eastAsia="en-AU"/>
              </w:rPr>
            </w:pPr>
          </w:p>
        </w:tc>
        <w:tc>
          <w:tcPr>
            <w:tcW w:w="644" w:type="pct"/>
            <w:tcBorders>
              <w:top w:val="nil"/>
              <w:left w:val="nil"/>
              <w:bottom w:val="single" w:sz="4" w:space="0" w:color="auto"/>
              <w:right w:val="nil"/>
            </w:tcBorders>
            <w:vAlign w:val="bottom"/>
            <w:hideMark/>
          </w:tcPr>
          <w:p w14:paraId="18D48968" w14:textId="77777777" w:rsidR="004155DD" w:rsidRPr="00F65403" w:rsidRDefault="004155DD">
            <w:pPr>
              <w:spacing w:after="0" w:line="240" w:lineRule="auto"/>
              <w:jc w:val="right"/>
              <w:rPr>
                <w:rFonts w:eastAsia="Times New Roman" w:cs="Arial"/>
                <w:sz w:val="20"/>
                <w:szCs w:val="20"/>
                <w:lang w:eastAsia="en-AU"/>
              </w:rPr>
            </w:pPr>
          </w:p>
        </w:tc>
        <w:tc>
          <w:tcPr>
            <w:tcW w:w="494" w:type="pct"/>
            <w:tcBorders>
              <w:top w:val="nil"/>
              <w:left w:val="nil"/>
              <w:bottom w:val="single" w:sz="4" w:space="0" w:color="auto"/>
              <w:right w:val="nil"/>
            </w:tcBorders>
            <w:vAlign w:val="bottom"/>
            <w:hideMark/>
          </w:tcPr>
          <w:p w14:paraId="2CA806EA" w14:textId="77777777" w:rsidR="004155DD" w:rsidRPr="00F65403" w:rsidRDefault="004155DD">
            <w:pPr>
              <w:spacing w:after="0" w:line="240" w:lineRule="auto"/>
              <w:jc w:val="right"/>
              <w:rPr>
                <w:rFonts w:eastAsia="Times New Roman" w:cs="Arial"/>
                <w:sz w:val="20"/>
                <w:szCs w:val="20"/>
                <w:lang w:eastAsia="en-AU"/>
              </w:rPr>
            </w:pPr>
          </w:p>
        </w:tc>
        <w:tc>
          <w:tcPr>
            <w:tcW w:w="516" w:type="pct"/>
            <w:tcBorders>
              <w:top w:val="nil"/>
              <w:left w:val="nil"/>
              <w:bottom w:val="single" w:sz="4" w:space="0" w:color="auto"/>
              <w:right w:val="nil"/>
            </w:tcBorders>
            <w:vAlign w:val="bottom"/>
            <w:hideMark/>
          </w:tcPr>
          <w:p w14:paraId="451E1853" w14:textId="77777777" w:rsidR="004155DD" w:rsidRPr="00F65403" w:rsidRDefault="004155DD">
            <w:pPr>
              <w:spacing w:after="0" w:line="240" w:lineRule="auto"/>
              <w:jc w:val="right"/>
              <w:rPr>
                <w:rFonts w:eastAsia="Times New Roman" w:cs="Arial"/>
                <w:sz w:val="20"/>
                <w:szCs w:val="20"/>
                <w:lang w:eastAsia="en-AU"/>
              </w:rPr>
            </w:pPr>
          </w:p>
        </w:tc>
      </w:tr>
      <w:tr w:rsidR="00077B78" w:rsidRPr="0036312D" w14:paraId="1BA067F2" w14:textId="77777777" w:rsidTr="00077B78">
        <w:trPr>
          <w:trHeight w:val="57"/>
        </w:trPr>
        <w:tc>
          <w:tcPr>
            <w:tcW w:w="1411" w:type="pct"/>
            <w:tcBorders>
              <w:top w:val="nil"/>
              <w:left w:val="nil"/>
              <w:bottom w:val="nil"/>
              <w:right w:val="nil"/>
            </w:tcBorders>
            <w:vAlign w:val="center"/>
            <w:hideMark/>
          </w:tcPr>
          <w:p w14:paraId="15C85F05" w14:textId="77777777" w:rsidR="004155DD" w:rsidRPr="00F65403" w:rsidRDefault="004155DD">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assets</w:t>
            </w:r>
            <w:r w:rsidRPr="00F65403">
              <w:rPr>
                <w:rFonts w:eastAsia="Times New Roman" w:cs="Arial"/>
                <w:color w:val="000000"/>
                <w:sz w:val="20"/>
                <w:szCs w:val="20"/>
                <w:lang w:eastAsia="en-AU"/>
              </w:rPr>
              <w:t> </w:t>
            </w:r>
          </w:p>
        </w:tc>
        <w:tc>
          <w:tcPr>
            <w:tcW w:w="676" w:type="pct"/>
            <w:tcBorders>
              <w:top w:val="single" w:sz="4" w:space="0" w:color="auto"/>
              <w:left w:val="nil"/>
              <w:bottom w:val="single" w:sz="4" w:space="0" w:color="auto"/>
              <w:right w:val="nil"/>
            </w:tcBorders>
            <w:vAlign w:val="bottom"/>
            <w:hideMark/>
          </w:tcPr>
          <w:p w14:paraId="42F20E6B" w14:textId="17EFF67C" w:rsidR="004155DD" w:rsidRPr="00F65403" w:rsidRDefault="007E56B1">
            <w:pPr>
              <w:spacing w:after="0" w:line="240" w:lineRule="auto"/>
              <w:jc w:val="right"/>
              <w:rPr>
                <w:rFonts w:eastAsia="Times New Roman" w:cs="Arial"/>
                <w:b/>
                <w:color w:val="000000"/>
                <w:sz w:val="20"/>
                <w:szCs w:val="20"/>
                <w:lang w:eastAsia="en-AU"/>
              </w:rPr>
            </w:pPr>
            <w:r w:rsidRPr="007E56B1">
              <w:rPr>
                <w:rFonts w:eastAsia="Times New Roman" w:cs="Arial"/>
                <w:b/>
                <w:color w:val="000000"/>
                <w:sz w:val="20"/>
                <w:szCs w:val="20"/>
                <w:lang w:eastAsia="en-AU"/>
              </w:rPr>
              <w:t>236,887</w:t>
            </w:r>
          </w:p>
        </w:tc>
        <w:tc>
          <w:tcPr>
            <w:tcW w:w="621" w:type="pct"/>
            <w:tcBorders>
              <w:top w:val="single" w:sz="4" w:space="0" w:color="auto"/>
              <w:left w:val="nil"/>
              <w:bottom w:val="single" w:sz="4" w:space="0" w:color="auto"/>
              <w:right w:val="nil"/>
            </w:tcBorders>
            <w:vAlign w:val="bottom"/>
            <w:hideMark/>
          </w:tcPr>
          <w:p w14:paraId="5B200346" w14:textId="2F94D423" w:rsidR="004155DD" w:rsidRPr="00F65403" w:rsidRDefault="007E56B1">
            <w:pPr>
              <w:spacing w:after="0" w:line="240" w:lineRule="auto"/>
              <w:jc w:val="right"/>
              <w:rPr>
                <w:rFonts w:eastAsia="Times New Roman" w:cs="Arial"/>
                <w:b/>
                <w:color w:val="000000"/>
                <w:sz w:val="20"/>
                <w:szCs w:val="20"/>
                <w:lang w:eastAsia="en-AU"/>
              </w:rPr>
            </w:pPr>
            <w:r w:rsidRPr="007E56B1">
              <w:rPr>
                <w:rFonts w:eastAsia="Times New Roman" w:cs="Arial"/>
                <w:b/>
                <w:color w:val="000000"/>
                <w:sz w:val="20"/>
                <w:szCs w:val="20"/>
                <w:lang w:eastAsia="en-AU"/>
              </w:rPr>
              <w:t>223,708</w:t>
            </w:r>
          </w:p>
        </w:tc>
        <w:tc>
          <w:tcPr>
            <w:tcW w:w="539" w:type="pct"/>
            <w:tcBorders>
              <w:top w:val="single" w:sz="4" w:space="0" w:color="auto"/>
              <w:left w:val="nil"/>
              <w:bottom w:val="single" w:sz="4" w:space="0" w:color="auto"/>
              <w:right w:val="nil"/>
            </w:tcBorders>
            <w:vAlign w:val="bottom"/>
            <w:hideMark/>
          </w:tcPr>
          <w:p w14:paraId="762A7D8D" w14:textId="693461F3" w:rsidR="004155DD" w:rsidRPr="00F65403" w:rsidRDefault="001A6B5E" w:rsidP="413EB596">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59,024</w:t>
            </w:r>
          </w:p>
        </w:tc>
        <w:tc>
          <w:tcPr>
            <w:tcW w:w="99" w:type="pct"/>
            <w:tcBorders>
              <w:top w:val="nil"/>
              <w:left w:val="nil"/>
              <w:bottom w:val="nil"/>
              <w:right w:val="nil"/>
            </w:tcBorders>
            <w:vAlign w:val="bottom"/>
            <w:hideMark/>
          </w:tcPr>
          <w:p w14:paraId="571F845B" w14:textId="77777777" w:rsidR="004155DD" w:rsidRPr="00F65403" w:rsidRDefault="004155DD">
            <w:pPr>
              <w:spacing w:after="0" w:line="240" w:lineRule="auto"/>
              <w:jc w:val="right"/>
              <w:rPr>
                <w:rFonts w:eastAsia="Times New Roman" w:cs="Arial"/>
                <w:b/>
                <w:color w:val="000000"/>
                <w:sz w:val="20"/>
                <w:szCs w:val="20"/>
                <w:lang w:eastAsia="en-AU"/>
              </w:rPr>
            </w:pPr>
          </w:p>
        </w:tc>
        <w:tc>
          <w:tcPr>
            <w:tcW w:w="644" w:type="pct"/>
            <w:tcBorders>
              <w:top w:val="single" w:sz="4" w:space="0" w:color="auto"/>
              <w:left w:val="nil"/>
              <w:bottom w:val="single" w:sz="4" w:space="0" w:color="auto"/>
              <w:right w:val="nil"/>
            </w:tcBorders>
            <w:vAlign w:val="bottom"/>
            <w:hideMark/>
          </w:tcPr>
          <w:p w14:paraId="6F2573E4"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98,864</w:t>
            </w:r>
            <w:r w:rsidRPr="00F65403">
              <w:rPr>
                <w:rFonts w:eastAsia="Times New Roman" w:cs="Arial"/>
                <w:color w:val="000000"/>
                <w:sz w:val="20"/>
                <w:szCs w:val="20"/>
                <w:lang w:eastAsia="en-AU"/>
              </w:rPr>
              <w:t> </w:t>
            </w:r>
          </w:p>
        </w:tc>
        <w:tc>
          <w:tcPr>
            <w:tcW w:w="494" w:type="pct"/>
            <w:tcBorders>
              <w:top w:val="single" w:sz="4" w:space="0" w:color="auto"/>
              <w:left w:val="nil"/>
              <w:bottom w:val="single" w:sz="4" w:space="0" w:color="auto"/>
              <w:right w:val="nil"/>
            </w:tcBorders>
            <w:vAlign w:val="bottom"/>
            <w:hideMark/>
          </w:tcPr>
          <w:p w14:paraId="0ADBF40F"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82,857</w:t>
            </w:r>
            <w:r w:rsidRPr="00F65403">
              <w:rPr>
                <w:rFonts w:eastAsia="Times New Roman" w:cs="Arial"/>
                <w:color w:val="000000"/>
                <w:sz w:val="20"/>
                <w:szCs w:val="20"/>
                <w:lang w:eastAsia="en-AU"/>
              </w:rPr>
              <w:t> </w:t>
            </w:r>
          </w:p>
        </w:tc>
        <w:tc>
          <w:tcPr>
            <w:tcW w:w="516" w:type="pct"/>
            <w:tcBorders>
              <w:top w:val="single" w:sz="4" w:space="0" w:color="auto"/>
              <w:left w:val="nil"/>
              <w:bottom w:val="single" w:sz="4" w:space="0" w:color="auto"/>
              <w:right w:val="nil"/>
            </w:tcBorders>
            <w:vAlign w:val="bottom"/>
            <w:hideMark/>
          </w:tcPr>
          <w:p w14:paraId="332E8B3D" w14:textId="77777777" w:rsidR="004155DD" w:rsidRPr="00F65403" w:rsidRDefault="004155DD">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19,209</w:t>
            </w:r>
            <w:r w:rsidRPr="00F65403">
              <w:rPr>
                <w:rFonts w:eastAsia="Times New Roman" w:cs="Arial"/>
                <w:color w:val="000000"/>
                <w:sz w:val="20"/>
                <w:szCs w:val="20"/>
                <w:lang w:eastAsia="en-AU"/>
              </w:rPr>
              <w:t> </w:t>
            </w:r>
          </w:p>
        </w:tc>
      </w:tr>
      <w:tr w:rsidR="00077B78" w:rsidRPr="0036312D" w14:paraId="386FEC16" w14:textId="77777777" w:rsidTr="00077B78">
        <w:trPr>
          <w:trHeight w:val="57"/>
        </w:trPr>
        <w:tc>
          <w:tcPr>
            <w:tcW w:w="1411" w:type="pct"/>
            <w:tcBorders>
              <w:top w:val="nil"/>
              <w:left w:val="nil"/>
              <w:bottom w:val="nil"/>
              <w:right w:val="nil"/>
            </w:tcBorders>
            <w:vAlign w:val="center"/>
            <w:hideMark/>
          </w:tcPr>
          <w:p w14:paraId="73C07F02" w14:textId="77777777" w:rsidR="004155DD" w:rsidRPr="00F65403" w:rsidRDefault="004155DD">
            <w:pPr>
              <w:spacing w:after="0" w:line="240" w:lineRule="auto"/>
              <w:jc w:val="right"/>
              <w:rPr>
                <w:rFonts w:eastAsia="Times New Roman" w:cs="Arial"/>
                <w:b/>
                <w:color w:val="000000"/>
                <w:sz w:val="20"/>
                <w:szCs w:val="20"/>
                <w:lang w:eastAsia="en-AU"/>
              </w:rPr>
            </w:pPr>
          </w:p>
        </w:tc>
        <w:tc>
          <w:tcPr>
            <w:tcW w:w="676" w:type="pct"/>
            <w:tcBorders>
              <w:top w:val="single" w:sz="4" w:space="0" w:color="auto"/>
              <w:left w:val="nil"/>
              <w:right w:val="nil"/>
            </w:tcBorders>
            <w:vAlign w:val="bottom"/>
            <w:hideMark/>
          </w:tcPr>
          <w:p w14:paraId="3AD57699" w14:textId="77777777" w:rsidR="004155DD" w:rsidRPr="00F65403" w:rsidRDefault="004155DD">
            <w:pPr>
              <w:spacing w:after="0" w:line="240" w:lineRule="auto"/>
              <w:jc w:val="right"/>
              <w:rPr>
                <w:rFonts w:eastAsia="Times New Roman" w:cs="Arial"/>
                <w:sz w:val="20"/>
                <w:szCs w:val="20"/>
                <w:lang w:eastAsia="en-AU"/>
              </w:rPr>
            </w:pPr>
          </w:p>
        </w:tc>
        <w:tc>
          <w:tcPr>
            <w:tcW w:w="621" w:type="pct"/>
            <w:tcBorders>
              <w:top w:val="single" w:sz="4" w:space="0" w:color="auto"/>
              <w:left w:val="nil"/>
              <w:right w:val="nil"/>
            </w:tcBorders>
            <w:vAlign w:val="bottom"/>
            <w:hideMark/>
          </w:tcPr>
          <w:p w14:paraId="2A33A3A0" w14:textId="77777777" w:rsidR="004155DD" w:rsidRPr="00F65403" w:rsidRDefault="004155DD">
            <w:pPr>
              <w:spacing w:after="0" w:line="240" w:lineRule="auto"/>
              <w:jc w:val="right"/>
              <w:rPr>
                <w:rFonts w:eastAsia="Times New Roman" w:cs="Arial"/>
                <w:sz w:val="20"/>
                <w:szCs w:val="20"/>
                <w:lang w:eastAsia="en-AU"/>
              </w:rPr>
            </w:pPr>
          </w:p>
        </w:tc>
        <w:tc>
          <w:tcPr>
            <w:tcW w:w="539" w:type="pct"/>
            <w:tcBorders>
              <w:top w:val="single" w:sz="4" w:space="0" w:color="auto"/>
              <w:left w:val="nil"/>
              <w:right w:val="nil"/>
            </w:tcBorders>
            <w:vAlign w:val="bottom"/>
            <w:hideMark/>
          </w:tcPr>
          <w:p w14:paraId="1A18F503" w14:textId="77777777" w:rsidR="004155DD" w:rsidRPr="00F65403" w:rsidRDefault="004155DD">
            <w:pPr>
              <w:spacing w:after="0" w:line="240" w:lineRule="auto"/>
              <w:jc w:val="right"/>
              <w:rPr>
                <w:rFonts w:eastAsia="Times New Roman" w:cs="Arial"/>
                <w:sz w:val="20"/>
                <w:szCs w:val="20"/>
                <w:lang w:eastAsia="en-AU"/>
              </w:rPr>
            </w:pPr>
          </w:p>
        </w:tc>
        <w:tc>
          <w:tcPr>
            <w:tcW w:w="99" w:type="pct"/>
            <w:tcBorders>
              <w:top w:val="nil"/>
              <w:left w:val="nil"/>
              <w:right w:val="nil"/>
            </w:tcBorders>
            <w:vAlign w:val="bottom"/>
            <w:hideMark/>
          </w:tcPr>
          <w:p w14:paraId="4A7C3D4B" w14:textId="77777777" w:rsidR="004155DD" w:rsidRPr="00F65403" w:rsidRDefault="004155DD">
            <w:pPr>
              <w:spacing w:after="0" w:line="240" w:lineRule="auto"/>
              <w:jc w:val="right"/>
              <w:rPr>
                <w:rFonts w:eastAsia="Times New Roman" w:cs="Arial"/>
                <w:sz w:val="20"/>
                <w:szCs w:val="20"/>
                <w:lang w:eastAsia="en-AU"/>
              </w:rPr>
            </w:pPr>
          </w:p>
        </w:tc>
        <w:tc>
          <w:tcPr>
            <w:tcW w:w="644" w:type="pct"/>
            <w:tcBorders>
              <w:top w:val="single" w:sz="4" w:space="0" w:color="auto"/>
              <w:left w:val="nil"/>
              <w:right w:val="nil"/>
            </w:tcBorders>
            <w:vAlign w:val="bottom"/>
            <w:hideMark/>
          </w:tcPr>
          <w:p w14:paraId="1B4851D8" w14:textId="77777777" w:rsidR="004155DD" w:rsidRPr="00F65403" w:rsidRDefault="004155DD">
            <w:pPr>
              <w:spacing w:after="0" w:line="240" w:lineRule="auto"/>
              <w:jc w:val="right"/>
              <w:rPr>
                <w:rFonts w:eastAsia="Times New Roman" w:cs="Arial"/>
                <w:sz w:val="20"/>
                <w:szCs w:val="20"/>
                <w:lang w:eastAsia="en-AU"/>
              </w:rPr>
            </w:pPr>
          </w:p>
        </w:tc>
        <w:tc>
          <w:tcPr>
            <w:tcW w:w="494" w:type="pct"/>
            <w:tcBorders>
              <w:top w:val="single" w:sz="4" w:space="0" w:color="auto"/>
              <w:left w:val="nil"/>
              <w:right w:val="nil"/>
            </w:tcBorders>
            <w:vAlign w:val="bottom"/>
            <w:hideMark/>
          </w:tcPr>
          <w:p w14:paraId="40789F04" w14:textId="77777777" w:rsidR="004155DD" w:rsidRPr="00F65403" w:rsidRDefault="004155DD">
            <w:pPr>
              <w:spacing w:after="0" w:line="240" w:lineRule="auto"/>
              <w:jc w:val="right"/>
              <w:rPr>
                <w:rFonts w:eastAsia="Times New Roman" w:cs="Arial"/>
                <w:sz w:val="20"/>
                <w:szCs w:val="20"/>
                <w:lang w:eastAsia="en-AU"/>
              </w:rPr>
            </w:pPr>
          </w:p>
        </w:tc>
        <w:tc>
          <w:tcPr>
            <w:tcW w:w="516" w:type="pct"/>
            <w:tcBorders>
              <w:top w:val="single" w:sz="4" w:space="0" w:color="auto"/>
              <w:left w:val="nil"/>
              <w:right w:val="nil"/>
            </w:tcBorders>
            <w:vAlign w:val="bottom"/>
            <w:hideMark/>
          </w:tcPr>
          <w:p w14:paraId="6E79243B" w14:textId="77777777" w:rsidR="004155DD" w:rsidRPr="00F65403" w:rsidRDefault="004155DD">
            <w:pPr>
              <w:spacing w:after="0" w:line="240" w:lineRule="auto"/>
              <w:jc w:val="right"/>
              <w:rPr>
                <w:rFonts w:eastAsia="Times New Roman" w:cs="Arial"/>
                <w:sz w:val="20"/>
                <w:szCs w:val="20"/>
                <w:lang w:eastAsia="en-AU"/>
              </w:rPr>
            </w:pPr>
          </w:p>
        </w:tc>
      </w:tr>
      <w:tr w:rsidR="00077B78" w:rsidRPr="0036312D" w14:paraId="48BE2C1E" w14:textId="77777777" w:rsidTr="00077B78">
        <w:trPr>
          <w:trHeight w:val="57"/>
        </w:trPr>
        <w:tc>
          <w:tcPr>
            <w:tcW w:w="1411" w:type="pct"/>
            <w:tcBorders>
              <w:top w:val="nil"/>
              <w:left w:val="nil"/>
              <w:bottom w:val="nil"/>
              <w:right w:val="nil"/>
            </w:tcBorders>
            <w:vAlign w:val="center"/>
            <w:hideMark/>
          </w:tcPr>
          <w:p w14:paraId="38C0DD30" w14:textId="77777777" w:rsidR="004155DD" w:rsidRPr="00F65403" w:rsidRDefault="004155D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Group’s ownership interest (%) </w:t>
            </w:r>
          </w:p>
        </w:tc>
        <w:tc>
          <w:tcPr>
            <w:tcW w:w="676" w:type="pct"/>
            <w:tcBorders>
              <w:top w:val="nil"/>
              <w:left w:val="nil"/>
              <w:right w:val="nil"/>
            </w:tcBorders>
            <w:vAlign w:val="bottom"/>
            <w:hideMark/>
          </w:tcPr>
          <w:p w14:paraId="59F24211" w14:textId="77777777"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621" w:type="pct"/>
            <w:tcBorders>
              <w:top w:val="nil"/>
              <w:left w:val="nil"/>
              <w:right w:val="nil"/>
            </w:tcBorders>
            <w:vAlign w:val="bottom"/>
            <w:hideMark/>
          </w:tcPr>
          <w:p w14:paraId="3DDD78E4" w14:textId="77777777"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539" w:type="pct"/>
            <w:tcBorders>
              <w:top w:val="nil"/>
              <w:left w:val="nil"/>
              <w:right w:val="nil"/>
            </w:tcBorders>
            <w:vAlign w:val="bottom"/>
            <w:hideMark/>
          </w:tcPr>
          <w:p w14:paraId="7473A030" w14:textId="233BFD2C"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4</w:t>
            </w:r>
            <w:r w:rsidR="00DE1E5B">
              <w:rPr>
                <w:rFonts w:eastAsia="Times New Roman" w:cs="Arial"/>
                <w:sz w:val="20"/>
                <w:szCs w:val="20"/>
                <w:lang w:eastAsia="en-AU"/>
              </w:rPr>
              <w:t>7</w:t>
            </w:r>
            <w:r w:rsidRPr="00F65403">
              <w:rPr>
                <w:rFonts w:eastAsia="Times New Roman" w:cs="Arial"/>
                <w:sz w:val="20"/>
                <w:szCs w:val="20"/>
                <w:lang w:eastAsia="en-AU"/>
              </w:rPr>
              <w:t>% </w:t>
            </w:r>
          </w:p>
        </w:tc>
        <w:tc>
          <w:tcPr>
            <w:tcW w:w="99" w:type="pct"/>
            <w:tcBorders>
              <w:top w:val="nil"/>
              <w:left w:val="nil"/>
              <w:right w:val="nil"/>
            </w:tcBorders>
            <w:vAlign w:val="bottom"/>
            <w:hideMark/>
          </w:tcPr>
          <w:p w14:paraId="12D537B8" w14:textId="77777777" w:rsidR="004155DD" w:rsidRPr="00F65403" w:rsidRDefault="004155DD">
            <w:pPr>
              <w:spacing w:after="0" w:line="240" w:lineRule="auto"/>
              <w:jc w:val="right"/>
              <w:rPr>
                <w:rFonts w:eastAsia="Times New Roman" w:cs="Arial"/>
                <w:sz w:val="20"/>
                <w:szCs w:val="20"/>
                <w:lang w:eastAsia="en-AU"/>
              </w:rPr>
            </w:pPr>
          </w:p>
        </w:tc>
        <w:tc>
          <w:tcPr>
            <w:tcW w:w="644" w:type="pct"/>
            <w:tcBorders>
              <w:top w:val="nil"/>
              <w:left w:val="nil"/>
              <w:right w:val="nil"/>
            </w:tcBorders>
            <w:vAlign w:val="bottom"/>
            <w:hideMark/>
          </w:tcPr>
          <w:p w14:paraId="18C73F13" w14:textId="77777777"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494" w:type="pct"/>
            <w:tcBorders>
              <w:top w:val="nil"/>
              <w:left w:val="nil"/>
              <w:right w:val="nil"/>
            </w:tcBorders>
            <w:vAlign w:val="bottom"/>
            <w:hideMark/>
          </w:tcPr>
          <w:p w14:paraId="2ECB7C58" w14:textId="77777777"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516" w:type="pct"/>
            <w:tcBorders>
              <w:top w:val="nil"/>
              <w:left w:val="nil"/>
              <w:right w:val="nil"/>
            </w:tcBorders>
            <w:vAlign w:val="bottom"/>
            <w:hideMark/>
          </w:tcPr>
          <w:p w14:paraId="4F6DF789" w14:textId="0C416527" w:rsidR="004155DD" w:rsidRPr="00F65403" w:rsidRDefault="004155DD">
            <w:pPr>
              <w:spacing w:after="0" w:line="240" w:lineRule="auto"/>
              <w:jc w:val="right"/>
              <w:rPr>
                <w:rFonts w:eastAsia="Times New Roman" w:cs="Arial"/>
                <w:sz w:val="20"/>
                <w:szCs w:val="20"/>
                <w:lang w:eastAsia="en-AU"/>
              </w:rPr>
            </w:pPr>
            <w:r w:rsidRPr="00F65403">
              <w:rPr>
                <w:rFonts w:eastAsia="Times New Roman" w:cs="Arial"/>
                <w:sz w:val="20"/>
                <w:szCs w:val="20"/>
                <w:lang w:eastAsia="en-AU"/>
              </w:rPr>
              <w:t>4</w:t>
            </w:r>
            <w:r w:rsidR="00DE1E5B">
              <w:rPr>
                <w:rFonts w:eastAsia="Times New Roman" w:cs="Arial"/>
                <w:sz w:val="20"/>
                <w:szCs w:val="20"/>
                <w:lang w:eastAsia="en-AU"/>
              </w:rPr>
              <w:t>7</w:t>
            </w:r>
            <w:r w:rsidRPr="00F65403">
              <w:rPr>
                <w:rFonts w:eastAsia="Times New Roman" w:cs="Arial"/>
                <w:sz w:val="20"/>
                <w:szCs w:val="20"/>
                <w:lang w:eastAsia="en-AU"/>
              </w:rPr>
              <w:t>% </w:t>
            </w:r>
          </w:p>
        </w:tc>
      </w:tr>
      <w:tr w:rsidR="00077B78" w:rsidRPr="0036312D" w14:paraId="1E0FF1C5" w14:textId="77777777" w:rsidTr="00077B78">
        <w:trPr>
          <w:trHeight w:val="57"/>
        </w:trPr>
        <w:tc>
          <w:tcPr>
            <w:tcW w:w="1411" w:type="pct"/>
            <w:tcBorders>
              <w:top w:val="nil"/>
              <w:left w:val="nil"/>
              <w:bottom w:val="nil"/>
              <w:right w:val="nil"/>
            </w:tcBorders>
            <w:vAlign w:val="center"/>
          </w:tcPr>
          <w:p w14:paraId="0B15D548" w14:textId="4266EB4A" w:rsidR="001A6B5E" w:rsidRPr="00F65403" w:rsidRDefault="001A6B5E">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Goodwill</w:t>
            </w:r>
          </w:p>
        </w:tc>
        <w:tc>
          <w:tcPr>
            <w:tcW w:w="676" w:type="pct"/>
            <w:tcBorders>
              <w:left w:val="nil"/>
              <w:bottom w:val="single" w:sz="4" w:space="0" w:color="auto"/>
              <w:right w:val="nil"/>
            </w:tcBorders>
            <w:vAlign w:val="bottom"/>
          </w:tcPr>
          <w:p w14:paraId="5FA3D4D1" w14:textId="2FBD8B14"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621" w:type="pct"/>
            <w:tcBorders>
              <w:left w:val="nil"/>
              <w:bottom w:val="single" w:sz="4" w:space="0" w:color="auto"/>
              <w:right w:val="nil"/>
            </w:tcBorders>
            <w:vAlign w:val="bottom"/>
          </w:tcPr>
          <w:p w14:paraId="2B282F77" w14:textId="5A7DE99A"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539" w:type="pct"/>
            <w:tcBorders>
              <w:left w:val="nil"/>
              <w:bottom w:val="single" w:sz="4" w:space="0" w:color="auto"/>
              <w:right w:val="nil"/>
            </w:tcBorders>
            <w:vAlign w:val="bottom"/>
          </w:tcPr>
          <w:p w14:paraId="3FB1C465" w14:textId="25BC79BE"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11,0</w:t>
            </w:r>
            <w:r w:rsidR="003F7663" w:rsidRPr="413EB596">
              <w:rPr>
                <w:rFonts w:eastAsia="Times New Roman" w:cs="Arial"/>
                <w:sz w:val="20"/>
                <w:szCs w:val="20"/>
                <w:lang w:eastAsia="en-AU"/>
              </w:rPr>
              <w:t>58</w:t>
            </w:r>
          </w:p>
        </w:tc>
        <w:tc>
          <w:tcPr>
            <w:tcW w:w="99" w:type="pct"/>
            <w:tcBorders>
              <w:left w:val="nil"/>
              <w:right w:val="nil"/>
            </w:tcBorders>
            <w:vAlign w:val="bottom"/>
          </w:tcPr>
          <w:p w14:paraId="21C81A34" w14:textId="77777777" w:rsidR="001A6B5E" w:rsidRPr="00F65403" w:rsidRDefault="001A6B5E">
            <w:pPr>
              <w:spacing w:after="0" w:line="240" w:lineRule="auto"/>
              <w:jc w:val="right"/>
              <w:rPr>
                <w:rFonts w:eastAsia="Times New Roman" w:cs="Arial"/>
                <w:sz w:val="20"/>
                <w:szCs w:val="20"/>
                <w:lang w:eastAsia="en-AU"/>
              </w:rPr>
            </w:pPr>
          </w:p>
        </w:tc>
        <w:tc>
          <w:tcPr>
            <w:tcW w:w="644" w:type="pct"/>
            <w:tcBorders>
              <w:left w:val="nil"/>
              <w:bottom w:val="single" w:sz="4" w:space="0" w:color="auto"/>
              <w:right w:val="nil"/>
            </w:tcBorders>
            <w:vAlign w:val="bottom"/>
          </w:tcPr>
          <w:p w14:paraId="14A2099F" w14:textId="682ADDCE"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494" w:type="pct"/>
            <w:tcBorders>
              <w:left w:val="nil"/>
              <w:bottom w:val="single" w:sz="4" w:space="0" w:color="auto"/>
              <w:right w:val="nil"/>
            </w:tcBorders>
            <w:vAlign w:val="bottom"/>
          </w:tcPr>
          <w:p w14:paraId="2757CC3D" w14:textId="69BED153"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516" w:type="pct"/>
            <w:tcBorders>
              <w:left w:val="nil"/>
              <w:bottom w:val="single" w:sz="4" w:space="0" w:color="auto"/>
              <w:right w:val="nil"/>
            </w:tcBorders>
            <w:vAlign w:val="bottom"/>
          </w:tcPr>
          <w:p w14:paraId="6E4311D4" w14:textId="440F6C7A" w:rsidR="001A6B5E" w:rsidRPr="00F65403" w:rsidRDefault="001A6B5E">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r>
      <w:tr w:rsidR="00077B78" w:rsidRPr="0036312D" w14:paraId="7E602333" w14:textId="77777777" w:rsidTr="00077B78">
        <w:trPr>
          <w:trHeight w:val="57"/>
        </w:trPr>
        <w:tc>
          <w:tcPr>
            <w:tcW w:w="1411" w:type="pct"/>
            <w:tcBorders>
              <w:top w:val="nil"/>
              <w:left w:val="nil"/>
              <w:bottom w:val="nil"/>
              <w:right w:val="nil"/>
            </w:tcBorders>
            <w:vAlign w:val="center"/>
            <w:hideMark/>
          </w:tcPr>
          <w:p w14:paraId="42AF6393" w14:textId="77777777" w:rsidR="004155DD" w:rsidRPr="00F65403" w:rsidRDefault="004155DD">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Group’s carrying amount</w:t>
            </w:r>
          </w:p>
        </w:tc>
        <w:tc>
          <w:tcPr>
            <w:tcW w:w="676" w:type="pct"/>
            <w:tcBorders>
              <w:top w:val="single" w:sz="4" w:space="0" w:color="auto"/>
              <w:left w:val="nil"/>
              <w:bottom w:val="single" w:sz="4" w:space="0" w:color="auto"/>
              <w:right w:val="nil"/>
            </w:tcBorders>
            <w:vAlign w:val="bottom"/>
            <w:hideMark/>
          </w:tcPr>
          <w:p w14:paraId="5D8BCEB9" w14:textId="6A115446" w:rsidR="004155DD" w:rsidRPr="00F65403" w:rsidRDefault="00377374">
            <w:pPr>
              <w:spacing w:after="0" w:line="240" w:lineRule="auto"/>
              <w:jc w:val="right"/>
              <w:rPr>
                <w:rFonts w:eastAsia="Times New Roman" w:cs="Arial"/>
                <w:b/>
                <w:sz w:val="20"/>
                <w:szCs w:val="20"/>
                <w:lang w:eastAsia="en-AU"/>
              </w:rPr>
            </w:pPr>
            <w:r>
              <w:rPr>
                <w:rFonts w:eastAsia="Times New Roman" w:cs="Arial"/>
                <w:b/>
                <w:sz w:val="20"/>
                <w:szCs w:val="20"/>
                <w:lang w:eastAsia="en-AU"/>
              </w:rPr>
              <w:t>71,066</w:t>
            </w:r>
            <w:r w:rsidR="004155DD" w:rsidRPr="00F65403">
              <w:rPr>
                <w:rFonts w:eastAsia="Times New Roman" w:cs="Arial"/>
                <w:sz w:val="20"/>
                <w:szCs w:val="20"/>
                <w:lang w:eastAsia="en-AU"/>
              </w:rPr>
              <w:t> </w:t>
            </w:r>
          </w:p>
        </w:tc>
        <w:tc>
          <w:tcPr>
            <w:tcW w:w="621" w:type="pct"/>
            <w:tcBorders>
              <w:top w:val="single" w:sz="4" w:space="0" w:color="auto"/>
              <w:left w:val="nil"/>
              <w:bottom w:val="single" w:sz="4" w:space="0" w:color="auto"/>
              <w:right w:val="nil"/>
            </w:tcBorders>
            <w:vAlign w:val="bottom"/>
            <w:hideMark/>
          </w:tcPr>
          <w:p w14:paraId="5786849E" w14:textId="75993DC0" w:rsidR="004155DD" w:rsidRPr="00F65403" w:rsidRDefault="00377374">
            <w:pPr>
              <w:spacing w:after="0" w:line="240" w:lineRule="auto"/>
              <w:jc w:val="right"/>
              <w:rPr>
                <w:rFonts w:eastAsia="Times New Roman" w:cs="Arial"/>
                <w:b/>
                <w:sz w:val="20"/>
                <w:szCs w:val="20"/>
                <w:lang w:eastAsia="en-AU"/>
              </w:rPr>
            </w:pPr>
            <w:r>
              <w:rPr>
                <w:rFonts w:eastAsia="Times New Roman" w:cs="Arial"/>
                <w:b/>
                <w:sz w:val="20"/>
                <w:szCs w:val="20"/>
                <w:lang w:eastAsia="en-AU"/>
              </w:rPr>
              <w:t>67,112</w:t>
            </w:r>
            <w:r w:rsidR="004155DD" w:rsidRPr="00F65403">
              <w:rPr>
                <w:rFonts w:eastAsia="Times New Roman" w:cs="Arial"/>
                <w:sz w:val="20"/>
                <w:szCs w:val="20"/>
                <w:lang w:eastAsia="en-AU"/>
              </w:rPr>
              <w:t> </w:t>
            </w:r>
          </w:p>
        </w:tc>
        <w:tc>
          <w:tcPr>
            <w:tcW w:w="539" w:type="pct"/>
            <w:tcBorders>
              <w:top w:val="single" w:sz="4" w:space="0" w:color="auto"/>
              <w:left w:val="nil"/>
              <w:bottom w:val="single" w:sz="4" w:space="0" w:color="auto"/>
              <w:right w:val="nil"/>
            </w:tcBorders>
            <w:vAlign w:val="bottom"/>
            <w:hideMark/>
          </w:tcPr>
          <w:p w14:paraId="5E9A9370" w14:textId="3CDA6B85" w:rsidR="004155DD" w:rsidRPr="00F65403" w:rsidRDefault="00190152">
            <w:pPr>
              <w:spacing w:after="0" w:line="240" w:lineRule="auto"/>
              <w:jc w:val="right"/>
              <w:rPr>
                <w:rFonts w:eastAsia="Times New Roman" w:cs="Arial"/>
                <w:b/>
                <w:sz w:val="20"/>
                <w:szCs w:val="20"/>
                <w:lang w:eastAsia="en-AU"/>
              </w:rPr>
            </w:pPr>
            <w:r w:rsidRPr="00190152">
              <w:rPr>
                <w:rFonts w:eastAsia="Times New Roman" w:cs="Arial"/>
                <w:b/>
                <w:sz w:val="20"/>
                <w:szCs w:val="20"/>
                <w:lang w:eastAsia="en-AU"/>
              </w:rPr>
              <w:t>38,578</w:t>
            </w:r>
          </w:p>
        </w:tc>
        <w:tc>
          <w:tcPr>
            <w:tcW w:w="99" w:type="pct"/>
            <w:tcBorders>
              <w:left w:val="nil"/>
              <w:bottom w:val="nil"/>
              <w:right w:val="nil"/>
            </w:tcBorders>
            <w:vAlign w:val="bottom"/>
            <w:hideMark/>
          </w:tcPr>
          <w:p w14:paraId="6B171B0F" w14:textId="77777777" w:rsidR="004155DD" w:rsidRPr="00F65403" w:rsidRDefault="004155DD">
            <w:pPr>
              <w:spacing w:after="0" w:line="240" w:lineRule="auto"/>
              <w:jc w:val="right"/>
              <w:rPr>
                <w:rFonts w:eastAsia="Times New Roman" w:cs="Arial"/>
                <w:b/>
                <w:sz w:val="20"/>
                <w:szCs w:val="20"/>
                <w:lang w:eastAsia="en-AU"/>
              </w:rPr>
            </w:pPr>
          </w:p>
        </w:tc>
        <w:tc>
          <w:tcPr>
            <w:tcW w:w="644" w:type="pct"/>
            <w:tcBorders>
              <w:top w:val="single" w:sz="4" w:space="0" w:color="auto"/>
              <w:left w:val="nil"/>
              <w:bottom w:val="single" w:sz="4" w:space="0" w:color="auto"/>
              <w:right w:val="nil"/>
            </w:tcBorders>
            <w:vAlign w:val="bottom"/>
            <w:hideMark/>
          </w:tcPr>
          <w:p w14:paraId="7075F373" w14:textId="77777777" w:rsidR="004155DD" w:rsidRPr="00F65403" w:rsidRDefault="004155DD">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29,659</w:t>
            </w:r>
            <w:r w:rsidRPr="00F65403">
              <w:rPr>
                <w:rFonts w:eastAsia="Times New Roman" w:cs="Arial"/>
                <w:sz w:val="20"/>
                <w:szCs w:val="20"/>
                <w:lang w:eastAsia="en-AU"/>
              </w:rPr>
              <w:t> </w:t>
            </w:r>
          </w:p>
        </w:tc>
        <w:tc>
          <w:tcPr>
            <w:tcW w:w="494" w:type="pct"/>
            <w:tcBorders>
              <w:top w:val="single" w:sz="4" w:space="0" w:color="auto"/>
              <w:left w:val="nil"/>
              <w:bottom w:val="single" w:sz="4" w:space="0" w:color="auto"/>
              <w:right w:val="nil"/>
            </w:tcBorders>
            <w:vAlign w:val="bottom"/>
            <w:hideMark/>
          </w:tcPr>
          <w:p w14:paraId="78097D48" w14:textId="77777777" w:rsidR="004155DD" w:rsidRPr="00F65403" w:rsidRDefault="004155DD">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24,857</w:t>
            </w:r>
            <w:r w:rsidRPr="00F65403">
              <w:rPr>
                <w:rFonts w:eastAsia="Times New Roman" w:cs="Arial"/>
                <w:sz w:val="20"/>
                <w:szCs w:val="20"/>
                <w:lang w:eastAsia="en-AU"/>
              </w:rPr>
              <w:t> </w:t>
            </w:r>
          </w:p>
        </w:tc>
        <w:tc>
          <w:tcPr>
            <w:tcW w:w="516" w:type="pct"/>
            <w:tcBorders>
              <w:top w:val="single" w:sz="4" w:space="0" w:color="auto"/>
              <w:left w:val="nil"/>
              <w:bottom w:val="single" w:sz="4" w:space="0" w:color="auto"/>
              <w:right w:val="nil"/>
            </w:tcBorders>
            <w:vAlign w:val="bottom"/>
            <w:hideMark/>
          </w:tcPr>
          <w:p w14:paraId="1F1832C3" w14:textId="77777777" w:rsidR="004155DD" w:rsidRPr="00F65403" w:rsidRDefault="004155DD">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10,398</w:t>
            </w:r>
            <w:r w:rsidRPr="00F65403">
              <w:rPr>
                <w:rFonts w:eastAsia="Times New Roman" w:cs="Arial"/>
                <w:sz w:val="20"/>
                <w:szCs w:val="20"/>
                <w:lang w:eastAsia="en-AU"/>
              </w:rPr>
              <w:t> </w:t>
            </w:r>
          </w:p>
        </w:tc>
      </w:tr>
      <w:tr w:rsidR="00077B78" w:rsidRPr="0036312D" w14:paraId="5956CDA9" w14:textId="77777777" w:rsidTr="00077B78">
        <w:trPr>
          <w:trHeight w:val="57"/>
        </w:trPr>
        <w:tc>
          <w:tcPr>
            <w:tcW w:w="1411" w:type="pct"/>
            <w:tcBorders>
              <w:top w:val="nil"/>
              <w:left w:val="nil"/>
              <w:bottom w:val="nil"/>
              <w:right w:val="nil"/>
            </w:tcBorders>
            <w:vAlign w:val="center"/>
            <w:hideMark/>
          </w:tcPr>
          <w:p w14:paraId="49335CDA" w14:textId="77777777" w:rsidR="004155DD" w:rsidRPr="00F65403" w:rsidRDefault="004155DD">
            <w:pPr>
              <w:spacing w:after="0" w:line="240" w:lineRule="auto"/>
              <w:jc w:val="right"/>
              <w:rPr>
                <w:rFonts w:eastAsia="Times New Roman" w:cs="Arial"/>
                <w:b/>
                <w:sz w:val="20"/>
                <w:szCs w:val="20"/>
                <w:lang w:eastAsia="en-AU"/>
              </w:rPr>
            </w:pPr>
          </w:p>
        </w:tc>
        <w:tc>
          <w:tcPr>
            <w:tcW w:w="676" w:type="pct"/>
            <w:tcBorders>
              <w:top w:val="single" w:sz="4" w:space="0" w:color="auto"/>
              <w:left w:val="nil"/>
              <w:bottom w:val="nil"/>
              <w:right w:val="nil"/>
            </w:tcBorders>
            <w:vAlign w:val="bottom"/>
            <w:hideMark/>
          </w:tcPr>
          <w:p w14:paraId="527E04D1" w14:textId="77777777" w:rsidR="004155DD" w:rsidRPr="00F65403" w:rsidRDefault="004155DD">
            <w:pPr>
              <w:spacing w:after="0" w:line="240" w:lineRule="auto"/>
              <w:jc w:val="right"/>
              <w:rPr>
                <w:rFonts w:eastAsia="Times New Roman" w:cs="Arial"/>
                <w:sz w:val="20"/>
                <w:szCs w:val="20"/>
                <w:lang w:eastAsia="en-AU"/>
              </w:rPr>
            </w:pPr>
          </w:p>
        </w:tc>
        <w:tc>
          <w:tcPr>
            <w:tcW w:w="621" w:type="pct"/>
            <w:tcBorders>
              <w:top w:val="single" w:sz="4" w:space="0" w:color="auto"/>
              <w:left w:val="nil"/>
              <w:bottom w:val="nil"/>
              <w:right w:val="nil"/>
            </w:tcBorders>
            <w:vAlign w:val="bottom"/>
            <w:hideMark/>
          </w:tcPr>
          <w:p w14:paraId="478B95CD" w14:textId="77777777" w:rsidR="004155DD" w:rsidRPr="00F65403" w:rsidRDefault="004155DD">
            <w:pPr>
              <w:spacing w:after="0" w:line="240" w:lineRule="auto"/>
              <w:jc w:val="right"/>
              <w:rPr>
                <w:rFonts w:eastAsia="Times New Roman" w:cs="Arial"/>
                <w:sz w:val="20"/>
                <w:szCs w:val="20"/>
                <w:lang w:eastAsia="en-AU"/>
              </w:rPr>
            </w:pPr>
          </w:p>
        </w:tc>
        <w:tc>
          <w:tcPr>
            <w:tcW w:w="539" w:type="pct"/>
            <w:tcBorders>
              <w:top w:val="single" w:sz="4" w:space="0" w:color="auto"/>
              <w:left w:val="nil"/>
              <w:bottom w:val="nil"/>
              <w:right w:val="nil"/>
            </w:tcBorders>
            <w:vAlign w:val="bottom"/>
            <w:hideMark/>
          </w:tcPr>
          <w:p w14:paraId="50FEA513" w14:textId="77777777" w:rsidR="004155DD" w:rsidRPr="00F65403" w:rsidRDefault="004155DD">
            <w:pPr>
              <w:spacing w:after="0" w:line="240" w:lineRule="auto"/>
              <w:jc w:val="right"/>
              <w:rPr>
                <w:rFonts w:eastAsia="Times New Roman" w:cs="Arial"/>
                <w:sz w:val="20"/>
                <w:szCs w:val="20"/>
                <w:lang w:eastAsia="en-AU"/>
              </w:rPr>
            </w:pPr>
          </w:p>
        </w:tc>
        <w:tc>
          <w:tcPr>
            <w:tcW w:w="99" w:type="pct"/>
            <w:tcBorders>
              <w:top w:val="nil"/>
              <w:left w:val="nil"/>
              <w:bottom w:val="nil"/>
              <w:right w:val="nil"/>
            </w:tcBorders>
            <w:vAlign w:val="bottom"/>
            <w:hideMark/>
          </w:tcPr>
          <w:p w14:paraId="540FAE4E" w14:textId="77777777" w:rsidR="004155DD" w:rsidRPr="00F65403" w:rsidRDefault="004155DD">
            <w:pPr>
              <w:spacing w:after="0" w:line="240" w:lineRule="auto"/>
              <w:jc w:val="right"/>
              <w:rPr>
                <w:rFonts w:eastAsia="Times New Roman" w:cs="Arial"/>
                <w:sz w:val="20"/>
                <w:szCs w:val="20"/>
                <w:lang w:eastAsia="en-AU"/>
              </w:rPr>
            </w:pPr>
          </w:p>
        </w:tc>
        <w:tc>
          <w:tcPr>
            <w:tcW w:w="644" w:type="pct"/>
            <w:tcBorders>
              <w:top w:val="single" w:sz="4" w:space="0" w:color="auto"/>
              <w:left w:val="nil"/>
              <w:bottom w:val="nil"/>
              <w:right w:val="nil"/>
            </w:tcBorders>
            <w:vAlign w:val="bottom"/>
            <w:hideMark/>
          </w:tcPr>
          <w:p w14:paraId="789ECF75" w14:textId="77777777" w:rsidR="004155DD" w:rsidRPr="00F65403" w:rsidRDefault="004155DD">
            <w:pPr>
              <w:spacing w:after="0" w:line="240" w:lineRule="auto"/>
              <w:jc w:val="right"/>
              <w:rPr>
                <w:rFonts w:eastAsia="Times New Roman" w:cs="Arial"/>
                <w:sz w:val="20"/>
                <w:szCs w:val="20"/>
                <w:lang w:eastAsia="en-AU"/>
              </w:rPr>
            </w:pPr>
          </w:p>
        </w:tc>
        <w:tc>
          <w:tcPr>
            <w:tcW w:w="494" w:type="pct"/>
            <w:tcBorders>
              <w:top w:val="single" w:sz="4" w:space="0" w:color="auto"/>
              <w:left w:val="nil"/>
              <w:bottom w:val="nil"/>
              <w:right w:val="nil"/>
            </w:tcBorders>
            <w:vAlign w:val="bottom"/>
            <w:hideMark/>
          </w:tcPr>
          <w:p w14:paraId="7F89B5A2" w14:textId="77777777" w:rsidR="004155DD" w:rsidRPr="00F65403" w:rsidRDefault="004155DD">
            <w:pPr>
              <w:spacing w:after="0" w:line="240" w:lineRule="auto"/>
              <w:jc w:val="right"/>
              <w:rPr>
                <w:rFonts w:eastAsia="Times New Roman" w:cs="Arial"/>
                <w:sz w:val="20"/>
                <w:szCs w:val="20"/>
                <w:lang w:eastAsia="en-AU"/>
              </w:rPr>
            </w:pPr>
          </w:p>
        </w:tc>
        <w:tc>
          <w:tcPr>
            <w:tcW w:w="516" w:type="pct"/>
            <w:tcBorders>
              <w:top w:val="single" w:sz="4" w:space="0" w:color="auto"/>
              <w:left w:val="nil"/>
              <w:bottom w:val="nil"/>
              <w:right w:val="nil"/>
            </w:tcBorders>
            <w:vAlign w:val="bottom"/>
            <w:hideMark/>
          </w:tcPr>
          <w:p w14:paraId="610A0B0D" w14:textId="77777777" w:rsidR="004155DD" w:rsidRPr="00F65403" w:rsidRDefault="004155DD">
            <w:pPr>
              <w:spacing w:after="0" w:line="240" w:lineRule="auto"/>
              <w:jc w:val="right"/>
              <w:rPr>
                <w:rFonts w:eastAsia="Times New Roman" w:cs="Arial"/>
                <w:sz w:val="20"/>
                <w:szCs w:val="20"/>
                <w:lang w:eastAsia="en-AU"/>
              </w:rPr>
            </w:pPr>
          </w:p>
        </w:tc>
      </w:tr>
    </w:tbl>
    <w:p w14:paraId="0515A331" w14:textId="77777777" w:rsidR="004155DD" w:rsidRPr="00F65403" w:rsidRDefault="004155DD" w:rsidP="00311718">
      <w:pPr>
        <w:pStyle w:val="BodyText"/>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685"/>
        <w:gridCol w:w="1108"/>
        <w:gridCol w:w="1005"/>
        <w:gridCol w:w="991"/>
        <w:gridCol w:w="76"/>
        <w:gridCol w:w="1052"/>
        <w:gridCol w:w="984"/>
        <w:gridCol w:w="1125"/>
      </w:tblGrid>
      <w:tr w:rsidR="00414432" w:rsidRPr="00E25A4F" w14:paraId="0B3AF14F" w14:textId="77777777" w:rsidTr="00AA3AC5">
        <w:trPr>
          <w:trHeight w:val="20"/>
        </w:trPr>
        <w:tc>
          <w:tcPr>
            <w:tcW w:w="1487" w:type="pct"/>
            <w:tcBorders>
              <w:top w:val="nil"/>
              <w:left w:val="nil"/>
              <w:bottom w:val="nil"/>
              <w:right w:val="nil"/>
            </w:tcBorders>
            <w:vAlign w:val="center"/>
          </w:tcPr>
          <w:p w14:paraId="47F07B2A" w14:textId="77777777" w:rsidR="004155DD" w:rsidRPr="00F65403" w:rsidRDefault="004155DD">
            <w:pPr>
              <w:spacing w:after="0" w:line="240" w:lineRule="auto"/>
              <w:rPr>
                <w:rFonts w:eastAsia="Times New Roman" w:cs="Arial"/>
                <w:color w:val="000000"/>
                <w:sz w:val="20"/>
                <w:szCs w:val="20"/>
                <w:lang w:eastAsia="en-AU"/>
              </w:rPr>
            </w:pPr>
          </w:p>
        </w:tc>
        <w:tc>
          <w:tcPr>
            <w:tcW w:w="1719" w:type="pct"/>
            <w:gridSpan w:val="3"/>
            <w:tcBorders>
              <w:top w:val="nil"/>
              <w:left w:val="nil"/>
              <w:bottom w:val="nil"/>
              <w:right w:val="nil"/>
            </w:tcBorders>
            <w:vAlign w:val="bottom"/>
          </w:tcPr>
          <w:p w14:paraId="6FB1DD76"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Year ended 30 June 2025</w:t>
            </w:r>
          </w:p>
        </w:tc>
        <w:tc>
          <w:tcPr>
            <w:tcW w:w="42" w:type="pct"/>
            <w:tcBorders>
              <w:top w:val="nil"/>
              <w:left w:val="nil"/>
              <w:bottom w:val="nil"/>
              <w:right w:val="nil"/>
            </w:tcBorders>
            <w:vAlign w:val="bottom"/>
          </w:tcPr>
          <w:p w14:paraId="1589E497" w14:textId="77777777" w:rsidR="004155DD" w:rsidRPr="00F65403" w:rsidRDefault="004155DD">
            <w:pPr>
              <w:spacing w:after="0" w:line="240" w:lineRule="auto"/>
              <w:jc w:val="right"/>
              <w:rPr>
                <w:rFonts w:eastAsia="Times New Roman" w:cs="Arial"/>
                <w:color w:val="000000"/>
                <w:sz w:val="20"/>
                <w:szCs w:val="20"/>
                <w:lang w:eastAsia="en-AU"/>
              </w:rPr>
            </w:pPr>
          </w:p>
        </w:tc>
        <w:tc>
          <w:tcPr>
            <w:tcW w:w="1752" w:type="pct"/>
            <w:gridSpan w:val="3"/>
            <w:tcBorders>
              <w:top w:val="nil"/>
              <w:left w:val="nil"/>
              <w:bottom w:val="nil"/>
              <w:right w:val="nil"/>
            </w:tcBorders>
            <w:vAlign w:val="bottom"/>
          </w:tcPr>
          <w:p w14:paraId="66133DE9"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25 October 2023 to 30 June 2024</w:t>
            </w:r>
          </w:p>
        </w:tc>
      </w:tr>
      <w:tr w:rsidR="00414432" w:rsidRPr="00E25A4F" w14:paraId="5BF83507" w14:textId="77777777" w:rsidTr="00AA3AC5">
        <w:trPr>
          <w:trHeight w:val="20"/>
        </w:trPr>
        <w:tc>
          <w:tcPr>
            <w:tcW w:w="1487" w:type="pct"/>
            <w:tcBorders>
              <w:top w:val="nil"/>
              <w:left w:val="nil"/>
              <w:bottom w:val="nil"/>
              <w:right w:val="nil"/>
            </w:tcBorders>
            <w:vAlign w:val="center"/>
          </w:tcPr>
          <w:p w14:paraId="6F48191F" w14:textId="77777777" w:rsidR="004155DD" w:rsidRPr="00F65403" w:rsidRDefault="004155DD">
            <w:pPr>
              <w:spacing w:after="0" w:line="240" w:lineRule="auto"/>
              <w:rPr>
                <w:rFonts w:eastAsia="Times New Roman" w:cs="Arial"/>
                <w:color w:val="000000"/>
                <w:sz w:val="20"/>
                <w:szCs w:val="20"/>
                <w:lang w:eastAsia="en-AU"/>
              </w:rPr>
            </w:pPr>
          </w:p>
        </w:tc>
        <w:tc>
          <w:tcPr>
            <w:tcW w:w="1719" w:type="pct"/>
            <w:gridSpan w:val="3"/>
            <w:tcBorders>
              <w:top w:val="nil"/>
              <w:left w:val="nil"/>
              <w:bottom w:val="nil"/>
              <w:right w:val="nil"/>
            </w:tcBorders>
          </w:tcPr>
          <w:p w14:paraId="3BF8A7A8"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42" w:type="pct"/>
            <w:tcBorders>
              <w:top w:val="nil"/>
              <w:left w:val="nil"/>
              <w:bottom w:val="nil"/>
              <w:right w:val="nil"/>
            </w:tcBorders>
            <w:vAlign w:val="bottom"/>
          </w:tcPr>
          <w:p w14:paraId="4D44B95D" w14:textId="77777777" w:rsidR="004155DD" w:rsidRPr="00F65403" w:rsidRDefault="004155DD">
            <w:pPr>
              <w:spacing w:after="0" w:line="240" w:lineRule="auto"/>
              <w:jc w:val="right"/>
              <w:rPr>
                <w:rFonts w:eastAsia="Times New Roman" w:cs="Arial"/>
                <w:color w:val="000000"/>
                <w:sz w:val="20"/>
                <w:szCs w:val="20"/>
                <w:lang w:eastAsia="en-AU"/>
              </w:rPr>
            </w:pPr>
          </w:p>
        </w:tc>
        <w:tc>
          <w:tcPr>
            <w:tcW w:w="1752" w:type="pct"/>
            <w:gridSpan w:val="3"/>
            <w:tcBorders>
              <w:top w:val="nil"/>
              <w:left w:val="nil"/>
              <w:bottom w:val="nil"/>
              <w:right w:val="nil"/>
            </w:tcBorders>
          </w:tcPr>
          <w:p w14:paraId="6087FCC0"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414432" w:rsidRPr="00E25A4F" w14:paraId="38FB2F97" w14:textId="77777777" w:rsidTr="00AA3AC5">
        <w:trPr>
          <w:trHeight w:val="20"/>
        </w:trPr>
        <w:tc>
          <w:tcPr>
            <w:tcW w:w="1487" w:type="pct"/>
            <w:tcBorders>
              <w:top w:val="nil"/>
              <w:left w:val="nil"/>
              <w:bottom w:val="nil"/>
              <w:right w:val="nil"/>
            </w:tcBorders>
            <w:vAlign w:val="center"/>
          </w:tcPr>
          <w:p w14:paraId="5C17413B" w14:textId="77777777" w:rsidR="004155DD" w:rsidRPr="00F65403" w:rsidRDefault="004155DD">
            <w:pPr>
              <w:spacing w:after="0" w:line="240" w:lineRule="auto"/>
              <w:rPr>
                <w:rFonts w:eastAsia="Times New Roman" w:cs="Arial"/>
                <w:color w:val="000000"/>
                <w:sz w:val="20"/>
                <w:szCs w:val="20"/>
                <w:lang w:eastAsia="en-AU"/>
              </w:rPr>
            </w:pPr>
          </w:p>
        </w:tc>
        <w:tc>
          <w:tcPr>
            <w:tcW w:w="614" w:type="pct"/>
            <w:tcBorders>
              <w:top w:val="nil"/>
              <w:left w:val="nil"/>
              <w:bottom w:val="nil"/>
              <w:right w:val="nil"/>
            </w:tcBorders>
          </w:tcPr>
          <w:p w14:paraId="032E5FA9"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A1</w:t>
            </w:r>
          </w:p>
        </w:tc>
        <w:tc>
          <w:tcPr>
            <w:tcW w:w="557" w:type="pct"/>
            <w:tcBorders>
              <w:top w:val="nil"/>
              <w:left w:val="nil"/>
              <w:bottom w:val="nil"/>
              <w:right w:val="nil"/>
            </w:tcBorders>
          </w:tcPr>
          <w:p w14:paraId="2518871A"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A2</w:t>
            </w:r>
          </w:p>
        </w:tc>
        <w:tc>
          <w:tcPr>
            <w:tcW w:w="549" w:type="pct"/>
            <w:tcBorders>
              <w:top w:val="nil"/>
              <w:left w:val="nil"/>
              <w:bottom w:val="nil"/>
              <w:right w:val="nil"/>
            </w:tcBorders>
          </w:tcPr>
          <w:p w14:paraId="3903A679"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A3</w:t>
            </w:r>
          </w:p>
        </w:tc>
        <w:tc>
          <w:tcPr>
            <w:tcW w:w="42" w:type="pct"/>
            <w:tcBorders>
              <w:top w:val="nil"/>
              <w:left w:val="nil"/>
              <w:bottom w:val="nil"/>
              <w:right w:val="nil"/>
            </w:tcBorders>
          </w:tcPr>
          <w:p w14:paraId="5C163903" w14:textId="77777777" w:rsidR="004155DD" w:rsidRPr="00F65403" w:rsidRDefault="004155DD">
            <w:pPr>
              <w:spacing w:after="0" w:line="240" w:lineRule="auto"/>
              <w:jc w:val="center"/>
              <w:rPr>
                <w:rFonts w:eastAsia="Times New Roman" w:cs="Arial"/>
                <w:color w:val="000000"/>
                <w:sz w:val="20"/>
                <w:szCs w:val="20"/>
                <w:lang w:eastAsia="en-AU"/>
              </w:rPr>
            </w:pPr>
          </w:p>
        </w:tc>
        <w:tc>
          <w:tcPr>
            <w:tcW w:w="583" w:type="pct"/>
            <w:tcBorders>
              <w:top w:val="nil"/>
              <w:left w:val="nil"/>
              <w:bottom w:val="nil"/>
              <w:right w:val="nil"/>
            </w:tcBorders>
          </w:tcPr>
          <w:p w14:paraId="5B9605C0"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A1</w:t>
            </w:r>
          </w:p>
        </w:tc>
        <w:tc>
          <w:tcPr>
            <w:tcW w:w="545" w:type="pct"/>
            <w:tcBorders>
              <w:top w:val="nil"/>
              <w:left w:val="nil"/>
              <w:bottom w:val="nil"/>
              <w:right w:val="nil"/>
            </w:tcBorders>
          </w:tcPr>
          <w:p w14:paraId="2567728A"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A2</w:t>
            </w:r>
          </w:p>
        </w:tc>
        <w:tc>
          <w:tcPr>
            <w:tcW w:w="624" w:type="pct"/>
            <w:tcBorders>
              <w:top w:val="nil"/>
              <w:left w:val="nil"/>
              <w:bottom w:val="nil"/>
              <w:right w:val="nil"/>
            </w:tcBorders>
          </w:tcPr>
          <w:p w14:paraId="0CA1DF2B" w14:textId="77777777" w:rsidR="004155DD" w:rsidRPr="00F65403" w:rsidRDefault="004155DD">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A3</w:t>
            </w:r>
          </w:p>
        </w:tc>
      </w:tr>
      <w:tr w:rsidR="00414432" w:rsidRPr="0036312D" w14:paraId="6D850A50" w14:textId="77777777" w:rsidTr="00AA3AC5">
        <w:trPr>
          <w:trHeight w:val="20"/>
        </w:trPr>
        <w:tc>
          <w:tcPr>
            <w:tcW w:w="1487" w:type="pct"/>
            <w:tcBorders>
              <w:top w:val="nil"/>
              <w:left w:val="nil"/>
              <w:bottom w:val="nil"/>
              <w:right w:val="nil"/>
            </w:tcBorders>
            <w:vAlign w:val="center"/>
            <w:hideMark/>
          </w:tcPr>
          <w:p w14:paraId="175D8BD3" w14:textId="77777777" w:rsidR="00A626F0" w:rsidRPr="00F65403" w:rsidRDefault="00A626F0" w:rsidP="00A626F0">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Total revenue and other income </w:t>
            </w:r>
          </w:p>
        </w:tc>
        <w:tc>
          <w:tcPr>
            <w:tcW w:w="614" w:type="pct"/>
            <w:tcBorders>
              <w:top w:val="nil"/>
              <w:left w:val="nil"/>
              <w:bottom w:val="nil"/>
              <w:right w:val="nil"/>
            </w:tcBorders>
            <w:vAlign w:val="center"/>
            <w:hideMark/>
          </w:tcPr>
          <w:p w14:paraId="7AC9DA91" w14:textId="2DE4CD25" w:rsidR="00A626F0" w:rsidRPr="00F65403" w:rsidRDefault="00A626F0" w:rsidP="00A626F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20,101</w:t>
            </w:r>
          </w:p>
        </w:tc>
        <w:tc>
          <w:tcPr>
            <w:tcW w:w="557" w:type="pct"/>
            <w:tcBorders>
              <w:top w:val="nil"/>
              <w:left w:val="nil"/>
              <w:bottom w:val="nil"/>
              <w:right w:val="nil"/>
            </w:tcBorders>
            <w:vAlign w:val="center"/>
            <w:hideMark/>
          </w:tcPr>
          <w:p w14:paraId="2CD2E05E" w14:textId="7EA989CD" w:rsidR="00A626F0" w:rsidRPr="00F65403" w:rsidRDefault="00414432" w:rsidP="00A626F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549" w:type="pct"/>
            <w:tcBorders>
              <w:top w:val="nil"/>
              <w:left w:val="nil"/>
              <w:bottom w:val="nil"/>
              <w:right w:val="nil"/>
            </w:tcBorders>
            <w:vAlign w:val="center"/>
            <w:hideMark/>
          </w:tcPr>
          <w:p w14:paraId="30F63B02" w14:textId="0DA7249D" w:rsidR="00A626F0" w:rsidRPr="00F65403" w:rsidRDefault="00414432" w:rsidP="00A626F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42" w:type="pct"/>
            <w:tcBorders>
              <w:top w:val="nil"/>
              <w:left w:val="nil"/>
              <w:bottom w:val="nil"/>
              <w:right w:val="nil"/>
            </w:tcBorders>
            <w:vAlign w:val="bottom"/>
            <w:hideMark/>
          </w:tcPr>
          <w:p w14:paraId="714292CA" w14:textId="77777777" w:rsidR="00A626F0" w:rsidRPr="00F65403" w:rsidRDefault="00A626F0" w:rsidP="00A626F0">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22065223" w14:textId="77777777" w:rsidR="00A626F0" w:rsidRPr="00F65403" w:rsidRDefault="00A626F0" w:rsidP="00A626F0">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10,147 </w:t>
            </w:r>
          </w:p>
        </w:tc>
        <w:tc>
          <w:tcPr>
            <w:tcW w:w="545" w:type="pct"/>
            <w:tcBorders>
              <w:top w:val="nil"/>
              <w:left w:val="nil"/>
              <w:bottom w:val="nil"/>
              <w:right w:val="nil"/>
            </w:tcBorders>
            <w:vAlign w:val="bottom"/>
            <w:hideMark/>
          </w:tcPr>
          <w:p w14:paraId="6789BAD7" w14:textId="77777777" w:rsidR="00A626F0" w:rsidRPr="00F65403" w:rsidRDefault="00A626F0" w:rsidP="00A626F0">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8 </w:t>
            </w:r>
          </w:p>
        </w:tc>
        <w:tc>
          <w:tcPr>
            <w:tcW w:w="624" w:type="pct"/>
            <w:tcBorders>
              <w:top w:val="nil"/>
              <w:left w:val="nil"/>
              <w:bottom w:val="nil"/>
              <w:right w:val="nil"/>
            </w:tcBorders>
            <w:vAlign w:val="bottom"/>
            <w:hideMark/>
          </w:tcPr>
          <w:p w14:paraId="29D1B7CD" w14:textId="77777777" w:rsidR="00A626F0" w:rsidRPr="00F65403" w:rsidRDefault="00A626F0" w:rsidP="00A626F0">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16 </w:t>
            </w:r>
          </w:p>
        </w:tc>
      </w:tr>
      <w:tr w:rsidR="00414432" w:rsidRPr="0036312D" w14:paraId="4DE37764" w14:textId="77777777" w:rsidTr="00AA3AC5">
        <w:trPr>
          <w:trHeight w:val="20"/>
        </w:trPr>
        <w:tc>
          <w:tcPr>
            <w:tcW w:w="1487" w:type="pct"/>
            <w:tcBorders>
              <w:top w:val="nil"/>
              <w:left w:val="nil"/>
              <w:bottom w:val="nil"/>
              <w:right w:val="nil"/>
            </w:tcBorders>
            <w:vAlign w:val="center"/>
            <w:hideMark/>
          </w:tcPr>
          <w:p w14:paraId="189967C8"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Operating expenses </w:t>
            </w:r>
          </w:p>
        </w:tc>
        <w:tc>
          <w:tcPr>
            <w:tcW w:w="614" w:type="pct"/>
            <w:tcBorders>
              <w:top w:val="nil"/>
              <w:left w:val="nil"/>
              <w:bottom w:val="nil"/>
              <w:right w:val="nil"/>
            </w:tcBorders>
            <w:vAlign w:val="bottom"/>
            <w:hideMark/>
          </w:tcPr>
          <w:p w14:paraId="502F3495" w14:textId="2B7E04C2"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(21,913)</w:t>
            </w:r>
          </w:p>
        </w:tc>
        <w:tc>
          <w:tcPr>
            <w:tcW w:w="557" w:type="pct"/>
            <w:tcBorders>
              <w:top w:val="nil"/>
              <w:left w:val="nil"/>
              <w:bottom w:val="nil"/>
              <w:right w:val="nil"/>
            </w:tcBorders>
            <w:vAlign w:val="bottom"/>
            <w:hideMark/>
          </w:tcPr>
          <w:p w14:paraId="3E010934" w14:textId="52C0CF38"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(1,71</w:t>
            </w:r>
            <w:r w:rsidR="00247169" w:rsidRPr="49BCD735">
              <w:rPr>
                <w:rFonts w:cs="Arial"/>
                <w:color w:val="000000" w:themeColor="text1"/>
                <w:sz w:val="20"/>
                <w:szCs w:val="20"/>
              </w:rPr>
              <w:t>6</w:t>
            </w:r>
            <w:r w:rsidRPr="49BCD735">
              <w:rPr>
                <w:rFonts w:cs="Arial"/>
                <w:color w:val="000000" w:themeColor="text1"/>
                <w:sz w:val="20"/>
                <w:szCs w:val="20"/>
              </w:rPr>
              <w:t>)</w:t>
            </w:r>
          </w:p>
        </w:tc>
        <w:tc>
          <w:tcPr>
            <w:tcW w:w="549" w:type="pct"/>
            <w:tcBorders>
              <w:top w:val="nil"/>
              <w:left w:val="nil"/>
              <w:bottom w:val="nil"/>
              <w:right w:val="nil"/>
            </w:tcBorders>
            <w:vAlign w:val="bottom"/>
            <w:hideMark/>
          </w:tcPr>
          <w:p w14:paraId="48CAD7E6" w14:textId="14739F50"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(1,697)</w:t>
            </w:r>
          </w:p>
        </w:tc>
        <w:tc>
          <w:tcPr>
            <w:tcW w:w="42" w:type="pct"/>
            <w:tcBorders>
              <w:top w:val="nil"/>
              <w:left w:val="nil"/>
              <w:bottom w:val="nil"/>
              <w:right w:val="nil"/>
            </w:tcBorders>
            <w:vAlign w:val="bottom"/>
            <w:hideMark/>
          </w:tcPr>
          <w:p w14:paraId="28C95B63"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4FC3ADB8"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(10,849) </w:t>
            </w:r>
          </w:p>
        </w:tc>
        <w:tc>
          <w:tcPr>
            <w:tcW w:w="545" w:type="pct"/>
            <w:tcBorders>
              <w:top w:val="nil"/>
              <w:left w:val="nil"/>
              <w:bottom w:val="nil"/>
              <w:right w:val="nil"/>
            </w:tcBorders>
            <w:vAlign w:val="bottom"/>
            <w:hideMark/>
          </w:tcPr>
          <w:p w14:paraId="20EC53FF"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(703) </w:t>
            </w:r>
          </w:p>
        </w:tc>
        <w:tc>
          <w:tcPr>
            <w:tcW w:w="624" w:type="pct"/>
            <w:tcBorders>
              <w:top w:val="nil"/>
              <w:left w:val="nil"/>
              <w:bottom w:val="nil"/>
              <w:right w:val="nil"/>
            </w:tcBorders>
            <w:vAlign w:val="bottom"/>
            <w:hideMark/>
          </w:tcPr>
          <w:p w14:paraId="255F238C"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(1,420) </w:t>
            </w:r>
          </w:p>
        </w:tc>
      </w:tr>
      <w:tr w:rsidR="00414432" w:rsidRPr="0036312D" w14:paraId="45D5A126" w14:textId="77777777" w:rsidTr="00AA3AC5">
        <w:trPr>
          <w:trHeight w:val="20"/>
        </w:trPr>
        <w:tc>
          <w:tcPr>
            <w:tcW w:w="1487" w:type="pct"/>
            <w:tcBorders>
              <w:top w:val="nil"/>
              <w:left w:val="nil"/>
              <w:bottom w:val="nil"/>
              <w:right w:val="nil"/>
            </w:tcBorders>
            <w:vAlign w:val="center"/>
            <w:hideMark/>
          </w:tcPr>
          <w:p w14:paraId="2A6826C0"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Share of gain/(loss) on associate </w:t>
            </w:r>
          </w:p>
        </w:tc>
        <w:tc>
          <w:tcPr>
            <w:tcW w:w="614" w:type="pct"/>
            <w:tcBorders>
              <w:top w:val="nil"/>
              <w:left w:val="nil"/>
              <w:bottom w:val="nil"/>
              <w:right w:val="nil"/>
            </w:tcBorders>
            <w:vAlign w:val="bottom"/>
            <w:hideMark/>
          </w:tcPr>
          <w:p w14:paraId="78A34B0B" w14:textId="6699CA66"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557" w:type="pct"/>
            <w:tcBorders>
              <w:top w:val="nil"/>
              <w:left w:val="nil"/>
              <w:bottom w:val="nil"/>
              <w:right w:val="nil"/>
            </w:tcBorders>
            <w:vAlign w:val="bottom"/>
            <w:hideMark/>
          </w:tcPr>
          <w:p w14:paraId="2B82E726" w14:textId="44365652"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549" w:type="pct"/>
            <w:tcBorders>
              <w:top w:val="nil"/>
              <w:left w:val="nil"/>
              <w:bottom w:val="nil"/>
              <w:right w:val="nil"/>
            </w:tcBorders>
            <w:vAlign w:val="bottom"/>
            <w:hideMark/>
          </w:tcPr>
          <w:p w14:paraId="57EA63E9" w14:textId="32F4B3FA"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42" w:type="pct"/>
            <w:tcBorders>
              <w:top w:val="nil"/>
              <w:left w:val="nil"/>
              <w:bottom w:val="nil"/>
              <w:right w:val="nil"/>
            </w:tcBorders>
            <w:vAlign w:val="bottom"/>
            <w:hideMark/>
          </w:tcPr>
          <w:p w14:paraId="5607C9F2"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03DB1CC3"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c>
          <w:tcPr>
            <w:tcW w:w="545" w:type="pct"/>
            <w:tcBorders>
              <w:top w:val="nil"/>
              <w:left w:val="nil"/>
              <w:bottom w:val="nil"/>
              <w:right w:val="nil"/>
            </w:tcBorders>
            <w:vAlign w:val="bottom"/>
            <w:hideMark/>
          </w:tcPr>
          <w:p w14:paraId="07EB2223"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c>
          <w:tcPr>
            <w:tcW w:w="624" w:type="pct"/>
            <w:tcBorders>
              <w:top w:val="nil"/>
              <w:left w:val="nil"/>
              <w:bottom w:val="nil"/>
              <w:right w:val="nil"/>
            </w:tcBorders>
            <w:vAlign w:val="bottom"/>
            <w:hideMark/>
          </w:tcPr>
          <w:p w14:paraId="62893C27"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r>
      <w:tr w:rsidR="00414432" w:rsidRPr="0036312D" w14:paraId="1971B502" w14:textId="77777777" w:rsidTr="00AA3AC5">
        <w:trPr>
          <w:trHeight w:val="20"/>
        </w:trPr>
        <w:tc>
          <w:tcPr>
            <w:tcW w:w="1487" w:type="pct"/>
            <w:tcBorders>
              <w:top w:val="nil"/>
              <w:left w:val="nil"/>
              <w:bottom w:val="nil"/>
              <w:right w:val="nil"/>
            </w:tcBorders>
            <w:vAlign w:val="bottom"/>
            <w:hideMark/>
          </w:tcPr>
          <w:p w14:paraId="2F9407BF"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Gain/(loss) on fair value of financial instruments </w:t>
            </w:r>
          </w:p>
        </w:tc>
        <w:tc>
          <w:tcPr>
            <w:tcW w:w="614" w:type="pct"/>
            <w:tcBorders>
              <w:top w:val="nil"/>
              <w:left w:val="nil"/>
              <w:bottom w:val="nil"/>
              <w:right w:val="nil"/>
            </w:tcBorders>
            <w:vAlign w:val="bottom"/>
            <w:hideMark/>
          </w:tcPr>
          <w:p w14:paraId="5CF9F52A" w14:textId="21464622"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(15,342)</w:t>
            </w:r>
          </w:p>
        </w:tc>
        <w:tc>
          <w:tcPr>
            <w:tcW w:w="557" w:type="pct"/>
            <w:tcBorders>
              <w:top w:val="nil"/>
              <w:left w:val="nil"/>
              <w:bottom w:val="nil"/>
              <w:right w:val="nil"/>
            </w:tcBorders>
            <w:vAlign w:val="bottom"/>
            <w:hideMark/>
          </w:tcPr>
          <w:p w14:paraId="7C3F30BC" w14:textId="4840D5E2"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(15,342)</w:t>
            </w:r>
          </w:p>
        </w:tc>
        <w:tc>
          <w:tcPr>
            <w:tcW w:w="549" w:type="pct"/>
            <w:tcBorders>
              <w:top w:val="nil"/>
              <w:left w:val="nil"/>
              <w:bottom w:val="nil"/>
              <w:right w:val="nil"/>
            </w:tcBorders>
            <w:vAlign w:val="bottom"/>
            <w:hideMark/>
          </w:tcPr>
          <w:p w14:paraId="1F3D8C64" w14:textId="6B7DD4F0" w:rsidR="006D1A42" w:rsidRPr="00F65403" w:rsidRDefault="0041443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42" w:type="pct"/>
            <w:tcBorders>
              <w:top w:val="nil"/>
              <w:left w:val="nil"/>
              <w:bottom w:val="nil"/>
              <w:right w:val="nil"/>
            </w:tcBorders>
            <w:vAlign w:val="bottom"/>
            <w:hideMark/>
          </w:tcPr>
          <w:p w14:paraId="173FA7FB"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001BFEE3"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(6,915) </w:t>
            </w:r>
          </w:p>
        </w:tc>
        <w:tc>
          <w:tcPr>
            <w:tcW w:w="545" w:type="pct"/>
            <w:tcBorders>
              <w:top w:val="nil"/>
              <w:left w:val="nil"/>
              <w:bottom w:val="nil"/>
              <w:right w:val="nil"/>
            </w:tcBorders>
            <w:vAlign w:val="bottom"/>
            <w:hideMark/>
          </w:tcPr>
          <w:p w14:paraId="4D0DEE81"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(6,915) </w:t>
            </w:r>
          </w:p>
        </w:tc>
        <w:tc>
          <w:tcPr>
            <w:tcW w:w="624" w:type="pct"/>
            <w:tcBorders>
              <w:top w:val="nil"/>
              <w:left w:val="nil"/>
              <w:bottom w:val="nil"/>
              <w:right w:val="nil"/>
            </w:tcBorders>
            <w:vAlign w:val="bottom"/>
            <w:hideMark/>
          </w:tcPr>
          <w:p w14:paraId="2A83B2DE"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r>
      <w:tr w:rsidR="00414432" w:rsidRPr="0036312D" w14:paraId="06CE5793" w14:textId="77777777" w:rsidTr="00AA3AC5">
        <w:trPr>
          <w:trHeight w:val="20"/>
        </w:trPr>
        <w:tc>
          <w:tcPr>
            <w:tcW w:w="1487" w:type="pct"/>
            <w:tcBorders>
              <w:top w:val="nil"/>
              <w:left w:val="nil"/>
              <w:bottom w:val="nil"/>
              <w:right w:val="nil"/>
            </w:tcBorders>
            <w:vAlign w:val="center"/>
            <w:hideMark/>
          </w:tcPr>
          <w:p w14:paraId="3A39D6B5"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 and amortisation </w:t>
            </w:r>
          </w:p>
        </w:tc>
        <w:tc>
          <w:tcPr>
            <w:tcW w:w="614" w:type="pct"/>
            <w:tcBorders>
              <w:top w:val="nil"/>
              <w:left w:val="nil"/>
              <w:bottom w:val="nil"/>
              <w:right w:val="nil"/>
            </w:tcBorders>
            <w:vAlign w:val="bottom"/>
            <w:hideMark/>
          </w:tcPr>
          <w:p w14:paraId="57EEB472" w14:textId="68F9618D"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557" w:type="pct"/>
            <w:tcBorders>
              <w:top w:val="nil"/>
              <w:left w:val="nil"/>
              <w:bottom w:val="nil"/>
              <w:right w:val="nil"/>
            </w:tcBorders>
            <w:vAlign w:val="bottom"/>
            <w:hideMark/>
          </w:tcPr>
          <w:p w14:paraId="7B8D5952" w14:textId="06BC1C43"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549" w:type="pct"/>
            <w:tcBorders>
              <w:top w:val="nil"/>
              <w:left w:val="nil"/>
              <w:bottom w:val="nil"/>
              <w:right w:val="nil"/>
            </w:tcBorders>
            <w:vAlign w:val="bottom"/>
            <w:hideMark/>
          </w:tcPr>
          <w:p w14:paraId="78A88BCE" w14:textId="733F6B74"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42" w:type="pct"/>
            <w:tcBorders>
              <w:top w:val="nil"/>
              <w:left w:val="nil"/>
              <w:bottom w:val="nil"/>
              <w:right w:val="nil"/>
            </w:tcBorders>
            <w:vAlign w:val="bottom"/>
            <w:hideMark/>
          </w:tcPr>
          <w:p w14:paraId="75086920"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5EB5E43D"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c>
          <w:tcPr>
            <w:tcW w:w="545" w:type="pct"/>
            <w:tcBorders>
              <w:top w:val="nil"/>
              <w:left w:val="nil"/>
              <w:bottom w:val="nil"/>
              <w:right w:val="nil"/>
            </w:tcBorders>
            <w:vAlign w:val="bottom"/>
            <w:hideMark/>
          </w:tcPr>
          <w:p w14:paraId="0301DC7E"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c>
          <w:tcPr>
            <w:tcW w:w="624" w:type="pct"/>
            <w:tcBorders>
              <w:top w:val="nil"/>
              <w:left w:val="nil"/>
              <w:bottom w:val="nil"/>
              <w:right w:val="nil"/>
            </w:tcBorders>
            <w:vAlign w:val="bottom"/>
            <w:hideMark/>
          </w:tcPr>
          <w:p w14:paraId="79748990"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r>
      <w:tr w:rsidR="00414432" w:rsidRPr="0036312D" w14:paraId="78C750C7" w14:textId="77777777" w:rsidTr="00AA3AC5">
        <w:trPr>
          <w:trHeight w:val="20"/>
        </w:trPr>
        <w:tc>
          <w:tcPr>
            <w:tcW w:w="1487" w:type="pct"/>
            <w:tcBorders>
              <w:top w:val="nil"/>
              <w:left w:val="nil"/>
              <w:bottom w:val="nil"/>
              <w:right w:val="nil"/>
            </w:tcBorders>
            <w:vAlign w:val="center"/>
            <w:hideMark/>
          </w:tcPr>
          <w:p w14:paraId="350248FE"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income </w:t>
            </w:r>
          </w:p>
        </w:tc>
        <w:tc>
          <w:tcPr>
            <w:tcW w:w="614" w:type="pct"/>
            <w:tcBorders>
              <w:top w:val="nil"/>
              <w:left w:val="nil"/>
              <w:bottom w:val="nil"/>
              <w:right w:val="nil"/>
            </w:tcBorders>
            <w:vAlign w:val="bottom"/>
            <w:hideMark/>
          </w:tcPr>
          <w:p w14:paraId="33B700A8" w14:textId="33C4099B"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1,004</w:t>
            </w:r>
          </w:p>
        </w:tc>
        <w:tc>
          <w:tcPr>
            <w:tcW w:w="557" w:type="pct"/>
            <w:tcBorders>
              <w:top w:val="nil"/>
              <w:left w:val="nil"/>
              <w:bottom w:val="nil"/>
              <w:right w:val="nil"/>
            </w:tcBorders>
            <w:vAlign w:val="bottom"/>
            <w:hideMark/>
          </w:tcPr>
          <w:p w14:paraId="0EA0F258" w14:textId="5A14EE9E"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905</w:t>
            </w:r>
          </w:p>
        </w:tc>
        <w:tc>
          <w:tcPr>
            <w:tcW w:w="549" w:type="pct"/>
            <w:tcBorders>
              <w:top w:val="nil"/>
              <w:left w:val="nil"/>
              <w:bottom w:val="nil"/>
              <w:right w:val="nil"/>
            </w:tcBorders>
            <w:vAlign w:val="bottom"/>
            <w:hideMark/>
          </w:tcPr>
          <w:p w14:paraId="4F7DCE1E" w14:textId="43B33D4A"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676</w:t>
            </w:r>
          </w:p>
        </w:tc>
        <w:tc>
          <w:tcPr>
            <w:tcW w:w="42" w:type="pct"/>
            <w:tcBorders>
              <w:top w:val="nil"/>
              <w:left w:val="nil"/>
              <w:bottom w:val="nil"/>
              <w:right w:val="nil"/>
            </w:tcBorders>
            <w:vAlign w:val="bottom"/>
            <w:hideMark/>
          </w:tcPr>
          <w:p w14:paraId="28593EEC"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02CFBE67"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394 </w:t>
            </w:r>
          </w:p>
        </w:tc>
        <w:tc>
          <w:tcPr>
            <w:tcW w:w="545" w:type="pct"/>
            <w:tcBorders>
              <w:top w:val="nil"/>
              <w:left w:val="nil"/>
              <w:bottom w:val="nil"/>
              <w:right w:val="nil"/>
            </w:tcBorders>
            <w:vAlign w:val="bottom"/>
            <w:hideMark/>
          </w:tcPr>
          <w:p w14:paraId="76C820A6"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395 </w:t>
            </w:r>
          </w:p>
        </w:tc>
        <w:tc>
          <w:tcPr>
            <w:tcW w:w="624" w:type="pct"/>
            <w:tcBorders>
              <w:top w:val="nil"/>
              <w:left w:val="nil"/>
              <w:bottom w:val="nil"/>
              <w:right w:val="nil"/>
            </w:tcBorders>
            <w:vAlign w:val="bottom"/>
            <w:hideMark/>
          </w:tcPr>
          <w:p w14:paraId="76997917"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290 </w:t>
            </w:r>
          </w:p>
        </w:tc>
      </w:tr>
      <w:tr w:rsidR="00414432" w:rsidRPr="0036312D" w14:paraId="61941582" w14:textId="77777777" w:rsidTr="00AA3AC5">
        <w:trPr>
          <w:trHeight w:val="20"/>
        </w:trPr>
        <w:tc>
          <w:tcPr>
            <w:tcW w:w="1487" w:type="pct"/>
            <w:tcBorders>
              <w:top w:val="nil"/>
              <w:left w:val="nil"/>
              <w:bottom w:val="nil"/>
              <w:right w:val="nil"/>
            </w:tcBorders>
            <w:vAlign w:val="center"/>
            <w:hideMark/>
          </w:tcPr>
          <w:p w14:paraId="1172D204"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expense </w:t>
            </w:r>
          </w:p>
        </w:tc>
        <w:tc>
          <w:tcPr>
            <w:tcW w:w="614" w:type="pct"/>
            <w:tcBorders>
              <w:top w:val="nil"/>
              <w:left w:val="nil"/>
              <w:right w:val="nil"/>
            </w:tcBorders>
            <w:vAlign w:val="bottom"/>
            <w:hideMark/>
          </w:tcPr>
          <w:p w14:paraId="7CEF9055" w14:textId="3AFF0363"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557" w:type="pct"/>
            <w:tcBorders>
              <w:top w:val="nil"/>
              <w:left w:val="nil"/>
              <w:right w:val="nil"/>
            </w:tcBorders>
            <w:vAlign w:val="bottom"/>
            <w:hideMark/>
          </w:tcPr>
          <w:p w14:paraId="0D810584" w14:textId="38904C9D"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549" w:type="pct"/>
            <w:tcBorders>
              <w:top w:val="nil"/>
              <w:left w:val="nil"/>
              <w:right w:val="nil"/>
            </w:tcBorders>
            <w:vAlign w:val="bottom"/>
            <w:hideMark/>
          </w:tcPr>
          <w:p w14:paraId="29BD5D84" w14:textId="7ACB77B7"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42" w:type="pct"/>
            <w:tcBorders>
              <w:top w:val="nil"/>
              <w:left w:val="nil"/>
              <w:bottom w:val="nil"/>
              <w:right w:val="nil"/>
            </w:tcBorders>
            <w:vAlign w:val="bottom"/>
            <w:hideMark/>
          </w:tcPr>
          <w:p w14:paraId="60B94C25"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right w:val="nil"/>
            </w:tcBorders>
            <w:vAlign w:val="bottom"/>
            <w:hideMark/>
          </w:tcPr>
          <w:p w14:paraId="3FAB1450"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c>
          <w:tcPr>
            <w:tcW w:w="545" w:type="pct"/>
            <w:tcBorders>
              <w:top w:val="nil"/>
              <w:left w:val="nil"/>
              <w:right w:val="nil"/>
            </w:tcBorders>
            <w:vAlign w:val="bottom"/>
            <w:hideMark/>
          </w:tcPr>
          <w:p w14:paraId="213717FB"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c>
          <w:tcPr>
            <w:tcW w:w="624" w:type="pct"/>
            <w:tcBorders>
              <w:top w:val="nil"/>
              <w:left w:val="nil"/>
              <w:right w:val="nil"/>
            </w:tcBorders>
            <w:vAlign w:val="bottom"/>
            <w:hideMark/>
          </w:tcPr>
          <w:p w14:paraId="599FC6A2"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r>
      <w:tr w:rsidR="00414432" w:rsidRPr="0036312D" w14:paraId="1B33070C" w14:textId="77777777" w:rsidTr="00AA3AC5">
        <w:trPr>
          <w:trHeight w:val="20"/>
        </w:trPr>
        <w:tc>
          <w:tcPr>
            <w:tcW w:w="1487" w:type="pct"/>
            <w:tcBorders>
              <w:top w:val="nil"/>
              <w:left w:val="nil"/>
              <w:bottom w:val="nil"/>
              <w:right w:val="nil"/>
            </w:tcBorders>
            <w:vAlign w:val="center"/>
            <w:hideMark/>
          </w:tcPr>
          <w:p w14:paraId="090A0235" w14:textId="77777777" w:rsidR="006D1A42" w:rsidRPr="00F65403" w:rsidRDefault="006D1A42" w:rsidP="006D1A42">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Income tax (expense)/benefit </w:t>
            </w:r>
          </w:p>
        </w:tc>
        <w:tc>
          <w:tcPr>
            <w:tcW w:w="614" w:type="pct"/>
            <w:tcBorders>
              <w:top w:val="nil"/>
              <w:left w:val="nil"/>
              <w:bottom w:val="single" w:sz="4" w:space="0" w:color="auto"/>
              <w:right w:val="nil"/>
            </w:tcBorders>
            <w:vAlign w:val="bottom"/>
            <w:hideMark/>
          </w:tcPr>
          <w:p w14:paraId="600366E5" w14:textId="76ED5E44"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2,632</w:t>
            </w:r>
          </w:p>
        </w:tc>
        <w:tc>
          <w:tcPr>
            <w:tcW w:w="557" w:type="pct"/>
            <w:tcBorders>
              <w:top w:val="nil"/>
              <w:left w:val="nil"/>
              <w:bottom w:val="single" w:sz="4" w:space="0" w:color="auto"/>
              <w:right w:val="nil"/>
            </w:tcBorders>
            <w:vAlign w:val="bottom"/>
            <w:hideMark/>
          </w:tcPr>
          <w:p w14:paraId="7D8F4F81" w14:textId="420079F0"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4,806</w:t>
            </w:r>
          </w:p>
        </w:tc>
        <w:tc>
          <w:tcPr>
            <w:tcW w:w="549" w:type="pct"/>
            <w:tcBorders>
              <w:top w:val="nil"/>
              <w:left w:val="nil"/>
              <w:bottom w:val="single" w:sz="4" w:space="0" w:color="auto"/>
              <w:right w:val="nil"/>
            </w:tcBorders>
            <w:vAlign w:val="bottom"/>
            <w:hideMark/>
          </w:tcPr>
          <w:p w14:paraId="7DEA12C7" w14:textId="74AC990F" w:rsidR="006D1A42" w:rsidRPr="00F65403" w:rsidRDefault="006D1A42" w:rsidP="002800E0">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221</w:t>
            </w:r>
          </w:p>
        </w:tc>
        <w:tc>
          <w:tcPr>
            <w:tcW w:w="42" w:type="pct"/>
            <w:tcBorders>
              <w:top w:val="nil"/>
              <w:left w:val="nil"/>
              <w:bottom w:val="nil"/>
              <w:right w:val="nil"/>
            </w:tcBorders>
            <w:vAlign w:val="bottom"/>
            <w:hideMark/>
          </w:tcPr>
          <w:p w14:paraId="17DF5382" w14:textId="77777777" w:rsidR="006D1A42" w:rsidRPr="00F65403" w:rsidRDefault="006D1A42" w:rsidP="006D1A42">
            <w:pPr>
              <w:spacing w:after="0" w:line="240" w:lineRule="auto"/>
              <w:jc w:val="right"/>
              <w:rPr>
                <w:rFonts w:eastAsia="Times New Roman" w:cs="Arial"/>
                <w:color w:val="000000"/>
                <w:sz w:val="20"/>
                <w:szCs w:val="20"/>
                <w:lang w:eastAsia="en-AU"/>
              </w:rPr>
            </w:pPr>
          </w:p>
        </w:tc>
        <w:tc>
          <w:tcPr>
            <w:tcW w:w="583" w:type="pct"/>
            <w:tcBorders>
              <w:top w:val="nil"/>
              <w:left w:val="nil"/>
              <w:bottom w:val="single" w:sz="4" w:space="0" w:color="auto"/>
              <w:right w:val="nil"/>
            </w:tcBorders>
            <w:vAlign w:val="bottom"/>
            <w:hideMark/>
          </w:tcPr>
          <w:p w14:paraId="6D935566"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(192) </w:t>
            </w:r>
          </w:p>
        </w:tc>
        <w:tc>
          <w:tcPr>
            <w:tcW w:w="545" w:type="pct"/>
            <w:tcBorders>
              <w:top w:val="nil"/>
              <w:left w:val="nil"/>
              <w:bottom w:val="single" w:sz="4" w:space="0" w:color="auto"/>
              <w:right w:val="nil"/>
            </w:tcBorders>
            <w:vAlign w:val="bottom"/>
            <w:hideMark/>
          </w:tcPr>
          <w:p w14:paraId="48402C94"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127 </w:t>
            </w:r>
          </w:p>
        </w:tc>
        <w:tc>
          <w:tcPr>
            <w:tcW w:w="624" w:type="pct"/>
            <w:tcBorders>
              <w:top w:val="nil"/>
              <w:left w:val="nil"/>
              <w:bottom w:val="single" w:sz="4" w:space="0" w:color="auto"/>
              <w:right w:val="nil"/>
            </w:tcBorders>
            <w:vAlign w:val="bottom"/>
            <w:hideMark/>
          </w:tcPr>
          <w:p w14:paraId="60FB13CA" w14:textId="77777777" w:rsidR="006D1A42" w:rsidRPr="00F65403" w:rsidRDefault="006D1A42" w:rsidP="006D1A42">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129 </w:t>
            </w:r>
          </w:p>
        </w:tc>
      </w:tr>
      <w:tr w:rsidR="00414432" w:rsidRPr="0036312D" w14:paraId="6C5EFFBC" w14:textId="77777777" w:rsidTr="00AA3AC5">
        <w:trPr>
          <w:trHeight w:val="20"/>
        </w:trPr>
        <w:tc>
          <w:tcPr>
            <w:tcW w:w="1487" w:type="pct"/>
            <w:tcBorders>
              <w:top w:val="nil"/>
              <w:left w:val="nil"/>
              <w:bottom w:val="nil"/>
              <w:right w:val="nil"/>
            </w:tcBorders>
            <w:vAlign w:val="center"/>
            <w:hideMark/>
          </w:tcPr>
          <w:p w14:paraId="0FA228F6" w14:textId="7FF8E423" w:rsidR="006D1A42" w:rsidRPr="00F65403" w:rsidRDefault="006D1A42" w:rsidP="006D1A4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r w:rsidR="00C578B9">
              <w:rPr>
                <w:rFonts w:eastAsia="Times New Roman" w:cs="Arial"/>
                <w:b/>
                <w:color w:val="000000"/>
                <w:sz w:val="20"/>
                <w:szCs w:val="20"/>
                <w:lang w:eastAsia="en-AU"/>
              </w:rPr>
              <w:t>loss</w:t>
            </w:r>
            <w:r w:rsidRPr="00F65403">
              <w:rPr>
                <w:rFonts w:eastAsia="Times New Roman" w:cs="Arial"/>
                <w:color w:val="000000"/>
                <w:sz w:val="20"/>
                <w:szCs w:val="20"/>
                <w:lang w:eastAsia="en-AU"/>
              </w:rPr>
              <w:t> </w:t>
            </w:r>
            <w:r w:rsidR="00C578B9" w:rsidRPr="00AA3AC5">
              <w:rPr>
                <w:rFonts w:eastAsia="Times New Roman" w:cs="Arial"/>
                <w:b/>
                <w:bCs/>
                <w:color w:val="000000"/>
                <w:sz w:val="20"/>
                <w:szCs w:val="20"/>
                <w:lang w:eastAsia="en-AU"/>
              </w:rPr>
              <w:t>for the period</w:t>
            </w:r>
          </w:p>
        </w:tc>
        <w:tc>
          <w:tcPr>
            <w:tcW w:w="614" w:type="pct"/>
            <w:tcBorders>
              <w:top w:val="single" w:sz="4" w:space="0" w:color="auto"/>
              <w:left w:val="nil"/>
              <w:bottom w:val="single" w:sz="4" w:space="0" w:color="auto"/>
              <w:right w:val="nil"/>
            </w:tcBorders>
            <w:vAlign w:val="bottom"/>
            <w:hideMark/>
          </w:tcPr>
          <w:p w14:paraId="5B0A116C" w14:textId="1A8EEC4D" w:rsidR="006D1A42" w:rsidRPr="006D1A42" w:rsidRDefault="006D1A42" w:rsidP="002800E0">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(14,725)</w:t>
            </w:r>
          </w:p>
        </w:tc>
        <w:tc>
          <w:tcPr>
            <w:tcW w:w="557" w:type="pct"/>
            <w:tcBorders>
              <w:top w:val="single" w:sz="4" w:space="0" w:color="auto"/>
              <w:left w:val="nil"/>
              <w:bottom w:val="single" w:sz="4" w:space="0" w:color="auto"/>
              <w:right w:val="nil"/>
            </w:tcBorders>
            <w:vAlign w:val="bottom"/>
            <w:hideMark/>
          </w:tcPr>
          <w:p w14:paraId="2C4B54F2" w14:textId="7AF65C2F" w:rsidR="006D1A42" w:rsidRPr="006D1A42" w:rsidRDefault="006D1A42" w:rsidP="002800E0">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(12,554)</w:t>
            </w:r>
          </w:p>
        </w:tc>
        <w:tc>
          <w:tcPr>
            <w:tcW w:w="549" w:type="pct"/>
            <w:tcBorders>
              <w:top w:val="single" w:sz="4" w:space="0" w:color="auto"/>
              <w:left w:val="nil"/>
              <w:bottom w:val="single" w:sz="4" w:space="0" w:color="auto"/>
              <w:right w:val="nil"/>
            </w:tcBorders>
            <w:vAlign w:val="bottom"/>
            <w:hideMark/>
          </w:tcPr>
          <w:p w14:paraId="6106934A" w14:textId="061F8220" w:rsidR="006D1A42" w:rsidRPr="006D1A42" w:rsidRDefault="006D1A42" w:rsidP="002800E0">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(2,007)</w:t>
            </w:r>
          </w:p>
        </w:tc>
        <w:tc>
          <w:tcPr>
            <w:tcW w:w="42" w:type="pct"/>
            <w:tcBorders>
              <w:top w:val="nil"/>
              <w:left w:val="nil"/>
              <w:bottom w:val="nil"/>
              <w:right w:val="nil"/>
            </w:tcBorders>
            <w:vAlign w:val="bottom"/>
            <w:hideMark/>
          </w:tcPr>
          <w:p w14:paraId="544D73BE" w14:textId="77777777" w:rsidR="006D1A42" w:rsidRPr="00F65403" w:rsidRDefault="006D1A42" w:rsidP="006D1A42">
            <w:pPr>
              <w:spacing w:after="0" w:line="240" w:lineRule="auto"/>
              <w:jc w:val="right"/>
              <w:rPr>
                <w:rFonts w:eastAsia="Times New Roman" w:cs="Arial"/>
                <w:b/>
                <w:color w:val="000000"/>
                <w:sz w:val="20"/>
                <w:szCs w:val="20"/>
                <w:lang w:eastAsia="en-AU"/>
              </w:rPr>
            </w:pPr>
          </w:p>
        </w:tc>
        <w:tc>
          <w:tcPr>
            <w:tcW w:w="583" w:type="pct"/>
            <w:tcBorders>
              <w:top w:val="single" w:sz="4" w:space="0" w:color="auto"/>
              <w:left w:val="nil"/>
              <w:bottom w:val="single" w:sz="4" w:space="0" w:color="auto"/>
              <w:right w:val="nil"/>
            </w:tcBorders>
            <w:vAlign w:val="bottom"/>
            <w:hideMark/>
          </w:tcPr>
          <w:p w14:paraId="3A5E3583"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(7,942)</w:t>
            </w:r>
            <w:r w:rsidRPr="00F65403">
              <w:rPr>
                <w:rFonts w:eastAsia="Times New Roman" w:cs="Arial"/>
                <w:color w:val="000000"/>
                <w:sz w:val="20"/>
                <w:szCs w:val="20"/>
                <w:lang w:eastAsia="en-AU"/>
              </w:rPr>
              <w:t> </w:t>
            </w:r>
          </w:p>
        </w:tc>
        <w:tc>
          <w:tcPr>
            <w:tcW w:w="545" w:type="pct"/>
            <w:tcBorders>
              <w:top w:val="single" w:sz="4" w:space="0" w:color="auto"/>
              <w:left w:val="nil"/>
              <w:bottom w:val="single" w:sz="4" w:space="0" w:color="auto"/>
              <w:right w:val="nil"/>
            </w:tcBorders>
            <w:vAlign w:val="bottom"/>
            <w:hideMark/>
          </w:tcPr>
          <w:p w14:paraId="4B37B53C"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(7,615)</w:t>
            </w:r>
            <w:r w:rsidRPr="00F65403">
              <w:rPr>
                <w:rFonts w:eastAsia="Times New Roman" w:cs="Arial"/>
                <w:color w:val="000000"/>
                <w:sz w:val="20"/>
                <w:szCs w:val="20"/>
                <w:lang w:eastAsia="en-AU"/>
              </w:rPr>
              <w:t> </w:t>
            </w:r>
          </w:p>
        </w:tc>
        <w:tc>
          <w:tcPr>
            <w:tcW w:w="624" w:type="pct"/>
            <w:tcBorders>
              <w:top w:val="single" w:sz="4" w:space="0" w:color="auto"/>
              <w:left w:val="nil"/>
              <w:bottom w:val="single" w:sz="4" w:space="0" w:color="auto"/>
              <w:right w:val="nil"/>
            </w:tcBorders>
            <w:vAlign w:val="bottom"/>
            <w:hideMark/>
          </w:tcPr>
          <w:p w14:paraId="3330A60D"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(1,511)</w:t>
            </w:r>
            <w:r w:rsidRPr="00F65403">
              <w:rPr>
                <w:rFonts w:eastAsia="Times New Roman" w:cs="Arial"/>
                <w:color w:val="000000"/>
                <w:sz w:val="20"/>
                <w:szCs w:val="20"/>
                <w:lang w:eastAsia="en-AU"/>
              </w:rPr>
              <w:t> </w:t>
            </w:r>
          </w:p>
        </w:tc>
      </w:tr>
      <w:tr w:rsidR="00414432" w:rsidRPr="0036312D" w14:paraId="0B299A9C" w14:textId="77777777" w:rsidTr="00AA3AC5">
        <w:trPr>
          <w:trHeight w:val="20"/>
        </w:trPr>
        <w:tc>
          <w:tcPr>
            <w:tcW w:w="1487" w:type="pct"/>
            <w:tcBorders>
              <w:top w:val="nil"/>
              <w:left w:val="nil"/>
              <w:bottom w:val="nil"/>
              <w:right w:val="nil"/>
            </w:tcBorders>
            <w:vAlign w:val="center"/>
            <w:hideMark/>
          </w:tcPr>
          <w:p w14:paraId="1385C649" w14:textId="77777777" w:rsidR="004155DD" w:rsidRPr="00F65403" w:rsidRDefault="004155DD">
            <w:pPr>
              <w:spacing w:after="0" w:line="240" w:lineRule="auto"/>
              <w:jc w:val="right"/>
              <w:rPr>
                <w:rFonts w:eastAsia="Times New Roman" w:cs="Arial"/>
                <w:b/>
                <w:color w:val="000000"/>
                <w:sz w:val="20"/>
                <w:szCs w:val="20"/>
                <w:lang w:eastAsia="en-AU"/>
              </w:rPr>
            </w:pPr>
          </w:p>
        </w:tc>
        <w:tc>
          <w:tcPr>
            <w:tcW w:w="614" w:type="pct"/>
            <w:tcBorders>
              <w:top w:val="single" w:sz="4" w:space="0" w:color="auto"/>
              <w:left w:val="nil"/>
              <w:bottom w:val="nil"/>
              <w:right w:val="nil"/>
            </w:tcBorders>
            <w:vAlign w:val="bottom"/>
            <w:hideMark/>
          </w:tcPr>
          <w:p w14:paraId="0E14A315" w14:textId="77777777" w:rsidR="004155DD" w:rsidRPr="00F65403" w:rsidRDefault="004155DD" w:rsidP="002800E0">
            <w:pPr>
              <w:spacing w:after="0" w:line="240" w:lineRule="auto"/>
              <w:jc w:val="right"/>
              <w:rPr>
                <w:rFonts w:eastAsia="Times New Roman" w:cs="Arial"/>
                <w:sz w:val="20"/>
                <w:szCs w:val="20"/>
                <w:lang w:eastAsia="en-AU"/>
              </w:rPr>
            </w:pPr>
          </w:p>
        </w:tc>
        <w:tc>
          <w:tcPr>
            <w:tcW w:w="557" w:type="pct"/>
            <w:tcBorders>
              <w:top w:val="single" w:sz="4" w:space="0" w:color="auto"/>
              <w:left w:val="nil"/>
              <w:bottom w:val="nil"/>
              <w:right w:val="nil"/>
            </w:tcBorders>
            <w:vAlign w:val="bottom"/>
            <w:hideMark/>
          </w:tcPr>
          <w:p w14:paraId="48C117D2" w14:textId="77777777" w:rsidR="004155DD" w:rsidRPr="00F65403" w:rsidRDefault="004155DD" w:rsidP="002800E0">
            <w:pPr>
              <w:spacing w:after="0" w:line="240" w:lineRule="auto"/>
              <w:jc w:val="right"/>
              <w:rPr>
                <w:rFonts w:eastAsia="Times New Roman" w:cs="Arial"/>
                <w:sz w:val="20"/>
                <w:szCs w:val="20"/>
                <w:lang w:eastAsia="en-AU"/>
              </w:rPr>
            </w:pPr>
          </w:p>
        </w:tc>
        <w:tc>
          <w:tcPr>
            <w:tcW w:w="549" w:type="pct"/>
            <w:tcBorders>
              <w:top w:val="single" w:sz="4" w:space="0" w:color="auto"/>
              <w:left w:val="nil"/>
              <w:bottom w:val="nil"/>
              <w:right w:val="nil"/>
            </w:tcBorders>
            <w:vAlign w:val="bottom"/>
            <w:hideMark/>
          </w:tcPr>
          <w:p w14:paraId="32BBC029" w14:textId="77777777" w:rsidR="004155DD" w:rsidRPr="00F65403" w:rsidRDefault="004155DD" w:rsidP="002800E0">
            <w:pPr>
              <w:spacing w:after="0" w:line="240" w:lineRule="auto"/>
              <w:jc w:val="right"/>
              <w:rPr>
                <w:rFonts w:eastAsia="Times New Roman" w:cs="Arial"/>
                <w:sz w:val="20"/>
                <w:szCs w:val="20"/>
                <w:lang w:eastAsia="en-AU"/>
              </w:rPr>
            </w:pPr>
          </w:p>
        </w:tc>
        <w:tc>
          <w:tcPr>
            <w:tcW w:w="42" w:type="pct"/>
            <w:tcBorders>
              <w:top w:val="nil"/>
              <w:left w:val="nil"/>
              <w:bottom w:val="nil"/>
              <w:right w:val="nil"/>
            </w:tcBorders>
            <w:vAlign w:val="bottom"/>
            <w:hideMark/>
          </w:tcPr>
          <w:p w14:paraId="67C7BBCF" w14:textId="77777777" w:rsidR="004155DD" w:rsidRPr="00F65403" w:rsidRDefault="004155DD">
            <w:pPr>
              <w:spacing w:after="0" w:line="240" w:lineRule="auto"/>
              <w:jc w:val="right"/>
              <w:rPr>
                <w:rFonts w:eastAsia="Times New Roman" w:cs="Arial"/>
                <w:sz w:val="20"/>
                <w:szCs w:val="20"/>
                <w:lang w:eastAsia="en-AU"/>
              </w:rPr>
            </w:pPr>
          </w:p>
        </w:tc>
        <w:tc>
          <w:tcPr>
            <w:tcW w:w="583" w:type="pct"/>
            <w:tcBorders>
              <w:top w:val="single" w:sz="4" w:space="0" w:color="auto"/>
              <w:left w:val="nil"/>
              <w:bottom w:val="nil"/>
              <w:right w:val="nil"/>
            </w:tcBorders>
            <w:vAlign w:val="bottom"/>
            <w:hideMark/>
          </w:tcPr>
          <w:p w14:paraId="747CE902" w14:textId="77777777" w:rsidR="004155DD" w:rsidRPr="00F65403" w:rsidRDefault="004155DD">
            <w:pPr>
              <w:spacing w:after="0" w:line="240" w:lineRule="auto"/>
              <w:jc w:val="right"/>
              <w:rPr>
                <w:rFonts w:eastAsia="Times New Roman" w:cs="Arial"/>
                <w:sz w:val="20"/>
                <w:szCs w:val="20"/>
                <w:lang w:eastAsia="en-AU"/>
              </w:rPr>
            </w:pPr>
          </w:p>
        </w:tc>
        <w:tc>
          <w:tcPr>
            <w:tcW w:w="545" w:type="pct"/>
            <w:tcBorders>
              <w:top w:val="single" w:sz="4" w:space="0" w:color="auto"/>
              <w:left w:val="nil"/>
              <w:bottom w:val="nil"/>
              <w:right w:val="nil"/>
            </w:tcBorders>
            <w:vAlign w:val="bottom"/>
            <w:hideMark/>
          </w:tcPr>
          <w:p w14:paraId="7703F8BF" w14:textId="77777777" w:rsidR="004155DD" w:rsidRPr="00F65403" w:rsidRDefault="004155DD">
            <w:pPr>
              <w:spacing w:after="0" w:line="240" w:lineRule="auto"/>
              <w:jc w:val="right"/>
              <w:rPr>
                <w:rFonts w:eastAsia="Times New Roman" w:cs="Arial"/>
                <w:sz w:val="20"/>
                <w:szCs w:val="20"/>
                <w:lang w:eastAsia="en-AU"/>
              </w:rPr>
            </w:pPr>
          </w:p>
        </w:tc>
        <w:tc>
          <w:tcPr>
            <w:tcW w:w="624" w:type="pct"/>
            <w:tcBorders>
              <w:top w:val="single" w:sz="4" w:space="0" w:color="auto"/>
              <w:left w:val="nil"/>
              <w:bottom w:val="nil"/>
              <w:right w:val="nil"/>
            </w:tcBorders>
            <w:vAlign w:val="bottom"/>
            <w:hideMark/>
          </w:tcPr>
          <w:p w14:paraId="6E6A9D83" w14:textId="77777777" w:rsidR="004155DD" w:rsidRPr="00F65403" w:rsidRDefault="004155DD">
            <w:pPr>
              <w:spacing w:after="0" w:line="240" w:lineRule="auto"/>
              <w:jc w:val="right"/>
              <w:rPr>
                <w:rFonts w:eastAsia="Times New Roman" w:cs="Arial"/>
                <w:sz w:val="20"/>
                <w:szCs w:val="20"/>
                <w:lang w:eastAsia="en-AU"/>
              </w:rPr>
            </w:pPr>
          </w:p>
        </w:tc>
      </w:tr>
      <w:tr w:rsidR="00414432" w:rsidRPr="0036312D" w14:paraId="57C0A0E8" w14:textId="77777777" w:rsidTr="00AA3AC5">
        <w:trPr>
          <w:trHeight w:val="20"/>
        </w:trPr>
        <w:tc>
          <w:tcPr>
            <w:tcW w:w="1487" w:type="pct"/>
            <w:tcBorders>
              <w:top w:val="nil"/>
              <w:left w:val="nil"/>
              <w:bottom w:val="nil"/>
              <w:right w:val="nil"/>
            </w:tcBorders>
            <w:vAlign w:val="center"/>
            <w:hideMark/>
          </w:tcPr>
          <w:p w14:paraId="561D1B6D" w14:textId="77777777" w:rsidR="004155DD" w:rsidRPr="00F65403" w:rsidRDefault="004155D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comprehensive income </w:t>
            </w:r>
          </w:p>
        </w:tc>
        <w:tc>
          <w:tcPr>
            <w:tcW w:w="614" w:type="pct"/>
            <w:tcBorders>
              <w:top w:val="nil"/>
              <w:left w:val="nil"/>
              <w:bottom w:val="single" w:sz="4" w:space="0" w:color="auto"/>
              <w:right w:val="nil"/>
            </w:tcBorders>
            <w:vAlign w:val="bottom"/>
            <w:hideMark/>
          </w:tcPr>
          <w:p w14:paraId="35B20CC0" w14:textId="77777777" w:rsidR="004155DD" w:rsidRPr="00F65403" w:rsidRDefault="004155DD" w:rsidP="002800E0">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57" w:type="pct"/>
            <w:tcBorders>
              <w:top w:val="nil"/>
              <w:left w:val="nil"/>
              <w:bottom w:val="single" w:sz="4" w:space="0" w:color="auto"/>
              <w:right w:val="nil"/>
            </w:tcBorders>
            <w:vAlign w:val="bottom"/>
            <w:hideMark/>
          </w:tcPr>
          <w:p w14:paraId="0A9FE7A9" w14:textId="77777777" w:rsidR="004155DD" w:rsidRPr="00F65403" w:rsidRDefault="004155DD" w:rsidP="002800E0">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49" w:type="pct"/>
            <w:tcBorders>
              <w:top w:val="nil"/>
              <w:left w:val="nil"/>
              <w:bottom w:val="single" w:sz="4" w:space="0" w:color="auto"/>
              <w:right w:val="nil"/>
            </w:tcBorders>
            <w:vAlign w:val="bottom"/>
            <w:hideMark/>
          </w:tcPr>
          <w:p w14:paraId="338703EE" w14:textId="056892DC" w:rsidR="004155DD" w:rsidRPr="00F65403" w:rsidRDefault="004155DD" w:rsidP="002800E0">
            <w:pPr>
              <w:spacing w:after="0" w:line="240" w:lineRule="auto"/>
              <w:jc w:val="right"/>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r w:rsidR="006D1A42" w:rsidRPr="49BCD735">
              <w:rPr>
                <w:rFonts w:eastAsia="Times New Roman" w:cs="Arial"/>
                <w:color w:val="000000" w:themeColor="text1"/>
                <w:sz w:val="20"/>
                <w:szCs w:val="20"/>
                <w:lang w:eastAsia="en-AU"/>
              </w:rPr>
              <w:t>7,761</w:t>
            </w:r>
            <w:r w:rsidRPr="49BCD735">
              <w:rPr>
                <w:rFonts w:eastAsia="Times New Roman" w:cs="Arial"/>
                <w:color w:val="000000" w:themeColor="text1"/>
                <w:sz w:val="20"/>
                <w:szCs w:val="20"/>
                <w:lang w:eastAsia="en-AU"/>
              </w:rPr>
              <w:t>) </w:t>
            </w:r>
          </w:p>
        </w:tc>
        <w:tc>
          <w:tcPr>
            <w:tcW w:w="42" w:type="pct"/>
            <w:tcBorders>
              <w:top w:val="nil"/>
              <w:left w:val="nil"/>
              <w:bottom w:val="nil"/>
              <w:right w:val="nil"/>
            </w:tcBorders>
            <w:vAlign w:val="bottom"/>
            <w:hideMark/>
          </w:tcPr>
          <w:p w14:paraId="5DAE8A84" w14:textId="77777777" w:rsidR="004155DD" w:rsidRPr="00F65403" w:rsidRDefault="004155DD">
            <w:pPr>
              <w:spacing w:after="0" w:line="240" w:lineRule="auto"/>
              <w:jc w:val="right"/>
              <w:rPr>
                <w:rFonts w:eastAsia="Times New Roman" w:cs="Arial"/>
                <w:color w:val="000000"/>
                <w:sz w:val="20"/>
                <w:szCs w:val="20"/>
                <w:lang w:eastAsia="en-AU"/>
              </w:rPr>
            </w:pPr>
          </w:p>
        </w:tc>
        <w:tc>
          <w:tcPr>
            <w:tcW w:w="583" w:type="pct"/>
            <w:tcBorders>
              <w:top w:val="nil"/>
              <w:left w:val="nil"/>
              <w:bottom w:val="single" w:sz="4" w:space="0" w:color="auto"/>
              <w:right w:val="nil"/>
            </w:tcBorders>
            <w:vAlign w:val="bottom"/>
            <w:hideMark/>
          </w:tcPr>
          <w:p w14:paraId="0C04C79E"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45" w:type="pct"/>
            <w:tcBorders>
              <w:top w:val="nil"/>
              <w:left w:val="nil"/>
              <w:bottom w:val="single" w:sz="4" w:space="0" w:color="auto"/>
              <w:right w:val="nil"/>
            </w:tcBorders>
            <w:vAlign w:val="bottom"/>
            <w:hideMark/>
          </w:tcPr>
          <w:p w14:paraId="2E6AADD3"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624" w:type="pct"/>
            <w:tcBorders>
              <w:top w:val="nil"/>
              <w:left w:val="nil"/>
              <w:bottom w:val="single" w:sz="4" w:space="0" w:color="auto"/>
              <w:right w:val="nil"/>
            </w:tcBorders>
            <w:vAlign w:val="bottom"/>
            <w:hideMark/>
          </w:tcPr>
          <w:p w14:paraId="4D9B3EAF" w14:textId="77777777" w:rsidR="004155DD" w:rsidRPr="00F65403" w:rsidRDefault="004155DD">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(5,659) </w:t>
            </w:r>
          </w:p>
        </w:tc>
      </w:tr>
      <w:tr w:rsidR="00414432" w:rsidRPr="0036312D" w14:paraId="289F6538" w14:textId="77777777" w:rsidTr="00AA3AC5">
        <w:trPr>
          <w:trHeight w:val="20"/>
        </w:trPr>
        <w:tc>
          <w:tcPr>
            <w:tcW w:w="1487" w:type="pct"/>
            <w:tcBorders>
              <w:top w:val="nil"/>
              <w:left w:val="nil"/>
              <w:bottom w:val="nil"/>
              <w:right w:val="nil"/>
            </w:tcBorders>
            <w:vAlign w:val="center"/>
            <w:hideMark/>
          </w:tcPr>
          <w:p w14:paraId="13E9BC40" w14:textId="5A949EB8" w:rsidR="006D1A42" w:rsidRPr="00F65403" w:rsidRDefault="006D1A42" w:rsidP="006D1A42">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comprehensive loss</w:t>
            </w:r>
          </w:p>
        </w:tc>
        <w:tc>
          <w:tcPr>
            <w:tcW w:w="614" w:type="pct"/>
            <w:tcBorders>
              <w:top w:val="single" w:sz="4" w:space="0" w:color="auto"/>
              <w:left w:val="nil"/>
              <w:bottom w:val="single" w:sz="4" w:space="0" w:color="auto"/>
              <w:right w:val="nil"/>
            </w:tcBorders>
            <w:vAlign w:val="bottom"/>
            <w:hideMark/>
          </w:tcPr>
          <w:p w14:paraId="08E7A02C" w14:textId="51D16A90" w:rsidR="006D1A42" w:rsidRPr="0010235E" w:rsidRDefault="006D1A42" w:rsidP="002800E0">
            <w:pPr>
              <w:spacing w:after="0" w:line="240" w:lineRule="auto"/>
              <w:jc w:val="right"/>
              <w:rPr>
                <w:rFonts w:eastAsia="Times New Roman" w:cs="Arial"/>
                <w:b/>
                <w:color w:val="000000"/>
                <w:sz w:val="20"/>
                <w:szCs w:val="20"/>
                <w:lang w:eastAsia="en-AU"/>
              </w:rPr>
            </w:pPr>
            <w:r w:rsidRPr="0010235E">
              <w:rPr>
                <w:rFonts w:eastAsia="Times New Roman" w:cs="Arial"/>
                <w:b/>
                <w:color w:val="000000"/>
                <w:sz w:val="20"/>
                <w:szCs w:val="20"/>
                <w:lang w:eastAsia="en-AU"/>
              </w:rPr>
              <w:t>(14,725)</w:t>
            </w:r>
          </w:p>
        </w:tc>
        <w:tc>
          <w:tcPr>
            <w:tcW w:w="557" w:type="pct"/>
            <w:tcBorders>
              <w:top w:val="single" w:sz="4" w:space="0" w:color="auto"/>
              <w:left w:val="nil"/>
              <w:bottom w:val="single" w:sz="4" w:space="0" w:color="auto"/>
              <w:right w:val="nil"/>
            </w:tcBorders>
            <w:vAlign w:val="bottom"/>
            <w:hideMark/>
          </w:tcPr>
          <w:p w14:paraId="38F85EF3" w14:textId="5F3FCC36" w:rsidR="006D1A42" w:rsidRPr="0010235E" w:rsidRDefault="006D1A42" w:rsidP="002800E0">
            <w:pPr>
              <w:spacing w:after="0" w:line="240" w:lineRule="auto"/>
              <w:jc w:val="right"/>
              <w:rPr>
                <w:rFonts w:eastAsia="Times New Roman" w:cs="Arial"/>
                <w:b/>
                <w:color w:val="000000"/>
                <w:sz w:val="20"/>
                <w:szCs w:val="20"/>
                <w:lang w:eastAsia="en-AU"/>
              </w:rPr>
            </w:pPr>
            <w:r w:rsidRPr="0010235E">
              <w:rPr>
                <w:rFonts w:eastAsia="Times New Roman" w:cs="Arial"/>
                <w:b/>
                <w:color w:val="000000"/>
                <w:sz w:val="20"/>
                <w:szCs w:val="20"/>
                <w:lang w:eastAsia="en-AU"/>
              </w:rPr>
              <w:t>(12,554)</w:t>
            </w:r>
          </w:p>
        </w:tc>
        <w:tc>
          <w:tcPr>
            <w:tcW w:w="549" w:type="pct"/>
            <w:tcBorders>
              <w:top w:val="single" w:sz="4" w:space="0" w:color="auto"/>
              <w:left w:val="nil"/>
              <w:bottom w:val="single" w:sz="4" w:space="0" w:color="auto"/>
              <w:right w:val="nil"/>
            </w:tcBorders>
            <w:vAlign w:val="bottom"/>
            <w:hideMark/>
          </w:tcPr>
          <w:p w14:paraId="2B5F5523" w14:textId="0548C2E6" w:rsidR="006D1A42" w:rsidRPr="0010235E" w:rsidRDefault="006D1A42" w:rsidP="002800E0">
            <w:pPr>
              <w:spacing w:after="0" w:line="240" w:lineRule="auto"/>
              <w:jc w:val="right"/>
              <w:rPr>
                <w:rFonts w:eastAsia="Times New Roman" w:cs="Arial"/>
                <w:b/>
                <w:color w:val="000000"/>
                <w:sz w:val="20"/>
                <w:szCs w:val="20"/>
                <w:lang w:eastAsia="en-AU"/>
              </w:rPr>
            </w:pPr>
            <w:r w:rsidRPr="0010235E">
              <w:rPr>
                <w:rFonts w:eastAsia="Times New Roman" w:cs="Arial"/>
                <w:b/>
                <w:color w:val="000000"/>
                <w:sz w:val="20"/>
                <w:szCs w:val="20"/>
                <w:lang w:eastAsia="en-AU"/>
              </w:rPr>
              <w:t>(</w:t>
            </w:r>
            <w:r w:rsidR="00414432" w:rsidRPr="0010235E">
              <w:rPr>
                <w:rFonts w:eastAsia="Times New Roman" w:cs="Arial"/>
                <w:b/>
                <w:color w:val="000000"/>
                <w:sz w:val="20"/>
                <w:szCs w:val="20"/>
                <w:lang w:eastAsia="en-AU"/>
              </w:rPr>
              <w:t>9,768</w:t>
            </w:r>
            <w:r w:rsidRPr="0010235E">
              <w:rPr>
                <w:rFonts w:eastAsia="Times New Roman" w:cs="Arial"/>
                <w:b/>
                <w:color w:val="000000"/>
                <w:sz w:val="20"/>
                <w:szCs w:val="20"/>
                <w:lang w:eastAsia="en-AU"/>
              </w:rPr>
              <w:t>)</w:t>
            </w:r>
          </w:p>
        </w:tc>
        <w:tc>
          <w:tcPr>
            <w:tcW w:w="42" w:type="pct"/>
            <w:tcBorders>
              <w:top w:val="nil"/>
              <w:left w:val="nil"/>
              <w:bottom w:val="nil"/>
              <w:right w:val="nil"/>
            </w:tcBorders>
            <w:vAlign w:val="bottom"/>
            <w:hideMark/>
          </w:tcPr>
          <w:p w14:paraId="0351F6C9" w14:textId="77777777" w:rsidR="006D1A42" w:rsidRPr="00F65403" w:rsidRDefault="006D1A42" w:rsidP="006D1A42">
            <w:pPr>
              <w:spacing w:after="0" w:line="240" w:lineRule="auto"/>
              <w:jc w:val="right"/>
              <w:rPr>
                <w:rFonts w:eastAsia="Times New Roman" w:cs="Arial"/>
                <w:b/>
                <w:color w:val="000000"/>
                <w:sz w:val="20"/>
                <w:szCs w:val="20"/>
                <w:lang w:eastAsia="en-AU"/>
              </w:rPr>
            </w:pPr>
          </w:p>
        </w:tc>
        <w:tc>
          <w:tcPr>
            <w:tcW w:w="583" w:type="pct"/>
            <w:tcBorders>
              <w:top w:val="single" w:sz="4" w:space="0" w:color="auto"/>
              <w:left w:val="nil"/>
              <w:bottom w:val="single" w:sz="4" w:space="0" w:color="auto"/>
              <w:right w:val="nil"/>
            </w:tcBorders>
            <w:vAlign w:val="bottom"/>
            <w:hideMark/>
          </w:tcPr>
          <w:p w14:paraId="7A75330A"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(7,942)</w:t>
            </w:r>
            <w:r w:rsidRPr="00F65403">
              <w:rPr>
                <w:rFonts w:eastAsia="Times New Roman" w:cs="Arial"/>
                <w:color w:val="000000"/>
                <w:sz w:val="20"/>
                <w:szCs w:val="20"/>
                <w:lang w:eastAsia="en-AU"/>
              </w:rPr>
              <w:t> </w:t>
            </w:r>
          </w:p>
        </w:tc>
        <w:tc>
          <w:tcPr>
            <w:tcW w:w="545" w:type="pct"/>
            <w:tcBorders>
              <w:top w:val="single" w:sz="4" w:space="0" w:color="auto"/>
              <w:left w:val="nil"/>
              <w:bottom w:val="single" w:sz="4" w:space="0" w:color="auto"/>
              <w:right w:val="nil"/>
            </w:tcBorders>
            <w:vAlign w:val="bottom"/>
            <w:hideMark/>
          </w:tcPr>
          <w:p w14:paraId="7D340569"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(7,615)</w:t>
            </w:r>
            <w:r w:rsidRPr="00F65403">
              <w:rPr>
                <w:rFonts w:eastAsia="Times New Roman" w:cs="Arial"/>
                <w:color w:val="000000"/>
                <w:sz w:val="20"/>
                <w:szCs w:val="20"/>
                <w:lang w:eastAsia="en-AU"/>
              </w:rPr>
              <w:t> </w:t>
            </w:r>
          </w:p>
        </w:tc>
        <w:tc>
          <w:tcPr>
            <w:tcW w:w="624" w:type="pct"/>
            <w:tcBorders>
              <w:top w:val="single" w:sz="4" w:space="0" w:color="auto"/>
              <w:left w:val="nil"/>
              <w:bottom w:val="single" w:sz="4" w:space="0" w:color="auto"/>
              <w:right w:val="nil"/>
            </w:tcBorders>
            <w:vAlign w:val="bottom"/>
            <w:hideMark/>
          </w:tcPr>
          <w:p w14:paraId="4FC08AF3" w14:textId="77777777" w:rsidR="006D1A42" w:rsidRPr="00F65403" w:rsidRDefault="006D1A42" w:rsidP="006D1A42">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(7,171)</w:t>
            </w:r>
            <w:r w:rsidRPr="00F65403">
              <w:rPr>
                <w:rFonts w:eastAsia="Times New Roman" w:cs="Arial"/>
                <w:color w:val="000000"/>
                <w:sz w:val="20"/>
                <w:szCs w:val="20"/>
                <w:lang w:eastAsia="en-AU"/>
              </w:rPr>
              <w:t> </w:t>
            </w:r>
          </w:p>
        </w:tc>
      </w:tr>
    </w:tbl>
    <w:p w14:paraId="411C3E79" w14:textId="2AB32078" w:rsidR="009E00BF" w:rsidRDefault="009E00BF" w:rsidP="004155DD">
      <w:pPr>
        <w:rPr>
          <w:rFonts w:eastAsiaTheme="majorEastAsia" w:cstheme="majorBidi"/>
          <w:b/>
          <w:sz w:val="20"/>
        </w:rPr>
      </w:pPr>
    </w:p>
    <w:p w14:paraId="34F167B9" w14:textId="77777777" w:rsidR="009E00BF" w:rsidRDefault="009E00BF">
      <w:pPr>
        <w:rPr>
          <w:rFonts w:eastAsiaTheme="majorEastAsia" w:cstheme="majorBidi"/>
          <w:b/>
          <w:sz w:val="20"/>
        </w:rPr>
      </w:pPr>
      <w:r>
        <w:rPr>
          <w:rFonts w:eastAsiaTheme="majorEastAsia" w:cstheme="majorBidi"/>
          <w:b/>
          <w:sz w:val="20"/>
        </w:rPr>
        <w:br w:type="page"/>
      </w:r>
    </w:p>
    <w:p w14:paraId="71312C79" w14:textId="396AE97F" w:rsidR="00A6429A" w:rsidRPr="00F65403" w:rsidRDefault="00D30BAD" w:rsidP="003E264D">
      <w:pPr>
        <w:pStyle w:val="Heading7"/>
      </w:pPr>
      <w:r w:rsidRPr="00F65403">
        <w:t xml:space="preserve">Commitments </w:t>
      </w:r>
    </w:p>
    <w:tbl>
      <w:tblPr>
        <w:tblW w:w="5000" w:type="pct"/>
        <w:tblCellMar>
          <w:top w:w="28" w:type="dxa"/>
          <w:left w:w="28" w:type="dxa"/>
          <w:bottom w:w="28" w:type="dxa"/>
          <w:right w:w="28" w:type="dxa"/>
        </w:tblCellMar>
        <w:tblLook w:val="04A0" w:firstRow="1" w:lastRow="0" w:firstColumn="1" w:lastColumn="0" w:noHBand="0" w:noVBand="1"/>
      </w:tblPr>
      <w:tblGrid>
        <w:gridCol w:w="3726"/>
        <w:gridCol w:w="1325"/>
        <w:gridCol w:w="1325"/>
        <w:gridCol w:w="1325"/>
        <w:gridCol w:w="1325"/>
      </w:tblGrid>
      <w:tr w:rsidR="0010580E" w:rsidRPr="00144B2B" w14:paraId="733C8689" w14:textId="77777777" w:rsidTr="00AB5820">
        <w:tc>
          <w:tcPr>
            <w:tcW w:w="2064" w:type="pct"/>
            <w:tcBorders>
              <w:top w:val="nil"/>
              <w:left w:val="nil"/>
              <w:bottom w:val="nil"/>
              <w:right w:val="nil"/>
            </w:tcBorders>
            <w:vAlign w:val="bottom"/>
            <w:hideMark/>
          </w:tcPr>
          <w:p w14:paraId="14F81CAC" w14:textId="66830567" w:rsidR="0010580E" w:rsidRPr="00F65403" w:rsidRDefault="0010580E" w:rsidP="00932401">
            <w:pPr>
              <w:spacing w:after="0" w:line="240" w:lineRule="auto"/>
              <w:rPr>
                <w:rFonts w:eastAsia="Times New Roman" w:cs="Arial"/>
                <w:b/>
                <w:color w:val="000000"/>
                <w:sz w:val="20"/>
                <w:szCs w:val="20"/>
                <w:lang w:eastAsia="en-AU"/>
              </w:rPr>
            </w:pPr>
          </w:p>
        </w:tc>
        <w:tc>
          <w:tcPr>
            <w:tcW w:w="734" w:type="pct"/>
            <w:tcBorders>
              <w:top w:val="nil"/>
              <w:left w:val="nil"/>
              <w:bottom w:val="nil"/>
              <w:right w:val="nil"/>
            </w:tcBorders>
          </w:tcPr>
          <w:p w14:paraId="0D70B805" w14:textId="4BB42272" w:rsidR="0010580E" w:rsidRPr="00F65403" w:rsidRDefault="0010580E" w:rsidP="0010580E">
            <w:pPr>
              <w:spacing w:after="0" w:line="240" w:lineRule="auto"/>
              <w:jc w:val="center"/>
              <w:rPr>
                <w:rFonts w:eastAsia="Times New Roman" w:cs="Arial"/>
                <w:b/>
                <w:color w:val="000000"/>
                <w:sz w:val="20"/>
                <w:szCs w:val="20"/>
                <w:lang w:eastAsia="en-AU"/>
              </w:rPr>
            </w:pPr>
          </w:p>
        </w:tc>
        <w:tc>
          <w:tcPr>
            <w:tcW w:w="734" w:type="pct"/>
            <w:tcBorders>
              <w:top w:val="nil"/>
              <w:left w:val="nil"/>
              <w:bottom w:val="nil"/>
              <w:right w:val="nil"/>
            </w:tcBorders>
          </w:tcPr>
          <w:p w14:paraId="385060DF" w14:textId="6FE1FD02" w:rsidR="0010580E" w:rsidRPr="00F65403" w:rsidRDefault="0010580E" w:rsidP="0010580E">
            <w:pPr>
              <w:spacing w:after="0" w:line="240" w:lineRule="auto"/>
              <w:jc w:val="center"/>
              <w:rPr>
                <w:rFonts w:eastAsia="Times New Roman" w:cs="Arial"/>
                <w:b/>
                <w:color w:val="000000"/>
                <w:sz w:val="20"/>
                <w:szCs w:val="20"/>
                <w:lang w:eastAsia="en-AU"/>
              </w:rPr>
            </w:pPr>
          </w:p>
        </w:tc>
        <w:tc>
          <w:tcPr>
            <w:tcW w:w="734" w:type="pct"/>
            <w:tcBorders>
              <w:top w:val="nil"/>
              <w:left w:val="nil"/>
              <w:bottom w:val="nil"/>
              <w:right w:val="nil"/>
            </w:tcBorders>
            <w:hideMark/>
          </w:tcPr>
          <w:p w14:paraId="7EA128AB" w14:textId="45C2F670" w:rsidR="0010580E" w:rsidRPr="00F65403" w:rsidRDefault="0010580E" w:rsidP="00932401">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34" w:type="pct"/>
            <w:tcBorders>
              <w:top w:val="nil"/>
              <w:left w:val="nil"/>
              <w:bottom w:val="nil"/>
              <w:right w:val="nil"/>
            </w:tcBorders>
            <w:hideMark/>
          </w:tcPr>
          <w:p w14:paraId="07A22A46" w14:textId="1B79A305" w:rsidR="0010580E" w:rsidRPr="00F65403" w:rsidRDefault="0010580E" w:rsidP="00932401">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932401" w:rsidRPr="00144B2B" w14:paraId="6536DCB4" w14:textId="77777777">
        <w:tc>
          <w:tcPr>
            <w:tcW w:w="2064" w:type="pct"/>
            <w:tcBorders>
              <w:top w:val="nil"/>
              <w:left w:val="nil"/>
              <w:bottom w:val="nil"/>
              <w:right w:val="nil"/>
            </w:tcBorders>
            <w:vAlign w:val="center"/>
          </w:tcPr>
          <w:p w14:paraId="39A79216" w14:textId="77777777" w:rsidR="00932401" w:rsidRPr="00F65403" w:rsidRDefault="00932401" w:rsidP="00932401">
            <w:pPr>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6C9C15AE" w14:textId="77777777"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3AF89D30" w14:textId="77777777"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tcPr>
          <w:p w14:paraId="6EB30058" w14:textId="5E60BEBE" w:rsidR="00932401" w:rsidRPr="00F65403" w:rsidRDefault="00932401" w:rsidP="0010235E">
            <w:pPr>
              <w:tabs>
                <w:tab w:val="decimal" w:pos="820"/>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734" w:type="pct"/>
            <w:tcBorders>
              <w:top w:val="nil"/>
              <w:left w:val="nil"/>
              <w:bottom w:val="nil"/>
              <w:right w:val="nil"/>
            </w:tcBorders>
          </w:tcPr>
          <w:p w14:paraId="64211BDD" w14:textId="4082581D" w:rsidR="00932401" w:rsidRPr="00F65403" w:rsidRDefault="00932401" w:rsidP="0010235E">
            <w:pPr>
              <w:tabs>
                <w:tab w:val="decimal" w:pos="770"/>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932401" w:rsidRPr="00144B2B" w14:paraId="1727B993" w14:textId="77777777" w:rsidTr="0010580E">
        <w:tc>
          <w:tcPr>
            <w:tcW w:w="2064" w:type="pct"/>
            <w:tcBorders>
              <w:top w:val="nil"/>
              <w:left w:val="nil"/>
              <w:bottom w:val="nil"/>
              <w:right w:val="nil"/>
            </w:tcBorders>
            <w:vAlign w:val="center"/>
            <w:hideMark/>
          </w:tcPr>
          <w:p w14:paraId="74021E11" w14:textId="48347C5C" w:rsidR="00932401" w:rsidRPr="00F65403" w:rsidRDefault="00932401" w:rsidP="0093240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Capital commitments</w:t>
            </w:r>
            <w:r w:rsidR="002D4799" w:rsidRPr="002D4799">
              <w:rPr>
                <w:rFonts w:eastAsia="Times New Roman" w:cs="Arial"/>
                <w:color w:val="000000"/>
                <w:sz w:val="20"/>
                <w:szCs w:val="20"/>
                <w:vertAlign w:val="superscript"/>
                <w:lang w:eastAsia="en-AU"/>
              </w:rPr>
              <w:t>1</w:t>
            </w:r>
          </w:p>
        </w:tc>
        <w:tc>
          <w:tcPr>
            <w:tcW w:w="734" w:type="pct"/>
            <w:tcBorders>
              <w:top w:val="nil"/>
              <w:left w:val="nil"/>
              <w:bottom w:val="nil"/>
              <w:right w:val="nil"/>
            </w:tcBorders>
            <w:vAlign w:val="bottom"/>
          </w:tcPr>
          <w:p w14:paraId="10486C63" w14:textId="36DE3012"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4572CF55" w14:textId="55584865"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right w:val="nil"/>
            </w:tcBorders>
            <w:vAlign w:val="bottom"/>
          </w:tcPr>
          <w:p w14:paraId="6088C0A6" w14:textId="4A63892B" w:rsidR="00932401" w:rsidRPr="00F65403" w:rsidRDefault="000F5893" w:rsidP="00932401">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212,159</w:t>
            </w:r>
          </w:p>
        </w:tc>
        <w:tc>
          <w:tcPr>
            <w:tcW w:w="734" w:type="pct"/>
            <w:tcBorders>
              <w:top w:val="nil"/>
              <w:left w:val="nil"/>
              <w:right w:val="nil"/>
            </w:tcBorders>
            <w:vAlign w:val="bottom"/>
          </w:tcPr>
          <w:p w14:paraId="79539929" w14:textId="35186EC1" w:rsidR="00932401" w:rsidRPr="00F65403" w:rsidRDefault="00867C5F" w:rsidP="00932401">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932401" w:rsidRPr="00144B2B" w14:paraId="735443AE" w14:textId="77777777" w:rsidTr="0010580E">
        <w:tc>
          <w:tcPr>
            <w:tcW w:w="2064" w:type="pct"/>
            <w:tcBorders>
              <w:top w:val="nil"/>
              <w:left w:val="nil"/>
              <w:bottom w:val="nil"/>
              <w:right w:val="nil"/>
            </w:tcBorders>
            <w:vAlign w:val="center"/>
            <w:hideMark/>
          </w:tcPr>
          <w:p w14:paraId="6A0703A8" w14:textId="1D6C0FC5" w:rsidR="00932401" w:rsidRPr="00F65403" w:rsidRDefault="00932401" w:rsidP="009324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Joint venture commitments</w:t>
            </w:r>
            <w:r w:rsidR="00372AEE">
              <w:rPr>
                <w:rFonts w:eastAsia="Times New Roman" w:cs="Arial"/>
                <w:color w:val="000000"/>
                <w:sz w:val="20"/>
                <w:szCs w:val="20"/>
                <w:vertAlign w:val="superscript"/>
                <w:lang w:eastAsia="en-AU"/>
              </w:rPr>
              <w:t>2</w:t>
            </w:r>
          </w:p>
        </w:tc>
        <w:tc>
          <w:tcPr>
            <w:tcW w:w="734" w:type="pct"/>
            <w:tcBorders>
              <w:top w:val="nil"/>
              <w:left w:val="nil"/>
              <w:bottom w:val="nil"/>
              <w:right w:val="nil"/>
            </w:tcBorders>
            <w:vAlign w:val="bottom"/>
          </w:tcPr>
          <w:p w14:paraId="2A243A45" w14:textId="5E24688E"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4ADC34AB" w14:textId="6D0E717B" w:rsidR="00932401" w:rsidRPr="00F65403" w:rsidRDefault="00932401" w:rsidP="00932401">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single" w:sz="4" w:space="0" w:color="auto"/>
              <w:right w:val="nil"/>
            </w:tcBorders>
            <w:vAlign w:val="bottom"/>
          </w:tcPr>
          <w:p w14:paraId="7CDD6886" w14:textId="04F511A6" w:rsidR="00932401" w:rsidRPr="00F65403" w:rsidRDefault="005F2C1F" w:rsidP="00932401">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52,309</w:t>
            </w:r>
          </w:p>
        </w:tc>
        <w:tc>
          <w:tcPr>
            <w:tcW w:w="734" w:type="pct"/>
            <w:tcBorders>
              <w:top w:val="nil"/>
              <w:left w:val="nil"/>
              <w:bottom w:val="single" w:sz="4" w:space="0" w:color="auto"/>
              <w:right w:val="nil"/>
            </w:tcBorders>
            <w:vAlign w:val="bottom"/>
          </w:tcPr>
          <w:p w14:paraId="54FFC5CE" w14:textId="66C7F8BF" w:rsidR="00932401" w:rsidRPr="00F65403" w:rsidRDefault="001C31BE" w:rsidP="00932401">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171,</w:t>
            </w:r>
            <w:r w:rsidR="00A87FC2">
              <w:rPr>
                <w:rFonts w:eastAsia="Times New Roman" w:cs="Arial"/>
                <w:color w:val="000000"/>
                <w:sz w:val="20"/>
                <w:szCs w:val="20"/>
                <w:lang w:eastAsia="en-AU"/>
              </w:rPr>
              <w:t>905</w:t>
            </w:r>
          </w:p>
        </w:tc>
      </w:tr>
      <w:tr w:rsidR="00932401" w:rsidRPr="00144B2B" w14:paraId="72229D9F" w14:textId="77777777" w:rsidTr="0010580E">
        <w:tc>
          <w:tcPr>
            <w:tcW w:w="2064" w:type="pct"/>
            <w:tcBorders>
              <w:top w:val="nil"/>
              <w:left w:val="nil"/>
              <w:bottom w:val="nil"/>
              <w:right w:val="nil"/>
            </w:tcBorders>
            <w:vAlign w:val="center"/>
            <w:hideMark/>
          </w:tcPr>
          <w:p w14:paraId="098A03C0" w14:textId="5E7E53FA" w:rsidR="00932401" w:rsidRPr="00F65403" w:rsidRDefault="00932401" w:rsidP="00932401">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commitments </w:t>
            </w:r>
          </w:p>
        </w:tc>
        <w:tc>
          <w:tcPr>
            <w:tcW w:w="734" w:type="pct"/>
            <w:tcBorders>
              <w:top w:val="nil"/>
              <w:left w:val="nil"/>
              <w:right w:val="nil"/>
            </w:tcBorders>
            <w:vAlign w:val="bottom"/>
          </w:tcPr>
          <w:p w14:paraId="0EBE9D57" w14:textId="37DF4B45" w:rsidR="00932401" w:rsidRPr="00F65403" w:rsidRDefault="00932401" w:rsidP="00932401">
            <w:pPr>
              <w:tabs>
                <w:tab w:val="decimal" w:pos="964"/>
              </w:tabs>
              <w:spacing w:after="0" w:line="240" w:lineRule="auto"/>
              <w:rPr>
                <w:rFonts w:eastAsia="Times New Roman" w:cs="Arial"/>
                <w:b/>
                <w:color w:val="000000"/>
                <w:sz w:val="20"/>
                <w:szCs w:val="20"/>
                <w:lang w:eastAsia="en-AU"/>
              </w:rPr>
            </w:pPr>
          </w:p>
        </w:tc>
        <w:tc>
          <w:tcPr>
            <w:tcW w:w="734" w:type="pct"/>
            <w:tcBorders>
              <w:top w:val="nil"/>
              <w:left w:val="nil"/>
              <w:right w:val="nil"/>
            </w:tcBorders>
            <w:vAlign w:val="bottom"/>
          </w:tcPr>
          <w:p w14:paraId="41A6DC1C" w14:textId="76F1DE05" w:rsidR="00932401" w:rsidRPr="00F65403" w:rsidRDefault="00932401" w:rsidP="00932401">
            <w:pPr>
              <w:tabs>
                <w:tab w:val="decimal" w:pos="964"/>
              </w:tabs>
              <w:spacing w:after="0" w:line="240" w:lineRule="auto"/>
              <w:rPr>
                <w:rFonts w:eastAsia="Times New Roman" w:cs="Arial"/>
                <w:b/>
                <w:color w:val="000000"/>
                <w:sz w:val="20"/>
                <w:szCs w:val="20"/>
                <w:lang w:eastAsia="en-AU"/>
              </w:rPr>
            </w:pPr>
          </w:p>
        </w:tc>
        <w:tc>
          <w:tcPr>
            <w:tcW w:w="734" w:type="pct"/>
            <w:tcBorders>
              <w:top w:val="single" w:sz="4" w:space="0" w:color="auto"/>
              <w:left w:val="nil"/>
              <w:bottom w:val="single" w:sz="4" w:space="0" w:color="auto"/>
              <w:right w:val="nil"/>
            </w:tcBorders>
            <w:vAlign w:val="bottom"/>
          </w:tcPr>
          <w:p w14:paraId="3956FF48" w14:textId="1A5AFE9B" w:rsidR="00932401" w:rsidRPr="00F65403" w:rsidRDefault="00A87FC2" w:rsidP="00932401">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264,46</w:t>
            </w:r>
            <w:r w:rsidR="005078E3">
              <w:rPr>
                <w:rFonts w:eastAsia="Times New Roman" w:cs="Arial"/>
                <w:b/>
                <w:color w:val="000000"/>
                <w:sz w:val="20"/>
                <w:szCs w:val="20"/>
                <w:lang w:eastAsia="en-AU"/>
              </w:rPr>
              <w:t>8</w:t>
            </w:r>
          </w:p>
        </w:tc>
        <w:tc>
          <w:tcPr>
            <w:tcW w:w="734" w:type="pct"/>
            <w:tcBorders>
              <w:top w:val="single" w:sz="4" w:space="0" w:color="auto"/>
              <w:left w:val="nil"/>
              <w:bottom w:val="single" w:sz="4" w:space="0" w:color="auto"/>
              <w:right w:val="nil"/>
            </w:tcBorders>
            <w:vAlign w:val="bottom"/>
          </w:tcPr>
          <w:p w14:paraId="598C3037" w14:textId="55C904D1" w:rsidR="00932401" w:rsidRPr="00F65403" w:rsidRDefault="004B3B50" w:rsidP="00932401">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17</w:t>
            </w:r>
            <w:r w:rsidR="001C31BE">
              <w:rPr>
                <w:rFonts w:eastAsia="Times New Roman" w:cs="Arial"/>
                <w:b/>
                <w:color w:val="000000"/>
                <w:sz w:val="20"/>
                <w:szCs w:val="20"/>
                <w:lang w:eastAsia="en-AU"/>
              </w:rPr>
              <w:t>1,</w:t>
            </w:r>
            <w:r w:rsidR="00A87FC2">
              <w:rPr>
                <w:rFonts w:eastAsia="Times New Roman" w:cs="Arial"/>
                <w:b/>
                <w:color w:val="000000"/>
                <w:sz w:val="20"/>
                <w:szCs w:val="20"/>
                <w:lang w:eastAsia="en-AU"/>
              </w:rPr>
              <w:t>905</w:t>
            </w:r>
          </w:p>
        </w:tc>
      </w:tr>
    </w:tbl>
    <w:p w14:paraId="31E1840D" w14:textId="4A8D4570" w:rsidR="000814EC" w:rsidRPr="00AA3AC5" w:rsidRDefault="000814EC" w:rsidP="00027D53">
      <w:pPr>
        <w:pStyle w:val="BodyText"/>
        <w:rPr>
          <w:sz w:val="16"/>
          <w:szCs w:val="16"/>
          <w:lang w:val="en-AU"/>
        </w:rPr>
      </w:pPr>
    </w:p>
    <w:p w14:paraId="70C85F84" w14:textId="676A4BC3" w:rsidR="002D4799" w:rsidRDefault="002D4799" w:rsidP="002B2044">
      <w:pPr>
        <w:pStyle w:val="BodyText"/>
        <w:rPr>
          <w:lang w:val="en-AU"/>
        </w:rPr>
      </w:pPr>
      <w:r w:rsidRPr="22CDA12A">
        <w:rPr>
          <w:rFonts w:eastAsia="Times New Roman"/>
          <w:color w:val="000000" w:themeColor="text1"/>
          <w:vertAlign w:val="superscript"/>
          <w:lang w:eastAsia="en-AU"/>
        </w:rPr>
        <w:t xml:space="preserve">1 </w:t>
      </w:r>
      <w:r w:rsidRPr="22CDA12A">
        <w:rPr>
          <w:lang w:val="en-AU"/>
        </w:rPr>
        <w:t xml:space="preserve">Capital commitments relate to the construction of </w:t>
      </w:r>
      <w:r w:rsidR="6C5E8B61" w:rsidRPr="22CDA12A">
        <w:rPr>
          <w:lang w:val="en-AU"/>
        </w:rPr>
        <w:t xml:space="preserve">SEC </w:t>
      </w:r>
      <w:r w:rsidR="003C2DD5" w:rsidRPr="22CDA12A">
        <w:rPr>
          <w:lang w:val="en-AU"/>
        </w:rPr>
        <w:t>Renewable Energy Park</w:t>
      </w:r>
      <w:r w:rsidR="3D37A0AA" w:rsidRPr="22CDA12A">
        <w:rPr>
          <w:lang w:val="en-AU"/>
        </w:rPr>
        <w:t xml:space="preserve"> - Horsham</w:t>
      </w:r>
      <w:r w:rsidR="003C2DD5" w:rsidRPr="22CDA12A">
        <w:rPr>
          <w:lang w:val="en-AU"/>
        </w:rPr>
        <w:t>.</w:t>
      </w:r>
      <w:r w:rsidR="66E04D42" w:rsidRPr="4BA4D2BD">
        <w:rPr>
          <w:lang w:val="en-AU"/>
        </w:rPr>
        <w:t xml:space="preserve"> Estimated payments for construction are $124,688,000 within one year and $87,471,000 within two to</w:t>
      </w:r>
      <w:r w:rsidR="153B4C67" w:rsidRPr="4BA4D2BD">
        <w:rPr>
          <w:lang w:val="en-AU"/>
        </w:rPr>
        <w:t xml:space="preserve"> five years.</w:t>
      </w:r>
    </w:p>
    <w:p w14:paraId="736E2A56" w14:textId="77777777" w:rsidR="002D4799" w:rsidRPr="00AA3AC5" w:rsidRDefault="002D4799" w:rsidP="002B2044">
      <w:pPr>
        <w:pStyle w:val="BodyText"/>
        <w:rPr>
          <w:rFonts w:eastAsia="Times New Roman"/>
          <w:color w:val="000000"/>
          <w:sz w:val="16"/>
          <w:szCs w:val="16"/>
          <w:vertAlign w:val="superscript"/>
          <w:lang w:eastAsia="en-AU"/>
        </w:rPr>
      </w:pPr>
    </w:p>
    <w:p w14:paraId="7BE64856" w14:textId="3DC5207F" w:rsidR="002B2044" w:rsidRPr="002B2044" w:rsidRDefault="00372AEE" w:rsidP="002B2044">
      <w:pPr>
        <w:pStyle w:val="BodyText"/>
        <w:rPr>
          <w:lang w:val="en-AU"/>
        </w:rPr>
      </w:pPr>
      <w:r>
        <w:rPr>
          <w:rFonts w:eastAsia="Times New Roman"/>
          <w:color w:val="000000"/>
          <w:vertAlign w:val="superscript"/>
          <w:lang w:eastAsia="en-AU"/>
        </w:rPr>
        <w:t xml:space="preserve">2 </w:t>
      </w:r>
      <w:r w:rsidR="002B2044" w:rsidRPr="002B2044">
        <w:rPr>
          <w:lang w:val="en-AU"/>
        </w:rPr>
        <w:t xml:space="preserve">In November 2023, SEC Victoria’s subsidiary SEC Infrastructure entered into contracts to invest $245 million in the 600-megawatt Melbourne Renewable Energy Hub (MREH) in partnership with Equis Development Pty Ltd. As at 30 June 2025, there is $52.3 million </w:t>
      </w:r>
      <w:r w:rsidR="00A5783F">
        <w:rPr>
          <w:lang w:val="en-AU"/>
        </w:rPr>
        <w:t>(30 June 2024: $171</w:t>
      </w:r>
      <w:r w:rsidR="00237710">
        <w:rPr>
          <w:lang w:val="en-AU"/>
        </w:rPr>
        <w:t xml:space="preserve">.5 million) </w:t>
      </w:r>
      <w:r w:rsidR="002B2044" w:rsidRPr="002B2044">
        <w:rPr>
          <w:lang w:val="en-AU"/>
        </w:rPr>
        <w:t>remaining on this commitment</w:t>
      </w:r>
      <w:r w:rsidR="00AC3EC6">
        <w:rPr>
          <w:lang w:val="en-AU"/>
        </w:rPr>
        <w:t xml:space="preserve"> and includes amounts to cover SEC’s share</w:t>
      </w:r>
      <w:r w:rsidR="00D700A0" w:rsidRPr="00D700A0">
        <w:rPr>
          <w:lang w:val="en-AU"/>
        </w:rPr>
        <w:t xml:space="preserve"> of </w:t>
      </w:r>
      <w:r w:rsidR="00D700A0">
        <w:rPr>
          <w:lang w:val="en-AU"/>
        </w:rPr>
        <w:t xml:space="preserve">capital </w:t>
      </w:r>
      <w:r w:rsidR="00D700A0" w:rsidRPr="00D700A0">
        <w:rPr>
          <w:lang w:val="en-AU"/>
        </w:rPr>
        <w:t xml:space="preserve">commitments made jointly with other investors </w:t>
      </w:r>
      <w:r w:rsidR="00D95204">
        <w:rPr>
          <w:lang w:val="en-AU"/>
        </w:rPr>
        <w:t>described</w:t>
      </w:r>
      <w:r w:rsidR="00CE429A">
        <w:rPr>
          <w:lang w:val="en-AU"/>
        </w:rPr>
        <w:t xml:space="preserve"> in </w:t>
      </w:r>
      <w:r w:rsidR="00EF1F49">
        <w:rPr>
          <w:lang w:val="en-AU"/>
        </w:rPr>
        <w:t>N</w:t>
      </w:r>
      <w:r w:rsidR="00CE429A">
        <w:rPr>
          <w:lang w:val="en-AU"/>
        </w:rPr>
        <w:t xml:space="preserve">ote </w:t>
      </w:r>
      <w:r w:rsidR="00326F17">
        <w:rPr>
          <w:lang w:val="en-AU"/>
        </w:rPr>
        <w:t>18</w:t>
      </w:r>
      <w:r w:rsidR="00EF1F49">
        <w:rPr>
          <w:lang w:val="en-AU"/>
        </w:rPr>
        <w:t>iii</w:t>
      </w:r>
      <w:r w:rsidR="00D700A0">
        <w:rPr>
          <w:lang w:val="en-AU"/>
        </w:rPr>
        <w:t>.</w:t>
      </w:r>
      <w:r w:rsidR="002B2044" w:rsidRPr="002B2044">
        <w:rPr>
          <w:lang w:val="en-AU"/>
        </w:rPr>
        <w:t xml:space="preserve"> </w:t>
      </w:r>
      <w:r w:rsidR="00E3163F" w:rsidRPr="00E3163F">
        <w:rPr>
          <w:lang w:val="en-AU"/>
        </w:rPr>
        <w:t>Commitments and contingent liabilities in respect of joint ventures</w:t>
      </w:r>
      <w:r w:rsidR="00E3163F">
        <w:rPr>
          <w:lang w:val="en-AU"/>
        </w:rPr>
        <w:t>.</w:t>
      </w:r>
    </w:p>
    <w:p w14:paraId="4C721629" w14:textId="77777777" w:rsidR="002B2044" w:rsidRPr="00AA3AC5" w:rsidRDefault="002B2044" w:rsidP="002B2044">
      <w:pPr>
        <w:pStyle w:val="BodyText"/>
        <w:rPr>
          <w:sz w:val="16"/>
          <w:szCs w:val="16"/>
          <w:lang w:val="en-AU"/>
        </w:rPr>
      </w:pPr>
      <w:r w:rsidRPr="002B2044">
        <w:rPr>
          <w:lang w:val="en-AU"/>
        </w:rPr>
        <w:t xml:space="preserve"> </w:t>
      </w:r>
    </w:p>
    <w:p w14:paraId="2B78E169" w14:textId="757E4E0C" w:rsidR="002904D9" w:rsidRPr="00F65403" w:rsidRDefault="002B2044" w:rsidP="002B2044">
      <w:pPr>
        <w:pStyle w:val="BodyText"/>
        <w:rPr>
          <w:lang w:val="en-AU"/>
        </w:rPr>
      </w:pPr>
      <w:r w:rsidRPr="002B2044">
        <w:rPr>
          <w:lang w:val="en-AU"/>
        </w:rPr>
        <w:t>As part of the MREH transaction, a lease was contracted by the Group for the rights to operate the A3 battery. The total anticipated lease liability to be recognised once the plant is available for the Group’s use is $478 million.</w:t>
      </w:r>
      <w:r w:rsidR="003E59A4">
        <w:rPr>
          <w:lang w:val="en-AU"/>
        </w:rPr>
        <w:t xml:space="preserve"> </w:t>
      </w:r>
      <w:r w:rsidR="003E59A4" w:rsidRPr="003E59A4">
        <w:rPr>
          <w:lang w:val="en-AU"/>
        </w:rPr>
        <w:t>The</w:t>
      </w:r>
      <w:r w:rsidR="00FE5919">
        <w:rPr>
          <w:lang w:val="en-AU"/>
        </w:rPr>
        <w:t xml:space="preserve"> estimated</w:t>
      </w:r>
      <w:r w:rsidR="003E59A4" w:rsidRPr="003E59A4">
        <w:rPr>
          <w:lang w:val="en-AU"/>
        </w:rPr>
        <w:t xml:space="preserve"> future lease payments for this lease contract are $</w:t>
      </w:r>
      <w:r w:rsidR="00ED071A">
        <w:rPr>
          <w:lang w:val="en-AU"/>
        </w:rPr>
        <w:t>2</w:t>
      </w:r>
      <w:r w:rsidR="00884AF1">
        <w:rPr>
          <w:lang w:val="en-AU"/>
        </w:rPr>
        <w:t>8</w:t>
      </w:r>
      <w:r w:rsidR="003E59A4" w:rsidRPr="003E59A4">
        <w:rPr>
          <w:lang w:val="en-AU"/>
        </w:rPr>
        <w:t xml:space="preserve"> million within one year, $</w:t>
      </w:r>
      <w:r w:rsidR="00BE43A4">
        <w:rPr>
          <w:lang w:val="en-AU"/>
        </w:rPr>
        <w:t>196</w:t>
      </w:r>
      <w:r w:rsidR="003E59A4" w:rsidRPr="003E59A4">
        <w:rPr>
          <w:lang w:val="en-AU"/>
        </w:rPr>
        <w:t xml:space="preserve"> million within two to five years and $</w:t>
      </w:r>
      <w:r w:rsidR="00C318DF">
        <w:rPr>
          <w:lang w:val="en-AU"/>
        </w:rPr>
        <w:t>9</w:t>
      </w:r>
      <w:r w:rsidR="00ED071A">
        <w:rPr>
          <w:lang w:val="en-AU"/>
        </w:rPr>
        <w:t>2</w:t>
      </w:r>
      <w:r w:rsidR="005B5696">
        <w:rPr>
          <w:lang w:val="en-AU"/>
        </w:rPr>
        <w:t>7</w:t>
      </w:r>
      <w:r w:rsidR="003E59A4" w:rsidRPr="003E59A4">
        <w:rPr>
          <w:lang w:val="en-AU"/>
        </w:rPr>
        <w:t xml:space="preserve"> million thereafter.</w:t>
      </w:r>
    </w:p>
    <w:p w14:paraId="6D962043" w14:textId="77777777" w:rsidR="00DD2E68" w:rsidRPr="00AA3AC5" w:rsidRDefault="00DD2E68" w:rsidP="00027D53">
      <w:pPr>
        <w:pStyle w:val="BodyText"/>
        <w:rPr>
          <w:sz w:val="16"/>
          <w:szCs w:val="16"/>
          <w:lang w:val="en-AU"/>
        </w:rPr>
      </w:pPr>
    </w:p>
    <w:p w14:paraId="3B492035" w14:textId="77777777" w:rsidR="00DD2E68" w:rsidRPr="00F65403" w:rsidRDefault="00DD2E68" w:rsidP="00DD2E68">
      <w:pPr>
        <w:pStyle w:val="Heading7"/>
      </w:pPr>
      <w:r w:rsidRPr="00F65403">
        <w:t>Subsequent events</w:t>
      </w:r>
    </w:p>
    <w:p w14:paraId="7F656B04" w14:textId="77777777" w:rsidR="00DD2E68" w:rsidRDefault="00DD2E68" w:rsidP="00DD2E68">
      <w:pPr>
        <w:pStyle w:val="BodyText"/>
        <w:rPr>
          <w:lang w:val="en-AU"/>
        </w:rPr>
      </w:pPr>
      <w:r w:rsidRPr="00F65403">
        <w:rPr>
          <w:lang w:val="en-AU"/>
        </w:rPr>
        <w:t>Other than the matters described below, no item, transaction or event of a material nature has arisen since 30 June 2025 that would significantly affect the operations of the Group, the results of those operations, or the state of affairs of the Group, in future financial periods.</w:t>
      </w:r>
    </w:p>
    <w:p w14:paraId="7A9F68F7" w14:textId="77777777" w:rsidR="005E5528" w:rsidRPr="00AA3AC5" w:rsidRDefault="005E5528" w:rsidP="00466AC6">
      <w:pPr>
        <w:pStyle w:val="BodyText"/>
        <w:rPr>
          <w:sz w:val="16"/>
          <w:szCs w:val="16"/>
          <w:lang w:val="en-AU"/>
        </w:rPr>
      </w:pPr>
    </w:p>
    <w:p w14:paraId="4730A18D" w14:textId="15E45363" w:rsidR="00C71773" w:rsidRDefault="00C71773" w:rsidP="00C71773">
      <w:pPr>
        <w:pStyle w:val="Heading9"/>
      </w:pPr>
      <w:r>
        <w:t>Retail operations commenced</w:t>
      </w:r>
    </w:p>
    <w:p w14:paraId="32322B83" w14:textId="67ABCE17" w:rsidR="005E5528" w:rsidRPr="00AA3AC5" w:rsidRDefault="00C71773" w:rsidP="005E5528">
      <w:pPr>
        <w:pStyle w:val="BodyText"/>
        <w:rPr>
          <w:sz w:val="16"/>
          <w:szCs w:val="16"/>
        </w:rPr>
      </w:pPr>
      <w:r>
        <w:t>From 1 Jul</w:t>
      </w:r>
      <w:r w:rsidR="003F1950">
        <w:t xml:space="preserve">y 2025, SEC </w:t>
      </w:r>
      <w:r w:rsidR="00677857">
        <w:t>commenced retailing operations</w:t>
      </w:r>
      <w:r w:rsidR="00E8492C">
        <w:t xml:space="preserve"> to government commercial and industrial sites, servicing around 5% of Victoria’s total energy load.</w:t>
      </w:r>
      <w:r w:rsidR="00CD084C">
        <w:t xml:space="preserve"> Effective from the same date,</w:t>
      </w:r>
      <w:r w:rsidR="00E8492C">
        <w:t xml:space="preserve"> </w:t>
      </w:r>
      <w:r w:rsidR="00EF5E3C">
        <w:t>V</w:t>
      </w:r>
      <w:r w:rsidR="15FF916B">
        <w:t>ictorian Renewable Energy Tar</w:t>
      </w:r>
      <w:r w:rsidR="00224F54">
        <w:t>g</w:t>
      </w:r>
      <w:r w:rsidR="15FF916B">
        <w:t>et (</w:t>
      </w:r>
      <w:r w:rsidR="00EF5E3C">
        <w:t>VRE</w:t>
      </w:r>
      <w:r w:rsidDel="00EF5E3C">
        <w:t>T</w:t>
      </w:r>
      <w:r w:rsidR="15FF916B">
        <w:t>)</w:t>
      </w:r>
      <w:r w:rsidR="00EF5E3C">
        <w:t xml:space="preserve"> </w:t>
      </w:r>
      <w:r w:rsidR="00224F54">
        <w:t xml:space="preserve">and Bulgana </w:t>
      </w:r>
      <w:r w:rsidR="00EF5E3C">
        <w:t>power purchase contracts were novated from</w:t>
      </w:r>
      <w:r w:rsidR="00FA0A9A" w:rsidRPr="00F65403">
        <w:rPr>
          <w:lang w:val="en-AU"/>
        </w:rPr>
        <w:t xml:space="preserve"> the Department of Energy, Environment and Climate Action </w:t>
      </w:r>
      <w:r w:rsidR="00FA0A9A">
        <w:rPr>
          <w:lang w:val="en-AU"/>
        </w:rPr>
        <w:t>(</w:t>
      </w:r>
      <w:r w:rsidR="00EF5E3C">
        <w:t>DEECA</w:t>
      </w:r>
      <w:r w:rsidR="00FA0A9A">
        <w:t>)</w:t>
      </w:r>
      <w:r w:rsidR="00EF5E3C">
        <w:t xml:space="preserve"> t</w:t>
      </w:r>
      <w:r w:rsidR="00821FBF">
        <w:t>o</w:t>
      </w:r>
      <w:r w:rsidR="00224F54">
        <w:t xml:space="preserve"> SEC Energy</w:t>
      </w:r>
      <w:r w:rsidR="007B19A2">
        <w:t xml:space="preserve"> to act as a synthe</w:t>
      </w:r>
      <w:r w:rsidR="00ED1A6F">
        <w:t>tic</w:t>
      </w:r>
      <w:r w:rsidR="00821FBF">
        <w:t xml:space="preserve"> </w:t>
      </w:r>
      <w:r w:rsidR="00951663">
        <w:t>hedge</w:t>
      </w:r>
      <w:r w:rsidR="006412CA">
        <w:t xml:space="preserve"> </w:t>
      </w:r>
      <w:r w:rsidR="003958BA">
        <w:t>against</w:t>
      </w:r>
      <w:r w:rsidR="00951663">
        <w:t xml:space="preserve"> the cost of energy for this load</w:t>
      </w:r>
      <w:r w:rsidR="008714E1">
        <w:t>, as described below</w:t>
      </w:r>
      <w:r w:rsidR="0019275E">
        <w:t xml:space="preserve">. </w:t>
      </w:r>
      <w:r>
        <w:br/>
      </w:r>
    </w:p>
    <w:p w14:paraId="7051A2CF" w14:textId="77777777" w:rsidR="00DD2E68" w:rsidRPr="00F96FA2" w:rsidRDefault="00DD2E68" w:rsidP="00466AC6">
      <w:pPr>
        <w:pStyle w:val="Heading9"/>
        <w:rPr>
          <w:highlight w:val="yellow"/>
        </w:rPr>
      </w:pPr>
      <w:r>
        <w:t>VRET novation</w:t>
      </w:r>
    </w:p>
    <w:p w14:paraId="60C3BABF" w14:textId="735FC7F7" w:rsidR="003B5436" w:rsidRPr="003B5436" w:rsidRDefault="003B5436" w:rsidP="003B5436">
      <w:pPr>
        <w:pStyle w:val="Heading9"/>
        <w:rPr>
          <w:rFonts w:eastAsia="Arial" w:cs="Arial"/>
          <w:i w:val="0"/>
          <w:color w:val="auto"/>
          <w:szCs w:val="20"/>
        </w:rPr>
      </w:pPr>
      <w:r w:rsidRPr="003B5436">
        <w:rPr>
          <w:rFonts w:eastAsia="Arial" w:cs="Arial"/>
          <w:i w:val="0"/>
          <w:color w:val="auto"/>
          <w:szCs w:val="20"/>
        </w:rPr>
        <w:t xml:space="preserve">To support the VRET, DEECA (formerly the Department of Environment, Land, Water and Planning) entered contracts to support the construction of renewable energy projects in Victoria. These contracts were entered into between </w:t>
      </w:r>
      <w:r w:rsidR="00523E20" w:rsidRPr="003B5436">
        <w:rPr>
          <w:rFonts w:eastAsia="Arial" w:cs="Arial"/>
          <w:i w:val="0"/>
          <w:color w:val="auto"/>
          <w:szCs w:val="20"/>
        </w:rPr>
        <w:t>201</w:t>
      </w:r>
      <w:r w:rsidR="00523E20">
        <w:rPr>
          <w:rFonts w:eastAsia="Arial" w:cs="Arial"/>
          <w:i w:val="0"/>
          <w:color w:val="auto"/>
          <w:szCs w:val="20"/>
        </w:rPr>
        <w:t>7</w:t>
      </w:r>
      <w:r w:rsidR="00523E20" w:rsidRPr="003B5436">
        <w:rPr>
          <w:rFonts w:eastAsia="Arial" w:cs="Arial"/>
          <w:i w:val="0"/>
          <w:color w:val="auto"/>
          <w:szCs w:val="20"/>
        </w:rPr>
        <w:t xml:space="preserve"> </w:t>
      </w:r>
      <w:r w:rsidRPr="003B5436">
        <w:rPr>
          <w:rFonts w:eastAsia="Arial" w:cs="Arial"/>
          <w:i w:val="0"/>
          <w:color w:val="auto"/>
          <w:szCs w:val="20"/>
        </w:rPr>
        <w:t xml:space="preserve">and 2024 and are contracts for difference for purchase of electricity and large-scale generation certificates (LGCs) from/to private sector parties.  </w:t>
      </w:r>
    </w:p>
    <w:p w14:paraId="4FE02A8C" w14:textId="77777777" w:rsidR="003B5436" w:rsidRPr="00AA3AC5" w:rsidRDefault="003B5436" w:rsidP="003B5436">
      <w:pPr>
        <w:pStyle w:val="Heading9"/>
        <w:rPr>
          <w:rFonts w:eastAsia="Arial" w:cs="Arial"/>
          <w:i w:val="0"/>
          <w:color w:val="auto"/>
          <w:sz w:val="16"/>
          <w:szCs w:val="16"/>
        </w:rPr>
      </w:pPr>
    </w:p>
    <w:p w14:paraId="65CD0BAF" w14:textId="074BE948" w:rsidR="003B5436" w:rsidRPr="003B5436" w:rsidRDefault="003B5436" w:rsidP="003B5436">
      <w:pPr>
        <w:pStyle w:val="Heading9"/>
        <w:rPr>
          <w:rFonts w:eastAsia="Arial" w:cs="Arial"/>
          <w:i w:val="0"/>
          <w:color w:val="auto"/>
          <w:szCs w:val="20"/>
        </w:rPr>
      </w:pPr>
      <w:r w:rsidRPr="003B5436">
        <w:rPr>
          <w:rFonts w:eastAsia="Arial" w:cs="Arial"/>
          <w:i w:val="0"/>
          <w:color w:val="auto"/>
          <w:szCs w:val="20"/>
        </w:rPr>
        <w:t>Effective from 1 July 2025, to align with the commencement of retailing operations, the rights and obligations under 6 VRET</w:t>
      </w:r>
      <w:r w:rsidR="00523E20">
        <w:rPr>
          <w:rFonts w:eastAsia="Arial" w:cs="Arial"/>
          <w:i w:val="0"/>
          <w:color w:val="auto"/>
          <w:szCs w:val="20"/>
        </w:rPr>
        <w:t xml:space="preserve"> and Bulgana</w:t>
      </w:r>
      <w:r w:rsidRPr="003B5436">
        <w:rPr>
          <w:rFonts w:eastAsia="Arial" w:cs="Arial"/>
          <w:i w:val="0"/>
          <w:color w:val="auto"/>
          <w:szCs w:val="20"/>
        </w:rPr>
        <w:t xml:space="preserve"> contracts transfer from DEECA to SEC Energy Pty Ltd.</w:t>
      </w:r>
    </w:p>
    <w:p w14:paraId="064615B7" w14:textId="77777777" w:rsidR="003B5436" w:rsidRPr="00AA3AC5" w:rsidRDefault="003B5436" w:rsidP="003B5436">
      <w:pPr>
        <w:pStyle w:val="Heading9"/>
        <w:rPr>
          <w:rFonts w:eastAsia="Arial" w:cs="Arial"/>
          <w:i w:val="0"/>
          <w:color w:val="auto"/>
          <w:sz w:val="16"/>
          <w:szCs w:val="16"/>
        </w:rPr>
      </w:pPr>
    </w:p>
    <w:p w14:paraId="49BBB87D" w14:textId="221B439D" w:rsidR="003B5436" w:rsidRPr="003B5436" w:rsidRDefault="003B5436" w:rsidP="003B5436">
      <w:pPr>
        <w:pStyle w:val="Heading9"/>
        <w:rPr>
          <w:rFonts w:eastAsia="Arial" w:cs="Arial"/>
          <w:i w:val="0"/>
          <w:color w:val="auto"/>
          <w:szCs w:val="20"/>
        </w:rPr>
      </w:pPr>
      <w:r w:rsidRPr="003B5436">
        <w:rPr>
          <w:rFonts w:eastAsia="Arial" w:cs="Arial"/>
          <w:i w:val="0"/>
          <w:color w:val="auto"/>
          <w:szCs w:val="20"/>
        </w:rPr>
        <w:t xml:space="preserve">The $381.1 million fair value of the contracts transferred at 1 July 2025 will be </w:t>
      </w:r>
      <w:r w:rsidR="00330463">
        <w:rPr>
          <w:rFonts w:eastAsia="Arial" w:cs="Arial"/>
          <w:i w:val="0"/>
          <w:color w:val="auto"/>
          <w:szCs w:val="20"/>
        </w:rPr>
        <w:t xml:space="preserve">initially </w:t>
      </w:r>
      <w:r w:rsidRPr="003B5436">
        <w:rPr>
          <w:rFonts w:eastAsia="Arial" w:cs="Arial"/>
          <w:i w:val="0"/>
          <w:color w:val="auto"/>
          <w:szCs w:val="20"/>
        </w:rPr>
        <w:t xml:space="preserve">recognised as a capital contribution from DEECA </w:t>
      </w:r>
      <w:r w:rsidR="00F2770C">
        <w:rPr>
          <w:rFonts w:eastAsia="Arial" w:cs="Arial"/>
          <w:i w:val="0"/>
          <w:color w:val="auto"/>
          <w:szCs w:val="20"/>
        </w:rPr>
        <w:t>and a</w:t>
      </w:r>
      <w:r w:rsidRPr="003B5436">
        <w:rPr>
          <w:rFonts w:eastAsia="Arial" w:cs="Arial"/>
          <w:i w:val="0"/>
          <w:color w:val="auto"/>
          <w:szCs w:val="20"/>
        </w:rPr>
        <w:t xml:space="preserve"> corresponding other financial asset in the statement of financial position.</w:t>
      </w:r>
    </w:p>
    <w:p w14:paraId="41A1774A" w14:textId="77777777" w:rsidR="003B5436" w:rsidRPr="00AA3AC5" w:rsidRDefault="003B5436" w:rsidP="003B5436">
      <w:pPr>
        <w:pStyle w:val="Heading9"/>
        <w:rPr>
          <w:rFonts w:eastAsia="Arial" w:cs="Arial"/>
          <w:i w:val="0"/>
          <w:color w:val="auto"/>
          <w:sz w:val="16"/>
          <w:szCs w:val="16"/>
        </w:rPr>
      </w:pPr>
    </w:p>
    <w:p w14:paraId="3AFDDC03" w14:textId="5DAFC3C7" w:rsidR="00CB036E" w:rsidRPr="00CB036E" w:rsidRDefault="003B5436" w:rsidP="00AA3AC5">
      <w:pPr>
        <w:pStyle w:val="BodyText"/>
        <w:rPr>
          <w:lang w:val="en-AU"/>
        </w:rPr>
      </w:pPr>
      <w:r w:rsidRPr="003B5436">
        <w:t>Subsequent changes in fair value, using SEC’s valuation techniques, inputs and assumptions, will be recognised through profit or loss.</w:t>
      </w:r>
      <w:r>
        <w:br/>
      </w:r>
      <w:r w:rsidR="0093029D" w:rsidRPr="00AA3AC5">
        <w:rPr>
          <w:color w:val="FFFFFF" w:themeColor="background1"/>
          <w:sz w:val="12"/>
          <w:szCs w:val="12"/>
        </w:rPr>
        <w:t>d</w:t>
      </w:r>
      <w:r w:rsidR="0093029D">
        <w:br/>
      </w:r>
      <w:r w:rsidR="00DD2E68" w:rsidRPr="00AA3AC5">
        <w:rPr>
          <w:i/>
          <w:iCs/>
        </w:rPr>
        <w:t>Other</w:t>
      </w:r>
      <w:r w:rsidR="0093029D">
        <w:rPr>
          <w:lang w:val="en-AU"/>
        </w:rPr>
        <w:br/>
      </w:r>
      <w:r w:rsidR="00CB036E" w:rsidRPr="49BCD735">
        <w:rPr>
          <w:lang w:val="en-AU"/>
        </w:rPr>
        <w:t>On 4 August 2025, a floating rate $150 million working capital facility was executed with Treasury Corporation</w:t>
      </w:r>
      <w:r w:rsidR="00753DCD">
        <w:rPr>
          <w:lang w:val="en-AU"/>
        </w:rPr>
        <w:t xml:space="preserve"> of</w:t>
      </w:r>
      <w:r w:rsidR="00CB036E" w:rsidRPr="49BCD735">
        <w:rPr>
          <w:lang w:val="en-AU"/>
        </w:rPr>
        <w:t xml:space="preserve"> Victoria. This facility provides ready access to short term funds to support operational activity, specifically AEMO prudential support or ASX margin calls, if required, and is repayable by 30 June each year.</w:t>
      </w:r>
      <w:r w:rsidR="00B9778F">
        <w:rPr>
          <w:lang w:val="en-AU"/>
        </w:rPr>
        <w:t xml:space="preserve"> </w:t>
      </w:r>
      <w:r w:rsidR="00B9778F" w:rsidRPr="00B9778F">
        <w:rPr>
          <w:lang w:val="en-AU"/>
        </w:rPr>
        <w:t>No amounts have been drawn on this facility in the period to the date of this report.</w:t>
      </w:r>
    </w:p>
    <w:p w14:paraId="57FD3553" w14:textId="77777777" w:rsidR="00027D53" w:rsidRPr="00F65403" w:rsidRDefault="00027D53" w:rsidP="00027D53">
      <w:pPr>
        <w:pStyle w:val="BodyText"/>
        <w:rPr>
          <w:lang w:val="en-AU"/>
        </w:rPr>
      </w:pPr>
    </w:p>
    <w:p w14:paraId="526E8C69" w14:textId="63F2F181" w:rsidR="00732DA6" w:rsidRPr="00F65403" w:rsidRDefault="00732DA6" w:rsidP="00027D53">
      <w:pPr>
        <w:pStyle w:val="Heading7"/>
      </w:pPr>
      <w:bookmarkStart w:id="380" w:name="_Ref207013418"/>
      <w:r w:rsidRPr="00F65403">
        <w:t>Responsible persons</w:t>
      </w:r>
      <w:bookmarkEnd w:id="380"/>
    </w:p>
    <w:p w14:paraId="45A98114" w14:textId="3E682E33" w:rsidR="00732DA6" w:rsidRPr="00F65403" w:rsidRDefault="004B40DF" w:rsidP="00027D53">
      <w:pPr>
        <w:pStyle w:val="BodyText"/>
        <w:rPr>
          <w:lang w:val="en-AU"/>
        </w:rPr>
      </w:pPr>
      <w:r w:rsidRPr="00F65403">
        <w:rPr>
          <w:lang w:val="en-AU"/>
        </w:rPr>
        <w:t>In accordance with the Ministerial Directions issued by the Assistant Treasurer under the FMA, the following disclosures are made about responsible persons for the reporting period.</w:t>
      </w:r>
    </w:p>
    <w:p w14:paraId="45AA84DB" w14:textId="77777777" w:rsidR="00027D53" w:rsidRPr="00F65403" w:rsidRDefault="00027D53" w:rsidP="00027D53">
      <w:pPr>
        <w:pStyle w:val="BodyText"/>
        <w:rPr>
          <w:lang w:val="en-AU"/>
        </w:rPr>
      </w:pPr>
    </w:p>
    <w:p w14:paraId="787B645C" w14:textId="2067B57F" w:rsidR="004B40DF" w:rsidRPr="00F65403" w:rsidRDefault="00D1247C" w:rsidP="00027D53">
      <w:pPr>
        <w:pStyle w:val="BodyText"/>
        <w:rPr>
          <w:lang w:val="en-AU"/>
        </w:rPr>
      </w:pPr>
      <w:r w:rsidRPr="00F65403">
        <w:rPr>
          <w:lang w:val="en-AU"/>
        </w:rPr>
        <w:t>The names of persons who were responsible persons at any time during the period are as follows:</w:t>
      </w:r>
    </w:p>
    <w:p w14:paraId="384369F9" w14:textId="77777777" w:rsidR="00027D53" w:rsidRPr="00F65403" w:rsidRDefault="00027D53" w:rsidP="00027D53">
      <w:pPr>
        <w:pStyle w:val="BodyText"/>
        <w:rPr>
          <w:lang w:val="en-AU"/>
        </w:rPr>
      </w:pPr>
    </w:p>
    <w:tbl>
      <w:tblPr>
        <w:tblW w:w="8761" w:type="dxa"/>
        <w:tblCellMar>
          <w:top w:w="28" w:type="dxa"/>
          <w:left w:w="28" w:type="dxa"/>
          <w:bottom w:w="28" w:type="dxa"/>
          <w:right w:w="28" w:type="dxa"/>
        </w:tblCellMar>
        <w:tblLook w:val="04A0" w:firstRow="1" w:lastRow="0" w:firstColumn="1" w:lastColumn="0" w:noHBand="0" w:noVBand="1"/>
      </w:tblPr>
      <w:tblGrid>
        <w:gridCol w:w="2100"/>
        <w:gridCol w:w="6661"/>
      </w:tblGrid>
      <w:tr w:rsidR="00D1247C" w:rsidRPr="00027D53" w14:paraId="13FAC61A" w14:textId="77777777" w:rsidTr="00027D53">
        <w:tc>
          <w:tcPr>
            <w:tcW w:w="2100" w:type="dxa"/>
            <w:tcBorders>
              <w:top w:val="nil"/>
              <w:left w:val="nil"/>
              <w:bottom w:val="nil"/>
              <w:right w:val="nil"/>
            </w:tcBorders>
            <w:noWrap/>
            <w:vAlign w:val="bottom"/>
            <w:hideMark/>
          </w:tcPr>
          <w:p w14:paraId="5D617813" w14:textId="77777777" w:rsidR="00D1247C" w:rsidRPr="00F65403" w:rsidRDefault="00D1247C" w:rsidP="00D1247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Position</w:t>
            </w:r>
          </w:p>
        </w:tc>
        <w:tc>
          <w:tcPr>
            <w:tcW w:w="6661" w:type="dxa"/>
            <w:tcBorders>
              <w:top w:val="nil"/>
              <w:left w:val="nil"/>
              <w:bottom w:val="nil"/>
              <w:right w:val="nil"/>
            </w:tcBorders>
            <w:noWrap/>
            <w:vAlign w:val="bottom"/>
            <w:hideMark/>
          </w:tcPr>
          <w:p w14:paraId="7F484E8F" w14:textId="77777777" w:rsidR="00D1247C" w:rsidRPr="00F65403" w:rsidRDefault="00D1247C" w:rsidP="00D1247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Responsible Person</w:t>
            </w:r>
          </w:p>
        </w:tc>
      </w:tr>
      <w:tr w:rsidR="00D1247C" w:rsidRPr="00027D53" w14:paraId="677D1786" w14:textId="77777777" w:rsidTr="00027D53">
        <w:tc>
          <w:tcPr>
            <w:tcW w:w="2100" w:type="dxa"/>
            <w:tcBorders>
              <w:top w:val="nil"/>
              <w:left w:val="nil"/>
              <w:bottom w:val="nil"/>
              <w:right w:val="nil"/>
            </w:tcBorders>
            <w:noWrap/>
            <w:hideMark/>
          </w:tcPr>
          <w:p w14:paraId="168E9A8E"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Responsible Minister</w:t>
            </w:r>
          </w:p>
        </w:tc>
        <w:tc>
          <w:tcPr>
            <w:tcW w:w="6661" w:type="dxa"/>
            <w:tcBorders>
              <w:top w:val="nil"/>
              <w:left w:val="nil"/>
              <w:bottom w:val="nil"/>
              <w:right w:val="nil"/>
            </w:tcBorders>
            <w:noWrap/>
            <w:hideMark/>
          </w:tcPr>
          <w:p w14:paraId="77CBFB85"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The Hon. Lily D’Ambrosio MP, Minister for the State Electricity Commission </w:t>
            </w:r>
          </w:p>
        </w:tc>
      </w:tr>
      <w:tr w:rsidR="00D1247C" w:rsidRPr="00027D53" w14:paraId="11BB10DF" w14:textId="77777777" w:rsidTr="00027D53">
        <w:tc>
          <w:tcPr>
            <w:tcW w:w="2100" w:type="dxa"/>
            <w:tcBorders>
              <w:top w:val="nil"/>
              <w:left w:val="nil"/>
              <w:bottom w:val="nil"/>
              <w:right w:val="nil"/>
            </w:tcBorders>
            <w:noWrap/>
            <w:hideMark/>
          </w:tcPr>
          <w:p w14:paraId="44FC5369"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Accountable Officer</w:t>
            </w:r>
          </w:p>
        </w:tc>
        <w:tc>
          <w:tcPr>
            <w:tcW w:w="6661" w:type="dxa"/>
            <w:tcBorders>
              <w:top w:val="nil"/>
              <w:left w:val="nil"/>
              <w:bottom w:val="nil"/>
              <w:right w:val="nil"/>
            </w:tcBorders>
            <w:noWrap/>
            <w:hideMark/>
          </w:tcPr>
          <w:p w14:paraId="1F18B3EB"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Christopher Francis Miller </w:t>
            </w:r>
          </w:p>
        </w:tc>
      </w:tr>
      <w:tr w:rsidR="00D1247C" w:rsidRPr="00027D53" w14:paraId="130A30C9" w14:textId="77777777" w:rsidTr="00027D53">
        <w:tc>
          <w:tcPr>
            <w:tcW w:w="2100" w:type="dxa"/>
            <w:tcBorders>
              <w:top w:val="nil"/>
              <w:left w:val="nil"/>
              <w:bottom w:val="nil"/>
              <w:right w:val="nil"/>
            </w:tcBorders>
            <w:noWrap/>
            <w:hideMark/>
          </w:tcPr>
          <w:p w14:paraId="5082EDF6"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Chairperson</w:t>
            </w:r>
          </w:p>
        </w:tc>
        <w:tc>
          <w:tcPr>
            <w:tcW w:w="6661" w:type="dxa"/>
            <w:tcBorders>
              <w:top w:val="nil"/>
              <w:left w:val="nil"/>
              <w:bottom w:val="nil"/>
              <w:right w:val="nil"/>
            </w:tcBorders>
            <w:noWrap/>
            <w:hideMark/>
          </w:tcPr>
          <w:p w14:paraId="49EFE3FD" w14:textId="77777777"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Simon Corbell </w:t>
            </w:r>
          </w:p>
        </w:tc>
      </w:tr>
      <w:tr w:rsidR="00D1247C" w:rsidRPr="00027D53" w14:paraId="68E0B661" w14:textId="77777777" w:rsidTr="00027D53">
        <w:tc>
          <w:tcPr>
            <w:tcW w:w="2100" w:type="dxa"/>
            <w:tcBorders>
              <w:top w:val="nil"/>
              <w:left w:val="nil"/>
              <w:bottom w:val="nil"/>
              <w:right w:val="nil"/>
            </w:tcBorders>
            <w:noWrap/>
            <w:hideMark/>
          </w:tcPr>
          <w:p w14:paraId="08FE5AA0" w14:textId="77777777" w:rsidR="00D1247C" w:rsidRPr="00F65403" w:rsidRDefault="00D1247C" w:rsidP="00D12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Board Members</w:t>
            </w:r>
          </w:p>
        </w:tc>
        <w:tc>
          <w:tcPr>
            <w:tcW w:w="6661" w:type="dxa"/>
            <w:tcBorders>
              <w:top w:val="nil"/>
              <w:left w:val="nil"/>
              <w:bottom w:val="nil"/>
              <w:right w:val="nil"/>
            </w:tcBorders>
            <w:noWrap/>
            <w:vAlign w:val="center"/>
            <w:hideMark/>
          </w:tcPr>
          <w:p w14:paraId="20E76A2B" w14:textId="77777777"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Joycelyn Morton</w:t>
            </w:r>
          </w:p>
        </w:tc>
      </w:tr>
      <w:tr w:rsidR="00D1247C" w:rsidRPr="00027D53" w14:paraId="6B86F073" w14:textId="77777777" w:rsidTr="00027D53">
        <w:tc>
          <w:tcPr>
            <w:tcW w:w="2100" w:type="dxa"/>
            <w:tcBorders>
              <w:top w:val="nil"/>
              <w:left w:val="nil"/>
              <w:bottom w:val="nil"/>
              <w:right w:val="nil"/>
            </w:tcBorders>
            <w:noWrap/>
            <w:vAlign w:val="bottom"/>
            <w:hideMark/>
          </w:tcPr>
          <w:p w14:paraId="0FC1A160" w14:textId="77777777" w:rsidR="00D1247C" w:rsidRPr="00F65403" w:rsidRDefault="00D1247C" w:rsidP="00D1247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12589633" w14:textId="77777777"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Damien Barnes</w:t>
            </w:r>
          </w:p>
        </w:tc>
      </w:tr>
      <w:tr w:rsidR="00D1247C" w:rsidRPr="00027D53" w14:paraId="4210A911" w14:textId="77777777" w:rsidTr="00027D53">
        <w:tc>
          <w:tcPr>
            <w:tcW w:w="2100" w:type="dxa"/>
            <w:tcBorders>
              <w:top w:val="nil"/>
              <w:left w:val="nil"/>
              <w:bottom w:val="nil"/>
              <w:right w:val="nil"/>
            </w:tcBorders>
            <w:noWrap/>
            <w:vAlign w:val="bottom"/>
            <w:hideMark/>
          </w:tcPr>
          <w:p w14:paraId="32C36862" w14:textId="77777777" w:rsidR="00D1247C" w:rsidRPr="00F65403" w:rsidRDefault="00D1247C" w:rsidP="00D1247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0D885424" w14:textId="77777777"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Joanne Benvenuti</w:t>
            </w:r>
          </w:p>
        </w:tc>
      </w:tr>
      <w:tr w:rsidR="00D1247C" w:rsidRPr="00027D53" w14:paraId="72A18C3C" w14:textId="77777777" w:rsidTr="00027D53">
        <w:tc>
          <w:tcPr>
            <w:tcW w:w="2100" w:type="dxa"/>
            <w:tcBorders>
              <w:top w:val="nil"/>
              <w:left w:val="nil"/>
              <w:bottom w:val="nil"/>
              <w:right w:val="nil"/>
            </w:tcBorders>
            <w:noWrap/>
            <w:vAlign w:val="bottom"/>
            <w:hideMark/>
          </w:tcPr>
          <w:p w14:paraId="1432CFAA" w14:textId="77777777" w:rsidR="00D1247C" w:rsidRPr="00F65403" w:rsidRDefault="00D1247C" w:rsidP="00D1247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7C55621A" w14:textId="77B6AD9E"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Sharan Burrow</w:t>
            </w:r>
            <w:r w:rsidR="00027D53" w:rsidRPr="00F65403">
              <w:rPr>
                <w:rFonts w:eastAsia="Times New Roman" w:cs="Arial"/>
                <w:sz w:val="20"/>
                <w:szCs w:val="20"/>
                <w:lang w:eastAsia="en-AU"/>
              </w:rPr>
              <w:t xml:space="preserve"> (appointed 1 October 2024)</w:t>
            </w:r>
          </w:p>
        </w:tc>
      </w:tr>
      <w:tr w:rsidR="00D1247C" w:rsidRPr="00027D53" w14:paraId="553E55AB" w14:textId="77777777" w:rsidTr="00027D53">
        <w:tc>
          <w:tcPr>
            <w:tcW w:w="2100" w:type="dxa"/>
            <w:tcBorders>
              <w:top w:val="nil"/>
              <w:left w:val="nil"/>
              <w:bottom w:val="nil"/>
              <w:right w:val="nil"/>
            </w:tcBorders>
            <w:noWrap/>
            <w:vAlign w:val="bottom"/>
            <w:hideMark/>
          </w:tcPr>
          <w:p w14:paraId="3A8DBF53" w14:textId="77777777" w:rsidR="00D1247C" w:rsidRPr="00F65403" w:rsidRDefault="00D1247C" w:rsidP="00D1247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6AF1B1C9" w14:textId="21DD7049"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Cameron Garnsworthy</w:t>
            </w:r>
            <w:r w:rsidR="00027D53" w:rsidRPr="00F65403">
              <w:rPr>
                <w:rFonts w:eastAsia="Times New Roman" w:cs="Arial"/>
                <w:sz w:val="20"/>
                <w:szCs w:val="20"/>
                <w:lang w:eastAsia="en-AU"/>
              </w:rPr>
              <w:t xml:space="preserve"> (appointed 1 October 2024)</w:t>
            </w:r>
          </w:p>
        </w:tc>
      </w:tr>
      <w:tr w:rsidR="00D1247C" w:rsidRPr="00027D53" w14:paraId="1FBF6777" w14:textId="77777777" w:rsidTr="00027D53">
        <w:tc>
          <w:tcPr>
            <w:tcW w:w="2100" w:type="dxa"/>
            <w:tcBorders>
              <w:top w:val="nil"/>
              <w:left w:val="nil"/>
              <w:bottom w:val="nil"/>
              <w:right w:val="nil"/>
            </w:tcBorders>
            <w:noWrap/>
            <w:vAlign w:val="bottom"/>
            <w:hideMark/>
          </w:tcPr>
          <w:p w14:paraId="53695F74" w14:textId="77777777" w:rsidR="00D1247C" w:rsidRPr="00F65403" w:rsidRDefault="00D1247C" w:rsidP="00D1247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0C7FD948" w14:textId="77777777" w:rsidR="00D1247C" w:rsidRPr="00F65403" w:rsidRDefault="00D1247C" w:rsidP="00D1247C">
            <w:pPr>
              <w:spacing w:after="0" w:line="240" w:lineRule="auto"/>
              <w:rPr>
                <w:rFonts w:eastAsia="Times New Roman" w:cs="Arial"/>
                <w:sz w:val="20"/>
                <w:szCs w:val="20"/>
                <w:lang w:eastAsia="en-AU"/>
              </w:rPr>
            </w:pPr>
            <w:r w:rsidRPr="00F65403">
              <w:rPr>
                <w:rFonts w:eastAsia="Times New Roman" w:cs="Arial"/>
                <w:sz w:val="20"/>
                <w:szCs w:val="20"/>
                <w:lang w:eastAsia="en-AU"/>
              </w:rPr>
              <w:t>Anna Skarbek</w:t>
            </w:r>
          </w:p>
        </w:tc>
      </w:tr>
    </w:tbl>
    <w:p w14:paraId="3C7DAEE1" w14:textId="77777777" w:rsidR="003E264D" w:rsidRPr="00F65403" w:rsidRDefault="003E264D" w:rsidP="00027D53">
      <w:pPr>
        <w:pStyle w:val="BodyText"/>
        <w:rPr>
          <w:lang w:val="en-AU"/>
        </w:rPr>
      </w:pPr>
    </w:p>
    <w:p w14:paraId="20DC4BEF" w14:textId="5AC17074" w:rsidR="003E264D" w:rsidRPr="00F65403" w:rsidRDefault="00024597" w:rsidP="715E2D1C">
      <w:pPr>
        <w:pStyle w:val="Heading8"/>
      </w:pPr>
      <w:proofErr w:type="spellStart"/>
      <w:r>
        <w:t>i</w:t>
      </w:r>
      <w:proofErr w:type="spellEnd"/>
      <w:r>
        <w:t>.</w:t>
      </w:r>
      <w:r>
        <w:tab/>
      </w:r>
      <w:r w:rsidR="36E229B8">
        <w:t>Remuneration of responsible persons</w:t>
      </w:r>
    </w:p>
    <w:p w14:paraId="66099708" w14:textId="40DE07C1" w:rsidR="00D1247C" w:rsidRPr="00F65403" w:rsidRDefault="00562918" w:rsidP="00027D53">
      <w:pPr>
        <w:pStyle w:val="BodyText"/>
        <w:rPr>
          <w:lang w:val="en-AU"/>
        </w:rPr>
      </w:pPr>
      <w:r w:rsidRPr="76FD273D">
        <w:rPr>
          <w:lang w:val="en-AU"/>
        </w:rPr>
        <w:t>Remuneration received or receivable by each director of the Board in connection with the management of the Company during the reporting period is shown below in their relevant total income ranges.</w:t>
      </w:r>
    </w:p>
    <w:p w14:paraId="69D1B688" w14:textId="77777777" w:rsidR="00027D53" w:rsidRPr="00F65403" w:rsidRDefault="00027D53" w:rsidP="00027D53">
      <w:pPr>
        <w:pStyle w:val="BodyText"/>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5B2B65" w:rsidRPr="0073009A" w14:paraId="1F8DE497" w14:textId="77777777" w:rsidTr="413EB596">
        <w:tc>
          <w:tcPr>
            <w:tcW w:w="3525" w:type="pct"/>
            <w:tcBorders>
              <w:top w:val="nil"/>
              <w:left w:val="nil"/>
              <w:bottom w:val="nil"/>
              <w:right w:val="nil"/>
            </w:tcBorders>
            <w:noWrap/>
            <w:vAlign w:val="bottom"/>
            <w:hideMark/>
          </w:tcPr>
          <w:p w14:paraId="7C80B670" w14:textId="77777777" w:rsidR="005B2B65" w:rsidRPr="00F65403" w:rsidRDefault="005B2B65" w:rsidP="005B2B65">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70E3EA7C" w14:textId="201C28C2" w:rsidR="005B2B65" w:rsidRPr="00F65403" w:rsidRDefault="00872A4A"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Year ended 30 June 2025</w:t>
            </w:r>
          </w:p>
        </w:tc>
        <w:tc>
          <w:tcPr>
            <w:tcW w:w="737" w:type="pct"/>
            <w:tcBorders>
              <w:top w:val="nil"/>
              <w:left w:val="nil"/>
              <w:bottom w:val="nil"/>
              <w:right w:val="nil"/>
            </w:tcBorders>
            <w:noWrap/>
            <w:vAlign w:val="bottom"/>
            <w:hideMark/>
          </w:tcPr>
          <w:p w14:paraId="72A7845D" w14:textId="082A8E2E" w:rsidR="005B2B65" w:rsidRPr="00F65403" w:rsidRDefault="00872A4A"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r>
      <w:tr w:rsidR="005B2B65" w:rsidRPr="0073009A" w14:paraId="68594667" w14:textId="77777777" w:rsidTr="413EB596">
        <w:tc>
          <w:tcPr>
            <w:tcW w:w="3525" w:type="pct"/>
            <w:tcBorders>
              <w:top w:val="nil"/>
              <w:left w:val="nil"/>
              <w:bottom w:val="nil"/>
              <w:right w:val="nil"/>
            </w:tcBorders>
            <w:noWrap/>
            <w:vAlign w:val="bottom"/>
            <w:hideMark/>
          </w:tcPr>
          <w:p w14:paraId="218731A0" w14:textId="77777777" w:rsidR="005B2B65" w:rsidRPr="00F65403" w:rsidRDefault="005B2B65" w:rsidP="005B2B65">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Directors</w:t>
            </w:r>
          </w:p>
        </w:tc>
        <w:tc>
          <w:tcPr>
            <w:tcW w:w="738" w:type="pct"/>
            <w:tcBorders>
              <w:top w:val="nil"/>
              <w:left w:val="nil"/>
              <w:bottom w:val="nil"/>
              <w:right w:val="nil"/>
            </w:tcBorders>
            <w:noWrap/>
            <w:vAlign w:val="bottom"/>
            <w:hideMark/>
          </w:tcPr>
          <w:p w14:paraId="5A878683" w14:textId="77777777" w:rsidR="005B2B65" w:rsidRPr="00F65403" w:rsidRDefault="005B2B65" w:rsidP="00B02D47">
            <w:pPr>
              <w:spacing w:after="0" w:line="240" w:lineRule="auto"/>
              <w:jc w:val="center"/>
              <w:rPr>
                <w:rFonts w:eastAsia="Times New Roman" w:cs="Arial"/>
                <w:b/>
                <w:color w:val="000000"/>
                <w:sz w:val="20"/>
                <w:szCs w:val="20"/>
                <w:lang w:eastAsia="en-AU"/>
              </w:rPr>
            </w:pPr>
          </w:p>
        </w:tc>
        <w:tc>
          <w:tcPr>
            <w:tcW w:w="737" w:type="pct"/>
            <w:tcBorders>
              <w:top w:val="nil"/>
              <w:left w:val="nil"/>
              <w:bottom w:val="nil"/>
              <w:right w:val="nil"/>
            </w:tcBorders>
            <w:noWrap/>
            <w:vAlign w:val="bottom"/>
            <w:hideMark/>
          </w:tcPr>
          <w:p w14:paraId="1C40430F" w14:textId="77777777" w:rsidR="005B2B65" w:rsidRPr="00F65403" w:rsidRDefault="005B2B65" w:rsidP="00B02D47">
            <w:pPr>
              <w:spacing w:after="0" w:line="240" w:lineRule="auto"/>
              <w:jc w:val="center"/>
              <w:rPr>
                <w:rFonts w:eastAsia="Times New Roman" w:cs="Arial"/>
                <w:sz w:val="20"/>
                <w:szCs w:val="20"/>
                <w:lang w:eastAsia="en-AU"/>
              </w:rPr>
            </w:pPr>
          </w:p>
        </w:tc>
      </w:tr>
      <w:tr w:rsidR="005B2B65" w:rsidRPr="0073009A" w14:paraId="729079D7" w14:textId="77777777" w:rsidTr="413EB596">
        <w:tc>
          <w:tcPr>
            <w:tcW w:w="3525" w:type="pct"/>
            <w:tcBorders>
              <w:top w:val="nil"/>
              <w:left w:val="nil"/>
              <w:bottom w:val="nil"/>
              <w:right w:val="nil"/>
            </w:tcBorders>
            <w:noWrap/>
            <w:vAlign w:val="bottom"/>
            <w:hideMark/>
          </w:tcPr>
          <w:p w14:paraId="43EEC0D9"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$10,000-19,999 </w:t>
            </w:r>
          </w:p>
        </w:tc>
        <w:tc>
          <w:tcPr>
            <w:tcW w:w="738" w:type="pct"/>
            <w:tcBorders>
              <w:top w:val="nil"/>
              <w:left w:val="nil"/>
              <w:bottom w:val="nil"/>
              <w:right w:val="nil"/>
            </w:tcBorders>
            <w:noWrap/>
            <w:vAlign w:val="bottom"/>
            <w:hideMark/>
          </w:tcPr>
          <w:p w14:paraId="39692018" w14:textId="4423538E"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7" w:type="pct"/>
            <w:tcBorders>
              <w:top w:val="nil"/>
              <w:left w:val="nil"/>
              <w:bottom w:val="nil"/>
              <w:right w:val="nil"/>
            </w:tcBorders>
            <w:noWrap/>
            <w:vAlign w:val="bottom"/>
            <w:hideMark/>
          </w:tcPr>
          <w:p w14:paraId="11011BB4" w14:textId="44607F2F"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4</w:t>
            </w:r>
          </w:p>
        </w:tc>
      </w:tr>
      <w:tr w:rsidR="005B2B65" w:rsidRPr="0073009A" w14:paraId="402F73DE" w14:textId="77777777" w:rsidTr="413EB596">
        <w:tc>
          <w:tcPr>
            <w:tcW w:w="3525" w:type="pct"/>
            <w:tcBorders>
              <w:top w:val="nil"/>
              <w:left w:val="nil"/>
              <w:bottom w:val="nil"/>
              <w:right w:val="nil"/>
            </w:tcBorders>
            <w:noWrap/>
            <w:vAlign w:val="bottom"/>
            <w:hideMark/>
          </w:tcPr>
          <w:p w14:paraId="2B9F28D0"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$30,000-39,999 </w:t>
            </w:r>
          </w:p>
        </w:tc>
        <w:tc>
          <w:tcPr>
            <w:tcW w:w="738" w:type="pct"/>
            <w:tcBorders>
              <w:top w:val="nil"/>
              <w:left w:val="nil"/>
              <w:bottom w:val="nil"/>
              <w:right w:val="nil"/>
            </w:tcBorders>
            <w:noWrap/>
            <w:vAlign w:val="bottom"/>
            <w:hideMark/>
          </w:tcPr>
          <w:p w14:paraId="13ED8935" w14:textId="279096F0"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7" w:type="pct"/>
            <w:tcBorders>
              <w:top w:val="nil"/>
              <w:left w:val="nil"/>
              <w:bottom w:val="nil"/>
              <w:right w:val="nil"/>
            </w:tcBorders>
            <w:noWrap/>
            <w:vAlign w:val="bottom"/>
            <w:hideMark/>
          </w:tcPr>
          <w:p w14:paraId="1AB58156" w14:textId="63533DE4"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w:t>
            </w:r>
          </w:p>
        </w:tc>
      </w:tr>
      <w:tr w:rsidR="005B2B65" w:rsidRPr="0073009A" w14:paraId="3EE55E87" w14:textId="77777777" w:rsidTr="413EB596">
        <w:tc>
          <w:tcPr>
            <w:tcW w:w="3525" w:type="pct"/>
            <w:tcBorders>
              <w:top w:val="nil"/>
              <w:left w:val="nil"/>
              <w:bottom w:val="nil"/>
              <w:right w:val="nil"/>
            </w:tcBorders>
            <w:noWrap/>
            <w:vAlign w:val="bottom"/>
            <w:hideMark/>
          </w:tcPr>
          <w:p w14:paraId="777CEB41"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$60,000-69,999 </w:t>
            </w:r>
          </w:p>
        </w:tc>
        <w:tc>
          <w:tcPr>
            <w:tcW w:w="738" w:type="pct"/>
            <w:tcBorders>
              <w:top w:val="nil"/>
              <w:left w:val="nil"/>
              <w:bottom w:val="nil"/>
              <w:right w:val="nil"/>
            </w:tcBorders>
            <w:noWrap/>
            <w:vAlign w:val="bottom"/>
            <w:hideMark/>
          </w:tcPr>
          <w:p w14:paraId="0E5A1421" w14:textId="1269ED38"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2</w:t>
            </w:r>
          </w:p>
        </w:tc>
        <w:tc>
          <w:tcPr>
            <w:tcW w:w="737" w:type="pct"/>
            <w:tcBorders>
              <w:top w:val="nil"/>
              <w:left w:val="nil"/>
              <w:bottom w:val="nil"/>
              <w:right w:val="nil"/>
            </w:tcBorders>
            <w:noWrap/>
            <w:vAlign w:val="bottom"/>
            <w:hideMark/>
          </w:tcPr>
          <w:p w14:paraId="30C2DEAD" w14:textId="745EB9E6"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5B2B65" w:rsidRPr="0073009A" w14:paraId="519DE808" w14:textId="77777777" w:rsidTr="413EB596">
        <w:tc>
          <w:tcPr>
            <w:tcW w:w="3525" w:type="pct"/>
            <w:tcBorders>
              <w:top w:val="nil"/>
              <w:left w:val="nil"/>
              <w:bottom w:val="nil"/>
              <w:right w:val="nil"/>
            </w:tcBorders>
            <w:noWrap/>
            <w:vAlign w:val="bottom"/>
            <w:hideMark/>
          </w:tcPr>
          <w:p w14:paraId="0068260E"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$80,000-89,999 </w:t>
            </w:r>
          </w:p>
        </w:tc>
        <w:tc>
          <w:tcPr>
            <w:tcW w:w="738" w:type="pct"/>
            <w:tcBorders>
              <w:top w:val="nil"/>
              <w:left w:val="nil"/>
              <w:bottom w:val="nil"/>
              <w:right w:val="nil"/>
            </w:tcBorders>
            <w:noWrap/>
            <w:vAlign w:val="bottom"/>
            <w:hideMark/>
          </w:tcPr>
          <w:p w14:paraId="3688A5BA" w14:textId="01DBCF96"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3</w:t>
            </w:r>
          </w:p>
        </w:tc>
        <w:tc>
          <w:tcPr>
            <w:tcW w:w="737" w:type="pct"/>
            <w:tcBorders>
              <w:top w:val="nil"/>
              <w:left w:val="nil"/>
              <w:bottom w:val="nil"/>
              <w:right w:val="nil"/>
            </w:tcBorders>
            <w:noWrap/>
            <w:vAlign w:val="bottom"/>
          </w:tcPr>
          <w:p w14:paraId="334AA4B8" w14:textId="1831D3B4"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5B2B65" w:rsidRPr="0073009A" w14:paraId="25447E2C" w14:textId="77777777" w:rsidTr="413EB596">
        <w:tc>
          <w:tcPr>
            <w:tcW w:w="3525" w:type="pct"/>
            <w:tcBorders>
              <w:top w:val="nil"/>
              <w:left w:val="nil"/>
              <w:bottom w:val="nil"/>
              <w:right w:val="nil"/>
            </w:tcBorders>
            <w:noWrap/>
            <w:vAlign w:val="bottom"/>
            <w:hideMark/>
          </w:tcPr>
          <w:p w14:paraId="31DB55CC"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$90,000-99,999 </w:t>
            </w:r>
          </w:p>
        </w:tc>
        <w:tc>
          <w:tcPr>
            <w:tcW w:w="738" w:type="pct"/>
            <w:tcBorders>
              <w:top w:val="nil"/>
              <w:left w:val="nil"/>
              <w:bottom w:val="nil"/>
              <w:right w:val="nil"/>
            </w:tcBorders>
            <w:noWrap/>
            <w:vAlign w:val="bottom"/>
            <w:hideMark/>
          </w:tcPr>
          <w:p w14:paraId="4677333F" w14:textId="064C2215"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w:t>
            </w:r>
          </w:p>
        </w:tc>
        <w:tc>
          <w:tcPr>
            <w:tcW w:w="737" w:type="pct"/>
            <w:tcBorders>
              <w:top w:val="nil"/>
              <w:left w:val="nil"/>
              <w:bottom w:val="nil"/>
              <w:right w:val="nil"/>
            </w:tcBorders>
            <w:noWrap/>
            <w:vAlign w:val="bottom"/>
          </w:tcPr>
          <w:p w14:paraId="65F5E44E" w14:textId="755C1E2B"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5B2B65" w:rsidRPr="0073009A" w14:paraId="31708700" w14:textId="77777777" w:rsidTr="00AA3AC5">
        <w:tc>
          <w:tcPr>
            <w:tcW w:w="3525" w:type="pct"/>
            <w:tcBorders>
              <w:top w:val="nil"/>
              <w:left w:val="nil"/>
              <w:bottom w:val="nil"/>
              <w:right w:val="nil"/>
            </w:tcBorders>
            <w:noWrap/>
            <w:vAlign w:val="bottom"/>
            <w:hideMark/>
          </w:tcPr>
          <w:p w14:paraId="4FA91ECC" w14:textId="77777777" w:rsidR="005B2B65" w:rsidRPr="00F65403" w:rsidRDefault="005B2B65" w:rsidP="005B2B65">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$200,000-209,999 </w:t>
            </w:r>
          </w:p>
        </w:tc>
        <w:tc>
          <w:tcPr>
            <w:tcW w:w="738" w:type="pct"/>
            <w:tcBorders>
              <w:top w:val="nil"/>
              <w:left w:val="nil"/>
              <w:bottom w:val="single" w:sz="4" w:space="0" w:color="auto"/>
              <w:right w:val="nil"/>
            </w:tcBorders>
            <w:noWrap/>
            <w:vAlign w:val="bottom"/>
            <w:hideMark/>
          </w:tcPr>
          <w:p w14:paraId="260F5685" w14:textId="17137557" w:rsidR="005B2B65" w:rsidRPr="00F65403" w:rsidRDefault="005B2B65"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w:t>
            </w:r>
          </w:p>
        </w:tc>
        <w:tc>
          <w:tcPr>
            <w:tcW w:w="737" w:type="pct"/>
            <w:tcBorders>
              <w:top w:val="nil"/>
              <w:left w:val="nil"/>
              <w:bottom w:val="single" w:sz="4" w:space="0" w:color="auto"/>
              <w:right w:val="nil"/>
            </w:tcBorders>
            <w:noWrap/>
            <w:vAlign w:val="bottom"/>
          </w:tcPr>
          <w:p w14:paraId="35770110" w14:textId="6E05C491" w:rsidR="005B2B65" w:rsidRPr="00F65403" w:rsidRDefault="008B01DD" w:rsidP="00B02D47">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5B2B65" w:rsidRPr="0073009A" w14:paraId="61184279" w14:textId="77777777" w:rsidTr="00AA3AC5">
        <w:tc>
          <w:tcPr>
            <w:tcW w:w="3525" w:type="pct"/>
            <w:tcBorders>
              <w:top w:val="nil"/>
              <w:left w:val="nil"/>
              <w:bottom w:val="nil"/>
              <w:right w:val="nil"/>
            </w:tcBorders>
            <w:noWrap/>
            <w:vAlign w:val="bottom"/>
            <w:hideMark/>
          </w:tcPr>
          <w:p w14:paraId="44F7C9B7" w14:textId="77777777" w:rsidR="005B2B65" w:rsidRPr="00F65403" w:rsidRDefault="005B2B65" w:rsidP="005B2B65">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directors</w:t>
            </w:r>
          </w:p>
        </w:tc>
        <w:tc>
          <w:tcPr>
            <w:tcW w:w="738" w:type="pct"/>
            <w:tcBorders>
              <w:top w:val="single" w:sz="4" w:space="0" w:color="auto"/>
              <w:left w:val="nil"/>
              <w:right w:val="nil"/>
            </w:tcBorders>
            <w:noWrap/>
            <w:vAlign w:val="bottom"/>
            <w:hideMark/>
          </w:tcPr>
          <w:p w14:paraId="71024C97" w14:textId="61E8B5A7" w:rsidR="005B2B65" w:rsidRPr="00F65403" w:rsidRDefault="005B2B65"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7</w:t>
            </w:r>
          </w:p>
        </w:tc>
        <w:tc>
          <w:tcPr>
            <w:tcW w:w="737" w:type="pct"/>
            <w:tcBorders>
              <w:top w:val="single" w:sz="4" w:space="0" w:color="auto"/>
              <w:left w:val="nil"/>
              <w:right w:val="nil"/>
            </w:tcBorders>
            <w:noWrap/>
            <w:vAlign w:val="bottom"/>
            <w:hideMark/>
          </w:tcPr>
          <w:p w14:paraId="00413844" w14:textId="172FB995" w:rsidR="005B2B65" w:rsidRPr="00F65403" w:rsidRDefault="008B01DD"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w:t>
            </w:r>
          </w:p>
        </w:tc>
      </w:tr>
      <w:tr w:rsidR="005B2B65" w:rsidRPr="0073009A" w14:paraId="0C200C4E" w14:textId="77777777" w:rsidTr="00AA3AC5">
        <w:trPr>
          <w:trHeight w:val="227"/>
        </w:trPr>
        <w:tc>
          <w:tcPr>
            <w:tcW w:w="3525" w:type="pct"/>
            <w:tcBorders>
              <w:top w:val="nil"/>
              <w:left w:val="nil"/>
              <w:bottom w:val="nil"/>
              <w:right w:val="nil"/>
            </w:tcBorders>
            <w:noWrap/>
            <w:vAlign w:val="bottom"/>
            <w:hideMark/>
          </w:tcPr>
          <w:p w14:paraId="4B54D86C" w14:textId="77777777" w:rsidR="005B2B65" w:rsidRPr="00F65403" w:rsidRDefault="005B2B65" w:rsidP="005B2B65">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remuneration ($000's)</w:t>
            </w:r>
          </w:p>
        </w:tc>
        <w:tc>
          <w:tcPr>
            <w:tcW w:w="738" w:type="pct"/>
            <w:tcBorders>
              <w:top w:val="single" w:sz="4" w:space="0" w:color="auto"/>
              <w:left w:val="nil"/>
              <w:bottom w:val="single" w:sz="4" w:space="0" w:color="auto"/>
              <w:right w:val="nil"/>
            </w:tcBorders>
            <w:noWrap/>
            <w:vAlign w:val="bottom"/>
            <w:hideMark/>
          </w:tcPr>
          <w:p w14:paraId="10FF96A8" w14:textId="77777777" w:rsidR="005B2B65" w:rsidRPr="00F65403" w:rsidRDefault="005B2B65"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680</w:t>
            </w:r>
          </w:p>
        </w:tc>
        <w:tc>
          <w:tcPr>
            <w:tcW w:w="737" w:type="pct"/>
            <w:tcBorders>
              <w:top w:val="single" w:sz="4" w:space="0" w:color="auto"/>
              <w:left w:val="nil"/>
              <w:bottom w:val="single" w:sz="4" w:space="0" w:color="auto"/>
              <w:right w:val="nil"/>
            </w:tcBorders>
            <w:noWrap/>
            <w:vAlign w:val="bottom"/>
            <w:hideMark/>
          </w:tcPr>
          <w:p w14:paraId="38436254" w14:textId="77777777" w:rsidR="005B2B65" w:rsidRPr="00F65403" w:rsidRDefault="005B2B65" w:rsidP="00B02D47">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91</w:t>
            </w:r>
          </w:p>
        </w:tc>
      </w:tr>
    </w:tbl>
    <w:p w14:paraId="1D83DE23" w14:textId="77777777" w:rsidR="003E264D" w:rsidRPr="00F65403" w:rsidRDefault="003E264D" w:rsidP="0073009A">
      <w:pPr>
        <w:pStyle w:val="BodyText"/>
        <w:rPr>
          <w:lang w:val="en-AU"/>
        </w:rPr>
      </w:pPr>
    </w:p>
    <w:p w14:paraId="188F6492" w14:textId="77777777" w:rsidR="005E5528" w:rsidRDefault="005E5528">
      <w:pPr>
        <w:rPr>
          <w:rFonts w:eastAsiaTheme="majorEastAsia" w:cstheme="majorBidi"/>
          <w:b/>
          <w:i/>
          <w:iCs/>
          <w:color w:val="272727" w:themeColor="text1" w:themeTint="D8"/>
          <w:sz w:val="20"/>
        </w:rPr>
      </w:pPr>
      <w:r>
        <w:br w:type="page"/>
      </w:r>
    </w:p>
    <w:p w14:paraId="474F8067" w14:textId="622D4A97" w:rsidR="00562918" w:rsidRPr="00F65403" w:rsidRDefault="00024597" w:rsidP="00176D78">
      <w:pPr>
        <w:pStyle w:val="Heading8"/>
      </w:pPr>
      <w:r>
        <w:t>ii.</w:t>
      </w:r>
      <w:r>
        <w:tab/>
      </w:r>
      <w:r w:rsidR="005B2B65">
        <w:t>Remuneration of Accountable Officer</w:t>
      </w:r>
    </w:p>
    <w:p w14:paraId="261E5309" w14:textId="2E0EFB50" w:rsidR="00616A9D" w:rsidRPr="00F65403" w:rsidRDefault="00100EFC" w:rsidP="00466AC6">
      <w:pPr>
        <w:pStyle w:val="BodyText"/>
        <w:rPr>
          <w:lang w:val="en-AU"/>
        </w:rPr>
      </w:pPr>
      <w:r w:rsidRPr="76FD273D">
        <w:rPr>
          <w:lang w:val="en-AU"/>
        </w:rPr>
        <w:t>The</w:t>
      </w:r>
      <w:r w:rsidR="00616A9D" w:rsidRPr="76FD273D">
        <w:rPr>
          <w:lang w:val="en-AU"/>
        </w:rPr>
        <w:t xml:space="preserve"> Accountable Officer</w:t>
      </w:r>
      <w:r w:rsidRPr="76FD273D">
        <w:rPr>
          <w:lang w:val="en-AU"/>
        </w:rPr>
        <w:t xml:space="preserve"> </w:t>
      </w:r>
      <w:r w:rsidR="009101C1" w:rsidRPr="76FD273D">
        <w:rPr>
          <w:lang w:val="en-AU"/>
        </w:rPr>
        <w:t xml:space="preserve">(CEO) </w:t>
      </w:r>
      <w:r w:rsidRPr="76FD273D">
        <w:rPr>
          <w:lang w:val="en-AU"/>
        </w:rPr>
        <w:t>was formally appointed by the Board on 12 August 202</w:t>
      </w:r>
      <w:r w:rsidR="00697C4C" w:rsidRPr="76FD273D">
        <w:rPr>
          <w:lang w:val="en-AU"/>
        </w:rPr>
        <w:t xml:space="preserve">4. </w:t>
      </w:r>
      <w:r w:rsidR="00585870" w:rsidRPr="76FD273D">
        <w:rPr>
          <w:lang w:val="en-AU"/>
        </w:rPr>
        <w:t>Prior to this date</w:t>
      </w:r>
      <w:r w:rsidR="00697C4C" w:rsidRPr="76FD273D">
        <w:rPr>
          <w:lang w:val="en-AU"/>
        </w:rPr>
        <w:t>,</w:t>
      </w:r>
      <w:r w:rsidR="00616A9D" w:rsidRPr="76FD273D">
        <w:rPr>
          <w:lang w:val="en-AU"/>
        </w:rPr>
        <w:t xml:space="preserve"> remuneration was paid for by the Department of Energy, Environment and Climate Action (DEECA), as an interim Accountable Officer and as such the </w:t>
      </w:r>
      <w:r w:rsidR="0073422A" w:rsidRPr="76FD273D">
        <w:rPr>
          <w:lang w:val="en-AU"/>
        </w:rPr>
        <w:t xml:space="preserve">remuneration </w:t>
      </w:r>
      <w:r w:rsidR="00616A9D" w:rsidRPr="76FD273D">
        <w:rPr>
          <w:lang w:val="en-AU"/>
        </w:rPr>
        <w:t>costs</w:t>
      </w:r>
      <w:r w:rsidR="009101C1" w:rsidRPr="76FD273D">
        <w:rPr>
          <w:lang w:val="en-AU"/>
        </w:rPr>
        <w:t xml:space="preserve"> </w:t>
      </w:r>
      <w:r w:rsidR="0073422A" w:rsidRPr="76FD273D">
        <w:rPr>
          <w:lang w:val="en-AU"/>
        </w:rPr>
        <w:t xml:space="preserve">incurred </w:t>
      </w:r>
      <w:r w:rsidR="009101C1" w:rsidRPr="76FD273D">
        <w:rPr>
          <w:lang w:val="en-AU"/>
        </w:rPr>
        <w:t>up to this date</w:t>
      </w:r>
      <w:r w:rsidR="00616A9D" w:rsidRPr="76FD273D">
        <w:rPr>
          <w:lang w:val="en-AU"/>
        </w:rPr>
        <w:t xml:space="preserve"> are reflected in DEECA’s annual report.</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252F4F" w:rsidRPr="0073009A" w14:paraId="77711BBE" w14:textId="77777777" w:rsidTr="413EB596">
        <w:tc>
          <w:tcPr>
            <w:tcW w:w="3525" w:type="pct"/>
            <w:tcBorders>
              <w:top w:val="nil"/>
              <w:left w:val="nil"/>
              <w:bottom w:val="nil"/>
              <w:right w:val="nil"/>
            </w:tcBorders>
            <w:noWrap/>
            <w:vAlign w:val="bottom"/>
            <w:hideMark/>
          </w:tcPr>
          <w:p w14:paraId="0AA4420A" w14:textId="77777777" w:rsidR="00252F4F" w:rsidRPr="00F65403" w:rsidRDefault="00252F4F">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5A862397" w14:textId="7E9EFDEB" w:rsidR="00252F4F" w:rsidRPr="00F65403" w:rsidRDefault="00343551" w:rsidP="008B01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Year ended 30 June 2025</w:t>
            </w:r>
          </w:p>
        </w:tc>
        <w:tc>
          <w:tcPr>
            <w:tcW w:w="737" w:type="pct"/>
            <w:tcBorders>
              <w:top w:val="nil"/>
              <w:left w:val="nil"/>
              <w:bottom w:val="nil"/>
              <w:right w:val="nil"/>
            </w:tcBorders>
            <w:noWrap/>
            <w:vAlign w:val="bottom"/>
            <w:hideMark/>
          </w:tcPr>
          <w:p w14:paraId="67104D44" w14:textId="2FC257EE" w:rsidR="00252F4F" w:rsidRPr="00F65403" w:rsidRDefault="00343551" w:rsidP="008B01D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25 October 2023 to 30 June 2024</w:t>
            </w:r>
          </w:p>
        </w:tc>
      </w:tr>
      <w:tr w:rsidR="00252F4F" w:rsidRPr="0073009A" w14:paraId="261B4642" w14:textId="77777777" w:rsidTr="00E326C0">
        <w:trPr>
          <w:trHeight w:val="300"/>
        </w:trPr>
        <w:tc>
          <w:tcPr>
            <w:tcW w:w="3525" w:type="pct"/>
            <w:tcBorders>
              <w:top w:val="nil"/>
              <w:left w:val="nil"/>
              <w:bottom w:val="nil"/>
              <w:right w:val="nil"/>
            </w:tcBorders>
            <w:noWrap/>
            <w:vAlign w:val="bottom"/>
            <w:hideMark/>
          </w:tcPr>
          <w:p w14:paraId="49423365" w14:textId="004E26AB" w:rsidR="00252F4F" w:rsidRPr="00F65403" w:rsidRDefault="00252F4F">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Accountable Officer</w:t>
            </w:r>
          </w:p>
        </w:tc>
        <w:tc>
          <w:tcPr>
            <w:tcW w:w="738" w:type="pct"/>
            <w:tcBorders>
              <w:top w:val="nil"/>
              <w:left w:val="nil"/>
              <w:right w:val="nil"/>
            </w:tcBorders>
            <w:noWrap/>
            <w:vAlign w:val="bottom"/>
            <w:hideMark/>
          </w:tcPr>
          <w:p w14:paraId="0BBA8EC6" w14:textId="77777777" w:rsidR="00252F4F" w:rsidRPr="00F65403" w:rsidRDefault="00252F4F" w:rsidP="008B01DD">
            <w:pPr>
              <w:spacing w:after="0" w:line="240" w:lineRule="auto"/>
              <w:jc w:val="center"/>
              <w:rPr>
                <w:rFonts w:eastAsia="Times New Roman" w:cs="Arial"/>
                <w:b/>
                <w:color w:val="000000"/>
                <w:sz w:val="20"/>
                <w:szCs w:val="20"/>
                <w:lang w:eastAsia="en-AU"/>
              </w:rPr>
            </w:pPr>
          </w:p>
        </w:tc>
        <w:tc>
          <w:tcPr>
            <w:tcW w:w="737" w:type="pct"/>
            <w:tcBorders>
              <w:top w:val="nil"/>
              <w:left w:val="nil"/>
              <w:right w:val="nil"/>
            </w:tcBorders>
            <w:noWrap/>
            <w:vAlign w:val="bottom"/>
            <w:hideMark/>
          </w:tcPr>
          <w:p w14:paraId="0F03F6AF" w14:textId="77777777" w:rsidR="00252F4F" w:rsidRPr="00F65403" w:rsidRDefault="00252F4F" w:rsidP="008B01DD">
            <w:pPr>
              <w:spacing w:after="0" w:line="240" w:lineRule="auto"/>
              <w:jc w:val="center"/>
              <w:rPr>
                <w:rFonts w:eastAsia="Times New Roman" w:cs="Arial"/>
                <w:sz w:val="20"/>
                <w:szCs w:val="20"/>
                <w:lang w:eastAsia="en-AU"/>
              </w:rPr>
            </w:pPr>
          </w:p>
        </w:tc>
      </w:tr>
      <w:tr w:rsidR="00252F4F" w:rsidRPr="0073009A" w14:paraId="2FBBD791" w14:textId="77777777" w:rsidTr="00E326C0">
        <w:trPr>
          <w:trHeight w:val="300"/>
        </w:trPr>
        <w:tc>
          <w:tcPr>
            <w:tcW w:w="3525" w:type="pct"/>
            <w:tcBorders>
              <w:top w:val="nil"/>
              <w:left w:val="nil"/>
              <w:bottom w:val="nil"/>
              <w:right w:val="nil"/>
            </w:tcBorders>
            <w:noWrap/>
            <w:vAlign w:val="bottom"/>
            <w:hideMark/>
          </w:tcPr>
          <w:p w14:paraId="7F630BAB" w14:textId="27F084DB" w:rsidR="00252F4F" w:rsidRPr="00F65403" w:rsidRDefault="00252F4F">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100EC0" w:rsidRPr="413EB596">
              <w:rPr>
                <w:rFonts w:eastAsia="Times New Roman" w:cs="Arial"/>
                <w:color w:val="000000" w:themeColor="text1"/>
                <w:sz w:val="20"/>
                <w:szCs w:val="20"/>
                <w:lang w:eastAsia="en-AU"/>
              </w:rPr>
              <w:t>64</w:t>
            </w:r>
            <w:r w:rsidRPr="413EB596">
              <w:rPr>
                <w:rFonts w:eastAsia="Times New Roman" w:cs="Arial"/>
                <w:color w:val="000000" w:themeColor="text1"/>
                <w:sz w:val="20"/>
                <w:szCs w:val="20"/>
                <w:lang w:eastAsia="en-AU"/>
              </w:rPr>
              <w:t xml:space="preserve">0,000 - </w:t>
            </w:r>
            <w:r w:rsidR="00100EC0" w:rsidRPr="413EB596">
              <w:rPr>
                <w:rFonts w:eastAsia="Times New Roman" w:cs="Arial"/>
                <w:color w:val="000000" w:themeColor="text1"/>
                <w:sz w:val="20"/>
                <w:szCs w:val="20"/>
                <w:lang w:eastAsia="en-AU"/>
              </w:rPr>
              <w:t>649</w:t>
            </w:r>
            <w:r w:rsidRPr="413EB596">
              <w:rPr>
                <w:rFonts w:eastAsia="Times New Roman" w:cs="Arial"/>
                <w:color w:val="000000" w:themeColor="text1"/>
                <w:sz w:val="20"/>
                <w:szCs w:val="20"/>
                <w:lang w:eastAsia="en-AU"/>
              </w:rPr>
              <w:t>,999</w:t>
            </w:r>
          </w:p>
        </w:tc>
        <w:tc>
          <w:tcPr>
            <w:tcW w:w="738" w:type="pct"/>
            <w:tcBorders>
              <w:top w:val="nil"/>
              <w:left w:val="nil"/>
              <w:bottom w:val="single" w:sz="4" w:space="0" w:color="auto"/>
              <w:right w:val="nil"/>
            </w:tcBorders>
            <w:noWrap/>
            <w:vAlign w:val="bottom"/>
            <w:hideMark/>
          </w:tcPr>
          <w:p w14:paraId="15C39A15" w14:textId="0850AC2F" w:rsidR="00252F4F" w:rsidRPr="00F65403" w:rsidRDefault="00252F4F" w:rsidP="008B01DD">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w:t>
            </w:r>
          </w:p>
        </w:tc>
        <w:tc>
          <w:tcPr>
            <w:tcW w:w="737" w:type="pct"/>
            <w:tcBorders>
              <w:top w:val="nil"/>
              <w:left w:val="nil"/>
              <w:bottom w:val="single" w:sz="4" w:space="0" w:color="auto"/>
              <w:right w:val="nil"/>
            </w:tcBorders>
            <w:noWrap/>
            <w:vAlign w:val="bottom"/>
            <w:hideMark/>
          </w:tcPr>
          <w:p w14:paraId="0BFACDF5" w14:textId="4AB81AAD" w:rsidR="00252F4F" w:rsidRPr="00F65403" w:rsidRDefault="00252F4F" w:rsidP="008B01DD">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bl>
    <w:p w14:paraId="55FD72D8" w14:textId="7F9A58DE" w:rsidR="00027D53" w:rsidRPr="00100EC0" w:rsidRDefault="00027D53" w:rsidP="00027D53">
      <w:pPr>
        <w:pStyle w:val="BodyText"/>
        <w:rPr>
          <w:lang w:val="en-AU"/>
        </w:rPr>
      </w:pPr>
    </w:p>
    <w:p w14:paraId="4A65FFE6" w14:textId="6F33A4BF" w:rsidR="00176D78" w:rsidRPr="00F65403" w:rsidRDefault="00024597" w:rsidP="00176D78">
      <w:pPr>
        <w:pStyle w:val="Heading8"/>
      </w:pPr>
      <w:r>
        <w:t>iii.</w:t>
      </w:r>
      <w:r>
        <w:tab/>
      </w:r>
      <w:r w:rsidR="009B089E">
        <w:t>Remuneration of responsible Minister</w:t>
      </w:r>
    </w:p>
    <w:p w14:paraId="33436628" w14:textId="747512FA" w:rsidR="009B089E" w:rsidRPr="00F65403" w:rsidRDefault="008F1EED" w:rsidP="00027D53">
      <w:pPr>
        <w:pStyle w:val="BodyText"/>
        <w:rPr>
          <w:lang w:val="en-AU"/>
        </w:rPr>
      </w:pPr>
      <w:r w:rsidRPr="00F65403">
        <w:rPr>
          <w:lang w:val="en-AU"/>
        </w:rPr>
        <w:t xml:space="preserve">The Responsible Minister did not receive any remuneration from the Company. The Ministers’ remuneration and allowances are set in accordance with the </w:t>
      </w:r>
      <w:r w:rsidRPr="00096EF7">
        <w:rPr>
          <w:i/>
          <w:lang w:val="en-AU"/>
        </w:rPr>
        <w:t>Parliamentary Salaries and Superannuation Act 1968</w:t>
      </w:r>
      <w:r w:rsidRPr="00F65403">
        <w:rPr>
          <w:lang w:val="en-AU"/>
        </w:rPr>
        <w:t xml:space="preserve"> and reported in the State’s Annual Financial Report.</w:t>
      </w:r>
    </w:p>
    <w:p w14:paraId="724525E8" w14:textId="3A2F99A1" w:rsidR="00027D53" w:rsidRPr="00F65403" w:rsidRDefault="00027D53" w:rsidP="00466AC6">
      <w:pPr>
        <w:pStyle w:val="BodyText"/>
        <w:rPr>
          <w:lang w:val="en-AU"/>
        </w:rPr>
      </w:pPr>
    </w:p>
    <w:p w14:paraId="507126E8" w14:textId="484E26D6" w:rsidR="008F1EED" w:rsidRPr="00F65403" w:rsidRDefault="00E02026" w:rsidP="00176D78">
      <w:pPr>
        <w:pStyle w:val="Heading7"/>
      </w:pPr>
      <w:r w:rsidRPr="00F65403">
        <w:t>Related parties</w:t>
      </w:r>
    </w:p>
    <w:p w14:paraId="3A669C89" w14:textId="32EC1EBB" w:rsidR="00E02026" w:rsidRDefault="00E02026" w:rsidP="00027D53">
      <w:pPr>
        <w:pStyle w:val="BodyText"/>
        <w:rPr>
          <w:lang w:val="en-AU"/>
        </w:rPr>
      </w:pPr>
      <w:r w:rsidRPr="00F65403">
        <w:rPr>
          <w:lang w:val="en-AU"/>
        </w:rPr>
        <w:t xml:space="preserve">The related parties of the Company include: </w:t>
      </w:r>
    </w:p>
    <w:p w14:paraId="1043D60B" w14:textId="77777777" w:rsidR="005E5528" w:rsidRPr="00F65403" w:rsidRDefault="005E5528" w:rsidP="00466AC6">
      <w:pPr>
        <w:pStyle w:val="BodyText"/>
        <w:rPr>
          <w:lang w:val="en-AU"/>
        </w:rPr>
      </w:pPr>
    </w:p>
    <w:p w14:paraId="0D8FFE67" w14:textId="4AA2BB64" w:rsidR="00E02026" w:rsidRPr="00F65403" w:rsidRDefault="00E02026" w:rsidP="00466AC6">
      <w:pPr>
        <w:pStyle w:val="ListBullet"/>
        <w:rPr>
          <w:lang w:val="en-AU"/>
        </w:rPr>
      </w:pPr>
      <w:r w:rsidRPr="00F65403">
        <w:rPr>
          <w:lang w:val="en-AU"/>
        </w:rPr>
        <w:t xml:space="preserve">all key management personnel and their close family members and personal business interests (controlled entities, joint ventures and entities they have significant influence over) </w:t>
      </w:r>
    </w:p>
    <w:p w14:paraId="681F6598" w14:textId="63D0752C" w:rsidR="00E02026" w:rsidRPr="00F65403" w:rsidRDefault="00E02026" w:rsidP="00466AC6">
      <w:pPr>
        <w:pStyle w:val="ListBullet"/>
        <w:rPr>
          <w:lang w:val="en-AU"/>
        </w:rPr>
      </w:pPr>
      <w:r w:rsidRPr="7BBF736E">
        <w:rPr>
          <w:lang w:val="en-AU"/>
        </w:rPr>
        <w:t>all cabinet ministers and their close family members</w:t>
      </w:r>
    </w:p>
    <w:p w14:paraId="1789708E" w14:textId="0DBE41E9" w:rsidR="00E02026" w:rsidRPr="00F65403" w:rsidRDefault="00E02026" w:rsidP="00466AC6">
      <w:pPr>
        <w:pStyle w:val="ListBullet"/>
        <w:rPr>
          <w:lang w:val="en-AU"/>
        </w:rPr>
      </w:pPr>
      <w:r w:rsidRPr="00F65403">
        <w:rPr>
          <w:lang w:val="en-AU"/>
        </w:rPr>
        <w:t xml:space="preserve">all departments and public sector entities that are controlled and consolidated into the whole of state consolidated financial statements. </w:t>
      </w:r>
    </w:p>
    <w:p w14:paraId="792F1696" w14:textId="77777777" w:rsidR="00027D53" w:rsidRPr="00F65403" w:rsidRDefault="00027D53" w:rsidP="00027D53">
      <w:pPr>
        <w:pStyle w:val="BodyText"/>
        <w:rPr>
          <w:lang w:val="en-AU"/>
        </w:rPr>
      </w:pPr>
    </w:p>
    <w:p w14:paraId="694082A3" w14:textId="43103368" w:rsidR="00314FAF" w:rsidRDefault="00B556C1" w:rsidP="00AA3AC5">
      <w:pPr>
        <w:pStyle w:val="BodyText"/>
        <w:rPr>
          <w:rFonts w:eastAsiaTheme="majorEastAsia" w:cstheme="majorBidi"/>
          <w:color w:val="272727" w:themeColor="text1" w:themeTint="D8"/>
        </w:rPr>
      </w:pPr>
      <w:r w:rsidRPr="00F65403">
        <w:rPr>
          <w:lang w:val="en-AU"/>
        </w:rPr>
        <w:t xml:space="preserve">For information pertaining to related party transactions of ministers, the register of members’ interests is publicly available from: </w:t>
      </w:r>
      <w:hyperlink r:id="rId14" w:history="1">
        <w:r w:rsidR="00BD2FFF" w:rsidRPr="00CC2A74">
          <w:rPr>
            <w:rStyle w:val="Hyperlink"/>
            <w:lang w:val="en-AU"/>
          </w:rPr>
          <w:t>https://www.parliament.vic.gov.au</w:t>
        </w:r>
      </w:hyperlink>
      <w:r w:rsidR="00BD2FFF">
        <w:rPr>
          <w:lang w:val="en-AU"/>
        </w:rPr>
        <w:t xml:space="preserve"> </w:t>
      </w:r>
      <w:r w:rsidR="00930894">
        <w:rPr>
          <w:lang w:val="en-AU"/>
        </w:rPr>
        <w:t>within</w:t>
      </w:r>
      <w:r w:rsidR="00BD2FFF">
        <w:rPr>
          <w:lang w:val="en-AU"/>
        </w:rPr>
        <w:t xml:space="preserve"> the Tabled documents database</w:t>
      </w:r>
      <w:r w:rsidRPr="00F65403">
        <w:rPr>
          <w:lang w:val="en-AU"/>
        </w:rPr>
        <w:t>.</w:t>
      </w:r>
      <w:r w:rsidR="0042613B">
        <w:rPr>
          <w:lang w:val="en-AU"/>
        </w:rPr>
        <w:br/>
      </w:r>
    </w:p>
    <w:p w14:paraId="6DE129B2" w14:textId="5FE5A770" w:rsidR="00DF7D31" w:rsidRDefault="00024597" w:rsidP="715E2D1C">
      <w:pPr>
        <w:pStyle w:val="Heading8"/>
        <w:spacing w:after="120"/>
      </w:pPr>
      <w:proofErr w:type="spellStart"/>
      <w:r>
        <w:t>i</w:t>
      </w:r>
      <w:proofErr w:type="spellEnd"/>
      <w:r>
        <w:t>.</w:t>
      </w:r>
      <w:r>
        <w:tab/>
      </w:r>
      <w:r w:rsidR="0C753E42">
        <w:t>K</w:t>
      </w:r>
      <w:r w:rsidR="691A70CE">
        <w:t xml:space="preserve">ey management personnel </w:t>
      </w:r>
      <w:r w:rsidR="0C753E42">
        <w:t>remuneration</w:t>
      </w:r>
    </w:p>
    <w:p w14:paraId="18AFA5AC" w14:textId="0BA6DDC4" w:rsidR="00F6535C" w:rsidRDefault="00DF7927" w:rsidP="00F6535C">
      <w:pPr>
        <w:pStyle w:val="BodyText"/>
      </w:pPr>
      <w:r>
        <w:t xml:space="preserve">Key management personnel are those persons having authority and responsibility for planning, directing and controlling the activities of the Group, directly or indirectly. </w:t>
      </w:r>
      <w:r w:rsidR="00206165">
        <w:t>From 1 July 2024, t</w:t>
      </w:r>
      <w:r w:rsidR="00F6535C">
        <w:t>he key management personnel of the Group include the responsible minister, members of the Company’s Board of Directors, and the operational Executive team comprising:</w:t>
      </w:r>
    </w:p>
    <w:p w14:paraId="2573674A" w14:textId="77777777" w:rsidR="00F6535C" w:rsidRDefault="00F6535C" w:rsidP="00F6535C">
      <w:pPr>
        <w:pStyle w:val="BodyText"/>
      </w:pPr>
      <w:r>
        <w:t>•</w:t>
      </w:r>
      <w:r>
        <w:tab/>
        <w:t xml:space="preserve">Chief Executive Officer </w:t>
      </w:r>
    </w:p>
    <w:p w14:paraId="574E5760" w14:textId="77777777" w:rsidR="00F6535C" w:rsidRDefault="00F6535C" w:rsidP="00F6535C">
      <w:pPr>
        <w:pStyle w:val="BodyText"/>
      </w:pPr>
      <w:r>
        <w:t>•</w:t>
      </w:r>
      <w:r>
        <w:tab/>
        <w:t xml:space="preserve">Chief Financial Officer </w:t>
      </w:r>
    </w:p>
    <w:p w14:paraId="737AE161" w14:textId="5F90F98A" w:rsidR="00F6535C" w:rsidRDefault="00F6535C" w:rsidP="00F6535C">
      <w:pPr>
        <w:pStyle w:val="BodyText"/>
      </w:pPr>
      <w:r>
        <w:t>•</w:t>
      </w:r>
      <w:r>
        <w:tab/>
        <w:t xml:space="preserve">Executive General Manager </w:t>
      </w:r>
      <w:r w:rsidR="00104757">
        <w:t>-</w:t>
      </w:r>
      <w:r>
        <w:t xml:space="preserve"> Energy Markets</w:t>
      </w:r>
    </w:p>
    <w:p w14:paraId="4C252878" w14:textId="57C21E64" w:rsidR="00F6535C" w:rsidRDefault="00F6535C" w:rsidP="00F6535C">
      <w:pPr>
        <w:pStyle w:val="BodyText"/>
      </w:pPr>
      <w:r>
        <w:t>•</w:t>
      </w:r>
      <w:r>
        <w:tab/>
        <w:t xml:space="preserve">Executive General Manager </w:t>
      </w:r>
      <w:r w:rsidR="00104757">
        <w:t>-</w:t>
      </w:r>
      <w:r>
        <w:t xml:space="preserve"> Assets</w:t>
      </w:r>
    </w:p>
    <w:p w14:paraId="488E6287" w14:textId="4D14B473" w:rsidR="00F6535C" w:rsidRDefault="00F6535C" w:rsidP="00F6535C">
      <w:pPr>
        <w:pStyle w:val="BodyText"/>
      </w:pPr>
      <w:r>
        <w:t>•</w:t>
      </w:r>
      <w:r>
        <w:tab/>
        <w:t xml:space="preserve">Executive General Manager </w:t>
      </w:r>
      <w:r w:rsidR="00104757">
        <w:t>-</w:t>
      </w:r>
      <w:r>
        <w:t xml:space="preserve"> </w:t>
      </w:r>
      <w:r w:rsidR="00242F1D">
        <w:t>Consumer Energy Solutions</w:t>
      </w:r>
    </w:p>
    <w:p w14:paraId="619970F6" w14:textId="109756CE" w:rsidR="00DF7D31" w:rsidRDefault="00DF7D31" w:rsidP="00DF7927">
      <w:pPr>
        <w:pStyle w:val="BodyText"/>
      </w:pPr>
    </w:p>
    <w:p w14:paraId="5CC61FE8" w14:textId="3B7CB298" w:rsidR="00206165" w:rsidRDefault="00206165" w:rsidP="00DF7927">
      <w:pPr>
        <w:pStyle w:val="BodyText"/>
      </w:pPr>
      <w:r>
        <w:t xml:space="preserve">For the prior period, the key management personnel of the Company included the responsible minister, members of the Company’s </w:t>
      </w:r>
      <w:r w:rsidR="00A20F49">
        <w:t>B</w:t>
      </w:r>
      <w:r>
        <w:t xml:space="preserve">oard of </w:t>
      </w:r>
      <w:r w:rsidR="00A20F49">
        <w:t>D</w:t>
      </w:r>
      <w:r>
        <w:t xml:space="preserve">irectors </w:t>
      </w:r>
      <w:r w:rsidR="00A20F49">
        <w:t>and the Chief Executive Officer.</w:t>
      </w:r>
    </w:p>
    <w:p w14:paraId="3065F6CB" w14:textId="77777777" w:rsidR="00E62C1F" w:rsidRDefault="00E62C1F" w:rsidP="00DF7927">
      <w:pPr>
        <w:pStyle w:val="BodyText"/>
      </w:pPr>
      <w:r>
        <w:br/>
      </w:r>
    </w:p>
    <w:p w14:paraId="354CF41B" w14:textId="77777777" w:rsidR="00E62C1F" w:rsidRDefault="00E62C1F">
      <w:pPr>
        <w:rPr>
          <w:rFonts w:eastAsia="Arial" w:cs="Arial"/>
          <w:sz w:val="20"/>
          <w:szCs w:val="20"/>
          <w:lang w:val="en-US"/>
        </w:rPr>
      </w:pPr>
      <w:r>
        <w:br w:type="page"/>
      </w:r>
    </w:p>
    <w:p w14:paraId="19305A72" w14:textId="52B999C5" w:rsidR="00B36F1A" w:rsidRDefault="00B36F1A" w:rsidP="00DF7927">
      <w:pPr>
        <w:pStyle w:val="BodyText"/>
      </w:pPr>
      <w:r>
        <w:t>The compensation detailed below excludes the salaries and benefits of the responsible minister</w:t>
      </w:r>
      <w:r w:rsidR="00096EF7">
        <w:t xml:space="preserve">. </w:t>
      </w:r>
    </w:p>
    <w:p w14:paraId="1A1876E8" w14:textId="77777777" w:rsidR="00745C23" w:rsidRDefault="00745C23" w:rsidP="00DF7927">
      <w:pPr>
        <w:pStyle w:val="BodyText"/>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242"/>
        <w:gridCol w:w="1392"/>
        <w:gridCol w:w="1392"/>
      </w:tblGrid>
      <w:tr w:rsidR="00DE2049" w:rsidRPr="00F65403" w14:paraId="659E679B" w14:textId="77777777" w:rsidTr="413EB596">
        <w:trPr>
          <w:tblHeader/>
        </w:trPr>
        <w:tc>
          <w:tcPr>
            <w:tcW w:w="3458" w:type="pct"/>
            <w:tcBorders>
              <w:top w:val="nil"/>
              <w:left w:val="nil"/>
              <w:bottom w:val="nil"/>
              <w:right w:val="nil"/>
            </w:tcBorders>
            <w:noWrap/>
            <w:vAlign w:val="bottom"/>
          </w:tcPr>
          <w:p w14:paraId="388CC31C" w14:textId="77777777" w:rsidR="00DE2049" w:rsidRPr="00F65403" w:rsidRDefault="00DE2049" w:rsidP="003C6418">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bottom"/>
          </w:tcPr>
          <w:p w14:paraId="0B25E99C" w14:textId="77777777" w:rsidR="00DE2049" w:rsidRPr="00F65403" w:rsidRDefault="00DE2049" w:rsidP="005B367E">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Year ended 30 June 2025</w:t>
            </w:r>
          </w:p>
        </w:tc>
        <w:tc>
          <w:tcPr>
            <w:tcW w:w="771" w:type="pct"/>
            <w:tcBorders>
              <w:top w:val="nil"/>
              <w:left w:val="nil"/>
              <w:bottom w:val="nil"/>
              <w:right w:val="nil"/>
            </w:tcBorders>
            <w:noWrap/>
            <w:vAlign w:val="bottom"/>
          </w:tcPr>
          <w:p w14:paraId="487FB061" w14:textId="77777777" w:rsidR="00DE2049" w:rsidRPr="00F65403" w:rsidRDefault="00DE2049" w:rsidP="005B367E">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25 October 2023 to 30 June 2024</w:t>
            </w:r>
          </w:p>
        </w:tc>
      </w:tr>
      <w:tr w:rsidR="00DE2049" w:rsidRPr="00F65403" w14:paraId="2EA9B122" w14:textId="77777777" w:rsidTr="413EB596">
        <w:trPr>
          <w:tblHeader/>
        </w:trPr>
        <w:tc>
          <w:tcPr>
            <w:tcW w:w="3458" w:type="pct"/>
            <w:tcBorders>
              <w:top w:val="nil"/>
              <w:left w:val="nil"/>
              <w:bottom w:val="nil"/>
              <w:right w:val="nil"/>
            </w:tcBorders>
            <w:noWrap/>
            <w:vAlign w:val="bottom"/>
            <w:hideMark/>
          </w:tcPr>
          <w:p w14:paraId="08F99482" w14:textId="77777777" w:rsidR="00DE2049" w:rsidRPr="00F65403" w:rsidRDefault="00DE2049" w:rsidP="003C6418">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hideMark/>
          </w:tcPr>
          <w:p w14:paraId="69C2E19E" w14:textId="0C1D782E" w:rsidR="00DE2049" w:rsidRPr="00F65403" w:rsidRDefault="00DE2049" w:rsidP="003C6418">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w:t>
            </w:r>
          </w:p>
        </w:tc>
        <w:tc>
          <w:tcPr>
            <w:tcW w:w="771" w:type="pct"/>
            <w:tcBorders>
              <w:top w:val="nil"/>
              <w:left w:val="nil"/>
              <w:bottom w:val="nil"/>
              <w:right w:val="nil"/>
            </w:tcBorders>
            <w:noWrap/>
            <w:vAlign w:val="center"/>
            <w:hideMark/>
          </w:tcPr>
          <w:p w14:paraId="7456528C" w14:textId="63225977" w:rsidR="00DE2049" w:rsidRPr="00F65403" w:rsidRDefault="00DE2049" w:rsidP="003C6418">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w:t>
            </w:r>
          </w:p>
        </w:tc>
      </w:tr>
      <w:tr w:rsidR="00CD26B7" w:rsidRPr="00F65403" w14:paraId="516428CF" w14:textId="77777777" w:rsidTr="413EB596">
        <w:trPr>
          <w:trHeight w:val="40"/>
        </w:trPr>
        <w:tc>
          <w:tcPr>
            <w:tcW w:w="3458" w:type="pct"/>
            <w:tcBorders>
              <w:top w:val="nil"/>
              <w:left w:val="nil"/>
              <w:bottom w:val="nil"/>
              <w:right w:val="nil"/>
            </w:tcBorders>
            <w:vAlign w:val="center"/>
            <w:hideMark/>
          </w:tcPr>
          <w:p w14:paraId="3EFD2AF6" w14:textId="2B8E7354" w:rsidR="00CD26B7" w:rsidRPr="00E41DAD" w:rsidRDefault="00CD26B7" w:rsidP="00CD26B7">
            <w:pPr>
              <w:spacing w:after="0" w:line="240" w:lineRule="auto"/>
              <w:rPr>
                <w:rFonts w:eastAsia="Times New Roman" w:cs="Arial"/>
                <w:iCs/>
                <w:color w:val="000000"/>
                <w:sz w:val="20"/>
                <w:szCs w:val="20"/>
                <w:lang w:eastAsia="en-AU"/>
              </w:rPr>
            </w:pPr>
            <w:r w:rsidRPr="00E41DAD">
              <w:rPr>
                <w:rFonts w:eastAsia="Times New Roman" w:cs="Arial"/>
                <w:iCs/>
                <w:color w:val="000000"/>
                <w:sz w:val="20"/>
                <w:szCs w:val="20"/>
                <w:lang w:eastAsia="en-AU"/>
              </w:rPr>
              <w:t>Short term employee benefits</w:t>
            </w:r>
          </w:p>
        </w:tc>
        <w:tc>
          <w:tcPr>
            <w:tcW w:w="771" w:type="pct"/>
            <w:tcBorders>
              <w:top w:val="nil"/>
              <w:left w:val="nil"/>
              <w:bottom w:val="nil"/>
              <w:right w:val="nil"/>
            </w:tcBorders>
            <w:vAlign w:val="bottom"/>
            <w:hideMark/>
          </w:tcPr>
          <w:p w14:paraId="1165EF65" w14:textId="0392A7EA" w:rsidR="00CD26B7" w:rsidRPr="0010235E" w:rsidRDefault="00CD26B7" w:rsidP="0010235E">
            <w:pPr>
              <w:tabs>
                <w:tab w:val="decimal" w:pos="1097"/>
              </w:tabs>
              <w:spacing w:after="0" w:line="240" w:lineRule="auto"/>
              <w:jc w:val="center"/>
              <w:rPr>
                <w:rFonts w:eastAsia="Times New Roman" w:cs="Arial"/>
                <w:color w:val="000000"/>
                <w:sz w:val="20"/>
                <w:szCs w:val="20"/>
                <w:lang w:eastAsia="en-AU"/>
              </w:rPr>
            </w:pPr>
            <w:r w:rsidRPr="413EB596">
              <w:rPr>
                <w:sz w:val="20"/>
                <w:szCs w:val="20"/>
              </w:rPr>
              <w:t>2,</w:t>
            </w:r>
            <w:r w:rsidR="00AE0C90">
              <w:rPr>
                <w:sz w:val="20"/>
                <w:szCs w:val="20"/>
              </w:rPr>
              <w:t>901,993</w:t>
            </w:r>
          </w:p>
        </w:tc>
        <w:tc>
          <w:tcPr>
            <w:tcW w:w="771" w:type="pct"/>
            <w:tcBorders>
              <w:top w:val="nil"/>
              <w:left w:val="nil"/>
              <w:bottom w:val="nil"/>
              <w:right w:val="nil"/>
            </w:tcBorders>
            <w:vAlign w:val="bottom"/>
            <w:hideMark/>
          </w:tcPr>
          <w:p w14:paraId="0E9DA8DF" w14:textId="335DFB83" w:rsidR="00CD26B7" w:rsidRPr="005F3BA8" w:rsidRDefault="00CD26B7" w:rsidP="0010235E">
            <w:pPr>
              <w:tabs>
                <w:tab w:val="decimal" w:pos="1097"/>
              </w:tabs>
              <w:spacing w:after="0" w:line="240" w:lineRule="auto"/>
              <w:jc w:val="center"/>
              <w:rPr>
                <w:rFonts w:eastAsia="Times New Roman" w:cs="Arial"/>
                <w:sz w:val="20"/>
                <w:szCs w:val="20"/>
                <w:lang w:eastAsia="en-AU"/>
              </w:rPr>
            </w:pPr>
            <w:r w:rsidRPr="49BCD735">
              <w:rPr>
                <w:sz w:val="20"/>
                <w:szCs w:val="20"/>
              </w:rPr>
              <w:t>81,965</w:t>
            </w:r>
          </w:p>
        </w:tc>
      </w:tr>
      <w:tr w:rsidR="00412E84" w:rsidRPr="00F65403" w14:paraId="4110ED2C" w14:textId="77777777" w:rsidTr="413EB596">
        <w:trPr>
          <w:trHeight w:val="201"/>
        </w:trPr>
        <w:tc>
          <w:tcPr>
            <w:tcW w:w="3458" w:type="pct"/>
            <w:tcBorders>
              <w:top w:val="nil"/>
              <w:left w:val="nil"/>
              <w:bottom w:val="nil"/>
              <w:right w:val="nil"/>
            </w:tcBorders>
            <w:vAlign w:val="center"/>
          </w:tcPr>
          <w:p w14:paraId="1D55A078" w14:textId="7CFB3252" w:rsidR="00412E84" w:rsidRPr="00E41DAD" w:rsidRDefault="00412E84" w:rsidP="00412E84">
            <w:pPr>
              <w:spacing w:after="0" w:line="240" w:lineRule="auto"/>
              <w:rPr>
                <w:rFonts w:eastAsia="Times New Roman" w:cs="Arial"/>
                <w:iCs/>
                <w:color w:val="000000"/>
                <w:sz w:val="20"/>
                <w:szCs w:val="20"/>
                <w:lang w:eastAsia="en-AU"/>
              </w:rPr>
            </w:pPr>
            <w:r w:rsidRPr="00E41DAD">
              <w:rPr>
                <w:rFonts w:eastAsia="Times New Roman" w:cs="Arial"/>
                <w:iCs/>
                <w:color w:val="000000"/>
                <w:sz w:val="20"/>
                <w:szCs w:val="20"/>
                <w:lang w:eastAsia="en-AU"/>
              </w:rPr>
              <w:t>Post employment benefits</w:t>
            </w:r>
          </w:p>
        </w:tc>
        <w:tc>
          <w:tcPr>
            <w:tcW w:w="771" w:type="pct"/>
            <w:tcBorders>
              <w:top w:val="nil"/>
              <w:left w:val="nil"/>
              <w:bottom w:val="nil"/>
              <w:right w:val="nil"/>
            </w:tcBorders>
            <w:vAlign w:val="bottom"/>
          </w:tcPr>
          <w:p w14:paraId="78F9E59F" w14:textId="1A21A723" w:rsidR="00412E84" w:rsidRPr="005F3BA8" w:rsidRDefault="00412E84" w:rsidP="0010235E">
            <w:pPr>
              <w:tabs>
                <w:tab w:val="decimal" w:pos="1097"/>
              </w:tabs>
              <w:spacing w:after="0" w:line="240" w:lineRule="auto"/>
              <w:jc w:val="center"/>
              <w:rPr>
                <w:rFonts w:eastAsia="Times New Roman" w:cs="Arial"/>
                <w:color w:val="000000"/>
                <w:sz w:val="20"/>
                <w:szCs w:val="20"/>
                <w:lang w:eastAsia="en-AU"/>
              </w:rPr>
            </w:pPr>
            <w:r w:rsidRPr="49BCD735">
              <w:rPr>
                <w:sz w:val="20"/>
                <w:szCs w:val="20"/>
              </w:rPr>
              <w:t>214,576</w:t>
            </w:r>
          </w:p>
        </w:tc>
        <w:tc>
          <w:tcPr>
            <w:tcW w:w="771" w:type="pct"/>
            <w:tcBorders>
              <w:top w:val="nil"/>
              <w:left w:val="nil"/>
              <w:bottom w:val="nil"/>
              <w:right w:val="nil"/>
            </w:tcBorders>
            <w:vAlign w:val="bottom"/>
          </w:tcPr>
          <w:p w14:paraId="25EAF049" w14:textId="1815B565" w:rsidR="00412E84" w:rsidRPr="005F3BA8" w:rsidRDefault="00412E84" w:rsidP="0010235E">
            <w:pPr>
              <w:tabs>
                <w:tab w:val="decimal" w:pos="1097"/>
              </w:tabs>
              <w:spacing w:after="0" w:line="240" w:lineRule="auto"/>
              <w:jc w:val="center"/>
              <w:rPr>
                <w:rFonts w:eastAsia="Times New Roman" w:cs="Arial"/>
                <w:color w:val="000000"/>
                <w:sz w:val="20"/>
                <w:szCs w:val="20"/>
                <w:lang w:eastAsia="en-AU"/>
              </w:rPr>
            </w:pPr>
            <w:r w:rsidRPr="49BCD735">
              <w:rPr>
                <w:sz w:val="20"/>
                <w:szCs w:val="20"/>
              </w:rPr>
              <w:t>9,016</w:t>
            </w:r>
          </w:p>
        </w:tc>
      </w:tr>
      <w:tr w:rsidR="00412E84" w:rsidRPr="00F65403" w14:paraId="7DC55CA9" w14:textId="77777777" w:rsidTr="413EB596">
        <w:trPr>
          <w:trHeight w:val="50"/>
        </w:trPr>
        <w:tc>
          <w:tcPr>
            <w:tcW w:w="3458" w:type="pct"/>
            <w:tcBorders>
              <w:top w:val="nil"/>
              <w:left w:val="nil"/>
              <w:bottom w:val="nil"/>
              <w:right w:val="nil"/>
            </w:tcBorders>
            <w:vAlign w:val="center"/>
          </w:tcPr>
          <w:p w14:paraId="110C8589" w14:textId="2D8FC8EC" w:rsidR="00412E84" w:rsidRPr="00E41DAD" w:rsidRDefault="00412E84" w:rsidP="00412E84">
            <w:pPr>
              <w:spacing w:after="0" w:line="240" w:lineRule="auto"/>
              <w:rPr>
                <w:rFonts w:eastAsia="Times New Roman" w:cs="Arial"/>
                <w:iCs/>
                <w:color w:val="000000"/>
                <w:sz w:val="20"/>
                <w:szCs w:val="20"/>
                <w:lang w:eastAsia="en-AU"/>
              </w:rPr>
            </w:pPr>
            <w:r w:rsidRPr="00E41DAD">
              <w:rPr>
                <w:rFonts w:eastAsia="Times New Roman" w:cs="Arial"/>
                <w:iCs/>
                <w:color w:val="000000"/>
                <w:sz w:val="20"/>
                <w:szCs w:val="20"/>
                <w:lang w:eastAsia="en-AU"/>
              </w:rPr>
              <w:t>Other long-term employee benefits</w:t>
            </w:r>
          </w:p>
        </w:tc>
        <w:tc>
          <w:tcPr>
            <w:tcW w:w="771" w:type="pct"/>
            <w:tcBorders>
              <w:top w:val="nil"/>
              <w:left w:val="nil"/>
              <w:bottom w:val="nil"/>
              <w:right w:val="nil"/>
            </w:tcBorders>
            <w:vAlign w:val="bottom"/>
          </w:tcPr>
          <w:p w14:paraId="286B93AB" w14:textId="2C407B79" w:rsidR="00412E84" w:rsidRPr="005F3BA8" w:rsidRDefault="00AE0C90" w:rsidP="413EB596">
            <w:pPr>
              <w:tabs>
                <w:tab w:val="decimal" w:pos="1097"/>
              </w:tabs>
              <w:spacing w:after="0" w:line="240" w:lineRule="auto"/>
              <w:jc w:val="center"/>
              <w:rPr>
                <w:sz w:val="20"/>
                <w:szCs w:val="20"/>
                <w:lang w:eastAsia="en-AU"/>
              </w:rPr>
            </w:pPr>
            <w:r>
              <w:rPr>
                <w:sz w:val="20"/>
                <w:szCs w:val="20"/>
              </w:rPr>
              <w:t>22,843</w:t>
            </w:r>
          </w:p>
        </w:tc>
        <w:tc>
          <w:tcPr>
            <w:tcW w:w="771" w:type="pct"/>
            <w:tcBorders>
              <w:top w:val="nil"/>
              <w:left w:val="nil"/>
              <w:bottom w:val="nil"/>
              <w:right w:val="nil"/>
            </w:tcBorders>
            <w:vAlign w:val="bottom"/>
          </w:tcPr>
          <w:p w14:paraId="420CBD42" w14:textId="1340C009" w:rsidR="00412E84" w:rsidRPr="005F3BA8" w:rsidRDefault="00412E84" w:rsidP="0010235E">
            <w:pPr>
              <w:tabs>
                <w:tab w:val="decimal" w:pos="1097"/>
              </w:tabs>
              <w:spacing w:after="0" w:line="240" w:lineRule="auto"/>
              <w:jc w:val="center"/>
              <w:rPr>
                <w:rFonts w:eastAsia="Times New Roman" w:cs="Arial"/>
                <w:color w:val="000000"/>
                <w:sz w:val="20"/>
                <w:szCs w:val="20"/>
                <w:lang w:eastAsia="en-AU"/>
              </w:rPr>
            </w:pPr>
            <w:r w:rsidRPr="49BCD735">
              <w:rPr>
                <w:sz w:val="20"/>
                <w:szCs w:val="20"/>
              </w:rPr>
              <w:t>-</w:t>
            </w:r>
          </w:p>
        </w:tc>
      </w:tr>
      <w:tr w:rsidR="00CD26B7" w:rsidRPr="00F65403" w14:paraId="3333F3A4" w14:textId="77777777" w:rsidTr="413EB596">
        <w:trPr>
          <w:trHeight w:val="30"/>
        </w:trPr>
        <w:tc>
          <w:tcPr>
            <w:tcW w:w="3458" w:type="pct"/>
            <w:tcBorders>
              <w:top w:val="nil"/>
              <w:left w:val="nil"/>
              <w:bottom w:val="nil"/>
              <w:right w:val="nil"/>
            </w:tcBorders>
            <w:vAlign w:val="center"/>
          </w:tcPr>
          <w:p w14:paraId="2F1F5CE9" w14:textId="3C84AB93" w:rsidR="00CD26B7" w:rsidRPr="00623F88" w:rsidRDefault="00CD26B7" w:rsidP="00CD26B7">
            <w:pPr>
              <w:spacing w:after="0" w:line="240" w:lineRule="auto"/>
              <w:rPr>
                <w:rFonts w:eastAsia="Times New Roman" w:cs="Arial"/>
                <w:b/>
                <w:bCs/>
                <w:color w:val="000000"/>
                <w:sz w:val="20"/>
                <w:szCs w:val="20"/>
                <w:lang w:eastAsia="en-AU"/>
              </w:rPr>
            </w:pPr>
            <w:r w:rsidRPr="00623F88">
              <w:rPr>
                <w:rFonts w:eastAsia="Times New Roman" w:cs="Arial"/>
                <w:b/>
                <w:bCs/>
                <w:color w:val="000000"/>
                <w:sz w:val="20"/>
                <w:szCs w:val="20"/>
                <w:lang w:eastAsia="en-AU"/>
              </w:rPr>
              <w:t>Total key management personnel remuneration expense</w:t>
            </w:r>
          </w:p>
        </w:tc>
        <w:tc>
          <w:tcPr>
            <w:tcW w:w="771" w:type="pct"/>
            <w:tcBorders>
              <w:top w:val="single" w:sz="4" w:space="0" w:color="auto"/>
              <w:left w:val="nil"/>
              <w:bottom w:val="single" w:sz="4" w:space="0" w:color="auto"/>
              <w:right w:val="nil"/>
            </w:tcBorders>
            <w:vAlign w:val="bottom"/>
          </w:tcPr>
          <w:p w14:paraId="613C12BC" w14:textId="40CDA507" w:rsidR="00CD26B7" w:rsidRPr="0022449B" w:rsidRDefault="00CD26B7" w:rsidP="413EB596">
            <w:pPr>
              <w:tabs>
                <w:tab w:val="decimal" w:pos="1097"/>
              </w:tabs>
              <w:spacing w:after="0" w:line="240" w:lineRule="auto"/>
              <w:jc w:val="center"/>
              <w:rPr>
                <w:b/>
                <w:bCs/>
                <w:sz w:val="20"/>
                <w:szCs w:val="20"/>
                <w:lang w:eastAsia="en-AU"/>
              </w:rPr>
            </w:pPr>
            <w:r w:rsidRPr="413EB596">
              <w:rPr>
                <w:b/>
                <w:bCs/>
                <w:sz w:val="20"/>
                <w:szCs w:val="20"/>
              </w:rPr>
              <w:t>3,</w:t>
            </w:r>
            <w:r w:rsidR="00AE0C90">
              <w:rPr>
                <w:b/>
                <w:bCs/>
                <w:sz w:val="20"/>
                <w:szCs w:val="20"/>
              </w:rPr>
              <w:t>139,412</w:t>
            </w:r>
          </w:p>
        </w:tc>
        <w:tc>
          <w:tcPr>
            <w:tcW w:w="771" w:type="pct"/>
            <w:tcBorders>
              <w:top w:val="single" w:sz="4" w:space="0" w:color="auto"/>
              <w:left w:val="nil"/>
              <w:bottom w:val="single" w:sz="4" w:space="0" w:color="auto"/>
              <w:right w:val="nil"/>
            </w:tcBorders>
            <w:vAlign w:val="bottom"/>
          </w:tcPr>
          <w:p w14:paraId="58A7AA0F" w14:textId="1D1C015C" w:rsidR="00CD26B7" w:rsidRPr="0022449B" w:rsidRDefault="00CD26B7" w:rsidP="0010235E">
            <w:pPr>
              <w:tabs>
                <w:tab w:val="decimal" w:pos="1097"/>
              </w:tabs>
              <w:spacing w:after="0" w:line="240" w:lineRule="auto"/>
              <w:jc w:val="center"/>
              <w:rPr>
                <w:rFonts w:eastAsia="Times New Roman" w:cs="Arial"/>
                <w:b/>
                <w:bCs/>
                <w:color w:val="000000"/>
                <w:sz w:val="20"/>
                <w:szCs w:val="20"/>
                <w:lang w:eastAsia="en-AU"/>
              </w:rPr>
            </w:pPr>
            <w:r w:rsidRPr="0010235E">
              <w:rPr>
                <w:b/>
                <w:bCs/>
                <w:sz w:val="20"/>
                <w:szCs w:val="20"/>
              </w:rPr>
              <w:t>90,981</w:t>
            </w:r>
          </w:p>
        </w:tc>
      </w:tr>
      <w:tr w:rsidR="00623F88" w:rsidRPr="00F65403" w14:paraId="241027F6" w14:textId="77777777" w:rsidTr="413EB596">
        <w:tc>
          <w:tcPr>
            <w:tcW w:w="3458" w:type="pct"/>
            <w:tcBorders>
              <w:top w:val="nil"/>
              <w:left w:val="nil"/>
              <w:bottom w:val="nil"/>
              <w:right w:val="nil"/>
            </w:tcBorders>
            <w:vAlign w:val="center"/>
          </w:tcPr>
          <w:p w14:paraId="3EF09C42" w14:textId="77777777" w:rsidR="00623F88" w:rsidRDefault="00623F88" w:rsidP="00B53A93">
            <w:pPr>
              <w:spacing w:after="0" w:line="240" w:lineRule="auto"/>
              <w:rPr>
                <w:rFonts w:eastAsia="Times New Roman" w:cs="Arial"/>
                <w:color w:val="000000"/>
                <w:sz w:val="20"/>
                <w:szCs w:val="20"/>
                <w:lang w:eastAsia="en-AU"/>
              </w:rPr>
            </w:pPr>
          </w:p>
        </w:tc>
        <w:tc>
          <w:tcPr>
            <w:tcW w:w="771" w:type="pct"/>
            <w:tcBorders>
              <w:top w:val="single" w:sz="4" w:space="0" w:color="auto"/>
              <w:left w:val="nil"/>
              <w:bottom w:val="nil"/>
              <w:right w:val="nil"/>
            </w:tcBorders>
            <w:vAlign w:val="center"/>
          </w:tcPr>
          <w:p w14:paraId="2FA772BC" w14:textId="77777777" w:rsidR="00623F88" w:rsidRPr="00F65403" w:rsidRDefault="00623F88" w:rsidP="00B53A93">
            <w:pPr>
              <w:tabs>
                <w:tab w:val="decimal" w:pos="964"/>
              </w:tabs>
              <w:spacing w:after="0" w:line="240" w:lineRule="auto"/>
              <w:rPr>
                <w:rFonts w:eastAsia="Times New Roman" w:cs="Arial"/>
                <w:color w:val="000000"/>
                <w:sz w:val="20"/>
                <w:szCs w:val="20"/>
                <w:lang w:eastAsia="en-AU"/>
              </w:rPr>
            </w:pPr>
          </w:p>
        </w:tc>
        <w:tc>
          <w:tcPr>
            <w:tcW w:w="771" w:type="pct"/>
            <w:tcBorders>
              <w:top w:val="single" w:sz="4" w:space="0" w:color="auto"/>
              <w:left w:val="nil"/>
              <w:bottom w:val="nil"/>
              <w:right w:val="nil"/>
            </w:tcBorders>
            <w:vAlign w:val="center"/>
          </w:tcPr>
          <w:p w14:paraId="45E95935" w14:textId="77777777" w:rsidR="00623F88" w:rsidRPr="00F65403" w:rsidRDefault="00623F88" w:rsidP="00B53A93">
            <w:pPr>
              <w:tabs>
                <w:tab w:val="decimal" w:pos="964"/>
              </w:tabs>
              <w:spacing w:after="0" w:line="240" w:lineRule="auto"/>
              <w:rPr>
                <w:rFonts w:eastAsia="Times New Roman" w:cs="Arial"/>
                <w:color w:val="000000"/>
                <w:sz w:val="20"/>
                <w:szCs w:val="20"/>
                <w:lang w:eastAsia="en-AU"/>
              </w:rPr>
            </w:pPr>
          </w:p>
        </w:tc>
      </w:tr>
    </w:tbl>
    <w:p w14:paraId="45C52554" w14:textId="0806EEFF" w:rsidR="00DF42BF" w:rsidRDefault="00623F88" w:rsidP="00DF7927">
      <w:pPr>
        <w:pStyle w:val="BodyText"/>
      </w:pPr>
      <w:r>
        <w:t>The total number of key management personnel included in the above table are:</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242"/>
        <w:gridCol w:w="1392"/>
        <w:gridCol w:w="1392"/>
      </w:tblGrid>
      <w:tr w:rsidR="00623F88" w:rsidRPr="00F65403" w14:paraId="7C4CED22" w14:textId="77777777" w:rsidTr="49BCD735">
        <w:trPr>
          <w:tblHeader/>
        </w:trPr>
        <w:tc>
          <w:tcPr>
            <w:tcW w:w="3458" w:type="pct"/>
            <w:tcBorders>
              <w:top w:val="nil"/>
              <w:left w:val="nil"/>
              <w:bottom w:val="nil"/>
              <w:right w:val="nil"/>
            </w:tcBorders>
            <w:noWrap/>
            <w:vAlign w:val="bottom"/>
          </w:tcPr>
          <w:p w14:paraId="112B6467" w14:textId="77777777" w:rsidR="00623F88" w:rsidRPr="00F65403" w:rsidRDefault="00623F88" w:rsidP="003C6418">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bottom"/>
          </w:tcPr>
          <w:p w14:paraId="48B78A73" w14:textId="77777777" w:rsidR="00623F88" w:rsidRPr="00F65403" w:rsidRDefault="00623F88" w:rsidP="005B367E">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Year ended 30 June 2025</w:t>
            </w:r>
          </w:p>
        </w:tc>
        <w:tc>
          <w:tcPr>
            <w:tcW w:w="771" w:type="pct"/>
            <w:tcBorders>
              <w:top w:val="nil"/>
              <w:left w:val="nil"/>
              <w:bottom w:val="nil"/>
              <w:right w:val="nil"/>
            </w:tcBorders>
            <w:noWrap/>
            <w:vAlign w:val="bottom"/>
          </w:tcPr>
          <w:p w14:paraId="44473F1C" w14:textId="77777777" w:rsidR="00623F88" w:rsidRPr="00F65403" w:rsidRDefault="00623F88" w:rsidP="005B367E">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25 October 2023 to 30 June 2024</w:t>
            </w:r>
          </w:p>
        </w:tc>
      </w:tr>
      <w:tr w:rsidR="00623F88" w:rsidRPr="00F65403" w14:paraId="01BF06D1" w14:textId="77777777" w:rsidTr="49BCD735">
        <w:trPr>
          <w:tblHeader/>
        </w:trPr>
        <w:tc>
          <w:tcPr>
            <w:tcW w:w="3458" w:type="pct"/>
            <w:tcBorders>
              <w:top w:val="nil"/>
              <w:left w:val="nil"/>
              <w:bottom w:val="nil"/>
              <w:right w:val="nil"/>
            </w:tcBorders>
            <w:noWrap/>
            <w:vAlign w:val="bottom"/>
            <w:hideMark/>
          </w:tcPr>
          <w:p w14:paraId="2E323AFF" w14:textId="77777777" w:rsidR="00623F88" w:rsidRPr="00F65403" w:rsidRDefault="00623F88" w:rsidP="003C6418">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hideMark/>
          </w:tcPr>
          <w:p w14:paraId="580E1609" w14:textId="7855D4F8" w:rsidR="00623F88" w:rsidRPr="0010235E" w:rsidRDefault="00623F88" w:rsidP="0010235E">
            <w:pPr>
              <w:tabs>
                <w:tab w:val="decimal" w:pos="964"/>
              </w:tabs>
              <w:spacing w:after="0" w:line="240" w:lineRule="auto"/>
              <w:rPr>
                <w:rFonts w:eastAsia="Times New Roman" w:cs="Arial"/>
                <w:b/>
                <w:bCs/>
                <w:color w:val="000000"/>
                <w:sz w:val="20"/>
                <w:szCs w:val="20"/>
                <w:lang w:eastAsia="en-AU"/>
              </w:rPr>
            </w:pPr>
            <w:r w:rsidRPr="0022449B">
              <w:rPr>
                <w:rFonts w:eastAsia="Times New Roman" w:cs="Arial"/>
                <w:b/>
                <w:bCs/>
                <w:color w:val="000000"/>
                <w:sz w:val="20"/>
                <w:szCs w:val="20"/>
                <w:lang w:eastAsia="en-AU"/>
              </w:rPr>
              <w:t>No.</w:t>
            </w:r>
          </w:p>
        </w:tc>
        <w:tc>
          <w:tcPr>
            <w:tcW w:w="771" w:type="pct"/>
            <w:tcBorders>
              <w:top w:val="nil"/>
              <w:left w:val="nil"/>
              <w:bottom w:val="nil"/>
              <w:right w:val="nil"/>
            </w:tcBorders>
            <w:noWrap/>
            <w:vAlign w:val="center"/>
            <w:hideMark/>
          </w:tcPr>
          <w:p w14:paraId="2F704976" w14:textId="3D92F9FB" w:rsidR="00623F88" w:rsidRPr="0010235E" w:rsidRDefault="00623F88" w:rsidP="0010235E">
            <w:pPr>
              <w:tabs>
                <w:tab w:val="decimal" w:pos="964"/>
              </w:tabs>
              <w:spacing w:after="0" w:line="240" w:lineRule="auto"/>
              <w:rPr>
                <w:rFonts w:eastAsia="Times New Roman" w:cs="Arial"/>
                <w:b/>
                <w:bCs/>
                <w:color w:val="000000"/>
                <w:sz w:val="20"/>
                <w:szCs w:val="20"/>
                <w:lang w:eastAsia="en-AU"/>
              </w:rPr>
            </w:pPr>
            <w:r w:rsidRPr="0022449B">
              <w:rPr>
                <w:rFonts w:eastAsia="Times New Roman" w:cs="Arial"/>
                <w:b/>
                <w:bCs/>
                <w:color w:val="000000"/>
                <w:sz w:val="20"/>
                <w:szCs w:val="20"/>
                <w:lang w:eastAsia="en-AU"/>
              </w:rPr>
              <w:t>No.</w:t>
            </w:r>
          </w:p>
        </w:tc>
      </w:tr>
      <w:tr w:rsidR="00623F88" w:rsidRPr="00F65403" w14:paraId="7AEFC221" w14:textId="77777777" w:rsidTr="49BCD735">
        <w:tc>
          <w:tcPr>
            <w:tcW w:w="3458" w:type="pct"/>
            <w:tcBorders>
              <w:top w:val="nil"/>
              <w:left w:val="nil"/>
              <w:bottom w:val="nil"/>
              <w:right w:val="nil"/>
            </w:tcBorders>
            <w:vAlign w:val="center"/>
          </w:tcPr>
          <w:p w14:paraId="4903829D" w14:textId="10B736B2" w:rsidR="00623F88" w:rsidRPr="00F65403" w:rsidRDefault="00623F88" w:rsidP="003C641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Non-executive directors</w:t>
            </w:r>
          </w:p>
        </w:tc>
        <w:tc>
          <w:tcPr>
            <w:tcW w:w="771" w:type="pct"/>
            <w:tcBorders>
              <w:top w:val="nil"/>
              <w:left w:val="nil"/>
              <w:bottom w:val="nil"/>
              <w:right w:val="nil"/>
            </w:tcBorders>
            <w:noWrap/>
            <w:vAlign w:val="bottom"/>
          </w:tcPr>
          <w:p w14:paraId="26B68EF6" w14:textId="270ED63A" w:rsidR="00623F88" w:rsidRPr="00F65403" w:rsidRDefault="00623F88" w:rsidP="00936E45">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w:t>
            </w:r>
          </w:p>
        </w:tc>
        <w:tc>
          <w:tcPr>
            <w:tcW w:w="771" w:type="pct"/>
            <w:tcBorders>
              <w:top w:val="nil"/>
              <w:left w:val="nil"/>
              <w:bottom w:val="nil"/>
              <w:right w:val="nil"/>
            </w:tcBorders>
            <w:noWrap/>
            <w:vAlign w:val="bottom"/>
          </w:tcPr>
          <w:p w14:paraId="4497499C" w14:textId="3863E00C" w:rsidR="00623F88" w:rsidRPr="00F65403" w:rsidRDefault="00706908" w:rsidP="00936E45">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w:t>
            </w:r>
          </w:p>
        </w:tc>
      </w:tr>
      <w:tr w:rsidR="00623F88" w:rsidRPr="00F65403" w14:paraId="44413974" w14:textId="77777777" w:rsidTr="49BCD735">
        <w:tc>
          <w:tcPr>
            <w:tcW w:w="3458" w:type="pct"/>
            <w:tcBorders>
              <w:top w:val="nil"/>
              <w:left w:val="nil"/>
              <w:bottom w:val="nil"/>
              <w:right w:val="nil"/>
            </w:tcBorders>
            <w:vAlign w:val="center"/>
          </w:tcPr>
          <w:p w14:paraId="5AF771BC" w14:textId="7C242EA5" w:rsidR="00623F88" w:rsidRPr="00F65403" w:rsidRDefault="00623F88" w:rsidP="003C641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Executive</w:t>
            </w:r>
            <w:r w:rsidR="00706908">
              <w:rPr>
                <w:rFonts w:eastAsia="Times New Roman" w:cs="Arial"/>
                <w:color w:val="000000"/>
                <w:sz w:val="20"/>
                <w:szCs w:val="20"/>
                <w:lang w:eastAsia="en-AU"/>
              </w:rPr>
              <w:t>s</w:t>
            </w:r>
          </w:p>
        </w:tc>
        <w:tc>
          <w:tcPr>
            <w:tcW w:w="771" w:type="pct"/>
            <w:tcBorders>
              <w:top w:val="nil"/>
              <w:left w:val="nil"/>
              <w:bottom w:val="single" w:sz="4" w:space="0" w:color="auto"/>
              <w:right w:val="nil"/>
            </w:tcBorders>
            <w:vAlign w:val="center"/>
          </w:tcPr>
          <w:p w14:paraId="61D31BFA" w14:textId="174AA3EC" w:rsidR="00623F88" w:rsidRPr="001D4806" w:rsidRDefault="003D38EE" w:rsidP="0010235E">
            <w:pPr>
              <w:tabs>
                <w:tab w:val="decimal" w:pos="964"/>
              </w:tabs>
              <w:spacing w:after="0" w:line="240" w:lineRule="auto"/>
              <w:rPr>
                <w:rFonts w:eastAsia="Times New Roman" w:cs="Arial"/>
                <w:color w:val="000000"/>
                <w:sz w:val="20"/>
                <w:szCs w:val="20"/>
                <w:lang w:eastAsia="en-AU"/>
              </w:rPr>
            </w:pPr>
            <w:r w:rsidRPr="0010235E">
              <w:rPr>
                <w:rFonts w:eastAsia="Times New Roman" w:cs="Arial"/>
                <w:color w:val="000000" w:themeColor="text1"/>
                <w:sz w:val="20"/>
                <w:szCs w:val="20"/>
                <w:lang w:eastAsia="en-AU"/>
              </w:rPr>
              <w:t>5</w:t>
            </w:r>
          </w:p>
        </w:tc>
        <w:tc>
          <w:tcPr>
            <w:tcW w:w="771" w:type="pct"/>
            <w:tcBorders>
              <w:top w:val="nil"/>
              <w:left w:val="nil"/>
              <w:bottom w:val="single" w:sz="4" w:space="0" w:color="auto"/>
              <w:right w:val="nil"/>
            </w:tcBorders>
            <w:vAlign w:val="center"/>
          </w:tcPr>
          <w:p w14:paraId="7AE5281F" w14:textId="67D201BC" w:rsidR="00623F88" w:rsidRPr="00F65403" w:rsidRDefault="00706908" w:rsidP="00936E45">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w:t>
            </w:r>
          </w:p>
        </w:tc>
      </w:tr>
      <w:tr w:rsidR="00623F88" w:rsidRPr="00F65403" w14:paraId="4D083917" w14:textId="77777777" w:rsidTr="49BCD735">
        <w:tc>
          <w:tcPr>
            <w:tcW w:w="3458" w:type="pct"/>
            <w:tcBorders>
              <w:top w:val="nil"/>
              <w:left w:val="nil"/>
              <w:bottom w:val="nil"/>
              <w:right w:val="nil"/>
            </w:tcBorders>
            <w:vAlign w:val="center"/>
          </w:tcPr>
          <w:p w14:paraId="1545EB4A" w14:textId="573360A3" w:rsidR="00623F88" w:rsidRPr="00706908" w:rsidRDefault="00706908" w:rsidP="003C6418">
            <w:pPr>
              <w:spacing w:after="0" w:line="240" w:lineRule="auto"/>
              <w:rPr>
                <w:rFonts w:eastAsia="Times New Roman" w:cs="Arial"/>
                <w:b/>
                <w:bCs/>
                <w:color w:val="000000"/>
                <w:sz w:val="20"/>
                <w:szCs w:val="20"/>
                <w:lang w:eastAsia="en-AU"/>
              </w:rPr>
            </w:pPr>
            <w:r w:rsidRPr="00706908">
              <w:rPr>
                <w:rFonts w:eastAsia="Times New Roman" w:cs="Arial"/>
                <w:b/>
                <w:bCs/>
                <w:color w:val="000000"/>
                <w:sz w:val="20"/>
                <w:szCs w:val="20"/>
                <w:lang w:eastAsia="en-AU"/>
              </w:rPr>
              <w:t>Total key management personnel</w:t>
            </w:r>
          </w:p>
        </w:tc>
        <w:tc>
          <w:tcPr>
            <w:tcW w:w="771" w:type="pct"/>
            <w:tcBorders>
              <w:top w:val="single" w:sz="4" w:space="0" w:color="auto"/>
              <w:left w:val="nil"/>
              <w:bottom w:val="single" w:sz="4" w:space="0" w:color="auto"/>
              <w:right w:val="nil"/>
            </w:tcBorders>
            <w:vAlign w:val="center"/>
          </w:tcPr>
          <w:p w14:paraId="366028AF" w14:textId="132F2B2A" w:rsidR="00623F88" w:rsidRPr="001D4806" w:rsidRDefault="00E94F98" w:rsidP="00936E45">
            <w:pPr>
              <w:tabs>
                <w:tab w:val="decimal" w:pos="964"/>
              </w:tabs>
              <w:spacing w:after="0" w:line="240" w:lineRule="auto"/>
              <w:rPr>
                <w:rFonts w:eastAsia="Times New Roman" w:cs="Arial"/>
                <w:b/>
                <w:bCs/>
                <w:color w:val="000000"/>
                <w:sz w:val="20"/>
                <w:szCs w:val="20"/>
                <w:lang w:eastAsia="en-AU"/>
              </w:rPr>
            </w:pPr>
            <w:r w:rsidRPr="0010235E">
              <w:rPr>
                <w:rFonts w:eastAsia="Times New Roman" w:cs="Arial"/>
                <w:b/>
                <w:color w:val="000000" w:themeColor="text1"/>
                <w:sz w:val="20"/>
                <w:szCs w:val="20"/>
                <w:lang w:eastAsia="en-AU"/>
              </w:rPr>
              <w:t>12</w:t>
            </w:r>
          </w:p>
        </w:tc>
        <w:tc>
          <w:tcPr>
            <w:tcW w:w="771" w:type="pct"/>
            <w:tcBorders>
              <w:top w:val="single" w:sz="4" w:space="0" w:color="auto"/>
              <w:left w:val="nil"/>
              <w:bottom w:val="single" w:sz="4" w:space="0" w:color="auto"/>
              <w:right w:val="nil"/>
            </w:tcBorders>
            <w:vAlign w:val="center"/>
          </w:tcPr>
          <w:p w14:paraId="2205A143" w14:textId="027B97A2" w:rsidR="00623F88" w:rsidRPr="00706908" w:rsidRDefault="00706908" w:rsidP="00936E45">
            <w:pPr>
              <w:tabs>
                <w:tab w:val="decimal" w:pos="964"/>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6</w:t>
            </w:r>
          </w:p>
        </w:tc>
      </w:tr>
    </w:tbl>
    <w:p w14:paraId="6BF01782" w14:textId="77777777" w:rsidR="00623F88" w:rsidRPr="00DF7D31" w:rsidRDefault="00623F88" w:rsidP="00DF7927">
      <w:pPr>
        <w:pStyle w:val="BodyText"/>
      </w:pPr>
    </w:p>
    <w:p w14:paraId="67F8224D" w14:textId="262E5A7A" w:rsidR="00054DC9" w:rsidRPr="00F65403" w:rsidRDefault="00024597" w:rsidP="4FD260F1">
      <w:pPr>
        <w:pStyle w:val="Heading8"/>
      </w:pPr>
      <w:r>
        <w:t>ii.</w:t>
      </w:r>
      <w:r>
        <w:tab/>
      </w:r>
      <w:r w:rsidR="00FC778E">
        <w:t>T</w:t>
      </w:r>
      <w:r w:rsidR="00054DC9">
        <w:t xml:space="preserve">ransactions and balances with other related parties </w:t>
      </w:r>
    </w:p>
    <w:p w14:paraId="6D25276C" w14:textId="44FDAF40" w:rsidR="009B089E" w:rsidRPr="00F65403" w:rsidRDefault="00054DC9" w:rsidP="00027D53">
      <w:pPr>
        <w:pStyle w:val="BodyText"/>
        <w:rPr>
          <w:lang w:val="en-AU"/>
        </w:rPr>
      </w:pPr>
      <w:r w:rsidRPr="76FD273D">
        <w:rPr>
          <w:lang w:val="en-AU"/>
        </w:rPr>
        <w:t xml:space="preserve">The Company’s employment policies and procedures have been created to support the application of the Code of Conduct </w:t>
      </w:r>
      <w:r w:rsidR="298D493F" w:rsidRPr="26982EAF">
        <w:rPr>
          <w:lang w:val="en-AU"/>
        </w:rPr>
        <w:t xml:space="preserve">for </w:t>
      </w:r>
      <w:r w:rsidRPr="76FD273D">
        <w:rPr>
          <w:lang w:val="en-AU"/>
        </w:rPr>
        <w:t xml:space="preserve">Victorian Public Sector Employees, and employees are required to comply with the public sector values under </w:t>
      </w:r>
      <w:r w:rsidR="76BE85F8" w:rsidRPr="26982EAF">
        <w:rPr>
          <w:lang w:val="en-AU"/>
        </w:rPr>
        <w:t>the</w:t>
      </w:r>
      <w:r w:rsidRPr="26982EAF">
        <w:rPr>
          <w:lang w:val="en-AU"/>
        </w:rPr>
        <w:t xml:space="preserve"> </w:t>
      </w:r>
      <w:r w:rsidRPr="00AA3AC5">
        <w:rPr>
          <w:i/>
          <w:iCs/>
          <w:lang w:val="en-AU"/>
        </w:rPr>
        <w:t>Public Administration Act 2004</w:t>
      </w:r>
      <w:r w:rsidRPr="76FD273D">
        <w:rPr>
          <w:lang w:val="en-AU"/>
        </w:rPr>
        <w:t xml:space="preserve"> (Vic). Procurement processes are based on terms and conditions consistent with the Victorian Government Procurement Board requirements.</w:t>
      </w:r>
    </w:p>
    <w:p w14:paraId="12E98020" w14:textId="77777777" w:rsidR="00027D53" w:rsidRPr="00F65403" w:rsidRDefault="00027D53" w:rsidP="00027D53">
      <w:pPr>
        <w:pStyle w:val="BodyText"/>
        <w:rPr>
          <w:lang w:val="en-AU"/>
        </w:rPr>
      </w:pPr>
    </w:p>
    <w:p w14:paraId="048D6BB4" w14:textId="4DA7E1C2" w:rsidR="00027D53" w:rsidRPr="00F65403" w:rsidRDefault="00054DC9" w:rsidP="00027D53">
      <w:pPr>
        <w:pStyle w:val="BodyText"/>
        <w:rPr>
          <w:lang w:val="en-AU"/>
        </w:rPr>
      </w:pPr>
      <w:r w:rsidRPr="413EB596">
        <w:rPr>
          <w:lang w:val="en-AU"/>
        </w:rPr>
        <w:t>Any transactions or issues that involve related parties are dealt with on normal commercial terms and conditions and without reference to the key management personnel concerned. All income and expense transactions exclude GST.</w:t>
      </w:r>
    </w:p>
    <w:p w14:paraId="0CC8C5A2" w14:textId="77777777" w:rsidR="00027D53" w:rsidRPr="00F65403" w:rsidRDefault="00027D53" w:rsidP="00027D53">
      <w:pPr>
        <w:pStyle w:val="BodyText"/>
        <w:rPr>
          <w:lang w:val="en-AU"/>
        </w:rPr>
      </w:pPr>
    </w:p>
    <w:p w14:paraId="4002CBD3" w14:textId="70F0D08E" w:rsidR="00CB47D3" w:rsidRPr="00F65403" w:rsidRDefault="00024597" w:rsidP="00176D78">
      <w:pPr>
        <w:pStyle w:val="Heading8"/>
      </w:pPr>
      <w:r>
        <w:t>iii.</w:t>
      </w:r>
      <w:r>
        <w:tab/>
      </w:r>
      <w:r w:rsidR="00CB47D3">
        <w:t xml:space="preserve">Significant transactions with government-related entities </w:t>
      </w:r>
    </w:p>
    <w:p w14:paraId="46522D87" w14:textId="1D1FDBC8" w:rsidR="00CB47D3" w:rsidRPr="00F65403" w:rsidRDefault="00CB47D3" w:rsidP="00027D53">
      <w:pPr>
        <w:pStyle w:val="BodyText"/>
        <w:rPr>
          <w:lang w:val="en-AU"/>
        </w:rPr>
      </w:pPr>
      <w:r w:rsidRPr="00F65403">
        <w:rPr>
          <w:lang w:val="en-AU"/>
        </w:rPr>
        <w:t>During the reporting period the Group had transactions with the following government related entities:</w:t>
      </w:r>
    </w:p>
    <w:p w14:paraId="7BDFC204" w14:textId="77777777" w:rsidR="00027D53" w:rsidRPr="00F65403" w:rsidRDefault="00027D53" w:rsidP="00027D53">
      <w:pPr>
        <w:pStyle w:val="BodyText"/>
        <w:rPr>
          <w:lang w:val="en-AU"/>
        </w:rPr>
      </w:pPr>
    </w:p>
    <w:p w14:paraId="59A95FA5" w14:textId="4BA0B59E" w:rsidR="00CB47D3" w:rsidRPr="00F65403" w:rsidRDefault="00CB47D3" w:rsidP="001854BD">
      <w:pPr>
        <w:pStyle w:val="ListBullet"/>
        <w:rPr>
          <w:lang w:val="en-AU"/>
        </w:rPr>
      </w:pPr>
      <w:r w:rsidRPr="53AF7C34">
        <w:rPr>
          <w:lang w:val="en-AU"/>
        </w:rPr>
        <w:t xml:space="preserve">Department of Energy, Environment and Climate Action (DEECA): provides government funding to the Group which is reported Contributed Capital shown as equity within the statement of financial position. Payments to DEECA during the current reporting period </w:t>
      </w:r>
      <w:r w:rsidR="00C840D0" w:rsidRPr="53AF7C34">
        <w:rPr>
          <w:lang w:val="en-AU"/>
        </w:rPr>
        <w:t>w</w:t>
      </w:r>
      <w:r w:rsidR="004238D5" w:rsidRPr="53AF7C34">
        <w:rPr>
          <w:lang w:val="en-AU"/>
        </w:rPr>
        <w:t>ere</w:t>
      </w:r>
      <w:r w:rsidR="00C840D0" w:rsidRPr="53AF7C34">
        <w:rPr>
          <w:lang w:val="en-AU"/>
        </w:rPr>
        <w:t xml:space="preserve"> for </w:t>
      </w:r>
      <w:r w:rsidR="00FD7265" w:rsidRPr="53AF7C34">
        <w:rPr>
          <w:lang w:val="en-AU"/>
        </w:rPr>
        <w:t>head office accommodation expense</w:t>
      </w:r>
      <w:r w:rsidRPr="53AF7C34">
        <w:rPr>
          <w:lang w:val="en-AU"/>
        </w:rPr>
        <w:t xml:space="preserve"> </w:t>
      </w:r>
    </w:p>
    <w:p w14:paraId="51C72158" w14:textId="6F645738" w:rsidR="00CB47D3" w:rsidRPr="00F65403" w:rsidRDefault="00CB47D3" w:rsidP="001854BD">
      <w:pPr>
        <w:pStyle w:val="ListBullet"/>
        <w:rPr>
          <w:lang w:val="en-AU"/>
        </w:rPr>
      </w:pPr>
      <w:r w:rsidRPr="53AF7C34">
        <w:rPr>
          <w:lang w:val="en-AU"/>
        </w:rPr>
        <w:t xml:space="preserve">Department of Treasury and Finance (DTF): </w:t>
      </w:r>
      <w:r w:rsidR="00B66306" w:rsidRPr="53AF7C34">
        <w:rPr>
          <w:lang w:val="en-AU"/>
        </w:rPr>
        <w:t>receipts from</w:t>
      </w:r>
      <w:r w:rsidR="002D1786" w:rsidRPr="53AF7C34">
        <w:rPr>
          <w:lang w:val="en-AU"/>
        </w:rPr>
        <w:t xml:space="preserve"> DTF</w:t>
      </w:r>
      <w:r w:rsidRPr="53AF7C34">
        <w:rPr>
          <w:lang w:val="en-AU"/>
        </w:rPr>
        <w:t xml:space="preserve"> for the reimbursement of employee leave liabilities recognised for employees transferred from DTF </w:t>
      </w:r>
    </w:p>
    <w:p w14:paraId="5F571617" w14:textId="21096D61" w:rsidR="00CB47D3" w:rsidRPr="00F65403" w:rsidRDefault="00CB47D3" w:rsidP="001854BD">
      <w:pPr>
        <w:pStyle w:val="ListBullet"/>
        <w:rPr>
          <w:lang w:val="en-AU"/>
        </w:rPr>
      </w:pPr>
      <w:r w:rsidRPr="53AF7C34">
        <w:rPr>
          <w:lang w:val="en-AU"/>
        </w:rPr>
        <w:t>Department of Jobs, Skills, Industry and Regions (DJSIR): payments to DJSIR to support SEC's Centre of Training Excellence program</w:t>
      </w:r>
      <w:r w:rsidR="654EA789" w:rsidRPr="53AF7C34">
        <w:rPr>
          <w:lang w:val="en-AU"/>
        </w:rPr>
        <w:t>.</w:t>
      </w:r>
    </w:p>
    <w:p w14:paraId="77EC13DD" w14:textId="77777777" w:rsidR="00027D53" w:rsidRPr="00F65403" w:rsidRDefault="00027D53" w:rsidP="0073009A">
      <w:pPr>
        <w:pStyle w:val="BodyText"/>
        <w:rPr>
          <w:lang w:val="en-AU"/>
        </w:rPr>
      </w:pPr>
    </w:p>
    <w:p w14:paraId="53F33AEE" w14:textId="77777777" w:rsidR="00C03977" w:rsidRDefault="00C03977">
      <w:pPr>
        <w:rPr>
          <w:rFonts w:eastAsia="Arial" w:cs="Arial"/>
          <w:sz w:val="20"/>
          <w:szCs w:val="20"/>
        </w:rPr>
      </w:pPr>
      <w:r>
        <w:br w:type="page"/>
      </w:r>
    </w:p>
    <w:p w14:paraId="39D25575" w14:textId="333CE100" w:rsidR="00054DC9" w:rsidRPr="00F65403" w:rsidRDefault="00CB47D3" w:rsidP="00027D53">
      <w:pPr>
        <w:pStyle w:val="BodyText"/>
        <w:rPr>
          <w:lang w:val="en-AU"/>
        </w:rPr>
      </w:pPr>
      <w:r w:rsidRPr="00F65403">
        <w:rPr>
          <w:lang w:val="en-AU"/>
        </w:rPr>
        <w:t xml:space="preserve">An implementation office was set up within DEECA to support the establishment and set-up of SEC’s operations. During the 2024 financial year, $23,745,000 of operational expenditure was incurred within the implementation office on behalf of SEC and recorded in DEECA’s financial statements. This arrangement ceased on 30 June 2024 and from 1 July 2024 all SEC related costs </w:t>
      </w:r>
      <w:r w:rsidR="002D6282">
        <w:rPr>
          <w:lang w:val="en-AU"/>
        </w:rPr>
        <w:t xml:space="preserve">have been </w:t>
      </w:r>
      <w:r w:rsidRPr="00F65403">
        <w:rPr>
          <w:lang w:val="en-AU"/>
        </w:rPr>
        <w:t>reflected in the Group’s annual report.</w:t>
      </w:r>
      <w:r w:rsidR="00C03977">
        <w:rPr>
          <w:lang w:val="en-AU"/>
        </w:rPr>
        <w:br/>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22"/>
        <w:gridCol w:w="1322"/>
        <w:gridCol w:w="3740"/>
        <w:gridCol w:w="1321"/>
        <w:gridCol w:w="1321"/>
      </w:tblGrid>
      <w:tr w:rsidR="00395491" w:rsidRPr="0073009A" w14:paraId="1BDE0ABB" w14:textId="77777777" w:rsidTr="49BCD735">
        <w:tc>
          <w:tcPr>
            <w:tcW w:w="3536" w:type="pct"/>
            <w:gridSpan w:val="3"/>
            <w:tcBorders>
              <w:top w:val="nil"/>
              <w:left w:val="nil"/>
              <w:bottom w:val="nil"/>
              <w:right w:val="nil"/>
            </w:tcBorders>
            <w:noWrap/>
            <w:vAlign w:val="bottom"/>
            <w:hideMark/>
          </w:tcPr>
          <w:p w14:paraId="7A8E96EE" w14:textId="77777777" w:rsidR="00395491" w:rsidRPr="00F65403" w:rsidRDefault="00395491" w:rsidP="00395491">
            <w:pPr>
              <w:spacing w:after="0" w:line="240" w:lineRule="auto"/>
              <w:rPr>
                <w:rFonts w:eastAsia="Times New Roman" w:cs="Arial"/>
                <w:sz w:val="20"/>
                <w:szCs w:val="20"/>
                <w:lang w:eastAsia="en-AU"/>
              </w:rPr>
            </w:pPr>
          </w:p>
        </w:tc>
        <w:tc>
          <w:tcPr>
            <w:tcW w:w="732" w:type="pct"/>
            <w:tcBorders>
              <w:top w:val="nil"/>
              <w:left w:val="nil"/>
              <w:bottom w:val="nil"/>
              <w:right w:val="nil"/>
            </w:tcBorders>
            <w:vAlign w:val="bottom"/>
            <w:hideMark/>
          </w:tcPr>
          <w:p w14:paraId="4B4134A7" w14:textId="5A90EA93" w:rsidR="00395491" w:rsidRPr="00F65403" w:rsidRDefault="005B367E"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32" w:type="pct"/>
            <w:tcBorders>
              <w:top w:val="nil"/>
              <w:left w:val="nil"/>
              <w:bottom w:val="nil"/>
              <w:right w:val="nil"/>
            </w:tcBorders>
            <w:vAlign w:val="bottom"/>
            <w:hideMark/>
          </w:tcPr>
          <w:p w14:paraId="1F8DBED1" w14:textId="51F3DBBB" w:rsidR="00395491" w:rsidRPr="00F65403" w:rsidRDefault="005B367E"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25 October 2023 to 30 June 2024</w:t>
            </w:r>
          </w:p>
        </w:tc>
      </w:tr>
      <w:tr w:rsidR="00395491" w:rsidRPr="0073009A" w14:paraId="43EA7C78" w14:textId="77777777" w:rsidTr="49BCD735">
        <w:tc>
          <w:tcPr>
            <w:tcW w:w="3536" w:type="pct"/>
            <w:gridSpan w:val="3"/>
            <w:tcBorders>
              <w:top w:val="nil"/>
              <w:left w:val="nil"/>
              <w:bottom w:val="nil"/>
              <w:right w:val="nil"/>
            </w:tcBorders>
            <w:noWrap/>
            <w:vAlign w:val="center"/>
            <w:hideMark/>
          </w:tcPr>
          <w:p w14:paraId="304E6141" w14:textId="77777777" w:rsidR="00395491" w:rsidRPr="00F65403" w:rsidRDefault="00395491" w:rsidP="00395491">
            <w:pPr>
              <w:spacing w:after="0" w:line="240" w:lineRule="auto"/>
              <w:jc w:val="right"/>
              <w:rPr>
                <w:rFonts w:eastAsia="Times New Roman" w:cs="Arial"/>
                <w:b/>
                <w:color w:val="000000"/>
                <w:sz w:val="20"/>
                <w:szCs w:val="20"/>
                <w:lang w:eastAsia="en-AU"/>
              </w:rPr>
            </w:pPr>
          </w:p>
        </w:tc>
        <w:tc>
          <w:tcPr>
            <w:tcW w:w="732" w:type="pct"/>
            <w:tcBorders>
              <w:top w:val="nil"/>
              <w:left w:val="nil"/>
              <w:bottom w:val="nil"/>
              <w:right w:val="nil"/>
            </w:tcBorders>
            <w:vAlign w:val="bottom"/>
            <w:hideMark/>
          </w:tcPr>
          <w:p w14:paraId="49F5D2BB" w14:textId="0FE4D5E2" w:rsidR="00395491" w:rsidRPr="00F65403" w:rsidRDefault="00B02D47" w:rsidP="005B367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32" w:type="pct"/>
            <w:tcBorders>
              <w:top w:val="nil"/>
              <w:left w:val="nil"/>
              <w:bottom w:val="nil"/>
              <w:right w:val="nil"/>
            </w:tcBorders>
            <w:vAlign w:val="bottom"/>
            <w:hideMark/>
          </w:tcPr>
          <w:p w14:paraId="76A21AC9" w14:textId="3A3DF7EC" w:rsidR="00395491" w:rsidRPr="00F65403" w:rsidRDefault="00B02D47" w:rsidP="005B367E">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395491" w:rsidRPr="0073009A" w14:paraId="69726480" w14:textId="77777777" w:rsidTr="49BCD735">
        <w:tc>
          <w:tcPr>
            <w:tcW w:w="3536" w:type="pct"/>
            <w:gridSpan w:val="3"/>
            <w:tcBorders>
              <w:top w:val="nil"/>
              <w:left w:val="nil"/>
              <w:bottom w:val="nil"/>
              <w:right w:val="nil"/>
            </w:tcBorders>
            <w:noWrap/>
            <w:vAlign w:val="center"/>
            <w:hideMark/>
          </w:tcPr>
          <w:p w14:paraId="15B5CD5B" w14:textId="77777777" w:rsidR="00395491" w:rsidRPr="00F65403" w:rsidRDefault="00395491" w:rsidP="00395491">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Receipts</w:t>
            </w:r>
          </w:p>
        </w:tc>
        <w:tc>
          <w:tcPr>
            <w:tcW w:w="732" w:type="pct"/>
            <w:tcBorders>
              <w:top w:val="nil"/>
              <w:left w:val="nil"/>
              <w:bottom w:val="nil"/>
              <w:right w:val="nil"/>
            </w:tcBorders>
            <w:vAlign w:val="bottom"/>
            <w:hideMark/>
          </w:tcPr>
          <w:p w14:paraId="7A93D3A7" w14:textId="77777777" w:rsidR="00395491" w:rsidRPr="00F65403" w:rsidRDefault="00395491" w:rsidP="005B367E">
            <w:pPr>
              <w:tabs>
                <w:tab w:val="decimal" w:pos="964"/>
              </w:tabs>
              <w:spacing w:after="0" w:line="240" w:lineRule="auto"/>
              <w:rPr>
                <w:rFonts w:eastAsia="Times New Roman" w:cs="Arial"/>
                <w:i/>
                <w:color w:val="000000"/>
                <w:sz w:val="20"/>
                <w:szCs w:val="20"/>
                <w:lang w:eastAsia="en-AU"/>
              </w:rPr>
            </w:pPr>
          </w:p>
        </w:tc>
        <w:tc>
          <w:tcPr>
            <w:tcW w:w="732" w:type="pct"/>
            <w:tcBorders>
              <w:top w:val="nil"/>
              <w:left w:val="nil"/>
              <w:bottom w:val="nil"/>
              <w:right w:val="nil"/>
            </w:tcBorders>
            <w:vAlign w:val="bottom"/>
            <w:hideMark/>
          </w:tcPr>
          <w:p w14:paraId="142BA555" w14:textId="77777777" w:rsidR="00395491" w:rsidRPr="00F65403" w:rsidRDefault="00395491" w:rsidP="005B367E">
            <w:pPr>
              <w:tabs>
                <w:tab w:val="decimal" w:pos="964"/>
              </w:tabs>
              <w:spacing w:after="0" w:line="240" w:lineRule="auto"/>
              <w:rPr>
                <w:rFonts w:eastAsia="Times New Roman" w:cs="Arial"/>
                <w:sz w:val="20"/>
                <w:szCs w:val="20"/>
                <w:lang w:eastAsia="en-AU"/>
              </w:rPr>
            </w:pPr>
          </w:p>
        </w:tc>
      </w:tr>
      <w:tr w:rsidR="00395491" w:rsidRPr="0073009A" w14:paraId="3324BC7D" w14:textId="77777777" w:rsidTr="49BCD735">
        <w:tc>
          <w:tcPr>
            <w:tcW w:w="3536" w:type="pct"/>
            <w:gridSpan w:val="3"/>
            <w:tcBorders>
              <w:top w:val="nil"/>
              <w:left w:val="nil"/>
              <w:bottom w:val="nil"/>
              <w:right w:val="nil"/>
            </w:tcBorders>
            <w:vAlign w:val="center"/>
            <w:hideMark/>
          </w:tcPr>
          <w:p w14:paraId="64866C4C"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Energy, Environment and Climate Action</w:t>
            </w:r>
          </w:p>
        </w:tc>
        <w:tc>
          <w:tcPr>
            <w:tcW w:w="732" w:type="pct"/>
            <w:tcBorders>
              <w:top w:val="nil"/>
              <w:left w:val="nil"/>
              <w:bottom w:val="nil"/>
              <w:right w:val="nil"/>
            </w:tcBorders>
            <w:vAlign w:val="bottom"/>
            <w:hideMark/>
          </w:tcPr>
          <w:p w14:paraId="13F58BBC"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344,000</w:t>
            </w:r>
          </w:p>
        </w:tc>
        <w:tc>
          <w:tcPr>
            <w:tcW w:w="732" w:type="pct"/>
            <w:tcBorders>
              <w:top w:val="nil"/>
              <w:left w:val="nil"/>
              <w:bottom w:val="nil"/>
              <w:right w:val="nil"/>
            </w:tcBorders>
            <w:vAlign w:val="bottom"/>
            <w:hideMark/>
          </w:tcPr>
          <w:p w14:paraId="4DFE62E5"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336,118</w:t>
            </w:r>
          </w:p>
        </w:tc>
      </w:tr>
      <w:tr w:rsidR="00395491" w:rsidRPr="0073009A" w14:paraId="1DFF7A2A" w14:textId="77777777" w:rsidTr="0010235E">
        <w:tc>
          <w:tcPr>
            <w:tcW w:w="3536" w:type="pct"/>
            <w:gridSpan w:val="3"/>
            <w:tcBorders>
              <w:top w:val="nil"/>
              <w:left w:val="nil"/>
              <w:bottom w:val="nil"/>
              <w:right w:val="nil"/>
            </w:tcBorders>
            <w:vAlign w:val="center"/>
            <w:hideMark/>
          </w:tcPr>
          <w:p w14:paraId="235FE453"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Treasury and Finance</w:t>
            </w:r>
          </w:p>
        </w:tc>
        <w:tc>
          <w:tcPr>
            <w:tcW w:w="732" w:type="pct"/>
            <w:tcBorders>
              <w:top w:val="nil"/>
              <w:left w:val="nil"/>
              <w:bottom w:val="single" w:sz="4" w:space="0" w:color="auto"/>
              <w:right w:val="nil"/>
            </w:tcBorders>
            <w:vAlign w:val="bottom"/>
            <w:hideMark/>
          </w:tcPr>
          <w:p w14:paraId="30C7009F" w14:textId="064A3826"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2" w:type="pct"/>
            <w:tcBorders>
              <w:top w:val="nil"/>
              <w:left w:val="nil"/>
              <w:bottom w:val="single" w:sz="4" w:space="0" w:color="auto"/>
              <w:right w:val="nil"/>
            </w:tcBorders>
            <w:vAlign w:val="bottom"/>
            <w:hideMark/>
          </w:tcPr>
          <w:p w14:paraId="5D6F9DA4"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18</w:t>
            </w:r>
          </w:p>
        </w:tc>
      </w:tr>
      <w:tr w:rsidR="00395491" w:rsidRPr="0073009A" w14:paraId="3CD5F973" w14:textId="77777777" w:rsidTr="0010235E">
        <w:tc>
          <w:tcPr>
            <w:tcW w:w="3536" w:type="pct"/>
            <w:gridSpan w:val="3"/>
            <w:tcBorders>
              <w:top w:val="nil"/>
              <w:left w:val="nil"/>
              <w:bottom w:val="nil"/>
              <w:right w:val="nil"/>
            </w:tcBorders>
            <w:noWrap/>
            <w:vAlign w:val="center"/>
            <w:hideMark/>
          </w:tcPr>
          <w:p w14:paraId="6CFE7213" w14:textId="77777777" w:rsidR="00395491" w:rsidRPr="00F65403" w:rsidRDefault="00395491" w:rsidP="00395491">
            <w:pPr>
              <w:spacing w:after="0" w:line="240" w:lineRule="auto"/>
              <w:jc w:val="right"/>
              <w:rPr>
                <w:rFonts w:eastAsia="Times New Roman" w:cs="Arial"/>
                <w:color w:val="000000"/>
                <w:sz w:val="20"/>
                <w:szCs w:val="20"/>
                <w:lang w:eastAsia="en-AU"/>
              </w:rPr>
            </w:pPr>
          </w:p>
        </w:tc>
        <w:tc>
          <w:tcPr>
            <w:tcW w:w="732" w:type="pct"/>
            <w:tcBorders>
              <w:top w:val="single" w:sz="4" w:space="0" w:color="auto"/>
              <w:left w:val="nil"/>
              <w:bottom w:val="single" w:sz="4" w:space="0" w:color="auto"/>
              <w:right w:val="nil"/>
            </w:tcBorders>
            <w:vAlign w:val="bottom"/>
            <w:hideMark/>
          </w:tcPr>
          <w:p w14:paraId="786B346A" w14:textId="77777777" w:rsidR="00395491" w:rsidRPr="00F65403" w:rsidRDefault="00395491" w:rsidP="005B367E">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344,000</w:t>
            </w:r>
          </w:p>
        </w:tc>
        <w:tc>
          <w:tcPr>
            <w:tcW w:w="732" w:type="pct"/>
            <w:tcBorders>
              <w:top w:val="single" w:sz="4" w:space="0" w:color="auto"/>
              <w:left w:val="nil"/>
              <w:bottom w:val="single" w:sz="4" w:space="0" w:color="auto"/>
              <w:right w:val="nil"/>
            </w:tcBorders>
            <w:vAlign w:val="bottom"/>
            <w:hideMark/>
          </w:tcPr>
          <w:p w14:paraId="43C6CDE7" w14:textId="77777777" w:rsidR="00395491" w:rsidRPr="00F65403" w:rsidRDefault="00395491" w:rsidP="005B367E">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336,136</w:t>
            </w:r>
          </w:p>
        </w:tc>
      </w:tr>
      <w:tr w:rsidR="00395491" w:rsidRPr="0073009A" w14:paraId="090061D5" w14:textId="77777777" w:rsidTr="0010235E">
        <w:tc>
          <w:tcPr>
            <w:tcW w:w="3536" w:type="pct"/>
            <w:gridSpan w:val="3"/>
            <w:tcBorders>
              <w:top w:val="nil"/>
              <w:left w:val="nil"/>
              <w:bottom w:val="nil"/>
              <w:right w:val="nil"/>
            </w:tcBorders>
            <w:noWrap/>
            <w:vAlign w:val="center"/>
            <w:hideMark/>
          </w:tcPr>
          <w:p w14:paraId="77CF8525" w14:textId="77777777" w:rsidR="00395491" w:rsidRPr="00F65403" w:rsidRDefault="00395491" w:rsidP="00395491">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Payments</w:t>
            </w:r>
          </w:p>
        </w:tc>
        <w:tc>
          <w:tcPr>
            <w:tcW w:w="732" w:type="pct"/>
            <w:tcBorders>
              <w:top w:val="single" w:sz="4" w:space="0" w:color="auto"/>
              <w:left w:val="nil"/>
              <w:bottom w:val="nil"/>
              <w:right w:val="nil"/>
            </w:tcBorders>
            <w:vAlign w:val="bottom"/>
            <w:hideMark/>
          </w:tcPr>
          <w:p w14:paraId="6F33CA82" w14:textId="77777777" w:rsidR="00395491" w:rsidRPr="00F65403" w:rsidRDefault="00395491" w:rsidP="005B367E">
            <w:pPr>
              <w:tabs>
                <w:tab w:val="decimal" w:pos="964"/>
              </w:tabs>
              <w:spacing w:after="0" w:line="240" w:lineRule="auto"/>
              <w:rPr>
                <w:rFonts w:eastAsia="Times New Roman" w:cs="Arial"/>
                <w:i/>
                <w:color w:val="000000"/>
                <w:sz w:val="20"/>
                <w:szCs w:val="20"/>
                <w:lang w:eastAsia="en-AU"/>
              </w:rPr>
            </w:pPr>
          </w:p>
        </w:tc>
        <w:tc>
          <w:tcPr>
            <w:tcW w:w="732" w:type="pct"/>
            <w:tcBorders>
              <w:top w:val="single" w:sz="4" w:space="0" w:color="auto"/>
              <w:left w:val="nil"/>
              <w:bottom w:val="nil"/>
              <w:right w:val="nil"/>
            </w:tcBorders>
            <w:vAlign w:val="bottom"/>
            <w:hideMark/>
          </w:tcPr>
          <w:p w14:paraId="30ECD6FC" w14:textId="77777777" w:rsidR="00395491" w:rsidRPr="00F65403" w:rsidRDefault="00395491" w:rsidP="005B367E">
            <w:pPr>
              <w:tabs>
                <w:tab w:val="decimal" w:pos="964"/>
              </w:tabs>
              <w:spacing w:after="0" w:line="240" w:lineRule="auto"/>
              <w:rPr>
                <w:rFonts w:eastAsia="Times New Roman" w:cs="Arial"/>
                <w:sz w:val="20"/>
                <w:szCs w:val="20"/>
                <w:lang w:eastAsia="en-AU"/>
              </w:rPr>
            </w:pPr>
          </w:p>
        </w:tc>
      </w:tr>
      <w:tr w:rsidR="00395491" w:rsidRPr="0073009A" w14:paraId="3E4EF920" w14:textId="77777777" w:rsidTr="49BCD735">
        <w:trPr>
          <w:gridAfter w:val="3"/>
          <w:wAfter w:w="6384" w:type="dxa"/>
        </w:trPr>
        <w:tc>
          <w:tcPr>
            <w:tcW w:w="732" w:type="pct"/>
            <w:tcBorders>
              <w:top w:val="nil"/>
              <w:left w:val="nil"/>
              <w:bottom w:val="nil"/>
              <w:right w:val="nil"/>
            </w:tcBorders>
            <w:vAlign w:val="bottom"/>
            <w:hideMark/>
          </w:tcPr>
          <w:p w14:paraId="5418F733"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p>
        </w:tc>
        <w:tc>
          <w:tcPr>
            <w:tcW w:w="732" w:type="pct"/>
            <w:tcBorders>
              <w:top w:val="nil"/>
              <w:left w:val="nil"/>
              <w:bottom w:val="nil"/>
              <w:right w:val="nil"/>
            </w:tcBorders>
            <w:vAlign w:val="bottom"/>
            <w:hideMark/>
          </w:tcPr>
          <w:p w14:paraId="5CD04E0C" w14:textId="77777777" w:rsidR="00395491" w:rsidRPr="00F65403" w:rsidRDefault="00395491" w:rsidP="005B367E">
            <w:pPr>
              <w:tabs>
                <w:tab w:val="decimal" w:pos="964"/>
              </w:tabs>
              <w:spacing w:after="0" w:line="240" w:lineRule="auto"/>
              <w:rPr>
                <w:rFonts w:eastAsia="Times New Roman" w:cs="Arial"/>
                <w:sz w:val="20"/>
                <w:szCs w:val="20"/>
                <w:lang w:eastAsia="en-AU"/>
              </w:rPr>
            </w:pPr>
          </w:p>
        </w:tc>
      </w:tr>
      <w:tr w:rsidR="00395491" w:rsidRPr="0073009A" w14:paraId="1E663B35" w14:textId="77777777" w:rsidTr="49BCD735">
        <w:tc>
          <w:tcPr>
            <w:tcW w:w="3536" w:type="pct"/>
            <w:gridSpan w:val="3"/>
            <w:tcBorders>
              <w:top w:val="nil"/>
              <w:left w:val="nil"/>
              <w:bottom w:val="nil"/>
              <w:right w:val="nil"/>
            </w:tcBorders>
            <w:vAlign w:val="center"/>
            <w:hideMark/>
          </w:tcPr>
          <w:p w14:paraId="76B82780" w14:textId="616CAA46"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Department of </w:t>
            </w:r>
            <w:r w:rsidR="002B4986">
              <w:rPr>
                <w:rFonts w:eastAsia="Times New Roman" w:cs="Arial"/>
                <w:color w:val="000000"/>
                <w:sz w:val="20"/>
                <w:szCs w:val="20"/>
                <w:lang w:eastAsia="en-AU"/>
              </w:rPr>
              <w:t>Energy, Environment and Climate Action</w:t>
            </w:r>
          </w:p>
        </w:tc>
        <w:tc>
          <w:tcPr>
            <w:tcW w:w="732" w:type="pct"/>
            <w:tcBorders>
              <w:top w:val="nil"/>
              <w:left w:val="nil"/>
              <w:bottom w:val="nil"/>
              <w:right w:val="nil"/>
            </w:tcBorders>
            <w:vAlign w:val="bottom"/>
            <w:hideMark/>
          </w:tcPr>
          <w:p w14:paraId="11D04267" w14:textId="20CD2111" w:rsidR="00395491" w:rsidRPr="00F65403" w:rsidRDefault="0079655E" w:rsidP="005B367E">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897</w:t>
            </w:r>
          </w:p>
        </w:tc>
        <w:tc>
          <w:tcPr>
            <w:tcW w:w="732" w:type="pct"/>
            <w:tcBorders>
              <w:top w:val="nil"/>
              <w:left w:val="nil"/>
              <w:bottom w:val="nil"/>
              <w:right w:val="nil"/>
            </w:tcBorders>
            <w:vAlign w:val="bottom"/>
            <w:hideMark/>
          </w:tcPr>
          <w:p w14:paraId="7D902848" w14:textId="787A3BC0" w:rsidR="00395491" w:rsidRPr="00F65403" w:rsidRDefault="00AA703F" w:rsidP="005B367E">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395491" w:rsidRPr="0073009A" w14:paraId="3CF53B32" w14:textId="77777777" w:rsidTr="49BCD735">
        <w:tc>
          <w:tcPr>
            <w:tcW w:w="3536" w:type="pct"/>
            <w:gridSpan w:val="3"/>
            <w:tcBorders>
              <w:top w:val="nil"/>
              <w:left w:val="nil"/>
              <w:bottom w:val="nil"/>
              <w:right w:val="nil"/>
            </w:tcBorders>
            <w:vAlign w:val="center"/>
            <w:hideMark/>
          </w:tcPr>
          <w:p w14:paraId="52FA2D34"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Government Services</w:t>
            </w:r>
          </w:p>
        </w:tc>
        <w:tc>
          <w:tcPr>
            <w:tcW w:w="732" w:type="pct"/>
            <w:tcBorders>
              <w:top w:val="nil"/>
              <w:left w:val="nil"/>
              <w:bottom w:val="nil"/>
              <w:right w:val="nil"/>
            </w:tcBorders>
            <w:vAlign w:val="bottom"/>
            <w:hideMark/>
          </w:tcPr>
          <w:p w14:paraId="62A512A2" w14:textId="34F375CA" w:rsidR="00395491" w:rsidRPr="00F65403" w:rsidRDefault="0064154F" w:rsidP="005B367E">
            <w:pPr>
              <w:tabs>
                <w:tab w:val="decimal" w:pos="964"/>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9</w:t>
            </w:r>
          </w:p>
        </w:tc>
        <w:tc>
          <w:tcPr>
            <w:tcW w:w="732" w:type="pct"/>
            <w:tcBorders>
              <w:top w:val="nil"/>
              <w:left w:val="nil"/>
              <w:bottom w:val="nil"/>
              <w:right w:val="nil"/>
            </w:tcBorders>
            <w:vAlign w:val="bottom"/>
            <w:hideMark/>
          </w:tcPr>
          <w:p w14:paraId="71C8BC85" w14:textId="5A4F3977" w:rsidR="00395491" w:rsidRPr="00F65403" w:rsidRDefault="00111C77" w:rsidP="005B367E">
            <w:pPr>
              <w:tabs>
                <w:tab w:val="decimal" w:pos="964"/>
              </w:tabs>
              <w:spacing w:after="0" w:line="240" w:lineRule="auto"/>
              <w:rPr>
                <w:rFonts w:eastAsia="Times New Roman" w:cs="Arial"/>
                <w:sz w:val="20"/>
                <w:szCs w:val="20"/>
                <w:lang w:eastAsia="en-AU"/>
              </w:rPr>
            </w:pPr>
            <w:r w:rsidRPr="49BCD735">
              <w:rPr>
                <w:rFonts w:eastAsia="Times New Roman" w:cs="Arial"/>
                <w:sz w:val="20"/>
                <w:szCs w:val="20"/>
                <w:lang w:eastAsia="en-AU"/>
              </w:rPr>
              <w:t>-</w:t>
            </w:r>
          </w:p>
        </w:tc>
      </w:tr>
      <w:tr w:rsidR="00395491" w:rsidRPr="0073009A" w14:paraId="55DC2A9A" w14:textId="77777777" w:rsidTr="49BCD735">
        <w:tc>
          <w:tcPr>
            <w:tcW w:w="3536" w:type="pct"/>
            <w:gridSpan w:val="3"/>
            <w:tcBorders>
              <w:top w:val="nil"/>
              <w:left w:val="nil"/>
              <w:bottom w:val="nil"/>
              <w:right w:val="nil"/>
            </w:tcBorders>
            <w:vAlign w:val="center"/>
            <w:hideMark/>
          </w:tcPr>
          <w:p w14:paraId="26ECB0D3"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Jobs, Skills, Industry and Regions</w:t>
            </w:r>
          </w:p>
        </w:tc>
        <w:tc>
          <w:tcPr>
            <w:tcW w:w="732" w:type="pct"/>
            <w:tcBorders>
              <w:top w:val="nil"/>
              <w:left w:val="nil"/>
              <w:bottom w:val="nil"/>
              <w:right w:val="nil"/>
            </w:tcBorders>
            <w:vAlign w:val="bottom"/>
            <w:hideMark/>
          </w:tcPr>
          <w:p w14:paraId="61486950"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2,750</w:t>
            </w:r>
          </w:p>
        </w:tc>
        <w:tc>
          <w:tcPr>
            <w:tcW w:w="732" w:type="pct"/>
            <w:tcBorders>
              <w:top w:val="nil"/>
              <w:left w:val="nil"/>
              <w:bottom w:val="nil"/>
              <w:right w:val="nil"/>
            </w:tcBorders>
            <w:noWrap/>
            <w:vAlign w:val="bottom"/>
            <w:hideMark/>
          </w:tcPr>
          <w:p w14:paraId="31FD1A06" w14:textId="237EA233" w:rsidR="00395491" w:rsidRPr="00F65403" w:rsidRDefault="00FA5F1A"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395491" w:rsidRPr="0073009A" w14:paraId="7C2B9DFD" w14:textId="77777777" w:rsidTr="49BCD735">
        <w:tc>
          <w:tcPr>
            <w:tcW w:w="3536" w:type="pct"/>
            <w:gridSpan w:val="3"/>
            <w:tcBorders>
              <w:top w:val="nil"/>
              <w:left w:val="nil"/>
              <w:bottom w:val="nil"/>
              <w:right w:val="nil"/>
            </w:tcBorders>
            <w:vAlign w:val="center"/>
            <w:hideMark/>
          </w:tcPr>
          <w:p w14:paraId="7A5B284A"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Victorian Government Solicitor's Office</w:t>
            </w:r>
          </w:p>
        </w:tc>
        <w:tc>
          <w:tcPr>
            <w:tcW w:w="732" w:type="pct"/>
            <w:tcBorders>
              <w:top w:val="nil"/>
              <w:left w:val="nil"/>
              <w:bottom w:val="nil"/>
              <w:right w:val="nil"/>
            </w:tcBorders>
            <w:noWrap/>
            <w:vAlign w:val="bottom"/>
            <w:hideMark/>
          </w:tcPr>
          <w:p w14:paraId="162590A0" w14:textId="5CCE0DC7" w:rsidR="00395491" w:rsidRPr="00F65403" w:rsidRDefault="0064154F" w:rsidP="005B367E">
            <w:pPr>
              <w:tabs>
                <w:tab w:val="decimal" w:pos="964"/>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7</w:t>
            </w:r>
          </w:p>
        </w:tc>
        <w:tc>
          <w:tcPr>
            <w:tcW w:w="732" w:type="pct"/>
            <w:tcBorders>
              <w:top w:val="nil"/>
              <w:left w:val="nil"/>
              <w:bottom w:val="nil"/>
              <w:right w:val="nil"/>
            </w:tcBorders>
            <w:noWrap/>
            <w:vAlign w:val="bottom"/>
            <w:hideMark/>
          </w:tcPr>
          <w:p w14:paraId="3A2A19C6" w14:textId="31AFA841" w:rsidR="00395491" w:rsidRPr="00F65403" w:rsidRDefault="00111C77" w:rsidP="005B367E">
            <w:pPr>
              <w:tabs>
                <w:tab w:val="decimal" w:pos="964"/>
              </w:tabs>
              <w:spacing w:after="0" w:line="240" w:lineRule="auto"/>
              <w:rPr>
                <w:rFonts w:eastAsia="Times New Roman" w:cs="Arial"/>
                <w:sz w:val="20"/>
                <w:szCs w:val="20"/>
                <w:lang w:eastAsia="en-AU"/>
              </w:rPr>
            </w:pPr>
            <w:r w:rsidRPr="49BCD735">
              <w:rPr>
                <w:rFonts w:eastAsia="Times New Roman" w:cs="Arial"/>
                <w:sz w:val="20"/>
                <w:szCs w:val="20"/>
                <w:lang w:eastAsia="en-AU"/>
              </w:rPr>
              <w:t>-</w:t>
            </w:r>
          </w:p>
        </w:tc>
      </w:tr>
      <w:tr w:rsidR="00395491" w:rsidRPr="0073009A" w14:paraId="499D8349" w14:textId="77777777" w:rsidTr="0010235E">
        <w:tc>
          <w:tcPr>
            <w:tcW w:w="3536" w:type="pct"/>
            <w:gridSpan w:val="3"/>
            <w:tcBorders>
              <w:top w:val="nil"/>
              <w:left w:val="nil"/>
              <w:bottom w:val="nil"/>
              <w:right w:val="nil"/>
            </w:tcBorders>
            <w:vAlign w:val="center"/>
            <w:hideMark/>
          </w:tcPr>
          <w:p w14:paraId="3058E3AE"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Victorian Managed Insurance Authority</w:t>
            </w:r>
          </w:p>
        </w:tc>
        <w:tc>
          <w:tcPr>
            <w:tcW w:w="732" w:type="pct"/>
            <w:tcBorders>
              <w:top w:val="nil"/>
              <w:left w:val="nil"/>
              <w:bottom w:val="single" w:sz="4" w:space="0" w:color="auto"/>
              <w:right w:val="nil"/>
            </w:tcBorders>
            <w:vAlign w:val="bottom"/>
            <w:hideMark/>
          </w:tcPr>
          <w:p w14:paraId="5D234BEC"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180</w:t>
            </w:r>
          </w:p>
        </w:tc>
        <w:tc>
          <w:tcPr>
            <w:tcW w:w="732" w:type="pct"/>
            <w:tcBorders>
              <w:top w:val="nil"/>
              <w:left w:val="nil"/>
              <w:bottom w:val="single" w:sz="4" w:space="0" w:color="auto"/>
              <w:right w:val="nil"/>
            </w:tcBorders>
            <w:noWrap/>
            <w:vAlign w:val="bottom"/>
            <w:hideMark/>
          </w:tcPr>
          <w:p w14:paraId="2E24820A" w14:textId="566463A0" w:rsidR="00395491" w:rsidRPr="00F65403" w:rsidRDefault="00FA5F1A"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395491" w:rsidRPr="0073009A" w14:paraId="0C39ABC9" w14:textId="77777777" w:rsidTr="0010235E">
        <w:tc>
          <w:tcPr>
            <w:tcW w:w="3536" w:type="pct"/>
            <w:gridSpan w:val="3"/>
            <w:tcBorders>
              <w:top w:val="nil"/>
              <w:left w:val="nil"/>
              <w:bottom w:val="nil"/>
              <w:right w:val="nil"/>
            </w:tcBorders>
            <w:noWrap/>
            <w:vAlign w:val="center"/>
            <w:hideMark/>
          </w:tcPr>
          <w:p w14:paraId="3AC27690" w14:textId="77777777" w:rsidR="00395491" w:rsidRPr="00F65403" w:rsidRDefault="00395491" w:rsidP="00395491">
            <w:pPr>
              <w:spacing w:after="0" w:line="240" w:lineRule="auto"/>
              <w:jc w:val="right"/>
              <w:rPr>
                <w:rFonts w:eastAsia="Times New Roman" w:cs="Arial"/>
                <w:color w:val="000000"/>
                <w:sz w:val="20"/>
                <w:szCs w:val="20"/>
                <w:lang w:eastAsia="en-AU"/>
              </w:rPr>
            </w:pPr>
          </w:p>
        </w:tc>
        <w:tc>
          <w:tcPr>
            <w:tcW w:w="732" w:type="pct"/>
            <w:tcBorders>
              <w:top w:val="single" w:sz="4" w:space="0" w:color="auto"/>
              <w:left w:val="nil"/>
              <w:bottom w:val="single" w:sz="4" w:space="0" w:color="auto"/>
              <w:right w:val="nil"/>
            </w:tcBorders>
            <w:noWrap/>
            <w:vAlign w:val="bottom"/>
            <w:hideMark/>
          </w:tcPr>
          <w:p w14:paraId="514B537E" w14:textId="045325E5" w:rsidR="00395491" w:rsidRPr="00F65403" w:rsidRDefault="009E6842" w:rsidP="005B367E">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3,843</w:t>
            </w:r>
          </w:p>
        </w:tc>
        <w:tc>
          <w:tcPr>
            <w:tcW w:w="732" w:type="pct"/>
            <w:tcBorders>
              <w:top w:val="single" w:sz="4" w:space="0" w:color="auto"/>
              <w:left w:val="nil"/>
              <w:bottom w:val="single" w:sz="4" w:space="0" w:color="auto"/>
              <w:right w:val="nil"/>
            </w:tcBorders>
            <w:noWrap/>
            <w:vAlign w:val="bottom"/>
            <w:hideMark/>
          </w:tcPr>
          <w:p w14:paraId="51CEF92A" w14:textId="04E18076" w:rsidR="00395491" w:rsidRPr="00F65403" w:rsidRDefault="00AA703F" w:rsidP="005B367E">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5B367E" w:rsidRPr="00F65403" w14:paraId="44EC8E3D" w14:textId="77777777" w:rsidTr="0010235E">
        <w:tc>
          <w:tcPr>
            <w:tcW w:w="3536" w:type="pct"/>
            <w:gridSpan w:val="3"/>
            <w:tcBorders>
              <w:top w:val="nil"/>
              <w:left w:val="nil"/>
              <w:bottom w:val="nil"/>
              <w:right w:val="nil"/>
            </w:tcBorders>
            <w:noWrap/>
            <w:vAlign w:val="bottom"/>
          </w:tcPr>
          <w:p w14:paraId="702132D6" w14:textId="77777777" w:rsidR="005B367E" w:rsidRPr="00F65403" w:rsidRDefault="005B367E" w:rsidP="00395491">
            <w:pPr>
              <w:spacing w:after="0" w:line="240" w:lineRule="auto"/>
              <w:rPr>
                <w:rFonts w:eastAsia="Times New Roman" w:cs="Arial"/>
                <w:i/>
                <w:color w:val="000000"/>
                <w:sz w:val="20"/>
                <w:szCs w:val="20"/>
                <w:lang w:eastAsia="en-AU"/>
              </w:rPr>
            </w:pPr>
          </w:p>
        </w:tc>
        <w:tc>
          <w:tcPr>
            <w:tcW w:w="732" w:type="pct"/>
            <w:tcBorders>
              <w:top w:val="single" w:sz="4" w:space="0" w:color="auto"/>
              <w:left w:val="nil"/>
              <w:bottom w:val="nil"/>
              <w:right w:val="nil"/>
            </w:tcBorders>
            <w:noWrap/>
            <w:vAlign w:val="bottom"/>
          </w:tcPr>
          <w:p w14:paraId="44A82192" w14:textId="77777777" w:rsidR="005B367E" w:rsidRPr="00F65403" w:rsidRDefault="005B367E" w:rsidP="005B367E">
            <w:pPr>
              <w:tabs>
                <w:tab w:val="decimal" w:pos="964"/>
              </w:tabs>
              <w:spacing w:after="0" w:line="240" w:lineRule="auto"/>
              <w:rPr>
                <w:rFonts w:eastAsia="Times New Roman" w:cs="Arial"/>
                <w:i/>
                <w:color w:val="000000"/>
                <w:sz w:val="20"/>
                <w:szCs w:val="20"/>
                <w:lang w:eastAsia="en-AU"/>
              </w:rPr>
            </w:pPr>
          </w:p>
        </w:tc>
        <w:tc>
          <w:tcPr>
            <w:tcW w:w="732" w:type="pct"/>
            <w:tcBorders>
              <w:top w:val="single" w:sz="4" w:space="0" w:color="auto"/>
              <w:left w:val="nil"/>
              <w:bottom w:val="nil"/>
              <w:right w:val="nil"/>
            </w:tcBorders>
            <w:noWrap/>
            <w:vAlign w:val="bottom"/>
          </w:tcPr>
          <w:p w14:paraId="011CB230" w14:textId="77777777" w:rsidR="005B367E" w:rsidRPr="00F65403" w:rsidRDefault="005B367E" w:rsidP="005B367E">
            <w:pPr>
              <w:tabs>
                <w:tab w:val="decimal" w:pos="964"/>
              </w:tabs>
              <w:spacing w:after="0" w:line="240" w:lineRule="auto"/>
              <w:rPr>
                <w:rFonts w:eastAsia="Times New Roman" w:cs="Arial"/>
                <w:sz w:val="20"/>
                <w:szCs w:val="20"/>
                <w:lang w:eastAsia="en-AU"/>
              </w:rPr>
            </w:pPr>
          </w:p>
        </w:tc>
      </w:tr>
      <w:tr w:rsidR="005B367E" w:rsidRPr="00F65403" w14:paraId="68A35AAE" w14:textId="77777777" w:rsidTr="49BCD735">
        <w:tc>
          <w:tcPr>
            <w:tcW w:w="3536" w:type="pct"/>
            <w:gridSpan w:val="3"/>
            <w:tcBorders>
              <w:top w:val="nil"/>
              <w:left w:val="nil"/>
              <w:bottom w:val="nil"/>
              <w:right w:val="nil"/>
            </w:tcBorders>
            <w:noWrap/>
            <w:vAlign w:val="bottom"/>
          </w:tcPr>
          <w:p w14:paraId="6C14B5CF" w14:textId="77777777" w:rsidR="005B367E" w:rsidRPr="00F65403" w:rsidRDefault="005B367E" w:rsidP="005B367E">
            <w:pPr>
              <w:spacing w:after="0" w:line="240" w:lineRule="auto"/>
              <w:rPr>
                <w:rFonts w:eastAsia="Times New Roman" w:cs="Arial"/>
                <w:i/>
                <w:color w:val="000000"/>
                <w:sz w:val="20"/>
                <w:szCs w:val="20"/>
                <w:lang w:eastAsia="en-AU"/>
              </w:rPr>
            </w:pPr>
          </w:p>
        </w:tc>
        <w:tc>
          <w:tcPr>
            <w:tcW w:w="732" w:type="pct"/>
            <w:tcBorders>
              <w:top w:val="nil"/>
              <w:left w:val="nil"/>
              <w:bottom w:val="nil"/>
              <w:right w:val="nil"/>
            </w:tcBorders>
            <w:noWrap/>
            <w:vAlign w:val="bottom"/>
          </w:tcPr>
          <w:p w14:paraId="718FB338" w14:textId="6D76E62C" w:rsidR="005B367E" w:rsidRPr="00F65403" w:rsidRDefault="005B367E" w:rsidP="005B367E">
            <w:pPr>
              <w:spacing w:after="0" w:line="240" w:lineRule="auto"/>
              <w:jc w:val="center"/>
              <w:rPr>
                <w:rFonts w:eastAsia="Times New Roman" w:cs="Arial"/>
                <w:i/>
                <w:color w:val="000000"/>
                <w:sz w:val="20"/>
                <w:szCs w:val="20"/>
                <w:lang w:eastAsia="en-AU"/>
              </w:rPr>
            </w:pPr>
            <w:r w:rsidRPr="00F65403">
              <w:rPr>
                <w:rFonts w:eastAsia="Times New Roman" w:cs="Arial"/>
                <w:b/>
                <w:color w:val="000000"/>
                <w:sz w:val="20"/>
                <w:szCs w:val="20"/>
                <w:lang w:eastAsia="en-AU"/>
              </w:rPr>
              <w:t>2025</w:t>
            </w:r>
          </w:p>
        </w:tc>
        <w:tc>
          <w:tcPr>
            <w:tcW w:w="732" w:type="pct"/>
            <w:tcBorders>
              <w:top w:val="nil"/>
              <w:left w:val="nil"/>
              <w:bottom w:val="nil"/>
              <w:right w:val="nil"/>
            </w:tcBorders>
            <w:noWrap/>
            <w:vAlign w:val="bottom"/>
          </w:tcPr>
          <w:p w14:paraId="30DB5046" w14:textId="61775267" w:rsidR="005B367E" w:rsidRPr="00F65403" w:rsidRDefault="005B367E" w:rsidP="005B367E">
            <w:pPr>
              <w:spacing w:after="0" w:line="240" w:lineRule="auto"/>
              <w:jc w:val="center"/>
              <w:rPr>
                <w:rFonts w:eastAsia="Times New Roman" w:cs="Arial"/>
                <w:sz w:val="20"/>
                <w:szCs w:val="20"/>
                <w:lang w:eastAsia="en-AU"/>
              </w:rPr>
            </w:pPr>
            <w:r>
              <w:rPr>
                <w:rFonts w:eastAsia="Times New Roman" w:cs="Arial"/>
                <w:b/>
                <w:color w:val="000000"/>
                <w:sz w:val="20"/>
                <w:szCs w:val="20"/>
                <w:lang w:eastAsia="en-AU"/>
              </w:rPr>
              <w:t>2024</w:t>
            </w:r>
          </w:p>
        </w:tc>
      </w:tr>
      <w:tr w:rsidR="00395491" w:rsidRPr="0073009A" w14:paraId="0C41B732" w14:textId="77777777" w:rsidTr="49BCD735">
        <w:tc>
          <w:tcPr>
            <w:tcW w:w="3536" w:type="pct"/>
            <w:gridSpan w:val="3"/>
            <w:tcBorders>
              <w:top w:val="nil"/>
              <w:left w:val="nil"/>
              <w:bottom w:val="nil"/>
              <w:right w:val="nil"/>
            </w:tcBorders>
            <w:noWrap/>
            <w:vAlign w:val="bottom"/>
            <w:hideMark/>
          </w:tcPr>
          <w:p w14:paraId="1B7FE43C" w14:textId="77777777" w:rsidR="00395491" w:rsidRPr="00F65403" w:rsidRDefault="00395491" w:rsidP="00395491">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Payable at 30 June</w:t>
            </w:r>
          </w:p>
        </w:tc>
        <w:tc>
          <w:tcPr>
            <w:tcW w:w="732" w:type="pct"/>
            <w:tcBorders>
              <w:top w:val="nil"/>
              <w:left w:val="nil"/>
              <w:bottom w:val="nil"/>
              <w:right w:val="nil"/>
            </w:tcBorders>
            <w:noWrap/>
            <w:vAlign w:val="bottom"/>
            <w:hideMark/>
          </w:tcPr>
          <w:p w14:paraId="14639DB4" w14:textId="36EA396E" w:rsidR="00395491" w:rsidRPr="00F65403" w:rsidRDefault="005B367E" w:rsidP="005B367E">
            <w:pPr>
              <w:spacing w:after="0" w:line="240" w:lineRule="auto"/>
              <w:jc w:val="center"/>
              <w:rPr>
                <w:rFonts w:eastAsia="Times New Roman" w:cs="Arial"/>
                <w:i/>
                <w:color w:val="000000"/>
                <w:sz w:val="20"/>
                <w:szCs w:val="20"/>
                <w:lang w:eastAsia="en-AU"/>
              </w:rPr>
            </w:pPr>
            <w:r w:rsidRPr="00F65403">
              <w:rPr>
                <w:rFonts w:eastAsia="Times New Roman" w:cs="Arial"/>
                <w:b/>
                <w:bCs/>
                <w:color w:val="000000"/>
                <w:sz w:val="20"/>
                <w:szCs w:val="20"/>
                <w:lang w:eastAsia="en-AU"/>
              </w:rPr>
              <w:t>$000's</w:t>
            </w:r>
          </w:p>
        </w:tc>
        <w:tc>
          <w:tcPr>
            <w:tcW w:w="732" w:type="pct"/>
            <w:tcBorders>
              <w:top w:val="nil"/>
              <w:left w:val="nil"/>
              <w:bottom w:val="nil"/>
              <w:right w:val="nil"/>
            </w:tcBorders>
            <w:noWrap/>
            <w:vAlign w:val="bottom"/>
            <w:hideMark/>
          </w:tcPr>
          <w:p w14:paraId="4CA5B5F1" w14:textId="52A9FBF7" w:rsidR="00395491" w:rsidRPr="00F65403" w:rsidRDefault="005B367E" w:rsidP="005B367E">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$000's</w:t>
            </w:r>
          </w:p>
        </w:tc>
      </w:tr>
      <w:tr w:rsidR="00395491" w:rsidRPr="0073009A" w14:paraId="479E9E6F" w14:textId="77777777" w:rsidTr="49BCD735">
        <w:tc>
          <w:tcPr>
            <w:tcW w:w="3536" w:type="pct"/>
            <w:gridSpan w:val="3"/>
            <w:tcBorders>
              <w:top w:val="nil"/>
              <w:left w:val="nil"/>
              <w:bottom w:val="nil"/>
              <w:right w:val="nil"/>
            </w:tcBorders>
            <w:vAlign w:val="center"/>
            <w:hideMark/>
          </w:tcPr>
          <w:p w14:paraId="501DA812"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Energy, Environment and Climate Action</w:t>
            </w:r>
          </w:p>
        </w:tc>
        <w:tc>
          <w:tcPr>
            <w:tcW w:w="732" w:type="pct"/>
            <w:tcBorders>
              <w:top w:val="nil"/>
              <w:left w:val="nil"/>
              <w:bottom w:val="nil"/>
              <w:right w:val="nil"/>
            </w:tcBorders>
            <w:vAlign w:val="center"/>
            <w:hideMark/>
          </w:tcPr>
          <w:p w14:paraId="1CC58924" w14:textId="3E96316A" w:rsidR="00395491" w:rsidRPr="00F65403" w:rsidRDefault="0064154F" w:rsidP="005B367E">
            <w:pPr>
              <w:tabs>
                <w:tab w:val="decimal" w:pos="964"/>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p>
        </w:tc>
        <w:tc>
          <w:tcPr>
            <w:tcW w:w="732" w:type="pct"/>
            <w:tcBorders>
              <w:top w:val="nil"/>
              <w:left w:val="nil"/>
              <w:bottom w:val="nil"/>
              <w:right w:val="nil"/>
            </w:tcBorders>
            <w:noWrap/>
            <w:vAlign w:val="center"/>
            <w:hideMark/>
          </w:tcPr>
          <w:p w14:paraId="612AF24F"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453</w:t>
            </w:r>
          </w:p>
        </w:tc>
      </w:tr>
      <w:tr w:rsidR="00395491" w:rsidRPr="0073009A" w14:paraId="47E9BE8D" w14:textId="77777777" w:rsidTr="0010235E">
        <w:tc>
          <w:tcPr>
            <w:tcW w:w="3536" w:type="pct"/>
            <w:gridSpan w:val="3"/>
            <w:tcBorders>
              <w:top w:val="nil"/>
              <w:left w:val="nil"/>
              <w:bottom w:val="nil"/>
              <w:right w:val="nil"/>
            </w:tcBorders>
            <w:vAlign w:val="center"/>
            <w:hideMark/>
          </w:tcPr>
          <w:p w14:paraId="2B30EB15" w14:textId="77777777" w:rsidR="00395491" w:rsidRPr="00F65403" w:rsidRDefault="00395491" w:rsidP="0039549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Department of Jobs, Skills, Industry and Regions</w:t>
            </w:r>
          </w:p>
        </w:tc>
        <w:tc>
          <w:tcPr>
            <w:tcW w:w="732" w:type="pct"/>
            <w:tcBorders>
              <w:top w:val="nil"/>
              <w:left w:val="nil"/>
              <w:bottom w:val="single" w:sz="4" w:space="0" w:color="auto"/>
              <w:right w:val="nil"/>
            </w:tcBorders>
            <w:noWrap/>
            <w:vAlign w:val="center"/>
            <w:hideMark/>
          </w:tcPr>
          <w:p w14:paraId="0EB7478B" w14:textId="6EC9B6A3" w:rsidR="00395491" w:rsidRPr="00F65403" w:rsidRDefault="0064154F" w:rsidP="005B367E">
            <w:pPr>
              <w:tabs>
                <w:tab w:val="decimal" w:pos="964"/>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p>
        </w:tc>
        <w:tc>
          <w:tcPr>
            <w:tcW w:w="732" w:type="pct"/>
            <w:tcBorders>
              <w:top w:val="nil"/>
              <w:left w:val="nil"/>
              <w:bottom w:val="single" w:sz="4" w:space="0" w:color="auto"/>
              <w:right w:val="nil"/>
            </w:tcBorders>
            <w:vAlign w:val="center"/>
            <w:hideMark/>
          </w:tcPr>
          <w:p w14:paraId="28405AD7" w14:textId="77777777" w:rsidR="00395491" w:rsidRPr="00F65403" w:rsidRDefault="00395491"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1,375</w:t>
            </w:r>
          </w:p>
        </w:tc>
      </w:tr>
      <w:tr w:rsidR="00395491" w:rsidRPr="0073009A" w14:paraId="2E09F293" w14:textId="77777777" w:rsidTr="0010235E">
        <w:tc>
          <w:tcPr>
            <w:tcW w:w="3536" w:type="pct"/>
            <w:gridSpan w:val="3"/>
            <w:tcBorders>
              <w:top w:val="nil"/>
              <w:left w:val="nil"/>
              <w:bottom w:val="nil"/>
              <w:right w:val="nil"/>
            </w:tcBorders>
            <w:noWrap/>
            <w:vAlign w:val="bottom"/>
            <w:hideMark/>
          </w:tcPr>
          <w:p w14:paraId="6D3FF5E5" w14:textId="77777777" w:rsidR="00395491" w:rsidRPr="00F65403" w:rsidRDefault="00395491" w:rsidP="00395491">
            <w:pPr>
              <w:spacing w:after="0" w:line="240" w:lineRule="auto"/>
              <w:jc w:val="right"/>
              <w:rPr>
                <w:rFonts w:eastAsia="Times New Roman" w:cs="Arial"/>
                <w:color w:val="000000"/>
                <w:sz w:val="20"/>
                <w:szCs w:val="20"/>
                <w:lang w:eastAsia="en-AU"/>
              </w:rPr>
            </w:pPr>
          </w:p>
        </w:tc>
        <w:tc>
          <w:tcPr>
            <w:tcW w:w="732" w:type="pct"/>
            <w:tcBorders>
              <w:top w:val="single" w:sz="4" w:space="0" w:color="auto"/>
              <w:left w:val="nil"/>
              <w:bottom w:val="single" w:sz="4" w:space="0" w:color="auto"/>
              <w:right w:val="nil"/>
            </w:tcBorders>
            <w:noWrap/>
            <w:vAlign w:val="center"/>
            <w:hideMark/>
          </w:tcPr>
          <w:p w14:paraId="49C947C1" w14:textId="3308CA4B" w:rsidR="00395491" w:rsidRPr="00F65403" w:rsidRDefault="00395491" w:rsidP="005B367E">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32" w:type="pct"/>
            <w:tcBorders>
              <w:top w:val="single" w:sz="4" w:space="0" w:color="auto"/>
              <w:left w:val="nil"/>
              <w:bottom w:val="single" w:sz="4" w:space="0" w:color="auto"/>
              <w:right w:val="nil"/>
            </w:tcBorders>
            <w:noWrap/>
            <w:vAlign w:val="center"/>
            <w:hideMark/>
          </w:tcPr>
          <w:p w14:paraId="49D290CD" w14:textId="77777777" w:rsidR="00395491" w:rsidRPr="00F65403" w:rsidRDefault="00395491" w:rsidP="005B367E">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1,828</w:t>
            </w:r>
          </w:p>
        </w:tc>
      </w:tr>
    </w:tbl>
    <w:p w14:paraId="0694847B" w14:textId="5083ED20" w:rsidR="001A6CA4" w:rsidRDefault="001A6CA4" w:rsidP="494E5549"/>
    <w:p w14:paraId="702CD564" w14:textId="77777777" w:rsidR="001A6CA4" w:rsidRDefault="001A6CA4">
      <w:r>
        <w:br w:type="page"/>
      </w:r>
    </w:p>
    <w:p w14:paraId="050A7162" w14:textId="557DB529" w:rsidR="003F1558" w:rsidRDefault="003F1558" w:rsidP="494E5549">
      <w:pPr>
        <w:rPr>
          <w:rFonts w:eastAsiaTheme="majorEastAsia" w:cstheme="majorBidi"/>
          <w:b/>
          <w:bCs/>
          <w:sz w:val="20"/>
          <w:szCs w:val="20"/>
        </w:rPr>
      </w:pPr>
    </w:p>
    <w:p w14:paraId="0FCA5CCD" w14:textId="7068DF4F" w:rsidR="00190F55" w:rsidRPr="00F65403" w:rsidRDefault="00190F55" w:rsidP="00176D78">
      <w:pPr>
        <w:pStyle w:val="Heading7"/>
      </w:pPr>
      <w:r w:rsidRPr="00F65403">
        <w:t>Auditors</w:t>
      </w:r>
      <w:r w:rsidR="00DA1E8B" w:rsidRPr="00F65403">
        <w:t>’</w:t>
      </w:r>
      <w:r w:rsidRPr="00F65403">
        <w:t xml:space="preserve"> remuneration</w:t>
      </w:r>
    </w:p>
    <w:p w14:paraId="51B28DF5" w14:textId="27C536A2" w:rsidR="00190F55" w:rsidRPr="00F65403" w:rsidRDefault="00190F55" w:rsidP="00027D53">
      <w:pPr>
        <w:pStyle w:val="BodyText"/>
        <w:rPr>
          <w:lang w:val="en-AU"/>
        </w:rPr>
      </w:pPr>
      <w:r w:rsidRPr="00F65403">
        <w:rPr>
          <w:lang w:val="en-AU"/>
        </w:rPr>
        <w:t>During the year, the following fees were paid or payable for services provided by the auditor of the parent entity:</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98"/>
        <w:gridCol w:w="1314"/>
        <w:gridCol w:w="1314"/>
      </w:tblGrid>
      <w:tr w:rsidR="009401AD" w:rsidRPr="0073009A" w14:paraId="165D612B" w14:textId="77777777" w:rsidTr="413EB596">
        <w:tc>
          <w:tcPr>
            <w:tcW w:w="3544" w:type="pct"/>
            <w:tcBorders>
              <w:top w:val="nil"/>
              <w:left w:val="nil"/>
              <w:bottom w:val="nil"/>
              <w:right w:val="nil"/>
            </w:tcBorders>
            <w:noWrap/>
            <w:vAlign w:val="bottom"/>
            <w:hideMark/>
          </w:tcPr>
          <w:p w14:paraId="68F96EC8" w14:textId="77777777" w:rsidR="009401AD" w:rsidRPr="00F65403" w:rsidRDefault="009401AD" w:rsidP="009401AD">
            <w:pPr>
              <w:spacing w:after="0" w:line="240" w:lineRule="auto"/>
              <w:rPr>
                <w:rFonts w:eastAsia="Times New Roman" w:cs="Arial"/>
                <w:sz w:val="20"/>
                <w:szCs w:val="20"/>
                <w:lang w:eastAsia="en-AU"/>
              </w:rPr>
            </w:pPr>
          </w:p>
        </w:tc>
        <w:tc>
          <w:tcPr>
            <w:tcW w:w="728" w:type="pct"/>
            <w:tcBorders>
              <w:top w:val="nil"/>
              <w:left w:val="nil"/>
              <w:bottom w:val="nil"/>
              <w:right w:val="nil"/>
            </w:tcBorders>
            <w:vAlign w:val="bottom"/>
            <w:hideMark/>
          </w:tcPr>
          <w:p w14:paraId="441BE725" w14:textId="57949A38" w:rsidR="009401AD" w:rsidRPr="00F65403" w:rsidRDefault="005B367E"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28" w:type="pct"/>
            <w:tcBorders>
              <w:top w:val="nil"/>
              <w:left w:val="nil"/>
              <w:bottom w:val="nil"/>
              <w:right w:val="nil"/>
            </w:tcBorders>
            <w:noWrap/>
            <w:vAlign w:val="bottom"/>
            <w:hideMark/>
          </w:tcPr>
          <w:p w14:paraId="7D7F43EA" w14:textId="79BFDCD6" w:rsidR="009401AD" w:rsidRPr="00F65403" w:rsidRDefault="005B367E"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25 October 2023 to 30 June 2024</w:t>
            </w:r>
          </w:p>
        </w:tc>
      </w:tr>
      <w:tr w:rsidR="009401AD" w:rsidRPr="0073009A" w14:paraId="3D81584D" w14:textId="77777777" w:rsidTr="413EB596">
        <w:tc>
          <w:tcPr>
            <w:tcW w:w="3544" w:type="pct"/>
            <w:tcBorders>
              <w:top w:val="nil"/>
              <w:left w:val="nil"/>
              <w:bottom w:val="nil"/>
              <w:right w:val="nil"/>
            </w:tcBorders>
            <w:noWrap/>
            <w:vAlign w:val="bottom"/>
            <w:hideMark/>
          </w:tcPr>
          <w:p w14:paraId="17657D86" w14:textId="77777777" w:rsidR="009401AD" w:rsidRPr="00F65403" w:rsidRDefault="009401AD" w:rsidP="009401AD">
            <w:pPr>
              <w:spacing w:after="0" w:line="240" w:lineRule="auto"/>
              <w:jc w:val="right"/>
              <w:rPr>
                <w:rFonts w:eastAsia="Times New Roman" w:cs="Arial"/>
                <w:b/>
                <w:color w:val="000000"/>
                <w:sz w:val="20"/>
                <w:szCs w:val="20"/>
                <w:lang w:eastAsia="en-AU"/>
              </w:rPr>
            </w:pPr>
          </w:p>
        </w:tc>
        <w:tc>
          <w:tcPr>
            <w:tcW w:w="728" w:type="pct"/>
            <w:tcBorders>
              <w:top w:val="nil"/>
              <w:left w:val="nil"/>
              <w:bottom w:val="nil"/>
              <w:right w:val="nil"/>
            </w:tcBorders>
            <w:noWrap/>
            <w:vAlign w:val="bottom"/>
            <w:hideMark/>
          </w:tcPr>
          <w:p w14:paraId="2B8D3B6C" w14:textId="5A09E02B" w:rsidR="009401AD" w:rsidRPr="00F65403" w:rsidRDefault="009401AD" w:rsidP="004B348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28" w:type="pct"/>
            <w:tcBorders>
              <w:top w:val="nil"/>
              <w:left w:val="nil"/>
              <w:bottom w:val="nil"/>
              <w:right w:val="nil"/>
            </w:tcBorders>
            <w:noWrap/>
            <w:vAlign w:val="bottom"/>
            <w:hideMark/>
          </w:tcPr>
          <w:p w14:paraId="642D6B7C" w14:textId="47E9BF64" w:rsidR="009401AD" w:rsidRPr="00F65403" w:rsidRDefault="009401AD" w:rsidP="004B348D">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r>
      <w:tr w:rsidR="009401AD" w:rsidRPr="0073009A" w14:paraId="6C702A50" w14:textId="77777777" w:rsidTr="413EB596">
        <w:tc>
          <w:tcPr>
            <w:tcW w:w="3544" w:type="pct"/>
            <w:tcBorders>
              <w:top w:val="nil"/>
              <w:left w:val="nil"/>
              <w:bottom w:val="nil"/>
              <w:right w:val="nil"/>
            </w:tcBorders>
            <w:vAlign w:val="bottom"/>
            <w:hideMark/>
          </w:tcPr>
          <w:p w14:paraId="26255D2A" w14:textId="77777777" w:rsidR="009401AD" w:rsidRPr="00F65403" w:rsidRDefault="009401AD" w:rsidP="009401A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Amounts received or due and receivable by the auditor of the Parent Company and any other entity in the Group for: </w:t>
            </w:r>
          </w:p>
        </w:tc>
        <w:tc>
          <w:tcPr>
            <w:tcW w:w="728" w:type="pct"/>
            <w:tcBorders>
              <w:top w:val="nil"/>
              <w:left w:val="nil"/>
              <w:bottom w:val="nil"/>
              <w:right w:val="nil"/>
            </w:tcBorders>
            <w:vAlign w:val="bottom"/>
            <w:hideMark/>
          </w:tcPr>
          <w:p w14:paraId="0273C9E9" w14:textId="77777777" w:rsidR="009401AD" w:rsidRPr="00F65403" w:rsidRDefault="009401AD" w:rsidP="005B367E">
            <w:pPr>
              <w:tabs>
                <w:tab w:val="decimal" w:pos="964"/>
              </w:tabs>
              <w:spacing w:after="0" w:line="240" w:lineRule="auto"/>
              <w:rPr>
                <w:rFonts w:eastAsia="Times New Roman" w:cs="Arial"/>
                <w:color w:val="000000"/>
                <w:sz w:val="20"/>
                <w:szCs w:val="20"/>
                <w:lang w:eastAsia="en-AU"/>
              </w:rPr>
            </w:pPr>
          </w:p>
        </w:tc>
        <w:tc>
          <w:tcPr>
            <w:tcW w:w="728" w:type="pct"/>
            <w:tcBorders>
              <w:top w:val="nil"/>
              <w:left w:val="nil"/>
              <w:bottom w:val="nil"/>
              <w:right w:val="nil"/>
            </w:tcBorders>
            <w:vAlign w:val="bottom"/>
            <w:hideMark/>
          </w:tcPr>
          <w:p w14:paraId="2F15A538" w14:textId="77777777" w:rsidR="009401AD" w:rsidRPr="00F65403" w:rsidRDefault="009401AD" w:rsidP="005B367E">
            <w:pPr>
              <w:tabs>
                <w:tab w:val="decimal" w:pos="964"/>
              </w:tabs>
              <w:spacing w:after="0" w:line="240" w:lineRule="auto"/>
              <w:rPr>
                <w:rFonts w:eastAsia="Times New Roman" w:cs="Arial"/>
                <w:sz w:val="20"/>
                <w:szCs w:val="20"/>
                <w:lang w:eastAsia="en-AU"/>
              </w:rPr>
            </w:pPr>
          </w:p>
        </w:tc>
      </w:tr>
      <w:tr w:rsidR="009401AD" w:rsidRPr="0073009A" w14:paraId="75F43C7B" w14:textId="77777777" w:rsidTr="413EB596">
        <w:tc>
          <w:tcPr>
            <w:tcW w:w="3544" w:type="pct"/>
            <w:tcBorders>
              <w:top w:val="nil"/>
              <w:left w:val="nil"/>
              <w:bottom w:val="nil"/>
              <w:right w:val="nil"/>
            </w:tcBorders>
            <w:vAlign w:val="bottom"/>
            <w:hideMark/>
          </w:tcPr>
          <w:p w14:paraId="26142F28" w14:textId="77777777" w:rsidR="009401AD" w:rsidRPr="00F65403" w:rsidRDefault="009401AD" w:rsidP="009401A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Auditing the statutory financial report of the Parent Company covering the Group </w:t>
            </w:r>
          </w:p>
        </w:tc>
        <w:tc>
          <w:tcPr>
            <w:tcW w:w="728" w:type="pct"/>
            <w:tcBorders>
              <w:top w:val="nil"/>
              <w:left w:val="nil"/>
              <w:bottom w:val="nil"/>
              <w:right w:val="nil"/>
            </w:tcBorders>
            <w:noWrap/>
            <w:vAlign w:val="bottom"/>
            <w:hideMark/>
          </w:tcPr>
          <w:p w14:paraId="6F61E12D" w14:textId="26F56514" w:rsidR="009401AD" w:rsidRPr="00F65403" w:rsidRDefault="0006109D"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190</w:t>
            </w:r>
            <w:r w:rsidR="008E5C14">
              <w:rPr>
                <w:rFonts w:eastAsia="Times New Roman" w:cs="Arial"/>
                <w:color w:val="000000"/>
                <w:sz w:val="20"/>
                <w:szCs w:val="20"/>
                <w:lang w:eastAsia="en-AU"/>
              </w:rPr>
              <w:t>,000</w:t>
            </w:r>
          </w:p>
        </w:tc>
        <w:tc>
          <w:tcPr>
            <w:tcW w:w="728" w:type="pct"/>
            <w:tcBorders>
              <w:top w:val="nil"/>
              <w:left w:val="nil"/>
              <w:bottom w:val="nil"/>
              <w:right w:val="nil"/>
            </w:tcBorders>
            <w:noWrap/>
            <w:vAlign w:val="bottom"/>
            <w:hideMark/>
          </w:tcPr>
          <w:p w14:paraId="19087EC6" w14:textId="47D2FF15" w:rsidR="009401AD" w:rsidRPr="00F65403" w:rsidRDefault="00EC74BC" w:rsidP="005B367E">
            <w:pPr>
              <w:tabs>
                <w:tab w:val="decimal" w:pos="964"/>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60</w:t>
            </w:r>
            <w:r w:rsidR="008E5C14">
              <w:rPr>
                <w:rFonts w:eastAsia="Times New Roman" w:cs="Arial"/>
                <w:color w:val="000000" w:themeColor="text1"/>
                <w:sz w:val="20"/>
                <w:szCs w:val="20"/>
                <w:lang w:eastAsia="en-AU"/>
              </w:rPr>
              <w:t>,000</w:t>
            </w:r>
          </w:p>
        </w:tc>
      </w:tr>
      <w:tr w:rsidR="009401AD" w:rsidRPr="0073009A" w14:paraId="1EC3A20A" w14:textId="77777777" w:rsidTr="413EB596">
        <w:tc>
          <w:tcPr>
            <w:tcW w:w="3544" w:type="pct"/>
            <w:tcBorders>
              <w:top w:val="nil"/>
              <w:left w:val="nil"/>
              <w:bottom w:val="nil"/>
              <w:right w:val="nil"/>
            </w:tcBorders>
            <w:vAlign w:val="bottom"/>
            <w:hideMark/>
          </w:tcPr>
          <w:p w14:paraId="35C1309F" w14:textId="77777777" w:rsidR="009401AD" w:rsidRPr="00F65403" w:rsidRDefault="009401AD" w:rsidP="009401AD">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Auditing the statutory financial reports of any controlled entities </w:t>
            </w:r>
          </w:p>
        </w:tc>
        <w:tc>
          <w:tcPr>
            <w:tcW w:w="728" w:type="pct"/>
            <w:tcBorders>
              <w:top w:val="nil"/>
              <w:left w:val="nil"/>
              <w:bottom w:val="nil"/>
              <w:right w:val="nil"/>
            </w:tcBorders>
            <w:noWrap/>
            <w:vAlign w:val="bottom"/>
            <w:hideMark/>
          </w:tcPr>
          <w:p w14:paraId="4F731A01" w14:textId="36EC9E79" w:rsidR="009401AD" w:rsidRPr="00F65403" w:rsidRDefault="00C80A93"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64</w:t>
            </w:r>
            <w:r w:rsidR="008E5C14">
              <w:rPr>
                <w:rFonts w:eastAsia="Times New Roman" w:cs="Arial"/>
                <w:color w:val="000000"/>
                <w:sz w:val="20"/>
                <w:szCs w:val="20"/>
                <w:lang w:eastAsia="en-AU"/>
              </w:rPr>
              <w:t>,000</w:t>
            </w:r>
          </w:p>
        </w:tc>
        <w:tc>
          <w:tcPr>
            <w:tcW w:w="728" w:type="pct"/>
            <w:tcBorders>
              <w:top w:val="nil"/>
              <w:left w:val="nil"/>
              <w:bottom w:val="nil"/>
              <w:right w:val="nil"/>
            </w:tcBorders>
            <w:noWrap/>
            <w:vAlign w:val="bottom"/>
            <w:hideMark/>
          </w:tcPr>
          <w:p w14:paraId="0DB974D4" w14:textId="20DD30AA" w:rsidR="009401AD" w:rsidRPr="00F65403" w:rsidRDefault="009401AD" w:rsidP="005B367E">
            <w:pPr>
              <w:tabs>
                <w:tab w:val="decimal" w:pos="964"/>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60</w:t>
            </w:r>
            <w:r w:rsidR="008E5C14">
              <w:rPr>
                <w:rFonts w:eastAsia="Times New Roman" w:cs="Arial"/>
                <w:color w:val="000000"/>
                <w:sz w:val="20"/>
                <w:szCs w:val="20"/>
                <w:lang w:eastAsia="en-AU"/>
              </w:rPr>
              <w:t>,000</w:t>
            </w:r>
          </w:p>
        </w:tc>
      </w:tr>
      <w:tr w:rsidR="009401AD" w:rsidRPr="0073009A" w14:paraId="7B3C04DE" w14:textId="77777777" w:rsidTr="413EB596">
        <w:tc>
          <w:tcPr>
            <w:tcW w:w="3544" w:type="pct"/>
            <w:tcBorders>
              <w:top w:val="nil"/>
              <w:left w:val="nil"/>
              <w:bottom w:val="nil"/>
              <w:right w:val="nil"/>
            </w:tcBorders>
            <w:noWrap/>
            <w:vAlign w:val="bottom"/>
            <w:hideMark/>
          </w:tcPr>
          <w:p w14:paraId="522C15E0" w14:textId="77777777" w:rsidR="009401AD" w:rsidRPr="00F65403" w:rsidRDefault="009401AD" w:rsidP="009401AD">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28" w:type="pct"/>
            <w:tcBorders>
              <w:top w:val="single" w:sz="4" w:space="0" w:color="auto"/>
              <w:left w:val="nil"/>
              <w:bottom w:val="single" w:sz="4" w:space="0" w:color="auto"/>
              <w:right w:val="nil"/>
            </w:tcBorders>
            <w:noWrap/>
            <w:vAlign w:val="bottom"/>
            <w:hideMark/>
          </w:tcPr>
          <w:p w14:paraId="00500DB8" w14:textId="2199B9E5" w:rsidR="009401AD" w:rsidRPr="00F65403" w:rsidRDefault="00892F6E" w:rsidP="005B367E">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254</w:t>
            </w:r>
            <w:r w:rsidR="008E5C14">
              <w:rPr>
                <w:rFonts w:eastAsia="Times New Roman" w:cs="Arial"/>
                <w:b/>
                <w:color w:val="000000"/>
                <w:sz w:val="20"/>
                <w:szCs w:val="20"/>
                <w:lang w:eastAsia="en-AU"/>
              </w:rPr>
              <w:t>,000</w:t>
            </w:r>
          </w:p>
        </w:tc>
        <w:tc>
          <w:tcPr>
            <w:tcW w:w="728" w:type="pct"/>
            <w:tcBorders>
              <w:top w:val="single" w:sz="4" w:space="0" w:color="auto"/>
              <w:left w:val="nil"/>
              <w:bottom w:val="single" w:sz="4" w:space="0" w:color="auto"/>
              <w:right w:val="nil"/>
            </w:tcBorders>
            <w:noWrap/>
            <w:vAlign w:val="bottom"/>
            <w:hideMark/>
          </w:tcPr>
          <w:p w14:paraId="1A2AE912" w14:textId="19D5FEB6" w:rsidR="009401AD" w:rsidRPr="00F65403" w:rsidRDefault="00EC74BC" w:rsidP="413EB596">
            <w:pPr>
              <w:tabs>
                <w:tab w:val="decimal" w:pos="964"/>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120</w:t>
            </w:r>
            <w:r w:rsidR="008E5C14">
              <w:rPr>
                <w:rFonts w:eastAsia="Times New Roman" w:cs="Arial"/>
                <w:b/>
                <w:bCs/>
                <w:color w:val="000000" w:themeColor="text1"/>
                <w:sz w:val="20"/>
                <w:szCs w:val="20"/>
                <w:lang w:eastAsia="en-AU"/>
              </w:rPr>
              <w:t>,000</w:t>
            </w:r>
          </w:p>
        </w:tc>
      </w:tr>
    </w:tbl>
    <w:p w14:paraId="2D0E6FD9" w14:textId="42CFD070" w:rsidR="00A47091" w:rsidRDefault="00A47091" w:rsidP="001854BD">
      <w:pPr>
        <w:pStyle w:val="BodyText"/>
        <w:rPr>
          <w:lang w:val="en-AU"/>
        </w:rPr>
      </w:pPr>
    </w:p>
    <w:p w14:paraId="695720C7" w14:textId="25AC46EE" w:rsidR="00FF0E61" w:rsidRPr="00F65403" w:rsidRDefault="00FF0E61" w:rsidP="00FF0E61">
      <w:pPr>
        <w:pStyle w:val="Heading7"/>
      </w:pPr>
      <w:r w:rsidRPr="00F65403">
        <w:t>Ex-gratia expenses</w:t>
      </w:r>
    </w:p>
    <w:p w14:paraId="51B8AF6B" w14:textId="635682FE" w:rsidR="001B7CAC" w:rsidRDefault="001B7CAC" w:rsidP="001854BD">
      <w:pPr>
        <w:pStyle w:val="BodyText"/>
        <w:rPr>
          <w:lang w:val="en-AU"/>
        </w:rPr>
      </w:pPr>
      <w:r w:rsidRPr="00F65403">
        <w:rPr>
          <w:lang w:val="en-AU"/>
        </w:rPr>
        <w:t>Ex gratia expenses are the voluntary payments of money or other non-monetary benefit (e.g. a write off) that are not made either to acquire goods, services or other benefits for the entity or to meet a legal liability, or to settle or resolve a possible legal liability of or claim against the Group.</w:t>
      </w:r>
    </w:p>
    <w:p w14:paraId="52A9E570" w14:textId="77777777" w:rsidR="004766C5" w:rsidRPr="00F65403" w:rsidRDefault="004766C5" w:rsidP="001854BD">
      <w:pPr>
        <w:pStyle w:val="BodyText"/>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80"/>
        <w:gridCol w:w="1323"/>
        <w:gridCol w:w="1323"/>
      </w:tblGrid>
      <w:tr w:rsidR="00FF0E61" w:rsidRPr="009401AD" w14:paraId="7C5A2BBD" w14:textId="77777777" w:rsidTr="59D983C2">
        <w:tc>
          <w:tcPr>
            <w:tcW w:w="3534" w:type="pct"/>
            <w:tcBorders>
              <w:top w:val="nil"/>
              <w:left w:val="nil"/>
              <w:bottom w:val="nil"/>
              <w:right w:val="nil"/>
            </w:tcBorders>
            <w:noWrap/>
            <w:vAlign w:val="bottom"/>
            <w:hideMark/>
          </w:tcPr>
          <w:p w14:paraId="7CEDF5DA" w14:textId="77777777" w:rsidR="00FF0E61" w:rsidRPr="00F65403" w:rsidRDefault="00FF0E61">
            <w:pPr>
              <w:spacing w:after="0" w:line="240" w:lineRule="auto"/>
              <w:rPr>
                <w:rFonts w:eastAsia="Times New Roman" w:cs="Arial"/>
                <w:sz w:val="20"/>
                <w:szCs w:val="20"/>
                <w:lang w:eastAsia="en-AU"/>
              </w:rPr>
            </w:pPr>
          </w:p>
        </w:tc>
        <w:tc>
          <w:tcPr>
            <w:tcW w:w="733" w:type="pct"/>
            <w:tcBorders>
              <w:top w:val="nil"/>
              <w:left w:val="nil"/>
              <w:bottom w:val="nil"/>
              <w:right w:val="nil"/>
            </w:tcBorders>
            <w:vAlign w:val="bottom"/>
            <w:hideMark/>
          </w:tcPr>
          <w:p w14:paraId="4FFDB6BD" w14:textId="37464E54" w:rsidR="00FF0E61" w:rsidRPr="00F65403" w:rsidRDefault="00A5460A"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00FF0E61" w:rsidRPr="00F65403">
              <w:rPr>
                <w:rFonts w:eastAsia="Times New Roman" w:cs="Arial"/>
                <w:b/>
                <w:color w:val="000000"/>
                <w:sz w:val="20"/>
                <w:szCs w:val="20"/>
                <w:lang w:eastAsia="en-AU"/>
              </w:rPr>
              <w:t>2025</w:t>
            </w:r>
          </w:p>
        </w:tc>
        <w:tc>
          <w:tcPr>
            <w:tcW w:w="733" w:type="pct"/>
            <w:tcBorders>
              <w:top w:val="nil"/>
              <w:left w:val="nil"/>
              <w:bottom w:val="nil"/>
              <w:right w:val="nil"/>
            </w:tcBorders>
            <w:noWrap/>
            <w:vAlign w:val="bottom"/>
            <w:hideMark/>
          </w:tcPr>
          <w:p w14:paraId="535844F4" w14:textId="1485AE70" w:rsidR="00FF0E61" w:rsidRPr="00F65403" w:rsidRDefault="00A5460A" w:rsidP="005B367E">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25 October 2023 to 30 June 2024</w:t>
            </w:r>
          </w:p>
        </w:tc>
      </w:tr>
      <w:tr w:rsidR="00FF0E61" w:rsidRPr="009401AD" w14:paraId="00860053" w14:textId="77777777" w:rsidTr="59D983C2">
        <w:tc>
          <w:tcPr>
            <w:tcW w:w="3534" w:type="pct"/>
            <w:tcBorders>
              <w:top w:val="nil"/>
              <w:left w:val="nil"/>
              <w:bottom w:val="nil"/>
              <w:right w:val="nil"/>
            </w:tcBorders>
            <w:noWrap/>
            <w:vAlign w:val="bottom"/>
            <w:hideMark/>
          </w:tcPr>
          <w:p w14:paraId="2A4CEF77" w14:textId="77777777" w:rsidR="00FF0E61" w:rsidRPr="00F65403" w:rsidRDefault="00FF0E61">
            <w:pPr>
              <w:spacing w:after="0" w:line="240" w:lineRule="auto"/>
              <w:jc w:val="right"/>
              <w:rPr>
                <w:rFonts w:eastAsia="Times New Roman" w:cs="Arial"/>
                <w:b/>
                <w:color w:val="000000"/>
                <w:sz w:val="20"/>
                <w:szCs w:val="20"/>
                <w:lang w:eastAsia="en-AU"/>
              </w:rPr>
            </w:pPr>
          </w:p>
        </w:tc>
        <w:tc>
          <w:tcPr>
            <w:tcW w:w="733" w:type="pct"/>
            <w:tcBorders>
              <w:top w:val="nil"/>
              <w:left w:val="nil"/>
              <w:bottom w:val="nil"/>
              <w:right w:val="nil"/>
            </w:tcBorders>
            <w:noWrap/>
            <w:hideMark/>
          </w:tcPr>
          <w:p w14:paraId="648B812B" w14:textId="77777777" w:rsidR="00FF0E61" w:rsidRPr="00F65403" w:rsidRDefault="00FF0E61" w:rsidP="00A5460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33" w:type="pct"/>
            <w:tcBorders>
              <w:top w:val="nil"/>
              <w:left w:val="nil"/>
              <w:bottom w:val="nil"/>
              <w:right w:val="nil"/>
            </w:tcBorders>
            <w:noWrap/>
            <w:hideMark/>
          </w:tcPr>
          <w:p w14:paraId="56E73FC3" w14:textId="77777777" w:rsidR="00FF0E61" w:rsidRPr="00F65403" w:rsidRDefault="00FF0E61" w:rsidP="00A5460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FF0E61" w:rsidRPr="009401AD" w14:paraId="7F3B964C" w14:textId="77777777" w:rsidTr="59D983C2">
        <w:tc>
          <w:tcPr>
            <w:tcW w:w="3534" w:type="pct"/>
            <w:tcBorders>
              <w:top w:val="nil"/>
              <w:left w:val="nil"/>
              <w:bottom w:val="nil"/>
              <w:right w:val="nil"/>
            </w:tcBorders>
            <w:vAlign w:val="bottom"/>
            <w:hideMark/>
          </w:tcPr>
          <w:p w14:paraId="2FC71385" w14:textId="72C423A9" w:rsidR="00FF0E61" w:rsidRPr="00F65403" w:rsidRDefault="00FF0E61">
            <w:pPr>
              <w:spacing w:after="0" w:line="240" w:lineRule="auto"/>
              <w:rPr>
                <w:rFonts w:eastAsia="Times New Roman" w:cs="Arial"/>
                <w:color w:val="000000"/>
                <w:sz w:val="20"/>
                <w:szCs w:val="20"/>
                <w:lang w:eastAsia="en-AU"/>
              </w:rPr>
            </w:pPr>
          </w:p>
        </w:tc>
        <w:tc>
          <w:tcPr>
            <w:tcW w:w="733" w:type="pct"/>
            <w:tcBorders>
              <w:top w:val="nil"/>
              <w:left w:val="nil"/>
              <w:bottom w:val="nil"/>
              <w:right w:val="nil"/>
            </w:tcBorders>
            <w:vAlign w:val="bottom"/>
            <w:hideMark/>
          </w:tcPr>
          <w:p w14:paraId="0344A4F8" w14:textId="77777777" w:rsidR="00FF0E61" w:rsidRPr="00F65403" w:rsidRDefault="00FF0E61" w:rsidP="005B367E">
            <w:pPr>
              <w:tabs>
                <w:tab w:val="decimal" w:pos="964"/>
              </w:tabs>
              <w:spacing w:after="0" w:line="240" w:lineRule="auto"/>
              <w:rPr>
                <w:rFonts w:eastAsia="Times New Roman" w:cs="Arial"/>
                <w:color w:val="000000"/>
                <w:sz w:val="20"/>
                <w:szCs w:val="20"/>
                <w:lang w:eastAsia="en-AU"/>
              </w:rPr>
            </w:pPr>
          </w:p>
        </w:tc>
        <w:tc>
          <w:tcPr>
            <w:tcW w:w="733" w:type="pct"/>
            <w:tcBorders>
              <w:top w:val="nil"/>
              <w:left w:val="nil"/>
              <w:bottom w:val="nil"/>
              <w:right w:val="nil"/>
            </w:tcBorders>
            <w:vAlign w:val="bottom"/>
            <w:hideMark/>
          </w:tcPr>
          <w:p w14:paraId="7B79804A" w14:textId="77777777" w:rsidR="00FF0E61" w:rsidRPr="00F65403" w:rsidRDefault="00FF0E61" w:rsidP="005B367E">
            <w:pPr>
              <w:tabs>
                <w:tab w:val="decimal" w:pos="964"/>
              </w:tabs>
              <w:spacing w:after="0" w:line="240" w:lineRule="auto"/>
              <w:rPr>
                <w:rFonts w:eastAsia="Times New Roman" w:cs="Arial"/>
                <w:sz w:val="20"/>
                <w:szCs w:val="20"/>
                <w:lang w:eastAsia="en-AU"/>
              </w:rPr>
            </w:pPr>
          </w:p>
        </w:tc>
      </w:tr>
      <w:tr w:rsidR="00FF0E61" w:rsidRPr="00A94A67" w14:paraId="565C6C86" w14:textId="77777777" w:rsidTr="59D983C2">
        <w:tc>
          <w:tcPr>
            <w:tcW w:w="3534" w:type="pct"/>
            <w:tcBorders>
              <w:top w:val="nil"/>
              <w:left w:val="nil"/>
              <w:bottom w:val="nil"/>
              <w:right w:val="nil"/>
            </w:tcBorders>
            <w:vAlign w:val="bottom"/>
            <w:hideMark/>
          </w:tcPr>
          <w:p w14:paraId="2C01E110" w14:textId="46C902EC" w:rsidR="00FF0E61" w:rsidRPr="00A94A67" w:rsidRDefault="00466FC9">
            <w:pPr>
              <w:spacing w:after="0" w:line="240" w:lineRule="auto"/>
              <w:rPr>
                <w:rFonts w:eastAsia="Times New Roman" w:cs="Arial"/>
                <w:color w:val="000000"/>
                <w:sz w:val="20"/>
                <w:szCs w:val="20"/>
                <w:lang w:eastAsia="en-AU"/>
              </w:rPr>
            </w:pPr>
            <w:r w:rsidRPr="00A94A67">
              <w:rPr>
                <w:rFonts w:eastAsia="Times New Roman" w:cs="Arial"/>
                <w:color w:val="000000"/>
                <w:sz w:val="20"/>
                <w:szCs w:val="20"/>
                <w:lang w:eastAsia="en-AU"/>
              </w:rPr>
              <w:t>Settlement</w:t>
            </w:r>
            <w:r w:rsidR="001B7CAC" w:rsidRPr="00A94A67">
              <w:rPr>
                <w:rFonts w:eastAsia="Times New Roman" w:cs="Arial"/>
                <w:color w:val="000000"/>
                <w:sz w:val="20"/>
                <w:szCs w:val="20"/>
                <w:lang w:eastAsia="en-AU"/>
              </w:rPr>
              <w:t xml:space="preserve"> payments</w:t>
            </w:r>
            <w:r w:rsidR="00FF0E61" w:rsidRPr="00A94A67">
              <w:rPr>
                <w:rFonts w:eastAsia="Times New Roman" w:cs="Arial"/>
                <w:color w:val="000000"/>
                <w:sz w:val="20"/>
                <w:szCs w:val="20"/>
                <w:lang w:eastAsia="en-AU"/>
              </w:rPr>
              <w:t xml:space="preserve"> </w:t>
            </w:r>
          </w:p>
        </w:tc>
        <w:tc>
          <w:tcPr>
            <w:tcW w:w="733" w:type="pct"/>
            <w:tcBorders>
              <w:top w:val="nil"/>
              <w:left w:val="nil"/>
              <w:bottom w:val="nil"/>
              <w:right w:val="nil"/>
            </w:tcBorders>
            <w:noWrap/>
            <w:vAlign w:val="bottom"/>
            <w:hideMark/>
          </w:tcPr>
          <w:p w14:paraId="5F23FB9A" w14:textId="1B205470" w:rsidR="00FF0E61" w:rsidRPr="00D15AF6" w:rsidRDefault="00FF1B7E" w:rsidP="005B367E">
            <w:pPr>
              <w:tabs>
                <w:tab w:val="decimal" w:pos="964"/>
              </w:tabs>
              <w:spacing w:after="0" w:line="240" w:lineRule="auto"/>
              <w:rPr>
                <w:rFonts w:eastAsia="Times New Roman" w:cs="Arial"/>
                <w:color w:val="000000"/>
                <w:sz w:val="20"/>
                <w:szCs w:val="20"/>
                <w:lang w:eastAsia="en-AU"/>
              </w:rPr>
            </w:pPr>
            <w:r w:rsidRPr="00D15AF6">
              <w:rPr>
                <w:rFonts w:eastAsia="Times New Roman" w:cs="Arial"/>
                <w:color w:val="000000" w:themeColor="text1"/>
                <w:sz w:val="20"/>
                <w:szCs w:val="20"/>
                <w:lang w:eastAsia="en-AU"/>
              </w:rPr>
              <w:t>7</w:t>
            </w:r>
          </w:p>
        </w:tc>
        <w:tc>
          <w:tcPr>
            <w:tcW w:w="733" w:type="pct"/>
            <w:tcBorders>
              <w:top w:val="nil"/>
              <w:left w:val="nil"/>
              <w:bottom w:val="nil"/>
              <w:right w:val="nil"/>
            </w:tcBorders>
            <w:noWrap/>
            <w:vAlign w:val="bottom"/>
            <w:hideMark/>
          </w:tcPr>
          <w:p w14:paraId="02782628" w14:textId="51334C5E" w:rsidR="00FF0E61" w:rsidRPr="00A94A67" w:rsidRDefault="001B7CAC" w:rsidP="005B367E">
            <w:pPr>
              <w:tabs>
                <w:tab w:val="decimal" w:pos="964"/>
              </w:tabs>
              <w:spacing w:after="0" w:line="240" w:lineRule="auto"/>
              <w:rPr>
                <w:rFonts w:eastAsia="Times New Roman" w:cs="Arial"/>
                <w:color w:val="000000"/>
                <w:sz w:val="20"/>
                <w:szCs w:val="20"/>
                <w:lang w:eastAsia="en-AU"/>
              </w:rPr>
            </w:pPr>
            <w:r w:rsidRPr="00A94A67">
              <w:rPr>
                <w:rFonts w:eastAsia="Times New Roman" w:cs="Arial"/>
                <w:color w:val="000000"/>
                <w:sz w:val="20"/>
                <w:szCs w:val="20"/>
                <w:lang w:eastAsia="en-AU"/>
              </w:rPr>
              <w:t>-</w:t>
            </w:r>
          </w:p>
        </w:tc>
      </w:tr>
      <w:tr w:rsidR="00FF0E61" w:rsidRPr="009401AD" w14:paraId="6B14D908" w14:textId="77777777" w:rsidTr="59D983C2">
        <w:tc>
          <w:tcPr>
            <w:tcW w:w="3534" w:type="pct"/>
            <w:tcBorders>
              <w:top w:val="nil"/>
              <w:left w:val="nil"/>
              <w:bottom w:val="nil"/>
              <w:right w:val="nil"/>
            </w:tcBorders>
            <w:noWrap/>
            <w:vAlign w:val="bottom"/>
            <w:hideMark/>
          </w:tcPr>
          <w:p w14:paraId="2F07094E" w14:textId="77777777" w:rsidR="00FF0E61" w:rsidRPr="00A94A67" w:rsidRDefault="00FF0E61">
            <w:pPr>
              <w:spacing w:after="0" w:line="240" w:lineRule="auto"/>
              <w:rPr>
                <w:rFonts w:eastAsia="Times New Roman" w:cs="Arial"/>
                <w:b/>
                <w:color w:val="000000"/>
                <w:sz w:val="20"/>
                <w:szCs w:val="20"/>
                <w:lang w:eastAsia="en-AU"/>
              </w:rPr>
            </w:pPr>
            <w:r w:rsidRPr="00A94A67">
              <w:rPr>
                <w:rFonts w:eastAsia="Times New Roman" w:cs="Arial"/>
                <w:b/>
                <w:color w:val="000000"/>
                <w:sz w:val="20"/>
                <w:szCs w:val="20"/>
                <w:lang w:eastAsia="en-AU"/>
              </w:rPr>
              <w:t>Total</w:t>
            </w:r>
          </w:p>
        </w:tc>
        <w:tc>
          <w:tcPr>
            <w:tcW w:w="733" w:type="pct"/>
            <w:tcBorders>
              <w:top w:val="single" w:sz="4" w:space="0" w:color="auto"/>
              <w:left w:val="nil"/>
              <w:bottom w:val="single" w:sz="4" w:space="0" w:color="auto"/>
              <w:right w:val="nil"/>
            </w:tcBorders>
            <w:noWrap/>
            <w:vAlign w:val="bottom"/>
            <w:hideMark/>
          </w:tcPr>
          <w:p w14:paraId="3BFCB074" w14:textId="6D8764CA" w:rsidR="00FF0E61" w:rsidRPr="00D15AF6" w:rsidRDefault="00FF1B7E" w:rsidP="494E5549">
            <w:pPr>
              <w:tabs>
                <w:tab w:val="decimal" w:pos="964"/>
              </w:tabs>
              <w:spacing w:after="0" w:line="240" w:lineRule="auto"/>
              <w:rPr>
                <w:rFonts w:eastAsia="Times New Roman" w:cs="Arial"/>
                <w:b/>
                <w:color w:val="000000"/>
                <w:sz w:val="20"/>
                <w:szCs w:val="20"/>
                <w:lang w:eastAsia="en-AU"/>
              </w:rPr>
            </w:pPr>
            <w:r w:rsidRPr="00D15AF6">
              <w:rPr>
                <w:rFonts w:eastAsia="Times New Roman" w:cs="Arial"/>
                <w:b/>
                <w:color w:val="000000" w:themeColor="text1"/>
                <w:sz w:val="20"/>
                <w:szCs w:val="20"/>
                <w:lang w:eastAsia="en-AU"/>
              </w:rPr>
              <w:t>7</w:t>
            </w:r>
          </w:p>
        </w:tc>
        <w:tc>
          <w:tcPr>
            <w:tcW w:w="733" w:type="pct"/>
            <w:tcBorders>
              <w:top w:val="single" w:sz="4" w:space="0" w:color="auto"/>
              <w:left w:val="nil"/>
              <w:bottom w:val="single" w:sz="4" w:space="0" w:color="auto"/>
              <w:right w:val="nil"/>
            </w:tcBorders>
            <w:noWrap/>
            <w:vAlign w:val="bottom"/>
            <w:hideMark/>
          </w:tcPr>
          <w:p w14:paraId="680A380A" w14:textId="7CD3A589" w:rsidR="00FF0E61" w:rsidRPr="00F65403" w:rsidRDefault="001B7CAC" w:rsidP="005B367E">
            <w:pPr>
              <w:tabs>
                <w:tab w:val="decimal" w:pos="964"/>
              </w:tabs>
              <w:spacing w:after="0" w:line="240" w:lineRule="auto"/>
              <w:rPr>
                <w:rFonts w:eastAsia="Times New Roman" w:cs="Arial"/>
                <w:b/>
                <w:color w:val="000000"/>
                <w:sz w:val="20"/>
                <w:szCs w:val="20"/>
                <w:lang w:eastAsia="en-AU"/>
              </w:rPr>
            </w:pPr>
            <w:r w:rsidRPr="00A94A67">
              <w:rPr>
                <w:rFonts w:eastAsia="Times New Roman" w:cs="Arial"/>
                <w:b/>
                <w:color w:val="000000"/>
                <w:sz w:val="20"/>
                <w:szCs w:val="20"/>
                <w:lang w:eastAsia="en-AU"/>
              </w:rPr>
              <w:t>-</w:t>
            </w:r>
          </w:p>
        </w:tc>
      </w:tr>
    </w:tbl>
    <w:p w14:paraId="1A34FAB3" w14:textId="77777777" w:rsidR="00FF0E61" w:rsidRPr="00F65403" w:rsidRDefault="00FF0E61" w:rsidP="003332BC">
      <w:pPr>
        <w:pStyle w:val="BodyText"/>
        <w:rPr>
          <w:lang w:val="en-AU"/>
        </w:rPr>
      </w:pPr>
    </w:p>
    <w:p w14:paraId="3E0819A1" w14:textId="155AB5ED" w:rsidR="00057A21" w:rsidRPr="00F65403" w:rsidRDefault="00057A21" w:rsidP="003332BC">
      <w:pPr>
        <w:pStyle w:val="BodyText"/>
        <w:rPr>
          <w:lang w:val="en-AU"/>
        </w:rPr>
      </w:pPr>
      <w:r w:rsidRPr="00F65403">
        <w:rPr>
          <w:lang w:val="en-AU"/>
        </w:rPr>
        <w:br w:type="page"/>
      </w:r>
    </w:p>
    <w:p w14:paraId="1BA96430" w14:textId="77777777" w:rsidR="00B00AD3" w:rsidRPr="00B94E93" w:rsidRDefault="00B00AD3" w:rsidP="00B254AC">
      <w:pPr>
        <w:pStyle w:val="Heading1"/>
      </w:pPr>
      <w:bookmarkStart w:id="381" w:name="_Toc90094868"/>
      <w:bookmarkStart w:id="382" w:name="_Toc208418036"/>
      <w:bookmarkStart w:id="383" w:name="_Toc209080401"/>
      <w:bookmarkStart w:id="384" w:name="_Toc209703970"/>
      <w:bookmarkStart w:id="385" w:name="_Toc209704023"/>
      <w:bookmarkStart w:id="386" w:name="_Toc209704076"/>
      <w:bookmarkStart w:id="387" w:name="_Toc203487540"/>
      <w:bookmarkStart w:id="388" w:name="_Toc203656230"/>
      <w:r>
        <w:t>Directors’ declaration</w:t>
      </w:r>
      <w:bookmarkEnd w:id="381"/>
      <w:bookmarkEnd w:id="382"/>
      <w:bookmarkEnd w:id="383"/>
      <w:bookmarkEnd w:id="384"/>
      <w:bookmarkEnd w:id="385"/>
      <w:bookmarkEnd w:id="386"/>
      <w:r>
        <w:t xml:space="preserve"> </w:t>
      </w:r>
      <w:bookmarkEnd w:id="387"/>
      <w:bookmarkEnd w:id="388"/>
    </w:p>
    <w:p w14:paraId="4C753C5C" w14:textId="77777777" w:rsidR="00B00AD3" w:rsidRDefault="00B00AD3" w:rsidP="00B00AD3">
      <w:pPr>
        <w:jc w:val="center"/>
      </w:pPr>
    </w:p>
    <w:p w14:paraId="489974BB" w14:textId="77777777" w:rsidR="00B00AD3" w:rsidRDefault="00B00AD3" w:rsidP="00B00AD3">
      <w:r>
        <w:t xml:space="preserve">In the directors’ opinion: </w:t>
      </w:r>
    </w:p>
    <w:p w14:paraId="42200592" w14:textId="085F0025" w:rsidR="00B00AD3" w:rsidRDefault="00B00AD3" w:rsidP="00B00AD3">
      <w:r>
        <w:t xml:space="preserve">1. The financial statements and notes </w:t>
      </w:r>
      <w:r w:rsidR="001B5F09">
        <w:t xml:space="preserve">of SEC Victoria Pty Ltd and its controlled entities </w:t>
      </w:r>
      <w:r>
        <w:t xml:space="preserve">are in accordance with the </w:t>
      </w:r>
      <w:r w:rsidRPr="00920CA6">
        <w:rPr>
          <w:i/>
          <w:iCs/>
        </w:rPr>
        <w:t>Corporations Act 2001</w:t>
      </w:r>
      <w:r>
        <w:t>, including:</w:t>
      </w:r>
    </w:p>
    <w:p w14:paraId="6182917F" w14:textId="77777777" w:rsidR="00B00AD3" w:rsidRDefault="00B00AD3" w:rsidP="00B00AD3">
      <w:r>
        <w:t>a. giving a true and fair view of the consolidated entity’s financial position as at 30 June 2025 and of its performance for the year then ended</w:t>
      </w:r>
    </w:p>
    <w:p w14:paraId="69149EB5" w14:textId="77777777" w:rsidR="00B00AD3" w:rsidRDefault="00B00AD3" w:rsidP="00B00AD3">
      <w:r>
        <w:t xml:space="preserve">b. complying with the Australian Accounting Standards (including the Australian Standards of Interpretations), the </w:t>
      </w:r>
      <w:r w:rsidRPr="00BD07C1">
        <w:rPr>
          <w:i/>
          <w:iCs/>
        </w:rPr>
        <w:t>Corporations Regulations 2001</w:t>
      </w:r>
      <w:r w:rsidRPr="00F96FA2">
        <w:t xml:space="preserve"> </w:t>
      </w:r>
      <w:r>
        <w:t>a</w:t>
      </w:r>
      <w:r w:rsidRPr="00F96FA2">
        <w:t>nd other mandatory professional reporting requirements</w:t>
      </w:r>
      <w:r>
        <w:t>.</w:t>
      </w:r>
    </w:p>
    <w:p w14:paraId="57198355" w14:textId="77777777" w:rsidR="00B00AD3" w:rsidRDefault="00B00AD3" w:rsidP="00B00AD3">
      <w:r>
        <w:t>2. There are reasonable grounds to believe that the Company will be able to pay its debts as and when they become due and payable</w:t>
      </w:r>
    </w:p>
    <w:p w14:paraId="08D03E35" w14:textId="77777777" w:rsidR="00B00AD3" w:rsidRDefault="00B00AD3" w:rsidP="00B00AD3">
      <w:r>
        <w:t>3. At the time of signing, we are not aware of any circumstance which would make any particulars included in the annual financial report misleading or inaccurate.</w:t>
      </w:r>
    </w:p>
    <w:p w14:paraId="37EF2111" w14:textId="77777777" w:rsidR="00B00AD3" w:rsidRDefault="00B00AD3" w:rsidP="00B00AD3">
      <w:r>
        <w:t xml:space="preserve">Signed in accordance with a resolution of directors made pursuant to section 295(5)(a) of the </w:t>
      </w:r>
      <w:r w:rsidRPr="00BD07C1">
        <w:rPr>
          <w:i/>
          <w:iCs/>
        </w:rPr>
        <w:t>Corporations Act 2001</w:t>
      </w:r>
      <w:r>
        <w:t xml:space="preserve">. </w:t>
      </w:r>
    </w:p>
    <w:p w14:paraId="6BD44A49" w14:textId="77777777" w:rsidR="00B00AD3" w:rsidRDefault="00B00AD3" w:rsidP="00B00AD3"/>
    <w:p w14:paraId="4A32CCCD" w14:textId="77777777" w:rsidR="00B00AD3" w:rsidRDefault="00B00AD3" w:rsidP="00B00AD3"/>
    <w:p w14:paraId="19E7BF19" w14:textId="77777777" w:rsidR="00B00AD3" w:rsidRDefault="00B00AD3" w:rsidP="00B00AD3">
      <w:r>
        <w:t>Simon Corbell</w:t>
      </w:r>
    </w:p>
    <w:p w14:paraId="6A9AE7C3" w14:textId="77777777" w:rsidR="00B00AD3" w:rsidRPr="00245427" w:rsidRDefault="00B00AD3" w:rsidP="00B00AD3">
      <w:r>
        <w:t xml:space="preserve">Chair, </w:t>
      </w:r>
      <w:r w:rsidRPr="00245427">
        <w:t>SEC</w:t>
      </w:r>
    </w:p>
    <w:p w14:paraId="53BA2132" w14:textId="0F44AB8C" w:rsidR="00B00AD3" w:rsidRDefault="005F773C" w:rsidP="00B00AD3">
      <w:r w:rsidRPr="00AA3AC5">
        <w:t xml:space="preserve">6 </w:t>
      </w:r>
      <w:r w:rsidR="00B00AD3" w:rsidRPr="00AA3AC5">
        <w:t>October 2025</w:t>
      </w:r>
    </w:p>
    <w:p w14:paraId="26985096" w14:textId="77777777" w:rsidR="00B00AD3" w:rsidRPr="00F65403" w:rsidRDefault="00B00AD3" w:rsidP="00B00AD3">
      <w:pPr>
        <w:rPr>
          <w:rFonts w:eastAsia="Arial" w:cs="Arial"/>
          <w:color w:val="39004E"/>
          <w:w w:val="105"/>
          <w:szCs w:val="24"/>
        </w:rPr>
      </w:pPr>
      <w:r>
        <w:br w:type="page"/>
      </w:r>
    </w:p>
    <w:p w14:paraId="3B1721EA" w14:textId="2EFA1CEF" w:rsidR="000B3C25" w:rsidRDefault="00C64048" w:rsidP="00B254AC">
      <w:pPr>
        <w:pStyle w:val="Heading1"/>
        <w:rPr>
          <w:sz w:val="24"/>
          <w:szCs w:val="24"/>
        </w:rPr>
      </w:pPr>
      <w:bookmarkStart w:id="389" w:name="_Toc203487541"/>
      <w:bookmarkStart w:id="390" w:name="_Toc203656231"/>
      <w:bookmarkStart w:id="391" w:name="_Toc1518865762"/>
      <w:bookmarkStart w:id="392" w:name="_Ref207013335"/>
      <w:bookmarkStart w:id="393" w:name="_Ref207013345"/>
      <w:bookmarkStart w:id="394" w:name="_Ref207013379"/>
      <w:bookmarkStart w:id="395" w:name="_Toc208418037"/>
      <w:bookmarkStart w:id="396" w:name="_Toc209080402"/>
      <w:bookmarkStart w:id="397" w:name="_Toc209703971"/>
      <w:bookmarkStart w:id="398" w:name="_Toc209704024"/>
      <w:bookmarkStart w:id="399" w:name="_Toc209704077"/>
      <w:r w:rsidRPr="701665F7">
        <w:t xml:space="preserve">Declaration by </w:t>
      </w:r>
      <w:r w:rsidR="001F1BF5">
        <w:t>Board Chair</w:t>
      </w:r>
      <w:r w:rsidRPr="701665F7">
        <w:t>, Chief Executive Officer and Chief Financial Officer</w:t>
      </w:r>
      <w:bookmarkEnd w:id="389"/>
      <w:bookmarkEnd w:id="390"/>
      <w:bookmarkEnd w:id="391"/>
      <w:bookmarkEnd w:id="392"/>
      <w:bookmarkEnd w:id="393"/>
      <w:bookmarkEnd w:id="394"/>
      <w:bookmarkEnd w:id="395"/>
      <w:bookmarkEnd w:id="396"/>
      <w:bookmarkEnd w:id="397"/>
      <w:bookmarkEnd w:id="398"/>
      <w:bookmarkEnd w:id="399"/>
    </w:p>
    <w:p w14:paraId="2750CEAE" w14:textId="77777777" w:rsidR="004525C9" w:rsidRDefault="004525C9">
      <w:pPr>
        <w:rPr>
          <w:rFonts w:cs="Arial"/>
        </w:rPr>
      </w:pPr>
    </w:p>
    <w:p w14:paraId="275E3E5C" w14:textId="5875D49A" w:rsidR="00C64048" w:rsidRDefault="001B5F09">
      <w:pPr>
        <w:rPr>
          <w:rFonts w:cs="Arial"/>
        </w:rPr>
      </w:pPr>
      <w:r>
        <w:rPr>
          <w:rFonts w:cs="Arial"/>
        </w:rPr>
        <w:t>For SEC Victoria Pty Ltd</w:t>
      </w:r>
      <w:r w:rsidR="00EE3A81">
        <w:rPr>
          <w:rFonts w:cs="Arial"/>
        </w:rPr>
        <w:t xml:space="preserve"> and its controlled entities</w:t>
      </w:r>
      <w:r>
        <w:rPr>
          <w:rFonts w:cs="Arial"/>
        </w:rPr>
        <w:t>, w</w:t>
      </w:r>
      <w:r w:rsidR="00414045" w:rsidRPr="701665F7">
        <w:rPr>
          <w:rFonts w:cs="Arial"/>
        </w:rPr>
        <w:t>e jointly certify that:</w:t>
      </w:r>
    </w:p>
    <w:p w14:paraId="2937BC00" w14:textId="3B6A015F" w:rsidR="00414045" w:rsidRPr="00414045" w:rsidRDefault="00414045" w:rsidP="00414045">
      <w:pPr>
        <w:pStyle w:val="ListParagraph"/>
        <w:numPr>
          <w:ilvl w:val="0"/>
          <w:numId w:val="49"/>
        </w:numPr>
        <w:rPr>
          <w:rFonts w:cs="Arial"/>
        </w:rPr>
      </w:pPr>
      <w:r w:rsidRPr="301735DC">
        <w:rPr>
          <w:rFonts w:cs="Arial"/>
        </w:rPr>
        <w:t>the consolidated financial statements present fairly the financial transactions during the reporting period and the financial position at the end of that period</w:t>
      </w:r>
    </w:p>
    <w:p w14:paraId="7E5D9DE9" w14:textId="0A18647F" w:rsidR="00414045" w:rsidRDefault="00414045" w:rsidP="00414045">
      <w:pPr>
        <w:pStyle w:val="ListParagraph"/>
        <w:numPr>
          <w:ilvl w:val="0"/>
          <w:numId w:val="49"/>
        </w:numPr>
        <w:rPr>
          <w:rFonts w:cs="Arial"/>
        </w:rPr>
      </w:pPr>
      <w:r w:rsidRPr="701665F7">
        <w:rPr>
          <w:rFonts w:cs="Arial"/>
        </w:rPr>
        <w:t xml:space="preserve">the consolidated financial statements have been prepared in accordance with  Direction 5.2 of the Standing Directions of the Assistant Treasurer under the </w:t>
      </w:r>
      <w:r w:rsidRPr="701665F7">
        <w:rPr>
          <w:rFonts w:cs="Arial"/>
          <w:i/>
        </w:rPr>
        <w:t>Financial Management Act 1994</w:t>
      </w:r>
      <w:r w:rsidRPr="701665F7">
        <w:rPr>
          <w:rFonts w:cs="Arial"/>
        </w:rPr>
        <w:t>, applicable Financial Reporting Directions, Australian Accounting Standards including Interpretations, and other mandatory professional reporting requirements.</w:t>
      </w:r>
    </w:p>
    <w:p w14:paraId="5E6D84A4" w14:textId="277C889F" w:rsidR="006C5E0A" w:rsidRDefault="006C5E0A" w:rsidP="00850154">
      <w:pPr>
        <w:rPr>
          <w:rFonts w:cs="Arial"/>
        </w:rPr>
      </w:pPr>
    </w:p>
    <w:p w14:paraId="28B98569" w14:textId="70AD52C1" w:rsidR="006C5E0A" w:rsidRDefault="006C5E0A" w:rsidP="00850154">
      <w:pPr>
        <w:rPr>
          <w:rFonts w:cs="Arial"/>
        </w:rPr>
      </w:pPr>
    </w:p>
    <w:tbl>
      <w:tblPr>
        <w:tblW w:w="9016" w:type="dxa"/>
        <w:tblLook w:val="04A0" w:firstRow="1" w:lastRow="0" w:firstColumn="1" w:lastColumn="0" w:noHBand="0" w:noVBand="1"/>
      </w:tblPr>
      <w:tblGrid>
        <w:gridCol w:w="2410"/>
        <w:gridCol w:w="1134"/>
        <w:gridCol w:w="2165"/>
        <w:gridCol w:w="1095"/>
        <w:gridCol w:w="2212"/>
      </w:tblGrid>
      <w:tr w:rsidR="00850154" w:rsidRPr="00850154" w14:paraId="7EF91B37" w14:textId="77777777" w:rsidTr="006C5E0A">
        <w:trPr>
          <w:trHeight w:val="264"/>
        </w:trPr>
        <w:tc>
          <w:tcPr>
            <w:tcW w:w="2410" w:type="dxa"/>
            <w:tcBorders>
              <w:top w:val="nil"/>
              <w:left w:val="nil"/>
              <w:bottom w:val="nil"/>
              <w:right w:val="nil"/>
            </w:tcBorders>
            <w:noWrap/>
            <w:vAlign w:val="bottom"/>
            <w:hideMark/>
          </w:tcPr>
          <w:p w14:paraId="7BC21408" w14:textId="77777777" w:rsidR="00850154" w:rsidRPr="00850154" w:rsidRDefault="00850154" w:rsidP="00850154">
            <w:pPr>
              <w:spacing w:after="0" w:line="240" w:lineRule="auto"/>
              <w:rPr>
                <w:rFonts w:eastAsia="Times New Roman" w:cs="Arial"/>
                <w:color w:val="000000"/>
                <w:szCs w:val="24"/>
                <w:lang w:eastAsia="en-AU"/>
              </w:rPr>
            </w:pPr>
            <w:r w:rsidRPr="00850154">
              <w:rPr>
                <w:rFonts w:eastAsia="Times New Roman" w:cs="Arial"/>
                <w:color w:val="000000"/>
                <w:szCs w:val="24"/>
                <w:lang w:eastAsia="en-AU"/>
              </w:rPr>
              <w:t>Simon Corbell</w:t>
            </w:r>
          </w:p>
        </w:tc>
        <w:tc>
          <w:tcPr>
            <w:tcW w:w="1134" w:type="dxa"/>
            <w:tcBorders>
              <w:top w:val="nil"/>
              <w:left w:val="nil"/>
              <w:bottom w:val="nil"/>
              <w:right w:val="nil"/>
            </w:tcBorders>
            <w:noWrap/>
            <w:vAlign w:val="bottom"/>
            <w:hideMark/>
          </w:tcPr>
          <w:p w14:paraId="5F876F3D" w14:textId="77777777" w:rsidR="00850154" w:rsidRPr="00850154" w:rsidRDefault="00850154" w:rsidP="00850154">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69C36C92" w14:textId="77777777" w:rsidR="00850154" w:rsidRPr="00850154" w:rsidRDefault="00850154" w:rsidP="00850154">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Christopher Miller</w:t>
            </w:r>
          </w:p>
        </w:tc>
        <w:tc>
          <w:tcPr>
            <w:tcW w:w="1095" w:type="dxa"/>
            <w:tcBorders>
              <w:top w:val="nil"/>
              <w:left w:val="nil"/>
              <w:bottom w:val="nil"/>
              <w:right w:val="nil"/>
            </w:tcBorders>
            <w:noWrap/>
            <w:vAlign w:val="bottom"/>
            <w:hideMark/>
          </w:tcPr>
          <w:p w14:paraId="09290F15" w14:textId="77777777" w:rsidR="00850154" w:rsidRPr="00850154" w:rsidRDefault="00850154" w:rsidP="00850154">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07345DA4" w14:textId="77777777" w:rsidR="00850154" w:rsidRPr="00850154" w:rsidRDefault="00850154" w:rsidP="00850154">
            <w:pPr>
              <w:spacing w:after="0" w:line="240" w:lineRule="auto"/>
              <w:rPr>
                <w:rFonts w:eastAsia="Times New Roman" w:cs="Arial"/>
                <w:color w:val="000000"/>
                <w:szCs w:val="24"/>
                <w:lang w:eastAsia="en-AU"/>
              </w:rPr>
            </w:pPr>
            <w:r w:rsidRPr="00850154">
              <w:rPr>
                <w:rFonts w:eastAsia="Times New Roman" w:cs="Arial"/>
                <w:color w:val="000000"/>
                <w:szCs w:val="24"/>
                <w:lang w:eastAsia="en-AU"/>
              </w:rPr>
              <w:t>Elisha Civil</w:t>
            </w:r>
          </w:p>
        </w:tc>
      </w:tr>
      <w:tr w:rsidR="00850154" w:rsidRPr="00850154" w14:paraId="182BA800" w14:textId="77777777" w:rsidTr="006C5E0A">
        <w:trPr>
          <w:trHeight w:val="264"/>
        </w:trPr>
        <w:tc>
          <w:tcPr>
            <w:tcW w:w="2410" w:type="dxa"/>
            <w:tcBorders>
              <w:top w:val="nil"/>
              <w:left w:val="nil"/>
              <w:bottom w:val="nil"/>
              <w:right w:val="nil"/>
            </w:tcBorders>
            <w:noWrap/>
            <w:hideMark/>
          </w:tcPr>
          <w:p w14:paraId="3596077D" w14:textId="262B49D0" w:rsidR="00850154" w:rsidRPr="00850154" w:rsidRDefault="001F1BF5" w:rsidP="00850154">
            <w:pPr>
              <w:spacing w:after="0" w:line="240" w:lineRule="auto"/>
              <w:rPr>
                <w:rFonts w:eastAsia="Times New Roman" w:cs="Arial"/>
                <w:color w:val="000000"/>
                <w:szCs w:val="24"/>
                <w:lang w:eastAsia="en-AU"/>
              </w:rPr>
            </w:pPr>
            <w:r>
              <w:rPr>
                <w:rFonts w:eastAsia="Times New Roman" w:cs="Arial"/>
                <w:color w:val="000000"/>
                <w:szCs w:val="24"/>
                <w:lang w:eastAsia="en-AU"/>
              </w:rPr>
              <w:t>Board Chair</w:t>
            </w:r>
          </w:p>
        </w:tc>
        <w:tc>
          <w:tcPr>
            <w:tcW w:w="1134" w:type="dxa"/>
            <w:tcBorders>
              <w:top w:val="nil"/>
              <w:left w:val="nil"/>
              <w:bottom w:val="nil"/>
              <w:right w:val="nil"/>
            </w:tcBorders>
            <w:noWrap/>
            <w:vAlign w:val="bottom"/>
            <w:hideMark/>
          </w:tcPr>
          <w:p w14:paraId="57AA1FA6" w14:textId="77777777" w:rsidR="00850154" w:rsidRPr="00850154" w:rsidRDefault="00850154" w:rsidP="00850154">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348D09F5" w14:textId="77777777" w:rsidR="00850154" w:rsidRPr="00850154" w:rsidRDefault="00850154" w:rsidP="00850154">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Executive Officer</w:t>
            </w:r>
          </w:p>
        </w:tc>
        <w:tc>
          <w:tcPr>
            <w:tcW w:w="1095" w:type="dxa"/>
            <w:tcBorders>
              <w:top w:val="nil"/>
              <w:left w:val="nil"/>
              <w:bottom w:val="nil"/>
              <w:right w:val="nil"/>
            </w:tcBorders>
            <w:noWrap/>
            <w:vAlign w:val="bottom"/>
            <w:hideMark/>
          </w:tcPr>
          <w:p w14:paraId="21C3D000" w14:textId="77777777" w:rsidR="00850154" w:rsidRPr="00850154" w:rsidRDefault="00850154" w:rsidP="00850154">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700F5B3A" w14:textId="77777777" w:rsidR="00850154" w:rsidRPr="00850154" w:rsidRDefault="00850154" w:rsidP="00850154">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Financial Officer</w:t>
            </w:r>
          </w:p>
        </w:tc>
      </w:tr>
    </w:tbl>
    <w:p w14:paraId="2C629692" w14:textId="1EB1D1F3" w:rsidR="00850154" w:rsidRPr="00850154" w:rsidRDefault="00850154" w:rsidP="5DB4E149">
      <w:pPr>
        <w:rPr>
          <w:rFonts w:cs="Arial"/>
        </w:rPr>
      </w:pPr>
      <w:r>
        <w:br/>
      </w:r>
      <w:r w:rsidR="00EE3A81" w:rsidRPr="00AA3AC5">
        <w:t>6</w:t>
      </w:r>
      <w:r w:rsidR="69E35E55" w:rsidRPr="00AA3AC5">
        <w:t xml:space="preserve"> October 2025</w:t>
      </w:r>
    </w:p>
    <w:p w14:paraId="461FB170" w14:textId="64074944" w:rsidR="00850154" w:rsidRPr="00850154" w:rsidRDefault="00850154" w:rsidP="00850154">
      <w:pPr>
        <w:rPr>
          <w:rFonts w:cs="Arial"/>
        </w:rPr>
      </w:pPr>
    </w:p>
    <w:p w14:paraId="4EFCBE64" w14:textId="44C12D48" w:rsidR="00934319" w:rsidRDefault="00934319">
      <w:pPr>
        <w:rPr>
          <w:rFonts w:eastAsiaTheme="majorEastAsia" w:cstheme="majorBidi"/>
          <w:sz w:val="40"/>
          <w:szCs w:val="40"/>
        </w:rPr>
      </w:pPr>
      <w:r>
        <w:br w:type="page"/>
      </w:r>
    </w:p>
    <w:p w14:paraId="0D8ECE68" w14:textId="403A2577" w:rsidR="00934319" w:rsidRPr="00926008" w:rsidRDefault="00934319" w:rsidP="00B254AC">
      <w:pPr>
        <w:pStyle w:val="Heading1"/>
      </w:pPr>
      <w:bookmarkStart w:id="400" w:name="_Toc183098492"/>
      <w:bookmarkStart w:id="401" w:name="_Toc183098726"/>
      <w:bookmarkStart w:id="402" w:name="_Toc200631681"/>
      <w:bookmarkStart w:id="403" w:name="_Toc345192107"/>
      <w:bookmarkStart w:id="404" w:name="_Toc201222708"/>
      <w:bookmarkStart w:id="405" w:name="_Toc504710387"/>
      <w:bookmarkStart w:id="406" w:name="_Toc840259262"/>
      <w:bookmarkStart w:id="407" w:name="_Toc668869179"/>
      <w:bookmarkStart w:id="408" w:name="_Toc451468437"/>
      <w:bookmarkStart w:id="409" w:name="_Toc2016039214"/>
      <w:bookmarkStart w:id="410" w:name="_Toc654342385"/>
      <w:bookmarkStart w:id="411" w:name="_Toc203487542"/>
      <w:bookmarkStart w:id="412" w:name="_Toc203656232"/>
      <w:bookmarkStart w:id="413" w:name="_Toc877397398"/>
      <w:bookmarkStart w:id="414" w:name="_Ref207011108"/>
      <w:bookmarkStart w:id="415" w:name="_Toc208418038"/>
      <w:bookmarkStart w:id="416" w:name="_Ref208418401"/>
      <w:bookmarkStart w:id="417" w:name="_Toc209080403"/>
      <w:bookmarkStart w:id="418" w:name="_Toc209703972"/>
      <w:bookmarkStart w:id="419" w:name="_Toc209704025"/>
      <w:bookmarkStart w:id="420" w:name="_Toc209704078"/>
      <w:r>
        <w:t>Corporate compliance</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3A912EFE" w14:textId="439DEA45" w:rsidR="00934319" w:rsidRPr="0010235E" w:rsidRDefault="00934319" w:rsidP="004525C9">
      <w:pPr>
        <w:pStyle w:val="Heading2"/>
        <w:rPr>
          <w:sz w:val="28"/>
          <w:szCs w:val="28"/>
        </w:rPr>
      </w:pPr>
      <w:bookmarkStart w:id="421" w:name="_Toc203487543"/>
      <w:bookmarkStart w:id="422" w:name="_Toc203656233"/>
      <w:bookmarkStart w:id="423" w:name="_Toc1846437669"/>
      <w:bookmarkStart w:id="424" w:name="_Ref207013265"/>
      <w:bookmarkStart w:id="425" w:name="_Ref209699596"/>
      <w:r w:rsidRPr="0010235E">
        <w:rPr>
          <w:sz w:val="28"/>
          <w:szCs w:val="28"/>
        </w:rPr>
        <w:t>Local Jobs First</w:t>
      </w:r>
      <w:bookmarkEnd w:id="421"/>
      <w:bookmarkEnd w:id="422"/>
      <w:bookmarkEnd w:id="423"/>
      <w:bookmarkEnd w:id="424"/>
      <w:bookmarkEnd w:id="425"/>
    </w:p>
    <w:p w14:paraId="0C39A1F3" w14:textId="77777777" w:rsidR="005253A6" w:rsidRPr="005253A6" w:rsidRDefault="005253A6" w:rsidP="005253A6">
      <w:pPr>
        <w:tabs>
          <w:tab w:val="left" w:pos="993"/>
        </w:tabs>
        <w:rPr>
          <w:rFonts w:cs="Arial"/>
        </w:rPr>
      </w:pPr>
      <w:r w:rsidRPr="005253A6">
        <w:rPr>
          <w:rFonts w:cs="Arial"/>
        </w:rPr>
        <w:t xml:space="preserve">The </w:t>
      </w:r>
      <w:r w:rsidRPr="00AA3AC5">
        <w:rPr>
          <w:rFonts w:cs="Arial"/>
          <w:i/>
          <w:iCs/>
        </w:rPr>
        <w:t>Local Jobs First Act 2003</w:t>
      </w:r>
      <w:r w:rsidRPr="005253A6">
        <w:rPr>
          <w:rFonts w:cs="Arial"/>
        </w:rPr>
        <w:t xml:space="preserve"> brings together the Victorian Industry Participation Policy (VIPP) and Major Project Skills Guarantee (MPSG) policies. </w:t>
      </w:r>
    </w:p>
    <w:p w14:paraId="0CD893DB" w14:textId="79146B5A" w:rsidR="005253A6" w:rsidRPr="005253A6" w:rsidRDefault="005253A6" w:rsidP="005253A6">
      <w:pPr>
        <w:tabs>
          <w:tab w:val="left" w:pos="993"/>
        </w:tabs>
        <w:rPr>
          <w:rFonts w:cs="Arial"/>
        </w:rPr>
      </w:pPr>
      <w:r w:rsidRPr="005253A6">
        <w:rPr>
          <w:rFonts w:cs="Arial"/>
        </w:rPr>
        <w:t>It aims to support small and medium-sized enterprises, requires the inclusion of apprentices and trainees on large government construction projects, and ensure</w:t>
      </w:r>
      <w:r w:rsidR="00391118">
        <w:rPr>
          <w:rFonts w:cs="Arial"/>
        </w:rPr>
        <w:t>s</w:t>
      </w:r>
      <w:r w:rsidRPr="005253A6">
        <w:rPr>
          <w:rFonts w:cs="Arial"/>
        </w:rPr>
        <w:t xml:space="preserve"> compliance and accountability from government agencies.</w:t>
      </w:r>
    </w:p>
    <w:p w14:paraId="361FE1A7" w14:textId="2FE6B3BD" w:rsidR="00A33C77" w:rsidRDefault="005253A6" w:rsidP="005253A6">
      <w:pPr>
        <w:tabs>
          <w:tab w:val="left" w:pos="993"/>
        </w:tabs>
        <w:rPr>
          <w:rFonts w:cs="Arial"/>
          <w:highlight w:val="yellow"/>
        </w:rPr>
      </w:pPr>
      <w:r w:rsidRPr="005253A6">
        <w:rPr>
          <w:rFonts w:cs="Arial"/>
        </w:rPr>
        <w:t>SEC will apply the Local Jobs First policy in all procurement projects valued at $3 million or more in metropolitan Melbourne or for statewide projects, or $1 million or more for projects in regional Victoria. MPSG applies to all construction projects valued at $20 million or more.</w:t>
      </w:r>
    </w:p>
    <w:p w14:paraId="5116ACB9" w14:textId="0D03CD09" w:rsidR="00934319" w:rsidRPr="00C4269D" w:rsidRDefault="00245A51" w:rsidP="00AC4779">
      <w:pPr>
        <w:pStyle w:val="Heading3"/>
      </w:pPr>
      <w:r w:rsidRPr="00C4269D">
        <w:t xml:space="preserve">Projects commenced - </w:t>
      </w:r>
      <w:r w:rsidR="00934319" w:rsidRPr="00C4269D">
        <w:t xml:space="preserve">Local Jobs First </w:t>
      </w:r>
      <w:r w:rsidRPr="00C4269D">
        <w:t>Standard</w:t>
      </w:r>
      <w:r w:rsidR="00934319" w:rsidRPr="00C4269D">
        <w:t xml:space="preserve"> </w:t>
      </w:r>
    </w:p>
    <w:p w14:paraId="59AE04CD" w14:textId="26D026C7" w:rsidR="0099145D" w:rsidRPr="00F65403" w:rsidRDefault="0099145D" w:rsidP="00065652">
      <w:pPr>
        <w:rPr>
          <w:b/>
          <w:bCs/>
        </w:rPr>
      </w:pPr>
      <w:r w:rsidRPr="00F65403">
        <w:t>During 2024</w:t>
      </w:r>
      <w:r w:rsidR="00104757">
        <w:t>-</w:t>
      </w:r>
      <w:r w:rsidRPr="00F65403">
        <w:t xml:space="preserve">25, SEC commenced 4 Local Jobs First standard projects valued at $16.2 million to which </w:t>
      </w:r>
      <w:r>
        <w:t>a</w:t>
      </w:r>
      <w:r w:rsidR="4F37BADA">
        <w:t xml:space="preserve"> Local Industry Development Plan (</w:t>
      </w:r>
      <w:r w:rsidRPr="00F65403">
        <w:t>LIDP</w:t>
      </w:r>
      <w:r w:rsidR="6F13A499">
        <w:t>)</w:t>
      </w:r>
      <w:r w:rsidRPr="00F65403">
        <w:t xml:space="preserve"> was required. Of those projects, all were in metropolitan Melbourne with an average local content </w:t>
      </w:r>
      <w:r w:rsidRPr="001513B5">
        <w:rPr>
          <w:rFonts w:cs="Arial"/>
        </w:rPr>
        <w:t>commitment of 99%. The MSPG applied to none of these projects.</w:t>
      </w:r>
    </w:p>
    <w:p w14:paraId="52336574" w14:textId="17A29E62" w:rsidR="0099145D" w:rsidRPr="00F65403" w:rsidRDefault="0099145D" w:rsidP="00065652">
      <w:pPr>
        <w:rPr>
          <w:b/>
        </w:rPr>
      </w:pPr>
      <w:r w:rsidRPr="00F65403">
        <w:t>The specific project outcomes expected from the implementation of the Local Jobs First policy to the 4 projects are as follows:</w:t>
      </w:r>
    </w:p>
    <w:p w14:paraId="18C80602" w14:textId="4C480EA3" w:rsidR="0099145D" w:rsidRPr="00F65403" w:rsidRDefault="0099145D" w:rsidP="00065652">
      <w:pPr>
        <w:pStyle w:val="Bullet"/>
        <w:rPr>
          <w:b/>
        </w:rPr>
      </w:pPr>
      <w:r w:rsidRPr="00F65403">
        <w:t>average local content commitment of 99%</w:t>
      </w:r>
    </w:p>
    <w:p w14:paraId="47F2CF6B" w14:textId="1A6C6F6B" w:rsidR="009D6EF8" w:rsidRPr="00F65403" w:rsidRDefault="0099145D" w:rsidP="00065652">
      <w:pPr>
        <w:pStyle w:val="Bullet"/>
        <w:rPr>
          <w:rFonts w:cs="Arial"/>
        </w:rPr>
      </w:pPr>
      <w:r w:rsidRPr="00731ADD">
        <w:rPr>
          <w:rFonts w:cs="Arial"/>
        </w:rPr>
        <w:t>a total of 37 jobs (</w:t>
      </w:r>
      <w:r w:rsidR="009C0315">
        <w:rPr>
          <w:rFonts w:cs="Arial"/>
        </w:rPr>
        <w:t>annual employee equivalent, AEE</w:t>
      </w:r>
      <w:r w:rsidRPr="00731ADD">
        <w:rPr>
          <w:rFonts w:cs="Arial"/>
        </w:rPr>
        <w:t xml:space="preserve">), including the creation of 18 new jobs and the </w:t>
      </w:r>
      <w:r w:rsidRPr="0002372A">
        <w:rPr>
          <w:rFonts w:cs="Arial"/>
        </w:rPr>
        <w:t>retention of 19 existing jobs (AEE)</w:t>
      </w:r>
      <w:r w:rsidR="00934319" w:rsidRPr="00C4269D">
        <w:rPr>
          <w:rFonts w:cs="Arial"/>
        </w:rPr>
        <w:t>.</w:t>
      </w:r>
    </w:p>
    <w:p w14:paraId="7D1B99E4" w14:textId="4CFB2E84" w:rsidR="00934319" w:rsidRPr="00C4269D" w:rsidRDefault="00934319" w:rsidP="00AC4779">
      <w:pPr>
        <w:pStyle w:val="Heading3"/>
      </w:pPr>
      <w:r w:rsidRPr="00C4269D">
        <w:t xml:space="preserve">Projects commenced </w:t>
      </w:r>
      <w:r w:rsidR="00104757">
        <w:t>-</w:t>
      </w:r>
      <w:r w:rsidR="0051245D" w:rsidRPr="00C4269D">
        <w:t xml:space="preserve"> Local Jobs First Strategic</w:t>
      </w:r>
      <w:r w:rsidR="004D1FE4">
        <w:t xml:space="preserve"> Projects</w:t>
      </w:r>
    </w:p>
    <w:p w14:paraId="1C047584" w14:textId="57F7FB7D" w:rsidR="00135A9E" w:rsidRPr="00F65403" w:rsidRDefault="00C52A32" w:rsidP="00065652">
      <w:pPr>
        <w:rPr>
          <w:b/>
          <w:bCs/>
        </w:rPr>
      </w:pPr>
      <w:r w:rsidRPr="4D06A921">
        <w:rPr>
          <w:rFonts w:cs="Arial"/>
        </w:rPr>
        <w:t xml:space="preserve">During 2024-2025, SEC commenced 2 Local Jobs First Strategic Projects, valued at $370 million to which </w:t>
      </w:r>
      <w:r w:rsidRPr="5DD45AD8">
        <w:rPr>
          <w:rFonts w:cs="Arial"/>
        </w:rPr>
        <w:t>a</w:t>
      </w:r>
      <w:r w:rsidR="4176F9AF" w:rsidRPr="5DD45AD8">
        <w:rPr>
          <w:rFonts w:cs="Arial"/>
        </w:rPr>
        <w:t>n</w:t>
      </w:r>
      <w:r w:rsidR="17F9CC0C" w:rsidRPr="5DD45AD8">
        <w:rPr>
          <w:rFonts w:cs="Arial"/>
        </w:rPr>
        <w:t xml:space="preserve"> </w:t>
      </w:r>
      <w:r w:rsidRPr="5DD45AD8">
        <w:rPr>
          <w:rFonts w:cs="Arial"/>
        </w:rPr>
        <w:t>LIDP</w:t>
      </w:r>
      <w:r w:rsidRPr="4D06A921">
        <w:rPr>
          <w:rFonts w:cs="Arial"/>
        </w:rPr>
        <w:t xml:space="preserve"> was required. The MPSG applied to these projects, requiring at least 10</w:t>
      </w:r>
      <w:r w:rsidR="00B322E7" w:rsidRPr="4D06A921">
        <w:rPr>
          <w:rFonts w:cs="Arial"/>
        </w:rPr>
        <w:t>%</w:t>
      </w:r>
      <w:r w:rsidRPr="4D06A921">
        <w:rPr>
          <w:rFonts w:cs="Arial"/>
        </w:rPr>
        <w:t xml:space="preserve"> of project labour hours to be undertaken by </w:t>
      </w:r>
      <w:r w:rsidR="28DEB0B7" w:rsidRPr="4D06A921">
        <w:rPr>
          <w:rFonts w:cs="Arial"/>
        </w:rPr>
        <w:t>a</w:t>
      </w:r>
      <w:r w:rsidRPr="4D06A921">
        <w:rPr>
          <w:rFonts w:cs="Arial"/>
        </w:rPr>
        <w:t xml:space="preserve">pprentices, </w:t>
      </w:r>
      <w:r w:rsidR="64C5BE33" w:rsidRPr="4D06A921">
        <w:rPr>
          <w:rFonts w:cs="Arial"/>
        </w:rPr>
        <w:t>t</w:t>
      </w:r>
      <w:r w:rsidRPr="4D06A921">
        <w:rPr>
          <w:rFonts w:cs="Arial"/>
        </w:rPr>
        <w:t xml:space="preserve">rainees, and </w:t>
      </w:r>
      <w:r w:rsidR="77535582" w:rsidRPr="5DD45AD8">
        <w:rPr>
          <w:rFonts w:cs="Arial"/>
        </w:rPr>
        <w:t>c</w:t>
      </w:r>
      <w:r w:rsidRPr="5DD45AD8">
        <w:rPr>
          <w:rFonts w:cs="Arial"/>
        </w:rPr>
        <w:t>adets</w:t>
      </w:r>
      <w:r w:rsidRPr="4D06A921">
        <w:rPr>
          <w:rFonts w:cs="Arial"/>
        </w:rPr>
        <w:t>.</w:t>
      </w:r>
    </w:p>
    <w:p w14:paraId="160785B8" w14:textId="20165171" w:rsidR="00135A9E" w:rsidRPr="00C4269D" w:rsidRDefault="00135A9E" w:rsidP="00C4269D">
      <w:pPr>
        <w:pStyle w:val="Heading3"/>
      </w:pPr>
      <w:r w:rsidRPr="009C47EB">
        <w:t>Projects com</w:t>
      </w:r>
      <w:r>
        <w:t>pleted</w:t>
      </w:r>
      <w:r w:rsidRPr="009C47EB">
        <w:t xml:space="preserve"> - Local Jobs First Standard</w:t>
      </w:r>
      <w:r>
        <w:t xml:space="preserve"> </w:t>
      </w:r>
      <w:r w:rsidR="008B1B32">
        <w:t xml:space="preserve">or </w:t>
      </w:r>
      <w:r>
        <w:t>Strategic</w:t>
      </w:r>
      <w:r w:rsidR="00D97495">
        <w:t xml:space="preserve"> Projects</w:t>
      </w:r>
    </w:p>
    <w:p w14:paraId="2F5E273A" w14:textId="2BE60466" w:rsidR="00C52A32" w:rsidRPr="00C4269D" w:rsidRDefault="003C10B4" w:rsidP="00065652">
      <w:pPr>
        <w:rPr>
          <w:rFonts w:cs="Arial"/>
        </w:rPr>
      </w:pPr>
      <w:r w:rsidRPr="00F65403">
        <w:t>During 2024-2025, SEC did not complete any Local Jobs First Standard or Strategic Projects.</w:t>
      </w:r>
    </w:p>
    <w:p w14:paraId="4E7FCF8E" w14:textId="3B6D5603" w:rsidR="00934319" w:rsidRPr="0010235E" w:rsidRDefault="00934319" w:rsidP="00AC4779">
      <w:pPr>
        <w:pStyle w:val="Heading2"/>
        <w:rPr>
          <w:sz w:val="28"/>
          <w:szCs w:val="28"/>
        </w:rPr>
      </w:pPr>
      <w:bookmarkStart w:id="426" w:name="_Toc203487544"/>
      <w:bookmarkStart w:id="427" w:name="_Toc203656234"/>
      <w:bookmarkStart w:id="428" w:name="_Toc1492695686"/>
      <w:bookmarkStart w:id="429" w:name="_Ref208847656"/>
      <w:r w:rsidRPr="0010235E">
        <w:rPr>
          <w:sz w:val="28"/>
          <w:szCs w:val="28"/>
        </w:rPr>
        <w:t>Social procurement</w:t>
      </w:r>
      <w:bookmarkEnd w:id="426"/>
      <w:bookmarkEnd w:id="427"/>
      <w:bookmarkEnd w:id="428"/>
      <w:bookmarkEnd w:id="429"/>
    </w:p>
    <w:p w14:paraId="5D284BD1" w14:textId="0C61E57F" w:rsidR="001A62AF" w:rsidRPr="00EA4854" w:rsidRDefault="001A62AF" w:rsidP="00065652">
      <w:pPr>
        <w:rPr>
          <w:rFonts w:cs="Arial"/>
        </w:rPr>
      </w:pPr>
      <w:r w:rsidRPr="00F65403">
        <w:t xml:space="preserve">Victoria’s Social Procurement Framework (SPF) establishes requirements that apply to </w:t>
      </w:r>
      <w:r w:rsidRPr="00EA4854">
        <w:t>Victorian Government departments and agencies when they procure goods, services and construction. Under the framework, SEC is committed to ensuring procurement decisions help generate social value.</w:t>
      </w:r>
    </w:p>
    <w:p w14:paraId="6656BC4C" w14:textId="447D29A1" w:rsidR="001A62AF" w:rsidRPr="00EA4854" w:rsidRDefault="001A62AF" w:rsidP="00065652">
      <w:pPr>
        <w:rPr>
          <w:rFonts w:cs="Arial"/>
        </w:rPr>
      </w:pPr>
      <w:r>
        <w:t>SEC’s Social Pro</w:t>
      </w:r>
      <w:r w:rsidR="00BF5AB9" w:rsidRPr="494E5549">
        <w:rPr>
          <w:rFonts w:cs="Arial"/>
        </w:rPr>
        <w:t>c</w:t>
      </w:r>
      <w:r w:rsidRPr="494E5549">
        <w:rPr>
          <w:rFonts w:cs="Arial"/>
        </w:rPr>
        <w:t>urement Strategy focusses on the following objectives outlined in the SPF:</w:t>
      </w:r>
    </w:p>
    <w:p w14:paraId="2882A2A0" w14:textId="5A9ADA82" w:rsidR="001A62AF" w:rsidRPr="00C4269D" w:rsidRDefault="001A62AF" w:rsidP="00065652">
      <w:pPr>
        <w:pStyle w:val="Bullet"/>
        <w:rPr>
          <w:rFonts w:cs="Arial"/>
        </w:rPr>
      </w:pPr>
      <w:r w:rsidRPr="00F65403">
        <w:t>sustainable Victorian social enterprise and first people’s businesses</w:t>
      </w:r>
    </w:p>
    <w:p w14:paraId="36A5A6FF" w14:textId="04A31CFD" w:rsidR="001A62AF" w:rsidRPr="00C4269D" w:rsidRDefault="001A62AF" w:rsidP="00065652">
      <w:pPr>
        <w:pStyle w:val="Bullet"/>
        <w:rPr>
          <w:rFonts w:cs="Arial"/>
        </w:rPr>
      </w:pPr>
      <w:r w:rsidRPr="00F65403">
        <w:t xml:space="preserve">opportunities for Victorian </w:t>
      </w:r>
      <w:r w:rsidR="00F24168">
        <w:t>F</w:t>
      </w:r>
      <w:r w:rsidRPr="00F65403">
        <w:t xml:space="preserve">irst </w:t>
      </w:r>
      <w:r w:rsidR="00F24168">
        <w:t>P</w:t>
      </w:r>
      <w:r w:rsidRPr="00F65403">
        <w:t xml:space="preserve">eoples </w:t>
      </w:r>
    </w:p>
    <w:p w14:paraId="0C045A6F" w14:textId="5F8EA1DD" w:rsidR="001A62AF" w:rsidRPr="00C4269D" w:rsidRDefault="001A62AF" w:rsidP="00065652">
      <w:pPr>
        <w:pStyle w:val="Bullet"/>
        <w:rPr>
          <w:rFonts w:cs="Arial"/>
        </w:rPr>
      </w:pPr>
      <w:r w:rsidRPr="00F65403">
        <w:t>women’s equality and safety</w:t>
      </w:r>
    </w:p>
    <w:p w14:paraId="1E0E06FA" w14:textId="2AA354E0" w:rsidR="001A62AF" w:rsidRPr="0047387C" w:rsidRDefault="001A62AF" w:rsidP="00065652">
      <w:pPr>
        <w:pStyle w:val="Bullet"/>
      </w:pPr>
      <w:r>
        <w:t>implementation of climate change policy objectives (stretch</w:t>
      </w:r>
      <w:r w:rsidR="00E2218E" w:rsidRPr="49BCD735">
        <w:rPr>
          <w:rFonts w:cs="Arial"/>
          <w:b/>
          <w:bCs/>
        </w:rPr>
        <w:t xml:space="preserve"> </w:t>
      </w:r>
      <w:r w:rsidR="00E2218E" w:rsidRPr="49BCD735">
        <w:rPr>
          <w:rFonts w:asciiTheme="minorHAnsi" w:eastAsiaTheme="minorEastAsia" w:hAnsiTheme="minorHAnsi"/>
        </w:rPr>
        <w:t>target</w:t>
      </w:r>
      <w:r w:rsidRPr="0010235E">
        <w:rPr>
          <w:rFonts w:cs="Arial"/>
        </w:rPr>
        <w:t>)</w:t>
      </w:r>
      <w:r w:rsidR="009C0315">
        <w:rPr>
          <w:rFonts w:cs="Arial"/>
        </w:rPr>
        <w:t>.</w:t>
      </w:r>
    </w:p>
    <w:p w14:paraId="60877908" w14:textId="009BC425" w:rsidR="001A62AF" w:rsidRPr="00C4269D" w:rsidRDefault="001A62AF" w:rsidP="00065652">
      <w:pPr>
        <w:rPr>
          <w:rFonts w:cs="Arial"/>
        </w:rPr>
      </w:pPr>
      <w:r w:rsidRPr="00F65403">
        <w:t>The strategy outlines the ways SEC is progressing to meet its social procurement obligations, namely:</w:t>
      </w:r>
    </w:p>
    <w:p w14:paraId="483B1860" w14:textId="706F04BD" w:rsidR="001A62AF" w:rsidRPr="00C4269D" w:rsidRDefault="001A62AF" w:rsidP="00065652">
      <w:pPr>
        <w:pStyle w:val="Bullet"/>
        <w:rPr>
          <w:rFonts w:cs="Arial"/>
        </w:rPr>
      </w:pPr>
      <w:r w:rsidRPr="00F65403">
        <w:t>purchasing from certified Victorian social enterprises (direct)</w:t>
      </w:r>
    </w:p>
    <w:p w14:paraId="3C04D9D2" w14:textId="2A8F3822" w:rsidR="001A62AF" w:rsidRPr="00C4269D" w:rsidRDefault="001A62AF" w:rsidP="00065652">
      <w:pPr>
        <w:pStyle w:val="Bullet"/>
        <w:rPr>
          <w:rFonts w:cs="Arial"/>
        </w:rPr>
      </w:pPr>
      <w:r w:rsidRPr="00F65403">
        <w:t>purchasing from mainstream suppliers with Victorian social enterprises in their supply chain (indirect)</w:t>
      </w:r>
    </w:p>
    <w:p w14:paraId="21251991" w14:textId="72C075B0" w:rsidR="001A62AF" w:rsidRPr="00EA4854" w:rsidRDefault="001A62AF" w:rsidP="00065652">
      <w:pPr>
        <w:pStyle w:val="Bullet"/>
        <w:rPr>
          <w:rFonts w:cs="Arial"/>
        </w:rPr>
      </w:pPr>
      <w:r w:rsidRPr="00F65403">
        <w:t xml:space="preserve">purchasing </w:t>
      </w:r>
      <w:r w:rsidR="00B81E32">
        <w:t xml:space="preserve">directly </w:t>
      </w:r>
      <w:r w:rsidRPr="00F65403">
        <w:t xml:space="preserve">from certified Victorian First Peoples businesses including alternative procurement pathways and payment terms for suppliers where there is a </w:t>
      </w:r>
      <w:r w:rsidRPr="00EA4854">
        <w:t>social benefit to their engagement with SEC. These suppliers include, but are not limited to, businesses owned by diverse groups including First Peoples, women, small businesses, and local businesses in the communities in which we operate.</w:t>
      </w:r>
    </w:p>
    <w:p w14:paraId="2752A612" w14:textId="48489FF4" w:rsidR="001A62AF" w:rsidRPr="00EA4854" w:rsidRDefault="0091671E" w:rsidP="0010235E">
      <w:pPr>
        <w:pStyle w:val="Bullet"/>
        <w:numPr>
          <w:ilvl w:val="1"/>
          <w:numId w:val="2"/>
        </w:numPr>
        <w:rPr>
          <w:rFonts w:cs="Arial"/>
        </w:rPr>
      </w:pPr>
      <w:r>
        <w:t>e</w:t>
      </w:r>
      <w:r w:rsidR="001A62AF">
        <w:t>ngaged Outback Talent</w:t>
      </w:r>
      <w:r w:rsidR="003D0015" w:rsidRPr="494E5549">
        <w:rPr>
          <w:rFonts w:cs="Arial"/>
        </w:rPr>
        <w:t>, a</w:t>
      </w:r>
      <w:r w:rsidR="001A62AF" w:rsidRPr="494E5549">
        <w:rPr>
          <w:rFonts w:cs="Arial"/>
        </w:rPr>
        <w:t xml:space="preserve"> First Peoples </w:t>
      </w:r>
      <w:r>
        <w:rPr>
          <w:rFonts w:cs="Arial"/>
        </w:rPr>
        <w:t>r</w:t>
      </w:r>
      <w:r w:rsidR="001A62AF" w:rsidRPr="494E5549">
        <w:rPr>
          <w:rFonts w:cs="Arial"/>
        </w:rPr>
        <w:t xml:space="preserve">ecruitment agency </w:t>
      </w:r>
    </w:p>
    <w:p w14:paraId="28B9C493" w14:textId="526FEB42" w:rsidR="001A62AF" w:rsidRPr="00EA4854" w:rsidRDefault="0091671E" w:rsidP="0010235E">
      <w:pPr>
        <w:pStyle w:val="Bullet"/>
        <w:numPr>
          <w:ilvl w:val="1"/>
          <w:numId w:val="2"/>
        </w:numPr>
        <w:rPr>
          <w:rFonts w:cs="Arial"/>
        </w:rPr>
      </w:pPr>
      <w:r>
        <w:t>p</w:t>
      </w:r>
      <w:r w:rsidR="001A62AF">
        <w:t>urchasing through PAWA Catering</w:t>
      </w:r>
      <w:r w:rsidR="003D0015" w:rsidRPr="494E5549">
        <w:rPr>
          <w:rFonts w:cs="Arial"/>
        </w:rPr>
        <w:t>, a</w:t>
      </w:r>
      <w:r w:rsidR="001A62AF" w:rsidRPr="494E5549">
        <w:rPr>
          <w:rFonts w:cs="Arial"/>
        </w:rPr>
        <w:t xml:space="preserve"> First Peoples </w:t>
      </w:r>
      <w:r>
        <w:rPr>
          <w:rFonts w:cs="Arial"/>
        </w:rPr>
        <w:t>c</w:t>
      </w:r>
      <w:r w:rsidR="001A62AF" w:rsidRPr="494E5549">
        <w:rPr>
          <w:rFonts w:cs="Arial"/>
        </w:rPr>
        <w:t xml:space="preserve">atering business </w:t>
      </w:r>
    </w:p>
    <w:p w14:paraId="79B7128A" w14:textId="03765D1C" w:rsidR="001A62AF" w:rsidRPr="000E5B16" w:rsidRDefault="0091671E" w:rsidP="00065652">
      <w:pPr>
        <w:pStyle w:val="Bullet"/>
        <w:numPr>
          <w:ilvl w:val="1"/>
          <w:numId w:val="2"/>
        </w:numPr>
        <w:rPr>
          <w:rFonts w:cs="Arial"/>
        </w:rPr>
      </w:pPr>
      <w:r>
        <w:t>e</w:t>
      </w:r>
      <w:r w:rsidR="001A62AF" w:rsidRPr="00EA4854">
        <w:t xml:space="preserve">ngaged </w:t>
      </w:r>
      <w:proofErr w:type="spellStart"/>
      <w:r w:rsidR="001A62AF" w:rsidRPr="00EA4854">
        <w:t>Jaramer</w:t>
      </w:r>
      <w:proofErr w:type="spellEnd"/>
      <w:r w:rsidR="001A62AF" w:rsidRPr="00EA4854">
        <w:t xml:space="preserve"> Legal to run Indigenous Cultural Intellectual Property (ICIP) workshops</w:t>
      </w:r>
    </w:p>
    <w:p w14:paraId="322FFBFE" w14:textId="660975B7" w:rsidR="000E5B16" w:rsidRPr="00EA4854" w:rsidRDefault="000E5B16" w:rsidP="00065652">
      <w:pPr>
        <w:pStyle w:val="Bullet"/>
        <w:numPr>
          <w:ilvl w:val="1"/>
          <w:numId w:val="2"/>
        </w:numPr>
        <w:rPr>
          <w:rFonts w:cs="Arial"/>
        </w:rPr>
      </w:pPr>
      <w:r>
        <w:t xml:space="preserve">engaged </w:t>
      </w:r>
      <w:proofErr w:type="spellStart"/>
      <w:r w:rsidR="007029A0">
        <w:t>Jobsbank</w:t>
      </w:r>
      <w:proofErr w:type="spellEnd"/>
      <w:r w:rsidR="007A5200">
        <w:t xml:space="preserve"> to provide social procurement project delivery support</w:t>
      </w:r>
    </w:p>
    <w:p w14:paraId="4BE620F8" w14:textId="77777777" w:rsidR="00633C03" w:rsidRDefault="00633C03" w:rsidP="00633C03">
      <w:pPr>
        <w:pStyle w:val="Bullet"/>
        <w:rPr>
          <w:rFonts w:cs="Arial"/>
        </w:rPr>
      </w:pPr>
      <w:r>
        <w:rPr>
          <w:rFonts w:cs="Arial"/>
        </w:rPr>
        <w:t>purchasing indirectly through our mainstream suppliers on SEC investment projects</w:t>
      </w:r>
    </w:p>
    <w:p w14:paraId="568BA2E2" w14:textId="77777777" w:rsidR="00633C03" w:rsidRPr="00C7119C" w:rsidRDefault="00633C03" w:rsidP="00633C03">
      <w:pPr>
        <w:pStyle w:val="Bullet"/>
        <w:numPr>
          <w:ilvl w:val="1"/>
          <w:numId w:val="2"/>
        </w:numPr>
        <w:rPr>
          <w:rFonts w:cs="Arial"/>
        </w:rPr>
      </w:pPr>
      <w:r>
        <w:rPr>
          <w:rFonts w:cs="Arial"/>
        </w:rPr>
        <w:t xml:space="preserve">engaged </w:t>
      </w:r>
      <w:r w:rsidRPr="00C7119C">
        <w:rPr>
          <w:rFonts w:cs="Arial"/>
        </w:rPr>
        <w:t>A2B Personnel - Traffic Management/ Cleaners</w:t>
      </w:r>
    </w:p>
    <w:p w14:paraId="45F49B4E" w14:textId="5B346534" w:rsidR="00633C03" w:rsidRPr="00C7119C" w:rsidRDefault="00633C03" w:rsidP="00633C03">
      <w:pPr>
        <w:pStyle w:val="Bullet"/>
        <w:numPr>
          <w:ilvl w:val="1"/>
          <w:numId w:val="2"/>
        </w:numPr>
        <w:rPr>
          <w:rFonts w:cs="Arial"/>
        </w:rPr>
      </w:pPr>
      <w:r>
        <w:rPr>
          <w:rFonts w:cs="Arial"/>
        </w:rPr>
        <w:t xml:space="preserve">engaged </w:t>
      </w:r>
      <w:proofErr w:type="spellStart"/>
      <w:r w:rsidRPr="00C7119C">
        <w:rPr>
          <w:rFonts w:cs="Arial"/>
        </w:rPr>
        <w:t>Wamarra</w:t>
      </w:r>
      <w:proofErr w:type="spellEnd"/>
      <w:r w:rsidRPr="00C7119C">
        <w:rPr>
          <w:rFonts w:cs="Arial"/>
        </w:rPr>
        <w:t xml:space="preserve"> </w:t>
      </w:r>
      <w:r w:rsidR="00104757">
        <w:rPr>
          <w:rFonts w:cs="Arial"/>
        </w:rPr>
        <w:t>-</w:t>
      </w:r>
      <w:r w:rsidRPr="00C7119C">
        <w:rPr>
          <w:rFonts w:cs="Arial"/>
        </w:rPr>
        <w:t xml:space="preserve"> Civil works labour/ landscaping</w:t>
      </w:r>
    </w:p>
    <w:p w14:paraId="53F6EC0E" w14:textId="041B6146" w:rsidR="00633C03" w:rsidRPr="00C7119C" w:rsidRDefault="00633C03" w:rsidP="00633C03">
      <w:pPr>
        <w:pStyle w:val="Bullet"/>
        <w:numPr>
          <w:ilvl w:val="1"/>
          <w:numId w:val="2"/>
        </w:numPr>
        <w:rPr>
          <w:rFonts w:cs="Arial"/>
        </w:rPr>
      </w:pPr>
      <w:r>
        <w:rPr>
          <w:rFonts w:cs="Arial"/>
        </w:rPr>
        <w:t xml:space="preserve">engaged </w:t>
      </w:r>
      <w:proofErr w:type="spellStart"/>
      <w:r w:rsidRPr="00C7119C">
        <w:rPr>
          <w:rFonts w:cs="Arial"/>
        </w:rPr>
        <w:t>Karnaji</w:t>
      </w:r>
      <w:proofErr w:type="spellEnd"/>
      <w:r w:rsidRPr="00C7119C">
        <w:rPr>
          <w:rFonts w:cs="Arial"/>
        </w:rPr>
        <w:t xml:space="preserve"> </w:t>
      </w:r>
      <w:r w:rsidR="00104757">
        <w:rPr>
          <w:rFonts w:cs="Arial"/>
        </w:rPr>
        <w:t>-</w:t>
      </w:r>
      <w:r w:rsidRPr="00C7119C">
        <w:rPr>
          <w:rFonts w:cs="Arial"/>
        </w:rPr>
        <w:t xml:space="preserve"> Electrical Supplies</w:t>
      </w:r>
    </w:p>
    <w:p w14:paraId="2B937D80" w14:textId="296F64B1" w:rsidR="00633C03" w:rsidRPr="00633C03" w:rsidRDefault="00633C03" w:rsidP="0010235E">
      <w:pPr>
        <w:pStyle w:val="Bullet"/>
        <w:numPr>
          <w:ilvl w:val="1"/>
          <w:numId w:val="2"/>
        </w:numPr>
        <w:rPr>
          <w:rFonts w:cs="Arial"/>
        </w:rPr>
      </w:pPr>
      <w:r w:rsidRPr="00633C03">
        <w:rPr>
          <w:rFonts w:cs="Arial"/>
        </w:rPr>
        <w:t xml:space="preserve">engaged </w:t>
      </w:r>
      <w:proofErr w:type="spellStart"/>
      <w:r w:rsidRPr="00633C03">
        <w:rPr>
          <w:rFonts w:cs="Arial"/>
        </w:rPr>
        <w:t>Kulbardi</w:t>
      </w:r>
      <w:proofErr w:type="spellEnd"/>
      <w:r w:rsidRPr="00633C03">
        <w:rPr>
          <w:rFonts w:cs="Arial"/>
        </w:rPr>
        <w:t xml:space="preserve"> </w:t>
      </w:r>
      <w:r w:rsidR="00104757">
        <w:rPr>
          <w:rFonts w:cs="Arial"/>
        </w:rPr>
        <w:t>-</w:t>
      </w:r>
      <w:r w:rsidRPr="00633C03">
        <w:rPr>
          <w:rFonts w:cs="Arial"/>
        </w:rPr>
        <w:t xml:space="preserve"> Cleaning Consumables </w:t>
      </w:r>
    </w:p>
    <w:p w14:paraId="7F4F41D9" w14:textId="133F1AEB" w:rsidR="001A62AF" w:rsidRPr="00EA4854" w:rsidRDefault="0057289C" w:rsidP="00065652">
      <w:pPr>
        <w:pStyle w:val="Bullet"/>
        <w:rPr>
          <w:rFonts w:cs="Arial"/>
        </w:rPr>
      </w:pPr>
      <w:r>
        <w:t>i</w:t>
      </w:r>
      <w:r w:rsidR="001A62AF" w:rsidRPr="494E5549">
        <w:rPr>
          <w:rFonts w:cs="Arial"/>
        </w:rPr>
        <w:t>ncorporating requirements for social procurement outputs and business practices into SEC’s requests for tender, request for proposal and quotation documents</w:t>
      </w:r>
    </w:p>
    <w:p w14:paraId="1E9E1CA4" w14:textId="76F86C0E" w:rsidR="001A62AF" w:rsidRPr="00EA4854" w:rsidRDefault="0057289C" w:rsidP="00065652">
      <w:pPr>
        <w:pStyle w:val="Bullet"/>
        <w:rPr>
          <w:rFonts w:cs="Arial"/>
        </w:rPr>
      </w:pPr>
      <w:r>
        <w:t>p</w:t>
      </w:r>
      <w:r w:rsidR="001A62AF" w:rsidRPr="494E5549">
        <w:rPr>
          <w:rFonts w:cs="Arial"/>
        </w:rPr>
        <w:t xml:space="preserve">romoting social procurement considerations on SEC’s Procurement Intranet with a dedicated Social Procurement page that promotes First Peoples businesses </w:t>
      </w:r>
    </w:p>
    <w:p w14:paraId="32BD8E54" w14:textId="33564840" w:rsidR="001A62AF" w:rsidRPr="00EA4854" w:rsidRDefault="0057289C" w:rsidP="00065652">
      <w:pPr>
        <w:pStyle w:val="Bullet"/>
        <w:rPr>
          <w:rFonts w:cs="Arial"/>
        </w:rPr>
      </w:pPr>
      <w:r>
        <w:t>p</w:t>
      </w:r>
      <w:r w:rsidR="001A62AF" w:rsidRPr="494E5549">
        <w:rPr>
          <w:rFonts w:cs="Arial"/>
        </w:rPr>
        <w:t xml:space="preserve">romotion of First Peoples businesses and social benefit suppliers through organisational wide information sessions in partnership with Social Traders and </w:t>
      </w:r>
      <w:proofErr w:type="spellStart"/>
      <w:r w:rsidR="001A62AF" w:rsidRPr="494E5549">
        <w:rPr>
          <w:rFonts w:cs="Arial"/>
        </w:rPr>
        <w:t>Kinaway</w:t>
      </w:r>
      <w:proofErr w:type="spellEnd"/>
      <w:r w:rsidR="001A62AF" w:rsidRPr="494E5549">
        <w:rPr>
          <w:rFonts w:cs="Arial"/>
        </w:rPr>
        <w:t>.</w:t>
      </w:r>
    </w:p>
    <w:p w14:paraId="6493BC91" w14:textId="2EB93F7B" w:rsidR="00A641AA" w:rsidRPr="00A641AA" w:rsidRDefault="001A62AF" w:rsidP="00A641AA">
      <w:pPr>
        <w:rPr>
          <w:rFonts w:cs="Arial"/>
        </w:rPr>
      </w:pPr>
      <w:r>
        <w:t>In 2024</w:t>
      </w:r>
      <w:r w:rsidR="00104757">
        <w:t>-</w:t>
      </w:r>
      <w:r>
        <w:t xml:space="preserve">25, SEC spent a total of </w:t>
      </w:r>
      <w:r w:rsidR="002B41AF" w:rsidRPr="413EB596">
        <w:rPr>
          <w:rFonts w:eastAsia="Aptos" w:cs="Arial"/>
        </w:rPr>
        <w:t xml:space="preserve">$49,507 </w:t>
      </w:r>
      <w:r w:rsidRPr="413EB596">
        <w:rPr>
          <w:rFonts w:cs="Arial"/>
        </w:rPr>
        <w:t xml:space="preserve">through direct engagement of </w:t>
      </w:r>
      <w:r w:rsidR="00616E41" w:rsidRPr="413EB596">
        <w:rPr>
          <w:rFonts w:cs="Arial"/>
        </w:rPr>
        <w:t xml:space="preserve">8 </w:t>
      </w:r>
      <w:r w:rsidRPr="413EB596">
        <w:rPr>
          <w:rFonts w:cs="Arial"/>
        </w:rPr>
        <w:t xml:space="preserve">social benefit suppliers, including a total of </w:t>
      </w:r>
      <w:r w:rsidR="00C57BA7">
        <w:t xml:space="preserve">$14,806 </w:t>
      </w:r>
      <w:r w:rsidRPr="413EB596">
        <w:rPr>
          <w:rFonts w:cs="Arial"/>
        </w:rPr>
        <w:t xml:space="preserve">with </w:t>
      </w:r>
      <w:r w:rsidR="00616E41" w:rsidRPr="413EB596">
        <w:rPr>
          <w:rFonts w:cs="Arial"/>
        </w:rPr>
        <w:t xml:space="preserve">4 </w:t>
      </w:r>
      <w:r w:rsidRPr="413EB596">
        <w:rPr>
          <w:rFonts w:cs="Arial"/>
        </w:rPr>
        <w:t>certified Victorian First Peoples businesses.</w:t>
      </w:r>
      <w:r w:rsidR="00A641AA" w:rsidRPr="413EB596">
        <w:rPr>
          <w:rFonts w:cs="Arial"/>
        </w:rPr>
        <w:t xml:space="preserve"> </w:t>
      </w:r>
      <w:r w:rsidR="009C0315">
        <w:rPr>
          <w:rFonts w:cs="Arial"/>
        </w:rPr>
        <w:t>T</w:t>
      </w:r>
      <w:r w:rsidR="00A641AA" w:rsidRPr="413EB596">
        <w:rPr>
          <w:rFonts w:cs="Arial"/>
        </w:rPr>
        <w:t>hrough investment projects</w:t>
      </w:r>
      <w:r w:rsidR="009C0315">
        <w:rPr>
          <w:rFonts w:cs="Arial"/>
        </w:rPr>
        <w:t>, SEC</w:t>
      </w:r>
      <w:r w:rsidR="00A641AA" w:rsidRPr="413EB596">
        <w:rPr>
          <w:rFonts w:cs="Arial"/>
        </w:rPr>
        <w:t xml:space="preserve"> has also spent $2.76 million through indirect engagements of 7 social benefit suppliers, including a total of $2.74 million with 6 certified Victorian First Peoples businesses.</w:t>
      </w:r>
    </w:p>
    <w:p w14:paraId="4B1206F9" w14:textId="12B5F6B2" w:rsidR="001A62AF" w:rsidRPr="00EA4854" w:rsidRDefault="001A62AF" w:rsidP="00065652">
      <w:pPr>
        <w:rPr>
          <w:rFonts w:cs="Arial"/>
        </w:rPr>
      </w:pPr>
    </w:p>
    <w:p w14:paraId="3783AA39" w14:textId="70F410F1" w:rsidR="00B047C4" w:rsidRPr="0010235E" w:rsidRDefault="0090259C" w:rsidP="00AC4779">
      <w:pPr>
        <w:pStyle w:val="Heading2"/>
        <w:rPr>
          <w:sz w:val="28"/>
          <w:szCs w:val="28"/>
        </w:rPr>
      </w:pPr>
      <w:bookmarkStart w:id="430" w:name="_Toc203487545"/>
      <w:bookmarkStart w:id="431" w:name="_Toc203656235"/>
      <w:bookmarkStart w:id="432" w:name="_Toc1876634750"/>
      <w:r w:rsidRPr="0010235E">
        <w:rPr>
          <w:sz w:val="28"/>
          <w:szCs w:val="28"/>
        </w:rPr>
        <w:t>First Peoples Self-Determination</w:t>
      </w:r>
      <w:bookmarkEnd w:id="430"/>
      <w:bookmarkEnd w:id="431"/>
      <w:bookmarkEnd w:id="432"/>
    </w:p>
    <w:p w14:paraId="40DFADC6" w14:textId="77777777" w:rsidR="00ED10AC" w:rsidRPr="00ED10AC" w:rsidRDefault="00ED10AC" w:rsidP="00C4269D">
      <w:pPr>
        <w:tabs>
          <w:tab w:val="left" w:pos="993"/>
        </w:tabs>
      </w:pPr>
      <w:r w:rsidRPr="00ED10AC">
        <w:rPr>
          <w:rFonts w:cs="Arial"/>
        </w:rPr>
        <w:t>SEC is committed to self-determination, enabling First Peoples to shape the renewable energy transition on their own terms. We recognise the relationship of Traditional Owners to Country and their contribution to the management of both built and natural environments, including natural resources such as land and water. We are committed to transforming systems and service delivery so that Traditional Owners and First People Victorians control decision- making over the matters that affect their lives.</w:t>
      </w:r>
    </w:p>
    <w:p w14:paraId="601A4DE9" w14:textId="13C51832" w:rsidR="00ED10AC" w:rsidRPr="00C4269D" w:rsidRDefault="00ED10AC" w:rsidP="00065652">
      <w:pPr>
        <w:pStyle w:val="Heading3"/>
        <w:rPr>
          <w:rFonts w:cs="Arial"/>
          <w:b w:val="0"/>
        </w:rPr>
      </w:pPr>
      <w:r w:rsidRPr="00F65403">
        <w:t>Key initiatives and actions delivered in 2024</w:t>
      </w:r>
      <w:r w:rsidR="00104757">
        <w:t>-</w:t>
      </w:r>
      <w:r w:rsidRPr="00F65403">
        <w:t>25</w:t>
      </w:r>
      <w:r w:rsidR="0038514B">
        <w:t>:</w:t>
      </w:r>
    </w:p>
    <w:p w14:paraId="6C2BBA56" w14:textId="09A970FD" w:rsidR="00ED10AC" w:rsidRPr="00412CE3" w:rsidRDefault="00ED10AC" w:rsidP="00065652">
      <w:pPr>
        <w:pStyle w:val="Bullet"/>
        <w:rPr>
          <w:rFonts w:cs="Arial"/>
        </w:rPr>
      </w:pPr>
      <w:r w:rsidRPr="00F65403">
        <w:t xml:space="preserve">First Peoples Assembly of Victoria signed a Memorandum of Understanding with SEC that outlines the process for nominating a First Nations person onto </w:t>
      </w:r>
      <w:r>
        <w:t>SEC</w:t>
      </w:r>
      <w:r w:rsidR="297A37B5">
        <w:t>’s</w:t>
      </w:r>
      <w:r w:rsidRPr="00F65403">
        <w:t xml:space="preserve"> Board</w:t>
      </w:r>
    </w:p>
    <w:p w14:paraId="7A92F7B0" w14:textId="77777777" w:rsidR="0086346F" w:rsidRPr="00412CE3" w:rsidRDefault="0086346F" w:rsidP="0086346F">
      <w:pPr>
        <w:pStyle w:val="Bullet"/>
        <w:rPr>
          <w:rFonts w:cs="Arial"/>
        </w:rPr>
      </w:pPr>
      <w:r w:rsidRPr="00F65403">
        <w:t xml:space="preserve">recruited a First Peoples Partnership Lead </w:t>
      </w:r>
    </w:p>
    <w:p w14:paraId="6B306901" w14:textId="77777777" w:rsidR="0086346F" w:rsidRPr="00412CE3" w:rsidRDefault="0086346F" w:rsidP="0086346F">
      <w:pPr>
        <w:pStyle w:val="Bullet"/>
        <w:rPr>
          <w:rFonts w:cs="Arial"/>
        </w:rPr>
      </w:pPr>
      <w:r w:rsidRPr="00F65403">
        <w:t>developed a First Peoples Benefit Sharing Framework and Traditional Owner Engagement Guide</w:t>
      </w:r>
    </w:p>
    <w:p w14:paraId="6D6E85F6" w14:textId="77777777" w:rsidR="0086346F" w:rsidRPr="00412CE3" w:rsidRDefault="0086346F" w:rsidP="0086346F">
      <w:pPr>
        <w:pStyle w:val="Bullet"/>
        <w:rPr>
          <w:rFonts w:cs="Arial"/>
        </w:rPr>
      </w:pPr>
      <w:r w:rsidRPr="00F65403">
        <w:t>established relationships and cultural understanding with Traditional Owner Corporations of the lands on which we operate</w:t>
      </w:r>
    </w:p>
    <w:p w14:paraId="64985526" w14:textId="49863599" w:rsidR="00ED10AC" w:rsidRPr="00412CE3" w:rsidRDefault="00ED10AC" w:rsidP="00065652">
      <w:pPr>
        <w:pStyle w:val="Bullet"/>
        <w:rPr>
          <w:rFonts w:cs="Arial"/>
        </w:rPr>
      </w:pPr>
      <w:r w:rsidRPr="00F65403">
        <w:t xml:space="preserve">launched a Self Determination Working Group to support self-determination initiatives </w:t>
      </w:r>
      <w:r w:rsidR="00873563">
        <w:t>across the business</w:t>
      </w:r>
      <w:r w:rsidRPr="00F65403">
        <w:t xml:space="preserve"> </w:t>
      </w:r>
    </w:p>
    <w:p w14:paraId="068276BC" w14:textId="786EDD3F" w:rsidR="00ED10AC" w:rsidRPr="00412CE3" w:rsidRDefault="0036684C" w:rsidP="00065652">
      <w:pPr>
        <w:pStyle w:val="Bullet"/>
        <w:rPr>
          <w:rFonts w:cs="Arial"/>
        </w:rPr>
      </w:pPr>
      <w:r>
        <w:t xml:space="preserve">delivered </w:t>
      </w:r>
      <w:r w:rsidR="00873563">
        <w:t>several</w:t>
      </w:r>
      <w:r>
        <w:t xml:space="preserve"> cultural capability activities </w:t>
      </w:r>
      <w:r w:rsidR="00873563">
        <w:t>t</w:t>
      </w:r>
      <w:r w:rsidR="00ED10AC">
        <w:t>o build our understanding of Victorian First Peoples history, the challenges and why our collaboration with First Peoples communities is so important</w:t>
      </w:r>
      <w:r w:rsidR="00D36611">
        <w:t>:</w:t>
      </w:r>
      <w:r w:rsidR="00ED10AC">
        <w:t xml:space="preserve"> </w:t>
      </w:r>
    </w:p>
    <w:p w14:paraId="5611C2DE" w14:textId="502AA08A" w:rsidR="00ED10AC" w:rsidRPr="00412CE3" w:rsidRDefault="005E303D" w:rsidP="00065652">
      <w:pPr>
        <w:pStyle w:val="Bullet"/>
        <w:numPr>
          <w:ilvl w:val="1"/>
          <w:numId w:val="2"/>
        </w:numPr>
        <w:rPr>
          <w:rFonts w:cs="Arial"/>
        </w:rPr>
      </w:pPr>
      <w:r>
        <w:t xml:space="preserve">all staff </w:t>
      </w:r>
      <w:r w:rsidR="25AAB898">
        <w:t>a</w:t>
      </w:r>
      <w:r w:rsidR="00ED10AC" w:rsidRPr="00F65403">
        <w:t xml:space="preserve">ttended cultural awareness training days at the Koori Heritage Trust </w:t>
      </w:r>
    </w:p>
    <w:p w14:paraId="026DAC2F" w14:textId="653FAFF0" w:rsidR="00ED10AC" w:rsidRPr="00412CE3" w:rsidRDefault="005E303D" w:rsidP="0010235E">
      <w:pPr>
        <w:pStyle w:val="Bullet"/>
        <w:numPr>
          <w:ilvl w:val="1"/>
          <w:numId w:val="2"/>
        </w:numPr>
        <w:rPr>
          <w:rFonts w:cs="Arial"/>
        </w:rPr>
      </w:pPr>
      <w:r>
        <w:t>staff a</w:t>
      </w:r>
      <w:r w:rsidR="00ED10AC">
        <w:t xml:space="preserve">ttended two on-Country cultural immersions days with </w:t>
      </w:r>
      <w:proofErr w:type="spellStart"/>
      <w:r w:rsidR="00C54FBE" w:rsidRPr="00C54FBE">
        <w:t>Gunaikurnai</w:t>
      </w:r>
      <w:proofErr w:type="spellEnd"/>
      <w:r w:rsidR="00C54FBE" w:rsidRPr="00C54FBE">
        <w:t xml:space="preserve"> Land and Waters Aboriginal Corporation </w:t>
      </w:r>
      <w:r w:rsidR="00C54FBE">
        <w:t>(</w:t>
      </w:r>
      <w:proofErr w:type="spellStart"/>
      <w:r w:rsidR="00ED10AC">
        <w:t>GLaWAC</w:t>
      </w:r>
      <w:proofErr w:type="spellEnd"/>
      <w:r w:rsidR="00C54FBE">
        <w:t>)</w:t>
      </w:r>
      <w:r w:rsidR="00ED10AC">
        <w:t xml:space="preserve"> and Wurundjeri</w:t>
      </w:r>
      <w:r w:rsidR="00EA27D2">
        <w:t xml:space="preserve"> </w:t>
      </w:r>
      <w:proofErr w:type="spellStart"/>
      <w:r w:rsidR="00E83192" w:rsidRPr="00E83192">
        <w:t>Woi</w:t>
      </w:r>
      <w:proofErr w:type="spellEnd"/>
      <w:r w:rsidR="00E83192" w:rsidRPr="00E83192">
        <w:t xml:space="preserve"> Wurrung Cultural Heritage Aboriginal Corp</w:t>
      </w:r>
      <w:r w:rsidR="00E83192">
        <w:t>oration</w:t>
      </w:r>
    </w:p>
    <w:p w14:paraId="6C4E5450" w14:textId="51A993B1" w:rsidR="000E7E65" w:rsidRPr="000E7E65" w:rsidRDefault="00E83192" w:rsidP="00873563">
      <w:pPr>
        <w:pStyle w:val="Bullet"/>
        <w:numPr>
          <w:ilvl w:val="1"/>
          <w:numId w:val="2"/>
        </w:numPr>
        <w:rPr>
          <w:rFonts w:cs="Arial"/>
        </w:rPr>
      </w:pPr>
      <w:r>
        <w:t>running</w:t>
      </w:r>
      <w:r w:rsidR="00ED10AC" w:rsidRPr="00F65403">
        <w:t xml:space="preserve"> events for Reconciliation Week and </w:t>
      </w:r>
      <w:r w:rsidR="00AB56E0" w:rsidRPr="00AB56E0">
        <w:t xml:space="preserve">National Aboriginal and Islanders Day Observance Committee </w:t>
      </w:r>
      <w:r w:rsidR="00AB56E0">
        <w:t>(</w:t>
      </w:r>
      <w:r w:rsidR="00ED10AC" w:rsidRPr="00F65403">
        <w:t>NAIDOC</w:t>
      </w:r>
      <w:r w:rsidR="00AB56E0">
        <w:t>)</w:t>
      </w:r>
      <w:r w:rsidR="00ED10AC" w:rsidRPr="00F65403">
        <w:t xml:space="preserve"> Week </w:t>
      </w:r>
    </w:p>
    <w:p w14:paraId="44733920" w14:textId="7193DF90" w:rsidR="00ED10AC" w:rsidRPr="00FF6C20" w:rsidRDefault="000E7E65" w:rsidP="0010235E">
      <w:pPr>
        <w:pStyle w:val="Bullet"/>
        <w:numPr>
          <w:ilvl w:val="1"/>
          <w:numId w:val="2"/>
        </w:numPr>
        <w:rPr>
          <w:rFonts w:cs="Arial"/>
        </w:rPr>
      </w:pPr>
      <w:r>
        <w:t>set up</w:t>
      </w:r>
      <w:r w:rsidR="00ED10AC" w:rsidRPr="00F65403">
        <w:t xml:space="preserve"> an internal staff allyship network.</w:t>
      </w:r>
    </w:p>
    <w:p w14:paraId="54ED170F" w14:textId="77777777" w:rsidR="00051D34" w:rsidRPr="0010235E" w:rsidRDefault="00051D34" w:rsidP="00AC4779">
      <w:pPr>
        <w:pStyle w:val="Heading2"/>
        <w:rPr>
          <w:sz w:val="28"/>
          <w:szCs w:val="28"/>
        </w:rPr>
      </w:pPr>
      <w:bookmarkStart w:id="433" w:name="_Toc203487546"/>
      <w:bookmarkStart w:id="434" w:name="_Toc203656236"/>
      <w:bookmarkStart w:id="435" w:name="_Toc1835069943"/>
      <w:r w:rsidRPr="0010235E">
        <w:rPr>
          <w:sz w:val="28"/>
          <w:szCs w:val="28"/>
        </w:rPr>
        <w:t>Asset management accountability framework (AMAF)</w:t>
      </w:r>
      <w:bookmarkEnd w:id="433"/>
      <w:bookmarkEnd w:id="434"/>
      <w:bookmarkEnd w:id="435"/>
    </w:p>
    <w:p w14:paraId="269A71BE" w14:textId="4E705A3C" w:rsidR="00051D34" w:rsidRPr="00F65403" w:rsidRDefault="00051D34" w:rsidP="00B96E2A">
      <w:pPr>
        <w:tabs>
          <w:tab w:val="left" w:pos="993"/>
        </w:tabs>
        <w:rPr>
          <w:rFonts w:cs="Arial"/>
        </w:rPr>
      </w:pPr>
      <w:r w:rsidRPr="00B96E2A">
        <w:rPr>
          <w:rFonts w:cs="Arial"/>
        </w:rPr>
        <w:t xml:space="preserve">The AMAF assists Victorian Public Sector agencies manage their asset portfolios and includes both mandatory asset management requirements as well as general guidance. Mandatory requirements include developing asset management strategies, governance frameworks, performance standards and processes to regularly monitor and improve asset management. The AMAF applies to non-current assets (physical and intangible) but not financial assets. </w:t>
      </w:r>
      <w:r w:rsidRPr="00FF6C20">
        <w:rPr>
          <w:rFonts w:cs="Arial"/>
        </w:rPr>
        <w:t xml:space="preserve">For the period to 30 June </w:t>
      </w:r>
      <w:r w:rsidR="00E838C0" w:rsidRPr="00FF6C20">
        <w:rPr>
          <w:rFonts w:cs="Arial"/>
        </w:rPr>
        <w:t>2025</w:t>
      </w:r>
      <w:r w:rsidRPr="00FF6C20">
        <w:rPr>
          <w:rFonts w:cs="Arial"/>
        </w:rPr>
        <w:t>, the Group did not have any such assets</w:t>
      </w:r>
      <w:r w:rsidR="006178C7">
        <w:rPr>
          <w:rFonts w:cs="Arial"/>
        </w:rPr>
        <w:t xml:space="preserve"> (2024: nil)</w:t>
      </w:r>
      <w:r w:rsidRPr="00FF6C20">
        <w:rPr>
          <w:rFonts w:cs="Arial"/>
        </w:rPr>
        <w:t>.</w:t>
      </w:r>
    </w:p>
    <w:p w14:paraId="48666BD4" w14:textId="77777777" w:rsidR="006D501C" w:rsidRDefault="006D501C">
      <w:pPr>
        <w:rPr>
          <w:rFonts w:eastAsiaTheme="majorEastAsia" w:cstheme="majorBidi"/>
          <w:sz w:val="32"/>
          <w:szCs w:val="32"/>
        </w:rPr>
      </w:pPr>
      <w:bookmarkStart w:id="436" w:name="_Toc203487547"/>
      <w:bookmarkStart w:id="437" w:name="_Toc203656237"/>
      <w:bookmarkStart w:id="438" w:name="_Toc1890551798"/>
      <w:bookmarkStart w:id="439" w:name="_Ref207013237"/>
      <w:r>
        <w:br w:type="page"/>
      </w:r>
    </w:p>
    <w:p w14:paraId="3CD06CB2" w14:textId="1F5AF782" w:rsidR="00051D34" w:rsidRPr="0010235E" w:rsidRDefault="00051D34" w:rsidP="00AC4779">
      <w:pPr>
        <w:pStyle w:val="Heading2"/>
        <w:rPr>
          <w:sz w:val="28"/>
          <w:szCs w:val="28"/>
        </w:rPr>
      </w:pPr>
      <w:r w:rsidRPr="0010235E">
        <w:rPr>
          <w:sz w:val="28"/>
          <w:szCs w:val="28"/>
        </w:rPr>
        <w:t>Government advertising expenditure</w:t>
      </w:r>
      <w:bookmarkEnd w:id="436"/>
      <w:bookmarkEnd w:id="437"/>
      <w:bookmarkEnd w:id="438"/>
      <w:bookmarkEnd w:id="439"/>
    </w:p>
    <w:p w14:paraId="2641A134" w14:textId="2F55A49F" w:rsidR="6F5FE3FD" w:rsidRDefault="46FCCA14" w:rsidP="4265B41D">
      <w:pPr>
        <w:rPr>
          <w:rFonts w:eastAsiaTheme="minorEastAsia" w:cs="Arial"/>
          <w:color w:val="000000" w:themeColor="text1"/>
        </w:rPr>
      </w:pPr>
      <w:r>
        <w:t>SEC communicate</w:t>
      </w:r>
      <w:r w:rsidR="1E2B5AED">
        <w:t>s</w:t>
      </w:r>
      <w:r>
        <w:t xml:space="preserve"> widely, providing vital information and engaging with stakeholders to build our social licence and support our work in accelerating the transition. </w:t>
      </w:r>
    </w:p>
    <w:p w14:paraId="7E891FE3" w14:textId="5899D50B" w:rsidR="006309ED" w:rsidRPr="00B96E2A" w:rsidDel="00E90F85" w:rsidRDefault="006309ED" w:rsidP="0010235E">
      <w:pPr>
        <w:rPr>
          <w:rFonts w:cs="Arial"/>
          <w:highlight w:val="yellow"/>
        </w:rPr>
      </w:pPr>
      <w:r w:rsidRPr="49BCD735">
        <w:rPr>
          <w:rFonts w:cs="Arial"/>
        </w:rPr>
        <w:t>G</w:t>
      </w:r>
      <w:r w:rsidR="00051D34" w:rsidRPr="49BCD735">
        <w:rPr>
          <w:rFonts w:cs="Arial"/>
        </w:rPr>
        <w:t>overnment advertising campaigns with total media spend of $100,000 or greater, exclusive of GST during the reporting period</w:t>
      </w:r>
      <w:r w:rsidRPr="49BCD735">
        <w:rPr>
          <w:rFonts w:cs="Arial"/>
        </w:rPr>
        <w:t xml:space="preserve"> are disclosed below:</w:t>
      </w:r>
    </w:p>
    <w:tbl>
      <w:tblPr>
        <w:tblW w:w="5025" w:type="pct"/>
        <w:tblLayout w:type="fixed"/>
        <w:tblCellMar>
          <w:top w:w="57" w:type="dxa"/>
          <w:left w:w="28" w:type="dxa"/>
          <w:bottom w:w="57" w:type="dxa"/>
          <w:right w:w="28" w:type="dxa"/>
        </w:tblCellMar>
        <w:tblLook w:val="04A0" w:firstRow="1" w:lastRow="0" w:firstColumn="1" w:lastColumn="0" w:noHBand="0" w:noVBand="1"/>
      </w:tblPr>
      <w:tblGrid>
        <w:gridCol w:w="1275"/>
        <w:gridCol w:w="1299"/>
        <w:gridCol w:w="1299"/>
        <w:gridCol w:w="1301"/>
        <w:gridCol w:w="1299"/>
        <w:gridCol w:w="1299"/>
        <w:gridCol w:w="1299"/>
      </w:tblGrid>
      <w:tr w:rsidR="00B9211E" w:rsidRPr="00F65403" w14:paraId="11D5F6F2" w14:textId="47ACC9E0" w:rsidTr="4CE956C5">
        <w:trPr>
          <w:trHeight w:val="300"/>
          <w:tblHeader/>
        </w:trPr>
        <w:tc>
          <w:tcPr>
            <w:tcW w:w="703" w:type="pct"/>
            <w:tcBorders>
              <w:top w:val="nil"/>
              <w:left w:val="nil"/>
              <w:bottom w:val="nil"/>
              <w:right w:val="nil"/>
            </w:tcBorders>
            <w:noWrap/>
            <w:vAlign w:val="bottom"/>
          </w:tcPr>
          <w:p w14:paraId="7C94D25D" w14:textId="50B3D932" w:rsidR="00B9211E" w:rsidRPr="00F65403" w:rsidRDefault="00B9211E" w:rsidP="49BCD735">
            <w:pPr>
              <w:spacing w:after="0" w:line="240" w:lineRule="auto"/>
              <w:rPr>
                <w:rFonts w:eastAsia="Times New Roman" w:cs="Arial"/>
                <w:b/>
                <w:bCs/>
                <w:color w:val="000000"/>
                <w:sz w:val="20"/>
                <w:szCs w:val="20"/>
                <w:lang w:eastAsia="en-AU"/>
              </w:rPr>
            </w:pPr>
            <w:bookmarkStart w:id="440" w:name="_Toc203487548"/>
            <w:r w:rsidRPr="49BCD735">
              <w:rPr>
                <w:rFonts w:eastAsia="Times New Roman" w:cs="Arial"/>
                <w:b/>
                <w:bCs/>
                <w:color w:val="000000" w:themeColor="text1"/>
                <w:sz w:val="20"/>
                <w:szCs w:val="20"/>
                <w:lang w:eastAsia="en-AU"/>
              </w:rPr>
              <w:t>Name of campaign</w:t>
            </w:r>
          </w:p>
        </w:tc>
        <w:tc>
          <w:tcPr>
            <w:tcW w:w="716" w:type="pct"/>
            <w:tcBorders>
              <w:top w:val="nil"/>
              <w:left w:val="nil"/>
              <w:bottom w:val="nil"/>
              <w:right w:val="nil"/>
            </w:tcBorders>
            <w:noWrap/>
            <w:vAlign w:val="bottom"/>
          </w:tcPr>
          <w:p w14:paraId="74573783" w14:textId="4902A635" w:rsidR="00B9211E" w:rsidRPr="00F65403" w:rsidRDefault="00B9211E" w:rsidP="008C2E60">
            <w:pPr>
              <w:spacing w:after="0" w:line="240" w:lineRule="auto"/>
              <w:jc w:val="center"/>
              <w:rPr>
                <w:rFonts w:eastAsia="Times New Roman" w:cs="Arial"/>
                <w:sz w:val="20"/>
                <w:szCs w:val="20"/>
                <w:lang w:eastAsia="en-AU"/>
              </w:rPr>
            </w:pPr>
            <w:r w:rsidRPr="49BCD735">
              <w:rPr>
                <w:rFonts w:eastAsia="Times New Roman" w:cs="Arial"/>
                <w:b/>
                <w:bCs/>
                <w:color w:val="000000" w:themeColor="text1"/>
                <w:sz w:val="20"/>
                <w:szCs w:val="20"/>
                <w:lang w:eastAsia="en-AU"/>
              </w:rPr>
              <w:t>Start / end date</w:t>
            </w:r>
          </w:p>
        </w:tc>
        <w:tc>
          <w:tcPr>
            <w:tcW w:w="716" w:type="pct"/>
            <w:tcBorders>
              <w:top w:val="nil"/>
              <w:left w:val="nil"/>
              <w:bottom w:val="nil"/>
              <w:right w:val="nil"/>
            </w:tcBorders>
            <w:noWrap/>
            <w:vAlign w:val="bottom"/>
          </w:tcPr>
          <w:p w14:paraId="50F99500" w14:textId="043D8813" w:rsidR="00B9211E" w:rsidRPr="00F65403" w:rsidRDefault="00B9211E" w:rsidP="008C2E60">
            <w:pPr>
              <w:spacing w:after="0" w:line="240" w:lineRule="auto"/>
              <w:jc w:val="center"/>
              <w:rPr>
                <w:rFonts w:eastAsia="Times New Roman" w:cs="Arial"/>
                <w:sz w:val="20"/>
                <w:szCs w:val="20"/>
                <w:lang w:eastAsia="en-AU"/>
              </w:rPr>
            </w:pPr>
            <w:r w:rsidRPr="49BCD735">
              <w:rPr>
                <w:rFonts w:eastAsia="Times New Roman" w:cs="Arial"/>
                <w:b/>
                <w:bCs/>
                <w:color w:val="000000" w:themeColor="text1"/>
                <w:sz w:val="20"/>
                <w:szCs w:val="20"/>
                <w:lang w:eastAsia="en-AU"/>
              </w:rPr>
              <w:t xml:space="preserve">Advertising </w:t>
            </w:r>
          </w:p>
        </w:tc>
        <w:tc>
          <w:tcPr>
            <w:tcW w:w="717" w:type="pct"/>
            <w:tcBorders>
              <w:top w:val="nil"/>
              <w:left w:val="nil"/>
              <w:bottom w:val="nil"/>
              <w:right w:val="nil"/>
            </w:tcBorders>
          </w:tcPr>
          <w:p w14:paraId="63593214" w14:textId="27BFDC26" w:rsidR="00B9211E" w:rsidRPr="00F65403" w:rsidRDefault="56D335DF" w:rsidP="49BCD735">
            <w:pPr>
              <w:spacing w:after="0" w:line="240" w:lineRule="auto"/>
              <w:jc w:val="center"/>
              <w:rPr>
                <w:rFonts w:eastAsia="Times New Roman" w:cs="Arial"/>
                <w:b/>
                <w:bCs/>
                <w:color w:val="000000"/>
                <w:sz w:val="20"/>
                <w:szCs w:val="20"/>
                <w:lang w:eastAsia="en-AU"/>
              </w:rPr>
            </w:pPr>
            <w:r w:rsidRPr="5A9CC133">
              <w:rPr>
                <w:rFonts w:eastAsia="Times New Roman" w:cs="Arial"/>
                <w:b/>
                <w:bCs/>
                <w:color w:val="000000" w:themeColor="text1"/>
                <w:sz w:val="20"/>
                <w:szCs w:val="20"/>
                <w:lang w:eastAsia="en-AU"/>
              </w:rPr>
              <w:t>Creative and campaign developmen</w:t>
            </w:r>
            <w:r w:rsidR="6419B930" w:rsidRPr="5A9CC133">
              <w:rPr>
                <w:rFonts w:eastAsia="Times New Roman" w:cs="Arial"/>
                <w:b/>
                <w:bCs/>
                <w:color w:val="000000" w:themeColor="text1"/>
                <w:sz w:val="20"/>
                <w:szCs w:val="20"/>
                <w:lang w:eastAsia="en-AU"/>
              </w:rPr>
              <w:t>t</w:t>
            </w:r>
          </w:p>
        </w:tc>
        <w:tc>
          <w:tcPr>
            <w:tcW w:w="716" w:type="pct"/>
            <w:tcBorders>
              <w:top w:val="nil"/>
              <w:left w:val="nil"/>
              <w:bottom w:val="nil"/>
              <w:right w:val="nil"/>
            </w:tcBorders>
          </w:tcPr>
          <w:p w14:paraId="6FE31888" w14:textId="7EB252AE" w:rsidR="00B9211E" w:rsidRPr="00F65403" w:rsidRDefault="00B9211E" w:rsidP="49BCD735">
            <w:pPr>
              <w:spacing w:after="0" w:line="240" w:lineRule="auto"/>
              <w:jc w:val="center"/>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Research</w:t>
            </w:r>
          </w:p>
        </w:tc>
        <w:tc>
          <w:tcPr>
            <w:tcW w:w="716" w:type="pct"/>
            <w:tcBorders>
              <w:top w:val="nil"/>
              <w:left w:val="nil"/>
              <w:bottom w:val="nil"/>
              <w:right w:val="nil"/>
            </w:tcBorders>
          </w:tcPr>
          <w:p w14:paraId="67E4B8A0" w14:textId="156933E5" w:rsidR="00B9211E" w:rsidRPr="00F65403" w:rsidRDefault="00B9211E" w:rsidP="49BCD735">
            <w:pPr>
              <w:spacing w:after="0" w:line="240" w:lineRule="auto"/>
              <w:jc w:val="center"/>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Print and collateral</w:t>
            </w:r>
          </w:p>
        </w:tc>
        <w:tc>
          <w:tcPr>
            <w:tcW w:w="716" w:type="pct"/>
            <w:tcBorders>
              <w:top w:val="nil"/>
              <w:left w:val="nil"/>
              <w:bottom w:val="nil"/>
              <w:right w:val="nil"/>
            </w:tcBorders>
          </w:tcPr>
          <w:p w14:paraId="4AC9699F" w14:textId="7578D535" w:rsidR="00B9211E" w:rsidRPr="00F65403" w:rsidRDefault="00B9211E" w:rsidP="49BCD735">
            <w:pPr>
              <w:spacing w:after="0" w:line="240" w:lineRule="auto"/>
              <w:jc w:val="center"/>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Total</w:t>
            </w:r>
          </w:p>
        </w:tc>
      </w:tr>
      <w:tr w:rsidR="00B9211E" w:rsidRPr="00F65403" w14:paraId="3A943CA9" w14:textId="1AE0D2D5" w:rsidTr="4CE956C5">
        <w:trPr>
          <w:trHeight w:val="300"/>
        </w:trPr>
        <w:tc>
          <w:tcPr>
            <w:tcW w:w="703" w:type="pct"/>
            <w:vMerge w:val="restart"/>
            <w:tcBorders>
              <w:top w:val="nil"/>
              <w:left w:val="nil"/>
              <w:right w:val="nil"/>
            </w:tcBorders>
            <w:vAlign w:val="center"/>
          </w:tcPr>
          <w:p w14:paraId="012519F3" w14:textId="208EDBAB" w:rsidR="00B9211E" w:rsidRPr="00F65403" w:rsidRDefault="00B9211E" w:rsidP="000A57FF">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Powering Victoria for Victorians</w:t>
            </w:r>
          </w:p>
          <w:p w14:paraId="65077AEA" w14:textId="238DEC57" w:rsidR="00B9211E" w:rsidRPr="00F65403" w:rsidRDefault="00B9211E" w:rsidP="000A57FF">
            <w:pPr>
              <w:spacing w:after="0" w:line="240" w:lineRule="auto"/>
              <w:rPr>
                <w:rFonts w:eastAsia="Times New Roman" w:cs="Arial"/>
                <w:color w:val="000000"/>
                <w:sz w:val="20"/>
                <w:szCs w:val="20"/>
                <w:lang w:eastAsia="en-AU"/>
              </w:rPr>
            </w:pPr>
          </w:p>
        </w:tc>
        <w:tc>
          <w:tcPr>
            <w:tcW w:w="716" w:type="pct"/>
            <w:vMerge w:val="restart"/>
            <w:tcBorders>
              <w:top w:val="nil"/>
              <w:left w:val="nil"/>
              <w:right w:val="nil"/>
            </w:tcBorders>
            <w:noWrap/>
            <w:vAlign w:val="center"/>
          </w:tcPr>
          <w:p w14:paraId="418DA927" w14:textId="77777777" w:rsidR="008C2CC1" w:rsidRDefault="00B9211E" w:rsidP="0010235E">
            <w:pPr>
              <w:tabs>
                <w:tab w:val="decimal" w:pos="964"/>
              </w:tabs>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02/09/24 to  30/11/24</w:t>
            </w:r>
            <w:r w:rsidR="008C2CC1" w:rsidRPr="413EB596">
              <w:rPr>
                <w:rFonts w:eastAsia="Times New Roman" w:cs="Arial"/>
                <w:color w:val="000000" w:themeColor="text1"/>
                <w:sz w:val="20"/>
                <w:szCs w:val="20"/>
                <w:lang w:eastAsia="en-AU"/>
              </w:rPr>
              <w:t xml:space="preserve"> </w:t>
            </w:r>
          </w:p>
          <w:p w14:paraId="3674B6C9" w14:textId="77777777" w:rsidR="008C2CC1" w:rsidRDefault="008C2CC1" w:rsidP="0010235E">
            <w:pPr>
              <w:tabs>
                <w:tab w:val="decimal" w:pos="964"/>
              </w:tabs>
              <w:spacing w:after="0" w:line="240" w:lineRule="auto"/>
              <w:jc w:val="right"/>
              <w:rPr>
                <w:rFonts w:eastAsia="Times New Roman" w:cs="Arial"/>
                <w:color w:val="000000"/>
                <w:sz w:val="20"/>
                <w:szCs w:val="20"/>
                <w:lang w:eastAsia="en-AU"/>
              </w:rPr>
            </w:pPr>
          </w:p>
          <w:p w14:paraId="1742F494" w14:textId="55804F72" w:rsidR="00B9211E" w:rsidRDefault="008C2CC1" w:rsidP="0010235E">
            <w:pPr>
              <w:tabs>
                <w:tab w:val="decimal" w:pos="964"/>
              </w:tabs>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and</w:t>
            </w:r>
          </w:p>
          <w:p w14:paraId="6B034636" w14:textId="7B5C47B0" w:rsidR="00B9211E" w:rsidRPr="00F65403" w:rsidRDefault="00B9211E" w:rsidP="0010235E">
            <w:pPr>
              <w:tabs>
                <w:tab w:val="decimal" w:pos="964"/>
              </w:tabs>
              <w:spacing w:after="0" w:line="240" w:lineRule="auto"/>
              <w:jc w:val="right"/>
              <w:rPr>
                <w:rFonts w:eastAsia="Times New Roman" w:cs="Arial"/>
                <w:color w:val="000000"/>
                <w:sz w:val="20"/>
                <w:szCs w:val="20"/>
                <w:lang w:eastAsia="en-AU"/>
              </w:rPr>
            </w:pPr>
            <w:r w:rsidRPr="006D501C">
              <w:rPr>
                <w:rFonts w:eastAsia="Times New Roman" w:cs="Arial"/>
                <w:color w:val="000000"/>
                <w:sz w:val="20"/>
                <w:szCs w:val="20"/>
                <w:lang w:eastAsia="en-AU"/>
              </w:rPr>
              <w:br/>
              <w:t xml:space="preserve">02/03/25 </w:t>
            </w:r>
            <w:r>
              <w:rPr>
                <w:rFonts w:eastAsia="Times New Roman" w:cs="Arial"/>
                <w:color w:val="000000"/>
                <w:sz w:val="20"/>
                <w:szCs w:val="20"/>
                <w:lang w:eastAsia="en-AU"/>
              </w:rPr>
              <w:t>to</w:t>
            </w:r>
            <w:r w:rsidRPr="006D501C">
              <w:rPr>
                <w:rFonts w:eastAsia="Times New Roman" w:cs="Arial"/>
                <w:color w:val="000000"/>
                <w:sz w:val="20"/>
                <w:szCs w:val="20"/>
                <w:lang w:eastAsia="en-AU"/>
              </w:rPr>
              <w:t xml:space="preserve"> 24/06/25</w:t>
            </w:r>
          </w:p>
        </w:tc>
        <w:tc>
          <w:tcPr>
            <w:tcW w:w="716" w:type="pct"/>
            <w:tcBorders>
              <w:top w:val="nil"/>
              <w:left w:val="nil"/>
              <w:bottom w:val="nil"/>
              <w:right w:val="nil"/>
            </w:tcBorders>
            <w:noWrap/>
            <w:vAlign w:val="center"/>
          </w:tcPr>
          <w:p w14:paraId="39E82A0D" w14:textId="77777777" w:rsidR="00B9211E" w:rsidRPr="0010235E" w:rsidRDefault="00B9211E" w:rsidP="0010235E">
            <w:pPr>
              <w:jc w:val="right"/>
              <w:rPr>
                <w:rFonts w:ascii="Aptos" w:hAnsi="Aptos"/>
                <w:b/>
                <w:bCs/>
                <w:sz w:val="20"/>
                <w:szCs w:val="20"/>
              </w:rPr>
            </w:pPr>
            <w:r w:rsidRPr="0010235E">
              <w:rPr>
                <w:b/>
                <w:bCs/>
                <w:sz w:val="20"/>
                <w:szCs w:val="20"/>
              </w:rPr>
              <w:t>Approved:</w:t>
            </w:r>
          </w:p>
          <w:p w14:paraId="77A97256" w14:textId="1B0B1290"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$1,500,000</w:t>
            </w:r>
          </w:p>
        </w:tc>
        <w:tc>
          <w:tcPr>
            <w:tcW w:w="717" w:type="pct"/>
            <w:tcBorders>
              <w:top w:val="nil"/>
              <w:left w:val="nil"/>
              <w:bottom w:val="nil"/>
              <w:right w:val="nil"/>
            </w:tcBorders>
            <w:vAlign w:val="center"/>
          </w:tcPr>
          <w:p w14:paraId="6CB48A3D" w14:textId="5725AD0C" w:rsidR="00B9211E" w:rsidRPr="0010235E" w:rsidRDefault="00B9211E" w:rsidP="413EB596">
            <w:pPr>
              <w:jc w:val="right"/>
              <w:rPr>
                <w:b/>
                <w:bCs/>
                <w:sz w:val="20"/>
                <w:szCs w:val="20"/>
              </w:rPr>
            </w:pPr>
            <w:r w:rsidRPr="413EB596">
              <w:rPr>
                <w:b/>
                <w:bCs/>
                <w:sz w:val="20"/>
                <w:szCs w:val="20"/>
              </w:rPr>
              <w:t>Planned:</w:t>
            </w:r>
          </w:p>
          <w:p w14:paraId="1DDB10FC" w14:textId="3A3DEC4C"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 xml:space="preserve">$902,462 </w:t>
            </w:r>
          </w:p>
        </w:tc>
        <w:tc>
          <w:tcPr>
            <w:tcW w:w="716" w:type="pct"/>
            <w:tcBorders>
              <w:top w:val="nil"/>
              <w:left w:val="nil"/>
              <w:bottom w:val="nil"/>
              <w:right w:val="nil"/>
            </w:tcBorders>
            <w:vAlign w:val="center"/>
          </w:tcPr>
          <w:p w14:paraId="137B4DE7" w14:textId="77777777" w:rsidR="00B9211E" w:rsidRPr="0010235E" w:rsidRDefault="00B9211E" w:rsidP="0010235E">
            <w:pPr>
              <w:jc w:val="right"/>
              <w:rPr>
                <w:b/>
                <w:bCs/>
                <w:sz w:val="20"/>
                <w:szCs w:val="20"/>
              </w:rPr>
            </w:pPr>
            <w:r w:rsidRPr="0010235E">
              <w:rPr>
                <w:b/>
                <w:bCs/>
                <w:sz w:val="20"/>
                <w:szCs w:val="20"/>
              </w:rPr>
              <w:t>Planned:</w:t>
            </w:r>
          </w:p>
          <w:p w14:paraId="78274E96" w14:textId="7639119D"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N/A</w:t>
            </w:r>
          </w:p>
        </w:tc>
        <w:tc>
          <w:tcPr>
            <w:tcW w:w="716" w:type="pct"/>
            <w:tcBorders>
              <w:top w:val="nil"/>
              <w:left w:val="nil"/>
              <w:bottom w:val="nil"/>
              <w:right w:val="nil"/>
            </w:tcBorders>
            <w:vAlign w:val="center"/>
          </w:tcPr>
          <w:p w14:paraId="4C61C7F8" w14:textId="77777777" w:rsidR="00B9211E" w:rsidRPr="0010235E" w:rsidRDefault="00B9211E" w:rsidP="0010235E">
            <w:pPr>
              <w:jc w:val="right"/>
              <w:rPr>
                <w:b/>
                <w:bCs/>
                <w:sz w:val="20"/>
                <w:szCs w:val="20"/>
              </w:rPr>
            </w:pPr>
            <w:r w:rsidRPr="0010235E">
              <w:rPr>
                <w:b/>
                <w:bCs/>
                <w:sz w:val="20"/>
                <w:szCs w:val="20"/>
              </w:rPr>
              <w:t>Planned:</w:t>
            </w:r>
          </w:p>
          <w:p w14:paraId="09F68F41" w14:textId="6094B7CA"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N/A</w:t>
            </w:r>
          </w:p>
        </w:tc>
        <w:tc>
          <w:tcPr>
            <w:tcW w:w="716" w:type="pct"/>
            <w:tcBorders>
              <w:top w:val="nil"/>
              <w:left w:val="nil"/>
              <w:bottom w:val="nil"/>
              <w:right w:val="nil"/>
            </w:tcBorders>
            <w:vAlign w:val="center"/>
          </w:tcPr>
          <w:p w14:paraId="3C3219FE" w14:textId="77777777" w:rsidR="00B9211E" w:rsidRPr="0010235E" w:rsidRDefault="00B9211E" w:rsidP="0010235E">
            <w:pPr>
              <w:jc w:val="right"/>
              <w:rPr>
                <w:b/>
                <w:bCs/>
                <w:sz w:val="20"/>
                <w:szCs w:val="20"/>
              </w:rPr>
            </w:pPr>
            <w:r w:rsidRPr="0010235E">
              <w:rPr>
                <w:b/>
                <w:bCs/>
                <w:sz w:val="20"/>
                <w:szCs w:val="20"/>
              </w:rPr>
              <w:t>Planned:</w:t>
            </w:r>
          </w:p>
          <w:p w14:paraId="3E050421" w14:textId="55E8FF15"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$2,402,462</w:t>
            </w:r>
            <w:r w:rsidRPr="000A57FF" w:rsidDel="00A32005">
              <w:rPr>
                <w:rFonts w:eastAsia="Times New Roman" w:cs="Arial"/>
                <w:color w:val="000000" w:themeColor="text1"/>
                <w:sz w:val="20"/>
                <w:szCs w:val="20"/>
                <w:highlight w:val="yellow"/>
                <w:lang w:eastAsia="en-AU"/>
              </w:rPr>
              <w:t xml:space="preserve"> </w:t>
            </w:r>
          </w:p>
        </w:tc>
      </w:tr>
      <w:tr w:rsidR="00B9211E" w:rsidRPr="00F65403" w14:paraId="6C604450" w14:textId="4333E9AF" w:rsidTr="4CE956C5">
        <w:trPr>
          <w:trHeight w:val="300"/>
        </w:trPr>
        <w:tc>
          <w:tcPr>
            <w:tcW w:w="703" w:type="pct"/>
            <w:vMerge/>
            <w:vAlign w:val="center"/>
          </w:tcPr>
          <w:p w14:paraId="63E7FD21" w14:textId="4A0CFAE9" w:rsidR="00B9211E" w:rsidRPr="00F65403" w:rsidRDefault="00B9211E" w:rsidP="000A57FF">
            <w:pPr>
              <w:spacing w:after="0" w:line="240" w:lineRule="auto"/>
              <w:rPr>
                <w:rFonts w:eastAsia="Times New Roman" w:cs="Arial"/>
                <w:color w:val="000000"/>
                <w:sz w:val="20"/>
                <w:szCs w:val="20"/>
                <w:lang w:eastAsia="en-AU"/>
              </w:rPr>
            </w:pPr>
          </w:p>
        </w:tc>
        <w:tc>
          <w:tcPr>
            <w:tcW w:w="716" w:type="pct"/>
            <w:vMerge/>
            <w:vAlign w:val="center"/>
          </w:tcPr>
          <w:p w14:paraId="55E6BDBE" w14:textId="5F197AA6" w:rsidR="00B9211E" w:rsidRPr="00F65403" w:rsidRDefault="00B9211E" w:rsidP="0010235E">
            <w:pPr>
              <w:tabs>
                <w:tab w:val="decimal" w:pos="964"/>
              </w:tabs>
              <w:spacing w:after="0" w:line="240" w:lineRule="auto"/>
              <w:jc w:val="right"/>
              <w:rPr>
                <w:rFonts w:eastAsia="Times New Roman" w:cs="Arial"/>
                <w:color w:val="000000"/>
                <w:sz w:val="20"/>
                <w:szCs w:val="20"/>
                <w:lang w:eastAsia="en-AU"/>
              </w:rPr>
            </w:pPr>
          </w:p>
        </w:tc>
        <w:tc>
          <w:tcPr>
            <w:tcW w:w="716" w:type="pct"/>
            <w:tcBorders>
              <w:top w:val="nil"/>
              <w:left w:val="nil"/>
              <w:bottom w:val="single" w:sz="4" w:space="0" w:color="auto"/>
              <w:right w:val="nil"/>
            </w:tcBorders>
            <w:vAlign w:val="center"/>
          </w:tcPr>
          <w:p w14:paraId="7C9A85B2" w14:textId="77777777" w:rsidR="00B9211E" w:rsidRPr="0010235E" w:rsidRDefault="00B9211E" w:rsidP="0010235E">
            <w:pPr>
              <w:jc w:val="right"/>
              <w:rPr>
                <w:b/>
                <w:bCs/>
                <w:sz w:val="20"/>
                <w:szCs w:val="20"/>
              </w:rPr>
            </w:pPr>
            <w:r w:rsidRPr="0010235E">
              <w:rPr>
                <w:b/>
                <w:bCs/>
                <w:sz w:val="20"/>
                <w:szCs w:val="20"/>
              </w:rPr>
              <w:t>Actual:</w:t>
            </w:r>
          </w:p>
          <w:p w14:paraId="100A0B4D" w14:textId="050532B1"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 xml:space="preserve">$1,500,000 </w:t>
            </w:r>
          </w:p>
        </w:tc>
        <w:tc>
          <w:tcPr>
            <w:tcW w:w="717" w:type="pct"/>
            <w:tcBorders>
              <w:top w:val="nil"/>
              <w:left w:val="nil"/>
              <w:bottom w:val="single" w:sz="4" w:space="0" w:color="auto"/>
              <w:right w:val="nil"/>
            </w:tcBorders>
            <w:vAlign w:val="center"/>
          </w:tcPr>
          <w:p w14:paraId="29B97483" w14:textId="77777777" w:rsidR="00B9211E" w:rsidRPr="0010235E" w:rsidRDefault="00B9211E" w:rsidP="0010235E">
            <w:pPr>
              <w:jc w:val="right"/>
              <w:rPr>
                <w:b/>
                <w:bCs/>
                <w:sz w:val="20"/>
                <w:szCs w:val="20"/>
              </w:rPr>
            </w:pPr>
            <w:r w:rsidRPr="0010235E">
              <w:rPr>
                <w:b/>
                <w:bCs/>
                <w:sz w:val="20"/>
                <w:szCs w:val="20"/>
              </w:rPr>
              <w:t>Actual:</w:t>
            </w:r>
          </w:p>
          <w:p w14:paraId="057416C2" w14:textId="52034356"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$1,086,058</w:t>
            </w:r>
            <w:r w:rsidRPr="000A57FF" w:rsidDel="00A32005">
              <w:rPr>
                <w:rFonts w:eastAsia="Times New Roman" w:cs="Arial"/>
                <w:color w:val="000000" w:themeColor="text1"/>
                <w:sz w:val="20"/>
                <w:szCs w:val="20"/>
                <w:highlight w:val="yellow"/>
                <w:lang w:eastAsia="en-AU"/>
              </w:rPr>
              <w:t xml:space="preserve"> </w:t>
            </w:r>
          </w:p>
        </w:tc>
        <w:tc>
          <w:tcPr>
            <w:tcW w:w="716" w:type="pct"/>
            <w:tcBorders>
              <w:top w:val="nil"/>
              <w:left w:val="nil"/>
              <w:bottom w:val="single" w:sz="4" w:space="0" w:color="auto"/>
              <w:right w:val="nil"/>
            </w:tcBorders>
            <w:vAlign w:val="center"/>
          </w:tcPr>
          <w:p w14:paraId="3E094E9C" w14:textId="77777777" w:rsidR="00B9211E" w:rsidRPr="0010235E" w:rsidRDefault="00B9211E" w:rsidP="0010235E">
            <w:pPr>
              <w:jc w:val="right"/>
              <w:rPr>
                <w:sz w:val="20"/>
                <w:szCs w:val="20"/>
              </w:rPr>
            </w:pPr>
            <w:r w:rsidRPr="0010235E">
              <w:rPr>
                <w:b/>
                <w:bCs/>
                <w:sz w:val="20"/>
                <w:szCs w:val="20"/>
              </w:rPr>
              <w:t>Actual:</w:t>
            </w:r>
          </w:p>
          <w:p w14:paraId="5199D363" w14:textId="6B6CA877"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N/A</w:t>
            </w:r>
          </w:p>
        </w:tc>
        <w:tc>
          <w:tcPr>
            <w:tcW w:w="716" w:type="pct"/>
            <w:tcBorders>
              <w:top w:val="nil"/>
              <w:left w:val="nil"/>
              <w:bottom w:val="single" w:sz="4" w:space="0" w:color="auto"/>
              <w:right w:val="nil"/>
            </w:tcBorders>
            <w:vAlign w:val="center"/>
          </w:tcPr>
          <w:p w14:paraId="258C3F76" w14:textId="77777777" w:rsidR="00B9211E" w:rsidRPr="0010235E" w:rsidRDefault="00B9211E" w:rsidP="0010235E">
            <w:pPr>
              <w:jc w:val="right"/>
              <w:rPr>
                <w:b/>
                <w:bCs/>
                <w:sz w:val="20"/>
                <w:szCs w:val="20"/>
              </w:rPr>
            </w:pPr>
            <w:r w:rsidRPr="0010235E">
              <w:rPr>
                <w:b/>
                <w:bCs/>
                <w:sz w:val="20"/>
                <w:szCs w:val="20"/>
              </w:rPr>
              <w:t>Actual:</w:t>
            </w:r>
          </w:p>
          <w:p w14:paraId="6CA5D411" w14:textId="47DDE9A2"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N/A</w:t>
            </w:r>
          </w:p>
        </w:tc>
        <w:tc>
          <w:tcPr>
            <w:tcW w:w="716" w:type="pct"/>
            <w:tcBorders>
              <w:top w:val="nil"/>
              <w:left w:val="nil"/>
              <w:bottom w:val="single" w:sz="4" w:space="0" w:color="auto"/>
              <w:right w:val="nil"/>
            </w:tcBorders>
            <w:vAlign w:val="center"/>
          </w:tcPr>
          <w:p w14:paraId="37D26FC2" w14:textId="77777777" w:rsidR="00B9211E" w:rsidRPr="0010235E" w:rsidRDefault="00B9211E" w:rsidP="0010235E">
            <w:pPr>
              <w:jc w:val="right"/>
              <w:rPr>
                <w:b/>
                <w:bCs/>
                <w:sz w:val="20"/>
                <w:szCs w:val="20"/>
              </w:rPr>
            </w:pPr>
            <w:r w:rsidRPr="0010235E">
              <w:rPr>
                <w:b/>
                <w:bCs/>
                <w:sz w:val="20"/>
                <w:szCs w:val="20"/>
              </w:rPr>
              <w:t>Actual:</w:t>
            </w:r>
          </w:p>
          <w:p w14:paraId="3998C0CE" w14:textId="4B2F6199" w:rsidR="00B9211E" w:rsidRPr="0010235E" w:rsidRDefault="00B9211E" w:rsidP="0010235E">
            <w:pPr>
              <w:tabs>
                <w:tab w:val="decimal" w:pos="964"/>
              </w:tabs>
              <w:spacing w:after="0" w:line="240" w:lineRule="auto"/>
              <w:jc w:val="right"/>
              <w:rPr>
                <w:rFonts w:eastAsia="Times New Roman" w:cs="Arial"/>
                <w:color w:val="000000"/>
                <w:sz w:val="20"/>
                <w:szCs w:val="20"/>
                <w:highlight w:val="yellow"/>
                <w:lang w:eastAsia="en-AU"/>
              </w:rPr>
            </w:pPr>
            <w:r w:rsidRPr="0010235E">
              <w:rPr>
                <w:sz w:val="20"/>
                <w:szCs w:val="20"/>
              </w:rPr>
              <w:t>$2,586,058</w:t>
            </w:r>
          </w:p>
        </w:tc>
      </w:tr>
      <w:tr w:rsidR="008F7D86" w:rsidRPr="00F65403" w14:paraId="0956AD39" w14:textId="2EFCBC62" w:rsidTr="4CE956C5">
        <w:trPr>
          <w:trHeight w:val="300"/>
        </w:trPr>
        <w:tc>
          <w:tcPr>
            <w:tcW w:w="703" w:type="pct"/>
            <w:tcBorders>
              <w:top w:val="nil"/>
              <w:left w:val="nil"/>
              <w:bottom w:val="nil"/>
              <w:right w:val="nil"/>
            </w:tcBorders>
            <w:vAlign w:val="center"/>
          </w:tcPr>
          <w:p w14:paraId="4429ABDF" w14:textId="2FEC8A34" w:rsidR="008F7D86" w:rsidRPr="00706908" w:rsidRDefault="008F7D86" w:rsidP="008C2E60">
            <w:pPr>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Campaign summary</w:t>
            </w:r>
          </w:p>
        </w:tc>
        <w:tc>
          <w:tcPr>
            <w:tcW w:w="4297" w:type="pct"/>
            <w:gridSpan w:val="6"/>
            <w:tcBorders>
              <w:top w:val="single" w:sz="4" w:space="0" w:color="auto"/>
              <w:left w:val="nil"/>
              <w:bottom w:val="single" w:sz="4" w:space="0" w:color="auto"/>
              <w:right w:val="nil"/>
            </w:tcBorders>
            <w:vAlign w:val="center"/>
          </w:tcPr>
          <w:p w14:paraId="1A1FC509" w14:textId="7A8C6D57" w:rsidR="008F7D86" w:rsidRPr="0010235E" w:rsidRDefault="49552BEA" w:rsidP="4CE956C5">
            <w:pPr>
              <w:tabs>
                <w:tab w:val="decimal" w:pos="392"/>
              </w:tabs>
              <w:spacing w:after="0" w:line="240" w:lineRule="auto"/>
              <w:jc w:val="both"/>
              <w:rPr>
                <w:rFonts w:eastAsia="Times New Roman" w:cs="Arial"/>
                <w:color w:val="000000" w:themeColor="text1"/>
                <w:sz w:val="20"/>
                <w:szCs w:val="20"/>
                <w:lang w:eastAsia="en-AU"/>
              </w:rPr>
            </w:pPr>
            <w:r w:rsidRPr="4CE956C5">
              <w:rPr>
                <w:rFonts w:eastAsia="Times New Roman" w:cs="Arial"/>
                <w:color w:val="000000" w:themeColor="text1"/>
                <w:sz w:val="20"/>
                <w:szCs w:val="20"/>
                <w:lang w:eastAsia="en-AU"/>
              </w:rPr>
              <w:t xml:space="preserve">In September 2024 SEC launched a state-wide campaign to help households switch to electric and save. The campaign highlights improvements available to households on all budgets. This includes small cost-effective steps households can take immediately, to larger investments they can make when they are ready. </w:t>
            </w:r>
          </w:p>
          <w:p w14:paraId="42D81D38" w14:textId="4973AABF" w:rsidR="008F7D86" w:rsidRPr="0010235E" w:rsidRDefault="008F7D86" w:rsidP="4CE956C5">
            <w:pPr>
              <w:tabs>
                <w:tab w:val="decimal" w:pos="392"/>
              </w:tabs>
              <w:spacing w:after="0" w:line="240" w:lineRule="auto"/>
              <w:jc w:val="both"/>
              <w:rPr>
                <w:rFonts w:eastAsia="Times New Roman" w:cs="Arial"/>
                <w:color w:val="000000" w:themeColor="text1"/>
                <w:sz w:val="20"/>
                <w:szCs w:val="20"/>
                <w:lang w:eastAsia="en-AU"/>
              </w:rPr>
            </w:pPr>
          </w:p>
          <w:p w14:paraId="22385E66" w14:textId="2AEE7DFE" w:rsidR="008F7D86" w:rsidRPr="0010235E" w:rsidRDefault="49552BEA" w:rsidP="4CE956C5">
            <w:pPr>
              <w:tabs>
                <w:tab w:val="decimal" w:pos="392"/>
              </w:tabs>
              <w:spacing w:after="0" w:line="240" w:lineRule="auto"/>
              <w:jc w:val="both"/>
              <w:rPr>
                <w:rFonts w:eastAsia="Times New Roman" w:cs="Arial"/>
                <w:color w:val="000000" w:themeColor="text1"/>
                <w:sz w:val="20"/>
                <w:szCs w:val="20"/>
                <w:lang w:eastAsia="en-AU"/>
              </w:rPr>
            </w:pPr>
            <w:r w:rsidRPr="4CE956C5">
              <w:rPr>
                <w:rFonts w:eastAsia="Times New Roman" w:cs="Arial"/>
                <w:color w:val="000000" w:themeColor="text1"/>
                <w:sz w:val="20"/>
                <w:szCs w:val="20"/>
                <w:lang w:eastAsia="en-AU"/>
              </w:rPr>
              <w:t xml:space="preserve">A key part of this was announcing and communicating the opportunity to participate in SEC's consumer pilots, including the electric home planner, a significant step in Victoria's energy transition journey. </w:t>
            </w:r>
          </w:p>
          <w:p w14:paraId="63A2E77C" w14:textId="4134A50D" w:rsidR="008F7D86" w:rsidRPr="0010235E" w:rsidRDefault="008F7D86" w:rsidP="4CE956C5">
            <w:pPr>
              <w:tabs>
                <w:tab w:val="decimal" w:pos="392"/>
              </w:tabs>
              <w:spacing w:after="0" w:line="240" w:lineRule="auto"/>
              <w:jc w:val="both"/>
              <w:rPr>
                <w:rFonts w:eastAsia="Times New Roman" w:cs="Arial"/>
                <w:color w:val="000000" w:themeColor="text1"/>
                <w:sz w:val="20"/>
                <w:szCs w:val="20"/>
                <w:lang w:eastAsia="en-AU"/>
              </w:rPr>
            </w:pPr>
          </w:p>
          <w:p w14:paraId="30D3BC91" w14:textId="40A2A337" w:rsidR="008F7D86" w:rsidRPr="0010235E" w:rsidRDefault="49552BEA" w:rsidP="00C709C0">
            <w:pPr>
              <w:tabs>
                <w:tab w:val="decimal" w:pos="392"/>
              </w:tabs>
              <w:spacing w:after="0" w:line="240" w:lineRule="auto"/>
              <w:jc w:val="both"/>
              <w:rPr>
                <w:rFonts w:eastAsia="Times New Roman" w:cs="Arial"/>
                <w:color w:val="000000" w:themeColor="text1"/>
                <w:sz w:val="20"/>
                <w:szCs w:val="20"/>
                <w:highlight w:val="yellow"/>
                <w:lang w:eastAsia="en-AU"/>
              </w:rPr>
            </w:pPr>
            <w:r w:rsidRPr="4CE956C5">
              <w:rPr>
                <w:rFonts w:eastAsia="Times New Roman" w:cs="Arial"/>
                <w:color w:val="000000" w:themeColor="text1"/>
                <w:sz w:val="20"/>
                <w:szCs w:val="20"/>
                <w:lang w:eastAsia="en-AU"/>
              </w:rPr>
              <w:t>It also drove a significant increase in the number of people visiting SEC's household pages, supporting Victorians to electrify their homes. Of these, many were visits to the electric home planner, which allows people to generate estimates on the costs and savings associated with electrifying their homes.</w:t>
            </w:r>
          </w:p>
        </w:tc>
      </w:tr>
    </w:tbl>
    <w:p w14:paraId="36B5C412" w14:textId="3529B2C6" w:rsidR="0021520E" w:rsidRPr="0013219F" w:rsidRDefault="0021520E" w:rsidP="0021520E">
      <w:pPr>
        <w:rPr>
          <w:rFonts w:cs="Arial"/>
        </w:rPr>
      </w:pPr>
      <w:r>
        <w:br/>
      </w:r>
      <w:r w:rsidRPr="49BCD735">
        <w:rPr>
          <w:rFonts w:cs="Arial"/>
        </w:rPr>
        <w:t>Approved ‘Advertising (media) expenditure’ is the amount approved for each campaign by the Advertising Approval Group (AAG).</w:t>
      </w:r>
    </w:p>
    <w:p w14:paraId="4FBC938A" w14:textId="2A95BC77" w:rsidR="0006052D" w:rsidRPr="00F65403" w:rsidRDefault="0021520E" w:rsidP="49BCD735">
      <w:pPr>
        <w:rPr>
          <w:rFonts w:eastAsiaTheme="majorEastAsia" w:cstheme="majorBidi"/>
          <w:sz w:val="32"/>
          <w:szCs w:val="32"/>
        </w:rPr>
      </w:pPr>
      <w:r w:rsidRPr="49BCD735">
        <w:rPr>
          <w:rFonts w:cs="Arial"/>
        </w:rPr>
        <w:t>Planned campaign expenditure amounts are the amounts included in the Campaign Strategy form submitted to the AAG for review.</w:t>
      </w:r>
    </w:p>
    <w:p w14:paraId="3CDE2083" w14:textId="77777777" w:rsidR="002D2475" w:rsidRDefault="002D2475">
      <w:pPr>
        <w:rPr>
          <w:rFonts w:eastAsiaTheme="majorEastAsia" w:cstheme="majorBidi"/>
          <w:sz w:val="28"/>
          <w:szCs w:val="28"/>
        </w:rPr>
      </w:pPr>
      <w:bookmarkStart w:id="441" w:name="_Toc203656238"/>
      <w:bookmarkStart w:id="442" w:name="_Toc281929377"/>
      <w:bookmarkStart w:id="443" w:name="_Ref207013224"/>
      <w:bookmarkStart w:id="444" w:name="_Ref207013229"/>
      <w:r>
        <w:rPr>
          <w:sz w:val="28"/>
          <w:szCs w:val="28"/>
        </w:rPr>
        <w:br w:type="page"/>
      </w:r>
    </w:p>
    <w:p w14:paraId="3E7712B2" w14:textId="4C2B86C5" w:rsidR="00051D34" w:rsidRPr="005944F3" w:rsidRDefault="00051D34" w:rsidP="00AC4779">
      <w:pPr>
        <w:pStyle w:val="Heading2"/>
      </w:pPr>
      <w:r w:rsidRPr="0010235E">
        <w:rPr>
          <w:sz w:val="28"/>
          <w:szCs w:val="28"/>
        </w:rPr>
        <w:t>Consultancy expenditure</w:t>
      </w:r>
      <w:bookmarkEnd w:id="440"/>
      <w:bookmarkEnd w:id="441"/>
      <w:bookmarkEnd w:id="442"/>
      <w:bookmarkEnd w:id="443"/>
      <w:bookmarkEnd w:id="444"/>
    </w:p>
    <w:p w14:paraId="7914FE38" w14:textId="42E55695" w:rsidR="00051D34" w:rsidRDefault="00051D34" w:rsidP="00B96E2A">
      <w:pPr>
        <w:tabs>
          <w:tab w:val="left" w:pos="993"/>
        </w:tabs>
        <w:rPr>
          <w:rFonts w:cs="Arial"/>
        </w:rPr>
      </w:pPr>
      <w:r w:rsidRPr="49BCD735">
        <w:rPr>
          <w:rFonts w:cs="Arial"/>
        </w:rPr>
        <w:t xml:space="preserve">In the reporting period, there were </w:t>
      </w:r>
      <w:r w:rsidR="0035629E" w:rsidRPr="49BCD735">
        <w:rPr>
          <w:rFonts w:cs="Arial"/>
        </w:rPr>
        <w:t xml:space="preserve">five </w:t>
      </w:r>
      <w:r w:rsidRPr="49BCD735">
        <w:rPr>
          <w:rFonts w:cs="Arial"/>
        </w:rPr>
        <w:t>consultancies where the total fees paid or payable were $10,000 or greater, excluding GST. Details of individual consultancies, excluding GST, are outlined below:</w:t>
      </w:r>
    </w:p>
    <w:tbl>
      <w:tblPr>
        <w:tblW w:w="9012" w:type="dxa"/>
        <w:tblLayout w:type="fixed"/>
        <w:tblCellMar>
          <w:top w:w="28" w:type="dxa"/>
          <w:left w:w="28" w:type="dxa"/>
          <w:bottom w:w="28" w:type="dxa"/>
          <w:right w:w="28" w:type="dxa"/>
        </w:tblCellMar>
        <w:tblLook w:val="04A0" w:firstRow="1" w:lastRow="0" w:firstColumn="1" w:lastColumn="0" w:noHBand="0" w:noVBand="1"/>
      </w:tblPr>
      <w:tblGrid>
        <w:gridCol w:w="1701"/>
        <w:gridCol w:w="3261"/>
        <w:gridCol w:w="1350"/>
        <w:gridCol w:w="1350"/>
        <w:gridCol w:w="1350"/>
      </w:tblGrid>
      <w:tr w:rsidR="007D2713" w:rsidRPr="005976AC" w14:paraId="70C0177A" w14:textId="77777777" w:rsidTr="49BCD735">
        <w:trPr>
          <w:trHeight w:val="300"/>
        </w:trPr>
        <w:tc>
          <w:tcPr>
            <w:tcW w:w="1701" w:type="dxa"/>
            <w:tcBorders>
              <w:top w:val="nil"/>
              <w:left w:val="nil"/>
              <w:bottom w:val="nil"/>
              <w:right w:val="nil"/>
            </w:tcBorders>
            <w:vAlign w:val="bottom"/>
            <w:hideMark/>
          </w:tcPr>
          <w:p w14:paraId="70F92EEF" w14:textId="77777777" w:rsidR="007D2713" w:rsidRPr="005976AC" w:rsidRDefault="007D2713" w:rsidP="00493223">
            <w:pPr>
              <w:spacing w:after="0" w:line="240" w:lineRule="auto"/>
              <w:rPr>
                <w:rFonts w:eastAsia="Times New Roman" w:cs="Arial"/>
                <w:b/>
                <w:color w:val="000000"/>
                <w:sz w:val="20"/>
                <w:szCs w:val="20"/>
                <w:lang w:eastAsia="en-AU"/>
              </w:rPr>
            </w:pPr>
            <w:r w:rsidRPr="005976AC">
              <w:rPr>
                <w:rFonts w:eastAsia="Times New Roman" w:cs="Arial"/>
                <w:b/>
                <w:sz w:val="20"/>
                <w:szCs w:val="20"/>
                <w:lang w:eastAsia="en-AU"/>
              </w:rPr>
              <w:t>Consultant </w:t>
            </w:r>
          </w:p>
        </w:tc>
        <w:tc>
          <w:tcPr>
            <w:tcW w:w="3261" w:type="dxa"/>
            <w:tcBorders>
              <w:top w:val="nil"/>
              <w:left w:val="nil"/>
              <w:bottom w:val="nil"/>
              <w:right w:val="nil"/>
            </w:tcBorders>
            <w:vAlign w:val="bottom"/>
            <w:hideMark/>
          </w:tcPr>
          <w:p w14:paraId="228A88D4" w14:textId="77777777" w:rsidR="007D2713" w:rsidRPr="005976AC" w:rsidRDefault="007D2713" w:rsidP="00493223">
            <w:pPr>
              <w:spacing w:after="0" w:line="240" w:lineRule="auto"/>
              <w:rPr>
                <w:rFonts w:eastAsia="Times New Roman" w:cs="Arial"/>
                <w:b/>
                <w:color w:val="000000"/>
                <w:sz w:val="20"/>
                <w:szCs w:val="20"/>
                <w:lang w:eastAsia="en-AU"/>
              </w:rPr>
            </w:pPr>
            <w:r w:rsidRPr="005976AC">
              <w:rPr>
                <w:rFonts w:eastAsia="Times New Roman" w:cs="Arial"/>
                <w:b/>
                <w:sz w:val="20"/>
                <w:szCs w:val="20"/>
                <w:lang w:eastAsia="en-AU"/>
              </w:rPr>
              <w:t>Purpose </w:t>
            </w:r>
          </w:p>
        </w:tc>
        <w:tc>
          <w:tcPr>
            <w:tcW w:w="1350" w:type="dxa"/>
            <w:tcBorders>
              <w:top w:val="nil"/>
              <w:left w:val="nil"/>
              <w:bottom w:val="nil"/>
              <w:right w:val="nil"/>
            </w:tcBorders>
            <w:vAlign w:val="bottom"/>
            <w:hideMark/>
          </w:tcPr>
          <w:p w14:paraId="25120C29" w14:textId="0BB06BBC" w:rsidR="00C029DC" w:rsidRPr="005976AC" w:rsidRDefault="00C029DC" w:rsidP="49BCD735">
            <w:pPr>
              <w:spacing w:after="0" w:line="240" w:lineRule="auto"/>
              <w:jc w:val="center"/>
              <w:rPr>
                <w:rFonts w:eastAsia="Times New Roman" w:cs="Arial"/>
                <w:b/>
                <w:bCs/>
                <w:sz w:val="20"/>
                <w:szCs w:val="20"/>
                <w:lang w:eastAsia="en-AU"/>
              </w:rPr>
            </w:pPr>
            <w:r w:rsidRPr="49BCD735">
              <w:rPr>
                <w:rFonts w:eastAsia="Times New Roman" w:cs="Arial"/>
                <w:b/>
                <w:bCs/>
                <w:sz w:val="20"/>
                <w:szCs w:val="20"/>
                <w:lang w:eastAsia="en-AU"/>
              </w:rPr>
              <w:t>A</w:t>
            </w:r>
            <w:r w:rsidR="007D2713" w:rsidRPr="49BCD735">
              <w:rPr>
                <w:rFonts w:eastAsia="Times New Roman" w:cs="Arial"/>
                <w:b/>
                <w:bCs/>
                <w:sz w:val="20"/>
                <w:szCs w:val="20"/>
                <w:lang w:eastAsia="en-AU"/>
              </w:rPr>
              <w:t>pproved project fee</w:t>
            </w:r>
            <w:r w:rsidRPr="49BCD735">
              <w:rPr>
                <w:rFonts w:eastAsia="Times New Roman" w:cs="Arial"/>
                <w:b/>
                <w:bCs/>
                <w:sz w:val="20"/>
                <w:szCs w:val="20"/>
                <w:lang w:eastAsia="en-AU"/>
              </w:rPr>
              <w:t xml:space="preserve"> </w:t>
            </w:r>
          </w:p>
          <w:p w14:paraId="37AFE630" w14:textId="585DE474" w:rsidR="007D2713" w:rsidRPr="005976AC" w:rsidRDefault="00C029DC" w:rsidP="49BCD735">
            <w:pPr>
              <w:spacing w:after="0" w:line="240" w:lineRule="auto"/>
              <w:jc w:val="center"/>
              <w:rPr>
                <w:rFonts w:eastAsia="Times New Roman" w:cs="Arial"/>
                <w:b/>
                <w:bCs/>
                <w:color w:val="000000"/>
                <w:sz w:val="20"/>
                <w:szCs w:val="20"/>
                <w:lang w:eastAsia="en-AU"/>
              </w:rPr>
            </w:pPr>
            <w:r w:rsidRPr="49BCD735">
              <w:rPr>
                <w:rFonts w:eastAsia="Times New Roman" w:cs="Arial"/>
                <w:b/>
                <w:bCs/>
                <w:sz w:val="20"/>
                <w:szCs w:val="20"/>
                <w:lang w:eastAsia="en-AU"/>
              </w:rPr>
              <w:t>$</w:t>
            </w:r>
          </w:p>
        </w:tc>
        <w:tc>
          <w:tcPr>
            <w:tcW w:w="1350" w:type="dxa"/>
            <w:tcBorders>
              <w:top w:val="nil"/>
              <w:left w:val="nil"/>
              <w:bottom w:val="nil"/>
              <w:right w:val="nil"/>
            </w:tcBorders>
            <w:vAlign w:val="bottom"/>
            <w:hideMark/>
          </w:tcPr>
          <w:p w14:paraId="3FA7802A" w14:textId="5F86D48F" w:rsidR="007D2713" w:rsidRPr="005976AC" w:rsidRDefault="007D2713" w:rsidP="49BCD735">
            <w:pPr>
              <w:spacing w:after="0" w:line="240" w:lineRule="auto"/>
              <w:jc w:val="center"/>
              <w:rPr>
                <w:rFonts w:eastAsia="Times New Roman" w:cs="Arial"/>
                <w:b/>
                <w:bCs/>
                <w:sz w:val="20"/>
                <w:szCs w:val="20"/>
                <w:lang w:eastAsia="en-AU"/>
              </w:rPr>
            </w:pPr>
            <w:r w:rsidRPr="49BCD735">
              <w:rPr>
                <w:rFonts w:eastAsia="Times New Roman" w:cs="Arial"/>
                <w:b/>
                <w:bCs/>
                <w:sz w:val="20"/>
                <w:szCs w:val="20"/>
                <w:lang w:eastAsia="en-AU"/>
              </w:rPr>
              <w:t xml:space="preserve">Incurred </w:t>
            </w:r>
            <w:r w:rsidR="005065A5" w:rsidRPr="49BCD735">
              <w:rPr>
                <w:rFonts w:eastAsia="Times New Roman" w:cs="Arial"/>
                <w:b/>
                <w:bCs/>
                <w:sz w:val="20"/>
                <w:szCs w:val="20"/>
                <w:lang w:eastAsia="en-AU"/>
              </w:rPr>
              <w:t>in 2025</w:t>
            </w:r>
            <w:r w:rsidR="00C029DC" w:rsidRPr="49BCD735">
              <w:rPr>
                <w:rFonts w:eastAsia="Times New Roman" w:cs="Arial"/>
                <w:b/>
                <w:bCs/>
                <w:sz w:val="20"/>
                <w:szCs w:val="20"/>
                <w:lang w:eastAsia="en-AU"/>
              </w:rPr>
              <w:t xml:space="preserve"> </w:t>
            </w:r>
          </w:p>
          <w:p w14:paraId="1892457F" w14:textId="1EC53C78" w:rsidR="00C029DC" w:rsidRPr="005976AC" w:rsidRDefault="00C029DC" w:rsidP="49BCD735">
            <w:pPr>
              <w:spacing w:after="0" w:line="240" w:lineRule="auto"/>
              <w:jc w:val="center"/>
              <w:rPr>
                <w:rFonts w:eastAsia="Times New Roman" w:cs="Arial"/>
                <w:b/>
                <w:bCs/>
                <w:color w:val="000000"/>
                <w:sz w:val="20"/>
                <w:szCs w:val="20"/>
                <w:lang w:eastAsia="en-AU"/>
              </w:rPr>
            </w:pPr>
            <w:r w:rsidRPr="49BCD735">
              <w:rPr>
                <w:rFonts w:eastAsia="Times New Roman" w:cs="Arial"/>
                <w:b/>
                <w:bCs/>
                <w:sz w:val="20"/>
                <w:szCs w:val="20"/>
                <w:lang w:eastAsia="en-AU"/>
              </w:rPr>
              <w:t>$</w:t>
            </w:r>
          </w:p>
        </w:tc>
        <w:tc>
          <w:tcPr>
            <w:tcW w:w="1350" w:type="dxa"/>
            <w:tcBorders>
              <w:top w:val="nil"/>
              <w:left w:val="nil"/>
              <w:bottom w:val="nil"/>
              <w:right w:val="nil"/>
            </w:tcBorders>
            <w:vAlign w:val="bottom"/>
            <w:hideMark/>
          </w:tcPr>
          <w:p w14:paraId="3E80DD8C" w14:textId="3DC4DA65" w:rsidR="007D2713" w:rsidRPr="005976AC" w:rsidRDefault="007D2713" w:rsidP="0006052D">
            <w:pPr>
              <w:spacing w:after="0" w:line="240" w:lineRule="auto"/>
              <w:jc w:val="center"/>
              <w:rPr>
                <w:rFonts w:eastAsia="Times New Roman" w:cs="Arial"/>
                <w:b/>
                <w:color w:val="000000"/>
                <w:sz w:val="20"/>
                <w:szCs w:val="20"/>
                <w:lang w:eastAsia="en-AU"/>
              </w:rPr>
            </w:pPr>
            <w:r w:rsidRPr="005976AC">
              <w:rPr>
                <w:rFonts w:eastAsia="Times New Roman" w:cs="Arial"/>
                <w:b/>
                <w:sz w:val="20"/>
                <w:szCs w:val="20"/>
                <w:lang w:eastAsia="en-AU"/>
              </w:rPr>
              <w:t>Expected to be incurred</w:t>
            </w:r>
          </w:p>
        </w:tc>
      </w:tr>
      <w:tr w:rsidR="008D3B89" w:rsidRPr="005976AC" w14:paraId="47F47645" w14:textId="77777777" w:rsidTr="49BCD735">
        <w:trPr>
          <w:trHeight w:val="300"/>
        </w:trPr>
        <w:tc>
          <w:tcPr>
            <w:tcW w:w="1701" w:type="dxa"/>
            <w:tcBorders>
              <w:top w:val="nil"/>
              <w:left w:val="nil"/>
              <w:bottom w:val="nil"/>
              <w:right w:val="nil"/>
            </w:tcBorders>
          </w:tcPr>
          <w:p w14:paraId="14519870" w14:textId="4479F3BF"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Korn Ferry</w:t>
            </w:r>
          </w:p>
        </w:tc>
        <w:tc>
          <w:tcPr>
            <w:tcW w:w="3261" w:type="dxa"/>
            <w:tcBorders>
              <w:top w:val="nil"/>
              <w:left w:val="nil"/>
              <w:bottom w:val="nil"/>
              <w:right w:val="nil"/>
            </w:tcBorders>
          </w:tcPr>
          <w:p w14:paraId="1951B092" w14:textId="01F20CE0" w:rsidR="008D3B89" w:rsidRPr="005976AC" w:rsidRDefault="00F977B8" w:rsidP="008D3B89">
            <w:pPr>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D</w:t>
            </w:r>
            <w:r w:rsidR="008D3B89" w:rsidRPr="03F019D9">
              <w:rPr>
                <w:rFonts w:eastAsia="Times New Roman" w:cs="Arial"/>
                <w:color w:val="000000" w:themeColor="text1"/>
                <w:sz w:val="20"/>
                <w:szCs w:val="20"/>
                <w:lang w:eastAsia="en-AU"/>
              </w:rPr>
              <w:t>evelop</w:t>
            </w:r>
            <w:r w:rsidR="008D3B89" w:rsidRPr="49BCD735">
              <w:rPr>
                <w:rFonts w:eastAsia="Times New Roman" w:cs="Arial"/>
                <w:color w:val="000000" w:themeColor="text1"/>
                <w:sz w:val="20"/>
                <w:szCs w:val="20"/>
                <w:lang w:eastAsia="en-AU"/>
              </w:rPr>
              <w:t xml:space="preserve"> and implement a performance and development framework</w:t>
            </w:r>
          </w:p>
        </w:tc>
        <w:tc>
          <w:tcPr>
            <w:tcW w:w="1350" w:type="dxa"/>
            <w:tcBorders>
              <w:top w:val="nil"/>
              <w:left w:val="nil"/>
              <w:bottom w:val="nil"/>
              <w:right w:val="nil"/>
            </w:tcBorders>
          </w:tcPr>
          <w:p w14:paraId="6DEF8723" w14:textId="0DFAB27E"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218,025</w:t>
            </w:r>
          </w:p>
        </w:tc>
        <w:tc>
          <w:tcPr>
            <w:tcW w:w="1350" w:type="dxa"/>
            <w:tcBorders>
              <w:top w:val="nil"/>
              <w:left w:val="nil"/>
              <w:bottom w:val="nil"/>
              <w:right w:val="nil"/>
            </w:tcBorders>
          </w:tcPr>
          <w:p w14:paraId="01D586C4" w14:textId="2A6580AD"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218,025</w:t>
            </w:r>
          </w:p>
        </w:tc>
        <w:tc>
          <w:tcPr>
            <w:tcW w:w="1350" w:type="dxa"/>
            <w:tcBorders>
              <w:top w:val="nil"/>
              <w:left w:val="nil"/>
              <w:bottom w:val="nil"/>
              <w:right w:val="nil"/>
            </w:tcBorders>
          </w:tcPr>
          <w:p w14:paraId="779FC925" w14:textId="34C7A3B4"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 xml:space="preserve"> -   </w:t>
            </w:r>
          </w:p>
        </w:tc>
      </w:tr>
      <w:tr w:rsidR="008D3B89" w:rsidRPr="005976AC" w14:paraId="3A075414" w14:textId="77777777" w:rsidTr="49BCD735">
        <w:trPr>
          <w:trHeight w:val="300"/>
        </w:trPr>
        <w:tc>
          <w:tcPr>
            <w:tcW w:w="1701" w:type="dxa"/>
            <w:tcBorders>
              <w:top w:val="nil"/>
              <w:left w:val="nil"/>
              <w:bottom w:val="nil"/>
              <w:right w:val="nil"/>
            </w:tcBorders>
          </w:tcPr>
          <w:p w14:paraId="086A2025" w14:textId="031C7E7C"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VPP Partners</w:t>
            </w:r>
          </w:p>
        </w:tc>
        <w:tc>
          <w:tcPr>
            <w:tcW w:w="3261" w:type="dxa"/>
            <w:tcBorders>
              <w:top w:val="nil"/>
              <w:left w:val="nil"/>
              <w:bottom w:val="nil"/>
              <w:right w:val="nil"/>
            </w:tcBorders>
          </w:tcPr>
          <w:p w14:paraId="6A5FCE35" w14:textId="454B7C34"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Assist SEC Victoria in developing a business case for the provision of flexible demand solutions to the SECs Victorian Government customers</w:t>
            </w:r>
          </w:p>
        </w:tc>
        <w:tc>
          <w:tcPr>
            <w:tcW w:w="1350" w:type="dxa"/>
            <w:tcBorders>
              <w:top w:val="nil"/>
              <w:left w:val="nil"/>
              <w:bottom w:val="nil"/>
              <w:right w:val="nil"/>
            </w:tcBorders>
          </w:tcPr>
          <w:p w14:paraId="7876ABE1" w14:textId="54DE4C61"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125,050</w:t>
            </w:r>
          </w:p>
        </w:tc>
        <w:tc>
          <w:tcPr>
            <w:tcW w:w="1350" w:type="dxa"/>
            <w:tcBorders>
              <w:top w:val="nil"/>
              <w:left w:val="nil"/>
              <w:bottom w:val="nil"/>
              <w:right w:val="nil"/>
            </w:tcBorders>
          </w:tcPr>
          <w:p w14:paraId="306B5120" w14:textId="009DF973"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125,050</w:t>
            </w:r>
          </w:p>
        </w:tc>
        <w:tc>
          <w:tcPr>
            <w:tcW w:w="1350" w:type="dxa"/>
            <w:tcBorders>
              <w:top w:val="nil"/>
              <w:left w:val="nil"/>
              <w:bottom w:val="nil"/>
              <w:right w:val="nil"/>
            </w:tcBorders>
          </w:tcPr>
          <w:p w14:paraId="2013FE16" w14:textId="00CAE0AE"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 xml:space="preserve"> -   </w:t>
            </w:r>
          </w:p>
        </w:tc>
      </w:tr>
      <w:tr w:rsidR="008D3B89" w:rsidRPr="005976AC" w14:paraId="134EE969" w14:textId="77777777" w:rsidTr="49BCD735">
        <w:trPr>
          <w:trHeight w:val="300"/>
        </w:trPr>
        <w:tc>
          <w:tcPr>
            <w:tcW w:w="1701" w:type="dxa"/>
            <w:tcBorders>
              <w:top w:val="nil"/>
              <w:left w:val="nil"/>
              <w:bottom w:val="nil"/>
              <w:right w:val="nil"/>
            </w:tcBorders>
          </w:tcPr>
          <w:p w14:paraId="4CAFD488" w14:textId="32D087FE"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Optimum Media Direction</w:t>
            </w:r>
          </w:p>
        </w:tc>
        <w:tc>
          <w:tcPr>
            <w:tcW w:w="3261" w:type="dxa"/>
            <w:tcBorders>
              <w:top w:val="nil"/>
              <w:left w:val="nil"/>
              <w:bottom w:val="nil"/>
              <w:right w:val="nil"/>
            </w:tcBorders>
          </w:tcPr>
          <w:p w14:paraId="10794E89" w14:textId="7BE8ACE8"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Strategy and support for </w:t>
            </w:r>
            <w:r w:rsidR="00B63EE1">
              <w:rPr>
                <w:rFonts w:eastAsia="Times New Roman" w:cs="Arial"/>
                <w:color w:val="000000" w:themeColor="text1"/>
                <w:sz w:val="20"/>
                <w:szCs w:val="20"/>
                <w:lang w:eastAsia="en-AU"/>
              </w:rPr>
              <w:t>Consumer Energy Solutions</w:t>
            </w:r>
            <w:r w:rsidR="00B63EE1" w:rsidRPr="49BCD735">
              <w:rPr>
                <w:rFonts w:eastAsia="Times New Roman" w:cs="Arial"/>
                <w:color w:val="000000" w:themeColor="text1"/>
                <w:sz w:val="20"/>
                <w:szCs w:val="20"/>
                <w:lang w:eastAsia="en-AU"/>
              </w:rPr>
              <w:t xml:space="preserve"> </w:t>
            </w:r>
            <w:r w:rsidRPr="49BCD735">
              <w:rPr>
                <w:rFonts w:eastAsia="Times New Roman" w:cs="Arial"/>
                <w:color w:val="000000" w:themeColor="text1"/>
                <w:sz w:val="20"/>
                <w:szCs w:val="20"/>
                <w:lang w:eastAsia="en-AU"/>
              </w:rPr>
              <w:t>FY26-29 media submission</w:t>
            </w:r>
          </w:p>
        </w:tc>
        <w:tc>
          <w:tcPr>
            <w:tcW w:w="1350" w:type="dxa"/>
            <w:tcBorders>
              <w:top w:val="nil"/>
              <w:left w:val="nil"/>
              <w:bottom w:val="nil"/>
              <w:right w:val="nil"/>
            </w:tcBorders>
          </w:tcPr>
          <w:p w14:paraId="18C68B2E" w14:textId="51ECD978" w:rsidR="008D3B89" w:rsidRPr="005976AC" w:rsidDel="003343B5"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37,091</w:t>
            </w:r>
          </w:p>
        </w:tc>
        <w:tc>
          <w:tcPr>
            <w:tcW w:w="1350" w:type="dxa"/>
            <w:tcBorders>
              <w:top w:val="nil"/>
              <w:left w:val="nil"/>
              <w:bottom w:val="nil"/>
              <w:right w:val="nil"/>
            </w:tcBorders>
          </w:tcPr>
          <w:p w14:paraId="13D61A09" w14:textId="065FBDB1"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37,091</w:t>
            </w:r>
          </w:p>
        </w:tc>
        <w:tc>
          <w:tcPr>
            <w:tcW w:w="1350" w:type="dxa"/>
            <w:tcBorders>
              <w:top w:val="nil"/>
              <w:left w:val="nil"/>
              <w:bottom w:val="nil"/>
              <w:right w:val="nil"/>
            </w:tcBorders>
          </w:tcPr>
          <w:p w14:paraId="17B19933" w14:textId="21FCF4C3" w:rsidR="008D3B89" w:rsidRPr="005976AC" w:rsidDel="003343B5"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 xml:space="preserve"> -   </w:t>
            </w:r>
          </w:p>
        </w:tc>
      </w:tr>
      <w:tr w:rsidR="008D3B89" w:rsidRPr="005976AC" w14:paraId="08B9F5EF" w14:textId="77777777" w:rsidTr="49BCD735">
        <w:trPr>
          <w:trHeight w:val="300"/>
        </w:trPr>
        <w:tc>
          <w:tcPr>
            <w:tcW w:w="1701" w:type="dxa"/>
            <w:tcBorders>
              <w:top w:val="nil"/>
              <w:left w:val="nil"/>
              <w:bottom w:val="nil"/>
              <w:right w:val="nil"/>
            </w:tcBorders>
          </w:tcPr>
          <w:p w14:paraId="555D173E" w14:textId="645B3BE7"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TSA Management Pty Ltd </w:t>
            </w:r>
          </w:p>
        </w:tc>
        <w:tc>
          <w:tcPr>
            <w:tcW w:w="3261" w:type="dxa"/>
            <w:tcBorders>
              <w:top w:val="nil"/>
              <w:left w:val="nil"/>
              <w:bottom w:val="nil"/>
              <w:right w:val="nil"/>
            </w:tcBorders>
          </w:tcPr>
          <w:p w14:paraId="6F5184E8" w14:textId="1B15F393"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General professional advice (investment projects) </w:t>
            </w:r>
          </w:p>
        </w:tc>
        <w:tc>
          <w:tcPr>
            <w:tcW w:w="1350" w:type="dxa"/>
            <w:tcBorders>
              <w:top w:val="nil"/>
              <w:left w:val="nil"/>
              <w:bottom w:val="nil"/>
              <w:right w:val="nil"/>
            </w:tcBorders>
          </w:tcPr>
          <w:p w14:paraId="25649AE4" w14:textId="66D95226" w:rsidR="008D3B89" w:rsidRPr="005976AC" w:rsidDel="003343B5"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30,990</w:t>
            </w:r>
          </w:p>
        </w:tc>
        <w:tc>
          <w:tcPr>
            <w:tcW w:w="1350" w:type="dxa"/>
            <w:tcBorders>
              <w:top w:val="nil"/>
              <w:left w:val="nil"/>
              <w:bottom w:val="nil"/>
              <w:right w:val="nil"/>
            </w:tcBorders>
          </w:tcPr>
          <w:p w14:paraId="1F96D1CE" w14:textId="174CABF4"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30,990</w:t>
            </w:r>
          </w:p>
        </w:tc>
        <w:tc>
          <w:tcPr>
            <w:tcW w:w="1350" w:type="dxa"/>
            <w:tcBorders>
              <w:top w:val="nil"/>
              <w:left w:val="nil"/>
              <w:bottom w:val="nil"/>
              <w:right w:val="nil"/>
            </w:tcBorders>
          </w:tcPr>
          <w:p w14:paraId="77FB8F6B" w14:textId="736D6DC1" w:rsidR="008D3B89" w:rsidRPr="005976AC" w:rsidDel="003343B5"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 xml:space="preserve"> -   </w:t>
            </w:r>
          </w:p>
        </w:tc>
      </w:tr>
      <w:tr w:rsidR="008D3B89" w:rsidRPr="005976AC" w14:paraId="7F35F074" w14:textId="77777777" w:rsidTr="49BCD735">
        <w:trPr>
          <w:trHeight w:val="300"/>
        </w:trPr>
        <w:tc>
          <w:tcPr>
            <w:tcW w:w="1701" w:type="dxa"/>
            <w:tcBorders>
              <w:top w:val="nil"/>
              <w:left w:val="nil"/>
              <w:bottom w:val="nil"/>
              <w:right w:val="nil"/>
            </w:tcBorders>
          </w:tcPr>
          <w:p w14:paraId="4631650C" w14:textId="6C4CD773"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Workforce Advantage</w:t>
            </w:r>
          </w:p>
        </w:tc>
        <w:tc>
          <w:tcPr>
            <w:tcW w:w="3261" w:type="dxa"/>
            <w:tcBorders>
              <w:top w:val="nil"/>
              <w:left w:val="nil"/>
              <w:bottom w:val="nil"/>
              <w:right w:val="nil"/>
            </w:tcBorders>
          </w:tcPr>
          <w:p w14:paraId="6FFE58C5" w14:textId="3025EE71" w:rsidR="008D3B89" w:rsidRPr="005976AC" w:rsidRDefault="008D3B89" w:rsidP="008D3B89">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Consultancy services involving provision of strategic industrial relations advice</w:t>
            </w:r>
          </w:p>
        </w:tc>
        <w:tc>
          <w:tcPr>
            <w:tcW w:w="1350" w:type="dxa"/>
            <w:tcBorders>
              <w:top w:val="nil"/>
              <w:left w:val="nil"/>
              <w:bottom w:val="nil"/>
              <w:right w:val="nil"/>
            </w:tcBorders>
          </w:tcPr>
          <w:p w14:paraId="0BA06E7D" w14:textId="14143947"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28,500</w:t>
            </w:r>
          </w:p>
        </w:tc>
        <w:tc>
          <w:tcPr>
            <w:tcW w:w="1350" w:type="dxa"/>
            <w:tcBorders>
              <w:top w:val="nil"/>
              <w:left w:val="nil"/>
              <w:bottom w:val="nil"/>
              <w:right w:val="nil"/>
            </w:tcBorders>
          </w:tcPr>
          <w:p w14:paraId="42933BBA" w14:textId="254DF10D"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28,500</w:t>
            </w:r>
          </w:p>
        </w:tc>
        <w:tc>
          <w:tcPr>
            <w:tcW w:w="1350" w:type="dxa"/>
            <w:tcBorders>
              <w:top w:val="nil"/>
              <w:left w:val="nil"/>
              <w:bottom w:val="nil"/>
              <w:right w:val="nil"/>
            </w:tcBorders>
            <w:hideMark/>
          </w:tcPr>
          <w:p w14:paraId="256718FA" w14:textId="7CB4D481" w:rsidR="008D3B89" w:rsidRPr="005976AC" w:rsidRDefault="008D3B89" w:rsidP="008D3B89">
            <w:pPr>
              <w:tabs>
                <w:tab w:val="decimal" w:pos="1105"/>
              </w:tabs>
              <w:spacing w:after="0" w:line="240" w:lineRule="auto"/>
              <w:rPr>
                <w:rFonts w:eastAsia="Times New Roman" w:cs="Arial"/>
                <w:color w:val="000000"/>
                <w:sz w:val="20"/>
                <w:szCs w:val="20"/>
                <w:highlight w:val="yellow"/>
                <w:lang w:eastAsia="en-AU"/>
              </w:rPr>
            </w:pPr>
            <w:r w:rsidRPr="49BCD735">
              <w:rPr>
                <w:sz w:val="20"/>
                <w:szCs w:val="20"/>
              </w:rPr>
              <w:t xml:space="preserve"> -   </w:t>
            </w:r>
          </w:p>
        </w:tc>
      </w:tr>
    </w:tbl>
    <w:p w14:paraId="28851D8D" w14:textId="4C1BE1CE" w:rsidR="002E52BD" w:rsidRPr="00F65403" w:rsidRDefault="007D2713" w:rsidP="00B96E2A">
      <w:pPr>
        <w:tabs>
          <w:tab w:val="left" w:pos="993"/>
        </w:tabs>
        <w:rPr>
          <w:rFonts w:cs="Arial"/>
        </w:rPr>
      </w:pPr>
      <w:r>
        <w:br/>
      </w:r>
      <w:r w:rsidR="002E52BD" w:rsidRPr="49BCD735">
        <w:rPr>
          <w:rFonts w:cs="Arial"/>
        </w:rPr>
        <w:t>This disclosure reflects consultancy expenditure incurred by SEC during the reporting period</w:t>
      </w:r>
      <w:r w:rsidR="007E7C73" w:rsidRPr="49BCD735">
        <w:rPr>
          <w:rFonts w:cs="Arial"/>
        </w:rPr>
        <w:t xml:space="preserve"> only</w:t>
      </w:r>
      <w:r w:rsidR="002E52BD" w:rsidRPr="49BCD735">
        <w:rPr>
          <w:rFonts w:cs="Arial"/>
        </w:rPr>
        <w:t>.</w:t>
      </w:r>
    </w:p>
    <w:p w14:paraId="15CB7E98" w14:textId="77777777" w:rsidR="002E52BD" w:rsidRPr="00B96E2A" w:rsidRDefault="002E52BD" w:rsidP="00B96E2A">
      <w:pPr>
        <w:tabs>
          <w:tab w:val="left" w:pos="993"/>
        </w:tabs>
        <w:rPr>
          <w:rFonts w:cs="Arial"/>
        </w:rPr>
      </w:pPr>
      <w:r w:rsidRPr="00B96E2A">
        <w:rPr>
          <w:rFonts w:cs="Arial"/>
        </w:rPr>
        <w:t>For the period, there were no consultancies where the total fees paid or payable were less than $10,000, excluding GST.</w:t>
      </w:r>
    </w:p>
    <w:p w14:paraId="6485E342" w14:textId="77777777" w:rsidR="003C4478" w:rsidRPr="0010235E" w:rsidRDefault="003C4478" w:rsidP="00AC4779">
      <w:pPr>
        <w:pStyle w:val="Heading2"/>
        <w:rPr>
          <w:sz w:val="28"/>
          <w:szCs w:val="28"/>
        </w:rPr>
      </w:pPr>
      <w:bookmarkStart w:id="445" w:name="_Toc203487549"/>
      <w:bookmarkStart w:id="446" w:name="_Toc203656239"/>
      <w:bookmarkStart w:id="447" w:name="_Toc494060892"/>
      <w:bookmarkStart w:id="448" w:name="_Ref207013242"/>
      <w:r w:rsidRPr="0010235E">
        <w:rPr>
          <w:sz w:val="28"/>
          <w:szCs w:val="28"/>
        </w:rPr>
        <w:t>Information and communication technology (ICT) expenditure</w:t>
      </w:r>
      <w:bookmarkEnd w:id="445"/>
      <w:bookmarkEnd w:id="446"/>
      <w:bookmarkEnd w:id="447"/>
      <w:bookmarkEnd w:id="448"/>
    </w:p>
    <w:p w14:paraId="1AA160AD" w14:textId="77777777" w:rsidR="00EE2DAE" w:rsidRDefault="00EE2DAE" w:rsidP="00B96E2A">
      <w:pPr>
        <w:tabs>
          <w:tab w:val="left" w:pos="993"/>
        </w:tabs>
        <w:rPr>
          <w:rFonts w:cs="Arial"/>
        </w:rPr>
      </w:pPr>
      <w:r w:rsidRPr="49BCD735">
        <w:rPr>
          <w:rFonts w:cs="Arial"/>
        </w:rPr>
        <w:t>Business as usual expenditure relates to ongoing activities to operate and maintain current information and communication technology capacity. Non-business as usual expenditure relates to extending and enhancing the Company’s current capability. It is the sum of operational expenditure and capital expenditure.</w:t>
      </w:r>
    </w:p>
    <w:p w14:paraId="7F6C3676" w14:textId="32395EF1" w:rsidR="003C4478" w:rsidRPr="00B96E2A" w:rsidRDefault="003C4478" w:rsidP="00B96E2A">
      <w:pPr>
        <w:tabs>
          <w:tab w:val="left" w:pos="993"/>
        </w:tabs>
        <w:rPr>
          <w:rFonts w:cs="Arial"/>
        </w:rPr>
      </w:pPr>
      <w:r w:rsidRPr="49BCD735">
        <w:rPr>
          <w:rFonts w:cs="Arial"/>
        </w:rPr>
        <w:t>For the reporting period, SEC Victoria had a total information and communication technology spend of $</w:t>
      </w:r>
      <w:r w:rsidR="00A37E82" w:rsidRPr="49BCD735">
        <w:rPr>
          <w:rFonts w:cs="Arial"/>
        </w:rPr>
        <w:t>8,952,</w:t>
      </w:r>
      <w:r w:rsidR="001734D0" w:rsidRPr="49BCD735">
        <w:rPr>
          <w:rFonts w:cs="Arial"/>
        </w:rPr>
        <w:t>000</w:t>
      </w:r>
      <w:r w:rsidRPr="49BCD735">
        <w:rPr>
          <w:rFonts w:cs="Arial"/>
        </w:rPr>
        <w:t>, excluding GST</w:t>
      </w:r>
      <w:r w:rsidR="003923B1" w:rsidRPr="49BCD735">
        <w:rPr>
          <w:rFonts w:cs="Arial"/>
        </w:rPr>
        <w:t>. This disclosure reflects ICT expenditure incurred by SEC during the reporting period only.</w:t>
      </w:r>
    </w:p>
    <w:tbl>
      <w:tblPr>
        <w:tblW w:w="4928" w:type="pct"/>
        <w:tblCellMar>
          <w:top w:w="28" w:type="dxa"/>
          <w:left w:w="28" w:type="dxa"/>
          <w:bottom w:w="28" w:type="dxa"/>
          <w:right w:w="28" w:type="dxa"/>
        </w:tblCellMar>
        <w:tblLook w:val="04A0" w:firstRow="1" w:lastRow="0" w:firstColumn="1" w:lastColumn="0" w:noHBand="0" w:noVBand="1"/>
      </w:tblPr>
      <w:tblGrid>
        <w:gridCol w:w="6296"/>
        <w:gridCol w:w="1308"/>
        <w:gridCol w:w="1292"/>
      </w:tblGrid>
      <w:tr w:rsidR="001734D0" w:rsidRPr="005976AC" w14:paraId="2F311E18" w14:textId="77777777" w:rsidTr="49BCD735">
        <w:trPr>
          <w:trHeight w:val="300"/>
        </w:trPr>
        <w:tc>
          <w:tcPr>
            <w:tcW w:w="3539" w:type="pct"/>
            <w:tcBorders>
              <w:top w:val="nil"/>
              <w:left w:val="nil"/>
              <w:bottom w:val="nil"/>
              <w:right w:val="nil"/>
            </w:tcBorders>
            <w:noWrap/>
            <w:vAlign w:val="bottom"/>
            <w:hideMark/>
          </w:tcPr>
          <w:p w14:paraId="44B583B2" w14:textId="77777777" w:rsidR="001734D0" w:rsidRPr="005976AC" w:rsidRDefault="001734D0" w:rsidP="001734D0">
            <w:pPr>
              <w:spacing w:after="0" w:line="240" w:lineRule="auto"/>
              <w:rPr>
                <w:rFonts w:eastAsia="Times New Roman" w:cs="Arial"/>
                <w:sz w:val="20"/>
                <w:szCs w:val="20"/>
                <w:lang w:eastAsia="en-AU"/>
              </w:rPr>
            </w:pPr>
          </w:p>
        </w:tc>
        <w:tc>
          <w:tcPr>
            <w:tcW w:w="735" w:type="pct"/>
            <w:tcBorders>
              <w:top w:val="nil"/>
              <w:left w:val="nil"/>
              <w:right w:val="nil"/>
            </w:tcBorders>
          </w:tcPr>
          <w:p w14:paraId="6D37A6C7" w14:textId="310D948E" w:rsidR="001734D0" w:rsidRPr="005976AC" w:rsidRDefault="001734D0" w:rsidP="49BCD735">
            <w:pPr>
              <w:spacing w:after="0" w:line="240" w:lineRule="auto"/>
              <w:jc w:val="center"/>
              <w:rPr>
                <w:rFonts w:eastAsia="Times New Roman" w:cs="Arial"/>
                <w:b/>
                <w:bCs/>
                <w:color w:val="000000"/>
                <w:sz w:val="20"/>
                <w:szCs w:val="20"/>
                <w:lang w:eastAsia="en-AU"/>
              </w:rPr>
            </w:pPr>
          </w:p>
        </w:tc>
        <w:tc>
          <w:tcPr>
            <w:tcW w:w="726" w:type="pct"/>
            <w:tcBorders>
              <w:top w:val="nil"/>
              <w:left w:val="nil"/>
              <w:bottom w:val="nil"/>
              <w:right w:val="nil"/>
            </w:tcBorders>
          </w:tcPr>
          <w:p w14:paraId="0EFF19E2" w14:textId="4A8DE310" w:rsidR="001734D0" w:rsidRDefault="001734D0" w:rsidP="49BCD735">
            <w:pPr>
              <w:spacing w:after="0" w:line="240" w:lineRule="auto"/>
              <w:jc w:val="center"/>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2025</w:t>
            </w:r>
          </w:p>
        </w:tc>
      </w:tr>
      <w:tr w:rsidR="001734D0" w:rsidRPr="005976AC" w14:paraId="1BE611FA" w14:textId="77777777" w:rsidTr="49BCD735">
        <w:trPr>
          <w:trHeight w:val="300"/>
        </w:trPr>
        <w:tc>
          <w:tcPr>
            <w:tcW w:w="3539" w:type="pct"/>
            <w:tcBorders>
              <w:top w:val="nil"/>
              <w:left w:val="nil"/>
              <w:bottom w:val="nil"/>
              <w:right w:val="nil"/>
            </w:tcBorders>
            <w:noWrap/>
            <w:vAlign w:val="bottom"/>
            <w:hideMark/>
          </w:tcPr>
          <w:p w14:paraId="0A5C4CDD" w14:textId="77777777" w:rsidR="001734D0" w:rsidRPr="005976AC" w:rsidRDefault="001734D0" w:rsidP="001734D0">
            <w:pPr>
              <w:spacing w:after="0" w:line="240" w:lineRule="auto"/>
              <w:rPr>
                <w:rFonts w:eastAsia="Times New Roman" w:cs="Arial"/>
                <w:sz w:val="20"/>
                <w:szCs w:val="20"/>
                <w:lang w:eastAsia="en-AU"/>
              </w:rPr>
            </w:pPr>
          </w:p>
        </w:tc>
        <w:tc>
          <w:tcPr>
            <w:tcW w:w="735" w:type="pct"/>
            <w:tcBorders>
              <w:top w:val="nil"/>
              <w:left w:val="nil"/>
              <w:bottom w:val="nil"/>
              <w:right w:val="nil"/>
            </w:tcBorders>
          </w:tcPr>
          <w:p w14:paraId="29617B12" w14:textId="7108DA08" w:rsidR="001734D0" w:rsidRPr="005976AC" w:rsidRDefault="001734D0" w:rsidP="49BCD735">
            <w:pPr>
              <w:spacing w:after="0" w:line="240" w:lineRule="auto"/>
              <w:jc w:val="center"/>
              <w:rPr>
                <w:rFonts w:eastAsia="Times New Roman" w:cs="Arial"/>
                <w:b/>
                <w:bCs/>
                <w:color w:val="000000"/>
                <w:sz w:val="20"/>
                <w:szCs w:val="20"/>
                <w:lang w:eastAsia="en-AU"/>
              </w:rPr>
            </w:pPr>
          </w:p>
        </w:tc>
        <w:tc>
          <w:tcPr>
            <w:tcW w:w="726" w:type="pct"/>
            <w:tcBorders>
              <w:top w:val="nil"/>
              <w:left w:val="nil"/>
              <w:bottom w:val="nil"/>
              <w:right w:val="nil"/>
            </w:tcBorders>
          </w:tcPr>
          <w:p w14:paraId="177EEA52" w14:textId="404CBBAC" w:rsidR="001734D0" w:rsidRPr="005976AC" w:rsidRDefault="001734D0" w:rsidP="49BCD735">
            <w:pPr>
              <w:spacing w:after="0" w:line="240" w:lineRule="auto"/>
              <w:jc w:val="center"/>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$000's</w:t>
            </w:r>
          </w:p>
        </w:tc>
      </w:tr>
      <w:tr w:rsidR="001734D0" w:rsidRPr="005976AC" w14:paraId="7786F0E5" w14:textId="77777777" w:rsidTr="49BCD735">
        <w:trPr>
          <w:trHeight w:val="300"/>
        </w:trPr>
        <w:tc>
          <w:tcPr>
            <w:tcW w:w="3539" w:type="pct"/>
            <w:tcBorders>
              <w:top w:val="nil"/>
              <w:left w:val="nil"/>
              <w:bottom w:val="nil"/>
              <w:right w:val="nil"/>
            </w:tcBorders>
            <w:noWrap/>
            <w:vAlign w:val="bottom"/>
          </w:tcPr>
          <w:p w14:paraId="7FEFF789" w14:textId="77777777" w:rsidR="001734D0" w:rsidRPr="00947D7D" w:rsidRDefault="001734D0" w:rsidP="49BCD735">
            <w:pPr>
              <w:spacing w:after="0" w:line="240" w:lineRule="auto"/>
              <w:rPr>
                <w:rFonts w:eastAsia="Times New Roman" w:cs="Arial"/>
                <w:i/>
                <w:iCs/>
                <w:color w:val="000000"/>
                <w:sz w:val="20"/>
                <w:szCs w:val="20"/>
                <w:lang w:eastAsia="en-AU"/>
              </w:rPr>
            </w:pPr>
          </w:p>
        </w:tc>
        <w:tc>
          <w:tcPr>
            <w:tcW w:w="735" w:type="pct"/>
            <w:tcBorders>
              <w:top w:val="nil"/>
              <w:left w:val="nil"/>
              <w:bottom w:val="nil"/>
              <w:right w:val="nil"/>
            </w:tcBorders>
            <w:vAlign w:val="bottom"/>
          </w:tcPr>
          <w:p w14:paraId="4E6C074C" w14:textId="77777777" w:rsidR="001734D0" w:rsidRPr="005976AC" w:rsidRDefault="001734D0" w:rsidP="001734D0">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vAlign w:val="bottom"/>
          </w:tcPr>
          <w:p w14:paraId="120C2C2C" w14:textId="77777777" w:rsidR="001734D0" w:rsidRPr="005976AC" w:rsidRDefault="001734D0" w:rsidP="001734D0">
            <w:pPr>
              <w:tabs>
                <w:tab w:val="decimal" w:pos="958"/>
              </w:tabs>
              <w:spacing w:after="0" w:line="240" w:lineRule="auto"/>
              <w:rPr>
                <w:rFonts w:eastAsia="Times New Roman" w:cs="Arial"/>
                <w:sz w:val="20"/>
                <w:szCs w:val="20"/>
                <w:lang w:eastAsia="en-AU"/>
              </w:rPr>
            </w:pPr>
          </w:p>
        </w:tc>
      </w:tr>
      <w:tr w:rsidR="001734D0" w:rsidRPr="005976AC" w14:paraId="3178F0C7" w14:textId="77777777" w:rsidTr="49BCD735">
        <w:trPr>
          <w:trHeight w:val="300"/>
        </w:trPr>
        <w:tc>
          <w:tcPr>
            <w:tcW w:w="3539" w:type="pct"/>
            <w:tcBorders>
              <w:top w:val="nil"/>
              <w:left w:val="nil"/>
              <w:bottom w:val="nil"/>
              <w:right w:val="nil"/>
            </w:tcBorders>
            <w:noWrap/>
            <w:vAlign w:val="bottom"/>
          </w:tcPr>
          <w:p w14:paraId="0ED47436" w14:textId="38E349C4" w:rsidR="001734D0" w:rsidRPr="0010235E" w:rsidRDefault="001734D0" w:rsidP="49BCD735">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ICT business as usual expenditure</w:t>
            </w:r>
          </w:p>
        </w:tc>
        <w:tc>
          <w:tcPr>
            <w:tcW w:w="735" w:type="pct"/>
            <w:tcBorders>
              <w:top w:val="nil"/>
              <w:left w:val="nil"/>
              <w:bottom w:val="nil"/>
              <w:right w:val="nil"/>
            </w:tcBorders>
            <w:vAlign w:val="bottom"/>
          </w:tcPr>
          <w:p w14:paraId="082842BC" w14:textId="7AB64939" w:rsidR="001734D0" w:rsidRPr="005976AC" w:rsidRDefault="001734D0" w:rsidP="001734D0">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vAlign w:val="bottom"/>
          </w:tcPr>
          <w:p w14:paraId="03D8EC73" w14:textId="5AC88DAC" w:rsidR="001734D0" w:rsidRDefault="001734D0" w:rsidP="001734D0">
            <w:pPr>
              <w:tabs>
                <w:tab w:val="decimal" w:pos="958"/>
              </w:tabs>
              <w:spacing w:after="0" w:line="240" w:lineRule="auto"/>
              <w:rPr>
                <w:rFonts w:eastAsia="Times New Roman" w:cs="Arial"/>
                <w:sz w:val="20"/>
                <w:szCs w:val="20"/>
                <w:lang w:eastAsia="en-AU"/>
              </w:rPr>
            </w:pPr>
            <w:r w:rsidRPr="49BCD735">
              <w:rPr>
                <w:rFonts w:eastAsia="Times New Roman" w:cs="Arial"/>
                <w:sz w:val="20"/>
                <w:szCs w:val="20"/>
                <w:lang w:eastAsia="en-AU"/>
              </w:rPr>
              <w:t>1,989</w:t>
            </w:r>
          </w:p>
        </w:tc>
      </w:tr>
      <w:tr w:rsidR="001734D0" w:rsidRPr="005976AC" w14:paraId="3B70FCA3" w14:textId="77777777" w:rsidTr="49BCD735">
        <w:trPr>
          <w:trHeight w:val="300"/>
        </w:trPr>
        <w:tc>
          <w:tcPr>
            <w:tcW w:w="3539" w:type="pct"/>
            <w:tcBorders>
              <w:top w:val="nil"/>
              <w:left w:val="nil"/>
              <w:bottom w:val="nil"/>
              <w:right w:val="nil"/>
            </w:tcBorders>
            <w:noWrap/>
            <w:vAlign w:val="bottom"/>
            <w:hideMark/>
          </w:tcPr>
          <w:p w14:paraId="644C5605" w14:textId="436BA5AB" w:rsidR="001734D0" w:rsidRPr="0010235E" w:rsidRDefault="001734D0" w:rsidP="49BCD735">
            <w:pPr>
              <w:spacing w:after="0" w:line="240" w:lineRule="auto"/>
              <w:rPr>
                <w:rFonts w:eastAsia="Times New Roman" w:cs="Arial"/>
                <w:i/>
                <w:iCs/>
                <w:sz w:val="20"/>
                <w:szCs w:val="20"/>
                <w:lang w:eastAsia="en-AU"/>
              </w:rPr>
            </w:pPr>
            <w:r w:rsidRPr="49BCD735">
              <w:rPr>
                <w:rFonts w:eastAsia="Times New Roman" w:cs="Arial"/>
                <w:i/>
                <w:iCs/>
                <w:color w:val="000000" w:themeColor="text1"/>
                <w:sz w:val="20"/>
                <w:szCs w:val="20"/>
                <w:lang w:eastAsia="en-AU"/>
              </w:rPr>
              <w:t xml:space="preserve">Non-business as usual </w:t>
            </w:r>
          </w:p>
        </w:tc>
        <w:tc>
          <w:tcPr>
            <w:tcW w:w="735" w:type="pct"/>
            <w:tcBorders>
              <w:top w:val="nil"/>
              <w:left w:val="nil"/>
              <w:bottom w:val="nil"/>
              <w:right w:val="nil"/>
            </w:tcBorders>
            <w:vAlign w:val="bottom"/>
          </w:tcPr>
          <w:p w14:paraId="4C8AAEEB" w14:textId="77777777" w:rsidR="001734D0" w:rsidRPr="005976AC" w:rsidRDefault="001734D0" w:rsidP="001734D0">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vAlign w:val="bottom"/>
          </w:tcPr>
          <w:p w14:paraId="1F3D97C8" w14:textId="77777777" w:rsidR="001734D0" w:rsidRPr="005976AC" w:rsidRDefault="001734D0" w:rsidP="001734D0">
            <w:pPr>
              <w:tabs>
                <w:tab w:val="decimal" w:pos="958"/>
              </w:tabs>
              <w:spacing w:after="0" w:line="240" w:lineRule="auto"/>
              <w:rPr>
                <w:rFonts w:eastAsia="Times New Roman" w:cs="Arial"/>
                <w:sz w:val="20"/>
                <w:szCs w:val="20"/>
                <w:lang w:eastAsia="en-AU"/>
              </w:rPr>
            </w:pPr>
          </w:p>
        </w:tc>
      </w:tr>
      <w:tr w:rsidR="001734D0" w:rsidRPr="005976AC" w14:paraId="14663D91" w14:textId="77777777" w:rsidTr="49BCD735">
        <w:trPr>
          <w:trHeight w:val="300"/>
        </w:trPr>
        <w:tc>
          <w:tcPr>
            <w:tcW w:w="3539" w:type="pct"/>
            <w:tcBorders>
              <w:top w:val="nil"/>
              <w:left w:val="nil"/>
              <w:bottom w:val="nil"/>
              <w:right w:val="nil"/>
            </w:tcBorders>
            <w:noWrap/>
            <w:vAlign w:val="bottom"/>
          </w:tcPr>
          <w:p w14:paraId="34673E93" w14:textId="420B3013" w:rsidR="001734D0" w:rsidRPr="005976AC" w:rsidRDefault="001734D0" w:rsidP="001734D0">
            <w:pPr>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Operational expenditure</w:t>
            </w:r>
          </w:p>
        </w:tc>
        <w:tc>
          <w:tcPr>
            <w:tcW w:w="735" w:type="pct"/>
            <w:tcBorders>
              <w:top w:val="nil"/>
              <w:left w:val="nil"/>
              <w:bottom w:val="nil"/>
              <w:right w:val="nil"/>
            </w:tcBorders>
            <w:vAlign w:val="bottom"/>
          </w:tcPr>
          <w:p w14:paraId="03EF7C9A" w14:textId="3E23FFBA" w:rsidR="001734D0" w:rsidRPr="005976AC" w:rsidRDefault="001734D0" w:rsidP="001734D0">
            <w:pPr>
              <w:tabs>
                <w:tab w:val="decimal" w:pos="958"/>
              </w:tabs>
              <w:spacing w:after="0" w:line="240" w:lineRule="auto"/>
              <w:rPr>
                <w:rFonts w:eastAsia="Times New Roman" w:cs="Arial"/>
                <w:color w:val="000000"/>
                <w:sz w:val="20"/>
                <w:szCs w:val="20"/>
                <w:lang w:eastAsia="en-AU"/>
              </w:rPr>
            </w:pPr>
          </w:p>
        </w:tc>
        <w:tc>
          <w:tcPr>
            <w:tcW w:w="726" w:type="pct"/>
            <w:tcBorders>
              <w:top w:val="nil"/>
              <w:left w:val="nil"/>
              <w:bottom w:val="nil"/>
              <w:right w:val="nil"/>
            </w:tcBorders>
            <w:vAlign w:val="bottom"/>
          </w:tcPr>
          <w:p w14:paraId="1220C7F1" w14:textId="283E2E34" w:rsidR="001734D0" w:rsidRDefault="001734D0" w:rsidP="001734D0">
            <w:pPr>
              <w:tabs>
                <w:tab w:val="decimal" w:pos="958"/>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6,</w:t>
            </w:r>
            <w:r w:rsidR="00DD0492" w:rsidRPr="49BCD735">
              <w:rPr>
                <w:rFonts w:eastAsia="Times New Roman" w:cs="Arial"/>
                <w:color w:val="000000" w:themeColor="text1"/>
                <w:sz w:val="20"/>
                <w:szCs w:val="20"/>
                <w:lang w:eastAsia="en-AU"/>
              </w:rPr>
              <w:t>9</w:t>
            </w:r>
            <w:r w:rsidR="00DD0492">
              <w:rPr>
                <w:rFonts w:eastAsia="Times New Roman" w:cs="Arial"/>
                <w:color w:val="000000" w:themeColor="text1"/>
                <w:sz w:val="20"/>
                <w:szCs w:val="20"/>
                <w:lang w:eastAsia="en-AU"/>
              </w:rPr>
              <w:t>6</w:t>
            </w:r>
            <w:r w:rsidR="00DD0492" w:rsidRPr="49BCD735">
              <w:rPr>
                <w:rFonts w:eastAsia="Times New Roman" w:cs="Arial"/>
                <w:color w:val="000000" w:themeColor="text1"/>
                <w:sz w:val="20"/>
                <w:szCs w:val="20"/>
                <w:lang w:eastAsia="en-AU"/>
              </w:rPr>
              <w:t>3</w:t>
            </w:r>
          </w:p>
        </w:tc>
      </w:tr>
      <w:tr w:rsidR="001734D0" w:rsidRPr="005976AC" w14:paraId="5488EF7D" w14:textId="77777777" w:rsidTr="49BCD735">
        <w:trPr>
          <w:trHeight w:val="300"/>
        </w:trPr>
        <w:tc>
          <w:tcPr>
            <w:tcW w:w="3539" w:type="pct"/>
            <w:tcBorders>
              <w:top w:val="nil"/>
              <w:left w:val="nil"/>
              <w:bottom w:val="nil"/>
              <w:right w:val="nil"/>
            </w:tcBorders>
            <w:noWrap/>
            <w:vAlign w:val="bottom"/>
            <w:hideMark/>
          </w:tcPr>
          <w:p w14:paraId="3154A012" w14:textId="0EF0EB35" w:rsidR="001734D0" w:rsidRPr="005976AC" w:rsidRDefault="001734D0" w:rsidP="001734D0">
            <w:pPr>
              <w:spacing w:after="0" w:line="240" w:lineRule="auto"/>
              <w:rPr>
                <w:rFonts w:eastAsia="Times New Roman" w:cs="Arial"/>
                <w:sz w:val="20"/>
                <w:szCs w:val="20"/>
                <w:lang w:eastAsia="en-AU"/>
              </w:rPr>
            </w:pPr>
            <w:r w:rsidRPr="49BCD735">
              <w:rPr>
                <w:rFonts w:eastAsia="Times New Roman" w:cs="Arial"/>
                <w:color w:val="000000" w:themeColor="text1"/>
                <w:sz w:val="20"/>
                <w:szCs w:val="20"/>
                <w:lang w:eastAsia="en-AU"/>
              </w:rPr>
              <w:t>Capital expenditure</w:t>
            </w:r>
          </w:p>
        </w:tc>
        <w:tc>
          <w:tcPr>
            <w:tcW w:w="735" w:type="pct"/>
            <w:tcBorders>
              <w:top w:val="nil"/>
              <w:left w:val="nil"/>
              <w:bottom w:val="nil"/>
              <w:right w:val="nil"/>
            </w:tcBorders>
            <w:vAlign w:val="bottom"/>
          </w:tcPr>
          <w:p w14:paraId="0C01611E" w14:textId="06164B54" w:rsidR="001734D0" w:rsidRPr="005976AC" w:rsidRDefault="001734D0" w:rsidP="001734D0">
            <w:pPr>
              <w:tabs>
                <w:tab w:val="decimal" w:pos="958"/>
              </w:tabs>
              <w:spacing w:after="0" w:line="240" w:lineRule="auto"/>
              <w:rPr>
                <w:rFonts w:eastAsia="Times New Roman" w:cs="Arial"/>
                <w:color w:val="000000"/>
                <w:sz w:val="20"/>
                <w:szCs w:val="20"/>
                <w:lang w:eastAsia="en-AU"/>
              </w:rPr>
            </w:pPr>
          </w:p>
        </w:tc>
        <w:tc>
          <w:tcPr>
            <w:tcW w:w="726" w:type="pct"/>
            <w:tcBorders>
              <w:top w:val="nil"/>
              <w:left w:val="nil"/>
              <w:bottom w:val="nil"/>
              <w:right w:val="nil"/>
            </w:tcBorders>
            <w:vAlign w:val="bottom"/>
          </w:tcPr>
          <w:p w14:paraId="117D3940" w14:textId="42FD4273" w:rsidR="001734D0" w:rsidRDefault="001734D0" w:rsidP="001734D0">
            <w:pPr>
              <w:tabs>
                <w:tab w:val="decimal" w:pos="958"/>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p>
        </w:tc>
      </w:tr>
      <w:tr w:rsidR="001734D0" w:rsidRPr="005976AC" w14:paraId="1B01B120" w14:textId="77777777" w:rsidTr="49BCD735">
        <w:trPr>
          <w:trHeight w:val="300"/>
        </w:trPr>
        <w:tc>
          <w:tcPr>
            <w:tcW w:w="3539" w:type="pct"/>
            <w:tcBorders>
              <w:top w:val="nil"/>
              <w:left w:val="nil"/>
              <w:bottom w:val="nil"/>
              <w:right w:val="nil"/>
            </w:tcBorders>
            <w:noWrap/>
            <w:vAlign w:val="bottom"/>
            <w:hideMark/>
          </w:tcPr>
          <w:p w14:paraId="65DABDDE" w14:textId="5BE387C5" w:rsidR="001734D0" w:rsidRPr="005976AC" w:rsidRDefault="001734D0" w:rsidP="001734D0">
            <w:pPr>
              <w:spacing w:after="0" w:line="240" w:lineRule="auto"/>
              <w:ind w:left="720" w:hanging="720"/>
              <w:rPr>
                <w:rFonts w:eastAsia="Times New Roman" w:cs="Arial"/>
                <w:sz w:val="20"/>
                <w:szCs w:val="20"/>
                <w:lang w:eastAsia="en-AU"/>
              </w:rPr>
            </w:pPr>
            <w:r w:rsidRPr="49BCD735">
              <w:rPr>
                <w:rFonts w:eastAsia="Times New Roman" w:cs="Arial"/>
                <w:b/>
                <w:bCs/>
                <w:color w:val="000000" w:themeColor="text1"/>
                <w:sz w:val="20"/>
                <w:szCs w:val="20"/>
                <w:lang w:eastAsia="en-AU"/>
              </w:rPr>
              <w:t>Total ICT</w:t>
            </w:r>
          </w:p>
        </w:tc>
        <w:tc>
          <w:tcPr>
            <w:tcW w:w="735" w:type="pct"/>
            <w:tcBorders>
              <w:left w:val="nil"/>
              <w:right w:val="nil"/>
            </w:tcBorders>
          </w:tcPr>
          <w:p w14:paraId="3C7C9ECC" w14:textId="2054974E" w:rsidR="001734D0" w:rsidRPr="005976AC" w:rsidRDefault="001734D0" w:rsidP="001734D0">
            <w:pPr>
              <w:tabs>
                <w:tab w:val="decimal" w:pos="958"/>
              </w:tabs>
              <w:spacing w:after="0" w:line="240" w:lineRule="auto"/>
              <w:rPr>
                <w:rFonts w:eastAsia="Times New Roman" w:cs="Arial"/>
                <w:b/>
                <w:bCs/>
                <w:color w:val="000000"/>
                <w:sz w:val="20"/>
                <w:szCs w:val="20"/>
                <w:lang w:eastAsia="en-AU"/>
              </w:rPr>
            </w:pPr>
          </w:p>
        </w:tc>
        <w:tc>
          <w:tcPr>
            <w:tcW w:w="726" w:type="pct"/>
            <w:tcBorders>
              <w:top w:val="single" w:sz="4" w:space="0" w:color="auto"/>
              <w:left w:val="nil"/>
              <w:bottom w:val="single" w:sz="4" w:space="0" w:color="auto"/>
              <w:right w:val="nil"/>
            </w:tcBorders>
          </w:tcPr>
          <w:p w14:paraId="61F301DF" w14:textId="08EAFBC4" w:rsidR="001734D0" w:rsidRPr="005976AC" w:rsidRDefault="001734D0" w:rsidP="001734D0">
            <w:pPr>
              <w:tabs>
                <w:tab w:val="decimal" w:pos="958"/>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8,952</w:t>
            </w:r>
          </w:p>
        </w:tc>
      </w:tr>
    </w:tbl>
    <w:p w14:paraId="61EE2E77" w14:textId="319694A9" w:rsidR="00687E4F" w:rsidRPr="005944F3" w:rsidRDefault="00687E4F" w:rsidP="49BCD735">
      <w:pPr>
        <w:pStyle w:val="Heading2"/>
        <w:rPr>
          <w:rFonts w:cs="Arial"/>
        </w:rPr>
      </w:pPr>
      <w:bookmarkStart w:id="449" w:name="_Toc203487550"/>
      <w:bookmarkStart w:id="450" w:name="_Toc203656240"/>
      <w:bookmarkStart w:id="451" w:name="_Toc154494853"/>
      <w:bookmarkStart w:id="452" w:name="_Ref207013251"/>
      <w:r w:rsidRPr="0010235E">
        <w:rPr>
          <w:sz w:val="28"/>
          <w:szCs w:val="28"/>
        </w:rPr>
        <w:t>Procurement complaints</w:t>
      </w:r>
      <w:bookmarkEnd w:id="449"/>
      <w:bookmarkEnd w:id="450"/>
      <w:bookmarkEnd w:id="451"/>
      <w:bookmarkEnd w:id="452"/>
    </w:p>
    <w:p w14:paraId="097980A6" w14:textId="0E0D638A" w:rsidR="00687E4F" w:rsidRPr="00F65403" w:rsidRDefault="00687E4F" w:rsidP="00B96E2A">
      <w:pPr>
        <w:tabs>
          <w:tab w:val="left" w:pos="993"/>
        </w:tabs>
        <w:rPr>
          <w:rFonts w:cs="Arial"/>
        </w:rPr>
      </w:pPr>
      <w:r w:rsidRPr="00B96E2A">
        <w:rPr>
          <w:rFonts w:cs="Arial"/>
        </w:rPr>
        <w:t>There have been no complaints received in relation to the procurement of goods and services during the period</w:t>
      </w:r>
      <w:r w:rsidR="00F64DAF">
        <w:rPr>
          <w:rFonts w:cs="Arial"/>
        </w:rPr>
        <w:t xml:space="preserve"> (2024: nil)</w:t>
      </w:r>
      <w:r w:rsidRPr="00B96E2A">
        <w:rPr>
          <w:rFonts w:cs="Arial"/>
        </w:rPr>
        <w:t>.</w:t>
      </w:r>
    </w:p>
    <w:p w14:paraId="2D6969C6" w14:textId="2090744F" w:rsidR="00687E4F" w:rsidRPr="0010235E" w:rsidRDefault="00687E4F" w:rsidP="00AC4779">
      <w:pPr>
        <w:pStyle w:val="Heading2"/>
        <w:rPr>
          <w:sz w:val="28"/>
          <w:szCs w:val="28"/>
        </w:rPr>
      </w:pPr>
      <w:bookmarkStart w:id="453" w:name="_Toc203487551"/>
      <w:bookmarkStart w:id="454" w:name="_Toc203656241"/>
      <w:bookmarkStart w:id="455" w:name="_Toc63848322"/>
      <w:bookmarkStart w:id="456" w:name="_Ref207013247"/>
      <w:r w:rsidRPr="0010235E">
        <w:rPr>
          <w:sz w:val="28"/>
          <w:szCs w:val="28"/>
        </w:rPr>
        <w:t>Emergency procurement</w:t>
      </w:r>
      <w:bookmarkEnd w:id="453"/>
      <w:bookmarkEnd w:id="454"/>
      <w:bookmarkEnd w:id="455"/>
      <w:bookmarkEnd w:id="456"/>
    </w:p>
    <w:p w14:paraId="4F1A46EE" w14:textId="0C98A43F" w:rsidR="00554650" w:rsidRPr="00F65403" w:rsidRDefault="00687E4F" w:rsidP="49BCD735">
      <w:pPr>
        <w:tabs>
          <w:tab w:val="left" w:pos="993"/>
        </w:tabs>
        <w:rPr>
          <w:rFonts w:eastAsiaTheme="majorEastAsia" w:cstheme="majorBidi"/>
          <w:sz w:val="32"/>
          <w:szCs w:val="32"/>
        </w:rPr>
      </w:pPr>
      <w:r w:rsidRPr="49BCD735">
        <w:rPr>
          <w:rFonts w:cs="Arial"/>
        </w:rPr>
        <w:t>There have been no instances of emergency procurement during the period</w:t>
      </w:r>
      <w:r w:rsidR="00F64DAF" w:rsidRPr="49BCD735">
        <w:rPr>
          <w:rFonts w:cs="Arial"/>
        </w:rPr>
        <w:t xml:space="preserve"> (2024: nil)</w:t>
      </w:r>
      <w:r w:rsidRPr="49BCD735">
        <w:rPr>
          <w:rFonts w:cs="Arial"/>
        </w:rPr>
        <w:t>.</w:t>
      </w:r>
      <w:bookmarkStart w:id="457" w:name="_Toc203487552"/>
    </w:p>
    <w:p w14:paraId="2033EC3E" w14:textId="77777777" w:rsidR="00687E4F" w:rsidRPr="0010235E" w:rsidRDefault="00687E4F" w:rsidP="00AC4779">
      <w:pPr>
        <w:pStyle w:val="Heading2"/>
        <w:rPr>
          <w:sz w:val="28"/>
          <w:szCs w:val="28"/>
        </w:rPr>
      </w:pPr>
      <w:bookmarkStart w:id="458" w:name="_Toc203656242"/>
      <w:bookmarkStart w:id="459" w:name="_Toc2081220062"/>
      <w:bookmarkStart w:id="460" w:name="_Ref207013210"/>
      <w:r w:rsidRPr="0010235E">
        <w:rPr>
          <w:sz w:val="28"/>
          <w:szCs w:val="28"/>
        </w:rPr>
        <w:t>Compliance with the National Competition Policy and the Competitive Neutrality Policy</w:t>
      </w:r>
      <w:bookmarkEnd w:id="457"/>
      <w:bookmarkEnd w:id="458"/>
      <w:bookmarkEnd w:id="459"/>
      <w:bookmarkEnd w:id="460"/>
    </w:p>
    <w:p w14:paraId="02FABFD9" w14:textId="19969086" w:rsidR="00687E4F" w:rsidRPr="00F65403" w:rsidRDefault="00687E4F" w:rsidP="00B96E2A">
      <w:pPr>
        <w:tabs>
          <w:tab w:val="left" w:pos="993"/>
        </w:tabs>
        <w:rPr>
          <w:rFonts w:cs="Arial"/>
        </w:rPr>
      </w:pPr>
      <w:r w:rsidRPr="00B96E2A">
        <w:rPr>
          <w:rFonts w:cs="Arial"/>
        </w:rPr>
        <w:t xml:space="preserve">SEC Victoria operates in accordance with the requirements of the National Competition Policy and the </w:t>
      </w:r>
      <w:r w:rsidR="65898D7A" w:rsidRPr="51A5C274">
        <w:rPr>
          <w:rFonts w:cs="Arial"/>
        </w:rPr>
        <w:t xml:space="preserve">Victorian Government’s </w:t>
      </w:r>
      <w:r w:rsidRPr="00B96E2A">
        <w:rPr>
          <w:rFonts w:cs="Arial"/>
        </w:rPr>
        <w:t>Competitive Neutrality Policy .</w:t>
      </w:r>
    </w:p>
    <w:p w14:paraId="689E9995" w14:textId="20CD5E02" w:rsidR="00687E4F" w:rsidRPr="00F65403" w:rsidRDefault="00687E4F" w:rsidP="00B96E2A">
      <w:pPr>
        <w:tabs>
          <w:tab w:val="left" w:pos="993"/>
        </w:tabs>
        <w:rPr>
          <w:rFonts w:cs="Arial"/>
        </w:rPr>
      </w:pPr>
      <w:r w:rsidRPr="00B96E2A">
        <w:rPr>
          <w:rFonts w:cs="Arial"/>
        </w:rPr>
        <w:t xml:space="preserve">Competitive neutrality generally requires that government owned businesses competing, or potentially competing, with the private sector, do not enjoy any net competitive advantage </w:t>
      </w:r>
      <w:r w:rsidR="003678A8" w:rsidRPr="08BB6BF9">
        <w:rPr>
          <w:rFonts w:cs="Arial"/>
        </w:rPr>
        <w:t>by</w:t>
      </w:r>
      <w:r w:rsidR="003678A8">
        <w:rPr>
          <w:rFonts w:cs="Arial"/>
        </w:rPr>
        <w:t xml:space="preserve"> virtue of</w:t>
      </w:r>
      <w:r w:rsidRPr="00B96E2A">
        <w:rPr>
          <w:rFonts w:cs="Arial"/>
        </w:rPr>
        <w:t xml:space="preserve"> their government ownership. In certain instances, Victoria’s Competitive Neutrality Policy can require the application of measures to achieve competitive neutrality.</w:t>
      </w:r>
    </w:p>
    <w:p w14:paraId="15A3646C" w14:textId="77777777" w:rsidR="00687E4F" w:rsidRPr="0010235E" w:rsidRDefault="00687E4F" w:rsidP="00AC4779">
      <w:pPr>
        <w:pStyle w:val="Heading2"/>
        <w:rPr>
          <w:sz w:val="28"/>
          <w:szCs w:val="28"/>
        </w:rPr>
      </w:pPr>
      <w:bookmarkStart w:id="461" w:name="_Toc203487553"/>
      <w:bookmarkStart w:id="462" w:name="_Toc203656243"/>
      <w:bookmarkStart w:id="463" w:name="_Toc608034431"/>
      <w:bookmarkStart w:id="464" w:name="_Ref207013195"/>
      <w:r w:rsidRPr="0010235E">
        <w:rPr>
          <w:sz w:val="28"/>
          <w:szCs w:val="28"/>
        </w:rPr>
        <w:t>Freedom of Information</w:t>
      </w:r>
      <w:bookmarkEnd w:id="461"/>
      <w:bookmarkEnd w:id="462"/>
      <w:bookmarkEnd w:id="463"/>
      <w:bookmarkEnd w:id="464"/>
    </w:p>
    <w:p w14:paraId="38503FC7" w14:textId="090F5D95" w:rsidR="00687E4F" w:rsidRPr="00B96E2A" w:rsidRDefault="00687E4F" w:rsidP="00B96E2A">
      <w:pPr>
        <w:tabs>
          <w:tab w:val="left" w:pos="993"/>
        </w:tabs>
        <w:rPr>
          <w:rFonts w:cs="Arial"/>
        </w:rPr>
      </w:pPr>
      <w:r w:rsidRPr="00B96E2A">
        <w:rPr>
          <w:rFonts w:cs="Arial"/>
        </w:rPr>
        <w:t xml:space="preserve">The </w:t>
      </w:r>
      <w:r w:rsidRPr="005944F3">
        <w:rPr>
          <w:rFonts w:cs="Arial"/>
          <w:i/>
        </w:rPr>
        <w:t>Freedom of Information Act 1982</w:t>
      </w:r>
      <w:r w:rsidRPr="00B96E2A">
        <w:rPr>
          <w:rFonts w:cs="Arial"/>
        </w:rPr>
        <w:t xml:space="preserve"> is not applicable to SEC Victoria, and there are no reporting requirements associated with this Act.</w:t>
      </w:r>
    </w:p>
    <w:p w14:paraId="4445EC8B" w14:textId="02C13FF1" w:rsidR="00687E4F" w:rsidRPr="0010235E" w:rsidRDefault="00687E4F" w:rsidP="49BCD735">
      <w:pPr>
        <w:pStyle w:val="Heading2"/>
        <w:rPr>
          <w:i/>
          <w:iCs/>
          <w:sz w:val="28"/>
          <w:szCs w:val="28"/>
        </w:rPr>
      </w:pPr>
      <w:bookmarkStart w:id="465" w:name="_Toc203487554"/>
      <w:bookmarkStart w:id="466" w:name="_Toc203656244"/>
      <w:bookmarkStart w:id="467" w:name="_Toc1084789720"/>
      <w:bookmarkStart w:id="468" w:name="_Ref207013217"/>
      <w:r w:rsidRPr="0010235E">
        <w:rPr>
          <w:sz w:val="28"/>
          <w:szCs w:val="28"/>
        </w:rPr>
        <w:t xml:space="preserve">Compliance with the </w:t>
      </w:r>
      <w:r w:rsidRPr="0010235E">
        <w:rPr>
          <w:i/>
          <w:iCs/>
          <w:sz w:val="28"/>
          <w:szCs w:val="28"/>
        </w:rPr>
        <w:t>Public Interest Disclosure Act 2012</w:t>
      </w:r>
      <w:bookmarkEnd w:id="465"/>
      <w:bookmarkEnd w:id="466"/>
      <w:bookmarkEnd w:id="467"/>
      <w:bookmarkEnd w:id="468"/>
    </w:p>
    <w:p w14:paraId="6F632A8E" w14:textId="4BC60FD6" w:rsidR="005944F3" w:rsidRDefault="00687E4F" w:rsidP="00B96E2A">
      <w:pPr>
        <w:tabs>
          <w:tab w:val="left" w:pos="993"/>
        </w:tabs>
        <w:rPr>
          <w:rFonts w:cs="Arial"/>
        </w:rPr>
      </w:pPr>
      <w:r w:rsidRPr="00B96E2A">
        <w:rPr>
          <w:rFonts w:cs="Arial"/>
        </w:rPr>
        <w:t xml:space="preserve">SEC Victoria does not tolerate improper conduct by employees, nor taking of detrimental action against those who come forward to disclose such conduct. </w:t>
      </w:r>
    </w:p>
    <w:p w14:paraId="499065D7" w14:textId="39A81B53" w:rsidR="00687E4F" w:rsidRPr="00F65403" w:rsidRDefault="00687E4F" w:rsidP="00B96E2A">
      <w:pPr>
        <w:tabs>
          <w:tab w:val="left" w:pos="993"/>
        </w:tabs>
        <w:rPr>
          <w:rFonts w:cs="Arial"/>
        </w:rPr>
      </w:pPr>
      <w:r w:rsidRPr="00B96E2A">
        <w:rPr>
          <w:rFonts w:cs="Arial"/>
        </w:rPr>
        <w:t>SEC Victoria’s Public Interest Disclosure Policy outlines our commitment to ensuring transparency and accountability in our administrative and management practices and supports the making of disclosures that reveal corrupt conduct, conduct involving a substantial mismanagement of public resources, or conduct involving a substantial risk to the public health and safety or the environment.</w:t>
      </w:r>
    </w:p>
    <w:p w14:paraId="6262B6F5" w14:textId="77777777" w:rsidR="00687E4F" w:rsidRPr="0010235E" w:rsidRDefault="00687E4F" w:rsidP="00AC4779">
      <w:pPr>
        <w:pStyle w:val="Heading2"/>
        <w:rPr>
          <w:sz w:val="28"/>
          <w:szCs w:val="28"/>
        </w:rPr>
      </w:pPr>
      <w:bookmarkStart w:id="469" w:name="_Toc203487555"/>
      <w:bookmarkStart w:id="470" w:name="_Toc203656245"/>
      <w:bookmarkStart w:id="471" w:name="_Toc1705330963"/>
      <w:r w:rsidRPr="0010235E">
        <w:rPr>
          <w:sz w:val="28"/>
          <w:szCs w:val="28"/>
        </w:rPr>
        <w:t>Reporting procedures</w:t>
      </w:r>
      <w:bookmarkEnd w:id="469"/>
      <w:bookmarkEnd w:id="470"/>
      <w:bookmarkEnd w:id="471"/>
    </w:p>
    <w:p w14:paraId="0011B31E" w14:textId="0F740130" w:rsidR="00687E4F" w:rsidRPr="00B96E2A" w:rsidRDefault="00687E4F" w:rsidP="00B96E2A">
      <w:pPr>
        <w:tabs>
          <w:tab w:val="left" w:pos="993"/>
        </w:tabs>
        <w:rPr>
          <w:rFonts w:cs="Arial"/>
        </w:rPr>
      </w:pPr>
      <w:r w:rsidRPr="00B96E2A">
        <w:rPr>
          <w:rFonts w:cs="Arial"/>
        </w:rPr>
        <w:t>Disclosures of improper conduct or detrimental action by SEC Victoria or any of its employees and/or officers may be made directly to:</w:t>
      </w:r>
    </w:p>
    <w:p w14:paraId="2AA1E03D" w14:textId="449A4F27" w:rsidR="00687E4F" w:rsidRPr="00F65403" w:rsidRDefault="00687E4F" w:rsidP="00B96E2A">
      <w:pPr>
        <w:tabs>
          <w:tab w:val="left" w:pos="993"/>
        </w:tabs>
        <w:rPr>
          <w:rFonts w:cs="Arial"/>
        </w:rPr>
      </w:pPr>
      <w:r w:rsidRPr="00B96E2A">
        <w:rPr>
          <w:rFonts w:cs="Arial"/>
        </w:rPr>
        <w:t>The Independent Broad-based Anti-</w:t>
      </w:r>
      <w:r w:rsidR="00011A77" w:rsidRPr="00B96E2A">
        <w:rPr>
          <w:rFonts w:cs="Arial"/>
        </w:rPr>
        <w:t>c</w:t>
      </w:r>
      <w:r w:rsidRPr="00B96E2A">
        <w:rPr>
          <w:rFonts w:cs="Arial"/>
        </w:rPr>
        <w:t xml:space="preserve">orruption </w:t>
      </w:r>
      <w:r w:rsidR="00011A77" w:rsidRPr="00B96E2A">
        <w:rPr>
          <w:rFonts w:cs="Arial"/>
        </w:rPr>
        <w:t>C</w:t>
      </w:r>
      <w:r w:rsidRPr="00B96E2A">
        <w:rPr>
          <w:rFonts w:cs="Arial"/>
        </w:rPr>
        <w:t xml:space="preserve">ommission </w:t>
      </w:r>
      <w:r w:rsidR="005944F3">
        <w:rPr>
          <w:rFonts w:cs="Arial"/>
        </w:rPr>
        <w:br/>
      </w:r>
      <w:r w:rsidRPr="00B96E2A">
        <w:rPr>
          <w:rFonts w:cs="Arial"/>
        </w:rPr>
        <w:t>Phone: 1300 735 135</w:t>
      </w:r>
      <w:r w:rsidR="005944F3">
        <w:rPr>
          <w:rFonts w:cs="Arial"/>
        </w:rPr>
        <w:br/>
      </w:r>
      <w:r w:rsidRPr="00F96FA2">
        <w:rPr>
          <w:rFonts w:cs="Arial"/>
        </w:rPr>
        <w:t>Email:</w:t>
      </w:r>
      <w:r w:rsidRPr="00B94E93">
        <w:rPr>
          <w:rFonts w:cs="Arial"/>
        </w:rPr>
        <w:t xml:space="preserve"> </w:t>
      </w:r>
      <w:hyperlink r:id="rId15">
        <w:r w:rsidRPr="00B94E93">
          <w:rPr>
            <w:rFonts w:cs="Arial"/>
          </w:rPr>
          <w:t>info@ibac.vic.gov.au</w:t>
        </w:r>
      </w:hyperlink>
    </w:p>
    <w:p w14:paraId="404F673A" w14:textId="59352C68" w:rsidR="008E6382" w:rsidRPr="0010235E" w:rsidRDefault="008E6382" w:rsidP="00AC4779">
      <w:pPr>
        <w:pStyle w:val="Heading2"/>
        <w:rPr>
          <w:sz w:val="28"/>
          <w:szCs w:val="28"/>
        </w:rPr>
      </w:pPr>
      <w:bookmarkStart w:id="472" w:name="_Toc203487556"/>
      <w:bookmarkStart w:id="473" w:name="_Toc203656246"/>
      <w:bookmarkStart w:id="474" w:name="_Toc324024279"/>
      <w:bookmarkStart w:id="475" w:name="_Ref207013259"/>
      <w:r w:rsidRPr="0010235E">
        <w:rPr>
          <w:sz w:val="28"/>
          <w:szCs w:val="28"/>
        </w:rPr>
        <w:t>Environmental Reporting</w:t>
      </w:r>
      <w:bookmarkEnd w:id="472"/>
      <w:bookmarkEnd w:id="473"/>
      <w:bookmarkEnd w:id="474"/>
      <w:bookmarkEnd w:id="475"/>
    </w:p>
    <w:p w14:paraId="413804AC" w14:textId="4C92335B" w:rsidR="008E6382" w:rsidRPr="00F65403" w:rsidRDefault="008E6382" w:rsidP="00B96E2A">
      <w:pPr>
        <w:tabs>
          <w:tab w:val="left" w:pos="993"/>
        </w:tabs>
        <w:rPr>
          <w:rFonts w:cs="Arial"/>
        </w:rPr>
      </w:pPr>
      <w:r w:rsidRPr="00B96E2A">
        <w:rPr>
          <w:rFonts w:cs="Arial"/>
        </w:rPr>
        <w:t>SEC Victoria’s accommodation was paid for by the implementation office set up under DEECA which includes the provision of electricity, water and waste disposal. Relevant reporting on associated environmental impacts is captured in the DEECA annual report.</w:t>
      </w:r>
    </w:p>
    <w:p w14:paraId="1D1803D7" w14:textId="275E9908" w:rsidR="008E6382" w:rsidRPr="00F65403" w:rsidRDefault="008E6382" w:rsidP="00B96E2A">
      <w:pPr>
        <w:tabs>
          <w:tab w:val="left" w:pos="993"/>
        </w:tabs>
        <w:rPr>
          <w:rFonts w:cs="Arial"/>
        </w:rPr>
      </w:pPr>
      <w:r w:rsidRPr="00B96E2A">
        <w:rPr>
          <w:rFonts w:cs="Arial"/>
        </w:rPr>
        <w:t>SEC Victoria is committed to proactively contributing to a sustainable environment and continues to minimise its office-based environmental impact through:</w:t>
      </w:r>
    </w:p>
    <w:p w14:paraId="3D582247" w14:textId="3B071465" w:rsidR="008E6382" w:rsidRPr="005944F3" w:rsidRDefault="008E6382" w:rsidP="0080046F">
      <w:pPr>
        <w:pStyle w:val="Bullet"/>
        <w:rPr>
          <w:rFonts w:cs="Arial"/>
        </w:rPr>
      </w:pPr>
      <w:r w:rsidRPr="005944F3">
        <w:rPr>
          <w:rFonts w:cs="Arial"/>
        </w:rPr>
        <w:t>separating office waste into organic, commingled recyclable and landfill streams</w:t>
      </w:r>
    </w:p>
    <w:p w14:paraId="065A8C9E" w14:textId="7FC07F24" w:rsidR="008E6382" w:rsidRPr="005944F3" w:rsidRDefault="008E6382" w:rsidP="0080046F">
      <w:pPr>
        <w:pStyle w:val="Bullet"/>
        <w:rPr>
          <w:rFonts w:cs="Arial"/>
        </w:rPr>
      </w:pPr>
      <w:r w:rsidRPr="005944F3">
        <w:rPr>
          <w:rFonts w:cs="Arial"/>
        </w:rPr>
        <w:t>reducing paper and printer toner use with the widespread adoption by staff of laptops, tablets, smartphones, and other digital devices.</w:t>
      </w:r>
    </w:p>
    <w:p w14:paraId="5AD13647" w14:textId="05BF9AAD" w:rsidR="008E6382" w:rsidRPr="0010235E" w:rsidRDefault="008E6382" w:rsidP="00AC4779">
      <w:pPr>
        <w:pStyle w:val="Heading2"/>
        <w:rPr>
          <w:i/>
          <w:sz w:val="28"/>
          <w:szCs w:val="28"/>
        </w:rPr>
      </w:pPr>
      <w:bookmarkStart w:id="476" w:name="_Toc203487557"/>
      <w:bookmarkStart w:id="477" w:name="_Toc203656247"/>
      <w:bookmarkStart w:id="478" w:name="_Toc1692082127"/>
      <w:bookmarkStart w:id="479" w:name="_Ref207013204"/>
      <w:r w:rsidRPr="0010235E">
        <w:rPr>
          <w:sz w:val="28"/>
          <w:szCs w:val="28"/>
        </w:rPr>
        <w:t xml:space="preserve">Compliance with the </w:t>
      </w:r>
      <w:r w:rsidRPr="0010235E">
        <w:rPr>
          <w:i/>
          <w:sz w:val="28"/>
          <w:szCs w:val="28"/>
        </w:rPr>
        <w:t>Building Act 1993</w:t>
      </w:r>
      <w:bookmarkEnd w:id="476"/>
      <w:bookmarkEnd w:id="477"/>
      <w:bookmarkEnd w:id="478"/>
      <w:bookmarkEnd w:id="479"/>
    </w:p>
    <w:p w14:paraId="00FA5260" w14:textId="481E5346" w:rsidR="008E6382" w:rsidRPr="00B96E2A" w:rsidRDefault="008E6382" w:rsidP="00B96E2A">
      <w:pPr>
        <w:tabs>
          <w:tab w:val="left" w:pos="993"/>
        </w:tabs>
        <w:rPr>
          <w:rFonts w:cs="Arial"/>
        </w:rPr>
      </w:pPr>
      <w:r w:rsidRPr="00B96E2A">
        <w:rPr>
          <w:rFonts w:cs="Arial"/>
        </w:rPr>
        <w:t xml:space="preserve">SEC Victoria does not own or control any government buildings and is consequently exempt from notifying its compliance with the building and maintenance provisions of the </w:t>
      </w:r>
      <w:r w:rsidRPr="00B96E2A">
        <w:rPr>
          <w:rFonts w:cs="Arial"/>
          <w:i/>
        </w:rPr>
        <w:t>Building Act 1993</w:t>
      </w:r>
      <w:r w:rsidRPr="00B96E2A">
        <w:rPr>
          <w:rFonts w:cs="Arial"/>
        </w:rPr>
        <w:t>.</w:t>
      </w:r>
    </w:p>
    <w:p w14:paraId="1E36DA22" w14:textId="77777777" w:rsidR="008E6382" w:rsidRPr="0010235E" w:rsidRDefault="008E6382" w:rsidP="00AC4779">
      <w:pPr>
        <w:pStyle w:val="Heading2"/>
        <w:rPr>
          <w:sz w:val="28"/>
          <w:szCs w:val="28"/>
        </w:rPr>
      </w:pPr>
      <w:bookmarkStart w:id="480" w:name="_Toc203487558"/>
      <w:bookmarkStart w:id="481" w:name="_Toc203656248"/>
      <w:bookmarkStart w:id="482" w:name="_Toc1766570241"/>
      <w:r w:rsidRPr="0010235E">
        <w:rPr>
          <w:sz w:val="28"/>
          <w:szCs w:val="28"/>
        </w:rPr>
        <w:t>Modern Slavery</w:t>
      </w:r>
      <w:bookmarkEnd w:id="480"/>
      <w:bookmarkEnd w:id="481"/>
      <w:bookmarkEnd w:id="482"/>
    </w:p>
    <w:p w14:paraId="11348296" w14:textId="3D2E5593" w:rsidR="003011A2" w:rsidRPr="00F65403" w:rsidRDefault="008E6382" w:rsidP="0010235E">
      <w:pPr>
        <w:tabs>
          <w:tab w:val="left" w:pos="993"/>
        </w:tabs>
        <w:rPr>
          <w:rFonts w:eastAsiaTheme="majorEastAsia" w:cstheme="majorBidi"/>
          <w:sz w:val="32"/>
          <w:szCs w:val="40"/>
        </w:rPr>
      </w:pPr>
      <w:r w:rsidRPr="49BCD735">
        <w:rPr>
          <w:rFonts w:cs="Arial"/>
          <w:i/>
          <w:iCs/>
        </w:rPr>
        <w:t>The Modern Slavery Act 2018</w:t>
      </w:r>
      <w:r w:rsidRPr="49BCD735">
        <w:rPr>
          <w:rFonts w:cs="Arial"/>
        </w:rPr>
        <w:t xml:space="preserve"> (MS Act) addresses modern slavery risks within supply chains. The Group is not subject to the MS Act for this reporting period.</w:t>
      </w:r>
      <w:bookmarkStart w:id="483" w:name="_Toc183098727"/>
      <w:bookmarkStart w:id="484" w:name="_Toc200631682"/>
      <w:bookmarkStart w:id="485" w:name="_Toc333929626"/>
      <w:bookmarkStart w:id="486" w:name="_Toc201222709"/>
      <w:bookmarkStart w:id="487" w:name="_Toc1961403824"/>
      <w:bookmarkStart w:id="488" w:name="_Toc1378749578"/>
      <w:bookmarkStart w:id="489" w:name="_Toc1904750338"/>
      <w:bookmarkStart w:id="490" w:name="_Toc1712990086"/>
      <w:bookmarkStart w:id="491" w:name="_Toc1141448624"/>
      <w:bookmarkStart w:id="492" w:name="_Toc861332099"/>
      <w:bookmarkStart w:id="493" w:name="_Toc203487559"/>
      <w:r w:rsidR="003011A2">
        <w:br w:type="page"/>
      </w:r>
    </w:p>
    <w:p w14:paraId="617C1BE0" w14:textId="3D7FF0CA" w:rsidR="008739D5" w:rsidRPr="00AC4CFA" w:rsidRDefault="008739D5" w:rsidP="00B254AC">
      <w:pPr>
        <w:pStyle w:val="Heading1"/>
      </w:pPr>
      <w:bookmarkStart w:id="494" w:name="_Toc203656249"/>
      <w:bookmarkStart w:id="495" w:name="_Toc64104666"/>
      <w:bookmarkStart w:id="496" w:name="_Ref207013054"/>
      <w:bookmarkStart w:id="497" w:name="_Toc208418039"/>
      <w:bookmarkStart w:id="498" w:name="_Toc209080404"/>
      <w:bookmarkStart w:id="499" w:name="_Toc209703973"/>
      <w:bookmarkStart w:id="500" w:name="_Toc209704026"/>
      <w:bookmarkStart w:id="501" w:name="_Toc209704079"/>
      <w:r w:rsidRPr="00AC4CFA">
        <w:t>Disclosure index</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1F244F04" w14:textId="2ABFC348" w:rsidR="00687E4F" w:rsidRDefault="008739D5" w:rsidP="0080046F">
      <w:pPr>
        <w:tabs>
          <w:tab w:val="left" w:pos="993"/>
        </w:tabs>
        <w:rPr>
          <w:sz w:val="16"/>
        </w:rPr>
      </w:pPr>
      <w:r w:rsidRPr="00C261BE">
        <w:rPr>
          <w:rFonts w:cs="Arial"/>
        </w:rPr>
        <w:t>The consolidated annual report of SEC Victoria Pty Ltd is prepared in accordance with all relevant Victorian legislation and pronouncements. This index has been prepared to facilitate identification of compliance with statutory disclosure requirements.</w:t>
      </w:r>
    </w:p>
    <w:tbl>
      <w:tblPr>
        <w:tblW w:w="0" w:type="auto"/>
        <w:tblLayout w:type="fixed"/>
        <w:tblCellMar>
          <w:top w:w="28" w:type="dxa"/>
          <w:left w:w="28" w:type="dxa"/>
          <w:bottom w:w="28" w:type="dxa"/>
          <w:right w:w="28" w:type="dxa"/>
        </w:tblCellMar>
        <w:tblLook w:val="01E0" w:firstRow="1" w:lastRow="1" w:firstColumn="1" w:lastColumn="1" w:noHBand="0" w:noVBand="0"/>
      </w:tblPr>
      <w:tblGrid>
        <w:gridCol w:w="1990"/>
        <w:gridCol w:w="28"/>
        <w:gridCol w:w="6241"/>
        <w:gridCol w:w="7"/>
        <w:gridCol w:w="760"/>
      </w:tblGrid>
      <w:tr w:rsidR="008C3E51" w:rsidRPr="003323EF" w14:paraId="629CD119" w14:textId="77777777" w:rsidTr="49BCD735">
        <w:trPr>
          <w:tblHeader/>
        </w:trPr>
        <w:tc>
          <w:tcPr>
            <w:tcW w:w="1990" w:type="dxa"/>
            <w:tcBorders>
              <w:bottom w:val="single" w:sz="2" w:space="0" w:color="390A56"/>
            </w:tcBorders>
            <w:shd w:val="clear" w:color="auto" w:fill="EBDAD3"/>
          </w:tcPr>
          <w:p w14:paraId="779B0FCA" w14:textId="77777777" w:rsidR="008C3E51" w:rsidRPr="00F65403" w:rsidRDefault="008C3E51" w:rsidP="0080046F">
            <w:pPr>
              <w:pStyle w:val="TableParagraph"/>
              <w:spacing w:before="0"/>
              <w:rPr>
                <w:b/>
                <w:lang w:val="en-AU"/>
              </w:rPr>
            </w:pPr>
            <w:r w:rsidRPr="00F65403">
              <w:rPr>
                <w:b/>
                <w:color w:val="323031"/>
                <w:spacing w:val="-2"/>
                <w:lang w:val="en-AU"/>
              </w:rPr>
              <w:t>Legislation</w:t>
            </w:r>
          </w:p>
        </w:tc>
        <w:tc>
          <w:tcPr>
            <w:tcW w:w="6269" w:type="dxa"/>
            <w:gridSpan w:val="2"/>
            <w:tcBorders>
              <w:bottom w:val="single" w:sz="2" w:space="0" w:color="390A56"/>
            </w:tcBorders>
            <w:shd w:val="clear" w:color="auto" w:fill="EBDAD3"/>
          </w:tcPr>
          <w:p w14:paraId="12B9B42B" w14:textId="77777777" w:rsidR="008C3E51" w:rsidRPr="00F65403" w:rsidRDefault="008C3E51" w:rsidP="0080046F">
            <w:pPr>
              <w:pStyle w:val="TableParagraph"/>
              <w:spacing w:before="0"/>
              <w:rPr>
                <w:b/>
                <w:lang w:val="en-AU"/>
              </w:rPr>
            </w:pPr>
            <w:r w:rsidRPr="00F65403">
              <w:rPr>
                <w:b/>
                <w:color w:val="323031"/>
                <w:spacing w:val="-2"/>
                <w:lang w:val="en-AU"/>
              </w:rPr>
              <w:t>Requirement</w:t>
            </w:r>
          </w:p>
        </w:tc>
        <w:tc>
          <w:tcPr>
            <w:tcW w:w="767" w:type="dxa"/>
            <w:gridSpan w:val="2"/>
            <w:tcBorders>
              <w:bottom w:val="single" w:sz="2" w:space="0" w:color="390A56"/>
            </w:tcBorders>
            <w:shd w:val="clear" w:color="auto" w:fill="EBDAD3"/>
          </w:tcPr>
          <w:p w14:paraId="79418BCB" w14:textId="6FB4A5D4" w:rsidR="008C3E51" w:rsidRPr="00F65403" w:rsidRDefault="008C3E51" w:rsidP="49BCD735">
            <w:pPr>
              <w:pStyle w:val="TableParagraph"/>
              <w:spacing w:before="0"/>
              <w:jc w:val="center"/>
              <w:rPr>
                <w:b/>
                <w:bCs/>
                <w:lang w:val="en-AU"/>
              </w:rPr>
            </w:pPr>
            <w:r w:rsidRPr="49BCD735">
              <w:rPr>
                <w:b/>
                <w:bCs/>
                <w:color w:val="323031"/>
                <w:lang w:val="en-AU"/>
              </w:rPr>
              <w:t>Page</w:t>
            </w:r>
            <w:r w:rsidRPr="49BCD735">
              <w:rPr>
                <w:b/>
                <w:bCs/>
                <w:color w:val="323031"/>
                <w:spacing w:val="3"/>
                <w:lang w:val="en-AU"/>
              </w:rPr>
              <w:t xml:space="preserve"> </w:t>
            </w:r>
            <w:r w:rsidRPr="49BCD735">
              <w:rPr>
                <w:b/>
                <w:bCs/>
                <w:color w:val="323031"/>
                <w:spacing w:val="-2"/>
                <w:lang w:val="en-AU"/>
              </w:rPr>
              <w:t>ref</w:t>
            </w:r>
          </w:p>
        </w:tc>
      </w:tr>
      <w:tr w:rsidR="008C3E51" w:rsidRPr="003323EF" w14:paraId="09EC7822" w14:textId="77777777" w:rsidTr="49BCD735">
        <w:tc>
          <w:tcPr>
            <w:tcW w:w="9026" w:type="dxa"/>
            <w:gridSpan w:val="5"/>
            <w:shd w:val="clear" w:color="auto" w:fill="390A56"/>
          </w:tcPr>
          <w:p w14:paraId="350E8AB8" w14:textId="77777777" w:rsidR="008C3E51" w:rsidRPr="00F65403" w:rsidRDefault="008C3E51" w:rsidP="0080046F">
            <w:pPr>
              <w:pStyle w:val="TableParagraph"/>
              <w:spacing w:before="0"/>
              <w:rPr>
                <w:b/>
                <w:lang w:val="en-AU"/>
              </w:rPr>
            </w:pPr>
            <w:r w:rsidRPr="00F65403">
              <w:rPr>
                <w:b/>
                <w:color w:val="FFFFFF"/>
                <w:spacing w:val="-2"/>
                <w:lang w:val="en-AU"/>
              </w:rPr>
              <w:t>Standing</w:t>
            </w:r>
            <w:r w:rsidRPr="00F65403">
              <w:rPr>
                <w:b/>
                <w:color w:val="FFFFFF"/>
                <w:lang w:val="en-AU"/>
              </w:rPr>
              <w:t xml:space="preserve"> </w:t>
            </w:r>
            <w:r w:rsidRPr="00F65403">
              <w:rPr>
                <w:b/>
                <w:color w:val="FFFFFF"/>
                <w:spacing w:val="-2"/>
                <w:lang w:val="en-AU"/>
              </w:rPr>
              <w:t>Directions</w:t>
            </w:r>
            <w:r w:rsidRPr="00F65403">
              <w:rPr>
                <w:b/>
                <w:color w:val="FFFFFF"/>
                <w:spacing w:val="1"/>
                <w:lang w:val="en-AU"/>
              </w:rPr>
              <w:t xml:space="preserve"> </w:t>
            </w:r>
            <w:r w:rsidRPr="00F65403">
              <w:rPr>
                <w:b/>
                <w:color w:val="FFFFFF"/>
                <w:spacing w:val="-2"/>
                <w:lang w:val="en-AU"/>
              </w:rPr>
              <w:t>and</w:t>
            </w:r>
            <w:r w:rsidRPr="00F65403">
              <w:rPr>
                <w:b/>
                <w:color w:val="FFFFFF"/>
                <w:spacing w:val="1"/>
                <w:lang w:val="en-AU"/>
              </w:rPr>
              <w:t xml:space="preserve"> </w:t>
            </w:r>
            <w:r w:rsidRPr="00F65403">
              <w:rPr>
                <w:b/>
                <w:color w:val="FFFFFF"/>
                <w:spacing w:val="-2"/>
                <w:lang w:val="en-AU"/>
              </w:rPr>
              <w:t>Financial</w:t>
            </w:r>
            <w:r w:rsidRPr="00F65403">
              <w:rPr>
                <w:b/>
                <w:color w:val="FFFFFF"/>
                <w:spacing w:val="1"/>
                <w:lang w:val="en-AU"/>
              </w:rPr>
              <w:t xml:space="preserve"> </w:t>
            </w:r>
            <w:r w:rsidRPr="00F65403">
              <w:rPr>
                <w:b/>
                <w:color w:val="FFFFFF"/>
                <w:spacing w:val="-2"/>
                <w:lang w:val="en-AU"/>
              </w:rPr>
              <w:t>Reporting</w:t>
            </w:r>
            <w:r w:rsidRPr="00F65403">
              <w:rPr>
                <w:b/>
                <w:color w:val="FFFFFF"/>
                <w:spacing w:val="1"/>
                <w:lang w:val="en-AU"/>
              </w:rPr>
              <w:t xml:space="preserve"> </w:t>
            </w:r>
            <w:r w:rsidRPr="00F65403">
              <w:rPr>
                <w:b/>
                <w:color w:val="FFFFFF"/>
                <w:spacing w:val="-2"/>
                <w:lang w:val="en-AU"/>
              </w:rPr>
              <w:t>Directions</w:t>
            </w:r>
          </w:p>
        </w:tc>
      </w:tr>
      <w:tr w:rsidR="008C3E51" w:rsidRPr="003323EF" w14:paraId="7CAE462F" w14:textId="77777777" w:rsidTr="49BCD735">
        <w:tc>
          <w:tcPr>
            <w:tcW w:w="9026" w:type="dxa"/>
            <w:gridSpan w:val="5"/>
            <w:tcBorders>
              <w:bottom w:val="single" w:sz="2" w:space="0" w:color="390A56"/>
            </w:tcBorders>
            <w:shd w:val="clear" w:color="auto" w:fill="D7CEDD"/>
          </w:tcPr>
          <w:p w14:paraId="4FC9682C" w14:textId="77777777" w:rsidR="008C3E51" w:rsidRPr="00F65403" w:rsidRDefault="008C3E51" w:rsidP="0080046F">
            <w:pPr>
              <w:pStyle w:val="TableParagraph"/>
              <w:spacing w:before="0"/>
              <w:rPr>
                <w:b/>
                <w:lang w:val="en-AU"/>
              </w:rPr>
            </w:pPr>
            <w:r w:rsidRPr="00F65403">
              <w:rPr>
                <w:b/>
                <w:color w:val="323031"/>
                <w:lang w:val="en-AU"/>
              </w:rPr>
              <w:t>Report</w:t>
            </w:r>
            <w:r w:rsidRPr="00F65403">
              <w:rPr>
                <w:b/>
                <w:color w:val="323031"/>
                <w:spacing w:val="-3"/>
                <w:lang w:val="en-AU"/>
              </w:rPr>
              <w:t xml:space="preserve"> </w:t>
            </w:r>
            <w:r w:rsidRPr="00F65403">
              <w:rPr>
                <w:b/>
                <w:color w:val="323031"/>
                <w:lang w:val="en-AU"/>
              </w:rPr>
              <w:t>of</w:t>
            </w:r>
            <w:r w:rsidRPr="00F65403">
              <w:rPr>
                <w:b/>
                <w:color w:val="323031"/>
                <w:spacing w:val="-3"/>
                <w:lang w:val="en-AU"/>
              </w:rPr>
              <w:t xml:space="preserve"> </w:t>
            </w:r>
            <w:r w:rsidRPr="00F65403">
              <w:rPr>
                <w:b/>
                <w:color w:val="323031"/>
                <w:spacing w:val="-2"/>
                <w:lang w:val="en-AU"/>
              </w:rPr>
              <w:t>operations</w:t>
            </w:r>
          </w:p>
        </w:tc>
      </w:tr>
      <w:tr w:rsidR="008C3E51" w:rsidRPr="003323EF" w14:paraId="321FFA94" w14:textId="77777777" w:rsidTr="49BCD735">
        <w:tc>
          <w:tcPr>
            <w:tcW w:w="9026" w:type="dxa"/>
            <w:gridSpan w:val="5"/>
            <w:tcBorders>
              <w:top w:val="single" w:sz="2" w:space="0" w:color="390A56"/>
              <w:bottom w:val="single" w:sz="2" w:space="0" w:color="390A56"/>
            </w:tcBorders>
            <w:shd w:val="clear" w:color="auto" w:fill="F0E3DE"/>
          </w:tcPr>
          <w:p w14:paraId="44C76FFC" w14:textId="77777777" w:rsidR="008C3E51" w:rsidRPr="00F65403" w:rsidRDefault="008C3E51" w:rsidP="0080046F">
            <w:pPr>
              <w:pStyle w:val="TableParagraph"/>
              <w:spacing w:before="0"/>
              <w:rPr>
                <w:b/>
                <w:lang w:val="en-AU"/>
              </w:rPr>
            </w:pPr>
            <w:r w:rsidRPr="00F65403">
              <w:rPr>
                <w:b/>
                <w:color w:val="323031"/>
                <w:lang w:val="en-AU"/>
              </w:rPr>
              <w:t>Charter and</w:t>
            </w:r>
            <w:r w:rsidRPr="00F65403">
              <w:rPr>
                <w:b/>
                <w:color w:val="323031"/>
                <w:spacing w:val="1"/>
                <w:lang w:val="en-AU"/>
              </w:rPr>
              <w:t xml:space="preserve"> </w:t>
            </w:r>
            <w:r w:rsidRPr="00F65403">
              <w:rPr>
                <w:b/>
                <w:color w:val="323031"/>
                <w:spacing w:val="-2"/>
                <w:lang w:val="en-AU"/>
              </w:rPr>
              <w:t>purpose</w:t>
            </w:r>
          </w:p>
        </w:tc>
      </w:tr>
      <w:tr w:rsidR="008C3E51" w:rsidRPr="003323EF" w14:paraId="7171CEB4" w14:textId="77777777" w:rsidTr="49BCD735">
        <w:tc>
          <w:tcPr>
            <w:tcW w:w="1990" w:type="dxa"/>
            <w:tcBorders>
              <w:top w:val="single" w:sz="2" w:space="0" w:color="390A56"/>
              <w:bottom w:val="single" w:sz="2" w:space="0" w:color="390A56"/>
            </w:tcBorders>
            <w:shd w:val="clear" w:color="auto" w:fill="FFFFFF" w:themeFill="background1"/>
          </w:tcPr>
          <w:p w14:paraId="0FDCC60D"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3A6A2BD" w14:textId="77777777" w:rsidR="008C3E51" w:rsidRPr="00F65403" w:rsidRDefault="008C3E51" w:rsidP="0080046F">
            <w:pPr>
              <w:pStyle w:val="TableParagraph"/>
              <w:spacing w:before="0"/>
              <w:rPr>
                <w:lang w:val="en-AU"/>
              </w:rPr>
            </w:pPr>
            <w:r w:rsidRPr="00F65403">
              <w:rPr>
                <w:color w:val="323031"/>
                <w:lang w:val="en-AU"/>
              </w:rPr>
              <w:t>Manner</w:t>
            </w:r>
            <w:r w:rsidRPr="00F65403">
              <w:rPr>
                <w:color w:val="323031"/>
                <w:spacing w:val="24"/>
                <w:lang w:val="en-AU"/>
              </w:rPr>
              <w:t xml:space="preserve"> </w:t>
            </w:r>
            <w:r w:rsidRPr="00F65403">
              <w:rPr>
                <w:color w:val="323031"/>
                <w:lang w:val="en-AU"/>
              </w:rPr>
              <w:t>of</w:t>
            </w:r>
            <w:r w:rsidRPr="00F65403">
              <w:rPr>
                <w:color w:val="323031"/>
                <w:spacing w:val="25"/>
                <w:lang w:val="en-AU"/>
              </w:rPr>
              <w:t xml:space="preserve"> </w:t>
            </w:r>
            <w:r w:rsidRPr="00F65403">
              <w:rPr>
                <w:color w:val="323031"/>
                <w:lang w:val="en-AU"/>
              </w:rPr>
              <w:t>establishment</w:t>
            </w:r>
            <w:r w:rsidRPr="00F65403">
              <w:rPr>
                <w:color w:val="323031"/>
                <w:spacing w:val="25"/>
                <w:lang w:val="en-AU"/>
              </w:rPr>
              <w:t xml:space="preserve"> </w:t>
            </w:r>
            <w:r w:rsidRPr="00F65403">
              <w:rPr>
                <w:color w:val="323031"/>
                <w:lang w:val="en-AU"/>
              </w:rPr>
              <w:t>and</w:t>
            </w:r>
            <w:r w:rsidRPr="00F65403">
              <w:rPr>
                <w:color w:val="323031"/>
                <w:spacing w:val="25"/>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relevant</w:t>
            </w:r>
            <w:r w:rsidRPr="00F65403">
              <w:rPr>
                <w:color w:val="323031"/>
                <w:spacing w:val="24"/>
                <w:lang w:val="en-AU"/>
              </w:rPr>
              <w:t xml:space="preserve"> </w:t>
            </w:r>
            <w:r w:rsidRPr="00F65403">
              <w:rPr>
                <w:color w:val="323031"/>
                <w:spacing w:val="-2"/>
                <w:lang w:val="en-AU"/>
              </w:rPr>
              <w:t>Ministers</w:t>
            </w:r>
          </w:p>
        </w:tc>
        <w:tc>
          <w:tcPr>
            <w:tcW w:w="760" w:type="dxa"/>
            <w:tcBorders>
              <w:top w:val="single" w:sz="2" w:space="0" w:color="390A56"/>
              <w:bottom w:val="single" w:sz="2" w:space="0" w:color="390A56"/>
            </w:tcBorders>
            <w:shd w:val="clear" w:color="auto" w:fill="FFFFFF" w:themeFill="background1"/>
          </w:tcPr>
          <w:p w14:paraId="4ABDE11C" w14:textId="163C1473" w:rsidR="008C3E51" w:rsidRPr="00F65403" w:rsidRDefault="000C2AAA" w:rsidP="0010235E">
            <w:pPr>
              <w:pStyle w:val="TableParagraph"/>
              <w:spacing w:before="0"/>
              <w:jc w:val="center"/>
              <w:rPr>
                <w:lang w:val="en-AU"/>
              </w:rPr>
            </w:pPr>
            <w:r>
              <w:rPr>
                <w:lang w:val="en-AU"/>
              </w:rPr>
              <w:fldChar w:fldCharType="begin"/>
            </w:r>
            <w:r>
              <w:rPr>
                <w:lang w:val="en-AU"/>
              </w:rPr>
              <w:instrText xml:space="preserve"> PAGEREF _Ref207013894 \h </w:instrText>
            </w:r>
            <w:r>
              <w:rPr>
                <w:lang w:val="en-AU"/>
              </w:rPr>
            </w:r>
            <w:r>
              <w:rPr>
                <w:lang w:val="en-AU"/>
              </w:rPr>
              <w:fldChar w:fldCharType="separate"/>
            </w:r>
            <w:r w:rsidR="00BC7653">
              <w:rPr>
                <w:noProof/>
                <w:lang w:val="en-AU"/>
              </w:rPr>
              <w:t>16</w:t>
            </w:r>
            <w:r>
              <w:rPr>
                <w:lang w:val="en-AU"/>
              </w:rPr>
              <w:fldChar w:fldCharType="end"/>
            </w:r>
          </w:p>
        </w:tc>
      </w:tr>
      <w:tr w:rsidR="008C3E51" w:rsidRPr="003323EF" w14:paraId="444662F9" w14:textId="77777777" w:rsidTr="49BCD735">
        <w:tc>
          <w:tcPr>
            <w:tcW w:w="1990" w:type="dxa"/>
            <w:tcBorders>
              <w:top w:val="single" w:sz="2" w:space="0" w:color="390A56"/>
              <w:bottom w:val="single" w:sz="2" w:space="0" w:color="390A56"/>
            </w:tcBorders>
            <w:shd w:val="clear" w:color="auto" w:fill="FFFFFF" w:themeFill="background1"/>
          </w:tcPr>
          <w:p w14:paraId="3613BFEF"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EB70712" w14:textId="77777777" w:rsidR="008C3E51" w:rsidRPr="00F65403" w:rsidRDefault="008C3E51" w:rsidP="0080046F">
            <w:pPr>
              <w:pStyle w:val="TableParagraph"/>
              <w:spacing w:before="0"/>
              <w:rPr>
                <w:lang w:val="en-AU"/>
              </w:rPr>
            </w:pPr>
            <w:r w:rsidRPr="00F65403">
              <w:rPr>
                <w:color w:val="323031"/>
                <w:w w:val="105"/>
                <w:lang w:val="en-AU"/>
              </w:rPr>
              <w:t>Purpose,</w:t>
            </w:r>
            <w:r w:rsidRPr="00F65403">
              <w:rPr>
                <w:color w:val="323031"/>
                <w:spacing w:val="-12"/>
                <w:w w:val="105"/>
                <w:lang w:val="en-AU"/>
              </w:rPr>
              <w:t xml:space="preserve"> </w:t>
            </w:r>
            <w:r w:rsidRPr="00F65403">
              <w:rPr>
                <w:color w:val="323031"/>
                <w:w w:val="105"/>
                <w:lang w:val="en-AU"/>
              </w:rPr>
              <w:t>functions,</w:t>
            </w:r>
            <w:r w:rsidRPr="00F65403">
              <w:rPr>
                <w:color w:val="323031"/>
                <w:spacing w:val="-11"/>
                <w:w w:val="105"/>
                <w:lang w:val="en-AU"/>
              </w:rPr>
              <w:t xml:space="preserve"> </w:t>
            </w:r>
            <w:r w:rsidRPr="00F65403">
              <w:rPr>
                <w:color w:val="323031"/>
                <w:w w:val="105"/>
                <w:lang w:val="en-AU"/>
              </w:rPr>
              <w:t>powers</w:t>
            </w:r>
            <w:r w:rsidRPr="00F65403">
              <w:rPr>
                <w:color w:val="323031"/>
                <w:spacing w:val="-12"/>
                <w:w w:val="105"/>
                <w:lang w:val="en-AU"/>
              </w:rPr>
              <w:t xml:space="preserve"> </w:t>
            </w:r>
            <w:r w:rsidRPr="00F65403">
              <w:rPr>
                <w:color w:val="323031"/>
                <w:w w:val="105"/>
                <w:lang w:val="en-AU"/>
              </w:rPr>
              <w:t>and</w:t>
            </w:r>
            <w:r w:rsidRPr="00F65403">
              <w:rPr>
                <w:color w:val="323031"/>
                <w:spacing w:val="-11"/>
                <w:w w:val="105"/>
                <w:lang w:val="en-AU"/>
              </w:rPr>
              <w:t xml:space="preserve"> </w:t>
            </w:r>
            <w:r w:rsidRPr="00F65403">
              <w:rPr>
                <w:color w:val="323031"/>
                <w:spacing w:val="-2"/>
                <w:w w:val="105"/>
                <w:lang w:val="en-AU"/>
              </w:rPr>
              <w:t>duties</w:t>
            </w:r>
          </w:p>
        </w:tc>
        <w:tc>
          <w:tcPr>
            <w:tcW w:w="760" w:type="dxa"/>
            <w:tcBorders>
              <w:top w:val="single" w:sz="2" w:space="0" w:color="390A56"/>
              <w:bottom w:val="single" w:sz="2" w:space="0" w:color="390A56"/>
            </w:tcBorders>
            <w:shd w:val="clear" w:color="auto" w:fill="FFFFFF" w:themeFill="background1"/>
          </w:tcPr>
          <w:p w14:paraId="3E970FD0" w14:textId="21FE5AAF" w:rsidR="008C3E51" w:rsidRPr="00F65403" w:rsidRDefault="000C2AAA" w:rsidP="0010235E">
            <w:pPr>
              <w:pStyle w:val="TableParagraph"/>
              <w:spacing w:before="0"/>
              <w:jc w:val="center"/>
              <w:rPr>
                <w:lang w:val="en-AU"/>
              </w:rPr>
            </w:pPr>
            <w:r>
              <w:rPr>
                <w:lang w:val="en-AU"/>
              </w:rPr>
              <w:fldChar w:fldCharType="begin"/>
            </w:r>
            <w:r>
              <w:rPr>
                <w:lang w:val="en-AU"/>
              </w:rPr>
              <w:instrText xml:space="preserve"> PAGEREF _Ref207013874 \h </w:instrText>
            </w:r>
            <w:r>
              <w:rPr>
                <w:lang w:val="en-AU"/>
              </w:rPr>
            </w:r>
            <w:r>
              <w:rPr>
                <w:lang w:val="en-AU"/>
              </w:rPr>
              <w:fldChar w:fldCharType="separate"/>
            </w:r>
            <w:r w:rsidR="00BC7653">
              <w:rPr>
                <w:noProof/>
                <w:lang w:val="en-AU"/>
              </w:rPr>
              <w:t>13</w:t>
            </w:r>
            <w:r>
              <w:rPr>
                <w:lang w:val="en-AU"/>
              </w:rPr>
              <w:fldChar w:fldCharType="end"/>
            </w:r>
          </w:p>
        </w:tc>
      </w:tr>
      <w:tr w:rsidR="008C3E51" w:rsidRPr="003323EF" w14:paraId="38FD7041" w14:textId="77777777" w:rsidTr="49BCD735">
        <w:tc>
          <w:tcPr>
            <w:tcW w:w="1990" w:type="dxa"/>
            <w:tcBorders>
              <w:top w:val="single" w:sz="2" w:space="0" w:color="390A56"/>
              <w:bottom w:val="single" w:sz="2" w:space="0" w:color="390A56"/>
            </w:tcBorders>
            <w:shd w:val="clear" w:color="auto" w:fill="FFFFFF" w:themeFill="background1"/>
          </w:tcPr>
          <w:p w14:paraId="5B4FBE13"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1D3BD405" w14:textId="77777777" w:rsidR="008C3E51" w:rsidRPr="00F65403" w:rsidRDefault="008C3E51" w:rsidP="0080046F">
            <w:pPr>
              <w:pStyle w:val="TableParagraph"/>
              <w:spacing w:before="0"/>
              <w:rPr>
                <w:lang w:val="en-AU"/>
              </w:rPr>
            </w:pPr>
            <w:r w:rsidRPr="00F65403">
              <w:rPr>
                <w:color w:val="323031"/>
                <w:w w:val="105"/>
                <w:lang w:val="en-AU"/>
              </w:rPr>
              <w:t>Key</w:t>
            </w:r>
            <w:r w:rsidRPr="00F65403">
              <w:rPr>
                <w:color w:val="323031"/>
                <w:spacing w:val="-13"/>
                <w:w w:val="105"/>
                <w:lang w:val="en-AU"/>
              </w:rPr>
              <w:t xml:space="preserve"> </w:t>
            </w:r>
            <w:r w:rsidRPr="00F65403">
              <w:rPr>
                <w:color w:val="323031"/>
                <w:w w:val="105"/>
                <w:lang w:val="en-AU"/>
              </w:rPr>
              <w:t>initiatives</w:t>
            </w:r>
            <w:r w:rsidRPr="00F65403">
              <w:rPr>
                <w:color w:val="323031"/>
                <w:spacing w:val="-12"/>
                <w:w w:val="105"/>
                <w:lang w:val="en-AU"/>
              </w:rPr>
              <w:t xml:space="preserve"> </w:t>
            </w:r>
            <w:r w:rsidRPr="00F65403">
              <w:rPr>
                <w:color w:val="323031"/>
                <w:w w:val="105"/>
                <w:lang w:val="en-AU"/>
              </w:rPr>
              <w:t>and</w:t>
            </w:r>
            <w:r w:rsidRPr="00F65403">
              <w:rPr>
                <w:color w:val="323031"/>
                <w:spacing w:val="-12"/>
                <w:w w:val="105"/>
                <w:lang w:val="en-AU"/>
              </w:rPr>
              <w:t xml:space="preserve"> </w:t>
            </w:r>
            <w:r w:rsidRPr="00F65403">
              <w:rPr>
                <w:color w:val="323031"/>
                <w:spacing w:val="-2"/>
                <w:w w:val="105"/>
                <w:lang w:val="en-AU"/>
              </w:rPr>
              <w:t>projects</w:t>
            </w:r>
          </w:p>
        </w:tc>
        <w:tc>
          <w:tcPr>
            <w:tcW w:w="760" w:type="dxa"/>
            <w:tcBorders>
              <w:top w:val="single" w:sz="2" w:space="0" w:color="390A56"/>
              <w:bottom w:val="single" w:sz="2" w:space="0" w:color="390A56"/>
            </w:tcBorders>
            <w:shd w:val="clear" w:color="auto" w:fill="FFFFFF" w:themeFill="background1"/>
          </w:tcPr>
          <w:p w14:paraId="1B4173A0" w14:textId="62365CF9" w:rsidR="008C3E51" w:rsidRPr="00F65403" w:rsidRDefault="00A24BDA" w:rsidP="0010235E">
            <w:pPr>
              <w:pStyle w:val="TableParagraph"/>
              <w:spacing w:before="0"/>
              <w:jc w:val="center"/>
              <w:rPr>
                <w:lang w:val="en-AU"/>
              </w:rPr>
            </w:pPr>
            <w:r>
              <w:rPr>
                <w:lang w:val="en-AU"/>
              </w:rPr>
              <w:fldChar w:fldCharType="begin"/>
            </w:r>
            <w:r>
              <w:rPr>
                <w:lang w:val="en-AU"/>
              </w:rPr>
              <w:instrText xml:space="preserve"> PAGEREF _Ref207013825 \h </w:instrText>
            </w:r>
            <w:r>
              <w:rPr>
                <w:lang w:val="en-AU"/>
              </w:rPr>
            </w:r>
            <w:r>
              <w:rPr>
                <w:lang w:val="en-AU"/>
              </w:rPr>
              <w:fldChar w:fldCharType="separate"/>
            </w:r>
            <w:r w:rsidR="00BC7653">
              <w:rPr>
                <w:noProof/>
                <w:lang w:val="en-AU"/>
              </w:rPr>
              <w:t>20</w:t>
            </w:r>
            <w:r>
              <w:rPr>
                <w:lang w:val="en-AU"/>
              </w:rPr>
              <w:fldChar w:fldCharType="end"/>
            </w:r>
          </w:p>
        </w:tc>
      </w:tr>
      <w:tr w:rsidR="008C3E51" w:rsidRPr="003323EF" w14:paraId="70FC8AE4" w14:textId="77777777" w:rsidTr="49BCD735">
        <w:tc>
          <w:tcPr>
            <w:tcW w:w="1990" w:type="dxa"/>
            <w:tcBorders>
              <w:top w:val="single" w:sz="2" w:space="0" w:color="390A56"/>
              <w:bottom w:val="single" w:sz="2" w:space="0" w:color="390A56"/>
            </w:tcBorders>
            <w:shd w:val="clear" w:color="auto" w:fill="FFFFFF" w:themeFill="background1"/>
          </w:tcPr>
          <w:p w14:paraId="6DC8511E"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8DCCE21" w14:textId="77777777" w:rsidR="008C3E51" w:rsidRPr="00F65403" w:rsidRDefault="008C3E51" w:rsidP="0080046F">
            <w:pPr>
              <w:pStyle w:val="TableParagraph"/>
              <w:spacing w:before="0"/>
              <w:rPr>
                <w:lang w:val="en-AU"/>
              </w:rPr>
            </w:pPr>
            <w:r w:rsidRPr="00F65403">
              <w:rPr>
                <w:color w:val="323031"/>
                <w:lang w:val="en-AU"/>
              </w:rPr>
              <w:t>Nature</w:t>
            </w:r>
            <w:r w:rsidRPr="00F65403">
              <w:rPr>
                <w:color w:val="323031"/>
                <w:spacing w:val="17"/>
                <w:lang w:val="en-AU"/>
              </w:rPr>
              <w:t xml:space="preserve"> </w:t>
            </w:r>
            <w:r w:rsidRPr="00F65403">
              <w:rPr>
                <w:color w:val="323031"/>
                <w:lang w:val="en-AU"/>
              </w:rPr>
              <w:t>and</w:t>
            </w:r>
            <w:r w:rsidRPr="00F65403">
              <w:rPr>
                <w:color w:val="323031"/>
                <w:spacing w:val="18"/>
                <w:lang w:val="en-AU"/>
              </w:rPr>
              <w:t xml:space="preserve"> </w:t>
            </w:r>
            <w:r w:rsidRPr="00F65403">
              <w:rPr>
                <w:color w:val="323031"/>
                <w:lang w:val="en-AU"/>
              </w:rPr>
              <w:t>range</w:t>
            </w:r>
            <w:r w:rsidRPr="00F65403">
              <w:rPr>
                <w:color w:val="323031"/>
                <w:spacing w:val="18"/>
                <w:lang w:val="en-AU"/>
              </w:rPr>
              <w:t xml:space="preserve"> </w:t>
            </w:r>
            <w:r w:rsidRPr="00F65403">
              <w:rPr>
                <w:color w:val="323031"/>
                <w:lang w:val="en-AU"/>
              </w:rPr>
              <w:t>of</w:t>
            </w:r>
            <w:r w:rsidRPr="00F65403">
              <w:rPr>
                <w:color w:val="323031"/>
                <w:spacing w:val="18"/>
                <w:lang w:val="en-AU"/>
              </w:rPr>
              <w:t xml:space="preserve"> </w:t>
            </w:r>
            <w:r w:rsidRPr="00F65403">
              <w:rPr>
                <w:color w:val="323031"/>
                <w:lang w:val="en-AU"/>
              </w:rPr>
              <w:t>services</w:t>
            </w:r>
            <w:r w:rsidRPr="00F65403">
              <w:rPr>
                <w:color w:val="323031"/>
                <w:spacing w:val="18"/>
                <w:lang w:val="en-AU"/>
              </w:rPr>
              <w:t xml:space="preserve"> </w:t>
            </w:r>
            <w:r w:rsidRPr="00F65403">
              <w:rPr>
                <w:color w:val="323031"/>
                <w:spacing w:val="-2"/>
                <w:lang w:val="en-AU"/>
              </w:rPr>
              <w:t>provided</w:t>
            </w:r>
          </w:p>
        </w:tc>
        <w:tc>
          <w:tcPr>
            <w:tcW w:w="760" w:type="dxa"/>
            <w:tcBorders>
              <w:top w:val="single" w:sz="2" w:space="0" w:color="390A56"/>
              <w:bottom w:val="single" w:sz="2" w:space="0" w:color="390A56"/>
            </w:tcBorders>
            <w:shd w:val="clear" w:color="auto" w:fill="FFFFFF" w:themeFill="background1"/>
          </w:tcPr>
          <w:p w14:paraId="09DCA6ED" w14:textId="557D415C" w:rsidR="008C3E51" w:rsidRPr="00F65403" w:rsidRDefault="00522ADA" w:rsidP="0010235E">
            <w:pPr>
              <w:pStyle w:val="TableParagraph"/>
              <w:spacing w:before="0"/>
              <w:jc w:val="center"/>
              <w:rPr>
                <w:lang w:val="en-AU"/>
              </w:rPr>
            </w:pPr>
            <w:r>
              <w:rPr>
                <w:lang w:val="en-AU"/>
              </w:rPr>
              <w:fldChar w:fldCharType="begin"/>
            </w:r>
            <w:r>
              <w:rPr>
                <w:lang w:val="en-AU"/>
              </w:rPr>
              <w:instrText xml:space="preserve"> PAGEREF _Ref207013952 \h </w:instrText>
            </w:r>
            <w:r>
              <w:rPr>
                <w:lang w:val="en-AU"/>
              </w:rPr>
            </w:r>
            <w:r>
              <w:rPr>
                <w:lang w:val="en-AU"/>
              </w:rPr>
              <w:fldChar w:fldCharType="separate"/>
            </w:r>
            <w:r w:rsidR="00BC7653">
              <w:rPr>
                <w:noProof/>
                <w:lang w:val="en-AU"/>
              </w:rPr>
              <w:t>39</w:t>
            </w:r>
            <w:r>
              <w:rPr>
                <w:lang w:val="en-AU"/>
              </w:rPr>
              <w:fldChar w:fldCharType="end"/>
            </w:r>
          </w:p>
        </w:tc>
      </w:tr>
      <w:tr w:rsidR="008C3E51" w:rsidRPr="003323EF" w14:paraId="17EB529B" w14:textId="77777777" w:rsidTr="49BCD735">
        <w:tc>
          <w:tcPr>
            <w:tcW w:w="9026" w:type="dxa"/>
            <w:gridSpan w:val="5"/>
            <w:tcBorders>
              <w:top w:val="single" w:sz="2" w:space="0" w:color="390A56"/>
              <w:bottom w:val="single" w:sz="2" w:space="0" w:color="390A56"/>
            </w:tcBorders>
            <w:shd w:val="clear" w:color="auto" w:fill="F0E3DE"/>
          </w:tcPr>
          <w:p w14:paraId="236940E5" w14:textId="77777777" w:rsidR="008C3E51" w:rsidRPr="00F65403" w:rsidRDefault="008C3E51" w:rsidP="0080046F">
            <w:pPr>
              <w:pStyle w:val="TableParagraph"/>
              <w:spacing w:before="0"/>
              <w:rPr>
                <w:b/>
                <w:lang w:val="en-AU"/>
              </w:rPr>
            </w:pPr>
            <w:r w:rsidRPr="00F65403">
              <w:rPr>
                <w:b/>
                <w:color w:val="323031"/>
                <w:lang w:val="en-AU"/>
              </w:rPr>
              <w:t>Management</w:t>
            </w:r>
            <w:r w:rsidRPr="00F65403">
              <w:rPr>
                <w:b/>
                <w:color w:val="323031"/>
                <w:spacing w:val="3"/>
                <w:lang w:val="en-AU"/>
              </w:rPr>
              <w:t xml:space="preserve"> </w:t>
            </w:r>
            <w:r w:rsidRPr="00F65403">
              <w:rPr>
                <w:b/>
                <w:color w:val="323031"/>
                <w:lang w:val="en-AU"/>
              </w:rPr>
              <w:t>and</w:t>
            </w:r>
            <w:r w:rsidRPr="00F65403">
              <w:rPr>
                <w:b/>
                <w:color w:val="323031"/>
                <w:spacing w:val="6"/>
                <w:lang w:val="en-AU"/>
              </w:rPr>
              <w:t xml:space="preserve"> </w:t>
            </w:r>
            <w:r w:rsidRPr="00F65403">
              <w:rPr>
                <w:b/>
                <w:color w:val="323031"/>
                <w:spacing w:val="-2"/>
                <w:lang w:val="en-AU"/>
              </w:rPr>
              <w:t>structure</w:t>
            </w:r>
          </w:p>
        </w:tc>
      </w:tr>
      <w:tr w:rsidR="008C3E51" w:rsidRPr="003323EF" w14:paraId="13C4A5F1" w14:textId="77777777" w:rsidTr="49BCD735">
        <w:tc>
          <w:tcPr>
            <w:tcW w:w="1990" w:type="dxa"/>
            <w:tcBorders>
              <w:top w:val="single" w:sz="2" w:space="0" w:color="390A56"/>
              <w:bottom w:val="single" w:sz="2" w:space="0" w:color="390A56"/>
            </w:tcBorders>
            <w:shd w:val="clear" w:color="auto" w:fill="FFFFFF" w:themeFill="background1"/>
          </w:tcPr>
          <w:p w14:paraId="39CCCDBD"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0FDA5CE" w14:textId="77777777" w:rsidR="008C3E51" w:rsidRPr="00F65403" w:rsidRDefault="008C3E51" w:rsidP="0080046F">
            <w:pPr>
              <w:pStyle w:val="TableParagraph"/>
              <w:spacing w:before="0"/>
              <w:rPr>
                <w:lang w:val="en-AU"/>
              </w:rPr>
            </w:pPr>
            <w:r w:rsidRPr="00F65403">
              <w:rPr>
                <w:color w:val="323031"/>
                <w:spacing w:val="-2"/>
                <w:w w:val="105"/>
                <w:lang w:val="en-AU"/>
              </w:rPr>
              <w:t>Organisational</w:t>
            </w:r>
            <w:r w:rsidRPr="00F65403">
              <w:rPr>
                <w:color w:val="323031"/>
                <w:spacing w:val="9"/>
                <w:w w:val="110"/>
                <w:lang w:val="en-AU"/>
              </w:rPr>
              <w:t xml:space="preserve"> </w:t>
            </w:r>
            <w:r w:rsidRPr="00F65403">
              <w:rPr>
                <w:color w:val="323031"/>
                <w:spacing w:val="-2"/>
                <w:w w:val="110"/>
                <w:lang w:val="en-AU"/>
              </w:rPr>
              <w:t>structure</w:t>
            </w:r>
          </w:p>
        </w:tc>
        <w:tc>
          <w:tcPr>
            <w:tcW w:w="760" w:type="dxa"/>
            <w:tcBorders>
              <w:top w:val="single" w:sz="2" w:space="0" w:color="390A56"/>
              <w:bottom w:val="single" w:sz="2" w:space="0" w:color="390A56"/>
            </w:tcBorders>
            <w:shd w:val="clear" w:color="auto" w:fill="FFFFFF" w:themeFill="background1"/>
          </w:tcPr>
          <w:p w14:paraId="1DCE70A8" w14:textId="024D795B" w:rsidR="008C3E51" w:rsidRPr="00F65403" w:rsidRDefault="00075038" w:rsidP="0010235E">
            <w:pPr>
              <w:pStyle w:val="TableParagraph"/>
              <w:spacing w:before="0"/>
              <w:jc w:val="center"/>
              <w:rPr>
                <w:lang w:val="en-AU"/>
              </w:rPr>
            </w:pPr>
            <w:r>
              <w:rPr>
                <w:lang w:val="en-AU"/>
              </w:rPr>
              <w:fldChar w:fldCharType="begin"/>
            </w:r>
            <w:r>
              <w:rPr>
                <w:lang w:val="en-AU"/>
              </w:rPr>
              <w:instrText xml:space="preserve"> PAGEREF _Ref207013036 \h </w:instrText>
            </w:r>
            <w:r>
              <w:rPr>
                <w:lang w:val="en-AU"/>
              </w:rPr>
            </w:r>
            <w:r>
              <w:rPr>
                <w:lang w:val="en-AU"/>
              </w:rPr>
              <w:fldChar w:fldCharType="separate"/>
            </w:r>
            <w:r w:rsidR="00BC7653">
              <w:rPr>
                <w:noProof/>
                <w:lang w:val="en-AU"/>
              </w:rPr>
              <w:t>19</w:t>
            </w:r>
            <w:r>
              <w:rPr>
                <w:lang w:val="en-AU"/>
              </w:rPr>
              <w:fldChar w:fldCharType="end"/>
            </w:r>
          </w:p>
        </w:tc>
      </w:tr>
      <w:tr w:rsidR="008C3E51" w:rsidRPr="003323EF" w14:paraId="093B85D3" w14:textId="77777777" w:rsidTr="49BCD735">
        <w:tc>
          <w:tcPr>
            <w:tcW w:w="9026" w:type="dxa"/>
            <w:gridSpan w:val="5"/>
            <w:tcBorders>
              <w:top w:val="single" w:sz="2" w:space="0" w:color="390A56"/>
              <w:bottom w:val="single" w:sz="2" w:space="0" w:color="390A56"/>
            </w:tcBorders>
            <w:shd w:val="clear" w:color="auto" w:fill="F0E3DE"/>
          </w:tcPr>
          <w:p w14:paraId="7A1EC369" w14:textId="77777777" w:rsidR="008C3E51" w:rsidRPr="00F65403" w:rsidRDefault="008C3E51" w:rsidP="0080046F">
            <w:pPr>
              <w:pStyle w:val="TableParagraph"/>
              <w:spacing w:before="0"/>
              <w:rPr>
                <w:b/>
                <w:lang w:val="en-AU"/>
              </w:rPr>
            </w:pPr>
            <w:r w:rsidRPr="00F65403">
              <w:rPr>
                <w:b/>
                <w:color w:val="323031"/>
                <w:spacing w:val="-2"/>
                <w:lang w:val="en-AU"/>
              </w:rPr>
              <w:t>Financial and other information</w:t>
            </w:r>
          </w:p>
        </w:tc>
      </w:tr>
      <w:tr w:rsidR="008C3E51" w:rsidRPr="003323EF" w14:paraId="2A6B07A3" w14:textId="77777777" w:rsidTr="49BCD735">
        <w:tc>
          <w:tcPr>
            <w:tcW w:w="1990" w:type="dxa"/>
            <w:tcBorders>
              <w:top w:val="single" w:sz="2" w:space="0" w:color="390A56"/>
              <w:bottom w:val="single" w:sz="2" w:space="0" w:color="390A56"/>
            </w:tcBorders>
            <w:shd w:val="clear" w:color="auto" w:fill="FFFFFF" w:themeFill="background1"/>
          </w:tcPr>
          <w:p w14:paraId="4B89B676"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10</w:t>
            </w:r>
          </w:p>
        </w:tc>
        <w:tc>
          <w:tcPr>
            <w:tcW w:w="6276" w:type="dxa"/>
            <w:gridSpan w:val="3"/>
            <w:tcBorders>
              <w:top w:val="single" w:sz="2" w:space="0" w:color="390A56"/>
              <w:bottom w:val="single" w:sz="2" w:space="0" w:color="390A56"/>
            </w:tcBorders>
            <w:shd w:val="clear" w:color="auto" w:fill="FFFFFF" w:themeFill="background1"/>
          </w:tcPr>
          <w:p w14:paraId="7D29994A" w14:textId="77777777" w:rsidR="008C3E51" w:rsidRPr="00F65403" w:rsidRDefault="008C3E51" w:rsidP="0080046F">
            <w:pPr>
              <w:pStyle w:val="TableParagraph"/>
              <w:spacing w:before="0"/>
              <w:rPr>
                <w:lang w:val="en-AU"/>
              </w:rPr>
            </w:pPr>
            <w:r w:rsidRPr="00F65403">
              <w:rPr>
                <w:color w:val="323031"/>
                <w:lang w:val="en-AU"/>
              </w:rPr>
              <w:t>Disclosure</w:t>
            </w:r>
            <w:r w:rsidRPr="00F65403">
              <w:rPr>
                <w:color w:val="323031"/>
                <w:spacing w:val="17"/>
                <w:lang w:val="en-AU"/>
              </w:rPr>
              <w:t xml:space="preserve"> </w:t>
            </w:r>
            <w:r w:rsidRPr="00F65403">
              <w:rPr>
                <w:color w:val="323031"/>
                <w:spacing w:val="-2"/>
                <w:lang w:val="en-AU"/>
              </w:rPr>
              <w:t>index</w:t>
            </w:r>
          </w:p>
        </w:tc>
        <w:tc>
          <w:tcPr>
            <w:tcW w:w="760" w:type="dxa"/>
            <w:tcBorders>
              <w:top w:val="single" w:sz="2" w:space="0" w:color="390A56"/>
              <w:bottom w:val="single" w:sz="2" w:space="0" w:color="390A56"/>
            </w:tcBorders>
            <w:shd w:val="clear" w:color="auto" w:fill="FFFFFF" w:themeFill="background1"/>
          </w:tcPr>
          <w:p w14:paraId="3FEAB693" w14:textId="25C4CB41" w:rsidR="008C3E51" w:rsidRPr="00F65403" w:rsidRDefault="00075038" w:rsidP="0010235E">
            <w:pPr>
              <w:pStyle w:val="TableParagraph"/>
              <w:spacing w:before="0"/>
              <w:jc w:val="center"/>
              <w:rPr>
                <w:lang w:val="en-AU"/>
              </w:rPr>
            </w:pPr>
            <w:r>
              <w:rPr>
                <w:lang w:val="en-AU"/>
              </w:rPr>
              <w:fldChar w:fldCharType="begin"/>
            </w:r>
            <w:r>
              <w:rPr>
                <w:lang w:val="en-AU"/>
              </w:rPr>
              <w:instrText xml:space="preserve"> PAGEREF _Ref207013054 \h </w:instrText>
            </w:r>
            <w:r>
              <w:rPr>
                <w:lang w:val="en-AU"/>
              </w:rPr>
            </w:r>
            <w:r>
              <w:rPr>
                <w:lang w:val="en-AU"/>
              </w:rPr>
              <w:fldChar w:fldCharType="separate"/>
            </w:r>
            <w:r w:rsidR="00BC7653">
              <w:rPr>
                <w:noProof/>
                <w:lang w:val="en-AU"/>
              </w:rPr>
              <w:t>95</w:t>
            </w:r>
            <w:r>
              <w:rPr>
                <w:lang w:val="en-AU"/>
              </w:rPr>
              <w:fldChar w:fldCharType="end"/>
            </w:r>
          </w:p>
        </w:tc>
      </w:tr>
      <w:tr w:rsidR="008C3E51" w:rsidRPr="003323EF" w14:paraId="0B7EDBA5" w14:textId="77777777" w:rsidTr="49BCD735">
        <w:tc>
          <w:tcPr>
            <w:tcW w:w="1990" w:type="dxa"/>
            <w:tcBorders>
              <w:top w:val="single" w:sz="2" w:space="0" w:color="390A56"/>
              <w:bottom w:val="single" w:sz="2" w:space="0" w:color="390A56"/>
            </w:tcBorders>
            <w:shd w:val="clear" w:color="auto" w:fill="FFFFFF" w:themeFill="background1"/>
          </w:tcPr>
          <w:p w14:paraId="6710B0B5"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6580E50" w14:textId="77777777" w:rsidR="008C3E51" w:rsidRPr="00F65403" w:rsidRDefault="008C3E51" w:rsidP="0080046F">
            <w:pPr>
              <w:pStyle w:val="TableParagraph"/>
              <w:spacing w:before="0"/>
              <w:rPr>
                <w:lang w:val="en-AU"/>
              </w:rPr>
            </w:pPr>
            <w:r w:rsidRPr="00F65403">
              <w:rPr>
                <w:color w:val="323031"/>
                <w:spacing w:val="2"/>
                <w:lang w:val="en-AU"/>
              </w:rPr>
              <w:t>Employment</w:t>
            </w:r>
            <w:r w:rsidRPr="00F65403">
              <w:rPr>
                <w:color w:val="323031"/>
                <w:spacing w:val="28"/>
                <w:lang w:val="en-AU"/>
              </w:rPr>
              <w:t xml:space="preserve"> </w:t>
            </w:r>
            <w:r w:rsidRPr="00F65403">
              <w:rPr>
                <w:color w:val="323031"/>
                <w:spacing w:val="2"/>
                <w:lang w:val="en-AU"/>
              </w:rPr>
              <w:t>and</w:t>
            </w:r>
            <w:r w:rsidRPr="00F65403">
              <w:rPr>
                <w:color w:val="323031"/>
                <w:spacing w:val="28"/>
                <w:lang w:val="en-AU"/>
              </w:rPr>
              <w:t xml:space="preserve"> </w:t>
            </w:r>
            <w:r w:rsidRPr="00F65403">
              <w:rPr>
                <w:color w:val="323031"/>
                <w:spacing w:val="2"/>
                <w:lang w:val="en-AU"/>
              </w:rPr>
              <w:t>conduct</w:t>
            </w:r>
            <w:r w:rsidRPr="00F65403">
              <w:rPr>
                <w:color w:val="323031"/>
                <w:spacing w:val="28"/>
                <w:lang w:val="en-AU"/>
              </w:rPr>
              <w:t xml:space="preserve"> </w:t>
            </w:r>
            <w:r w:rsidRPr="00F65403">
              <w:rPr>
                <w:color w:val="323031"/>
                <w:spacing w:val="-2"/>
                <w:lang w:val="en-AU"/>
              </w:rPr>
              <w:t>principles</w:t>
            </w:r>
          </w:p>
        </w:tc>
        <w:tc>
          <w:tcPr>
            <w:tcW w:w="760" w:type="dxa"/>
            <w:tcBorders>
              <w:top w:val="single" w:sz="2" w:space="0" w:color="390A56"/>
              <w:bottom w:val="single" w:sz="2" w:space="0" w:color="390A56"/>
            </w:tcBorders>
            <w:shd w:val="clear" w:color="auto" w:fill="FFFFFF" w:themeFill="background1"/>
          </w:tcPr>
          <w:p w14:paraId="7B29BE85" w14:textId="31030A21" w:rsidR="008C3E51" w:rsidRPr="00F65403" w:rsidRDefault="00E44529" w:rsidP="0010235E">
            <w:pPr>
              <w:pStyle w:val="TableParagraph"/>
              <w:spacing w:before="0"/>
              <w:jc w:val="center"/>
              <w:rPr>
                <w:lang w:val="en-AU"/>
              </w:rPr>
            </w:pPr>
            <w:r>
              <w:rPr>
                <w:lang w:val="en-AU"/>
              </w:rPr>
              <w:fldChar w:fldCharType="begin"/>
            </w:r>
            <w:r>
              <w:rPr>
                <w:lang w:val="en-AU"/>
              </w:rPr>
              <w:instrText xml:space="preserve"> PAGEREF _Ref207013129 \h </w:instrText>
            </w:r>
            <w:r>
              <w:rPr>
                <w:lang w:val="en-AU"/>
              </w:rPr>
            </w:r>
            <w:r>
              <w:rPr>
                <w:lang w:val="en-AU"/>
              </w:rPr>
              <w:fldChar w:fldCharType="separate"/>
            </w:r>
            <w:r w:rsidR="00BC7653">
              <w:rPr>
                <w:noProof/>
                <w:lang w:val="en-AU"/>
              </w:rPr>
              <w:t>36</w:t>
            </w:r>
            <w:r>
              <w:rPr>
                <w:lang w:val="en-AU"/>
              </w:rPr>
              <w:fldChar w:fldCharType="end"/>
            </w:r>
          </w:p>
        </w:tc>
      </w:tr>
      <w:tr w:rsidR="008C3E51" w:rsidRPr="003323EF" w14:paraId="4D3073FA" w14:textId="77777777" w:rsidTr="49BCD735">
        <w:tc>
          <w:tcPr>
            <w:tcW w:w="1990" w:type="dxa"/>
            <w:tcBorders>
              <w:top w:val="single" w:sz="2" w:space="0" w:color="390A56"/>
              <w:bottom w:val="single" w:sz="2" w:space="0" w:color="390A56"/>
            </w:tcBorders>
            <w:shd w:val="clear" w:color="auto" w:fill="FFFFFF" w:themeFill="background1"/>
          </w:tcPr>
          <w:p w14:paraId="1CBD0F00"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1BF54679" w14:textId="77777777" w:rsidR="008C3E51" w:rsidRPr="00F65403" w:rsidRDefault="008C3E51" w:rsidP="0080046F">
            <w:pPr>
              <w:pStyle w:val="TableParagraph"/>
              <w:spacing w:before="0"/>
              <w:rPr>
                <w:lang w:val="en-AU"/>
              </w:rPr>
            </w:pPr>
            <w:r w:rsidRPr="00F65403">
              <w:rPr>
                <w:color w:val="323031"/>
                <w:spacing w:val="2"/>
                <w:lang w:val="en-AU"/>
              </w:rPr>
              <w:t>Occupational</w:t>
            </w:r>
            <w:r w:rsidRPr="00F65403">
              <w:rPr>
                <w:color w:val="323031"/>
                <w:spacing w:val="22"/>
                <w:lang w:val="en-AU"/>
              </w:rPr>
              <w:t xml:space="preserve"> </w:t>
            </w:r>
            <w:r w:rsidRPr="00F65403">
              <w:rPr>
                <w:color w:val="323031"/>
                <w:spacing w:val="2"/>
                <w:lang w:val="en-AU"/>
              </w:rPr>
              <w:t>health</w:t>
            </w:r>
            <w:r w:rsidRPr="00F65403">
              <w:rPr>
                <w:color w:val="323031"/>
                <w:spacing w:val="22"/>
                <w:lang w:val="en-AU"/>
              </w:rPr>
              <w:t xml:space="preserve"> </w:t>
            </w:r>
            <w:r w:rsidRPr="00F65403">
              <w:rPr>
                <w:color w:val="323031"/>
                <w:spacing w:val="2"/>
                <w:lang w:val="en-AU"/>
              </w:rPr>
              <w:t>and</w:t>
            </w:r>
            <w:r w:rsidRPr="00F65403">
              <w:rPr>
                <w:color w:val="323031"/>
                <w:spacing w:val="22"/>
                <w:lang w:val="en-AU"/>
              </w:rPr>
              <w:t xml:space="preserve"> </w:t>
            </w:r>
            <w:r w:rsidRPr="00F65403">
              <w:rPr>
                <w:color w:val="323031"/>
                <w:spacing w:val="2"/>
                <w:lang w:val="en-AU"/>
              </w:rPr>
              <w:t>safety</w:t>
            </w:r>
            <w:r w:rsidRPr="00F65403">
              <w:rPr>
                <w:color w:val="323031"/>
                <w:spacing w:val="22"/>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2B9D50C6" w14:textId="3FD8A5BF" w:rsidR="008C3E51" w:rsidRPr="00F65403" w:rsidRDefault="00E44529" w:rsidP="0010235E">
            <w:pPr>
              <w:pStyle w:val="TableParagraph"/>
              <w:spacing w:before="0"/>
              <w:jc w:val="center"/>
              <w:rPr>
                <w:lang w:val="en-AU"/>
              </w:rPr>
            </w:pPr>
            <w:r>
              <w:rPr>
                <w:lang w:val="en-AU"/>
              </w:rPr>
              <w:fldChar w:fldCharType="begin"/>
            </w:r>
            <w:r>
              <w:rPr>
                <w:lang w:val="en-AU"/>
              </w:rPr>
              <w:instrText xml:space="preserve"> PAGEREF _Ref207013136 \h </w:instrText>
            </w:r>
            <w:r>
              <w:rPr>
                <w:lang w:val="en-AU"/>
              </w:rPr>
            </w:r>
            <w:r>
              <w:rPr>
                <w:lang w:val="en-AU"/>
              </w:rPr>
              <w:fldChar w:fldCharType="separate"/>
            </w:r>
            <w:r w:rsidR="00BC7653">
              <w:rPr>
                <w:noProof/>
                <w:lang w:val="en-AU"/>
              </w:rPr>
              <w:t>36</w:t>
            </w:r>
            <w:r>
              <w:rPr>
                <w:lang w:val="en-AU"/>
              </w:rPr>
              <w:fldChar w:fldCharType="end"/>
            </w:r>
          </w:p>
        </w:tc>
      </w:tr>
      <w:tr w:rsidR="008C3E51" w:rsidRPr="003323EF" w14:paraId="17056C1E" w14:textId="77777777" w:rsidTr="49BCD735">
        <w:tc>
          <w:tcPr>
            <w:tcW w:w="1990" w:type="dxa"/>
            <w:tcBorders>
              <w:top w:val="single" w:sz="2" w:space="0" w:color="390A56"/>
              <w:bottom w:val="single" w:sz="2" w:space="0" w:color="390A56"/>
            </w:tcBorders>
            <w:shd w:val="clear" w:color="auto" w:fill="FFFFFF" w:themeFill="background1"/>
          </w:tcPr>
          <w:p w14:paraId="56DE1290"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07B08DD" w14:textId="77777777" w:rsidR="008C3E51" w:rsidRPr="00F65403" w:rsidRDefault="008C3E51" w:rsidP="0080046F">
            <w:pPr>
              <w:pStyle w:val="TableParagraph"/>
              <w:spacing w:before="0"/>
              <w:rPr>
                <w:lang w:val="en-AU"/>
              </w:rPr>
            </w:pPr>
            <w:r w:rsidRPr="00F65403">
              <w:rPr>
                <w:color w:val="323031"/>
                <w:lang w:val="en-AU"/>
              </w:rPr>
              <w:t>Summary</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financial</w:t>
            </w:r>
            <w:r w:rsidRPr="00F65403">
              <w:rPr>
                <w:color w:val="323031"/>
                <w:spacing w:val="24"/>
                <w:lang w:val="en-AU"/>
              </w:rPr>
              <w:t xml:space="preserve"> </w:t>
            </w:r>
            <w:r w:rsidRPr="00F65403">
              <w:rPr>
                <w:color w:val="323031"/>
                <w:lang w:val="en-AU"/>
              </w:rPr>
              <w:t>results</w:t>
            </w:r>
            <w:r w:rsidRPr="00F65403">
              <w:rPr>
                <w:color w:val="323031"/>
                <w:spacing w:val="25"/>
                <w:lang w:val="en-AU"/>
              </w:rPr>
              <w:t xml:space="preserve"> </w:t>
            </w:r>
            <w:r w:rsidRPr="00F65403">
              <w:rPr>
                <w:color w:val="323031"/>
                <w:lang w:val="en-AU"/>
              </w:rPr>
              <w:t>for</w:t>
            </w:r>
            <w:r w:rsidRPr="00F65403">
              <w:rPr>
                <w:color w:val="323031"/>
                <w:spacing w:val="24"/>
                <w:lang w:val="en-AU"/>
              </w:rPr>
              <w:t xml:space="preserve"> </w:t>
            </w:r>
            <w:r w:rsidRPr="00F65403">
              <w:rPr>
                <w:color w:val="323031"/>
                <w:lang w:val="en-AU"/>
              </w:rPr>
              <w:t>the</w:t>
            </w:r>
            <w:r w:rsidRPr="00F65403">
              <w:rPr>
                <w:color w:val="323031"/>
                <w:spacing w:val="24"/>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2B0FC500" w14:textId="4E660BFC" w:rsidR="008C3E51" w:rsidRPr="00F65403" w:rsidRDefault="00E44529" w:rsidP="0010235E">
            <w:pPr>
              <w:pStyle w:val="TableParagraph"/>
              <w:spacing w:before="0"/>
              <w:jc w:val="center"/>
              <w:rPr>
                <w:lang w:val="en-AU"/>
              </w:rPr>
            </w:pPr>
            <w:r>
              <w:rPr>
                <w:lang w:val="en-AU"/>
              </w:rPr>
              <w:fldChar w:fldCharType="begin"/>
            </w:r>
            <w:r>
              <w:rPr>
                <w:lang w:val="en-AU"/>
              </w:rPr>
              <w:instrText xml:space="preserve"> PAGEREF _Ref207013148 \h </w:instrText>
            </w:r>
            <w:r>
              <w:rPr>
                <w:lang w:val="en-AU"/>
              </w:rPr>
            </w:r>
            <w:r>
              <w:rPr>
                <w:lang w:val="en-AU"/>
              </w:rPr>
              <w:fldChar w:fldCharType="separate"/>
            </w:r>
            <w:r w:rsidR="00BC7653">
              <w:rPr>
                <w:noProof/>
                <w:lang w:val="en-AU"/>
              </w:rPr>
              <w:t>39</w:t>
            </w:r>
            <w:r>
              <w:rPr>
                <w:lang w:val="en-AU"/>
              </w:rPr>
              <w:fldChar w:fldCharType="end"/>
            </w:r>
          </w:p>
        </w:tc>
      </w:tr>
      <w:tr w:rsidR="008C3E51" w:rsidRPr="003323EF" w14:paraId="78CB567F" w14:textId="77777777" w:rsidTr="49BCD735">
        <w:tc>
          <w:tcPr>
            <w:tcW w:w="1990" w:type="dxa"/>
            <w:tcBorders>
              <w:top w:val="single" w:sz="2" w:space="0" w:color="390A56"/>
              <w:bottom w:val="single" w:sz="2" w:space="0" w:color="390A56"/>
            </w:tcBorders>
            <w:shd w:val="clear" w:color="auto" w:fill="FFFFFF" w:themeFill="background1"/>
          </w:tcPr>
          <w:p w14:paraId="46116994"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50C32D3" w14:textId="77777777" w:rsidR="008C3E51" w:rsidRPr="00F65403" w:rsidRDefault="008C3E51" w:rsidP="0080046F">
            <w:pPr>
              <w:pStyle w:val="TableParagraph"/>
              <w:spacing w:before="0"/>
              <w:rPr>
                <w:lang w:val="en-AU"/>
              </w:rPr>
            </w:pPr>
            <w:r w:rsidRPr="00F65403">
              <w:rPr>
                <w:color w:val="323031"/>
                <w:lang w:val="en-AU"/>
              </w:rPr>
              <w:t>Significant</w:t>
            </w:r>
            <w:r w:rsidRPr="00F65403">
              <w:rPr>
                <w:color w:val="323031"/>
                <w:spacing w:val="28"/>
                <w:lang w:val="en-AU"/>
              </w:rPr>
              <w:t xml:space="preserve"> </w:t>
            </w:r>
            <w:r w:rsidRPr="00F65403">
              <w:rPr>
                <w:color w:val="323031"/>
                <w:lang w:val="en-AU"/>
              </w:rPr>
              <w:t>changes</w:t>
            </w:r>
            <w:r w:rsidRPr="00F65403">
              <w:rPr>
                <w:color w:val="323031"/>
                <w:spacing w:val="29"/>
                <w:lang w:val="en-AU"/>
              </w:rPr>
              <w:t xml:space="preserve"> </w:t>
            </w:r>
            <w:r w:rsidRPr="00F65403">
              <w:rPr>
                <w:color w:val="323031"/>
                <w:lang w:val="en-AU"/>
              </w:rPr>
              <w:t>in</w:t>
            </w:r>
            <w:r w:rsidRPr="00F65403">
              <w:rPr>
                <w:color w:val="323031"/>
                <w:spacing w:val="29"/>
                <w:lang w:val="en-AU"/>
              </w:rPr>
              <w:t xml:space="preserve"> </w:t>
            </w:r>
            <w:r w:rsidRPr="00F65403">
              <w:rPr>
                <w:color w:val="323031"/>
                <w:lang w:val="en-AU"/>
              </w:rPr>
              <w:t>financial</w:t>
            </w:r>
            <w:r w:rsidRPr="00F65403">
              <w:rPr>
                <w:color w:val="323031"/>
                <w:spacing w:val="28"/>
                <w:lang w:val="en-AU"/>
              </w:rPr>
              <w:t xml:space="preserve"> </w:t>
            </w:r>
            <w:r w:rsidRPr="00F65403">
              <w:rPr>
                <w:color w:val="323031"/>
                <w:lang w:val="en-AU"/>
              </w:rPr>
              <w:t>position</w:t>
            </w:r>
            <w:r w:rsidRPr="00F65403">
              <w:rPr>
                <w:color w:val="323031"/>
                <w:spacing w:val="29"/>
                <w:lang w:val="en-AU"/>
              </w:rPr>
              <w:t xml:space="preserve"> </w:t>
            </w:r>
            <w:r w:rsidRPr="00F65403">
              <w:rPr>
                <w:color w:val="323031"/>
                <w:lang w:val="en-AU"/>
              </w:rPr>
              <w:t>during</w:t>
            </w:r>
            <w:r w:rsidRPr="00F65403">
              <w:rPr>
                <w:color w:val="323031"/>
                <w:spacing w:val="29"/>
                <w:lang w:val="en-AU"/>
              </w:rPr>
              <w:t xml:space="preserve"> </w:t>
            </w:r>
            <w:r w:rsidRPr="00F65403">
              <w:rPr>
                <w:color w:val="323031"/>
                <w:lang w:val="en-AU"/>
              </w:rPr>
              <w:t>the</w:t>
            </w:r>
            <w:r w:rsidRPr="00F65403">
              <w:rPr>
                <w:color w:val="323031"/>
                <w:spacing w:val="29"/>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60069D3F" w14:textId="1915D31F" w:rsidR="008C3E51" w:rsidRPr="00F65403" w:rsidRDefault="001116BB" w:rsidP="0010235E">
            <w:pPr>
              <w:pStyle w:val="TableParagraph"/>
              <w:spacing w:before="0"/>
              <w:jc w:val="center"/>
              <w:rPr>
                <w:lang w:val="en-AU"/>
              </w:rPr>
            </w:pPr>
            <w:r>
              <w:rPr>
                <w:lang w:val="en-AU"/>
              </w:rPr>
              <w:fldChar w:fldCharType="begin"/>
            </w:r>
            <w:r>
              <w:rPr>
                <w:lang w:val="en-AU"/>
              </w:rPr>
              <w:instrText xml:space="preserve"> PAGEREF _Ref207013156 \h </w:instrText>
            </w:r>
            <w:r>
              <w:rPr>
                <w:lang w:val="en-AU"/>
              </w:rPr>
            </w:r>
            <w:r>
              <w:rPr>
                <w:lang w:val="en-AU"/>
              </w:rPr>
              <w:fldChar w:fldCharType="separate"/>
            </w:r>
            <w:r w:rsidR="00BC7653">
              <w:rPr>
                <w:noProof/>
                <w:lang w:val="en-AU"/>
              </w:rPr>
              <w:t>40</w:t>
            </w:r>
            <w:r>
              <w:rPr>
                <w:lang w:val="en-AU"/>
              </w:rPr>
              <w:fldChar w:fldCharType="end"/>
            </w:r>
          </w:p>
        </w:tc>
      </w:tr>
      <w:tr w:rsidR="008C3E51" w:rsidRPr="003323EF" w14:paraId="34C90A18" w14:textId="77777777" w:rsidTr="49BCD735">
        <w:tc>
          <w:tcPr>
            <w:tcW w:w="1990" w:type="dxa"/>
            <w:tcBorders>
              <w:top w:val="single" w:sz="2" w:space="0" w:color="390A56"/>
              <w:bottom w:val="single" w:sz="2" w:space="0" w:color="390A56"/>
            </w:tcBorders>
            <w:shd w:val="clear" w:color="auto" w:fill="FFFFFF" w:themeFill="background1"/>
          </w:tcPr>
          <w:p w14:paraId="2BC23375"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43CE9F1" w14:textId="77777777" w:rsidR="008C3E51" w:rsidRPr="00F65403" w:rsidRDefault="008C3E51" w:rsidP="0080046F">
            <w:pPr>
              <w:pStyle w:val="TableParagraph"/>
              <w:spacing w:before="0"/>
              <w:rPr>
                <w:lang w:val="en-AU"/>
              </w:rPr>
            </w:pPr>
            <w:r w:rsidRPr="00F65403">
              <w:rPr>
                <w:color w:val="323031"/>
                <w:spacing w:val="-2"/>
                <w:w w:val="110"/>
                <w:lang w:val="en-AU"/>
              </w:rPr>
              <w:t>Major</w:t>
            </w:r>
            <w:r w:rsidRPr="00F65403">
              <w:rPr>
                <w:color w:val="323031"/>
                <w:spacing w:val="-7"/>
                <w:w w:val="110"/>
                <w:lang w:val="en-AU"/>
              </w:rPr>
              <w:t xml:space="preserve"> </w:t>
            </w:r>
            <w:r w:rsidRPr="00F65403">
              <w:rPr>
                <w:color w:val="323031"/>
                <w:spacing w:val="-2"/>
                <w:w w:val="110"/>
                <w:lang w:val="en-AU"/>
              </w:rPr>
              <w:t>changes</w:t>
            </w:r>
            <w:r w:rsidRPr="00F65403">
              <w:rPr>
                <w:color w:val="323031"/>
                <w:spacing w:val="-7"/>
                <w:w w:val="110"/>
                <w:lang w:val="en-AU"/>
              </w:rPr>
              <w:t xml:space="preserve"> </w:t>
            </w:r>
            <w:r w:rsidRPr="00F65403">
              <w:rPr>
                <w:color w:val="323031"/>
                <w:spacing w:val="-2"/>
                <w:w w:val="110"/>
                <w:lang w:val="en-AU"/>
              </w:rPr>
              <w:t>or</w:t>
            </w:r>
            <w:r w:rsidRPr="00F65403">
              <w:rPr>
                <w:color w:val="323031"/>
                <w:spacing w:val="-7"/>
                <w:w w:val="110"/>
                <w:lang w:val="en-AU"/>
              </w:rPr>
              <w:t xml:space="preserve"> </w:t>
            </w:r>
            <w:r w:rsidRPr="00F65403">
              <w:rPr>
                <w:color w:val="323031"/>
                <w:spacing w:val="-2"/>
                <w:w w:val="110"/>
                <w:lang w:val="en-AU"/>
              </w:rPr>
              <w:t>factors</w:t>
            </w:r>
            <w:r w:rsidRPr="00F65403">
              <w:rPr>
                <w:color w:val="323031"/>
                <w:spacing w:val="-7"/>
                <w:w w:val="110"/>
                <w:lang w:val="en-AU"/>
              </w:rPr>
              <w:t xml:space="preserve"> </w:t>
            </w:r>
            <w:r w:rsidRPr="00F65403">
              <w:rPr>
                <w:color w:val="323031"/>
                <w:spacing w:val="-2"/>
                <w:w w:val="110"/>
                <w:lang w:val="en-AU"/>
              </w:rPr>
              <w:t>affecting</w:t>
            </w:r>
            <w:r w:rsidRPr="00F65403">
              <w:rPr>
                <w:color w:val="323031"/>
                <w:spacing w:val="-7"/>
                <w:w w:val="110"/>
                <w:lang w:val="en-AU"/>
              </w:rPr>
              <w:t xml:space="preserve"> </w:t>
            </w:r>
            <w:r w:rsidRPr="00F65403">
              <w:rPr>
                <w:color w:val="323031"/>
                <w:spacing w:val="-2"/>
                <w:w w:val="110"/>
                <w:lang w:val="en-AU"/>
              </w:rPr>
              <w:t>performance</w:t>
            </w:r>
          </w:p>
        </w:tc>
        <w:tc>
          <w:tcPr>
            <w:tcW w:w="760" w:type="dxa"/>
            <w:tcBorders>
              <w:top w:val="single" w:sz="2" w:space="0" w:color="390A56"/>
              <w:bottom w:val="single" w:sz="2" w:space="0" w:color="390A56"/>
            </w:tcBorders>
            <w:shd w:val="clear" w:color="auto" w:fill="FFFFFF" w:themeFill="background1"/>
          </w:tcPr>
          <w:p w14:paraId="3FE7A59B" w14:textId="42A5E258" w:rsidR="008C3E51" w:rsidRPr="00F65403" w:rsidRDefault="001116BB" w:rsidP="0010235E">
            <w:pPr>
              <w:pStyle w:val="TableParagraph"/>
              <w:spacing w:before="0"/>
              <w:jc w:val="center"/>
              <w:rPr>
                <w:lang w:val="en-AU"/>
              </w:rPr>
            </w:pPr>
            <w:r>
              <w:rPr>
                <w:lang w:val="en-AU"/>
              </w:rPr>
              <w:fldChar w:fldCharType="begin"/>
            </w:r>
            <w:r>
              <w:rPr>
                <w:lang w:val="en-AU"/>
              </w:rPr>
              <w:instrText xml:space="preserve"> PAGEREF _Ref207013171 \h </w:instrText>
            </w:r>
            <w:r>
              <w:rPr>
                <w:lang w:val="en-AU"/>
              </w:rPr>
            </w:r>
            <w:r>
              <w:rPr>
                <w:lang w:val="en-AU"/>
              </w:rPr>
              <w:fldChar w:fldCharType="separate"/>
            </w:r>
            <w:r w:rsidR="00BC7653">
              <w:rPr>
                <w:noProof/>
                <w:lang w:val="en-AU"/>
              </w:rPr>
              <w:t>39</w:t>
            </w:r>
            <w:r>
              <w:rPr>
                <w:lang w:val="en-AU"/>
              </w:rPr>
              <w:fldChar w:fldCharType="end"/>
            </w:r>
          </w:p>
        </w:tc>
      </w:tr>
      <w:tr w:rsidR="008C3E51" w:rsidRPr="003323EF" w14:paraId="16BB5314" w14:textId="77777777" w:rsidTr="49BCD735">
        <w:tc>
          <w:tcPr>
            <w:tcW w:w="1990" w:type="dxa"/>
            <w:tcBorders>
              <w:top w:val="single" w:sz="2" w:space="0" w:color="390A56"/>
              <w:bottom w:val="single" w:sz="2" w:space="0" w:color="390A56"/>
            </w:tcBorders>
            <w:shd w:val="clear" w:color="auto" w:fill="FFFFFF" w:themeFill="background1"/>
          </w:tcPr>
          <w:p w14:paraId="1F950BF1"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3F7F27F" w14:textId="77777777" w:rsidR="008C3E51" w:rsidRPr="00F65403" w:rsidRDefault="008C3E51" w:rsidP="0080046F">
            <w:pPr>
              <w:pStyle w:val="TableParagraph"/>
              <w:spacing w:before="0"/>
              <w:rPr>
                <w:lang w:val="en-AU"/>
              </w:rPr>
            </w:pPr>
            <w:r w:rsidRPr="00F65403">
              <w:rPr>
                <w:color w:val="323031"/>
                <w:spacing w:val="2"/>
                <w:lang w:val="en-AU"/>
              </w:rPr>
              <w:t>Subsequent</w:t>
            </w:r>
            <w:r w:rsidRPr="00F65403">
              <w:rPr>
                <w:color w:val="323031"/>
                <w:spacing w:val="13"/>
                <w:lang w:val="en-AU"/>
              </w:rPr>
              <w:t xml:space="preserve"> </w:t>
            </w:r>
            <w:r w:rsidRPr="00F65403">
              <w:rPr>
                <w:color w:val="323031"/>
                <w:spacing w:val="-2"/>
                <w:lang w:val="en-AU"/>
              </w:rPr>
              <w:t>events</w:t>
            </w:r>
          </w:p>
        </w:tc>
        <w:tc>
          <w:tcPr>
            <w:tcW w:w="760" w:type="dxa"/>
            <w:tcBorders>
              <w:top w:val="single" w:sz="2" w:space="0" w:color="390A56"/>
              <w:bottom w:val="single" w:sz="2" w:space="0" w:color="390A56"/>
            </w:tcBorders>
            <w:shd w:val="clear" w:color="auto" w:fill="FFFFFF" w:themeFill="background1"/>
          </w:tcPr>
          <w:p w14:paraId="4A1EB2BA" w14:textId="3C967C49" w:rsidR="008C3E51" w:rsidRPr="00F65403" w:rsidRDefault="001116BB" w:rsidP="0010235E">
            <w:pPr>
              <w:pStyle w:val="TableParagraph"/>
              <w:spacing w:before="0"/>
              <w:jc w:val="center"/>
              <w:rPr>
                <w:lang w:val="en-AU"/>
              </w:rPr>
            </w:pPr>
            <w:r>
              <w:rPr>
                <w:lang w:val="en-AU"/>
              </w:rPr>
              <w:fldChar w:fldCharType="begin"/>
            </w:r>
            <w:r>
              <w:rPr>
                <w:lang w:val="en-AU"/>
              </w:rPr>
              <w:instrText xml:space="preserve"> PAGEREF _Ref207013180 \h </w:instrText>
            </w:r>
            <w:r>
              <w:rPr>
                <w:lang w:val="en-AU"/>
              </w:rPr>
            </w:r>
            <w:r>
              <w:rPr>
                <w:lang w:val="en-AU"/>
              </w:rPr>
              <w:fldChar w:fldCharType="separate"/>
            </w:r>
            <w:r w:rsidR="00BC7653">
              <w:rPr>
                <w:noProof/>
                <w:lang w:val="en-AU"/>
              </w:rPr>
              <w:t>44</w:t>
            </w:r>
            <w:r>
              <w:rPr>
                <w:lang w:val="en-AU"/>
              </w:rPr>
              <w:fldChar w:fldCharType="end"/>
            </w:r>
          </w:p>
        </w:tc>
      </w:tr>
      <w:tr w:rsidR="008C3E51" w:rsidRPr="003323EF" w14:paraId="68F84FFA" w14:textId="77777777" w:rsidTr="49BCD735">
        <w:tc>
          <w:tcPr>
            <w:tcW w:w="1990" w:type="dxa"/>
            <w:tcBorders>
              <w:top w:val="single" w:sz="2" w:space="0" w:color="390A56"/>
              <w:bottom w:val="single" w:sz="2" w:space="0" w:color="390A56"/>
            </w:tcBorders>
            <w:shd w:val="clear" w:color="auto" w:fill="FFFFFF" w:themeFill="background1"/>
          </w:tcPr>
          <w:p w14:paraId="2B6EE103"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7BAF326" w14:textId="77777777" w:rsidR="008C3E51" w:rsidRPr="00F65403" w:rsidRDefault="008C3E51" w:rsidP="0080046F">
            <w:pPr>
              <w:pStyle w:val="TableParagraph"/>
              <w:spacing w:before="0"/>
              <w:rPr>
                <w:i/>
                <w:lang w:val="en-AU"/>
              </w:rPr>
            </w:pPr>
            <w:r w:rsidRPr="00F65403">
              <w:rPr>
                <w:color w:val="323031"/>
                <w:lang w:val="en-AU"/>
              </w:rPr>
              <w:t>Application</w:t>
            </w:r>
            <w:r w:rsidRPr="00F65403">
              <w:rPr>
                <w:color w:val="323031"/>
                <w:spacing w:val="28"/>
                <w:lang w:val="en-AU"/>
              </w:rPr>
              <w:t xml:space="preserve"> </w:t>
            </w:r>
            <w:r w:rsidRPr="00F65403">
              <w:rPr>
                <w:color w:val="323031"/>
                <w:lang w:val="en-AU"/>
              </w:rPr>
              <w:t>and</w:t>
            </w:r>
            <w:r w:rsidRPr="00F65403">
              <w:rPr>
                <w:color w:val="323031"/>
                <w:spacing w:val="29"/>
                <w:lang w:val="en-AU"/>
              </w:rPr>
              <w:t xml:space="preserve"> </w:t>
            </w:r>
            <w:r w:rsidRPr="00F65403">
              <w:rPr>
                <w:color w:val="323031"/>
                <w:lang w:val="en-AU"/>
              </w:rPr>
              <w:t>operation</w:t>
            </w:r>
            <w:r w:rsidRPr="00F65403">
              <w:rPr>
                <w:color w:val="323031"/>
                <w:spacing w:val="29"/>
                <w:lang w:val="en-AU"/>
              </w:rPr>
              <w:t xml:space="preserve"> </w:t>
            </w:r>
            <w:r w:rsidRPr="00F65403">
              <w:rPr>
                <w:color w:val="323031"/>
                <w:lang w:val="en-AU"/>
              </w:rPr>
              <w:t>of</w:t>
            </w:r>
            <w:r w:rsidRPr="00F65403">
              <w:rPr>
                <w:color w:val="323031"/>
                <w:spacing w:val="29"/>
                <w:lang w:val="en-AU"/>
              </w:rPr>
              <w:t xml:space="preserve"> </w:t>
            </w:r>
            <w:r w:rsidRPr="00F65403">
              <w:rPr>
                <w:i/>
                <w:color w:val="323031"/>
                <w:lang w:val="en-AU"/>
              </w:rPr>
              <w:t>Freedom</w:t>
            </w:r>
            <w:r w:rsidRPr="00F65403">
              <w:rPr>
                <w:i/>
                <w:color w:val="323031"/>
                <w:spacing w:val="29"/>
                <w:lang w:val="en-AU"/>
              </w:rPr>
              <w:t xml:space="preserve"> </w:t>
            </w:r>
            <w:r w:rsidRPr="00F65403">
              <w:rPr>
                <w:i/>
                <w:color w:val="323031"/>
                <w:lang w:val="en-AU"/>
              </w:rPr>
              <w:t>of</w:t>
            </w:r>
            <w:r w:rsidRPr="00F65403">
              <w:rPr>
                <w:i/>
                <w:color w:val="323031"/>
                <w:spacing w:val="29"/>
                <w:lang w:val="en-AU"/>
              </w:rPr>
              <w:t xml:space="preserve"> </w:t>
            </w:r>
            <w:r w:rsidRPr="00F65403">
              <w:rPr>
                <w:i/>
                <w:color w:val="323031"/>
                <w:lang w:val="en-AU"/>
              </w:rPr>
              <w:t>Information</w:t>
            </w:r>
            <w:r w:rsidRPr="00F65403">
              <w:rPr>
                <w:i/>
                <w:color w:val="323031"/>
                <w:spacing w:val="29"/>
                <w:lang w:val="en-AU"/>
              </w:rPr>
              <w:t xml:space="preserve"> </w:t>
            </w:r>
            <w:r w:rsidRPr="00F65403">
              <w:rPr>
                <w:i/>
                <w:color w:val="323031"/>
                <w:lang w:val="en-AU"/>
              </w:rPr>
              <w:t>Act</w:t>
            </w:r>
            <w:r w:rsidRPr="00F65403">
              <w:rPr>
                <w:i/>
                <w:color w:val="323031"/>
                <w:spacing w:val="29"/>
                <w:lang w:val="en-AU"/>
              </w:rPr>
              <w:t xml:space="preserve"> </w:t>
            </w:r>
            <w:r w:rsidRPr="00F65403">
              <w:rPr>
                <w:i/>
                <w:color w:val="323031"/>
                <w:spacing w:val="-4"/>
                <w:lang w:val="en-AU"/>
              </w:rPr>
              <w:t>1982</w:t>
            </w:r>
          </w:p>
        </w:tc>
        <w:tc>
          <w:tcPr>
            <w:tcW w:w="760" w:type="dxa"/>
            <w:tcBorders>
              <w:top w:val="single" w:sz="2" w:space="0" w:color="390A56"/>
              <w:bottom w:val="single" w:sz="2" w:space="0" w:color="390A56"/>
            </w:tcBorders>
            <w:shd w:val="clear" w:color="auto" w:fill="FFFFFF" w:themeFill="background1"/>
          </w:tcPr>
          <w:p w14:paraId="3A0EE873" w14:textId="26E201F6"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_Ref207013195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5D2A3188" w14:textId="77777777" w:rsidTr="49BCD735">
        <w:tc>
          <w:tcPr>
            <w:tcW w:w="1990" w:type="dxa"/>
            <w:tcBorders>
              <w:top w:val="single" w:sz="2" w:space="0" w:color="390A56"/>
              <w:bottom w:val="single" w:sz="2" w:space="0" w:color="390A56"/>
            </w:tcBorders>
            <w:shd w:val="clear" w:color="auto" w:fill="FFFFFF" w:themeFill="background1"/>
          </w:tcPr>
          <w:p w14:paraId="19211F9C"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6C66BD4" w14:textId="77777777" w:rsidR="008C3E51" w:rsidRPr="00F65403" w:rsidRDefault="008C3E51" w:rsidP="0080046F">
            <w:pPr>
              <w:pStyle w:val="TableParagraph"/>
              <w:spacing w:before="0"/>
              <w:rPr>
                <w:i/>
                <w:lang w:val="en-AU"/>
              </w:rPr>
            </w:pPr>
            <w:r w:rsidRPr="00F65403">
              <w:rPr>
                <w:color w:val="323031"/>
                <w:lang w:val="en-AU"/>
              </w:rPr>
              <w:t xml:space="preserve">Compliance with building and maintenance provisions of </w:t>
            </w:r>
            <w:r w:rsidRPr="00F65403">
              <w:rPr>
                <w:i/>
                <w:color w:val="323031"/>
                <w:lang w:val="en-AU"/>
              </w:rPr>
              <w:t>Building</w:t>
            </w:r>
            <w:r w:rsidRPr="00F65403">
              <w:rPr>
                <w:i/>
                <w:color w:val="323031"/>
                <w:spacing w:val="40"/>
                <w:w w:val="110"/>
                <w:lang w:val="en-AU"/>
              </w:rPr>
              <w:t xml:space="preserve"> </w:t>
            </w:r>
            <w:r w:rsidRPr="00F65403">
              <w:rPr>
                <w:i/>
                <w:color w:val="323031"/>
                <w:w w:val="110"/>
                <w:lang w:val="en-AU"/>
              </w:rPr>
              <w:t>Act</w:t>
            </w:r>
            <w:r w:rsidRPr="00F65403">
              <w:rPr>
                <w:i/>
                <w:color w:val="323031"/>
                <w:spacing w:val="-17"/>
                <w:w w:val="110"/>
                <w:lang w:val="en-AU"/>
              </w:rPr>
              <w:t xml:space="preserve"> </w:t>
            </w:r>
            <w:r w:rsidRPr="00F65403">
              <w:rPr>
                <w:i/>
                <w:color w:val="323031"/>
                <w:w w:val="110"/>
                <w:lang w:val="en-AU"/>
              </w:rPr>
              <w:t>1993</w:t>
            </w:r>
          </w:p>
        </w:tc>
        <w:tc>
          <w:tcPr>
            <w:tcW w:w="760" w:type="dxa"/>
            <w:tcBorders>
              <w:top w:val="single" w:sz="2" w:space="0" w:color="390A56"/>
              <w:bottom w:val="single" w:sz="2" w:space="0" w:color="390A56"/>
            </w:tcBorders>
            <w:shd w:val="clear" w:color="auto" w:fill="FFFFFF" w:themeFill="background1"/>
          </w:tcPr>
          <w:p w14:paraId="25237AC9" w14:textId="7E220B10"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_Ref207013204 \h </w:instrText>
            </w:r>
            <w:r>
              <w:rPr>
                <w:lang w:val="en-AU"/>
              </w:rPr>
            </w:r>
            <w:r>
              <w:rPr>
                <w:lang w:val="en-AU"/>
              </w:rPr>
              <w:fldChar w:fldCharType="separate"/>
            </w:r>
            <w:r w:rsidR="00BC7653">
              <w:rPr>
                <w:noProof/>
                <w:lang w:val="en-AU"/>
              </w:rPr>
              <w:t>94</w:t>
            </w:r>
            <w:r>
              <w:rPr>
                <w:lang w:val="en-AU"/>
              </w:rPr>
              <w:fldChar w:fldCharType="end"/>
            </w:r>
          </w:p>
        </w:tc>
      </w:tr>
      <w:tr w:rsidR="008C3E51" w:rsidRPr="003323EF" w14:paraId="5D1D9596" w14:textId="77777777" w:rsidTr="49BCD735">
        <w:tc>
          <w:tcPr>
            <w:tcW w:w="1990" w:type="dxa"/>
            <w:tcBorders>
              <w:top w:val="single" w:sz="2" w:space="0" w:color="390A56"/>
              <w:bottom w:val="single" w:sz="2" w:space="0" w:color="390A56"/>
            </w:tcBorders>
            <w:shd w:val="clear" w:color="auto" w:fill="FFFFFF" w:themeFill="background1"/>
          </w:tcPr>
          <w:p w14:paraId="36BB174F"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279F090" w14:textId="77777777" w:rsidR="008C3E51" w:rsidRPr="00F65403" w:rsidRDefault="008C3E51" w:rsidP="0080046F">
            <w:pPr>
              <w:pStyle w:val="TableParagraph"/>
              <w:spacing w:before="0"/>
              <w:rPr>
                <w:lang w:val="en-AU"/>
              </w:rPr>
            </w:pPr>
            <w:r w:rsidRPr="00F65403">
              <w:rPr>
                <w:color w:val="323031"/>
                <w:spacing w:val="2"/>
                <w:lang w:val="en-AU"/>
              </w:rPr>
              <w:t>Statement</w:t>
            </w:r>
            <w:r w:rsidRPr="00F65403">
              <w:rPr>
                <w:color w:val="323031"/>
                <w:spacing w:val="28"/>
                <w:lang w:val="en-AU"/>
              </w:rPr>
              <w:t xml:space="preserve"> </w:t>
            </w:r>
            <w:r w:rsidRPr="00F65403">
              <w:rPr>
                <w:color w:val="323031"/>
                <w:spacing w:val="2"/>
                <w:lang w:val="en-AU"/>
              </w:rPr>
              <w:t>on</w:t>
            </w:r>
            <w:r w:rsidRPr="00F65403">
              <w:rPr>
                <w:color w:val="323031"/>
                <w:spacing w:val="29"/>
                <w:lang w:val="en-AU"/>
              </w:rPr>
              <w:t xml:space="preserve"> </w:t>
            </w:r>
            <w:r w:rsidRPr="00F65403">
              <w:rPr>
                <w:color w:val="323031"/>
                <w:spacing w:val="2"/>
                <w:lang w:val="en-AU"/>
              </w:rPr>
              <w:t>National</w:t>
            </w:r>
            <w:r w:rsidRPr="00F65403">
              <w:rPr>
                <w:color w:val="323031"/>
                <w:spacing w:val="28"/>
                <w:lang w:val="en-AU"/>
              </w:rPr>
              <w:t xml:space="preserve"> </w:t>
            </w:r>
            <w:r w:rsidRPr="00F65403">
              <w:rPr>
                <w:color w:val="323031"/>
                <w:spacing w:val="2"/>
                <w:lang w:val="en-AU"/>
              </w:rPr>
              <w:t>Competition</w:t>
            </w:r>
            <w:r w:rsidRPr="00F65403">
              <w:rPr>
                <w:color w:val="323031"/>
                <w:spacing w:val="29"/>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5B0EAD5C" w14:textId="1556023A"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_Ref207013210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34A2111E" w14:textId="77777777" w:rsidTr="49BCD735">
        <w:tc>
          <w:tcPr>
            <w:tcW w:w="1990" w:type="dxa"/>
            <w:tcBorders>
              <w:top w:val="single" w:sz="2" w:space="0" w:color="390A56"/>
              <w:bottom w:val="single" w:sz="2" w:space="0" w:color="390A56"/>
            </w:tcBorders>
            <w:shd w:val="clear" w:color="auto" w:fill="FFFFFF" w:themeFill="background1"/>
          </w:tcPr>
          <w:p w14:paraId="53007C4C"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4AD6386" w14:textId="77777777" w:rsidR="008C3E51" w:rsidRPr="00F65403" w:rsidRDefault="008C3E51" w:rsidP="0080046F">
            <w:pPr>
              <w:pStyle w:val="TableParagraph"/>
              <w:spacing w:before="0"/>
              <w:rPr>
                <w:i/>
                <w:lang w:val="en-AU"/>
              </w:rPr>
            </w:pPr>
            <w:r w:rsidRPr="00F65403">
              <w:rPr>
                <w:color w:val="323031"/>
                <w:lang w:val="en-AU"/>
              </w:rPr>
              <w:t>Application</w:t>
            </w:r>
            <w:r w:rsidRPr="00F65403">
              <w:rPr>
                <w:color w:val="323031"/>
                <w:spacing w:val="21"/>
                <w:lang w:val="en-AU"/>
              </w:rPr>
              <w:t xml:space="preserve"> </w:t>
            </w:r>
            <w:r w:rsidRPr="00F65403">
              <w:rPr>
                <w:color w:val="323031"/>
                <w:lang w:val="en-AU"/>
              </w:rPr>
              <w:t>and</w:t>
            </w:r>
            <w:r w:rsidRPr="00F65403">
              <w:rPr>
                <w:color w:val="323031"/>
                <w:spacing w:val="22"/>
                <w:lang w:val="en-AU"/>
              </w:rPr>
              <w:t xml:space="preserve"> </w:t>
            </w:r>
            <w:r w:rsidRPr="00F65403">
              <w:rPr>
                <w:color w:val="323031"/>
                <w:lang w:val="en-AU"/>
              </w:rPr>
              <w:t>operation</w:t>
            </w:r>
            <w:r w:rsidRPr="00F65403">
              <w:rPr>
                <w:color w:val="323031"/>
                <w:spacing w:val="21"/>
                <w:lang w:val="en-AU"/>
              </w:rPr>
              <w:t xml:space="preserve"> </w:t>
            </w:r>
            <w:r w:rsidRPr="00F65403">
              <w:rPr>
                <w:color w:val="323031"/>
                <w:lang w:val="en-AU"/>
              </w:rPr>
              <w:t>of</w:t>
            </w:r>
            <w:r w:rsidRPr="00F65403">
              <w:rPr>
                <w:color w:val="323031"/>
                <w:spacing w:val="22"/>
                <w:lang w:val="en-AU"/>
              </w:rPr>
              <w:t xml:space="preserve"> </w:t>
            </w:r>
            <w:r w:rsidRPr="00F65403">
              <w:rPr>
                <w:color w:val="323031"/>
                <w:lang w:val="en-AU"/>
              </w:rPr>
              <w:t>the</w:t>
            </w:r>
            <w:r w:rsidRPr="00F65403">
              <w:rPr>
                <w:color w:val="323031"/>
                <w:spacing w:val="21"/>
                <w:lang w:val="en-AU"/>
              </w:rPr>
              <w:t xml:space="preserve"> </w:t>
            </w:r>
            <w:r w:rsidRPr="00F65403">
              <w:rPr>
                <w:i/>
                <w:color w:val="323031"/>
                <w:lang w:val="en-AU"/>
              </w:rPr>
              <w:t>Public</w:t>
            </w:r>
            <w:r w:rsidRPr="00F65403">
              <w:rPr>
                <w:i/>
                <w:color w:val="323031"/>
                <w:spacing w:val="22"/>
                <w:lang w:val="en-AU"/>
              </w:rPr>
              <w:t xml:space="preserve"> </w:t>
            </w:r>
            <w:r w:rsidRPr="00F65403">
              <w:rPr>
                <w:i/>
                <w:color w:val="323031"/>
                <w:lang w:val="en-AU"/>
              </w:rPr>
              <w:t>Interest</w:t>
            </w:r>
            <w:r w:rsidRPr="00F65403">
              <w:rPr>
                <w:i/>
                <w:color w:val="323031"/>
                <w:spacing w:val="21"/>
                <w:lang w:val="en-AU"/>
              </w:rPr>
              <w:t xml:space="preserve"> </w:t>
            </w:r>
            <w:r w:rsidRPr="00F65403">
              <w:rPr>
                <w:i/>
                <w:color w:val="323031"/>
                <w:lang w:val="en-AU"/>
              </w:rPr>
              <w:t>Disclosures</w:t>
            </w:r>
            <w:r w:rsidRPr="00F65403">
              <w:rPr>
                <w:i/>
                <w:color w:val="323031"/>
                <w:spacing w:val="22"/>
                <w:lang w:val="en-AU"/>
              </w:rPr>
              <w:t xml:space="preserve"> </w:t>
            </w:r>
            <w:r w:rsidRPr="00F65403">
              <w:rPr>
                <w:i/>
                <w:color w:val="323031"/>
                <w:lang w:val="en-AU"/>
              </w:rPr>
              <w:t>Act</w:t>
            </w:r>
            <w:r w:rsidRPr="00F65403">
              <w:rPr>
                <w:i/>
                <w:color w:val="323031"/>
                <w:spacing w:val="21"/>
                <w:lang w:val="en-AU"/>
              </w:rPr>
              <w:t xml:space="preserve"> </w:t>
            </w:r>
            <w:r w:rsidRPr="00F65403">
              <w:rPr>
                <w:i/>
                <w:color w:val="323031"/>
                <w:spacing w:val="-4"/>
                <w:lang w:val="en-AU"/>
              </w:rPr>
              <w:t>2012</w:t>
            </w:r>
          </w:p>
        </w:tc>
        <w:tc>
          <w:tcPr>
            <w:tcW w:w="760" w:type="dxa"/>
            <w:tcBorders>
              <w:top w:val="single" w:sz="2" w:space="0" w:color="390A56"/>
              <w:bottom w:val="single" w:sz="2" w:space="0" w:color="390A56"/>
            </w:tcBorders>
            <w:shd w:val="clear" w:color="auto" w:fill="FFFFFF" w:themeFill="background1"/>
          </w:tcPr>
          <w:p w14:paraId="1ACFE572" w14:textId="5B5682D3"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_Ref207013217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5960DA3A" w14:textId="77777777" w:rsidTr="49BCD735">
        <w:tc>
          <w:tcPr>
            <w:tcW w:w="1990" w:type="dxa"/>
            <w:tcBorders>
              <w:top w:val="single" w:sz="2" w:space="0" w:color="390A56"/>
              <w:bottom w:val="single" w:sz="2" w:space="0" w:color="390A56"/>
            </w:tcBorders>
            <w:shd w:val="clear" w:color="auto" w:fill="FFFFFF" w:themeFill="background1"/>
          </w:tcPr>
          <w:p w14:paraId="48778969"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CDF4EFF" w14:textId="77777777" w:rsidR="008C3E51" w:rsidRPr="00F65403" w:rsidRDefault="008C3E51" w:rsidP="0080046F">
            <w:pPr>
              <w:pStyle w:val="TableParagraph"/>
              <w:spacing w:before="0"/>
              <w:rPr>
                <w:lang w:val="en-AU"/>
              </w:rPr>
            </w:pPr>
            <w:r w:rsidRPr="00F65403">
              <w:rPr>
                <w:color w:val="323031"/>
                <w:lang w:val="en-AU"/>
              </w:rPr>
              <w:t>Details</w:t>
            </w:r>
            <w:r w:rsidRPr="00F65403">
              <w:rPr>
                <w:color w:val="323031"/>
                <w:spacing w:val="24"/>
                <w:lang w:val="en-AU"/>
              </w:rPr>
              <w:t xml:space="preserve"> </w:t>
            </w:r>
            <w:r w:rsidRPr="00F65403">
              <w:rPr>
                <w:color w:val="323031"/>
                <w:lang w:val="en-AU"/>
              </w:rPr>
              <w:t>of</w:t>
            </w:r>
            <w:r w:rsidRPr="00F65403">
              <w:rPr>
                <w:color w:val="323031"/>
                <w:spacing w:val="23"/>
                <w:lang w:val="en-AU"/>
              </w:rPr>
              <w:t xml:space="preserve"> </w:t>
            </w:r>
            <w:r w:rsidRPr="00F65403">
              <w:rPr>
                <w:color w:val="323031"/>
                <w:lang w:val="en-AU"/>
              </w:rPr>
              <w:t>consultancies</w:t>
            </w:r>
            <w:r w:rsidRPr="00F65403">
              <w:rPr>
                <w:color w:val="323031"/>
                <w:spacing w:val="24"/>
                <w:lang w:val="en-AU"/>
              </w:rPr>
              <w:t xml:space="preserve"> </w:t>
            </w:r>
            <w:r w:rsidRPr="00F65403">
              <w:rPr>
                <w:color w:val="323031"/>
                <w:lang w:val="en-AU"/>
              </w:rPr>
              <w:t>over</w:t>
            </w:r>
            <w:r w:rsidRPr="00F65403">
              <w:rPr>
                <w:color w:val="323031"/>
                <w:spacing w:val="24"/>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0DE65BEA" w14:textId="29FFBACA"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_Ref207013224 \h </w:instrText>
            </w:r>
            <w:r>
              <w:rPr>
                <w:lang w:val="en-AU"/>
              </w:rPr>
            </w:r>
            <w:r>
              <w:rPr>
                <w:lang w:val="en-AU"/>
              </w:rPr>
              <w:fldChar w:fldCharType="separate"/>
            </w:r>
            <w:r w:rsidR="00BC7653">
              <w:rPr>
                <w:noProof/>
                <w:lang w:val="en-AU"/>
              </w:rPr>
              <w:t>92</w:t>
            </w:r>
            <w:r>
              <w:rPr>
                <w:lang w:val="en-AU"/>
              </w:rPr>
              <w:fldChar w:fldCharType="end"/>
            </w:r>
          </w:p>
        </w:tc>
      </w:tr>
      <w:tr w:rsidR="008C3E51" w:rsidRPr="003323EF" w14:paraId="2F867217" w14:textId="77777777" w:rsidTr="49BCD735">
        <w:tc>
          <w:tcPr>
            <w:tcW w:w="1990" w:type="dxa"/>
            <w:tcBorders>
              <w:top w:val="single" w:sz="2" w:space="0" w:color="390A56"/>
              <w:bottom w:val="single" w:sz="2" w:space="0" w:color="390A56"/>
            </w:tcBorders>
            <w:shd w:val="clear" w:color="auto" w:fill="FFFFFF" w:themeFill="background1"/>
          </w:tcPr>
          <w:p w14:paraId="73A0C214"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9425F64" w14:textId="77777777" w:rsidR="008C3E51" w:rsidRPr="00F65403" w:rsidRDefault="008C3E51" w:rsidP="0080046F">
            <w:pPr>
              <w:pStyle w:val="TableParagraph"/>
              <w:spacing w:before="0"/>
              <w:rPr>
                <w:lang w:val="en-AU"/>
              </w:rPr>
            </w:pPr>
            <w:r w:rsidRPr="00F65403">
              <w:rPr>
                <w:color w:val="323031"/>
                <w:lang w:val="en-AU"/>
              </w:rPr>
              <w:t>Details</w:t>
            </w:r>
            <w:r w:rsidRPr="00F65403">
              <w:rPr>
                <w:color w:val="323031"/>
                <w:spacing w:val="25"/>
                <w:lang w:val="en-AU"/>
              </w:rPr>
              <w:t xml:space="preserve"> </w:t>
            </w:r>
            <w:r w:rsidRPr="00F65403">
              <w:rPr>
                <w:color w:val="323031"/>
                <w:lang w:val="en-AU"/>
              </w:rPr>
              <w:t>of</w:t>
            </w:r>
            <w:r w:rsidRPr="00F65403">
              <w:rPr>
                <w:color w:val="323031"/>
                <w:spacing w:val="26"/>
                <w:lang w:val="en-AU"/>
              </w:rPr>
              <w:t xml:space="preserve"> </w:t>
            </w:r>
            <w:r w:rsidRPr="00F65403">
              <w:rPr>
                <w:color w:val="323031"/>
                <w:lang w:val="en-AU"/>
              </w:rPr>
              <w:t>consultancies</w:t>
            </w:r>
            <w:r w:rsidRPr="00F65403">
              <w:rPr>
                <w:color w:val="323031"/>
                <w:spacing w:val="25"/>
                <w:lang w:val="en-AU"/>
              </w:rPr>
              <w:t xml:space="preserve"> </w:t>
            </w:r>
            <w:r w:rsidRPr="00F65403">
              <w:rPr>
                <w:color w:val="323031"/>
                <w:lang w:val="en-AU"/>
              </w:rPr>
              <w:t>under</w:t>
            </w:r>
            <w:r w:rsidRPr="00F65403">
              <w:rPr>
                <w:color w:val="323031"/>
                <w:spacing w:val="26"/>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02526F5A" w14:textId="67DA1E66"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_Ref207013229 \h </w:instrText>
            </w:r>
            <w:r>
              <w:rPr>
                <w:lang w:val="en-AU"/>
              </w:rPr>
            </w:r>
            <w:r>
              <w:rPr>
                <w:lang w:val="en-AU"/>
              </w:rPr>
              <w:fldChar w:fldCharType="separate"/>
            </w:r>
            <w:r w:rsidR="00BC7653">
              <w:rPr>
                <w:noProof/>
                <w:lang w:val="en-AU"/>
              </w:rPr>
              <w:t>92</w:t>
            </w:r>
            <w:r>
              <w:rPr>
                <w:lang w:val="en-AU"/>
              </w:rPr>
              <w:fldChar w:fldCharType="end"/>
            </w:r>
          </w:p>
        </w:tc>
      </w:tr>
      <w:tr w:rsidR="008C3E51" w:rsidRPr="003323EF" w14:paraId="7E9D45FE" w14:textId="77777777" w:rsidTr="49BCD735">
        <w:tc>
          <w:tcPr>
            <w:tcW w:w="1990" w:type="dxa"/>
            <w:tcBorders>
              <w:top w:val="single" w:sz="2" w:space="0" w:color="390A56"/>
              <w:bottom w:val="single" w:sz="2" w:space="0" w:color="390A56"/>
            </w:tcBorders>
            <w:shd w:val="clear" w:color="auto" w:fill="FFFFFF" w:themeFill="background1"/>
          </w:tcPr>
          <w:p w14:paraId="53D39E25"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866CE59" w14:textId="77777777" w:rsidR="008C3E51" w:rsidRPr="00F65403" w:rsidRDefault="008C3E51" w:rsidP="0080046F">
            <w:pPr>
              <w:pStyle w:val="TableParagraph"/>
              <w:spacing w:before="0"/>
              <w:rPr>
                <w:lang w:val="en-AU"/>
              </w:rPr>
            </w:pPr>
            <w:r w:rsidRPr="00F65403">
              <w:rPr>
                <w:color w:val="323031"/>
                <w:spacing w:val="2"/>
                <w:lang w:val="en-AU"/>
              </w:rPr>
              <w:t>Disclosure</w:t>
            </w:r>
            <w:r w:rsidRPr="00F65403">
              <w:rPr>
                <w:color w:val="323031"/>
                <w:spacing w:val="21"/>
                <w:lang w:val="en-AU"/>
              </w:rPr>
              <w:t xml:space="preserve"> </w:t>
            </w:r>
            <w:r w:rsidRPr="00F65403">
              <w:rPr>
                <w:color w:val="323031"/>
                <w:spacing w:val="2"/>
                <w:lang w:val="en-AU"/>
              </w:rPr>
              <w:t>of</w:t>
            </w:r>
            <w:r w:rsidRPr="00F65403">
              <w:rPr>
                <w:color w:val="323031"/>
                <w:spacing w:val="22"/>
                <w:lang w:val="en-AU"/>
              </w:rPr>
              <w:t xml:space="preserve"> </w:t>
            </w:r>
            <w:r w:rsidRPr="00F65403">
              <w:rPr>
                <w:color w:val="323031"/>
                <w:spacing w:val="2"/>
                <w:lang w:val="en-AU"/>
              </w:rPr>
              <w:t>government</w:t>
            </w:r>
            <w:r w:rsidRPr="00F65403">
              <w:rPr>
                <w:color w:val="323031"/>
                <w:spacing w:val="22"/>
                <w:lang w:val="en-AU"/>
              </w:rPr>
              <w:t xml:space="preserve"> </w:t>
            </w:r>
            <w:r w:rsidRPr="00F65403">
              <w:rPr>
                <w:color w:val="323031"/>
                <w:spacing w:val="2"/>
                <w:lang w:val="en-AU"/>
              </w:rPr>
              <w:t>advertising</w:t>
            </w:r>
            <w:r w:rsidRPr="00F65403">
              <w:rPr>
                <w:color w:val="323031"/>
                <w:spacing w:val="21"/>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1B073587" w14:textId="1BC8C695"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_Ref207013237 \h </w:instrText>
            </w:r>
            <w:r>
              <w:rPr>
                <w:lang w:val="en-AU"/>
              </w:rPr>
            </w:r>
            <w:r>
              <w:rPr>
                <w:lang w:val="en-AU"/>
              </w:rPr>
              <w:fldChar w:fldCharType="separate"/>
            </w:r>
            <w:r w:rsidR="00BC7653">
              <w:rPr>
                <w:noProof/>
                <w:lang w:val="en-AU"/>
              </w:rPr>
              <w:t>91</w:t>
            </w:r>
            <w:r>
              <w:rPr>
                <w:lang w:val="en-AU"/>
              </w:rPr>
              <w:fldChar w:fldCharType="end"/>
            </w:r>
          </w:p>
        </w:tc>
      </w:tr>
      <w:tr w:rsidR="008C3E51" w:rsidRPr="003323EF" w14:paraId="08F2B3A2" w14:textId="77777777" w:rsidTr="49BCD735">
        <w:tc>
          <w:tcPr>
            <w:tcW w:w="1990" w:type="dxa"/>
            <w:tcBorders>
              <w:top w:val="single" w:sz="2" w:space="0" w:color="390A56"/>
              <w:bottom w:val="single" w:sz="2" w:space="0" w:color="390A56"/>
            </w:tcBorders>
            <w:shd w:val="clear" w:color="auto" w:fill="FFFFFF" w:themeFill="background1"/>
          </w:tcPr>
          <w:p w14:paraId="72932C30"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131324A7" w14:textId="77777777" w:rsidR="008C3E51" w:rsidRPr="00F65403" w:rsidRDefault="008C3E51" w:rsidP="0080046F">
            <w:pPr>
              <w:pStyle w:val="TableParagraph"/>
              <w:spacing w:before="0"/>
              <w:rPr>
                <w:lang w:val="en-AU"/>
              </w:rPr>
            </w:pPr>
            <w:r w:rsidRPr="00F65403">
              <w:rPr>
                <w:color w:val="323031"/>
                <w:lang w:val="en-AU"/>
              </w:rPr>
              <w:t>Disclosure</w:t>
            </w:r>
            <w:r w:rsidRPr="00F65403">
              <w:rPr>
                <w:color w:val="323031"/>
                <w:spacing w:val="8"/>
                <w:lang w:val="en-AU"/>
              </w:rPr>
              <w:t xml:space="preserve"> </w:t>
            </w:r>
            <w:r w:rsidRPr="00F65403">
              <w:rPr>
                <w:color w:val="323031"/>
                <w:lang w:val="en-AU"/>
              </w:rPr>
              <w:t>of</w:t>
            </w:r>
            <w:r w:rsidRPr="00F65403">
              <w:rPr>
                <w:color w:val="323031"/>
                <w:spacing w:val="9"/>
                <w:lang w:val="en-AU"/>
              </w:rPr>
              <w:t xml:space="preserve"> </w:t>
            </w:r>
            <w:r w:rsidRPr="00F65403">
              <w:rPr>
                <w:color w:val="323031"/>
                <w:lang w:val="en-AU"/>
              </w:rPr>
              <w:t>ICT</w:t>
            </w:r>
            <w:r w:rsidRPr="00F65403">
              <w:rPr>
                <w:color w:val="323031"/>
                <w:spacing w:val="9"/>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6071CDD8" w14:textId="7045BB21"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_Ref207013242 \h </w:instrText>
            </w:r>
            <w:r>
              <w:rPr>
                <w:lang w:val="en-AU"/>
              </w:rPr>
            </w:r>
            <w:r>
              <w:rPr>
                <w:lang w:val="en-AU"/>
              </w:rPr>
              <w:fldChar w:fldCharType="separate"/>
            </w:r>
            <w:r w:rsidR="00BC7653">
              <w:rPr>
                <w:noProof/>
                <w:lang w:val="en-AU"/>
              </w:rPr>
              <w:t>92</w:t>
            </w:r>
            <w:r>
              <w:rPr>
                <w:lang w:val="en-AU"/>
              </w:rPr>
              <w:fldChar w:fldCharType="end"/>
            </w:r>
          </w:p>
        </w:tc>
      </w:tr>
      <w:tr w:rsidR="008C3E51" w:rsidRPr="003323EF" w14:paraId="1AA7EDA3" w14:textId="77777777" w:rsidTr="49BCD735">
        <w:tc>
          <w:tcPr>
            <w:tcW w:w="1990" w:type="dxa"/>
            <w:tcBorders>
              <w:top w:val="single" w:sz="2" w:space="0" w:color="390A56"/>
              <w:bottom w:val="single" w:sz="2" w:space="0" w:color="390A56"/>
            </w:tcBorders>
            <w:shd w:val="clear" w:color="auto" w:fill="FFFFFF" w:themeFill="background1"/>
          </w:tcPr>
          <w:p w14:paraId="61E2115C"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8C0E983" w14:textId="77777777" w:rsidR="008C3E51" w:rsidRPr="00F65403" w:rsidRDefault="008C3E51" w:rsidP="0080046F">
            <w:pPr>
              <w:pStyle w:val="TableParagraph"/>
              <w:spacing w:before="0"/>
              <w:rPr>
                <w:lang w:val="en-AU"/>
              </w:rPr>
            </w:pPr>
            <w:r w:rsidRPr="00F65403">
              <w:rPr>
                <w:color w:val="323031"/>
                <w:lang w:val="en-AU"/>
              </w:rPr>
              <w:t>Disclosure</w:t>
            </w:r>
            <w:r w:rsidRPr="00F65403">
              <w:rPr>
                <w:color w:val="323031"/>
                <w:spacing w:val="28"/>
                <w:lang w:val="en-AU"/>
              </w:rPr>
              <w:t xml:space="preserve"> </w:t>
            </w:r>
            <w:r w:rsidRPr="00F65403">
              <w:rPr>
                <w:color w:val="323031"/>
                <w:lang w:val="en-AU"/>
              </w:rPr>
              <w:t>of</w:t>
            </w:r>
            <w:r w:rsidRPr="00F65403">
              <w:rPr>
                <w:color w:val="323031"/>
                <w:spacing w:val="28"/>
                <w:lang w:val="en-AU"/>
              </w:rPr>
              <w:t xml:space="preserve"> </w:t>
            </w:r>
            <w:r w:rsidRPr="00F65403">
              <w:rPr>
                <w:color w:val="323031"/>
                <w:lang w:val="en-AU"/>
              </w:rPr>
              <w:t>emergency</w:t>
            </w:r>
            <w:r w:rsidRPr="00F65403">
              <w:rPr>
                <w:color w:val="323031"/>
                <w:spacing w:val="29"/>
                <w:lang w:val="en-AU"/>
              </w:rPr>
              <w:t xml:space="preserve"> </w:t>
            </w:r>
            <w:r w:rsidRPr="00F65403">
              <w:rPr>
                <w:color w:val="323031"/>
                <w:spacing w:val="-2"/>
                <w:lang w:val="en-AU"/>
              </w:rPr>
              <w:t>procurement</w:t>
            </w:r>
          </w:p>
        </w:tc>
        <w:tc>
          <w:tcPr>
            <w:tcW w:w="760" w:type="dxa"/>
            <w:tcBorders>
              <w:top w:val="single" w:sz="2" w:space="0" w:color="390A56"/>
              <w:bottom w:val="single" w:sz="2" w:space="0" w:color="390A56"/>
            </w:tcBorders>
            <w:shd w:val="clear" w:color="auto" w:fill="FFFFFF" w:themeFill="background1"/>
          </w:tcPr>
          <w:p w14:paraId="5BCB206D" w14:textId="42456739"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_Ref207013247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7CFDC2D6" w14:textId="77777777" w:rsidTr="49BCD735">
        <w:tc>
          <w:tcPr>
            <w:tcW w:w="1990" w:type="dxa"/>
            <w:tcBorders>
              <w:top w:val="single" w:sz="2" w:space="0" w:color="390A56"/>
              <w:bottom w:val="single" w:sz="2" w:space="0" w:color="390A56"/>
            </w:tcBorders>
            <w:shd w:val="clear" w:color="auto" w:fill="FFFFFF" w:themeFill="background1"/>
          </w:tcPr>
          <w:p w14:paraId="3754393E"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524CDC0" w14:textId="77777777" w:rsidR="008C3E51" w:rsidRPr="00F65403" w:rsidRDefault="008C3E51" w:rsidP="0080046F">
            <w:pPr>
              <w:pStyle w:val="TableParagraph"/>
              <w:spacing w:before="0"/>
              <w:rPr>
                <w:lang w:val="en-AU"/>
              </w:rPr>
            </w:pPr>
            <w:r w:rsidRPr="00F65403">
              <w:rPr>
                <w:color w:val="323031"/>
                <w:spacing w:val="2"/>
                <w:lang w:val="en-AU"/>
              </w:rPr>
              <w:t>Disclosure</w:t>
            </w:r>
            <w:r w:rsidRPr="00F65403">
              <w:rPr>
                <w:color w:val="323031"/>
                <w:spacing w:val="20"/>
                <w:lang w:val="en-AU"/>
              </w:rPr>
              <w:t xml:space="preserve"> </w:t>
            </w:r>
            <w:r w:rsidRPr="00F65403">
              <w:rPr>
                <w:color w:val="323031"/>
                <w:spacing w:val="2"/>
                <w:lang w:val="en-AU"/>
              </w:rPr>
              <w:t>of</w:t>
            </w:r>
            <w:r w:rsidRPr="00F65403">
              <w:rPr>
                <w:color w:val="323031"/>
                <w:spacing w:val="21"/>
                <w:lang w:val="en-AU"/>
              </w:rPr>
              <w:t xml:space="preserve"> </w:t>
            </w:r>
            <w:r w:rsidRPr="00F65403">
              <w:rPr>
                <w:color w:val="323031"/>
                <w:spacing w:val="2"/>
                <w:lang w:val="en-AU"/>
              </w:rPr>
              <w:t>procurement</w:t>
            </w:r>
            <w:r w:rsidRPr="00F65403">
              <w:rPr>
                <w:color w:val="323031"/>
                <w:spacing w:val="20"/>
                <w:lang w:val="en-AU"/>
              </w:rPr>
              <w:t xml:space="preserve"> </w:t>
            </w:r>
            <w:r w:rsidRPr="00F65403">
              <w:rPr>
                <w:color w:val="323031"/>
                <w:spacing w:val="-2"/>
                <w:lang w:val="en-AU"/>
              </w:rPr>
              <w:t>complaints</w:t>
            </w:r>
          </w:p>
        </w:tc>
        <w:tc>
          <w:tcPr>
            <w:tcW w:w="760" w:type="dxa"/>
            <w:tcBorders>
              <w:top w:val="single" w:sz="2" w:space="0" w:color="390A56"/>
              <w:bottom w:val="single" w:sz="2" w:space="0" w:color="390A56"/>
            </w:tcBorders>
            <w:shd w:val="clear" w:color="auto" w:fill="FFFFFF" w:themeFill="background1"/>
          </w:tcPr>
          <w:p w14:paraId="5FF60A80" w14:textId="3DF757A5"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_Ref207013251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3F0EE447" w14:textId="77777777" w:rsidTr="49BCD735">
        <w:tc>
          <w:tcPr>
            <w:tcW w:w="1990" w:type="dxa"/>
            <w:tcBorders>
              <w:top w:val="single" w:sz="2" w:space="0" w:color="390A56"/>
              <w:bottom w:val="single" w:sz="2" w:space="0" w:color="390A56"/>
            </w:tcBorders>
            <w:shd w:val="clear" w:color="auto" w:fill="FFFFFF" w:themeFill="background1"/>
          </w:tcPr>
          <w:p w14:paraId="2E2892FD"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24</w:t>
            </w:r>
          </w:p>
        </w:tc>
        <w:tc>
          <w:tcPr>
            <w:tcW w:w="6276" w:type="dxa"/>
            <w:gridSpan w:val="3"/>
            <w:tcBorders>
              <w:top w:val="single" w:sz="2" w:space="0" w:color="390A56"/>
              <w:bottom w:val="single" w:sz="2" w:space="0" w:color="390A56"/>
            </w:tcBorders>
            <w:shd w:val="clear" w:color="auto" w:fill="FFFFFF" w:themeFill="background1"/>
          </w:tcPr>
          <w:p w14:paraId="659BC881" w14:textId="77777777" w:rsidR="008C3E51" w:rsidRPr="00F65403" w:rsidRDefault="008C3E51" w:rsidP="0080046F">
            <w:pPr>
              <w:pStyle w:val="TableParagraph"/>
              <w:spacing w:before="0"/>
              <w:rPr>
                <w:lang w:val="en-AU"/>
              </w:rPr>
            </w:pPr>
            <w:r w:rsidRPr="00F65403">
              <w:rPr>
                <w:color w:val="323031"/>
                <w:w w:val="105"/>
                <w:lang w:val="en-AU"/>
              </w:rPr>
              <w:t>Environmental</w:t>
            </w:r>
            <w:r w:rsidRPr="00F65403">
              <w:rPr>
                <w:color w:val="323031"/>
                <w:spacing w:val="-10"/>
                <w:w w:val="105"/>
                <w:lang w:val="en-AU"/>
              </w:rPr>
              <w:t xml:space="preserve"> </w:t>
            </w:r>
            <w:r w:rsidRPr="00F65403">
              <w:rPr>
                <w:color w:val="323031"/>
                <w:spacing w:val="-2"/>
                <w:w w:val="110"/>
                <w:lang w:val="en-AU"/>
              </w:rPr>
              <w:t>reporting</w:t>
            </w:r>
          </w:p>
        </w:tc>
        <w:tc>
          <w:tcPr>
            <w:tcW w:w="760" w:type="dxa"/>
            <w:tcBorders>
              <w:top w:val="single" w:sz="2" w:space="0" w:color="390A56"/>
              <w:bottom w:val="single" w:sz="2" w:space="0" w:color="390A56"/>
            </w:tcBorders>
            <w:shd w:val="clear" w:color="auto" w:fill="FFFFFF" w:themeFill="background1"/>
          </w:tcPr>
          <w:p w14:paraId="2467D97A" w14:textId="33D5A593"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_Ref207013259 \h </w:instrText>
            </w:r>
            <w:r>
              <w:rPr>
                <w:lang w:val="en-AU"/>
              </w:rPr>
            </w:r>
            <w:r>
              <w:rPr>
                <w:lang w:val="en-AU"/>
              </w:rPr>
              <w:fldChar w:fldCharType="separate"/>
            </w:r>
            <w:r w:rsidR="00BC7653">
              <w:rPr>
                <w:noProof/>
                <w:lang w:val="en-AU"/>
              </w:rPr>
              <w:t>93</w:t>
            </w:r>
            <w:r>
              <w:rPr>
                <w:lang w:val="en-AU"/>
              </w:rPr>
              <w:fldChar w:fldCharType="end"/>
            </w:r>
          </w:p>
        </w:tc>
      </w:tr>
      <w:tr w:rsidR="008C3E51" w:rsidRPr="003323EF" w14:paraId="6C49952E" w14:textId="77777777" w:rsidTr="49BCD735">
        <w:tc>
          <w:tcPr>
            <w:tcW w:w="1990" w:type="dxa"/>
            <w:tcBorders>
              <w:top w:val="single" w:sz="2" w:space="0" w:color="390A56"/>
              <w:bottom w:val="single" w:sz="2" w:space="0" w:color="390A56"/>
            </w:tcBorders>
            <w:shd w:val="clear" w:color="auto" w:fill="FFFFFF" w:themeFill="background1"/>
          </w:tcPr>
          <w:p w14:paraId="39585228" w14:textId="77777777" w:rsidR="008C3E51" w:rsidRPr="00F65403" w:rsidRDefault="008C3E5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25</w:t>
            </w:r>
          </w:p>
        </w:tc>
        <w:tc>
          <w:tcPr>
            <w:tcW w:w="6276" w:type="dxa"/>
            <w:gridSpan w:val="3"/>
            <w:tcBorders>
              <w:top w:val="single" w:sz="2" w:space="0" w:color="390A56"/>
              <w:bottom w:val="single" w:sz="2" w:space="0" w:color="390A56"/>
            </w:tcBorders>
            <w:shd w:val="clear" w:color="auto" w:fill="FFFFFF" w:themeFill="background1"/>
          </w:tcPr>
          <w:p w14:paraId="0C54A49F" w14:textId="77777777" w:rsidR="008C3E51" w:rsidRPr="00F65403" w:rsidRDefault="008C3E51" w:rsidP="0080046F">
            <w:pPr>
              <w:pStyle w:val="TableParagraph"/>
              <w:spacing w:before="0"/>
              <w:rPr>
                <w:lang w:val="en-AU"/>
              </w:rPr>
            </w:pPr>
            <w:r w:rsidRPr="00F65403">
              <w:rPr>
                <w:color w:val="323031"/>
                <w:lang w:val="en-AU"/>
              </w:rPr>
              <w:t>Local</w:t>
            </w:r>
            <w:r w:rsidRPr="00F65403">
              <w:rPr>
                <w:color w:val="323031"/>
                <w:spacing w:val="20"/>
                <w:lang w:val="en-AU"/>
              </w:rPr>
              <w:t xml:space="preserve"> </w:t>
            </w:r>
            <w:r w:rsidRPr="00F65403">
              <w:rPr>
                <w:color w:val="323031"/>
                <w:lang w:val="en-AU"/>
              </w:rPr>
              <w:t>Jobs</w:t>
            </w:r>
            <w:r w:rsidRPr="00F65403">
              <w:rPr>
                <w:color w:val="323031"/>
                <w:spacing w:val="20"/>
                <w:lang w:val="en-AU"/>
              </w:rPr>
              <w:t xml:space="preserve"> </w:t>
            </w:r>
            <w:r w:rsidRPr="00F65403">
              <w:rPr>
                <w:color w:val="323031"/>
                <w:spacing w:val="-2"/>
                <w:lang w:val="en-AU"/>
              </w:rPr>
              <w:t>First</w:t>
            </w:r>
          </w:p>
        </w:tc>
        <w:tc>
          <w:tcPr>
            <w:tcW w:w="760" w:type="dxa"/>
            <w:tcBorders>
              <w:top w:val="single" w:sz="2" w:space="0" w:color="390A56"/>
              <w:bottom w:val="single" w:sz="2" w:space="0" w:color="390A56"/>
            </w:tcBorders>
            <w:shd w:val="clear" w:color="auto" w:fill="FFFFFF" w:themeFill="background1"/>
          </w:tcPr>
          <w:p w14:paraId="263C244E" w14:textId="2C4A2B1C"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_Ref207013265 \h </w:instrText>
            </w:r>
            <w:r>
              <w:rPr>
                <w:lang w:val="en-AU"/>
              </w:rPr>
            </w:r>
            <w:r>
              <w:rPr>
                <w:lang w:val="en-AU"/>
              </w:rPr>
              <w:fldChar w:fldCharType="separate"/>
            </w:r>
            <w:r w:rsidR="00BC7653">
              <w:rPr>
                <w:noProof/>
                <w:lang w:val="en-AU"/>
              </w:rPr>
              <w:t>88</w:t>
            </w:r>
            <w:r>
              <w:rPr>
                <w:lang w:val="en-AU"/>
              </w:rPr>
              <w:fldChar w:fldCharType="end"/>
            </w:r>
          </w:p>
        </w:tc>
      </w:tr>
      <w:tr w:rsidR="008C3E51" w:rsidRPr="003323EF" w14:paraId="68FA5479" w14:textId="77777777" w:rsidTr="49BCD735">
        <w:tc>
          <w:tcPr>
            <w:tcW w:w="9026" w:type="dxa"/>
            <w:gridSpan w:val="5"/>
            <w:tcBorders>
              <w:top w:val="single" w:sz="2" w:space="0" w:color="390A56"/>
              <w:bottom w:val="single" w:sz="2" w:space="0" w:color="390A56"/>
            </w:tcBorders>
            <w:shd w:val="clear" w:color="auto" w:fill="F0E3DE"/>
          </w:tcPr>
          <w:p w14:paraId="5DED058A" w14:textId="77777777" w:rsidR="008C3E51" w:rsidRPr="00F65403" w:rsidRDefault="008C3E51" w:rsidP="0080046F">
            <w:pPr>
              <w:pStyle w:val="TableParagraph"/>
              <w:spacing w:before="0"/>
              <w:rPr>
                <w:b/>
                <w:lang w:val="en-AU"/>
              </w:rPr>
            </w:pPr>
            <w:r w:rsidRPr="00F65403">
              <w:rPr>
                <w:b/>
                <w:color w:val="323031"/>
                <w:lang w:val="en-AU"/>
              </w:rPr>
              <w:t>Compliance</w:t>
            </w:r>
            <w:r w:rsidRPr="00F65403">
              <w:rPr>
                <w:b/>
                <w:color w:val="323031"/>
                <w:spacing w:val="1"/>
                <w:lang w:val="en-AU"/>
              </w:rPr>
              <w:t xml:space="preserve"> </w:t>
            </w:r>
            <w:r w:rsidRPr="00F65403">
              <w:rPr>
                <w:b/>
                <w:color w:val="323031"/>
                <w:lang w:val="en-AU"/>
              </w:rPr>
              <w:t>attestation</w:t>
            </w:r>
            <w:r w:rsidRPr="00F65403">
              <w:rPr>
                <w:b/>
                <w:color w:val="323031"/>
                <w:spacing w:val="1"/>
                <w:lang w:val="en-AU"/>
              </w:rPr>
              <w:t xml:space="preserve"> </w:t>
            </w:r>
            <w:r w:rsidRPr="00F65403">
              <w:rPr>
                <w:b/>
                <w:color w:val="323031"/>
                <w:lang w:val="en-AU"/>
              </w:rPr>
              <w:t>and</w:t>
            </w:r>
            <w:r w:rsidRPr="00F65403">
              <w:rPr>
                <w:b/>
                <w:color w:val="323031"/>
                <w:spacing w:val="1"/>
                <w:lang w:val="en-AU"/>
              </w:rPr>
              <w:t xml:space="preserve"> </w:t>
            </w:r>
            <w:r w:rsidRPr="00F65403">
              <w:rPr>
                <w:b/>
                <w:color w:val="323031"/>
                <w:spacing w:val="-2"/>
                <w:lang w:val="en-AU"/>
              </w:rPr>
              <w:t>declaration</w:t>
            </w:r>
          </w:p>
        </w:tc>
      </w:tr>
      <w:tr w:rsidR="008C3E51" w:rsidRPr="003323EF" w14:paraId="7470A6D7" w14:textId="77777777" w:rsidTr="49BCD735">
        <w:tc>
          <w:tcPr>
            <w:tcW w:w="1990" w:type="dxa"/>
            <w:tcBorders>
              <w:top w:val="single" w:sz="2" w:space="0" w:color="390A56"/>
              <w:bottom w:val="single" w:sz="2" w:space="0" w:color="390A56"/>
            </w:tcBorders>
            <w:shd w:val="clear" w:color="auto" w:fill="FFFFFF" w:themeFill="background1"/>
          </w:tcPr>
          <w:p w14:paraId="6687A1E3" w14:textId="77777777" w:rsidR="008C3E51" w:rsidRPr="00F65403" w:rsidRDefault="008C3E51" w:rsidP="0080046F">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5.4.1</w:t>
            </w:r>
          </w:p>
        </w:tc>
        <w:tc>
          <w:tcPr>
            <w:tcW w:w="6276" w:type="dxa"/>
            <w:gridSpan w:val="3"/>
            <w:tcBorders>
              <w:top w:val="single" w:sz="2" w:space="0" w:color="390A56"/>
              <w:bottom w:val="single" w:sz="2" w:space="0" w:color="390A56"/>
            </w:tcBorders>
            <w:shd w:val="clear" w:color="auto" w:fill="FFFFFF" w:themeFill="background1"/>
          </w:tcPr>
          <w:p w14:paraId="7C5A6BEF" w14:textId="77777777" w:rsidR="008C3E51" w:rsidRPr="00F65403" w:rsidRDefault="008C3E51" w:rsidP="0080046F">
            <w:pPr>
              <w:pStyle w:val="TableParagraph"/>
              <w:spacing w:before="0"/>
              <w:rPr>
                <w:lang w:val="en-AU"/>
              </w:rPr>
            </w:pPr>
            <w:r w:rsidRPr="00F65403">
              <w:rPr>
                <w:color w:val="323031"/>
                <w:spacing w:val="2"/>
                <w:lang w:val="en-AU"/>
              </w:rPr>
              <w:t>Attestation</w:t>
            </w:r>
            <w:r w:rsidRPr="00F65403">
              <w:rPr>
                <w:color w:val="323031"/>
                <w:spacing w:val="22"/>
                <w:lang w:val="en-AU"/>
              </w:rPr>
              <w:t xml:space="preserve"> </w:t>
            </w:r>
            <w:r w:rsidRPr="00F65403">
              <w:rPr>
                <w:color w:val="323031"/>
                <w:spacing w:val="2"/>
                <w:lang w:val="en-AU"/>
              </w:rPr>
              <w:t>for</w:t>
            </w:r>
            <w:r w:rsidRPr="00F65403">
              <w:rPr>
                <w:color w:val="323031"/>
                <w:spacing w:val="23"/>
                <w:lang w:val="en-AU"/>
              </w:rPr>
              <w:t xml:space="preserve"> </w:t>
            </w:r>
            <w:r w:rsidRPr="00F65403">
              <w:rPr>
                <w:color w:val="323031"/>
                <w:spacing w:val="2"/>
                <w:lang w:val="en-AU"/>
              </w:rPr>
              <w:t>compliance</w:t>
            </w:r>
            <w:r w:rsidRPr="00F65403">
              <w:rPr>
                <w:color w:val="323031"/>
                <w:spacing w:val="23"/>
                <w:lang w:val="en-AU"/>
              </w:rPr>
              <w:t xml:space="preserve"> </w:t>
            </w:r>
            <w:r w:rsidRPr="00F65403">
              <w:rPr>
                <w:color w:val="323031"/>
                <w:spacing w:val="2"/>
                <w:lang w:val="en-AU"/>
              </w:rPr>
              <w:t>with</w:t>
            </w:r>
            <w:r w:rsidRPr="00F65403">
              <w:rPr>
                <w:color w:val="323031"/>
                <w:spacing w:val="23"/>
                <w:lang w:val="en-AU"/>
              </w:rPr>
              <w:t xml:space="preserve"> </w:t>
            </w:r>
            <w:r w:rsidRPr="00F65403">
              <w:rPr>
                <w:color w:val="323031"/>
                <w:spacing w:val="2"/>
                <w:lang w:val="en-AU"/>
              </w:rPr>
              <w:t>Ministerial</w:t>
            </w:r>
            <w:r w:rsidRPr="00F65403">
              <w:rPr>
                <w:color w:val="323031"/>
                <w:spacing w:val="23"/>
                <w:lang w:val="en-AU"/>
              </w:rPr>
              <w:t xml:space="preserve"> </w:t>
            </w:r>
            <w:r w:rsidRPr="00F65403">
              <w:rPr>
                <w:color w:val="323031"/>
                <w:spacing w:val="2"/>
                <w:lang w:val="en-AU"/>
              </w:rPr>
              <w:t>Standing</w:t>
            </w:r>
            <w:r w:rsidRPr="00F65403">
              <w:rPr>
                <w:color w:val="323031"/>
                <w:spacing w:val="23"/>
                <w:lang w:val="en-AU"/>
              </w:rPr>
              <w:t xml:space="preserve"> </w:t>
            </w:r>
            <w:r w:rsidRPr="00F65403">
              <w:rPr>
                <w:color w:val="323031"/>
                <w:spacing w:val="-2"/>
                <w:lang w:val="en-AU"/>
              </w:rPr>
              <w:t>Direction</w:t>
            </w:r>
          </w:p>
        </w:tc>
        <w:tc>
          <w:tcPr>
            <w:tcW w:w="760" w:type="dxa"/>
            <w:tcBorders>
              <w:top w:val="single" w:sz="2" w:space="0" w:color="390A56"/>
              <w:bottom w:val="single" w:sz="2" w:space="0" w:color="390A56"/>
            </w:tcBorders>
            <w:shd w:val="clear" w:color="auto" w:fill="FFFFFF" w:themeFill="background1"/>
          </w:tcPr>
          <w:p w14:paraId="33EBB44C" w14:textId="1568DF1C"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_Ref207013283 \h </w:instrText>
            </w:r>
            <w:r>
              <w:rPr>
                <w:lang w:val="en-AU"/>
              </w:rPr>
            </w:r>
            <w:r>
              <w:rPr>
                <w:lang w:val="en-AU"/>
              </w:rPr>
              <w:fldChar w:fldCharType="separate"/>
            </w:r>
            <w:r w:rsidR="00BC7653">
              <w:rPr>
                <w:noProof/>
                <w:lang w:val="en-AU"/>
              </w:rPr>
              <w:t>37</w:t>
            </w:r>
            <w:r>
              <w:rPr>
                <w:lang w:val="en-AU"/>
              </w:rPr>
              <w:fldChar w:fldCharType="end"/>
            </w:r>
          </w:p>
        </w:tc>
      </w:tr>
      <w:tr w:rsidR="008C3E51" w:rsidRPr="003323EF" w14:paraId="6AE6C8EE" w14:textId="77777777" w:rsidTr="49BCD735">
        <w:tc>
          <w:tcPr>
            <w:tcW w:w="1990" w:type="dxa"/>
            <w:tcBorders>
              <w:top w:val="single" w:sz="2" w:space="0" w:color="390A56"/>
              <w:bottom w:val="single" w:sz="2" w:space="0" w:color="390A56"/>
            </w:tcBorders>
            <w:shd w:val="clear" w:color="auto" w:fill="FFFFFF" w:themeFill="background1"/>
          </w:tcPr>
          <w:p w14:paraId="20BD8124" w14:textId="77777777" w:rsidR="008C3E51" w:rsidRPr="00F65403" w:rsidRDefault="008C3E51" w:rsidP="0080046F">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5.2.3</w:t>
            </w:r>
          </w:p>
        </w:tc>
        <w:tc>
          <w:tcPr>
            <w:tcW w:w="6276" w:type="dxa"/>
            <w:gridSpan w:val="3"/>
            <w:tcBorders>
              <w:top w:val="single" w:sz="2" w:space="0" w:color="390A56"/>
              <w:bottom w:val="single" w:sz="2" w:space="0" w:color="390A56"/>
            </w:tcBorders>
            <w:shd w:val="clear" w:color="auto" w:fill="FFFFFF" w:themeFill="background1"/>
          </w:tcPr>
          <w:p w14:paraId="210FFF72" w14:textId="77777777" w:rsidR="008C3E51" w:rsidRPr="00F65403" w:rsidRDefault="008C3E51" w:rsidP="0080046F">
            <w:pPr>
              <w:pStyle w:val="TableParagraph"/>
              <w:spacing w:before="0"/>
              <w:rPr>
                <w:lang w:val="en-AU"/>
              </w:rPr>
            </w:pPr>
            <w:r w:rsidRPr="00F65403">
              <w:rPr>
                <w:color w:val="323031"/>
                <w:lang w:val="en-AU"/>
              </w:rPr>
              <w:t>Declaration</w:t>
            </w:r>
            <w:r w:rsidRPr="00F65403">
              <w:rPr>
                <w:color w:val="323031"/>
                <w:spacing w:val="23"/>
                <w:lang w:val="en-AU"/>
              </w:rPr>
              <w:t xml:space="preserve"> </w:t>
            </w:r>
            <w:r w:rsidRPr="00F65403">
              <w:rPr>
                <w:color w:val="323031"/>
                <w:lang w:val="en-AU"/>
              </w:rPr>
              <w:t>in</w:t>
            </w:r>
            <w:r w:rsidRPr="00F65403">
              <w:rPr>
                <w:color w:val="323031"/>
                <w:spacing w:val="24"/>
                <w:lang w:val="en-AU"/>
              </w:rPr>
              <w:t xml:space="preserve"> </w:t>
            </w:r>
            <w:r w:rsidRPr="00F65403">
              <w:rPr>
                <w:color w:val="323031"/>
                <w:lang w:val="en-AU"/>
              </w:rPr>
              <w:t>report</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spacing w:val="-2"/>
                <w:lang w:val="en-AU"/>
              </w:rPr>
              <w:t>operations</w:t>
            </w:r>
          </w:p>
        </w:tc>
        <w:tc>
          <w:tcPr>
            <w:tcW w:w="760" w:type="dxa"/>
            <w:tcBorders>
              <w:top w:val="single" w:sz="2" w:space="0" w:color="390A56"/>
              <w:bottom w:val="single" w:sz="2" w:space="0" w:color="390A56"/>
            </w:tcBorders>
            <w:shd w:val="clear" w:color="auto" w:fill="FFFFFF" w:themeFill="background1"/>
          </w:tcPr>
          <w:p w14:paraId="7DC7892F" w14:textId="0FF331F6" w:rsidR="008C3E51" w:rsidRPr="00F65403" w:rsidRDefault="00326515" w:rsidP="0010235E">
            <w:pPr>
              <w:pStyle w:val="TableParagraph"/>
              <w:spacing w:before="0"/>
              <w:jc w:val="center"/>
              <w:rPr>
                <w:lang w:val="en-AU"/>
              </w:rPr>
            </w:pPr>
            <w:r>
              <w:rPr>
                <w:lang w:val="en-AU"/>
              </w:rPr>
              <w:fldChar w:fldCharType="begin"/>
            </w:r>
            <w:r>
              <w:rPr>
                <w:lang w:val="en-AU"/>
              </w:rPr>
              <w:instrText xml:space="preserve"> PAGEREF _Ref207013303 \h </w:instrText>
            </w:r>
            <w:r>
              <w:rPr>
                <w:lang w:val="en-AU"/>
              </w:rPr>
            </w:r>
            <w:r>
              <w:rPr>
                <w:lang w:val="en-AU"/>
              </w:rPr>
              <w:fldChar w:fldCharType="separate"/>
            </w:r>
            <w:r w:rsidR="00BC7653">
              <w:rPr>
                <w:noProof/>
                <w:lang w:val="en-AU"/>
              </w:rPr>
              <w:t>12</w:t>
            </w:r>
            <w:r>
              <w:rPr>
                <w:lang w:val="en-AU"/>
              </w:rPr>
              <w:fldChar w:fldCharType="end"/>
            </w:r>
          </w:p>
        </w:tc>
      </w:tr>
      <w:tr w:rsidR="00577DB1" w:rsidRPr="00680E7D" w14:paraId="07928A5E" w14:textId="77777777" w:rsidTr="49BCD735">
        <w:tc>
          <w:tcPr>
            <w:tcW w:w="9026" w:type="dxa"/>
            <w:gridSpan w:val="5"/>
            <w:tcBorders>
              <w:top w:val="single" w:sz="2" w:space="0" w:color="390A56"/>
              <w:bottom w:val="single" w:sz="2" w:space="0" w:color="390A56"/>
            </w:tcBorders>
            <w:shd w:val="clear" w:color="auto" w:fill="D7CEDD"/>
          </w:tcPr>
          <w:p w14:paraId="1DD4CB93" w14:textId="77777777" w:rsidR="00577DB1" w:rsidRPr="00F65403" w:rsidRDefault="00577DB1" w:rsidP="0080046F">
            <w:pPr>
              <w:pStyle w:val="TableParagraph"/>
              <w:spacing w:before="0"/>
              <w:rPr>
                <w:b/>
                <w:lang w:val="en-AU"/>
              </w:rPr>
            </w:pPr>
            <w:r w:rsidRPr="00F65403">
              <w:rPr>
                <w:b/>
                <w:color w:val="323031"/>
                <w:spacing w:val="-2"/>
                <w:lang w:val="en-AU"/>
              </w:rPr>
              <w:t>Financial</w:t>
            </w:r>
            <w:r w:rsidRPr="00F65403">
              <w:rPr>
                <w:b/>
                <w:color w:val="323031"/>
                <w:spacing w:val="-9"/>
                <w:lang w:val="en-AU"/>
              </w:rPr>
              <w:t xml:space="preserve"> </w:t>
            </w:r>
            <w:r w:rsidRPr="00F65403">
              <w:rPr>
                <w:b/>
                <w:color w:val="323031"/>
                <w:spacing w:val="-2"/>
                <w:lang w:val="en-AU"/>
              </w:rPr>
              <w:t>statements</w:t>
            </w:r>
          </w:p>
        </w:tc>
      </w:tr>
      <w:tr w:rsidR="00577DB1" w:rsidRPr="00680E7D" w14:paraId="04335B7C" w14:textId="77777777" w:rsidTr="49BCD735">
        <w:tc>
          <w:tcPr>
            <w:tcW w:w="9026" w:type="dxa"/>
            <w:gridSpan w:val="5"/>
            <w:tcBorders>
              <w:top w:val="single" w:sz="2" w:space="0" w:color="390A56"/>
              <w:bottom w:val="single" w:sz="2" w:space="0" w:color="390A56"/>
            </w:tcBorders>
            <w:shd w:val="clear" w:color="auto" w:fill="F0E3DE"/>
          </w:tcPr>
          <w:p w14:paraId="1BD2E1F6" w14:textId="77777777" w:rsidR="00577DB1" w:rsidRPr="00F65403" w:rsidRDefault="00577DB1" w:rsidP="0080046F">
            <w:pPr>
              <w:pStyle w:val="TableParagraph"/>
              <w:spacing w:before="0"/>
              <w:rPr>
                <w:b/>
                <w:lang w:val="en-AU"/>
              </w:rPr>
            </w:pPr>
            <w:r w:rsidRPr="00F65403">
              <w:rPr>
                <w:b/>
                <w:color w:val="323031"/>
                <w:spacing w:val="-2"/>
                <w:lang w:val="en-AU"/>
              </w:rPr>
              <w:t>Declaration</w:t>
            </w:r>
          </w:p>
        </w:tc>
      </w:tr>
      <w:tr w:rsidR="00577DB1" w:rsidRPr="00680E7D" w14:paraId="4FE1E133" w14:textId="77777777" w:rsidTr="49BCD735">
        <w:tc>
          <w:tcPr>
            <w:tcW w:w="2018" w:type="dxa"/>
            <w:gridSpan w:val="2"/>
            <w:tcBorders>
              <w:top w:val="single" w:sz="2" w:space="0" w:color="390A56"/>
              <w:bottom w:val="single" w:sz="2" w:space="0" w:color="390A56"/>
            </w:tcBorders>
            <w:shd w:val="clear" w:color="auto" w:fill="FFFFFF" w:themeFill="background1"/>
          </w:tcPr>
          <w:p w14:paraId="4149519B" w14:textId="77777777" w:rsidR="00577DB1" w:rsidRPr="00F65403" w:rsidRDefault="00577DB1" w:rsidP="0080046F">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5.2.2</w:t>
            </w:r>
          </w:p>
        </w:tc>
        <w:tc>
          <w:tcPr>
            <w:tcW w:w="6241" w:type="dxa"/>
            <w:tcBorders>
              <w:top w:val="single" w:sz="2" w:space="0" w:color="390A56"/>
              <w:bottom w:val="single" w:sz="2" w:space="0" w:color="390A56"/>
            </w:tcBorders>
            <w:shd w:val="clear" w:color="auto" w:fill="FFFFFF" w:themeFill="background1"/>
          </w:tcPr>
          <w:p w14:paraId="34CC6B92" w14:textId="77777777" w:rsidR="00577DB1" w:rsidRPr="00F65403" w:rsidRDefault="00577DB1" w:rsidP="0080046F">
            <w:pPr>
              <w:pStyle w:val="TableParagraph"/>
              <w:spacing w:before="0"/>
              <w:rPr>
                <w:lang w:val="en-AU"/>
              </w:rPr>
            </w:pPr>
            <w:r w:rsidRPr="00F65403">
              <w:rPr>
                <w:color w:val="323031"/>
                <w:w w:val="105"/>
                <w:lang w:val="en-AU"/>
              </w:rPr>
              <w:t>Declaration</w:t>
            </w:r>
            <w:r w:rsidRPr="00F65403">
              <w:rPr>
                <w:color w:val="323031"/>
                <w:spacing w:val="-4"/>
                <w:w w:val="105"/>
                <w:lang w:val="en-AU"/>
              </w:rPr>
              <w:t xml:space="preserve"> </w:t>
            </w:r>
            <w:r w:rsidRPr="00F65403">
              <w:rPr>
                <w:color w:val="323031"/>
                <w:w w:val="105"/>
                <w:lang w:val="en-AU"/>
              </w:rPr>
              <w:t>in</w:t>
            </w:r>
            <w:r w:rsidRPr="00F65403">
              <w:rPr>
                <w:color w:val="323031"/>
                <w:spacing w:val="-3"/>
                <w:w w:val="105"/>
                <w:lang w:val="en-AU"/>
              </w:rPr>
              <w:t xml:space="preserve"> </w:t>
            </w:r>
            <w:r w:rsidRPr="00F65403">
              <w:rPr>
                <w:color w:val="323031"/>
                <w:w w:val="105"/>
                <w:lang w:val="en-AU"/>
              </w:rPr>
              <w:t>financial</w:t>
            </w:r>
            <w:r w:rsidRPr="00F65403">
              <w:rPr>
                <w:color w:val="323031"/>
                <w:spacing w:val="-3"/>
                <w:w w:val="105"/>
                <w:lang w:val="en-AU"/>
              </w:rPr>
              <w:t xml:space="preserve"> </w:t>
            </w:r>
            <w:r w:rsidRPr="00F65403">
              <w:rPr>
                <w:color w:val="323031"/>
                <w:spacing w:val="-2"/>
                <w:w w:val="105"/>
                <w:lang w:val="en-AU"/>
              </w:rPr>
              <w:t>statements</w:t>
            </w:r>
          </w:p>
        </w:tc>
        <w:tc>
          <w:tcPr>
            <w:tcW w:w="767" w:type="dxa"/>
            <w:gridSpan w:val="2"/>
            <w:tcBorders>
              <w:top w:val="single" w:sz="2" w:space="0" w:color="390A56"/>
              <w:bottom w:val="single" w:sz="2" w:space="0" w:color="390A56"/>
            </w:tcBorders>
            <w:shd w:val="clear" w:color="auto" w:fill="FFFFFF" w:themeFill="background1"/>
          </w:tcPr>
          <w:p w14:paraId="214785B9" w14:textId="798FE369" w:rsidR="00577DB1" w:rsidRPr="00F65403" w:rsidRDefault="004067FE" w:rsidP="0010235E">
            <w:pPr>
              <w:pStyle w:val="TableParagraph"/>
              <w:spacing w:before="0"/>
              <w:jc w:val="center"/>
              <w:rPr>
                <w:lang w:val="en-AU"/>
              </w:rPr>
            </w:pPr>
            <w:r>
              <w:rPr>
                <w:lang w:val="en-AU"/>
              </w:rPr>
              <w:fldChar w:fldCharType="begin"/>
            </w:r>
            <w:r>
              <w:rPr>
                <w:lang w:val="en-AU"/>
              </w:rPr>
              <w:instrText xml:space="preserve"> PAGEREF _Ref207013335 \h </w:instrText>
            </w:r>
            <w:r>
              <w:rPr>
                <w:lang w:val="en-AU"/>
              </w:rPr>
            </w:r>
            <w:r>
              <w:rPr>
                <w:lang w:val="en-AU"/>
              </w:rPr>
              <w:fldChar w:fldCharType="separate"/>
            </w:r>
            <w:r w:rsidR="00BC7653">
              <w:rPr>
                <w:noProof/>
                <w:lang w:val="en-AU"/>
              </w:rPr>
              <w:t>87</w:t>
            </w:r>
            <w:r>
              <w:rPr>
                <w:lang w:val="en-AU"/>
              </w:rPr>
              <w:fldChar w:fldCharType="end"/>
            </w:r>
          </w:p>
        </w:tc>
      </w:tr>
      <w:tr w:rsidR="00577DB1" w:rsidRPr="00680E7D" w14:paraId="560DBE73" w14:textId="77777777" w:rsidTr="49BCD735">
        <w:tc>
          <w:tcPr>
            <w:tcW w:w="9026" w:type="dxa"/>
            <w:gridSpan w:val="5"/>
            <w:tcBorders>
              <w:top w:val="single" w:sz="2" w:space="0" w:color="390A56"/>
              <w:bottom w:val="single" w:sz="2" w:space="0" w:color="390A56"/>
            </w:tcBorders>
            <w:shd w:val="clear" w:color="auto" w:fill="F0E3DE"/>
          </w:tcPr>
          <w:p w14:paraId="278936F3" w14:textId="77777777" w:rsidR="00577DB1" w:rsidRPr="00F65403" w:rsidRDefault="00577DB1" w:rsidP="0080046F">
            <w:pPr>
              <w:pStyle w:val="TableParagraph"/>
              <w:spacing w:before="0"/>
              <w:rPr>
                <w:b/>
                <w:lang w:val="en-AU"/>
              </w:rPr>
            </w:pPr>
            <w:r w:rsidRPr="00F65403">
              <w:rPr>
                <w:b/>
                <w:color w:val="323031"/>
                <w:spacing w:val="-2"/>
                <w:lang w:val="en-AU"/>
              </w:rPr>
              <w:t>Other</w:t>
            </w:r>
            <w:r w:rsidRPr="00F65403">
              <w:rPr>
                <w:b/>
                <w:color w:val="323031"/>
                <w:lang w:val="en-AU"/>
              </w:rPr>
              <w:t xml:space="preserve"> </w:t>
            </w:r>
            <w:r w:rsidRPr="00F65403">
              <w:rPr>
                <w:b/>
                <w:color w:val="323031"/>
                <w:spacing w:val="-2"/>
                <w:lang w:val="en-AU"/>
              </w:rPr>
              <w:t>requirements</w:t>
            </w:r>
            <w:r w:rsidRPr="00F65403">
              <w:rPr>
                <w:b/>
                <w:color w:val="323031"/>
                <w:lang w:val="en-AU"/>
              </w:rPr>
              <w:t xml:space="preserve"> </w:t>
            </w:r>
            <w:r w:rsidRPr="00F65403">
              <w:rPr>
                <w:b/>
                <w:color w:val="323031"/>
                <w:spacing w:val="-2"/>
                <w:lang w:val="en-AU"/>
              </w:rPr>
              <w:t>under</w:t>
            </w:r>
            <w:r w:rsidRPr="00F65403">
              <w:rPr>
                <w:b/>
                <w:color w:val="323031"/>
                <w:spacing w:val="1"/>
                <w:lang w:val="en-AU"/>
              </w:rPr>
              <w:t xml:space="preserve"> </w:t>
            </w:r>
            <w:r w:rsidRPr="00F65403">
              <w:rPr>
                <w:b/>
                <w:color w:val="323031"/>
                <w:spacing w:val="-2"/>
                <w:lang w:val="en-AU"/>
              </w:rPr>
              <w:t>Standing</w:t>
            </w:r>
            <w:r w:rsidRPr="00F65403">
              <w:rPr>
                <w:b/>
                <w:color w:val="323031"/>
                <w:lang w:val="en-AU"/>
              </w:rPr>
              <w:t xml:space="preserve"> </w:t>
            </w:r>
            <w:r w:rsidRPr="00F65403">
              <w:rPr>
                <w:b/>
                <w:color w:val="323031"/>
                <w:spacing w:val="-2"/>
                <w:lang w:val="en-AU"/>
              </w:rPr>
              <w:t>Directions</w:t>
            </w:r>
            <w:r w:rsidRPr="00F65403">
              <w:rPr>
                <w:b/>
                <w:color w:val="323031"/>
                <w:lang w:val="en-AU"/>
              </w:rPr>
              <w:t xml:space="preserve"> </w:t>
            </w:r>
            <w:r w:rsidRPr="00F65403">
              <w:rPr>
                <w:b/>
                <w:color w:val="323031"/>
                <w:spacing w:val="-5"/>
                <w:lang w:val="en-AU"/>
              </w:rPr>
              <w:t>5.2</w:t>
            </w:r>
          </w:p>
        </w:tc>
      </w:tr>
      <w:tr w:rsidR="00577DB1" w:rsidRPr="00680E7D" w14:paraId="4753878C" w14:textId="77777777" w:rsidTr="49BCD735">
        <w:tc>
          <w:tcPr>
            <w:tcW w:w="2018" w:type="dxa"/>
            <w:gridSpan w:val="2"/>
            <w:tcBorders>
              <w:top w:val="single" w:sz="2" w:space="0" w:color="390A56"/>
              <w:bottom w:val="single" w:sz="2" w:space="0" w:color="390A56"/>
            </w:tcBorders>
            <w:shd w:val="clear" w:color="auto" w:fill="FFFFFF" w:themeFill="background1"/>
          </w:tcPr>
          <w:p w14:paraId="68502821" w14:textId="77777777" w:rsidR="00577DB1" w:rsidRPr="00F65403" w:rsidRDefault="00577DB1" w:rsidP="0080046F">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66205879" w14:textId="77777777" w:rsidR="00577DB1" w:rsidRPr="00F65403" w:rsidRDefault="00577DB1" w:rsidP="0080046F">
            <w:pPr>
              <w:pStyle w:val="TableParagraph"/>
              <w:spacing w:before="0"/>
              <w:rPr>
                <w:lang w:val="en-AU"/>
              </w:rPr>
            </w:pPr>
            <w:r w:rsidRPr="00F65403">
              <w:rPr>
                <w:color w:val="323031"/>
                <w:lang w:val="en-AU"/>
              </w:rPr>
              <w:t>Compliance with Australian accounting standards and other</w:t>
            </w:r>
            <w:r w:rsidRPr="00F65403">
              <w:rPr>
                <w:color w:val="323031"/>
                <w:spacing w:val="80"/>
                <w:w w:val="110"/>
                <w:lang w:val="en-AU"/>
              </w:rPr>
              <w:t xml:space="preserve"> </w:t>
            </w:r>
            <w:r w:rsidRPr="00F65403">
              <w:rPr>
                <w:color w:val="323031"/>
                <w:w w:val="110"/>
                <w:lang w:val="en-AU"/>
              </w:rPr>
              <w:t>authoritative</w:t>
            </w:r>
            <w:r w:rsidRPr="00F65403">
              <w:rPr>
                <w:color w:val="323031"/>
                <w:spacing w:val="-17"/>
                <w:w w:val="110"/>
                <w:lang w:val="en-AU"/>
              </w:rPr>
              <w:t xml:space="preserve"> </w:t>
            </w:r>
            <w:r w:rsidRPr="00F65403">
              <w:rPr>
                <w:color w:val="323031"/>
                <w:w w:val="110"/>
                <w:lang w:val="en-AU"/>
              </w:rPr>
              <w:t>pronouncements</w:t>
            </w:r>
          </w:p>
        </w:tc>
        <w:tc>
          <w:tcPr>
            <w:tcW w:w="767" w:type="dxa"/>
            <w:gridSpan w:val="2"/>
            <w:tcBorders>
              <w:top w:val="single" w:sz="2" w:space="0" w:color="390A56"/>
              <w:bottom w:val="single" w:sz="2" w:space="0" w:color="390A56"/>
            </w:tcBorders>
            <w:shd w:val="clear" w:color="auto" w:fill="FFFFFF" w:themeFill="background1"/>
          </w:tcPr>
          <w:p w14:paraId="01EEF5AC" w14:textId="41B232B3" w:rsidR="00577DB1" w:rsidRPr="00F65403" w:rsidRDefault="00865521" w:rsidP="0010235E">
            <w:pPr>
              <w:pStyle w:val="TableParagraph"/>
              <w:spacing w:before="0"/>
              <w:jc w:val="center"/>
              <w:rPr>
                <w:lang w:val="en-AU"/>
              </w:rPr>
            </w:pPr>
            <w:r>
              <w:rPr>
                <w:lang w:val="en-AU"/>
              </w:rPr>
              <w:fldChar w:fldCharType="begin"/>
            </w:r>
            <w:r>
              <w:rPr>
                <w:lang w:val="en-AU"/>
              </w:rPr>
              <w:instrText xml:space="preserve"> PAGEREF _Ref207013345 \h </w:instrText>
            </w:r>
            <w:r>
              <w:rPr>
                <w:lang w:val="en-AU"/>
              </w:rPr>
            </w:r>
            <w:r>
              <w:rPr>
                <w:lang w:val="en-AU"/>
              </w:rPr>
              <w:fldChar w:fldCharType="separate"/>
            </w:r>
            <w:r w:rsidR="00BC7653">
              <w:rPr>
                <w:noProof/>
                <w:lang w:val="en-AU"/>
              </w:rPr>
              <w:t>87</w:t>
            </w:r>
            <w:r>
              <w:rPr>
                <w:lang w:val="en-AU"/>
              </w:rPr>
              <w:fldChar w:fldCharType="end"/>
            </w:r>
          </w:p>
        </w:tc>
      </w:tr>
      <w:tr w:rsidR="00577DB1" w:rsidRPr="00680E7D" w14:paraId="73B2FDF5" w14:textId="77777777" w:rsidTr="49BCD735">
        <w:tc>
          <w:tcPr>
            <w:tcW w:w="2018" w:type="dxa"/>
            <w:gridSpan w:val="2"/>
            <w:tcBorders>
              <w:top w:val="single" w:sz="2" w:space="0" w:color="390A56"/>
              <w:bottom w:val="single" w:sz="2" w:space="0" w:color="390A56"/>
            </w:tcBorders>
            <w:shd w:val="clear" w:color="auto" w:fill="FFFFFF" w:themeFill="background1"/>
          </w:tcPr>
          <w:p w14:paraId="6A83EB50" w14:textId="77777777" w:rsidR="00577DB1" w:rsidRPr="00F65403" w:rsidRDefault="00577DB1" w:rsidP="0080046F">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61E74AA8" w14:textId="77777777" w:rsidR="00577DB1" w:rsidRPr="00F65403" w:rsidRDefault="00577DB1" w:rsidP="0080046F">
            <w:pPr>
              <w:pStyle w:val="TableParagraph"/>
              <w:spacing w:before="0"/>
              <w:rPr>
                <w:lang w:val="en-AU"/>
              </w:rPr>
            </w:pPr>
            <w:r w:rsidRPr="00F65403">
              <w:rPr>
                <w:color w:val="323031"/>
                <w:w w:val="105"/>
                <w:lang w:val="en-AU"/>
              </w:rPr>
              <w:t>Compliance with Standing</w:t>
            </w:r>
            <w:r w:rsidRPr="00F65403">
              <w:rPr>
                <w:color w:val="323031"/>
                <w:spacing w:val="1"/>
                <w:w w:val="105"/>
                <w:lang w:val="en-AU"/>
              </w:rPr>
              <w:t xml:space="preserve"> </w:t>
            </w:r>
            <w:r w:rsidRPr="00F65403">
              <w:rPr>
                <w:color w:val="323031"/>
                <w:spacing w:val="-2"/>
                <w:w w:val="105"/>
                <w:lang w:val="en-AU"/>
              </w:rPr>
              <w:t>Directions</w:t>
            </w:r>
          </w:p>
        </w:tc>
        <w:tc>
          <w:tcPr>
            <w:tcW w:w="767" w:type="dxa"/>
            <w:gridSpan w:val="2"/>
            <w:tcBorders>
              <w:top w:val="single" w:sz="2" w:space="0" w:color="390A56"/>
              <w:bottom w:val="single" w:sz="2" w:space="0" w:color="390A56"/>
            </w:tcBorders>
            <w:shd w:val="clear" w:color="auto" w:fill="FFFFFF" w:themeFill="background1"/>
          </w:tcPr>
          <w:p w14:paraId="0127ECC5" w14:textId="4EF8688D" w:rsidR="00577DB1" w:rsidRPr="00F65403" w:rsidRDefault="00E72388" w:rsidP="0010235E">
            <w:pPr>
              <w:pStyle w:val="TableParagraph"/>
              <w:spacing w:before="0"/>
              <w:jc w:val="center"/>
              <w:rPr>
                <w:lang w:val="en-AU"/>
              </w:rPr>
            </w:pPr>
            <w:r>
              <w:rPr>
                <w:lang w:val="en-AU"/>
              </w:rPr>
              <w:fldChar w:fldCharType="begin"/>
            </w:r>
            <w:r>
              <w:rPr>
                <w:lang w:val="en-AU"/>
              </w:rPr>
              <w:instrText xml:space="preserve"> PAGEREF _Ref207013379 \h </w:instrText>
            </w:r>
            <w:r>
              <w:rPr>
                <w:lang w:val="en-AU"/>
              </w:rPr>
            </w:r>
            <w:r>
              <w:rPr>
                <w:lang w:val="en-AU"/>
              </w:rPr>
              <w:fldChar w:fldCharType="separate"/>
            </w:r>
            <w:r w:rsidR="00BC7653">
              <w:rPr>
                <w:noProof/>
                <w:lang w:val="en-AU"/>
              </w:rPr>
              <w:t>87</w:t>
            </w:r>
            <w:r>
              <w:rPr>
                <w:lang w:val="en-AU"/>
              </w:rPr>
              <w:fldChar w:fldCharType="end"/>
            </w:r>
          </w:p>
        </w:tc>
      </w:tr>
      <w:tr w:rsidR="00577DB1" w:rsidRPr="00680E7D" w14:paraId="1930561E" w14:textId="77777777" w:rsidTr="49BCD735">
        <w:tc>
          <w:tcPr>
            <w:tcW w:w="9026" w:type="dxa"/>
            <w:gridSpan w:val="5"/>
            <w:tcBorders>
              <w:top w:val="single" w:sz="2" w:space="0" w:color="390A56"/>
              <w:bottom w:val="single" w:sz="2" w:space="0" w:color="390A56"/>
            </w:tcBorders>
            <w:shd w:val="clear" w:color="auto" w:fill="F0E3DE"/>
          </w:tcPr>
          <w:p w14:paraId="34C58948" w14:textId="77777777" w:rsidR="00577DB1" w:rsidRPr="00F65403" w:rsidRDefault="00577DB1" w:rsidP="0080046F">
            <w:pPr>
              <w:pStyle w:val="TableParagraph"/>
              <w:spacing w:before="0"/>
              <w:rPr>
                <w:b/>
                <w:lang w:val="en-AU"/>
              </w:rPr>
            </w:pPr>
            <w:r w:rsidRPr="00F65403">
              <w:rPr>
                <w:b/>
                <w:color w:val="323031"/>
                <w:spacing w:val="-2"/>
                <w:lang w:val="en-AU"/>
              </w:rPr>
              <w:t>Other</w:t>
            </w:r>
            <w:r w:rsidRPr="00F65403">
              <w:rPr>
                <w:b/>
                <w:color w:val="323031"/>
                <w:spacing w:val="-5"/>
                <w:lang w:val="en-AU"/>
              </w:rPr>
              <w:t xml:space="preserve"> </w:t>
            </w:r>
            <w:r w:rsidRPr="00F65403">
              <w:rPr>
                <w:b/>
                <w:color w:val="323031"/>
                <w:spacing w:val="-2"/>
                <w:lang w:val="en-AU"/>
              </w:rPr>
              <w:t>disclosures</w:t>
            </w:r>
            <w:r w:rsidRPr="00F65403">
              <w:rPr>
                <w:b/>
                <w:color w:val="323031"/>
                <w:spacing w:val="-5"/>
                <w:lang w:val="en-AU"/>
              </w:rPr>
              <w:t xml:space="preserve"> </w:t>
            </w:r>
            <w:r w:rsidRPr="00F65403">
              <w:rPr>
                <w:b/>
                <w:color w:val="323031"/>
                <w:spacing w:val="-2"/>
                <w:lang w:val="en-AU"/>
              </w:rPr>
              <w:t>as</w:t>
            </w:r>
            <w:r w:rsidRPr="00F65403">
              <w:rPr>
                <w:b/>
                <w:color w:val="323031"/>
                <w:spacing w:val="-4"/>
                <w:lang w:val="en-AU"/>
              </w:rPr>
              <w:t xml:space="preserve"> </w:t>
            </w:r>
            <w:r w:rsidRPr="00F65403">
              <w:rPr>
                <w:b/>
                <w:color w:val="323031"/>
                <w:spacing w:val="-2"/>
                <w:lang w:val="en-AU"/>
              </w:rPr>
              <w:t>required</w:t>
            </w:r>
            <w:r w:rsidRPr="00F65403">
              <w:rPr>
                <w:b/>
                <w:color w:val="323031"/>
                <w:spacing w:val="-5"/>
                <w:lang w:val="en-AU"/>
              </w:rPr>
              <w:t xml:space="preserve"> </w:t>
            </w:r>
            <w:r w:rsidRPr="00F65403">
              <w:rPr>
                <w:b/>
                <w:color w:val="323031"/>
                <w:spacing w:val="-2"/>
                <w:lang w:val="en-AU"/>
              </w:rPr>
              <w:t>by</w:t>
            </w:r>
            <w:r w:rsidRPr="00F65403">
              <w:rPr>
                <w:b/>
                <w:color w:val="323031"/>
                <w:spacing w:val="-4"/>
                <w:lang w:val="en-AU"/>
              </w:rPr>
              <w:t xml:space="preserve"> </w:t>
            </w:r>
            <w:r w:rsidRPr="00F65403">
              <w:rPr>
                <w:b/>
                <w:color w:val="323031"/>
                <w:spacing w:val="-2"/>
                <w:lang w:val="en-AU"/>
              </w:rPr>
              <w:t>FRDs</w:t>
            </w:r>
            <w:r w:rsidRPr="00F65403">
              <w:rPr>
                <w:b/>
                <w:color w:val="323031"/>
                <w:spacing w:val="-5"/>
                <w:lang w:val="en-AU"/>
              </w:rPr>
              <w:t xml:space="preserve"> </w:t>
            </w:r>
            <w:r w:rsidRPr="00F65403">
              <w:rPr>
                <w:b/>
                <w:color w:val="323031"/>
                <w:spacing w:val="-2"/>
                <w:lang w:val="en-AU"/>
              </w:rPr>
              <w:t>in</w:t>
            </w:r>
            <w:r w:rsidRPr="00F65403">
              <w:rPr>
                <w:b/>
                <w:color w:val="323031"/>
                <w:spacing w:val="-5"/>
                <w:lang w:val="en-AU"/>
              </w:rPr>
              <w:t xml:space="preserve"> </w:t>
            </w:r>
            <w:r w:rsidRPr="00F65403">
              <w:rPr>
                <w:b/>
                <w:color w:val="323031"/>
                <w:spacing w:val="-2"/>
                <w:lang w:val="en-AU"/>
              </w:rPr>
              <w:t>notes</w:t>
            </w:r>
            <w:r w:rsidRPr="00F65403">
              <w:rPr>
                <w:b/>
                <w:color w:val="323031"/>
                <w:spacing w:val="-4"/>
                <w:lang w:val="en-AU"/>
              </w:rPr>
              <w:t xml:space="preserve"> </w:t>
            </w:r>
            <w:r w:rsidRPr="00F65403">
              <w:rPr>
                <w:b/>
                <w:color w:val="323031"/>
                <w:spacing w:val="-2"/>
                <w:lang w:val="en-AU"/>
              </w:rPr>
              <w:t>to</w:t>
            </w:r>
            <w:r w:rsidRPr="00F65403">
              <w:rPr>
                <w:b/>
                <w:color w:val="323031"/>
                <w:spacing w:val="-5"/>
                <w:lang w:val="en-AU"/>
              </w:rPr>
              <w:t xml:space="preserve"> </w:t>
            </w:r>
            <w:r w:rsidRPr="00F65403">
              <w:rPr>
                <w:b/>
                <w:color w:val="323031"/>
                <w:spacing w:val="-2"/>
                <w:lang w:val="en-AU"/>
              </w:rPr>
              <w:t>the</w:t>
            </w:r>
            <w:r w:rsidRPr="00F65403">
              <w:rPr>
                <w:b/>
                <w:color w:val="323031"/>
                <w:spacing w:val="-4"/>
                <w:lang w:val="en-AU"/>
              </w:rPr>
              <w:t xml:space="preserve"> </w:t>
            </w:r>
            <w:r w:rsidRPr="00F65403">
              <w:rPr>
                <w:b/>
                <w:color w:val="323031"/>
                <w:spacing w:val="-2"/>
                <w:lang w:val="en-AU"/>
              </w:rPr>
              <w:t>financial</w:t>
            </w:r>
            <w:r w:rsidRPr="00F65403">
              <w:rPr>
                <w:b/>
                <w:color w:val="323031"/>
                <w:spacing w:val="-5"/>
                <w:lang w:val="en-AU"/>
              </w:rPr>
              <w:t xml:space="preserve"> </w:t>
            </w:r>
            <w:r w:rsidRPr="00F65403">
              <w:rPr>
                <w:b/>
                <w:color w:val="323031"/>
                <w:spacing w:val="-2"/>
                <w:lang w:val="en-AU"/>
              </w:rPr>
              <w:t>statements</w:t>
            </w:r>
            <w:r w:rsidRPr="00F65403">
              <w:rPr>
                <w:b/>
                <w:color w:val="323031"/>
                <w:spacing w:val="-6"/>
                <w:lang w:val="en-AU"/>
              </w:rPr>
              <w:t xml:space="preserve"> </w:t>
            </w:r>
            <w:r w:rsidRPr="00F65403">
              <w:rPr>
                <w:b/>
                <w:color w:val="323031"/>
                <w:spacing w:val="-5"/>
                <w:position w:val="6"/>
                <w:lang w:val="en-AU"/>
              </w:rPr>
              <w:t>(a)</w:t>
            </w:r>
          </w:p>
        </w:tc>
      </w:tr>
      <w:tr w:rsidR="00577DB1" w:rsidRPr="00680E7D" w14:paraId="2C277EC4" w14:textId="77777777" w:rsidTr="49BCD735">
        <w:tc>
          <w:tcPr>
            <w:tcW w:w="2018" w:type="dxa"/>
            <w:gridSpan w:val="2"/>
            <w:tcBorders>
              <w:top w:val="single" w:sz="2" w:space="0" w:color="390A56"/>
            </w:tcBorders>
            <w:shd w:val="clear" w:color="auto" w:fill="FFFFFF" w:themeFill="background1"/>
          </w:tcPr>
          <w:p w14:paraId="6E6470E5" w14:textId="77777777" w:rsidR="00577DB1" w:rsidRPr="00F65403" w:rsidRDefault="00577DB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21</w:t>
            </w:r>
          </w:p>
        </w:tc>
        <w:tc>
          <w:tcPr>
            <w:tcW w:w="6241" w:type="dxa"/>
            <w:tcBorders>
              <w:top w:val="single" w:sz="2" w:space="0" w:color="390A56"/>
            </w:tcBorders>
            <w:shd w:val="clear" w:color="auto" w:fill="FFFFFF" w:themeFill="background1"/>
          </w:tcPr>
          <w:p w14:paraId="1E4C03A5" w14:textId="77777777" w:rsidR="00577DB1" w:rsidRPr="00F65403" w:rsidRDefault="00577DB1" w:rsidP="0080046F">
            <w:pPr>
              <w:pStyle w:val="TableParagraph"/>
              <w:spacing w:before="0"/>
              <w:rPr>
                <w:lang w:val="en-AU"/>
              </w:rPr>
            </w:pPr>
            <w:r w:rsidRPr="00F65403">
              <w:rPr>
                <w:color w:val="323031"/>
                <w:lang w:val="en-AU"/>
              </w:rPr>
              <w:t>Disclosures</w:t>
            </w:r>
            <w:r w:rsidRPr="00F65403">
              <w:rPr>
                <w:color w:val="323031"/>
                <w:spacing w:val="19"/>
                <w:lang w:val="en-AU"/>
              </w:rPr>
              <w:t xml:space="preserve"> </w:t>
            </w:r>
            <w:r w:rsidRPr="00F65403">
              <w:rPr>
                <w:color w:val="323031"/>
                <w:lang w:val="en-AU"/>
              </w:rPr>
              <w:t>of</w:t>
            </w:r>
            <w:r w:rsidRPr="00F65403">
              <w:rPr>
                <w:color w:val="323031"/>
                <w:spacing w:val="19"/>
                <w:lang w:val="en-AU"/>
              </w:rPr>
              <w:t xml:space="preserve"> </w:t>
            </w:r>
            <w:r w:rsidRPr="00F65403">
              <w:rPr>
                <w:color w:val="323031"/>
                <w:lang w:val="en-AU"/>
              </w:rPr>
              <w:t>Responsible</w:t>
            </w:r>
            <w:r w:rsidRPr="00F65403">
              <w:rPr>
                <w:color w:val="323031"/>
                <w:spacing w:val="19"/>
                <w:lang w:val="en-AU"/>
              </w:rPr>
              <w:t xml:space="preserve"> </w:t>
            </w:r>
            <w:r w:rsidRPr="00F65403">
              <w:rPr>
                <w:color w:val="323031"/>
                <w:lang w:val="en-AU"/>
              </w:rPr>
              <w:t>Persons,</w:t>
            </w:r>
            <w:r w:rsidRPr="00F65403">
              <w:rPr>
                <w:color w:val="323031"/>
                <w:spacing w:val="19"/>
                <w:lang w:val="en-AU"/>
              </w:rPr>
              <w:t xml:space="preserve"> </w:t>
            </w:r>
            <w:r w:rsidRPr="00F65403">
              <w:rPr>
                <w:color w:val="323031"/>
                <w:lang w:val="en-AU"/>
              </w:rPr>
              <w:t>Executive</w:t>
            </w:r>
            <w:r w:rsidRPr="00F65403">
              <w:rPr>
                <w:color w:val="323031"/>
                <w:spacing w:val="19"/>
                <w:lang w:val="en-AU"/>
              </w:rPr>
              <w:t xml:space="preserve"> </w:t>
            </w:r>
            <w:r w:rsidRPr="00F65403">
              <w:rPr>
                <w:color w:val="323031"/>
                <w:lang w:val="en-AU"/>
              </w:rPr>
              <w:t>Officers</w:t>
            </w:r>
            <w:r w:rsidRPr="00F65403">
              <w:rPr>
                <w:color w:val="323031"/>
                <w:spacing w:val="20"/>
                <w:lang w:val="en-AU"/>
              </w:rPr>
              <w:t xml:space="preserve"> </w:t>
            </w:r>
            <w:r w:rsidRPr="00F65403">
              <w:rPr>
                <w:color w:val="323031"/>
                <w:lang w:val="en-AU"/>
              </w:rPr>
              <w:t>and</w:t>
            </w:r>
            <w:r w:rsidRPr="00F65403">
              <w:rPr>
                <w:color w:val="323031"/>
                <w:spacing w:val="19"/>
                <w:lang w:val="en-AU"/>
              </w:rPr>
              <w:t xml:space="preserve"> </w:t>
            </w:r>
            <w:r w:rsidRPr="00F65403">
              <w:rPr>
                <w:color w:val="323031"/>
                <w:spacing w:val="-2"/>
                <w:lang w:val="en-AU"/>
              </w:rPr>
              <w:t>other</w:t>
            </w:r>
          </w:p>
        </w:tc>
        <w:tc>
          <w:tcPr>
            <w:tcW w:w="767" w:type="dxa"/>
            <w:gridSpan w:val="2"/>
            <w:tcBorders>
              <w:top w:val="single" w:sz="2" w:space="0" w:color="390A56"/>
            </w:tcBorders>
            <w:shd w:val="clear" w:color="auto" w:fill="FFFFFF" w:themeFill="background1"/>
          </w:tcPr>
          <w:p w14:paraId="65348D8E" w14:textId="00B74043" w:rsidR="00577DB1" w:rsidRPr="00F65403" w:rsidRDefault="00820C72" w:rsidP="0010235E">
            <w:pPr>
              <w:pStyle w:val="TableParagraph"/>
              <w:spacing w:before="0"/>
              <w:jc w:val="center"/>
              <w:rPr>
                <w:lang w:val="en-AU"/>
              </w:rPr>
            </w:pPr>
            <w:r>
              <w:rPr>
                <w:lang w:val="en-AU"/>
              </w:rPr>
              <w:fldChar w:fldCharType="begin"/>
            </w:r>
            <w:r>
              <w:rPr>
                <w:lang w:val="en-AU"/>
              </w:rPr>
              <w:instrText xml:space="preserve"> PAGEREF _Ref207013418 \h </w:instrText>
            </w:r>
            <w:r>
              <w:rPr>
                <w:lang w:val="en-AU"/>
              </w:rPr>
            </w:r>
            <w:r>
              <w:rPr>
                <w:lang w:val="en-AU"/>
              </w:rPr>
              <w:fldChar w:fldCharType="separate"/>
            </w:r>
            <w:r w:rsidR="00BC7653">
              <w:rPr>
                <w:noProof/>
                <w:lang w:val="en-AU"/>
              </w:rPr>
              <w:t>81</w:t>
            </w:r>
            <w:r>
              <w:rPr>
                <w:lang w:val="en-AU"/>
              </w:rPr>
              <w:fldChar w:fldCharType="end"/>
            </w:r>
          </w:p>
        </w:tc>
      </w:tr>
      <w:tr w:rsidR="00577DB1" w:rsidRPr="00680E7D" w14:paraId="4CAF19A7" w14:textId="77777777" w:rsidTr="49BCD735">
        <w:tc>
          <w:tcPr>
            <w:tcW w:w="2018" w:type="dxa"/>
            <w:gridSpan w:val="2"/>
            <w:shd w:val="clear" w:color="auto" w:fill="FFFFFF" w:themeFill="background1"/>
          </w:tcPr>
          <w:p w14:paraId="0236FA8D" w14:textId="77777777" w:rsidR="00577DB1" w:rsidRPr="00F65403" w:rsidRDefault="00577DB1">
            <w:pPr>
              <w:pStyle w:val="TableParagraph"/>
              <w:spacing w:before="0"/>
              <w:rPr>
                <w:rFonts w:ascii="Times New Roman"/>
                <w:lang w:val="en-AU"/>
              </w:rPr>
            </w:pPr>
          </w:p>
        </w:tc>
        <w:tc>
          <w:tcPr>
            <w:tcW w:w="6241" w:type="dxa"/>
            <w:shd w:val="clear" w:color="auto" w:fill="FFFFFF" w:themeFill="background1"/>
          </w:tcPr>
          <w:p w14:paraId="1236A26E" w14:textId="05D62006" w:rsidR="00577DB1" w:rsidRPr="00F65403" w:rsidRDefault="00577DB1" w:rsidP="0080046F">
            <w:pPr>
              <w:pStyle w:val="TableParagraph"/>
              <w:spacing w:before="0"/>
              <w:rPr>
                <w:lang w:val="en-AU"/>
              </w:rPr>
            </w:pPr>
            <w:r w:rsidRPr="00F65403">
              <w:rPr>
                <w:color w:val="323031"/>
                <w:spacing w:val="-2"/>
                <w:w w:val="105"/>
                <w:lang w:val="en-AU"/>
              </w:rPr>
              <w:t>Personnel</w:t>
            </w:r>
            <w:r w:rsidR="00E72388">
              <w:rPr>
                <w:color w:val="323031"/>
                <w:spacing w:val="-2"/>
                <w:w w:val="105"/>
                <w:lang w:val="en-AU"/>
              </w:rPr>
              <w:t xml:space="preserve"> </w:t>
            </w:r>
            <w:r w:rsidR="00E72388" w:rsidRPr="00F65403">
              <w:rPr>
                <w:color w:val="323031"/>
                <w:w w:val="105"/>
                <w:lang w:val="en-AU"/>
              </w:rPr>
              <w:t>(Contractors</w:t>
            </w:r>
            <w:r w:rsidR="00E72388" w:rsidRPr="00F65403">
              <w:rPr>
                <w:color w:val="323031"/>
                <w:spacing w:val="-4"/>
                <w:w w:val="105"/>
                <w:lang w:val="en-AU"/>
              </w:rPr>
              <w:t xml:space="preserve"> </w:t>
            </w:r>
            <w:r w:rsidR="00E72388" w:rsidRPr="00F65403">
              <w:rPr>
                <w:color w:val="323031"/>
                <w:w w:val="105"/>
                <w:lang w:val="en-AU"/>
              </w:rPr>
              <w:t>with</w:t>
            </w:r>
            <w:r w:rsidR="00E72388" w:rsidRPr="00F65403">
              <w:rPr>
                <w:color w:val="323031"/>
                <w:spacing w:val="-3"/>
                <w:w w:val="105"/>
                <w:lang w:val="en-AU"/>
              </w:rPr>
              <w:t xml:space="preserve"> </w:t>
            </w:r>
            <w:r w:rsidR="00E72388" w:rsidRPr="00F65403">
              <w:rPr>
                <w:color w:val="323031"/>
                <w:w w:val="105"/>
                <w:lang w:val="en-AU"/>
              </w:rPr>
              <w:t>Significant</w:t>
            </w:r>
            <w:r w:rsidR="00E72388" w:rsidRPr="00F65403">
              <w:rPr>
                <w:color w:val="323031"/>
                <w:spacing w:val="-3"/>
                <w:w w:val="105"/>
                <w:lang w:val="en-AU"/>
              </w:rPr>
              <w:t xml:space="preserve"> </w:t>
            </w:r>
            <w:r w:rsidR="00E72388" w:rsidRPr="00F65403">
              <w:rPr>
                <w:color w:val="323031"/>
                <w:w w:val="105"/>
                <w:lang w:val="en-AU"/>
              </w:rPr>
              <w:t>Management</w:t>
            </w:r>
            <w:r w:rsidR="00E72388" w:rsidRPr="00F65403">
              <w:rPr>
                <w:color w:val="323031"/>
                <w:spacing w:val="-3"/>
                <w:w w:val="105"/>
                <w:lang w:val="en-AU"/>
              </w:rPr>
              <w:t xml:space="preserve"> </w:t>
            </w:r>
            <w:r w:rsidR="00E72388" w:rsidRPr="00F65403">
              <w:rPr>
                <w:color w:val="323031"/>
                <w:w w:val="105"/>
                <w:lang w:val="en-AU"/>
              </w:rPr>
              <w:t>Responsibilities)</w:t>
            </w:r>
            <w:r w:rsidR="00E72388" w:rsidRPr="00F65403">
              <w:rPr>
                <w:color w:val="323031"/>
                <w:spacing w:val="-4"/>
                <w:w w:val="105"/>
                <w:lang w:val="en-AU"/>
              </w:rPr>
              <w:t xml:space="preserve"> </w:t>
            </w:r>
            <w:r w:rsidR="00E72388" w:rsidRPr="00F65403">
              <w:rPr>
                <w:color w:val="323031"/>
                <w:w w:val="105"/>
                <w:lang w:val="en-AU"/>
              </w:rPr>
              <w:t>in</w:t>
            </w:r>
            <w:r w:rsidR="00E72388" w:rsidRPr="00F65403">
              <w:rPr>
                <w:color w:val="323031"/>
                <w:spacing w:val="-3"/>
                <w:w w:val="105"/>
                <w:lang w:val="en-AU"/>
              </w:rPr>
              <w:t xml:space="preserve"> </w:t>
            </w:r>
            <w:r w:rsidR="00E72388" w:rsidRPr="00F65403">
              <w:rPr>
                <w:color w:val="323031"/>
                <w:spacing w:val="-5"/>
                <w:w w:val="105"/>
                <w:lang w:val="en-AU"/>
              </w:rPr>
              <w:t>the</w:t>
            </w:r>
            <w:r w:rsidR="00E72388">
              <w:rPr>
                <w:color w:val="323031"/>
                <w:spacing w:val="-5"/>
                <w:w w:val="105"/>
                <w:lang w:val="en-AU"/>
              </w:rPr>
              <w:t xml:space="preserve"> </w:t>
            </w:r>
            <w:r w:rsidR="00E72388" w:rsidRPr="00F65403">
              <w:rPr>
                <w:color w:val="323031"/>
                <w:lang w:val="en-AU"/>
              </w:rPr>
              <w:t>Financial</w:t>
            </w:r>
            <w:r w:rsidR="00E72388" w:rsidRPr="00F65403">
              <w:rPr>
                <w:color w:val="323031"/>
                <w:spacing w:val="18"/>
                <w:lang w:val="en-AU"/>
              </w:rPr>
              <w:t xml:space="preserve"> </w:t>
            </w:r>
            <w:r w:rsidR="00E72388" w:rsidRPr="00F65403">
              <w:rPr>
                <w:color w:val="323031"/>
                <w:spacing w:val="-2"/>
                <w:lang w:val="en-AU"/>
              </w:rPr>
              <w:t>Report</w:t>
            </w:r>
          </w:p>
        </w:tc>
        <w:tc>
          <w:tcPr>
            <w:tcW w:w="767" w:type="dxa"/>
            <w:gridSpan w:val="2"/>
            <w:shd w:val="clear" w:color="auto" w:fill="FFFFFF" w:themeFill="background1"/>
          </w:tcPr>
          <w:p w14:paraId="55021A12" w14:textId="77777777" w:rsidR="00577DB1" w:rsidRPr="00F65403" w:rsidRDefault="00577DB1" w:rsidP="0010235E">
            <w:pPr>
              <w:pStyle w:val="TableParagraph"/>
              <w:spacing w:before="0"/>
              <w:jc w:val="center"/>
              <w:rPr>
                <w:rFonts w:ascii="Times New Roman"/>
                <w:lang w:val="en-AU"/>
              </w:rPr>
            </w:pPr>
          </w:p>
        </w:tc>
      </w:tr>
      <w:tr w:rsidR="00577DB1" w:rsidRPr="00680E7D" w14:paraId="1A88D112" w14:textId="77777777" w:rsidTr="49BCD735">
        <w:tc>
          <w:tcPr>
            <w:tcW w:w="2018" w:type="dxa"/>
            <w:gridSpan w:val="2"/>
            <w:tcBorders>
              <w:top w:val="single" w:sz="2" w:space="0" w:color="390A56"/>
              <w:bottom w:val="single" w:sz="2" w:space="0" w:color="390A56"/>
            </w:tcBorders>
            <w:shd w:val="clear" w:color="auto" w:fill="FFFFFF" w:themeFill="background1"/>
          </w:tcPr>
          <w:p w14:paraId="4E209F3E" w14:textId="77777777" w:rsidR="00577DB1" w:rsidRPr="00F65403" w:rsidRDefault="00577DB1" w:rsidP="00522ADA">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110</w:t>
            </w:r>
          </w:p>
        </w:tc>
        <w:tc>
          <w:tcPr>
            <w:tcW w:w="6241" w:type="dxa"/>
            <w:tcBorders>
              <w:top w:val="single" w:sz="2" w:space="0" w:color="390A56"/>
              <w:bottom w:val="single" w:sz="2" w:space="0" w:color="390A56"/>
            </w:tcBorders>
            <w:shd w:val="clear" w:color="auto" w:fill="FFFFFF" w:themeFill="background1"/>
          </w:tcPr>
          <w:p w14:paraId="5489EEC8" w14:textId="77777777" w:rsidR="00577DB1" w:rsidRPr="00F65403" w:rsidRDefault="00577DB1" w:rsidP="0080046F">
            <w:pPr>
              <w:pStyle w:val="TableParagraph"/>
              <w:spacing w:before="0"/>
              <w:rPr>
                <w:lang w:val="en-AU"/>
              </w:rPr>
            </w:pPr>
            <w:r w:rsidRPr="00F65403">
              <w:rPr>
                <w:color w:val="323031"/>
                <w:lang w:val="en-AU"/>
              </w:rPr>
              <w:t>Cash</w:t>
            </w:r>
            <w:r w:rsidRPr="00F65403">
              <w:rPr>
                <w:color w:val="323031"/>
                <w:spacing w:val="15"/>
                <w:lang w:val="en-AU"/>
              </w:rPr>
              <w:t xml:space="preserve"> </w:t>
            </w:r>
            <w:r w:rsidRPr="00F65403">
              <w:rPr>
                <w:color w:val="323031"/>
                <w:lang w:val="en-AU"/>
              </w:rPr>
              <w:t>flow</w:t>
            </w:r>
            <w:r w:rsidRPr="00F65403">
              <w:rPr>
                <w:color w:val="323031"/>
                <w:spacing w:val="16"/>
                <w:lang w:val="en-AU"/>
              </w:rPr>
              <w:t xml:space="preserve"> </w:t>
            </w:r>
            <w:r w:rsidRPr="00F65403">
              <w:rPr>
                <w:color w:val="323031"/>
                <w:spacing w:val="-2"/>
                <w:lang w:val="en-AU"/>
              </w:rPr>
              <w:t>statements</w:t>
            </w:r>
          </w:p>
        </w:tc>
        <w:tc>
          <w:tcPr>
            <w:tcW w:w="767" w:type="dxa"/>
            <w:gridSpan w:val="2"/>
            <w:tcBorders>
              <w:top w:val="single" w:sz="2" w:space="0" w:color="390A56"/>
              <w:bottom w:val="single" w:sz="2" w:space="0" w:color="390A56"/>
            </w:tcBorders>
            <w:shd w:val="clear" w:color="auto" w:fill="FFFFFF" w:themeFill="background1"/>
          </w:tcPr>
          <w:p w14:paraId="4A9A3FA7" w14:textId="6D9B0137" w:rsidR="00577DB1" w:rsidRPr="00F65403" w:rsidRDefault="003A0190" w:rsidP="0010235E">
            <w:pPr>
              <w:pStyle w:val="TableParagraph"/>
              <w:spacing w:before="0"/>
              <w:jc w:val="center"/>
              <w:rPr>
                <w:lang w:val="en-AU"/>
              </w:rPr>
            </w:pPr>
            <w:r>
              <w:rPr>
                <w:lang w:val="en-AU"/>
              </w:rPr>
              <w:fldChar w:fldCharType="begin"/>
            </w:r>
            <w:r>
              <w:rPr>
                <w:lang w:val="en-AU"/>
              </w:rPr>
              <w:instrText xml:space="preserve"> PAGEREF _Ref207013500 \h </w:instrText>
            </w:r>
            <w:r>
              <w:rPr>
                <w:lang w:val="en-AU"/>
              </w:rPr>
            </w:r>
            <w:r>
              <w:rPr>
                <w:lang w:val="en-AU"/>
              </w:rPr>
              <w:fldChar w:fldCharType="separate"/>
            </w:r>
            <w:r w:rsidR="00BC7653">
              <w:rPr>
                <w:noProof/>
                <w:lang w:val="en-AU"/>
              </w:rPr>
              <w:t>54</w:t>
            </w:r>
            <w:r>
              <w:rPr>
                <w:lang w:val="en-AU"/>
              </w:rPr>
              <w:fldChar w:fldCharType="end"/>
            </w:r>
          </w:p>
        </w:tc>
      </w:tr>
      <w:tr w:rsidR="00577DB1" w:rsidRPr="00680E7D" w14:paraId="619D7F9F" w14:textId="77777777" w:rsidTr="49BCD735">
        <w:tc>
          <w:tcPr>
            <w:tcW w:w="2018" w:type="dxa"/>
            <w:gridSpan w:val="2"/>
            <w:tcBorders>
              <w:top w:val="single" w:sz="2" w:space="0" w:color="390A56"/>
              <w:bottom w:val="single" w:sz="2" w:space="0" w:color="390A56"/>
            </w:tcBorders>
            <w:shd w:val="clear" w:color="auto" w:fill="FFFFFF" w:themeFill="background1"/>
          </w:tcPr>
          <w:p w14:paraId="0DC96C7E" w14:textId="77777777" w:rsidR="00577DB1" w:rsidRPr="00F65403" w:rsidRDefault="00577DB1" w:rsidP="0080046F">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114</w:t>
            </w:r>
          </w:p>
        </w:tc>
        <w:tc>
          <w:tcPr>
            <w:tcW w:w="6241" w:type="dxa"/>
            <w:tcBorders>
              <w:top w:val="single" w:sz="2" w:space="0" w:color="390A56"/>
              <w:bottom w:val="single" w:sz="2" w:space="0" w:color="390A56"/>
            </w:tcBorders>
            <w:shd w:val="clear" w:color="auto" w:fill="FFFFFF" w:themeFill="background1"/>
          </w:tcPr>
          <w:p w14:paraId="0353E628" w14:textId="77777777" w:rsidR="00577DB1" w:rsidRPr="00F65403" w:rsidRDefault="00577DB1" w:rsidP="0080046F">
            <w:pPr>
              <w:pStyle w:val="TableParagraph"/>
              <w:spacing w:before="0"/>
              <w:rPr>
                <w:lang w:val="en-AU"/>
              </w:rPr>
            </w:pPr>
            <w:r w:rsidRPr="00F65403">
              <w:rPr>
                <w:color w:val="323031"/>
                <w:lang w:val="en-AU"/>
              </w:rPr>
              <w:t>Financial</w:t>
            </w:r>
            <w:r w:rsidRPr="00F65403">
              <w:rPr>
                <w:color w:val="323031"/>
                <w:spacing w:val="18"/>
                <w:lang w:val="en-AU"/>
              </w:rPr>
              <w:t xml:space="preserve"> </w:t>
            </w:r>
            <w:r w:rsidRPr="00F65403">
              <w:rPr>
                <w:color w:val="323031"/>
                <w:spacing w:val="-2"/>
                <w:lang w:val="en-AU"/>
              </w:rPr>
              <w:t>instruments</w:t>
            </w:r>
          </w:p>
        </w:tc>
        <w:tc>
          <w:tcPr>
            <w:tcW w:w="767" w:type="dxa"/>
            <w:gridSpan w:val="2"/>
            <w:tcBorders>
              <w:top w:val="single" w:sz="2" w:space="0" w:color="390A56"/>
              <w:bottom w:val="single" w:sz="2" w:space="0" w:color="390A56"/>
            </w:tcBorders>
            <w:shd w:val="clear" w:color="auto" w:fill="FFFFFF" w:themeFill="background1"/>
          </w:tcPr>
          <w:p w14:paraId="44B151D7" w14:textId="557D46C9" w:rsidR="00577DB1" w:rsidRPr="00F65403" w:rsidRDefault="002D2260" w:rsidP="0010235E">
            <w:pPr>
              <w:pStyle w:val="TableParagraph"/>
              <w:spacing w:before="0"/>
              <w:jc w:val="center"/>
              <w:rPr>
                <w:lang w:val="en-AU"/>
              </w:rPr>
            </w:pPr>
            <w:r>
              <w:rPr>
                <w:lang w:val="en-AU"/>
              </w:rPr>
              <w:fldChar w:fldCharType="begin"/>
            </w:r>
            <w:r>
              <w:rPr>
                <w:lang w:val="en-AU"/>
              </w:rPr>
              <w:instrText xml:space="preserve"> PAGEREF _Ref207013515 \h </w:instrText>
            </w:r>
            <w:r>
              <w:rPr>
                <w:lang w:val="en-AU"/>
              </w:rPr>
            </w:r>
            <w:r>
              <w:rPr>
                <w:lang w:val="en-AU"/>
              </w:rPr>
              <w:fldChar w:fldCharType="separate"/>
            </w:r>
            <w:r w:rsidR="00BC7653">
              <w:rPr>
                <w:noProof/>
                <w:lang w:val="en-AU"/>
              </w:rPr>
              <w:t>64</w:t>
            </w:r>
            <w:r>
              <w:rPr>
                <w:lang w:val="en-AU"/>
              </w:rPr>
              <w:fldChar w:fldCharType="end"/>
            </w:r>
          </w:p>
        </w:tc>
      </w:tr>
      <w:tr w:rsidR="00577DB1" w:rsidRPr="00680E7D" w14:paraId="15B01433" w14:textId="77777777" w:rsidTr="49BCD735">
        <w:tc>
          <w:tcPr>
            <w:tcW w:w="9026" w:type="dxa"/>
            <w:gridSpan w:val="5"/>
            <w:tcBorders>
              <w:top w:val="single" w:sz="2" w:space="0" w:color="390A56"/>
            </w:tcBorders>
            <w:shd w:val="clear" w:color="auto" w:fill="FFFFFF" w:themeFill="background1"/>
          </w:tcPr>
          <w:p w14:paraId="7235D16C" w14:textId="77777777" w:rsidR="00577DB1" w:rsidRPr="00F65403" w:rsidRDefault="00577DB1" w:rsidP="0080046F">
            <w:pPr>
              <w:pStyle w:val="TableParagraph"/>
              <w:spacing w:before="0"/>
              <w:rPr>
                <w:lang w:val="en-AU"/>
              </w:rPr>
            </w:pPr>
            <w:r w:rsidRPr="00F65403">
              <w:rPr>
                <w:color w:val="323031"/>
                <w:position w:val="5"/>
                <w:lang w:val="en-AU"/>
              </w:rPr>
              <w:t>(a)</w:t>
            </w:r>
            <w:r w:rsidRPr="00F65403">
              <w:rPr>
                <w:color w:val="323031"/>
                <w:spacing w:val="6"/>
                <w:position w:val="5"/>
                <w:lang w:val="en-AU"/>
              </w:rPr>
              <w:t xml:space="preserve"> </w:t>
            </w:r>
            <w:r w:rsidRPr="00F65403">
              <w:rPr>
                <w:color w:val="323031"/>
                <w:lang w:val="en-AU"/>
              </w:rPr>
              <w:t>References</w:t>
            </w:r>
            <w:r w:rsidRPr="00F65403">
              <w:rPr>
                <w:color w:val="323031"/>
                <w:spacing w:val="12"/>
                <w:lang w:val="en-AU"/>
              </w:rPr>
              <w:t xml:space="preserve"> </w:t>
            </w:r>
            <w:r w:rsidRPr="00F65403">
              <w:rPr>
                <w:color w:val="323031"/>
                <w:lang w:val="en-AU"/>
              </w:rPr>
              <w:t>to</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have</w:t>
            </w:r>
            <w:r w:rsidRPr="00F65403">
              <w:rPr>
                <w:color w:val="323031"/>
                <w:spacing w:val="12"/>
                <w:lang w:val="en-AU"/>
              </w:rPr>
              <w:t xml:space="preserve"> </w:t>
            </w:r>
            <w:r w:rsidRPr="00F65403">
              <w:rPr>
                <w:color w:val="323031"/>
                <w:lang w:val="en-AU"/>
              </w:rPr>
              <w:t>been</w:t>
            </w:r>
            <w:r w:rsidRPr="00F65403">
              <w:rPr>
                <w:color w:val="323031"/>
                <w:spacing w:val="12"/>
                <w:lang w:val="en-AU"/>
              </w:rPr>
              <w:t xml:space="preserve"> </w:t>
            </w:r>
            <w:r w:rsidRPr="00F65403">
              <w:rPr>
                <w:color w:val="323031"/>
                <w:lang w:val="en-AU"/>
              </w:rPr>
              <w:t>removed</w:t>
            </w:r>
            <w:r w:rsidRPr="00F65403">
              <w:rPr>
                <w:color w:val="323031"/>
                <w:spacing w:val="12"/>
                <w:lang w:val="en-AU"/>
              </w:rPr>
              <w:t xml:space="preserve"> </w:t>
            </w:r>
            <w:r w:rsidRPr="00F65403">
              <w:rPr>
                <w:color w:val="323031"/>
                <w:lang w:val="en-AU"/>
              </w:rPr>
              <w:t>from</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Disclosure</w:t>
            </w:r>
            <w:r w:rsidRPr="00F65403">
              <w:rPr>
                <w:color w:val="323031"/>
                <w:spacing w:val="12"/>
                <w:lang w:val="en-AU"/>
              </w:rPr>
              <w:t xml:space="preserve"> </w:t>
            </w:r>
            <w:r w:rsidRPr="00F65403">
              <w:rPr>
                <w:color w:val="323031"/>
                <w:lang w:val="en-AU"/>
              </w:rPr>
              <w:t>Index</w:t>
            </w:r>
            <w:r w:rsidRPr="00F65403">
              <w:rPr>
                <w:color w:val="323031"/>
                <w:spacing w:val="11"/>
                <w:lang w:val="en-AU"/>
              </w:rPr>
              <w:t xml:space="preserve"> </w:t>
            </w:r>
            <w:r w:rsidRPr="00F65403">
              <w:rPr>
                <w:color w:val="323031"/>
                <w:lang w:val="en-AU"/>
              </w:rPr>
              <w:t>if</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specific</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are</w:t>
            </w:r>
            <w:r w:rsidRPr="00F65403">
              <w:rPr>
                <w:color w:val="323031"/>
                <w:spacing w:val="12"/>
                <w:lang w:val="en-AU"/>
              </w:rPr>
              <w:t xml:space="preserve"> </w:t>
            </w:r>
            <w:r w:rsidRPr="00F65403">
              <w:rPr>
                <w:color w:val="323031"/>
                <w:lang w:val="en-AU"/>
              </w:rPr>
              <w:t>not</w:t>
            </w:r>
            <w:r w:rsidRPr="00F65403">
              <w:rPr>
                <w:color w:val="323031"/>
                <w:spacing w:val="12"/>
                <w:lang w:val="en-AU"/>
              </w:rPr>
              <w:t xml:space="preserve"> </w:t>
            </w:r>
            <w:r w:rsidRPr="00F65403">
              <w:rPr>
                <w:color w:val="323031"/>
                <w:spacing w:val="-2"/>
                <w:lang w:val="en-AU"/>
              </w:rPr>
              <w:t>applicable.</w:t>
            </w:r>
          </w:p>
        </w:tc>
      </w:tr>
      <w:tr w:rsidR="00577DB1" w:rsidRPr="00680E7D" w14:paraId="676AF0B5" w14:textId="77777777" w:rsidTr="49BCD735">
        <w:tc>
          <w:tcPr>
            <w:tcW w:w="9026" w:type="dxa"/>
            <w:gridSpan w:val="5"/>
            <w:tcBorders>
              <w:bottom w:val="single" w:sz="2" w:space="0" w:color="390A56"/>
            </w:tcBorders>
            <w:shd w:val="clear" w:color="auto" w:fill="D7CEDD"/>
          </w:tcPr>
          <w:p w14:paraId="1F0394AA" w14:textId="77777777" w:rsidR="00577DB1" w:rsidRPr="00F65403" w:rsidRDefault="00577DB1" w:rsidP="0080046F">
            <w:pPr>
              <w:pStyle w:val="TableParagraph"/>
              <w:spacing w:before="0"/>
              <w:rPr>
                <w:b/>
                <w:lang w:val="en-AU"/>
              </w:rPr>
            </w:pPr>
            <w:r w:rsidRPr="00F65403">
              <w:rPr>
                <w:b/>
                <w:color w:val="323031"/>
                <w:spacing w:val="-2"/>
                <w:lang w:val="en-AU"/>
              </w:rPr>
              <w:t>Legislation</w:t>
            </w:r>
          </w:p>
        </w:tc>
      </w:tr>
      <w:tr w:rsidR="0061373A" w:rsidRPr="00680E7D" w14:paraId="6983777F" w14:textId="77777777" w:rsidTr="49BCD735">
        <w:tc>
          <w:tcPr>
            <w:tcW w:w="9026" w:type="dxa"/>
            <w:gridSpan w:val="5"/>
            <w:tcBorders>
              <w:bottom w:val="single" w:sz="2" w:space="0" w:color="390A56"/>
            </w:tcBorders>
          </w:tcPr>
          <w:p w14:paraId="2EDCD927" w14:textId="5F8CFC6E" w:rsidR="0061373A" w:rsidRPr="00F65403" w:rsidRDefault="0061373A" w:rsidP="0080046F">
            <w:pPr>
              <w:pStyle w:val="TableParagraph"/>
              <w:tabs>
                <w:tab w:val="left" w:pos="9630"/>
                <w:tab w:val="left" w:pos="9705"/>
                <w:tab w:val="right" w:pos="10038"/>
              </w:tabs>
              <w:spacing w:before="0"/>
              <w:rPr>
                <w:b/>
                <w:color w:val="323031"/>
                <w:spacing w:val="-2"/>
                <w:lang w:val="en-AU"/>
              </w:rPr>
            </w:pPr>
            <w:r w:rsidRPr="00F65403">
              <w:rPr>
                <w:i/>
                <w:color w:val="323031"/>
                <w:w w:val="105"/>
                <w:lang w:val="en-AU"/>
              </w:rPr>
              <w:t>Freedom</w:t>
            </w:r>
            <w:r w:rsidRPr="00F65403">
              <w:rPr>
                <w:i/>
                <w:color w:val="323031"/>
                <w:spacing w:val="-4"/>
                <w:w w:val="105"/>
                <w:lang w:val="en-AU"/>
              </w:rPr>
              <w:t xml:space="preserve"> </w:t>
            </w:r>
            <w:r w:rsidRPr="00F65403">
              <w:rPr>
                <w:i/>
                <w:color w:val="323031"/>
                <w:w w:val="105"/>
                <w:lang w:val="en-AU"/>
              </w:rPr>
              <w:t>of</w:t>
            </w:r>
            <w:r w:rsidRPr="00F65403">
              <w:rPr>
                <w:i/>
                <w:color w:val="323031"/>
                <w:spacing w:val="-4"/>
                <w:w w:val="105"/>
                <w:lang w:val="en-AU"/>
              </w:rPr>
              <w:t xml:space="preserve"> </w:t>
            </w:r>
            <w:r w:rsidRPr="00F65403">
              <w:rPr>
                <w:i/>
                <w:color w:val="323031"/>
                <w:w w:val="105"/>
                <w:lang w:val="en-AU"/>
              </w:rPr>
              <w:t>Information</w:t>
            </w:r>
            <w:r w:rsidRPr="00F65403">
              <w:rPr>
                <w:i/>
                <w:color w:val="323031"/>
                <w:spacing w:val="-4"/>
                <w:w w:val="105"/>
                <w:lang w:val="en-AU"/>
              </w:rPr>
              <w:t xml:space="preserve"> </w:t>
            </w:r>
            <w:r w:rsidRPr="00F65403">
              <w:rPr>
                <w:i/>
                <w:color w:val="323031"/>
                <w:w w:val="105"/>
                <w:lang w:val="en-AU"/>
              </w:rPr>
              <w:t>Act</w:t>
            </w:r>
            <w:r w:rsidRPr="00F65403">
              <w:rPr>
                <w:i/>
                <w:color w:val="323031"/>
                <w:spacing w:val="-3"/>
                <w:w w:val="105"/>
                <w:lang w:val="en-AU"/>
              </w:rPr>
              <w:t xml:space="preserve"> </w:t>
            </w:r>
            <w:r w:rsidRPr="00F65403">
              <w:rPr>
                <w:i/>
                <w:color w:val="323031"/>
                <w:spacing w:val="-4"/>
                <w:w w:val="105"/>
                <w:lang w:val="en-AU"/>
              </w:rPr>
              <w:t>198</w:t>
            </w:r>
            <w:r w:rsidR="007D59B9" w:rsidRPr="00F65403">
              <w:rPr>
                <w:i/>
                <w:color w:val="323031"/>
                <w:spacing w:val="-4"/>
                <w:w w:val="105"/>
                <w:lang w:val="en-AU"/>
              </w:rPr>
              <w:t>2</w:t>
            </w:r>
          </w:p>
        </w:tc>
      </w:tr>
      <w:tr w:rsidR="0061373A" w:rsidRPr="00680E7D" w14:paraId="144B934D" w14:textId="77777777" w:rsidTr="49BCD735">
        <w:tc>
          <w:tcPr>
            <w:tcW w:w="9026" w:type="dxa"/>
            <w:gridSpan w:val="5"/>
            <w:tcBorders>
              <w:bottom w:val="single" w:sz="2" w:space="0" w:color="390A56"/>
            </w:tcBorders>
          </w:tcPr>
          <w:p w14:paraId="77A1C691" w14:textId="7207E6EB" w:rsidR="0061373A" w:rsidRPr="00F65403" w:rsidRDefault="0061373A" w:rsidP="0080046F">
            <w:pPr>
              <w:pStyle w:val="TableParagraph"/>
              <w:tabs>
                <w:tab w:val="left" w:pos="9630"/>
                <w:tab w:val="right" w:pos="10038"/>
              </w:tabs>
              <w:spacing w:before="0"/>
              <w:rPr>
                <w:i/>
                <w:color w:val="323031"/>
                <w:w w:val="105"/>
                <w:lang w:val="en-AU"/>
              </w:rPr>
            </w:pPr>
            <w:r w:rsidRPr="00F65403">
              <w:rPr>
                <w:i/>
                <w:color w:val="323031"/>
                <w:w w:val="105"/>
                <w:lang w:val="en-AU"/>
              </w:rPr>
              <w:t>Building Act 1993</w:t>
            </w:r>
          </w:p>
        </w:tc>
      </w:tr>
      <w:tr w:rsidR="0061373A" w:rsidRPr="00680E7D" w14:paraId="4D767F7D" w14:textId="77777777" w:rsidTr="49BCD735">
        <w:tc>
          <w:tcPr>
            <w:tcW w:w="9026" w:type="dxa"/>
            <w:gridSpan w:val="5"/>
            <w:tcBorders>
              <w:bottom w:val="single" w:sz="2" w:space="0" w:color="390A56"/>
            </w:tcBorders>
          </w:tcPr>
          <w:p w14:paraId="769501E4" w14:textId="20667B13" w:rsidR="0061373A" w:rsidRPr="00F65403" w:rsidRDefault="0061373A" w:rsidP="0080046F">
            <w:pPr>
              <w:pStyle w:val="TableParagraph"/>
              <w:tabs>
                <w:tab w:val="left" w:pos="8340"/>
                <w:tab w:val="left" w:pos="8820"/>
              </w:tabs>
              <w:spacing w:before="0"/>
              <w:rPr>
                <w:color w:val="323031"/>
                <w:w w:val="105"/>
                <w:lang w:val="en-AU"/>
              </w:rPr>
            </w:pPr>
            <w:r w:rsidRPr="00F65403">
              <w:rPr>
                <w:i/>
                <w:color w:val="323031"/>
                <w:w w:val="105"/>
                <w:lang w:val="en-AU"/>
              </w:rPr>
              <w:t xml:space="preserve">Corporations Act </w:t>
            </w:r>
            <w:r w:rsidRPr="00F65403">
              <w:rPr>
                <w:i/>
                <w:iCs/>
                <w:color w:val="323031"/>
                <w:w w:val="105"/>
                <w:lang w:val="en-AU"/>
              </w:rPr>
              <w:t>20</w:t>
            </w:r>
            <w:r w:rsidR="004D6BD4" w:rsidRPr="00F65403">
              <w:rPr>
                <w:i/>
                <w:iCs/>
                <w:color w:val="323031"/>
                <w:w w:val="105"/>
                <w:lang w:val="en-AU"/>
              </w:rPr>
              <w:t>0</w:t>
            </w:r>
            <w:r w:rsidRPr="00F65403">
              <w:rPr>
                <w:i/>
                <w:iCs/>
                <w:color w:val="323031"/>
                <w:w w:val="105"/>
                <w:lang w:val="en-AU"/>
              </w:rPr>
              <w:t>1</w:t>
            </w:r>
          </w:p>
        </w:tc>
      </w:tr>
      <w:tr w:rsidR="0061373A" w:rsidRPr="00680E7D" w14:paraId="34F2FB7E" w14:textId="77777777" w:rsidTr="49BCD735">
        <w:tc>
          <w:tcPr>
            <w:tcW w:w="9026" w:type="dxa"/>
            <w:gridSpan w:val="5"/>
            <w:tcBorders>
              <w:bottom w:val="single" w:sz="2" w:space="0" w:color="390A56"/>
            </w:tcBorders>
          </w:tcPr>
          <w:p w14:paraId="5605BB65" w14:textId="08863C29" w:rsidR="0061373A" w:rsidRPr="00F65403" w:rsidRDefault="0061373A" w:rsidP="0080046F">
            <w:pPr>
              <w:pStyle w:val="TableParagraph"/>
              <w:tabs>
                <w:tab w:val="left" w:pos="9420"/>
                <w:tab w:val="left" w:pos="9630"/>
                <w:tab w:val="right" w:pos="10038"/>
              </w:tabs>
              <w:spacing w:before="0"/>
              <w:rPr>
                <w:i/>
                <w:color w:val="323031"/>
                <w:w w:val="105"/>
                <w:lang w:val="en-AU"/>
              </w:rPr>
            </w:pPr>
            <w:r w:rsidRPr="00F65403">
              <w:rPr>
                <w:i/>
                <w:color w:val="323031"/>
                <w:w w:val="105"/>
                <w:lang w:val="en-AU"/>
              </w:rPr>
              <w:t>Public Interest Disclosures Act 2012</w:t>
            </w:r>
          </w:p>
        </w:tc>
      </w:tr>
      <w:tr w:rsidR="0061373A" w:rsidRPr="00680E7D" w14:paraId="6684D072" w14:textId="77777777" w:rsidTr="49BCD735">
        <w:tc>
          <w:tcPr>
            <w:tcW w:w="9026" w:type="dxa"/>
            <w:gridSpan w:val="5"/>
            <w:tcBorders>
              <w:bottom w:val="single" w:sz="2" w:space="0" w:color="390A56"/>
            </w:tcBorders>
          </w:tcPr>
          <w:p w14:paraId="6380FD5D" w14:textId="1D3EBBE5" w:rsidR="0061373A" w:rsidRPr="00F65403" w:rsidRDefault="00324A37" w:rsidP="0080046F">
            <w:pPr>
              <w:pStyle w:val="TableParagraph"/>
              <w:tabs>
                <w:tab w:val="left" w:pos="9555"/>
                <w:tab w:val="left" w:pos="9735"/>
                <w:tab w:val="left" w:pos="9780"/>
                <w:tab w:val="right" w:pos="10038"/>
              </w:tabs>
              <w:spacing w:before="0"/>
              <w:rPr>
                <w:color w:val="323031"/>
                <w:w w:val="105"/>
                <w:lang w:val="en-AU"/>
              </w:rPr>
            </w:pPr>
            <w:r w:rsidRPr="00F65403">
              <w:rPr>
                <w:i/>
                <w:color w:val="323031"/>
                <w:w w:val="105"/>
                <w:lang w:val="en-AU"/>
              </w:rPr>
              <w:t>Local Jobs Act 2003</w:t>
            </w:r>
          </w:p>
        </w:tc>
      </w:tr>
      <w:tr w:rsidR="0061373A" w:rsidRPr="00680E7D" w14:paraId="22BD8CFC" w14:textId="77777777" w:rsidTr="49BCD735">
        <w:tc>
          <w:tcPr>
            <w:tcW w:w="9026" w:type="dxa"/>
            <w:gridSpan w:val="5"/>
            <w:tcBorders>
              <w:bottom w:val="single" w:sz="2" w:space="0" w:color="390A56"/>
            </w:tcBorders>
          </w:tcPr>
          <w:p w14:paraId="103D8254" w14:textId="4BA258CD" w:rsidR="0061373A" w:rsidRPr="00F65403" w:rsidRDefault="006B4B2B" w:rsidP="0080046F">
            <w:pPr>
              <w:pStyle w:val="TableParagraph"/>
              <w:tabs>
                <w:tab w:val="left" w:pos="8895"/>
              </w:tabs>
              <w:spacing w:before="0"/>
              <w:rPr>
                <w:color w:val="323031"/>
                <w:w w:val="105"/>
                <w:lang w:val="en-AU"/>
              </w:rPr>
            </w:pPr>
            <w:r w:rsidRPr="00F65403">
              <w:rPr>
                <w:i/>
                <w:color w:val="323031"/>
                <w:w w:val="105"/>
                <w:lang w:val="en-AU"/>
              </w:rPr>
              <w:t>Financial Management Act 1994</w:t>
            </w:r>
          </w:p>
        </w:tc>
      </w:tr>
    </w:tbl>
    <w:p w14:paraId="25B535A7" w14:textId="03C839D8" w:rsidR="00033DDD" w:rsidRDefault="00033DDD">
      <w:pPr>
        <w:rPr>
          <w:szCs w:val="24"/>
        </w:rPr>
      </w:pPr>
      <w:r>
        <w:rPr>
          <w:szCs w:val="24"/>
        </w:rPr>
        <w:br w:type="page"/>
      </w:r>
    </w:p>
    <w:p w14:paraId="335FCF43" w14:textId="64742614" w:rsidR="099E254E" w:rsidRPr="00B254AC" w:rsidRDefault="008B584D" w:rsidP="00B254AC">
      <w:pPr>
        <w:pStyle w:val="Heading1"/>
      </w:pPr>
      <w:bookmarkStart w:id="502" w:name="_Toc203487560"/>
      <w:bookmarkStart w:id="503" w:name="_Toc203656250"/>
      <w:bookmarkStart w:id="504" w:name="_Toc648488296"/>
      <w:bookmarkStart w:id="505" w:name="_Toc208418040"/>
      <w:bookmarkStart w:id="506" w:name="_Toc209080405"/>
      <w:bookmarkStart w:id="507" w:name="_Toc209703974"/>
      <w:bookmarkStart w:id="508" w:name="_Toc209704027"/>
      <w:bookmarkStart w:id="509" w:name="_Toc209704080"/>
      <w:r w:rsidRPr="00B254AC">
        <w:t>SEC Infrastructure Pty Ltd Financial Report for the year ended 3</w:t>
      </w:r>
      <w:r w:rsidR="00AB089C" w:rsidRPr="00B254AC">
        <w:t>0</w:t>
      </w:r>
      <w:r w:rsidRPr="00B254AC">
        <w:t xml:space="preserve"> June 2025</w:t>
      </w:r>
      <w:bookmarkEnd w:id="502"/>
      <w:bookmarkEnd w:id="503"/>
      <w:bookmarkEnd w:id="504"/>
      <w:bookmarkEnd w:id="505"/>
      <w:bookmarkEnd w:id="506"/>
      <w:bookmarkEnd w:id="507"/>
      <w:bookmarkEnd w:id="508"/>
      <w:bookmarkEnd w:id="509"/>
    </w:p>
    <w:p w14:paraId="3A20DB69" w14:textId="0719EE66" w:rsidR="00BC549E" w:rsidRDefault="00BC549E">
      <w:pPr>
        <w:rPr>
          <w:szCs w:val="24"/>
        </w:rPr>
      </w:pPr>
      <w:r>
        <w:rPr>
          <w:szCs w:val="24"/>
        </w:rPr>
        <w:br w:type="page"/>
      </w:r>
    </w:p>
    <w:p w14:paraId="4A868629" w14:textId="77777777" w:rsidR="008D0DAB" w:rsidRDefault="008D0DAB" w:rsidP="008D0DAB">
      <w:r w:rsidRPr="49BCD735">
        <w:rPr>
          <w:rFonts w:eastAsia="Arial" w:cs="Arial"/>
          <w:color w:val="000000" w:themeColor="text1"/>
          <w:sz w:val="32"/>
          <w:szCs w:val="32"/>
        </w:rPr>
        <w:t xml:space="preserve">Contents </w:t>
      </w:r>
      <w:r w:rsidRPr="49BCD735">
        <w:rPr>
          <w:rFonts w:eastAsia="Arial" w:cs="Arial"/>
        </w:rPr>
        <w:t xml:space="preserve"> </w:t>
      </w:r>
    </w:p>
    <w:sdt>
      <w:sdtPr>
        <w:id w:val="343214263"/>
        <w:docPartObj>
          <w:docPartGallery w:val="Table of Contents"/>
          <w:docPartUnique/>
        </w:docPartObj>
      </w:sdtPr>
      <w:sdtContent>
        <w:p w14:paraId="02D9DAB7" w14:textId="18BBD0DF" w:rsidR="00547433" w:rsidRDefault="008D0DAB">
          <w:pPr>
            <w:pStyle w:val="TOC1"/>
            <w:tabs>
              <w:tab w:val="right" w:leader="dot" w:pos="9016"/>
            </w:tabs>
            <w:rPr>
              <w:rFonts w:asciiTheme="minorHAnsi" w:eastAsiaTheme="minorEastAsia" w:hAnsiTheme="minorHAnsi" w:cstheme="minorBidi" w:hint="eastAsia"/>
              <w:noProof/>
              <w:sz w:val="24"/>
              <w:szCs w:val="24"/>
              <w:lang w:eastAsia="en-AU"/>
            </w:rPr>
          </w:pPr>
          <w:r>
            <w:fldChar w:fldCharType="begin"/>
          </w:r>
          <w:r>
            <w:instrText xml:space="preserve"> TOC \o "1-1" \h \z </w:instrText>
          </w:r>
          <w:r>
            <w:fldChar w:fldCharType="separate"/>
          </w:r>
        </w:p>
        <w:p w14:paraId="7AA8576C" w14:textId="0E12A12F"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75" w:history="1">
            <w:r w:rsidRPr="00AA6CE8">
              <w:rPr>
                <w:rStyle w:val="Hyperlink"/>
                <w:noProof/>
              </w:rPr>
              <w:t>Report of operations</w:t>
            </w:r>
            <w:r>
              <w:rPr>
                <w:noProof/>
                <w:webHidden/>
              </w:rPr>
              <w:tab/>
            </w:r>
            <w:r>
              <w:rPr>
                <w:noProof/>
                <w:webHidden/>
              </w:rPr>
              <w:fldChar w:fldCharType="begin"/>
            </w:r>
            <w:r>
              <w:rPr>
                <w:noProof/>
                <w:webHidden/>
              </w:rPr>
              <w:instrText xml:space="preserve"> PAGEREF _Toc209703975 \h </w:instrText>
            </w:r>
            <w:r>
              <w:rPr>
                <w:noProof/>
                <w:webHidden/>
              </w:rPr>
            </w:r>
            <w:r>
              <w:rPr>
                <w:noProof/>
                <w:webHidden/>
              </w:rPr>
              <w:fldChar w:fldCharType="separate"/>
            </w:r>
            <w:r w:rsidR="00BC7653">
              <w:rPr>
                <w:noProof/>
                <w:webHidden/>
              </w:rPr>
              <w:t>99</w:t>
            </w:r>
            <w:r>
              <w:rPr>
                <w:noProof/>
                <w:webHidden/>
              </w:rPr>
              <w:fldChar w:fldCharType="end"/>
            </w:r>
          </w:hyperlink>
        </w:p>
        <w:p w14:paraId="38A2947C" w14:textId="4A0B3866"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78" w:history="1">
            <w:r w:rsidRPr="00AA6CE8">
              <w:rPr>
                <w:rStyle w:val="Hyperlink"/>
                <w:noProof/>
              </w:rPr>
              <w:t>Directors’ report</w:t>
            </w:r>
            <w:r>
              <w:rPr>
                <w:noProof/>
                <w:webHidden/>
              </w:rPr>
              <w:tab/>
            </w:r>
            <w:r>
              <w:rPr>
                <w:noProof/>
                <w:webHidden/>
              </w:rPr>
              <w:fldChar w:fldCharType="begin"/>
            </w:r>
            <w:r>
              <w:rPr>
                <w:noProof/>
                <w:webHidden/>
              </w:rPr>
              <w:instrText xml:space="preserve"> PAGEREF _Toc209703978 \h </w:instrText>
            </w:r>
            <w:r>
              <w:rPr>
                <w:noProof/>
                <w:webHidden/>
              </w:rPr>
            </w:r>
            <w:r>
              <w:rPr>
                <w:noProof/>
                <w:webHidden/>
              </w:rPr>
              <w:fldChar w:fldCharType="separate"/>
            </w:r>
            <w:r w:rsidR="00BC7653">
              <w:rPr>
                <w:noProof/>
                <w:webHidden/>
              </w:rPr>
              <w:t>100</w:t>
            </w:r>
            <w:r>
              <w:rPr>
                <w:noProof/>
                <w:webHidden/>
              </w:rPr>
              <w:fldChar w:fldCharType="end"/>
            </w:r>
          </w:hyperlink>
        </w:p>
        <w:p w14:paraId="50273116" w14:textId="52C30A12"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79" w:history="1">
            <w:r w:rsidRPr="00AA6CE8">
              <w:rPr>
                <w:rStyle w:val="Hyperlink"/>
                <w:noProof/>
              </w:rPr>
              <w:t>Auditors’ independence declaration</w:t>
            </w:r>
            <w:r>
              <w:rPr>
                <w:noProof/>
                <w:webHidden/>
              </w:rPr>
              <w:tab/>
            </w:r>
            <w:r>
              <w:rPr>
                <w:noProof/>
                <w:webHidden/>
              </w:rPr>
              <w:fldChar w:fldCharType="begin"/>
            </w:r>
            <w:r>
              <w:rPr>
                <w:noProof/>
                <w:webHidden/>
              </w:rPr>
              <w:instrText xml:space="preserve"> PAGEREF _Toc209703979 \h </w:instrText>
            </w:r>
            <w:r>
              <w:rPr>
                <w:noProof/>
                <w:webHidden/>
              </w:rPr>
            </w:r>
            <w:r>
              <w:rPr>
                <w:noProof/>
                <w:webHidden/>
              </w:rPr>
              <w:fldChar w:fldCharType="separate"/>
            </w:r>
            <w:r w:rsidR="00BC7653">
              <w:rPr>
                <w:noProof/>
                <w:webHidden/>
              </w:rPr>
              <w:t>103</w:t>
            </w:r>
            <w:r>
              <w:rPr>
                <w:noProof/>
                <w:webHidden/>
              </w:rPr>
              <w:fldChar w:fldCharType="end"/>
            </w:r>
          </w:hyperlink>
        </w:p>
        <w:p w14:paraId="0A93033E" w14:textId="318928D2"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0" w:history="1">
            <w:r w:rsidRPr="00AA6CE8">
              <w:rPr>
                <w:rStyle w:val="Hyperlink"/>
                <w:noProof/>
              </w:rPr>
              <w:t>Audit report</w:t>
            </w:r>
            <w:r>
              <w:rPr>
                <w:noProof/>
                <w:webHidden/>
              </w:rPr>
              <w:tab/>
            </w:r>
            <w:r>
              <w:rPr>
                <w:noProof/>
                <w:webHidden/>
              </w:rPr>
              <w:fldChar w:fldCharType="begin"/>
            </w:r>
            <w:r>
              <w:rPr>
                <w:noProof/>
                <w:webHidden/>
              </w:rPr>
              <w:instrText xml:space="preserve"> PAGEREF _Toc209703980 \h </w:instrText>
            </w:r>
            <w:r>
              <w:rPr>
                <w:noProof/>
                <w:webHidden/>
              </w:rPr>
            </w:r>
            <w:r>
              <w:rPr>
                <w:noProof/>
                <w:webHidden/>
              </w:rPr>
              <w:fldChar w:fldCharType="separate"/>
            </w:r>
            <w:r w:rsidR="00BC7653">
              <w:rPr>
                <w:noProof/>
                <w:webHidden/>
              </w:rPr>
              <w:t>104</w:t>
            </w:r>
            <w:r>
              <w:rPr>
                <w:noProof/>
                <w:webHidden/>
              </w:rPr>
              <w:fldChar w:fldCharType="end"/>
            </w:r>
          </w:hyperlink>
        </w:p>
        <w:p w14:paraId="44F02ABA" w14:textId="0BC40A5B"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1" w:history="1">
            <w:r w:rsidRPr="00AA6CE8">
              <w:rPr>
                <w:rStyle w:val="Hyperlink"/>
                <w:noProof/>
              </w:rPr>
              <w:t>Consolidated statement of profit or loss and other comprehensive income </w:t>
            </w:r>
            <w:r>
              <w:rPr>
                <w:noProof/>
                <w:webHidden/>
              </w:rPr>
              <w:tab/>
            </w:r>
            <w:r>
              <w:rPr>
                <w:noProof/>
                <w:webHidden/>
              </w:rPr>
              <w:fldChar w:fldCharType="begin"/>
            </w:r>
            <w:r>
              <w:rPr>
                <w:noProof/>
                <w:webHidden/>
              </w:rPr>
              <w:instrText xml:space="preserve"> PAGEREF _Toc209703981 \h </w:instrText>
            </w:r>
            <w:r>
              <w:rPr>
                <w:noProof/>
                <w:webHidden/>
              </w:rPr>
            </w:r>
            <w:r>
              <w:rPr>
                <w:noProof/>
                <w:webHidden/>
              </w:rPr>
              <w:fldChar w:fldCharType="separate"/>
            </w:r>
            <w:r w:rsidR="00BC7653">
              <w:rPr>
                <w:noProof/>
                <w:webHidden/>
              </w:rPr>
              <w:t>106</w:t>
            </w:r>
            <w:r>
              <w:rPr>
                <w:noProof/>
                <w:webHidden/>
              </w:rPr>
              <w:fldChar w:fldCharType="end"/>
            </w:r>
          </w:hyperlink>
        </w:p>
        <w:p w14:paraId="4CA40D2B" w14:textId="4BCCE58B"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2" w:history="1">
            <w:r w:rsidRPr="00AA6CE8">
              <w:rPr>
                <w:rStyle w:val="Hyperlink"/>
                <w:noProof/>
              </w:rPr>
              <w:t>Consolidated statement of financial position</w:t>
            </w:r>
            <w:r>
              <w:rPr>
                <w:noProof/>
                <w:webHidden/>
              </w:rPr>
              <w:tab/>
            </w:r>
            <w:r>
              <w:rPr>
                <w:noProof/>
                <w:webHidden/>
              </w:rPr>
              <w:fldChar w:fldCharType="begin"/>
            </w:r>
            <w:r>
              <w:rPr>
                <w:noProof/>
                <w:webHidden/>
              </w:rPr>
              <w:instrText xml:space="preserve"> PAGEREF _Toc209703982 \h </w:instrText>
            </w:r>
            <w:r>
              <w:rPr>
                <w:noProof/>
                <w:webHidden/>
              </w:rPr>
            </w:r>
            <w:r>
              <w:rPr>
                <w:noProof/>
                <w:webHidden/>
              </w:rPr>
              <w:fldChar w:fldCharType="separate"/>
            </w:r>
            <w:r w:rsidR="00BC7653">
              <w:rPr>
                <w:noProof/>
                <w:webHidden/>
              </w:rPr>
              <w:t>107</w:t>
            </w:r>
            <w:r>
              <w:rPr>
                <w:noProof/>
                <w:webHidden/>
              </w:rPr>
              <w:fldChar w:fldCharType="end"/>
            </w:r>
          </w:hyperlink>
        </w:p>
        <w:p w14:paraId="4C99FE2A" w14:textId="1ABBB0AD"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3" w:history="1">
            <w:r w:rsidRPr="00AA6CE8">
              <w:rPr>
                <w:rStyle w:val="Hyperlink"/>
                <w:noProof/>
              </w:rPr>
              <w:t>Consolidated statement of changes in equity</w:t>
            </w:r>
            <w:r>
              <w:rPr>
                <w:noProof/>
                <w:webHidden/>
              </w:rPr>
              <w:tab/>
            </w:r>
            <w:r>
              <w:rPr>
                <w:noProof/>
                <w:webHidden/>
              </w:rPr>
              <w:fldChar w:fldCharType="begin"/>
            </w:r>
            <w:r>
              <w:rPr>
                <w:noProof/>
                <w:webHidden/>
              </w:rPr>
              <w:instrText xml:space="preserve"> PAGEREF _Toc209703983 \h </w:instrText>
            </w:r>
            <w:r>
              <w:rPr>
                <w:noProof/>
                <w:webHidden/>
              </w:rPr>
            </w:r>
            <w:r>
              <w:rPr>
                <w:noProof/>
                <w:webHidden/>
              </w:rPr>
              <w:fldChar w:fldCharType="separate"/>
            </w:r>
            <w:r w:rsidR="00BC7653">
              <w:rPr>
                <w:noProof/>
                <w:webHidden/>
              </w:rPr>
              <w:t>108</w:t>
            </w:r>
            <w:r>
              <w:rPr>
                <w:noProof/>
                <w:webHidden/>
              </w:rPr>
              <w:fldChar w:fldCharType="end"/>
            </w:r>
          </w:hyperlink>
        </w:p>
        <w:p w14:paraId="4AB87F67" w14:textId="120653A3"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4" w:history="1">
            <w:r w:rsidRPr="00AA6CE8">
              <w:rPr>
                <w:rStyle w:val="Hyperlink"/>
                <w:noProof/>
              </w:rPr>
              <w:t>Consolidated statement of cash flows</w:t>
            </w:r>
            <w:r>
              <w:rPr>
                <w:noProof/>
                <w:webHidden/>
              </w:rPr>
              <w:tab/>
            </w:r>
            <w:r>
              <w:rPr>
                <w:noProof/>
                <w:webHidden/>
              </w:rPr>
              <w:fldChar w:fldCharType="begin"/>
            </w:r>
            <w:r>
              <w:rPr>
                <w:noProof/>
                <w:webHidden/>
              </w:rPr>
              <w:instrText xml:space="preserve"> PAGEREF _Toc209703984 \h </w:instrText>
            </w:r>
            <w:r>
              <w:rPr>
                <w:noProof/>
                <w:webHidden/>
              </w:rPr>
            </w:r>
            <w:r>
              <w:rPr>
                <w:noProof/>
                <w:webHidden/>
              </w:rPr>
              <w:fldChar w:fldCharType="separate"/>
            </w:r>
            <w:r w:rsidR="00BC7653">
              <w:rPr>
                <w:noProof/>
                <w:webHidden/>
              </w:rPr>
              <w:t>109</w:t>
            </w:r>
            <w:r>
              <w:rPr>
                <w:noProof/>
                <w:webHidden/>
              </w:rPr>
              <w:fldChar w:fldCharType="end"/>
            </w:r>
          </w:hyperlink>
        </w:p>
        <w:p w14:paraId="22FC6CB5" w14:textId="3C768262"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5" w:history="1">
            <w:r w:rsidRPr="00AA6CE8">
              <w:rPr>
                <w:rStyle w:val="Hyperlink"/>
                <w:noProof/>
              </w:rPr>
              <w:t>Notes to the consolidated financial statements</w:t>
            </w:r>
            <w:r>
              <w:rPr>
                <w:noProof/>
                <w:webHidden/>
              </w:rPr>
              <w:tab/>
            </w:r>
            <w:r>
              <w:rPr>
                <w:noProof/>
                <w:webHidden/>
              </w:rPr>
              <w:fldChar w:fldCharType="begin"/>
            </w:r>
            <w:r>
              <w:rPr>
                <w:noProof/>
                <w:webHidden/>
              </w:rPr>
              <w:instrText xml:space="preserve"> PAGEREF _Toc209703985 \h </w:instrText>
            </w:r>
            <w:r>
              <w:rPr>
                <w:noProof/>
                <w:webHidden/>
              </w:rPr>
            </w:r>
            <w:r>
              <w:rPr>
                <w:noProof/>
                <w:webHidden/>
              </w:rPr>
              <w:fldChar w:fldCharType="separate"/>
            </w:r>
            <w:r w:rsidR="00BC7653">
              <w:rPr>
                <w:noProof/>
                <w:webHidden/>
              </w:rPr>
              <w:t>110</w:t>
            </w:r>
            <w:r>
              <w:rPr>
                <w:noProof/>
                <w:webHidden/>
              </w:rPr>
              <w:fldChar w:fldCharType="end"/>
            </w:r>
          </w:hyperlink>
        </w:p>
        <w:p w14:paraId="48E330DF" w14:textId="7F01DD27"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6" w:history="1">
            <w:r w:rsidRPr="00AA6CE8">
              <w:rPr>
                <w:rStyle w:val="Hyperlink"/>
                <w:noProof/>
              </w:rPr>
              <w:t>Directors’ declaration</w:t>
            </w:r>
            <w:r>
              <w:rPr>
                <w:noProof/>
                <w:webHidden/>
              </w:rPr>
              <w:tab/>
            </w:r>
            <w:r>
              <w:rPr>
                <w:noProof/>
                <w:webHidden/>
              </w:rPr>
              <w:fldChar w:fldCharType="begin"/>
            </w:r>
            <w:r>
              <w:rPr>
                <w:noProof/>
                <w:webHidden/>
              </w:rPr>
              <w:instrText xml:space="preserve"> PAGEREF _Toc209703986 \h </w:instrText>
            </w:r>
            <w:r>
              <w:rPr>
                <w:noProof/>
                <w:webHidden/>
              </w:rPr>
            </w:r>
            <w:r>
              <w:rPr>
                <w:noProof/>
                <w:webHidden/>
              </w:rPr>
              <w:fldChar w:fldCharType="separate"/>
            </w:r>
            <w:r w:rsidR="00BC7653">
              <w:rPr>
                <w:noProof/>
                <w:webHidden/>
              </w:rPr>
              <w:t>131</w:t>
            </w:r>
            <w:r>
              <w:rPr>
                <w:noProof/>
                <w:webHidden/>
              </w:rPr>
              <w:fldChar w:fldCharType="end"/>
            </w:r>
          </w:hyperlink>
        </w:p>
        <w:p w14:paraId="4ED6C20A" w14:textId="35C32C5E"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7" w:history="1">
            <w:r w:rsidRPr="00AA6CE8">
              <w:rPr>
                <w:rStyle w:val="Hyperlink"/>
                <w:noProof/>
              </w:rPr>
              <w:t>Declaration by Board Chair, Chief Executive Officer and Chief Financial Officer</w:t>
            </w:r>
            <w:r>
              <w:rPr>
                <w:noProof/>
                <w:webHidden/>
              </w:rPr>
              <w:tab/>
            </w:r>
            <w:r>
              <w:rPr>
                <w:noProof/>
                <w:webHidden/>
              </w:rPr>
              <w:fldChar w:fldCharType="begin"/>
            </w:r>
            <w:r>
              <w:rPr>
                <w:noProof/>
                <w:webHidden/>
              </w:rPr>
              <w:instrText xml:space="preserve"> PAGEREF _Toc209703987 \h </w:instrText>
            </w:r>
            <w:r>
              <w:rPr>
                <w:noProof/>
                <w:webHidden/>
              </w:rPr>
            </w:r>
            <w:r>
              <w:rPr>
                <w:noProof/>
                <w:webHidden/>
              </w:rPr>
              <w:fldChar w:fldCharType="separate"/>
            </w:r>
            <w:r w:rsidR="00BC7653">
              <w:rPr>
                <w:noProof/>
                <w:webHidden/>
              </w:rPr>
              <w:t>132</w:t>
            </w:r>
            <w:r>
              <w:rPr>
                <w:noProof/>
                <w:webHidden/>
              </w:rPr>
              <w:fldChar w:fldCharType="end"/>
            </w:r>
          </w:hyperlink>
        </w:p>
        <w:p w14:paraId="1FDECA1C" w14:textId="13495071"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8" w:history="1">
            <w:r w:rsidRPr="00AA6CE8">
              <w:rPr>
                <w:rStyle w:val="Hyperlink"/>
                <w:noProof/>
              </w:rPr>
              <w:t>Corporate compliance</w:t>
            </w:r>
            <w:r>
              <w:rPr>
                <w:noProof/>
                <w:webHidden/>
              </w:rPr>
              <w:tab/>
            </w:r>
            <w:r>
              <w:rPr>
                <w:noProof/>
                <w:webHidden/>
              </w:rPr>
              <w:fldChar w:fldCharType="begin"/>
            </w:r>
            <w:r>
              <w:rPr>
                <w:noProof/>
                <w:webHidden/>
              </w:rPr>
              <w:instrText xml:space="preserve"> PAGEREF _Toc209703988 \h </w:instrText>
            </w:r>
            <w:r>
              <w:rPr>
                <w:noProof/>
                <w:webHidden/>
              </w:rPr>
            </w:r>
            <w:r>
              <w:rPr>
                <w:noProof/>
                <w:webHidden/>
              </w:rPr>
              <w:fldChar w:fldCharType="separate"/>
            </w:r>
            <w:r w:rsidR="00BC7653">
              <w:rPr>
                <w:noProof/>
                <w:webHidden/>
              </w:rPr>
              <w:t>133</w:t>
            </w:r>
            <w:r>
              <w:rPr>
                <w:noProof/>
                <w:webHidden/>
              </w:rPr>
              <w:fldChar w:fldCharType="end"/>
            </w:r>
          </w:hyperlink>
        </w:p>
        <w:p w14:paraId="40FC4ACB" w14:textId="50628D46" w:rsidR="00547433" w:rsidRDefault="00547433">
          <w:pPr>
            <w:pStyle w:val="TOC1"/>
            <w:tabs>
              <w:tab w:val="right" w:leader="dot" w:pos="9016"/>
            </w:tabs>
            <w:rPr>
              <w:rFonts w:asciiTheme="minorHAnsi" w:eastAsiaTheme="minorEastAsia" w:hAnsiTheme="minorHAnsi" w:cstheme="minorBidi" w:hint="eastAsia"/>
              <w:noProof/>
              <w:sz w:val="24"/>
              <w:szCs w:val="24"/>
              <w:lang w:eastAsia="en-AU"/>
            </w:rPr>
          </w:pPr>
          <w:hyperlink w:anchor="_Toc209703989" w:history="1">
            <w:r w:rsidRPr="00AA6CE8">
              <w:rPr>
                <w:rStyle w:val="Hyperlink"/>
                <w:noProof/>
              </w:rPr>
              <w:t>Disclosure index</w:t>
            </w:r>
            <w:r>
              <w:rPr>
                <w:noProof/>
                <w:webHidden/>
              </w:rPr>
              <w:tab/>
            </w:r>
            <w:r>
              <w:rPr>
                <w:noProof/>
                <w:webHidden/>
              </w:rPr>
              <w:fldChar w:fldCharType="begin"/>
            </w:r>
            <w:r>
              <w:rPr>
                <w:noProof/>
                <w:webHidden/>
              </w:rPr>
              <w:instrText xml:space="preserve"> PAGEREF _Toc209703989 \h </w:instrText>
            </w:r>
            <w:r>
              <w:rPr>
                <w:noProof/>
                <w:webHidden/>
              </w:rPr>
            </w:r>
            <w:r>
              <w:rPr>
                <w:noProof/>
                <w:webHidden/>
              </w:rPr>
              <w:fldChar w:fldCharType="separate"/>
            </w:r>
            <w:r w:rsidR="00BC7653">
              <w:rPr>
                <w:noProof/>
                <w:webHidden/>
              </w:rPr>
              <w:t>136</w:t>
            </w:r>
            <w:r>
              <w:rPr>
                <w:noProof/>
                <w:webHidden/>
              </w:rPr>
              <w:fldChar w:fldCharType="end"/>
            </w:r>
          </w:hyperlink>
        </w:p>
        <w:p w14:paraId="6196D686" w14:textId="5E26EBAB" w:rsidR="008D0DAB" w:rsidRDefault="008D0DAB" w:rsidP="008D0DAB">
          <w:pPr>
            <w:pStyle w:val="TOC1"/>
            <w:tabs>
              <w:tab w:val="right" w:leader="dot" w:pos="9016"/>
            </w:tabs>
            <w:rPr>
              <w:rStyle w:val="Hyperlink"/>
            </w:rPr>
          </w:pPr>
          <w:r>
            <w:fldChar w:fldCharType="end"/>
          </w:r>
        </w:p>
      </w:sdtContent>
    </w:sdt>
    <w:p w14:paraId="72B0BF3F" w14:textId="77777777" w:rsidR="008D0DAB" w:rsidRPr="00F65403" w:rsidRDefault="008D0DAB" w:rsidP="008D0DAB">
      <w:pPr>
        <w:pStyle w:val="TOC1"/>
        <w:tabs>
          <w:tab w:val="right" w:leader="dot" w:pos="9015"/>
        </w:tabs>
      </w:pPr>
      <w:r w:rsidRPr="00CC1929">
        <w:rPr>
          <w:sz w:val="32"/>
          <w:szCs w:val="32"/>
        </w:rPr>
        <w:br w:type="page"/>
      </w:r>
    </w:p>
    <w:p w14:paraId="01A5DBA9" w14:textId="77777777" w:rsidR="008D0DAB" w:rsidRDefault="008D0DAB" w:rsidP="00B254AC">
      <w:pPr>
        <w:pStyle w:val="Heading1"/>
      </w:pPr>
      <w:bookmarkStart w:id="510" w:name="_Toc209080406"/>
      <w:bookmarkStart w:id="511" w:name="_Toc209703975"/>
      <w:bookmarkStart w:id="512" w:name="_Toc209704028"/>
      <w:bookmarkStart w:id="513" w:name="_Toc209704081"/>
      <w:r>
        <w:t>Report of operations</w:t>
      </w:r>
      <w:bookmarkEnd w:id="510"/>
      <w:bookmarkEnd w:id="511"/>
      <w:bookmarkEnd w:id="512"/>
      <w:bookmarkEnd w:id="513"/>
    </w:p>
    <w:p w14:paraId="52E89AF7" w14:textId="77777777" w:rsidR="008D0DAB" w:rsidRPr="00F65403" w:rsidRDefault="008D0DAB" w:rsidP="008D0DAB">
      <w:pPr>
        <w:pStyle w:val="BodyText"/>
        <w:spacing w:before="173" w:line="280" w:lineRule="auto"/>
        <w:ind w:left="333" w:right="546"/>
        <w:jc w:val="both"/>
        <w:rPr>
          <w:w w:val="105"/>
          <w:sz w:val="24"/>
          <w:szCs w:val="24"/>
          <w:lang w:val="en-AU"/>
        </w:rPr>
      </w:pPr>
    </w:p>
    <w:p w14:paraId="408DD4E4" w14:textId="77777777" w:rsidR="008D0DAB" w:rsidRPr="00112565" w:rsidRDefault="008D0DAB" w:rsidP="008D0DAB">
      <w:pPr>
        <w:pStyle w:val="Heading2"/>
      </w:pPr>
      <w:bookmarkStart w:id="514" w:name="_Ref208418778"/>
      <w:r>
        <w:t>Declaration</w:t>
      </w:r>
      <w:bookmarkEnd w:id="514"/>
      <w:r>
        <w:t xml:space="preserve"> </w:t>
      </w:r>
    </w:p>
    <w:p w14:paraId="1C2D07FF" w14:textId="77777777" w:rsidR="008D0DAB" w:rsidRPr="008130F3" w:rsidRDefault="008D0DAB" w:rsidP="008D0DAB">
      <w:r w:rsidRPr="008130F3">
        <w:t xml:space="preserve">In accordance with the </w:t>
      </w:r>
      <w:r w:rsidRPr="008130F3">
        <w:rPr>
          <w:i/>
          <w:iCs/>
        </w:rPr>
        <w:t>Financial Management Act 1994</w:t>
      </w:r>
      <w:r w:rsidRPr="008130F3">
        <w:t xml:space="preserve">, I am pleased to present SEC </w:t>
      </w:r>
      <w:r>
        <w:t>Infrastructure</w:t>
      </w:r>
      <w:r w:rsidRPr="008130F3">
        <w:t xml:space="preserve"> Pty </w:t>
      </w:r>
      <w:proofErr w:type="spellStart"/>
      <w:r w:rsidRPr="008130F3">
        <w:t>Ltd’s</w:t>
      </w:r>
      <w:proofErr w:type="spellEnd"/>
      <w:r w:rsidRPr="008130F3">
        <w:t xml:space="preserve"> Annual Report for the year to 30 June 2025:</w:t>
      </w:r>
    </w:p>
    <w:p w14:paraId="06987AF6" w14:textId="77777777" w:rsidR="008D0DAB" w:rsidRPr="008130F3" w:rsidRDefault="008D0DAB" w:rsidP="008D0DAB">
      <w:r w:rsidRPr="008130F3">
        <w:t xml:space="preserve">  </w:t>
      </w:r>
    </w:p>
    <w:p w14:paraId="22B1E11F" w14:textId="77777777" w:rsidR="008D0DAB" w:rsidRPr="008130F3" w:rsidRDefault="008D0DAB" w:rsidP="008D0DAB">
      <w:r w:rsidRPr="008130F3">
        <w:br/>
      </w:r>
    </w:p>
    <w:p w14:paraId="1D162D1E" w14:textId="77777777" w:rsidR="008D0DAB" w:rsidRPr="008130F3" w:rsidRDefault="008D0DAB" w:rsidP="008D0DAB">
      <w:r w:rsidRPr="008130F3">
        <w:t xml:space="preserve">Simon Corbell </w:t>
      </w:r>
    </w:p>
    <w:p w14:paraId="74600FA0" w14:textId="603D5E83" w:rsidR="008D0DAB" w:rsidRDefault="00654417" w:rsidP="008D0DAB">
      <w:pPr>
        <w:rPr>
          <w:rFonts w:eastAsiaTheme="majorEastAsia" w:cstheme="majorBidi"/>
          <w:sz w:val="32"/>
          <w:szCs w:val="40"/>
        </w:rPr>
      </w:pPr>
      <w:r>
        <w:t xml:space="preserve">Board </w:t>
      </w:r>
      <w:r w:rsidR="008D0DAB" w:rsidRPr="008130F3">
        <w:t xml:space="preserve">Chair </w:t>
      </w:r>
      <w:r w:rsidR="00652DDF">
        <w:br/>
      </w:r>
      <w:r w:rsidR="008D0DAB" w:rsidRPr="008130F3">
        <w:t xml:space="preserve">SEC </w:t>
      </w:r>
      <w:r w:rsidR="008D0DAB">
        <w:t>Infrastructure</w:t>
      </w:r>
      <w:r w:rsidR="008D0DAB" w:rsidRPr="008130F3">
        <w:t xml:space="preserve"> Pty Ltd </w:t>
      </w:r>
      <w:r w:rsidR="00652DDF">
        <w:br/>
      </w:r>
      <w:r w:rsidR="00066D64">
        <w:t>6</w:t>
      </w:r>
      <w:r w:rsidR="00066D64" w:rsidRPr="008130F3">
        <w:t xml:space="preserve"> </w:t>
      </w:r>
      <w:r w:rsidR="008D0DAB" w:rsidRPr="008130F3">
        <w:t>October 2025</w:t>
      </w:r>
      <w:r w:rsidR="008D0DAB">
        <w:t xml:space="preserve">  </w:t>
      </w:r>
    </w:p>
    <w:p w14:paraId="244473FF" w14:textId="77777777" w:rsidR="008D0DAB" w:rsidRPr="00C11F37" w:rsidRDefault="008D0DAB" w:rsidP="00B254AC">
      <w:pPr>
        <w:pStyle w:val="Heading1"/>
        <w:rPr>
          <w:rFonts w:eastAsiaTheme="minorHAnsi" w:cstheme="minorBidi"/>
          <w:spacing w:val="-2"/>
          <w:w w:val="105"/>
          <w:sz w:val="24"/>
          <w:szCs w:val="22"/>
        </w:rPr>
      </w:pPr>
      <w:bookmarkStart w:id="515" w:name="_Toc209080407"/>
      <w:bookmarkStart w:id="516" w:name="_Toc209703976"/>
      <w:bookmarkStart w:id="517" w:name="_Toc209704029"/>
      <w:bookmarkStart w:id="518" w:name="_Toc209704082"/>
      <w:r w:rsidRPr="00DB2F7D">
        <w:t>Preparation</w:t>
      </w:r>
      <w:bookmarkEnd w:id="515"/>
      <w:bookmarkEnd w:id="516"/>
      <w:bookmarkEnd w:id="517"/>
      <w:bookmarkEnd w:id="518"/>
      <w:r w:rsidRPr="00DB2F7D">
        <w:t xml:space="preserve"> </w:t>
      </w:r>
    </w:p>
    <w:p w14:paraId="7122D5AD" w14:textId="383F35CD" w:rsidR="008D0DAB" w:rsidRDefault="008D0DAB" w:rsidP="008D0DAB">
      <w:r>
        <w:t>SEC Infrastructure Pty Ltd (the Company) is part of SEC group of companies that work together to meet the SEC’s overall objectives. Its parent company, SEC Victoria Pty Ltd, prepares a consolidated annual report that includes the results and operations of the Company and other controlled entities. The Report of Operations has been prepared to cover the whole SEC group of companies from page</w:t>
      </w:r>
      <w:r w:rsidR="26523ECB">
        <w:t xml:space="preserve"> </w:t>
      </w:r>
      <w:r>
        <w:fldChar w:fldCharType="begin"/>
      </w:r>
      <w:r>
        <w:instrText xml:space="preserve"> PAGEREF _Ref207629792 \h </w:instrText>
      </w:r>
      <w:r>
        <w:fldChar w:fldCharType="separate"/>
      </w:r>
      <w:r w:rsidR="00BC7653">
        <w:rPr>
          <w:noProof/>
        </w:rPr>
        <w:t>12</w:t>
      </w:r>
      <w:r>
        <w:fldChar w:fldCharType="end"/>
      </w:r>
      <w:r>
        <w:t>, and as such has not been duplicated here.</w:t>
      </w:r>
    </w:p>
    <w:p w14:paraId="606C3818" w14:textId="77777777" w:rsidR="008D0DAB" w:rsidRDefault="008D0DAB" w:rsidP="00B254AC">
      <w:pPr>
        <w:pStyle w:val="Heading1"/>
      </w:pPr>
      <w:bookmarkStart w:id="519" w:name="_Ref208418770"/>
      <w:bookmarkStart w:id="520" w:name="_Toc209080408"/>
      <w:bookmarkStart w:id="521" w:name="_Toc209703977"/>
      <w:bookmarkStart w:id="522" w:name="_Toc209704030"/>
      <w:bookmarkStart w:id="523" w:name="_Toc209704083"/>
      <w:r w:rsidRPr="002754EF">
        <w:t>Financial management compliance attestation statement</w:t>
      </w:r>
      <w:bookmarkEnd w:id="519"/>
      <w:bookmarkEnd w:id="520"/>
      <w:bookmarkEnd w:id="521"/>
      <w:bookmarkEnd w:id="522"/>
      <w:bookmarkEnd w:id="523"/>
      <w:r w:rsidRPr="002754EF">
        <w:t xml:space="preserve"> </w:t>
      </w:r>
    </w:p>
    <w:p w14:paraId="32B0E070" w14:textId="77777777" w:rsidR="008D0DAB" w:rsidRDefault="008D0DAB" w:rsidP="008D0DAB">
      <w:r w:rsidRPr="002754EF">
        <w:t xml:space="preserve">I, Christopher Francis Miller, on behalf of SEC </w:t>
      </w:r>
      <w:r>
        <w:t>Infrastructure</w:t>
      </w:r>
      <w:r w:rsidRPr="002754EF">
        <w:t xml:space="preserve"> Pty Ltd, certify that SEC </w:t>
      </w:r>
      <w:r>
        <w:t>Infrastructure</w:t>
      </w:r>
      <w:r w:rsidRPr="002754EF">
        <w:t xml:space="preserve"> Pty Ltd has no Material Compliance Deficiency with respect to the applicable Standing Directions made under the </w:t>
      </w:r>
      <w:r w:rsidRPr="002754EF">
        <w:rPr>
          <w:i/>
          <w:iCs/>
        </w:rPr>
        <w:t>Financial Management Act 1994</w:t>
      </w:r>
      <w:r w:rsidRPr="002754EF">
        <w:t xml:space="preserve"> and </w:t>
      </w:r>
      <w:r w:rsidRPr="0037304F">
        <w:t xml:space="preserve">Instructions. </w:t>
      </w:r>
    </w:p>
    <w:p w14:paraId="469EFBDC" w14:textId="77777777" w:rsidR="008D0DAB" w:rsidRPr="00B94E93" w:rsidRDefault="008D0DAB" w:rsidP="008D0DAB">
      <w:r>
        <w:br/>
      </w:r>
      <w:r>
        <w:br/>
      </w:r>
      <w:r>
        <w:br/>
      </w:r>
      <w:r w:rsidRPr="00B94E93">
        <w:t xml:space="preserve">Chris Miller </w:t>
      </w:r>
    </w:p>
    <w:p w14:paraId="5C30F239" w14:textId="77777777" w:rsidR="008D0DAB" w:rsidRPr="00B94E93" w:rsidRDefault="008D0DAB" w:rsidP="008D0DAB">
      <w:r w:rsidRPr="00B94E93">
        <w:t>CEO, SEC</w:t>
      </w:r>
    </w:p>
    <w:p w14:paraId="5CC96399" w14:textId="77777777" w:rsidR="008D0DAB" w:rsidRPr="00B94E93" w:rsidRDefault="008D0DAB" w:rsidP="008D0DAB">
      <w:r w:rsidRPr="00B94E93">
        <w:br w:type="page"/>
      </w:r>
    </w:p>
    <w:p w14:paraId="2E22E9E4" w14:textId="77777777" w:rsidR="00A73124" w:rsidRPr="00B94E93" w:rsidRDefault="00A73124" w:rsidP="00A73124">
      <w:pPr>
        <w:pStyle w:val="Heading1"/>
      </w:pPr>
      <w:bookmarkStart w:id="524" w:name="_Toc209703978"/>
      <w:bookmarkStart w:id="525" w:name="_Toc209704031"/>
      <w:bookmarkStart w:id="526" w:name="_Toc209704084"/>
      <w:r>
        <w:t>Directors’ report</w:t>
      </w:r>
      <w:bookmarkEnd w:id="524"/>
      <w:bookmarkEnd w:id="525"/>
      <w:bookmarkEnd w:id="526"/>
    </w:p>
    <w:p w14:paraId="0C73A9F8" w14:textId="05FF13F6" w:rsidR="00A73124" w:rsidRDefault="00A73124" w:rsidP="00A73124">
      <w:r w:rsidRPr="00D93298">
        <w:t xml:space="preserve">The directors present their report on the consolidated entity consisting of SEC </w:t>
      </w:r>
      <w:r>
        <w:t>Infrastructure</w:t>
      </w:r>
      <w:r w:rsidRPr="00D93298">
        <w:t xml:space="preserve"> Pty Ltd (the Company) and </w:t>
      </w:r>
      <w:r>
        <w:t>its</w:t>
      </w:r>
      <w:r w:rsidRPr="00D93298">
        <w:t xml:space="preserve"> controlled </w:t>
      </w:r>
      <w:r>
        <w:t>entities (collectively SEC or the Group)</w:t>
      </w:r>
      <w:r w:rsidDel="006F0A18">
        <w:t xml:space="preserve"> </w:t>
      </w:r>
      <w:r>
        <w:t>for the year ended 30 June 2025</w:t>
      </w:r>
      <w:r w:rsidRPr="00D93298">
        <w:t>.</w:t>
      </w:r>
    </w:p>
    <w:p w14:paraId="4C4C5646" w14:textId="77777777" w:rsidR="00A73124" w:rsidRDefault="00A73124" w:rsidP="00A73124">
      <w:pPr>
        <w:pStyle w:val="Heading2"/>
      </w:pPr>
      <w:r>
        <w:t xml:space="preserve">Directors </w:t>
      </w:r>
    </w:p>
    <w:p w14:paraId="2796AAB3" w14:textId="77777777" w:rsidR="00A73124" w:rsidRDefault="00A73124" w:rsidP="00A73124">
      <w:r w:rsidRPr="00D93298">
        <w:t xml:space="preserve">The directors </w:t>
      </w:r>
      <w:r>
        <w:t>of the Company in office</w:t>
      </w:r>
      <w:r w:rsidRPr="00D93298">
        <w:t xml:space="preserve"> during the </w:t>
      </w:r>
      <w:r>
        <w:t xml:space="preserve">financial year </w:t>
      </w:r>
      <w:r w:rsidRPr="00D93298">
        <w:t xml:space="preserve">and up to the date of this report </w:t>
      </w:r>
      <w:r>
        <w:t>are set out below. Directors were in office for this entire period unless otherwise stated</w:t>
      </w:r>
      <w:r w:rsidRPr="00D93298">
        <w:t>:</w:t>
      </w:r>
    </w:p>
    <w:p w14:paraId="5A1F64C0" w14:textId="77777777" w:rsidR="00A73124" w:rsidRPr="00F96FA2" w:rsidRDefault="00A73124" w:rsidP="00A73124">
      <w:pPr>
        <w:spacing w:after="0" w:line="240" w:lineRule="auto"/>
        <w:textAlignment w:val="baseline"/>
        <w:rPr>
          <w:rFonts w:eastAsia="Times New Roman" w:cs="Arial"/>
          <w:szCs w:val="24"/>
          <w:lang w:eastAsia="en-AU"/>
        </w:rPr>
      </w:pPr>
      <w:r w:rsidRPr="00F96FA2">
        <w:rPr>
          <w:rFonts w:eastAsia="Times New Roman" w:cs="Arial"/>
          <w:szCs w:val="24"/>
          <w:lang w:eastAsia="en-AU"/>
        </w:rPr>
        <w:t>Simon Corbell</w:t>
      </w:r>
      <w:r>
        <w:rPr>
          <w:rFonts w:eastAsia="Times New Roman" w:cs="Arial"/>
          <w:szCs w:val="24"/>
          <w:lang w:eastAsia="en-AU"/>
        </w:rPr>
        <w:t xml:space="preserve">, Non-executive </w:t>
      </w:r>
      <w:r w:rsidRPr="00F96FA2">
        <w:rPr>
          <w:rFonts w:eastAsia="Times New Roman" w:cs="Arial"/>
          <w:szCs w:val="24"/>
          <w:lang w:eastAsia="en-AU"/>
        </w:rPr>
        <w:t>Chair</w:t>
      </w:r>
    </w:p>
    <w:p w14:paraId="0168FDC9" w14:textId="77777777" w:rsidR="00A73124" w:rsidRPr="00F96FA2" w:rsidRDefault="00A73124" w:rsidP="00A73124">
      <w:pPr>
        <w:spacing w:after="0" w:line="240" w:lineRule="auto"/>
        <w:textAlignment w:val="baseline"/>
        <w:rPr>
          <w:rFonts w:eastAsia="Times New Roman" w:cs="Arial"/>
          <w:szCs w:val="24"/>
          <w:lang w:eastAsia="en-AU"/>
        </w:rPr>
      </w:pPr>
      <w:r w:rsidRPr="00F96FA2">
        <w:rPr>
          <w:rFonts w:eastAsia="Times New Roman" w:cs="Arial"/>
          <w:szCs w:val="24"/>
          <w:lang w:eastAsia="en-AU"/>
        </w:rPr>
        <w:t>Joycelyn Morton</w:t>
      </w:r>
      <w:r>
        <w:rPr>
          <w:rFonts w:eastAsia="Times New Roman" w:cs="Arial"/>
          <w:szCs w:val="24"/>
          <w:lang w:eastAsia="en-AU"/>
        </w:rPr>
        <w:t>, Non-executive director</w:t>
      </w:r>
    </w:p>
    <w:p w14:paraId="33DCA7F1" w14:textId="77777777" w:rsidR="00A73124" w:rsidRPr="00F96FA2" w:rsidRDefault="00A73124" w:rsidP="00A73124">
      <w:pPr>
        <w:spacing w:after="0" w:line="240" w:lineRule="auto"/>
        <w:textAlignment w:val="baseline"/>
        <w:rPr>
          <w:rFonts w:eastAsia="Times New Roman" w:cs="Arial"/>
          <w:szCs w:val="24"/>
          <w:lang w:eastAsia="en-AU"/>
        </w:rPr>
      </w:pPr>
      <w:r w:rsidRPr="00F96FA2">
        <w:rPr>
          <w:rFonts w:eastAsia="Times New Roman" w:cs="Arial"/>
          <w:szCs w:val="24"/>
          <w:lang w:eastAsia="en-AU"/>
        </w:rPr>
        <w:t>Damien Barnes</w:t>
      </w:r>
      <w:r>
        <w:rPr>
          <w:rFonts w:eastAsia="Times New Roman" w:cs="Arial"/>
          <w:szCs w:val="24"/>
          <w:lang w:eastAsia="en-AU"/>
        </w:rPr>
        <w:t>, Non-executive director</w:t>
      </w:r>
    </w:p>
    <w:p w14:paraId="33238A91" w14:textId="77777777" w:rsidR="00A73124" w:rsidRPr="00F96FA2" w:rsidRDefault="00A73124" w:rsidP="00A73124">
      <w:pPr>
        <w:spacing w:after="0" w:line="240" w:lineRule="auto"/>
        <w:textAlignment w:val="baseline"/>
        <w:rPr>
          <w:rFonts w:eastAsia="Times New Roman" w:cs="Arial"/>
          <w:szCs w:val="24"/>
          <w:lang w:eastAsia="en-AU"/>
        </w:rPr>
      </w:pPr>
      <w:r w:rsidRPr="00F96FA2">
        <w:rPr>
          <w:rFonts w:eastAsia="Times New Roman" w:cs="Arial"/>
          <w:szCs w:val="24"/>
          <w:lang w:eastAsia="en-AU"/>
        </w:rPr>
        <w:t>Joanne Benvenuti</w:t>
      </w:r>
      <w:r>
        <w:rPr>
          <w:rFonts w:eastAsia="Times New Roman" w:cs="Arial"/>
          <w:szCs w:val="24"/>
          <w:lang w:eastAsia="en-AU"/>
        </w:rPr>
        <w:t>, Non-executive director</w:t>
      </w:r>
    </w:p>
    <w:p w14:paraId="75879CA0" w14:textId="77777777" w:rsidR="00A73124" w:rsidRDefault="00A73124" w:rsidP="00A73124">
      <w:pPr>
        <w:spacing w:after="0" w:line="240" w:lineRule="auto"/>
        <w:textAlignment w:val="baseline"/>
        <w:rPr>
          <w:rFonts w:eastAsia="Times New Roman" w:cs="Arial"/>
          <w:szCs w:val="24"/>
          <w:lang w:eastAsia="en-AU"/>
        </w:rPr>
      </w:pPr>
      <w:r w:rsidRPr="00F96FA2">
        <w:rPr>
          <w:rFonts w:eastAsia="Times New Roman" w:cs="Arial"/>
          <w:szCs w:val="24"/>
          <w:lang w:eastAsia="en-AU"/>
        </w:rPr>
        <w:t>Anna Skarbek</w:t>
      </w:r>
      <w:r>
        <w:rPr>
          <w:rFonts w:eastAsia="Times New Roman" w:cs="Arial"/>
          <w:szCs w:val="24"/>
          <w:lang w:eastAsia="en-AU"/>
        </w:rPr>
        <w:t>, Non-executive director</w:t>
      </w:r>
    </w:p>
    <w:p w14:paraId="6E90944E" w14:textId="77777777" w:rsidR="00A73124" w:rsidRDefault="00A73124" w:rsidP="00A73124">
      <w:pPr>
        <w:spacing w:after="0" w:line="240" w:lineRule="auto"/>
        <w:textAlignment w:val="baseline"/>
        <w:rPr>
          <w:rFonts w:eastAsia="Times New Roman" w:cs="Arial"/>
          <w:lang w:eastAsia="en-AU"/>
        </w:rPr>
      </w:pPr>
      <w:r w:rsidRPr="701665F7">
        <w:rPr>
          <w:rFonts w:eastAsia="Times New Roman" w:cs="Arial"/>
          <w:lang w:eastAsia="en-AU"/>
        </w:rPr>
        <w:t>Sharan Burrow, Non-executive director (appointed 1 October 2024)</w:t>
      </w:r>
    </w:p>
    <w:p w14:paraId="3B966567" w14:textId="77777777" w:rsidR="00A73124" w:rsidRPr="00F96FA2" w:rsidRDefault="00A73124" w:rsidP="00A73124">
      <w:pPr>
        <w:spacing w:after="0" w:line="240" w:lineRule="auto"/>
        <w:textAlignment w:val="baseline"/>
        <w:rPr>
          <w:rFonts w:eastAsia="Times New Roman" w:cs="Arial"/>
          <w:lang w:eastAsia="en-AU"/>
        </w:rPr>
      </w:pPr>
      <w:r w:rsidRPr="701665F7">
        <w:rPr>
          <w:rFonts w:eastAsia="Times New Roman" w:cs="Arial"/>
          <w:lang w:eastAsia="en-AU"/>
        </w:rPr>
        <w:t>Cameron Garnsworthy, Non-executive director (appointed 1 October 2024)</w:t>
      </w:r>
    </w:p>
    <w:p w14:paraId="13BCFE02" w14:textId="77777777" w:rsidR="00A73124" w:rsidRDefault="00A73124" w:rsidP="00A73124">
      <w:pPr>
        <w:pStyle w:val="Heading2"/>
      </w:pPr>
      <w:r>
        <w:t xml:space="preserve">Company secretary </w:t>
      </w:r>
    </w:p>
    <w:p w14:paraId="5469412E" w14:textId="5E8FD6F2" w:rsidR="00A73124" w:rsidRDefault="00A73124" w:rsidP="00A73124">
      <w:r w:rsidRPr="009D3B26">
        <w:t>The Company Secretary for the Company at any time during the reporting period was Sam Gifford (current).</w:t>
      </w:r>
    </w:p>
    <w:p w14:paraId="798C31B4" w14:textId="7F862281" w:rsidR="008D0DAB" w:rsidRPr="009F4BF2" w:rsidRDefault="00A73124" w:rsidP="008D0DAB">
      <w:pPr>
        <w:pStyle w:val="Heading2"/>
      </w:pPr>
      <w:r>
        <w:t>Directors’ meetings</w:t>
      </w:r>
    </w:p>
    <w:tbl>
      <w:tblPr>
        <w:tblW w:w="9016" w:type="dxa"/>
        <w:tblLook w:val="04A0" w:firstRow="1" w:lastRow="0" w:firstColumn="1" w:lastColumn="0" w:noHBand="0" w:noVBand="1"/>
      </w:tblPr>
      <w:tblGrid>
        <w:gridCol w:w="4536"/>
        <w:gridCol w:w="1120"/>
        <w:gridCol w:w="1120"/>
        <w:gridCol w:w="1120"/>
        <w:gridCol w:w="1120"/>
      </w:tblGrid>
      <w:tr w:rsidR="00B4079C" w:rsidRPr="009F4BF2" w14:paraId="59AABA28" w14:textId="77777777" w:rsidTr="001513B5">
        <w:trPr>
          <w:trHeight w:val="600"/>
        </w:trPr>
        <w:tc>
          <w:tcPr>
            <w:tcW w:w="4536" w:type="dxa"/>
            <w:vMerge w:val="restart"/>
            <w:tcBorders>
              <w:top w:val="nil"/>
              <w:left w:val="nil"/>
              <w:bottom w:val="nil"/>
              <w:right w:val="nil"/>
            </w:tcBorders>
            <w:vAlign w:val="center"/>
            <w:hideMark/>
          </w:tcPr>
          <w:p w14:paraId="125BB0A4" w14:textId="77777777" w:rsidR="00B4079C" w:rsidRPr="009F4BF2" w:rsidRDefault="00B4079C" w:rsidP="009B7B2A">
            <w:pPr>
              <w:spacing w:after="0" w:line="240" w:lineRule="auto"/>
              <w:rPr>
                <w:rFonts w:eastAsia="Times New Roman" w:cs="Arial"/>
                <w:b/>
                <w:bCs/>
                <w:color w:val="000000"/>
                <w:sz w:val="20"/>
                <w:szCs w:val="20"/>
                <w:lang w:eastAsia="en-AU"/>
              </w:rPr>
            </w:pPr>
            <w:r w:rsidRPr="009F4BF2">
              <w:rPr>
                <w:rFonts w:eastAsia="Times New Roman" w:cs="Arial"/>
                <w:b/>
                <w:bCs/>
                <w:color w:val="000000"/>
                <w:sz w:val="20"/>
                <w:szCs w:val="20"/>
                <w:lang w:eastAsia="en-AU"/>
              </w:rPr>
              <w:t>Name</w:t>
            </w:r>
          </w:p>
        </w:tc>
        <w:tc>
          <w:tcPr>
            <w:tcW w:w="2240" w:type="dxa"/>
            <w:gridSpan w:val="2"/>
            <w:tcBorders>
              <w:top w:val="nil"/>
              <w:left w:val="nil"/>
              <w:bottom w:val="nil"/>
              <w:right w:val="nil"/>
            </w:tcBorders>
            <w:vAlign w:val="center"/>
            <w:hideMark/>
          </w:tcPr>
          <w:p w14:paraId="62944CEE"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Board</w:t>
            </w:r>
          </w:p>
        </w:tc>
        <w:tc>
          <w:tcPr>
            <w:tcW w:w="2240" w:type="dxa"/>
            <w:gridSpan w:val="2"/>
            <w:tcBorders>
              <w:top w:val="nil"/>
              <w:left w:val="nil"/>
              <w:bottom w:val="nil"/>
              <w:right w:val="nil"/>
            </w:tcBorders>
            <w:vAlign w:val="center"/>
            <w:hideMark/>
          </w:tcPr>
          <w:p w14:paraId="6E583FFE"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Audit and Risk Committee</w:t>
            </w:r>
            <w:r w:rsidRPr="009F4BF2">
              <w:rPr>
                <w:rFonts w:eastAsia="Times New Roman" w:cs="Arial"/>
                <w:color w:val="000000"/>
                <w:sz w:val="20"/>
                <w:szCs w:val="20"/>
                <w:vertAlign w:val="superscript"/>
                <w:lang w:eastAsia="en-AU"/>
              </w:rPr>
              <w:t>*</w:t>
            </w:r>
          </w:p>
        </w:tc>
      </w:tr>
      <w:tr w:rsidR="00B4079C" w:rsidRPr="009F4BF2" w14:paraId="63F553D7" w14:textId="77777777" w:rsidTr="001513B5">
        <w:trPr>
          <w:trHeight w:val="300"/>
        </w:trPr>
        <w:tc>
          <w:tcPr>
            <w:tcW w:w="4536" w:type="dxa"/>
            <w:vMerge/>
            <w:vAlign w:val="center"/>
          </w:tcPr>
          <w:p w14:paraId="05B46AC0" w14:textId="77777777" w:rsidR="00B4079C" w:rsidRPr="009F4BF2" w:rsidRDefault="00B4079C" w:rsidP="009B7B2A">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756FEF89"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c>
          <w:tcPr>
            <w:tcW w:w="2240" w:type="dxa"/>
            <w:gridSpan w:val="2"/>
            <w:tcBorders>
              <w:top w:val="nil"/>
              <w:left w:val="nil"/>
              <w:bottom w:val="nil"/>
              <w:right w:val="nil"/>
            </w:tcBorders>
            <w:vAlign w:val="center"/>
          </w:tcPr>
          <w:p w14:paraId="624545EA"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r>
      <w:tr w:rsidR="00B4079C" w:rsidRPr="009F4BF2" w14:paraId="40282BC0" w14:textId="77777777" w:rsidTr="001513B5">
        <w:trPr>
          <w:trHeight w:val="300"/>
        </w:trPr>
        <w:tc>
          <w:tcPr>
            <w:tcW w:w="4536" w:type="dxa"/>
            <w:vMerge/>
            <w:vAlign w:val="center"/>
          </w:tcPr>
          <w:p w14:paraId="559E5544" w14:textId="77777777" w:rsidR="00B4079C" w:rsidRPr="009F4BF2" w:rsidRDefault="00B4079C" w:rsidP="009B7B2A">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3639FCB4"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10</w:t>
            </w:r>
          </w:p>
        </w:tc>
        <w:tc>
          <w:tcPr>
            <w:tcW w:w="2240" w:type="dxa"/>
            <w:gridSpan w:val="2"/>
            <w:tcBorders>
              <w:top w:val="nil"/>
              <w:left w:val="nil"/>
              <w:bottom w:val="nil"/>
              <w:right w:val="nil"/>
            </w:tcBorders>
            <w:vAlign w:val="center"/>
          </w:tcPr>
          <w:p w14:paraId="69A0478D"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4</w:t>
            </w:r>
          </w:p>
        </w:tc>
      </w:tr>
      <w:tr w:rsidR="00B4079C" w:rsidRPr="009F4BF2" w14:paraId="3E757D18" w14:textId="77777777" w:rsidTr="001513B5">
        <w:trPr>
          <w:trHeight w:val="264"/>
        </w:trPr>
        <w:tc>
          <w:tcPr>
            <w:tcW w:w="4536" w:type="dxa"/>
            <w:vMerge/>
            <w:vAlign w:val="center"/>
            <w:hideMark/>
          </w:tcPr>
          <w:p w14:paraId="60232FAD" w14:textId="77777777" w:rsidR="00B4079C" w:rsidRPr="009F4BF2" w:rsidRDefault="00B4079C" w:rsidP="009B7B2A">
            <w:pPr>
              <w:spacing w:after="0" w:line="240" w:lineRule="auto"/>
              <w:rPr>
                <w:rFonts w:eastAsia="Times New Roman" w:cs="Arial"/>
                <w:b/>
                <w:bCs/>
                <w:color w:val="000000"/>
                <w:sz w:val="20"/>
                <w:szCs w:val="20"/>
                <w:lang w:eastAsia="en-AU"/>
              </w:rPr>
            </w:pPr>
          </w:p>
        </w:tc>
        <w:tc>
          <w:tcPr>
            <w:tcW w:w="1120" w:type="dxa"/>
            <w:tcBorders>
              <w:top w:val="nil"/>
              <w:left w:val="nil"/>
              <w:bottom w:val="nil"/>
              <w:right w:val="nil"/>
            </w:tcBorders>
            <w:vAlign w:val="center"/>
            <w:hideMark/>
          </w:tcPr>
          <w:p w14:paraId="40E8F243"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43A2DC31"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c>
          <w:tcPr>
            <w:tcW w:w="1120" w:type="dxa"/>
            <w:tcBorders>
              <w:top w:val="nil"/>
              <w:left w:val="nil"/>
              <w:bottom w:val="nil"/>
              <w:right w:val="nil"/>
            </w:tcBorders>
            <w:vAlign w:val="center"/>
            <w:hideMark/>
          </w:tcPr>
          <w:p w14:paraId="59E61433"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6AA1BE8B" w14:textId="77777777" w:rsidR="00B4079C" w:rsidRPr="009F4BF2" w:rsidRDefault="00B4079C" w:rsidP="009B7B2A">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r>
      <w:tr w:rsidR="00B4079C" w:rsidRPr="009F4BF2" w14:paraId="749CC07E" w14:textId="77777777" w:rsidTr="001513B5">
        <w:trPr>
          <w:trHeight w:val="264"/>
        </w:trPr>
        <w:tc>
          <w:tcPr>
            <w:tcW w:w="4536" w:type="dxa"/>
            <w:tcBorders>
              <w:top w:val="nil"/>
              <w:left w:val="nil"/>
              <w:bottom w:val="nil"/>
              <w:right w:val="nil"/>
            </w:tcBorders>
            <w:noWrap/>
            <w:vAlign w:val="center"/>
            <w:hideMark/>
          </w:tcPr>
          <w:p w14:paraId="3C4CE79F" w14:textId="77777777"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Simon Corbell (Chair)</w:t>
            </w:r>
          </w:p>
        </w:tc>
        <w:tc>
          <w:tcPr>
            <w:tcW w:w="1120" w:type="dxa"/>
            <w:tcBorders>
              <w:top w:val="nil"/>
              <w:left w:val="nil"/>
              <w:bottom w:val="nil"/>
              <w:right w:val="nil"/>
            </w:tcBorders>
            <w:vAlign w:val="center"/>
            <w:hideMark/>
          </w:tcPr>
          <w:p w14:paraId="6D5E99CC"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613F1B8C"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D10AE30"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13F74999"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B4079C" w:rsidRPr="009F4BF2" w14:paraId="7F8F9268" w14:textId="77777777" w:rsidTr="001513B5">
        <w:trPr>
          <w:trHeight w:val="264"/>
        </w:trPr>
        <w:tc>
          <w:tcPr>
            <w:tcW w:w="4536" w:type="dxa"/>
            <w:tcBorders>
              <w:top w:val="nil"/>
              <w:left w:val="nil"/>
              <w:bottom w:val="nil"/>
              <w:right w:val="nil"/>
            </w:tcBorders>
            <w:noWrap/>
            <w:vAlign w:val="center"/>
            <w:hideMark/>
          </w:tcPr>
          <w:p w14:paraId="3C918CB2" w14:textId="77777777"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Joycelyn Morton</w:t>
            </w:r>
          </w:p>
        </w:tc>
        <w:tc>
          <w:tcPr>
            <w:tcW w:w="1120" w:type="dxa"/>
            <w:tcBorders>
              <w:top w:val="nil"/>
              <w:left w:val="nil"/>
              <w:bottom w:val="nil"/>
              <w:right w:val="nil"/>
            </w:tcBorders>
            <w:vAlign w:val="center"/>
            <w:hideMark/>
          </w:tcPr>
          <w:p w14:paraId="36CF6A4C"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E2DB316"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A3C25CA"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00828536"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B4079C" w:rsidRPr="009F4BF2" w14:paraId="2122874B" w14:textId="77777777" w:rsidTr="001513B5">
        <w:trPr>
          <w:trHeight w:val="264"/>
        </w:trPr>
        <w:tc>
          <w:tcPr>
            <w:tcW w:w="4536" w:type="dxa"/>
            <w:tcBorders>
              <w:top w:val="nil"/>
              <w:left w:val="nil"/>
              <w:bottom w:val="nil"/>
              <w:right w:val="nil"/>
            </w:tcBorders>
            <w:noWrap/>
            <w:vAlign w:val="center"/>
            <w:hideMark/>
          </w:tcPr>
          <w:p w14:paraId="41F08D24" w14:textId="77777777" w:rsidR="00B4079C" w:rsidRPr="009F4BF2" w:rsidRDefault="00B4079C" w:rsidP="009B7B2A">
            <w:pPr>
              <w:spacing w:after="0" w:line="240" w:lineRule="auto"/>
              <w:rPr>
                <w:rFonts w:eastAsia="Times New Roman" w:cs="Arial"/>
                <w:sz w:val="20"/>
                <w:szCs w:val="20"/>
                <w:lang w:eastAsia="en-AU"/>
              </w:rPr>
            </w:pPr>
            <w:r w:rsidRPr="009F4BF2">
              <w:rPr>
                <w:rFonts w:eastAsia="Times New Roman" w:cs="Arial"/>
                <w:sz w:val="20"/>
                <w:szCs w:val="20"/>
                <w:lang w:eastAsia="en-AU"/>
              </w:rPr>
              <w:t>Damien Barnes</w:t>
            </w:r>
          </w:p>
        </w:tc>
        <w:tc>
          <w:tcPr>
            <w:tcW w:w="1120" w:type="dxa"/>
            <w:tcBorders>
              <w:top w:val="nil"/>
              <w:left w:val="nil"/>
              <w:bottom w:val="nil"/>
              <w:right w:val="nil"/>
            </w:tcBorders>
            <w:vAlign w:val="center"/>
            <w:hideMark/>
          </w:tcPr>
          <w:p w14:paraId="446368C8"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8</w:t>
            </w:r>
          </w:p>
        </w:tc>
        <w:tc>
          <w:tcPr>
            <w:tcW w:w="1120" w:type="dxa"/>
            <w:tcBorders>
              <w:top w:val="nil"/>
              <w:left w:val="nil"/>
              <w:bottom w:val="nil"/>
              <w:right w:val="nil"/>
            </w:tcBorders>
            <w:vAlign w:val="center"/>
            <w:hideMark/>
          </w:tcPr>
          <w:p w14:paraId="34B79E2B"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033BA57A"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2247E23C"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B4079C" w:rsidRPr="009F4BF2" w14:paraId="140B9D0E" w14:textId="77777777" w:rsidTr="001513B5">
        <w:trPr>
          <w:trHeight w:val="264"/>
        </w:trPr>
        <w:tc>
          <w:tcPr>
            <w:tcW w:w="4536" w:type="dxa"/>
            <w:tcBorders>
              <w:top w:val="nil"/>
              <w:left w:val="nil"/>
              <w:bottom w:val="nil"/>
              <w:right w:val="nil"/>
            </w:tcBorders>
            <w:noWrap/>
            <w:vAlign w:val="center"/>
            <w:hideMark/>
          </w:tcPr>
          <w:p w14:paraId="44AD12A6" w14:textId="77777777"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Joanne Benvenuti</w:t>
            </w:r>
          </w:p>
        </w:tc>
        <w:tc>
          <w:tcPr>
            <w:tcW w:w="1120" w:type="dxa"/>
            <w:tcBorders>
              <w:top w:val="nil"/>
              <w:left w:val="nil"/>
              <w:bottom w:val="nil"/>
              <w:right w:val="nil"/>
            </w:tcBorders>
            <w:vAlign w:val="center"/>
            <w:hideMark/>
          </w:tcPr>
          <w:p w14:paraId="3EB1524E"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9</w:t>
            </w:r>
          </w:p>
        </w:tc>
        <w:tc>
          <w:tcPr>
            <w:tcW w:w="1120" w:type="dxa"/>
            <w:tcBorders>
              <w:top w:val="nil"/>
              <w:left w:val="nil"/>
              <w:bottom w:val="nil"/>
              <w:right w:val="nil"/>
            </w:tcBorders>
            <w:vAlign w:val="center"/>
            <w:hideMark/>
          </w:tcPr>
          <w:p w14:paraId="33AF58AC"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68E98C42"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62B6AEA5"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B4079C" w:rsidRPr="009F4BF2" w14:paraId="799A4FC1" w14:textId="77777777" w:rsidTr="001513B5">
        <w:trPr>
          <w:trHeight w:val="264"/>
        </w:trPr>
        <w:tc>
          <w:tcPr>
            <w:tcW w:w="4536" w:type="dxa"/>
            <w:tcBorders>
              <w:top w:val="nil"/>
              <w:left w:val="nil"/>
              <w:bottom w:val="nil"/>
              <w:right w:val="nil"/>
            </w:tcBorders>
            <w:noWrap/>
            <w:vAlign w:val="center"/>
            <w:hideMark/>
          </w:tcPr>
          <w:p w14:paraId="1C94D9E9" w14:textId="5B04620B"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Sharan Burrow</w:t>
            </w:r>
          </w:p>
        </w:tc>
        <w:tc>
          <w:tcPr>
            <w:tcW w:w="1120" w:type="dxa"/>
            <w:tcBorders>
              <w:top w:val="nil"/>
              <w:left w:val="nil"/>
              <w:bottom w:val="nil"/>
              <w:right w:val="nil"/>
            </w:tcBorders>
            <w:vAlign w:val="center"/>
            <w:hideMark/>
          </w:tcPr>
          <w:p w14:paraId="15787F7D"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4ABF8898"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30E8132D" w14:textId="48566F6B" w:rsidR="00B4079C" w:rsidRPr="009F4BF2" w:rsidRDefault="00716871"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523464A9"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r>
      <w:tr w:rsidR="00B4079C" w:rsidRPr="009F4BF2" w14:paraId="34BFECFA" w14:textId="77777777" w:rsidTr="001513B5">
        <w:trPr>
          <w:trHeight w:val="264"/>
        </w:trPr>
        <w:tc>
          <w:tcPr>
            <w:tcW w:w="4536" w:type="dxa"/>
            <w:tcBorders>
              <w:top w:val="nil"/>
              <w:left w:val="nil"/>
              <w:bottom w:val="nil"/>
              <w:right w:val="nil"/>
            </w:tcBorders>
            <w:noWrap/>
            <w:vAlign w:val="center"/>
            <w:hideMark/>
          </w:tcPr>
          <w:p w14:paraId="2FF2A469" w14:textId="77777777"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Cameron Garnsworthy</w:t>
            </w:r>
          </w:p>
        </w:tc>
        <w:tc>
          <w:tcPr>
            <w:tcW w:w="1120" w:type="dxa"/>
            <w:tcBorders>
              <w:top w:val="nil"/>
              <w:left w:val="nil"/>
              <w:bottom w:val="nil"/>
              <w:right w:val="nil"/>
            </w:tcBorders>
            <w:vAlign w:val="center"/>
            <w:hideMark/>
          </w:tcPr>
          <w:p w14:paraId="0A9A2F62"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581870E8"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3CB057DD" w14:textId="36FD344A" w:rsidR="00B4079C" w:rsidRPr="009F4BF2" w:rsidRDefault="00716871"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54277C1F"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r>
      <w:tr w:rsidR="00B4079C" w:rsidRPr="009F4BF2" w14:paraId="4E773293" w14:textId="77777777" w:rsidTr="001513B5">
        <w:trPr>
          <w:trHeight w:val="264"/>
        </w:trPr>
        <w:tc>
          <w:tcPr>
            <w:tcW w:w="4536" w:type="dxa"/>
            <w:tcBorders>
              <w:top w:val="nil"/>
              <w:left w:val="nil"/>
              <w:bottom w:val="nil"/>
              <w:right w:val="nil"/>
            </w:tcBorders>
            <w:noWrap/>
            <w:vAlign w:val="center"/>
            <w:hideMark/>
          </w:tcPr>
          <w:p w14:paraId="41F3058B" w14:textId="77777777" w:rsidR="00B4079C" w:rsidRPr="009F4BF2" w:rsidRDefault="00B4079C" w:rsidP="009B7B2A">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Anna Skarbek</w:t>
            </w:r>
          </w:p>
        </w:tc>
        <w:tc>
          <w:tcPr>
            <w:tcW w:w="1120" w:type="dxa"/>
            <w:tcBorders>
              <w:top w:val="nil"/>
              <w:left w:val="nil"/>
              <w:bottom w:val="nil"/>
              <w:right w:val="nil"/>
            </w:tcBorders>
            <w:vAlign w:val="center"/>
            <w:hideMark/>
          </w:tcPr>
          <w:p w14:paraId="23286D5B"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60F7F6F3"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23C9BFA4"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0DC9B79F" w14:textId="77777777" w:rsidR="00B4079C" w:rsidRPr="009F4BF2" w:rsidRDefault="00B4079C" w:rsidP="009B7B2A">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bl>
    <w:p w14:paraId="4DDC0BEA" w14:textId="23604E66" w:rsidR="008D0DAB" w:rsidRPr="00655F6E" w:rsidRDefault="008D0DAB" w:rsidP="008D0DAB">
      <w:pPr>
        <w:spacing w:after="0" w:line="240" w:lineRule="auto"/>
        <w:textAlignment w:val="baseline"/>
        <w:rPr>
          <w:rFonts w:ascii="Segoe UI" w:eastAsia="Times New Roman" w:hAnsi="Segoe UI" w:cs="Segoe UI"/>
          <w:i/>
          <w:iCs/>
          <w:sz w:val="18"/>
          <w:szCs w:val="18"/>
          <w:lang w:eastAsia="en-AU"/>
        </w:rPr>
      </w:pPr>
      <w:r>
        <w:br/>
      </w:r>
      <w:r w:rsidRPr="00655F6E">
        <w:rPr>
          <w:rFonts w:eastAsia="Times New Roman" w:cs="Arial"/>
          <w:i/>
          <w:iCs/>
          <w:sz w:val="18"/>
          <w:szCs w:val="18"/>
          <w:vertAlign w:val="superscript"/>
          <w:lang w:eastAsia="en-AU"/>
        </w:rPr>
        <w:t>*</w:t>
      </w:r>
      <w:r w:rsidRPr="00655F6E">
        <w:rPr>
          <w:rFonts w:eastAsia="Times New Roman" w:cs="Arial"/>
          <w:i/>
          <w:sz w:val="18"/>
          <w:szCs w:val="18"/>
          <w:vertAlign w:val="superscript"/>
          <w:lang w:eastAsia="en-AU"/>
        </w:rPr>
        <w:t xml:space="preserve"> </w:t>
      </w:r>
      <w:r w:rsidRPr="00655F6E">
        <w:rPr>
          <w:rFonts w:eastAsia="Times New Roman" w:cs="Arial"/>
          <w:i/>
          <w:iCs/>
          <w:sz w:val="18"/>
          <w:szCs w:val="18"/>
          <w:lang w:eastAsia="en-AU"/>
        </w:rPr>
        <w:t>Joycelyn Morton is the Chair of the Audit and Risk Committee. Simon Corbell is the Chair of the Investments and Assets Committee. </w:t>
      </w:r>
      <w:r>
        <w:br/>
      </w:r>
      <w:r>
        <w:br/>
      </w:r>
      <w:r w:rsidRPr="006A1F00">
        <w:t xml:space="preserve">In addition to the above, three </w:t>
      </w:r>
      <w:r>
        <w:t xml:space="preserve">Board </w:t>
      </w:r>
      <w:r w:rsidRPr="006A1F00">
        <w:t>meetings were convened solely for the purpose of passing a resolution. No other business was conducted at these meetings</w:t>
      </w:r>
      <w:r>
        <w:t>.</w:t>
      </w:r>
      <w:r w:rsidR="00017DD9">
        <w:t xml:space="preserve"> In addition to attending formal board and committee meetings, directors also participated in briefings with management to discuss and consider strategic issues.</w:t>
      </w:r>
    </w:p>
    <w:p w14:paraId="0DC1FA09" w14:textId="77777777" w:rsidR="008D0DAB" w:rsidRDefault="008D0DAB" w:rsidP="008D0DAB">
      <w:pPr>
        <w:pStyle w:val="Heading2"/>
      </w:pPr>
      <w:r>
        <w:t xml:space="preserve">Principal activities </w:t>
      </w:r>
    </w:p>
    <w:p w14:paraId="65A1DF91" w14:textId="37FB6CB6" w:rsidR="008D0DAB" w:rsidRDefault="008D0DAB" w:rsidP="008D0DAB">
      <w:r w:rsidRPr="00EB2523">
        <w:t>The principal activit</w:t>
      </w:r>
      <w:r>
        <w:t>ies</w:t>
      </w:r>
      <w:r w:rsidRPr="00EB2523">
        <w:t xml:space="preserve"> of the Group during </w:t>
      </w:r>
      <w:r w:rsidRPr="00226AD5">
        <w:t xml:space="preserve">the </w:t>
      </w:r>
      <w:r>
        <w:t>year</w:t>
      </w:r>
      <w:r w:rsidRPr="00EB2523">
        <w:t xml:space="preserve"> </w:t>
      </w:r>
      <w:r w:rsidRPr="00F96FA2">
        <w:t>w</w:t>
      </w:r>
      <w:r>
        <w:t xml:space="preserve">ere </w:t>
      </w:r>
      <w:r w:rsidRPr="00F96FA2">
        <w:t xml:space="preserve">the investment in </w:t>
      </w:r>
      <w:r w:rsidR="00984E8F">
        <w:t xml:space="preserve">the delivery </w:t>
      </w:r>
      <w:r w:rsidR="009C3F32">
        <w:t xml:space="preserve">and development </w:t>
      </w:r>
      <w:r w:rsidR="00984E8F">
        <w:t xml:space="preserve">of </w:t>
      </w:r>
      <w:r w:rsidRPr="00F96FA2">
        <w:t xml:space="preserve">renewable energy </w:t>
      </w:r>
      <w:r>
        <w:t xml:space="preserve">generation and storage </w:t>
      </w:r>
      <w:r w:rsidRPr="00F96FA2">
        <w:t>projects</w:t>
      </w:r>
      <w:r>
        <w:t>.</w:t>
      </w:r>
    </w:p>
    <w:p w14:paraId="0E0AB5A4" w14:textId="760B9B7D" w:rsidR="008D0DAB" w:rsidRPr="00D11907" w:rsidRDefault="008D0DAB" w:rsidP="008D0DAB">
      <w:pPr>
        <w:pStyle w:val="Heading2"/>
      </w:pPr>
      <w:bookmarkStart w:id="527" w:name="_Ref208418625"/>
      <w:r>
        <w:t>Financial and operational performance</w:t>
      </w:r>
      <w:bookmarkEnd w:id="527"/>
      <w:r>
        <w:t xml:space="preserve"> </w:t>
      </w:r>
    </w:p>
    <w:p w14:paraId="226342B1" w14:textId="5E49033D" w:rsidR="008D0DAB" w:rsidRPr="00F65403" w:rsidRDefault="00F671BF" w:rsidP="008D0DAB">
      <w:r>
        <w:t>Net</w:t>
      </w:r>
      <w:r w:rsidR="008D0DAB">
        <w:t xml:space="preserve"> loss after tax attributable to shareholders was $</w:t>
      </w:r>
      <w:r w:rsidR="00A15FEF">
        <w:t>7.9</w:t>
      </w:r>
      <w:r w:rsidR="008D0DAB">
        <w:t xml:space="preserve"> million, a</w:t>
      </w:r>
      <w:r w:rsidR="009C3F32">
        <w:t>n</w:t>
      </w:r>
      <w:r w:rsidR="008D0DAB">
        <w:t xml:space="preserve"> </w:t>
      </w:r>
      <w:r w:rsidR="009C3F32">
        <w:t>inc</w:t>
      </w:r>
      <w:r w:rsidR="008D0DAB">
        <w:t>rease of $</w:t>
      </w:r>
      <w:r w:rsidR="002622AF">
        <w:t>2</w:t>
      </w:r>
      <w:r w:rsidR="008D0DAB">
        <w:t>.</w:t>
      </w:r>
      <w:r w:rsidR="008260BB">
        <w:t>5</w:t>
      </w:r>
      <w:r w:rsidR="008D0DAB">
        <w:t xml:space="preserve"> million compared to </w:t>
      </w:r>
      <w:r>
        <w:t>net</w:t>
      </w:r>
      <w:r w:rsidR="008D0DAB">
        <w:t xml:space="preserve"> </w:t>
      </w:r>
      <w:r w:rsidR="008260BB">
        <w:t>loss</w:t>
      </w:r>
      <w:r w:rsidR="008D0DAB">
        <w:t xml:space="preserve"> of $5.</w:t>
      </w:r>
      <w:r w:rsidR="002622AF">
        <w:t xml:space="preserve">4 </w:t>
      </w:r>
      <w:r w:rsidR="008D0DAB">
        <w:t>million in the prior period.</w:t>
      </w:r>
    </w:p>
    <w:p w14:paraId="0F7E8954" w14:textId="496D844D" w:rsidR="008D0DAB" w:rsidRPr="00F65403" w:rsidRDefault="008D0DAB" w:rsidP="008D0DAB">
      <w:r>
        <w:t xml:space="preserve">The movement in </w:t>
      </w:r>
      <w:r w:rsidR="00F671BF">
        <w:t>net</w:t>
      </w:r>
      <w:r>
        <w:t xml:space="preserve"> loss reflects the Group’s</w:t>
      </w:r>
      <w:r w:rsidR="00167840">
        <w:t xml:space="preserve"> share</w:t>
      </w:r>
      <w:r>
        <w:t xml:space="preserve"> </w:t>
      </w:r>
      <w:r w:rsidR="00410A04">
        <w:t xml:space="preserve">of </w:t>
      </w:r>
      <w:r>
        <w:t>the Melbourne Renewable Energy Hub</w:t>
      </w:r>
      <w:r w:rsidR="6858DE0E">
        <w:t xml:space="preserve"> (MREH)</w:t>
      </w:r>
      <w:r w:rsidR="00410A04" w:rsidDel="00410A04">
        <w:t xml:space="preserve"> </w:t>
      </w:r>
      <w:r>
        <w:t xml:space="preserve">net loss </w:t>
      </w:r>
      <w:r w:rsidR="00C67E4A">
        <w:t>for the year</w:t>
      </w:r>
      <w:r>
        <w:t xml:space="preserve">. As the </w:t>
      </w:r>
      <w:r w:rsidR="634DC183">
        <w:t>MREH</w:t>
      </w:r>
      <w:r>
        <w:t xml:space="preserve"> batteries </w:t>
      </w:r>
      <w:r w:rsidR="00722BF1">
        <w:t xml:space="preserve">remained </w:t>
      </w:r>
      <w:r>
        <w:t>under construction</w:t>
      </w:r>
      <w:r w:rsidR="00722BF1">
        <w:t xml:space="preserve"> </w:t>
      </w:r>
      <w:r w:rsidR="005B79C2">
        <w:t xml:space="preserve">during the current year, </w:t>
      </w:r>
      <w:r w:rsidR="00675D91">
        <w:t>and</w:t>
      </w:r>
      <w:r w:rsidR="00F60E88">
        <w:t xml:space="preserve"> no revenue has been earned, </w:t>
      </w:r>
      <w:r w:rsidR="00675D91">
        <w:t xml:space="preserve">a </w:t>
      </w:r>
      <w:r>
        <w:t>loss</w:t>
      </w:r>
      <w:r w:rsidR="00675D91">
        <w:t xml:space="preserve"> position is expected</w:t>
      </w:r>
      <w:r>
        <w:t xml:space="preserve">. The </w:t>
      </w:r>
      <w:r w:rsidR="007B305E">
        <w:t xml:space="preserve">three batteries </w:t>
      </w:r>
      <w:r w:rsidR="00104757">
        <w:t>-</w:t>
      </w:r>
      <w:r w:rsidR="007B305E">
        <w:t xml:space="preserve"> A1, A2 and A3 </w:t>
      </w:r>
      <w:r w:rsidR="00104757">
        <w:t>-</w:t>
      </w:r>
      <w:r w:rsidR="007B305E">
        <w:t xml:space="preserve"> are being progressively commissioned in the </w:t>
      </w:r>
      <w:r w:rsidR="00EA58E4">
        <w:t>first half of FY26</w:t>
      </w:r>
      <w:r w:rsidR="005F4E2D">
        <w:t>.</w:t>
      </w:r>
    </w:p>
    <w:p w14:paraId="046710B8" w14:textId="09796647" w:rsidR="008D0DAB" w:rsidRDefault="008D0DAB" w:rsidP="008D0DAB">
      <w:r>
        <w:t xml:space="preserve">In November 2024, the Group committed to its second major project, SEC Renewable Energy Park </w:t>
      </w:r>
      <w:r w:rsidR="00104757">
        <w:t>-</w:t>
      </w:r>
      <w:r>
        <w:t xml:space="preserve"> Horsham (Horsham). The capital estimate for Horsham is $370 million which will be funded through a combination of equity and debt. Capital expenditure of $96 million has been incurred to date for construction of this project.</w:t>
      </w:r>
    </w:p>
    <w:p w14:paraId="7E227895" w14:textId="31968969" w:rsidR="00960266" w:rsidRDefault="001A27A7" w:rsidP="008D0DAB">
      <w:r>
        <w:t xml:space="preserve">The Group relies on </w:t>
      </w:r>
      <w:r w:rsidR="00E75ABD" w:rsidRPr="13A1B2D3">
        <w:t>its ultimate parent, SEC Victoria Pty Ltd, to provide funding as and when required for operation</w:t>
      </w:r>
      <w:r w:rsidR="00085C60">
        <w:t>al and capital commitments</w:t>
      </w:r>
      <w:r w:rsidR="00D6303C">
        <w:t>,</w:t>
      </w:r>
      <w:r w:rsidR="00E75ABD" w:rsidRPr="13A1B2D3">
        <w:t xml:space="preserve"> and liquidity is managed at a consolidated SEC Victoria Pty Ltd level.</w:t>
      </w:r>
    </w:p>
    <w:p w14:paraId="744355D5" w14:textId="4080FD0C" w:rsidR="005F4E2D" w:rsidRPr="00F65403" w:rsidRDefault="005F4E2D" w:rsidP="008D0DAB">
      <w:r>
        <w:t xml:space="preserve">As the Group was only formed in October 2023, the prior period does not represent a full year of activity. </w:t>
      </w:r>
    </w:p>
    <w:p w14:paraId="00F914FA" w14:textId="77777777" w:rsidR="008D0DAB" w:rsidRDefault="008D0DAB" w:rsidP="008D0DAB">
      <w:pPr>
        <w:pStyle w:val="Heading2"/>
      </w:pPr>
      <w:r>
        <w:t xml:space="preserve">Climate-related risk disclosure statement </w:t>
      </w:r>
    </w:p>
    <w:p w14:paraId="6EA65BC9" w14:textId="6BB6519F" w:rsidR="008D0DAB" w:rsidRDefault="008D0DAB" w:rsidP="008D0DAB">
      <w:r w:rsidRPr="002A519B">
        <w:t>Management considers that climate change and the associated energy transition has both risks and opportunities for SEC. In preparing for the forthcoming mandatory climate-related financial disclosures</w:t>
      </w:r>
      <w:r w:rsidR="00D25D43">
        <w:t xml:space="preserve"> </w:t>
      </w:r>
      <w:r w:rsidR="00D25D43" w:rsidRPr="00D25D43">
        <w:t xml:space="preserve">required under the </w:t>
      </w:r>
      <w:r w:rsidR="00D25D43" w:rsidRPr="00AA3AC5">
        <w:rPr>
          <w:i/>
          <w:iCs/>
        </w:rPr>
        <w:t>Corporations Act 2001</w:t>
      </w:r>
      <w:r w:rsidR="00D25D43" w:rsidRPr="00D25D43">
        <w:t xml:space="preserve"> and Australian Sustainability Reporting Standards</w:t>
      </w:r>
      <w:r w:rsidRPr="002A519B">
        <w:t>, appropriate governance arrangements, capability and data requirements are being considered with a view to having a more progressed assessment available for reporting next year.</w:t>
      </w:r>
      <w:r w:rsidR="00D25D43">
        <w:t xml:space="preserve"> </w:t>
      </w:r>
      <w:r w:rsidRPr="002A519B">
        <w:t xml:space="preserve"> </w:t>
      </w:r>
      <w:r w:rsidR="00D25D43" w:rsidRPr="00D25D43">
        <w:t>Based on forecast financial information, management expects the mandatory climate-related sustainability reporting requirements to apply to SEC Infrastructure for the first time in the year ending 30 June 2028.</w:t>
      </w:r>
    </w:p>
    <w:p w14:paraId="7F1C2B39" w14:textId="77777777" w:rsidR="008D0DAB" w:rsidRDefault="008D0DAB" w:rsidP="008D0DAB">
      <w:pPr>
        <w:pStyle w:val="Heading2"/>
      </w:pPr>
      <w:bookmarkStart w:id="528" w:name="_Ref208418654"/>
      <w:r>
        <w:t>Events occurring after the Balance Sheet date</w:t>
      </w:r>
      <w:bookmarkEnd w:id="528"/>
      <w:r>
        <w:t xml:space="preserve"> </w:t>
      </w:r>
    </w:p>
    <w:p w14:paraId="451D47CE" w14:textId="5526DCFE" w:rsidR="008D0DAB" w:rsidRDefault="008D0DAB" w:rsidP="008D0DAB">
      <w:r w:rsidRPr="002A519B">
        <w:t>There is no circumstance that has arisen since 30 June 202</w:t>
      </w:r>
      <w:r>
        <w:t>5</w:t>
      </w:r>
      <w:r w:rsidRPr="002A519B">
        <w:t xml:space="preserve"> that has significantly affected or may significantly affect in future years: </w:t>
      </w:r>
    </w:p>
    <w:p w14:paraId="0F587FB5" w14:textId="77777777" w:rsidR="008D0DAB" w:rsidRDefault="008D0DAB" w:rsidP="008D0DAB">
      <w:pPr>
        <w:pStyle w:val="ListParagraph"/>
        <w:numPr>
          <w:ilvl w:val="2"/>
          <w:numId w:val="66"/>
        </w:numPr>
        <w:ind w:left="709"/>
      </w:pPr>
      <w:r w:rsidRPr="002A519B">
        <w:t xml:space="preserve">the Group’s operations </w:t>
      </w:r>
    </w:p>
    <w:p w14:paraId="5127FC5F" w14:textId="77777777" w:rsidR="008D0DAB" w:rsidRDefault="008D0DAB" w:rsidP="008D0DAB">
      <w:pPr>
        <w:pStyle w:val="ListParagraph"/>
        <w:numPr>
          <w:ilvl w:val="2"/>
          <w:numId w:val="66"/>
        </w:numPr>
        <w:ind w:left="709"/>
      </w:pPr>
      <w:r w:rsidRPr="002A519B">
        <w:t>the results of those operations</w:t>
      </w:r>
      <w:r>
        <w:t>, or</w:t>
      </w:r>
      <w:r w:rsidRPr="002A519B">
        <w:t xml:space="preserve"> </w:t>
      </w:r>
    </w:p>
    <w:p w14:paraId="0609BC81" w14:textId="77777777" w:rsidR="008D0DAB" w:rsidRDefault="008D0DAB" w:rsidP="008D0DAB">
      <w:pPr>
        <w:pStyle w:val="ListParagraph"/>
        <w:numPr>
          <w:ilvl w:val="2"/>
          <w:numId w:val="66"/>
        </w:numPr>
        <w:ind w:left="709"/>
      </w:pPr>
      <w:r w:rsidRPr="002A519B">
        <w:t>the state of affairs of the Group.</w:t>
      </w:r>
    </w:p>
    <w:p w14:paraId="3E915B3C" w14:textId="77777777" w:rsidR="008D0DAB" w:rsidRPr="00E25323" w:rsidRDefault="008D0DAB" w:rsidP="008D0DAB">
      <w:pPr>
        <w:pStyle w:val="Heading2"/>
      </w:pPr>
      <w:r>
        <w:t xml:space="preserve">Dividends </w:t>
      </w:r>
    </w:p>
    <w:p w14:paraId="026B0E21" w14:textId="1E27C85B" w:rsidR="008D0DAB" w:rsidRPr="00F96FA2" w:rsidRDefault="0096118B" w:rsidP="008D0DAB">
      <w:r>
        <w:t>The</w:t>
      </w:r>
      <w:r w:rsidR="008D0DAB">
        <w:t xml:space="preserve"> directors have neither declared nor recommended a dividend, and no dividend has been paid for the reporting period ended 30 June 2025. </w:t>
      </w:r>
    </w:p>
    <w:p w14:paraId="6009ABF4" w14:textId="77777777" w:rsidR="008D0DAB" w:rsidRDefault="008D0DAB" w:rsidP="008D0DAB">
      <w:pPr>
        <w:pStyle w:val="Heading2"/>
      </w:pPr>
      <w:r>
        <w:t xml:space="preserve">Impact of legislation and other external requirements </w:t>
      </w:r>
    </w:p>
    <w:p w14:paraId="6E1690AC" w14:textId="51BEF129" w:rsidR="008D0DAB" w:rsidRDefault="008D0DAB" w:rsidP="008D0DAB">
      <w:r w:rsidRPr="00536BBE">
        <w:t xml:space="preserve">In addition to the </w:t>
      </w:r>
      <w:r w:rsidRPr="00303057">
        <w:rPr>
          <w:i/>
          <w:iCs/>
        </w:rPr>
        <w:t>Corporations Act 2001</w:t>
      </w:r>
      <w:r w:rsidRPr="00536BBE">
        <w:t xml:space="preserve">, the Group is required to comply with additional legislation, detailed from page </w:t>
      </w:r>
      <w:r w:rsidR="004D606C">
        <w:rPr>
          <w:highlight w:val="yellow"/>
        </w:rPr>
        <w:fldChar w:fldCharType="begin"/>
      </w:r>
      <w:r w:rsidR="004D606C">
        <w:instrText xml:space="preserve"> PAGEREF _Ref208418240 \h </w:instrText>
      </w:r>
      <w:r w:rsidR="004D606C">
        <w:rPr>
          <w:highlight w:val="yellow"/>
        </w:rPr>
      </w:r>
      <w:r w:rsidR="004D606C">
        <w:rPr>
          <w:highlight w:val="yellow"/>
        </w:rPr>
        <w:fldChar w:fldCharType="separate"/>
      </w:r>
      <w:r w:rsidR="00BC7653">
        <w:rPr>
          <w:noProof/>
        </w:rPr>
        <w:t>133</w:t>
      </w:r>
      <w:r w:rsidR="004D606C">
        <w:rPr>
          <w:highlight w:val="yellow"/>
        </w:rPr>
        <w:fldChar w:fldCharType="end"/>
      </w:r>
      <w:r>
        <w:t xml:space="preserve"> </w:t>
      </w:r>
      <w:r w:rsidRPr="00536BBE">
        <w:t xml:space="preserve">(corporate compliance section). This legislative framework reflects SEC’s status as a state-owned entity of Victoria. </w:t>
      </w:r>
    </w:p>
    <w:p w14:paraId="72B90FF1" w14:textId="77777777" w:rsidR="008D0DAB" w:rsidRDefault="008D0DAB" w:rsidP="008D0DAB">
      <w:pPr>
        <w:pStyle w:val="Heading2"/>
      </w:pPr>
      <w:r>
        <w:t xml:space="preserve">Directors’ interests </w:t>
      </w:r>
    </w:p>
    <w:p w14:paraId="40A57B53" w14:textId="246B30A1" w:rsidR="008D0DAB" w:rsidRDefault="008D0DAB" w:rsidP="008D0DAB">
      <w:r w:rsidRPr="00536BBE">
        <w:t xml:space="preserve">No director holds an interest in any shares in SEC </w:t>
      </w:r>
      <w:r>
        <w:t>Infrastructure</w:t>
      </w:r>
      <w:r w:rsidR="00B32A21">
        <w:t xml:space="preserve"> Pty Ltd</w:t>
      </w:r>
      <w:r w:rsidRPr="00536BBE">
        <w:t xml:space="preserve">. </w:t>
      </w:r>
      <w:r w:rsidR="00B32A21" w:rsidRPr="00B32A21">
        <w:t xml:space="preserve">The Company’s sole shareholder is SEC Victoria Pty Ltd whose beneficial shareholders are the Premier and Treasurer of the State of Victoria. </w:t>
      </w:r>
    </w:p>
    <w:p w14:paraId="2778F2D9" w14:textId="77777777" w:rsidR="008D0DAB" w:rsidRDefault="008D0DAB" w:rsidP="008D0DAB">
      <w:pPr>
        <w:pStyle w:val="Heading2"/>
      </w:pPr>
      <w:r>
        <w:t xml:space="preserve">Indemnification and insurance of officers and auditors </w:t>
      </w:r>
    </w:p>
    <w:p w14:paraId="6609448C" w14:textId="77777777" w:rsidR="008D0DAB" w:rsidRDefault="008D0DAB" w:rsidP="008D0DAB">
      <w:r w:rsidRPr="00536BBE">
        <w:t xml:space="preserve">The Company has not, during or since the reporting period, except to the extent permitted by law, indemnified or agreed to indemnify any current or former officer or auditor of SEC Victoria against a liability incurred. </w:t>
      </w:r>
    </w:p>
    <w:p w14:paraId="0C97A746" w14:textId="77777777" w:rsidR="008D0DAB" w:rsidRDefault="008D0DAB" w:rsidP="008D0DAB">
      <w:pPr>
        <w:pStyle w:val="Heading2"/>
      </w:pPr>
      <w:r>
        <w:t xml:space="preserve">Non-audit services </w:t>
      </w:r>
    </w:p>
    <w:p w14:paraId="30F8D7EF" w14:textId="77777777" w:rsidR="008D0DAB" w:rsidRDefault="008D0DAB" w:rsidP="008D0DAB">
      <w:r w:rsidRPr="00536BBE">
        <w:t xml:space="preserve">The Victorian Auditor-General’s Office has not performed any services for the Company other than the audit of the annual financial report. </w:t>
      </w:r>
    </w:p>
    <w:p w14:paraId="5580CBCE" w14:textId="77777777" w:rsidR="008D0DAB" w:rsidRDefault="008D0DAB" w:rsidP="008D0DAB">
      <w:pPr>
        <w:pStyle w:val="Heading2"/>
      </w:pPr>
      <w:r>
        <w:t xml:space="preserve">Proceedings on behalf of the Company </w:t>
      </w:r>
    </w:p>
    <w:p w14:paraId="491791D3" w14:textId="77777777" w:rsidR="008D0DAB" w:rsidRDefault="008D0DAB" w:rsidP="008D0DAB">
      <w:r w:rsidRPr="00536BBE">
        <w:t xml:space="preserve">No person has applied to the Court under Section 237 of the </w:t>
      </w:r>
      <w:r w:rsidRPr="00303057">
        <w:rPr>
          <w:i/>
          <w:iCs/>
        </w:rPr>
        <w:t>Corporations Act 2001</w:t>
      </w:r>
      <w:r w:rsidRPr="00536BBE">
        <w:t xml:space="preserve"> for leave to bring proceedings on behalf of the Company, or to intervene in any proceedings to which the Company is a party, for the purpose of taking responsibility on behalf of the Company for all or part of those proceedings. </w:t>
      </w:r>
    </w:p>
    <w:p w14:paraId="28422C63" w14:textId="77777777" w:rsidR="008D0DAB" w:rsidRDefault="008D0DAB" w:rsidP="008D0DAB">
      <w:pPr>
        <w:pStyle w:val="Heading2"/>
      </w:pPr>
      <w:r>
        <w:t xml:space="preserve">Auditor’s independence declaration </w:t>
      </w:r>
    </w:p>
    <w:p w14:paraId="0DAD988D" w14:textId="3B41DE73" w:rsidR="008D0DAB" w:rsidRDefault="008D0DAB" w:rsidP="00E945C0">
      <w:pPr>
        <w:tabs>
          <w:tab w:val="left" w:pos="284"/>
        </w:tabs>
      </w:pPr>
      <w:r w:rsidRPr="00536BBE">
        <w:t>The auditor’s independence declaration i</w:t>
      </w:r>
      <w:r w:rsidRPr="0053602E">
        <w:t xml:space="preserve">s set out in page </w:t>
      </w:r>
      <w:r w:rsidR="00027384" w:rsidRPr="00AA3AC5">
        <w:fldChar w:fldCharType="begin"/>
      </w:r>
      <w:r w:rsidR="00027384" w:rsidRPr="00AA3AC5">
        <w:instrText xml:space="preserve"> PAGEREF _Ref208418273 \h </w:instrText>
      </w:r>
      <w:r w:rsidR="00027384" w:rsidRPr="00AA3AC5">
        <w:fldChar w:fldCharType="separate"/>
      </w:r>
      <w:r w:rsidR="00BC7653">
        <w:rPr>
          <w:noProof/>
        </w:rPr>
        <w:t>103</w:t>
      </w:r>
      <w:r w:rsidR="00027384" w:rsidRPr="00AA3AC5">
        <w:fldChar w:fldCharType="end"/>
      </w:r>
      <w:r w:rsidRPr="00017DD9">
        <w:t xml:space="preserve"> of this report and forms part of the financial report for the reporting period.</w:t>
      </w:r>
      <w:r w:rsidRPr="00536BBE">
        <w:t xml:space="preserve"> </w:t>
      </w:r>
    </w:p>
    <w:p w14:paraId="57C210BE" w14:textId="77777777" w:rsidR="008D0DAB" w:rsidRDefault="008D0DAB" w:rsidP="008D0DAB">
      <w:pPr>
        <w:pStyle w:val="Heading2"/>
      </w:pPr>
      <w:r>
        <w:t xml:space="preserve">Rounding of amounts </w:t>
      </w:r>
    </w:p>
    <w:p w14:paraId="4B0939B7" w14:textId="062E1BFE" w:rsidR="008D0DAB" w:rsidRDefault="008D0DAB" w:rsidP="008D0DAB">
      <w:r>
        <w:t xml:space="preserve">In accordance with Financial Reporting Direction 30, relating to the ‘rounding off’ of amounts in the financial statements. Amounts in the </w:t>
      </w:r>
      <w:r w:rsidR="6AB8B4CD">
        <w:t>D</w:t>
      </w:r>
      <w:r>
        <w:t xml:space="preserve">irectors’ report and financial statements have been rounded off in accordance with the instrument to the nearest thousand dollars, or in certain cases, to the nearest dollar. </w:t>
      </w:r>
    </w:p>
    <w:p w14:paraId="3BF80283" w14:textId="155229B3" w:rsidR="008D0DAB" w:rsidRDefault="008D0DAB" w:rsidP="008D0DAB">
      <w:r>
        <w:t xml:space="preserve">This Directors’ </w:t>
      </w:r>
      <w:r w:rsidR="1F53B15B">
        <w:t>r</w:t>
      </w:r>
      <w:r>
        <w:t>eport is made in accordance with a resolution of the directors.</w:t>
      </w:r>
    </w:p>
    <w:p w14:paraId="34853E0C" w14:textId="77777777" w:rsidR="008D0DAB" w:rsidRDefault="008D0DAB" w:rsidP="008D0DAB"/>
    <w:p w14:paraId="76AA1FC2" w14:textId="77777777" w:rsidR="008D0DAB" w:rsidRDefault="008D0DAB" w:rsidP="008D0DAB"/>
    <w:p w14:paraId="1B773E12" w14:textId="5EC4F43D" w:rsidR="008D0DAB" w:rsidRPr="00017DD9" w:rsidRDefault="008D0DAB" w:rsidP="008D0DAB">
      <w:r w:rsidRPr="00CF6E15">
        <w:t>Simon Corbell</w:t>
      </w:r>
      <w:r w:rsidR="00017DD9">
        <w:br/>
      </w:r>
      <w:r w:rsidRPr="00017DD9">
        <w:t xml:space="preserve">Board Chair, SEC </w:t>
      </w:r>
    </w:p>
    <w:p w14:paraId="6BC81DCC" w14:textId="44DAB6D4" w:rsidR="007258C0" w:rsidRDefault="0008756E" w:rsidP="008D0DAB">
      <w:r w:rsidRPr="00AA3AC5">
        <w:t xml:space="preserve">6 </w:t>
      </w:r>
      <w:r w:rsidR="008D0DAB" w:rsidRPr="00AA3AC5">
        <w:t>October 2025</w:t>
      </w:r>
    </w:p>
    <w:p w14:paraId="4894EF03" w14:textId="27EDE071" w:rsidR="008D0DAB" w:rsidRDefault="008D0DAB" w:rsidP="008D0DAB">
      <w:r>
        <w:br w:type="page"/>
      </w:r>
    </w:p>
    <w:p w14:paraId="14A221F4" w14:textId="1B3C61A4" w:rsidR="008D0DAB" w:rsidRPr="004246CD" w:rsidRDefault="008D0DAB" w:rsidP="00B254AC">
      <w:pPr>
        <w:pStyle w:val="Heading1"/>
      </w:pPr>
      <w:bookmarkStart w:id="529" w:name="_Ref208418273"/>
      <w:bookmarkStart w:id="530" w:name="_Toc209080409"/>
      <w:bookmarkStart w:id="531" w:name="_Toc209703979"/>
      <w:bookmarkStart w:id="532" w:name="_Toc209704032"/>
      <w:bookmarkStart w:id="533" w:name="_Toc209704085"/>
      <w:r>
        <w:t xml:space="preserve">Auditors’ </w:t>
      </w:r>
      <w:r w:rsidR="31CBA7CA">
        <w:t>i</w:t>
      </w:r>
      <w:r>
        <w:t>ndependence declaration</w:t>
      </w:r>
      <w:bookmarkEnd w:id="529"/>
      <w:bookmarkEnd w:id="530"/>
      <w:bookmarkEnd w:id="531"/>
      <w:bookmarkEnd w:id="532"/>
      <w:bookmarkEnd w:id="533"/>
    </w:p>
    <w:p w14:paraId="2AFD5BA5" w14:textId="77777777" w:rsidR="008D0DAB" w:rsidRPr="00F65403" w:rsidRDefault="008D0DAB" w:rsidP="008D0DAB">
      <w:pPr>
        <w:pStyle w:val="BodyText"/>
        <w:spacing w:before="154"/>
        <w:ind w:left="444"/>
        <w:rPr>
          <w:color w:val="39004E"/>
          <w:w w:val="105"/>
          <w:lang w:val="en-AU"/>
        </w:rPr>
      </w:pPr>
    </w:p>
    <w:p w14:paraId="54B17FCA" w14:textId="43F0C24A" w:rsidR="008D0DAB" w:rsidRPr="00F65403" w:rsidRDefault="000922B1" w:rsidP="00AA3AC5">
      <w:pPr>
        <w:pStyle w:val="BodyText"/>
        <w:spacing w:before="154"/>
        <w:ind w:left="444"/>
        <w:rPr>
          <w:color w:val="39004E"/>
          <w:w w:val="105"/>
          <w:lang w:val="en-AU"/>
        </w:rPr>
      </w:pPr>
      <w:r w:rsidRPr="000922B1">
        <w:rPr>
          <w:noProof/>
          <w:color w:val="39004E"/>
          <w:w w:val="105"/>
          <w:lang w:val="en-AU"/>
        </w:rPr>
        <w:drawing>
          <wp:inline distT="0" distB="0" distL="0" distR="0" wp14:anchorId="065A5C57" wp14:editId="64DE0477">
            <wp:extent cx="5458735" cy="5257800"/>
            <wp:effectExtent l="0" t="0" r="8890" b="0"/>
            <wp:docPr id="42928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83856" name=""/>
                    <pic:cNvPicPr/>
                  </pic:nvPicPr>
                  <pic:blipFill>
                    <a:blip r:embed="rId16"/>
                    <a:stretch>
                      <a:fillRect/>
                    </a:stretch>
                  </pic:blipFill>
                  <pic:spPr>
                    <a:xfrm>
                      <a:off x="0" y="0"/>
                      <a:ext cx="5463542" cy="5262430"/>
                    </a:xfrm>
                    <a:prstGeom prst="rect">
                      <a:avLst/>
                    </a:prstGeom>
                  </pic:spPr>
                </pic:pic>
              </a:graphicData>
            </a:graphic>
          </wp:inline>
        </w:drawing>
      </w:r>
    </w:p>
    <w:p w14:paraId="388040B9" w14:textId="77777777" w:rsidR="008D0DAB" w:rsidRPr="00F65403" w:rsidRDefault="008D0DAB" w:rsidP="008D0DAB">
      <w:pPr>
        <w:pStyle w:val="BodyText"/>
        <w:spacing w:before="154"/>
        <w:ind w:left="444"/>
        <w:rPr>
          <w:color w:val="39004E"/>
          <w:w w:val="105"/>
          <w:lang w:val="en-AU"/>
        </w:rPr>
      </w:pPr>
    </w:p>
    <w:p w14:paraId="2B3FD8F8" w14:textId="77777777" w:rsidR="008D0DAB" w:rsidRDefault="008D0DAB" w:rsidP="008D0DAB">
      <w:pPr>
        <w:rPr>
          <w:sz w:val="32"/>
          <w:szCs w:val="32"/>
        </w:rPr>
      </w:pPr>
      <w:r>
        <w:rPr>
          <w:sz w:val="32"/>
          <w:szCs w:val="32"/>
        </w:rPr>
        <w:br w:type="page"/>
      </w:r>
    </w:p>
    <w:p w14:paraId="4B735AD0" w14:textId="77777777" w:rsidR="008D0DAB" w:rsidRPr="004246CD" w:rsidRDefault="008D0DAB" w:rsidP="00B254AC">
      <w:pPr>
        <w:pStyle w:val="Heading1"/>
      </w:pPr>
      <w:bookmarkStart w:id="534" w:name="_Toc209080410"/>
      <w:bookmarkStart w:id="535" w:name="_Toc209703980"/>
      <w:bookmarkStart w:id="536" w:name="_Toc209704033"/>
      <w:bookmarkStart w:id="537" w:name="_Toc209704086"/>
      <w:r w:rsidRPr="004246CD">
        <w:t>Audit report</w:t>
      </w:r>
      <w:bookmarkEnd w:id="534"/>
      <w:bookmarkEnd w:id="535"/>
      <w:bookmarkEnd w:id="536"/>
      <w:bookmarkEnd w:id="537"/>
    </w:p>
    <w:p w14:paraId="21A398F4" w14:textId="7338C790" w:rsidR="007258C0" w:rsidRDefault="005302C2" w:rsidP="008D0DAB">
      <w:pPr>
        <w:rPr>
          <w:sz w:val="32"/>
          <w:szCs w:val="32"/>
        </w:rPr>
      </w:pPr>
      <w:r w:rsidRPr="005302C2">
        <w:rPr>
          <w:noProof/>
          <w:sz w:val="32"/>
          <w:szCs w:val="32"/>
        </w:rPr>
        <w:drawing>
          <wp:inline distT="0" distB="0" distL="0" distR="0" wp14:anchorId="644CDF83" wp14:editId="15E6A078">
            <wp:extent cx="5671457" cy="8333124"/>
            <wp:effectExtent l="0" t="0" r="5715" b="0"/>
            <wp:docPr id="18575312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124" name="Picture 1" descr="A screenshot of a document&#10;&#10;AI-generated content may be incorrect."/>
                    <pic:cNvPicPr/>
                  </pic:nvPicPr>
                  <pic:blipFill>
                    <a:blip r:embed="rId17"/>
                    <a:stretch>
                      <a:fillRect/>
                    </a:stretch>
                  </pic:blipFill>
                  <pic:spPr>
                    <a:xfrm>
                      <a:off x="0" y="0"/>
                      <a:ext cx="5672687" cy="8334931"/>
                    </a:xfrm>
                    <a:prstGeom prst="rect">
                      <a:avLst/>
                    </a:prstGeom>
                  </pic:spPr>
                </pic:pic>
              </a:graphicData>
            </a:graphic>
          </wp:inline>
        </w:drawing>
      </w:r>
    </w:p>
    <w:p w14:paraId="236FCAA9" w14:textId="073EF7B3" w:rsidR="008D0DAB" w:rsidRDefault="008B3713" w:rsidP="008D0DAB">
      <w:pPr>
        <w:rPr>
          <w:sz w:val="32"/>
          <w:szCs w:val="32"/>
        </w:rPr>
      </w:pPr>
      <w:r w:rsidRPr="008B3713">
        <w:rPr>
          <w:noProof/>
          <w:sz w:val="32"/>
          <w:szCs w:val="32"/>
        </w:rPr>
        <w:drawing>
          <wp:inline distT="0" distB="0" distL="0" distR="0" wp14:anchorId="15B1343E" wp14:editId="76A70D05">
            <wp:extent cx="5693229" cy="7935796"/>
            <wp:effectExtent l="0" t="0" r="3175" b="8255"/>
            <wp:docPr id="1923195527"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95527" name="Picture 1" descr="A close up of a document&#10;&#10;AI-generated content may be incorrect."/>
                    <pic:cNvPicPr/>
                  </pic:nvPicPr>
                  <pic:blipFill>
                    <a:blip r:embed="rId18"/>
                    <a:stretch>
                      <a:fillRect/>
                    </a:stretch>
                  </pic:blipFill>
                  <pic:spPr>
                    <a:xfrm>
                      <a:off x="0" y="0"/>
                      <a:ext cx="5698250" cy="7942795"/>
                    </a:xfrm>
                    <a:prstGeom prst="rect">
                      <a:avLst/>
                    </a:prstGeom>
                  </pic:spPr>
                </pic:pic>
              </a:graphicData>
            </a:graphic>
          </wp:inline>
        </w:drawing>
      </w:r>
      <w:r w:rsidR="008D0DAB">
        <w:rPr>
          <w:sz w:val="32"/>
          <w:szCs w:val="32"/>
        </w:rPr>
        <w:br w:type="page"/>
      </w:r>
    </w:p>
    <w:p w14:paraId="712BB09E" w14:textId="10377081" w:rsidR="008D0DAB" w:rsidRDefault="008D0DAB" w:rsidP="008D0DAB">
      <w:pPr>
        <w:rPr>
          <w:sz w:val="32"/>
          <w:szCs w:val="32"/>
        </w:rPr>
      </w:pPr>
    </w:p>
    <w:p w14:paraId="34238E51" w14:textId="77777777" w:rsidR="008D0DAB" w:rsidRPr="00F96FA2" w:rsidRDefault="008D0DAB" w:rsidP="00B254AC">
      <w:pPr>
        <w:pStyle w:val="Heading1"/>
      </w:pPr>
      <w:bookmarkStart w:id="538" w:name="_Toc209080411"/>
      <w:bookmarkStart w:id="539" w:name="_Toc209703981"/>
      <w:bookmarkStart w:id="540" w:name="_Toc209704034"/>
      <w:bookmarkStart w:id="541" w:name="_Toc209704087"/>
      <w:r w:rsidRPr="00F96FA2">
        <w:t xml:space="preserve">Consolidated statement of profit or loss and </w:t>
      </w:r>
      <w:r>
        <w:t xml:space="preserve">other </w:t>
      </w:r>
      <w:r w:rsidRPr="00F96FA2">
        <w:t>comprehensive income </w:t>
      </w:r>
      <w:bookmarkEnd w:id="538"/>
      <w:bookmarkEnd w:id="539"/>
      <w:bookmarkEnd w:id="540"/>
      <w:bookmarkEnd w:id="541"/>
    </w:p>
    <w:p w14:paraId="53178913" w14:textId="77777777" w:rsidR="008D0DAB" w:rsidRDefault="008D0DAB" w:rsidP="008D0DAB">
      <w:pPr>
        <w:pStyle w:val="Heading3"/>
      </w:pPr>
      <w:r w:rsidRPr="00F65403">
        <w:t>For the year ended 30 June 202</w:t>
      </w:r>
      <w:r w:rsidRPr="00F96FA2">
        <w:t>5</w:t>
      </w:r>
    </w:p>
    <w:tbl>
      <w:tblPr>
        <w:tblW w:w="4878" w:type="pct"/>
        <w:tblLayout w:type="fixed"/>
        <w:tblCellMar>
          <w:top w:w="28" w:type="dxa"/>
          <w:left w:w="28" w:type="dxa"/>
          <w:bottom w:w="28" w:type="dxa"/>
          <w:right w:w="28" w:type="dxa"/>
        </w:tblCellMar>
        <w:tblLook w:val="04A0" w:firstRow="1" w:lastRow="0" w:firstColumn="1" w:lastColumn="0" w:noHBand="0" w:noVBand="1"/>
      </w:tblPr>
      <w:tblGrid>
        <w:gridCol w:w="5529"/>
        <w:gridCol w:w="889"/>
        <w:gridCol w:w="1194"/>
        <w:gridCol w:w="1194"/>
      </w:tblGrid>
      <w:tr w:rsidR="008D0DAB" w:rsidRPr="00F66D3F" w14:paraId="0039AFB0" w14:textId="77777777" w:rsidTr="413EB596">
        <w:tc>
          <w:tcPr>
            <w:tcW w:w="3139" w:type="pct"/>
            <w:tcBorders>
              <w:top w:val="nil"/>
              <w:left w:val="nil"/>
              <w:bottom w:val="nil"/>
              <w:right w:val="nil"/>
            </w:tcBorders>
            <w:noWrap/>
            <w:vAlign w:val="bottom"/>
            <w:hideMark/>
          </w:tcPr>
          <w:p w14:paraId="48F27AF7" w14:textId="77777777" w:rsidR="008D0DAB" w:rsidRPr="00FD5BEA" w:rsidRDefault="008D0DAB" w:rsidP="009B7B2A">
            <w:pPr>
              <w:spacing w:after="0" w:line="240" w:lineRule="auto"/>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19642023"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vAlign w:val="bottom"/>
            <w:hideMark/>
          </w:tcPr>
          <w:p w14:paraId="3131A05A" w14:textId="77777777" w:rsidR="008D0DAB" w:rsidRPr="00FD5BEA" w:rsidRDefault="008D0DAB" w:rsidP="009B7B2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Year ended</w:t>
            </w:r>
            <w:r>
              <w:rPr>
                <w:rFonts w:eastAsia="Times New Roman" w:cs="Arial"/>
                <w:b/>
                <w:bCs/>
                <w:color w:val="000000"/>
                <w:sz w:val="20"/>
                <w:szCs w:val="20"/>
                <w:lang w:eastAsia="en-AU"/>
              </w:rPr>
              <w:t xml:space="preserve"> 30 June 2025</w:t>
            </w:r>
          </w:p>
        </w:tc>
        <w:tc>
          <w:tcPr>
            <w:tcW w:w="678" w:type="pct"/>
            <w:tcBorders>
              <w:top w:val="nil"/>
              <w:left w:val="nil"/>
              <w:bottom w:val="nil"/>
              <w:right w:val="nil"/>
            </w:tcBorders>
            <w:vAlign w:val="bottom"/>
            <w:hideMark/>
          </w:tcPr>
          <w:p w14:paraId="57E17B07" w14:textId="71E9DED7" w:rsidR="008D0DAB" w:rsidRPr="00FD5BEA" w:rsidRDefault="008C4543" w:rsidP="009B7B2A">
            <w:pPr>
              <w:spacing w:after="0" w:line="240" w:lineRule="auto"/>
              <w:jc w:val="center"/>
              <w:rPr>
                <w:rFonts w:eastAsia="Times New Roman" w:cs="Arial"/>
                <w:b/>
                <w:color w:val="000000"/>
                <w:sz w:val="20"/>
                <w:szCs w:val="20"/>
                <w:lang w:eastAsia="en-AU"/>
              </w:rPr>
            </w:pPr>
            <w:r>
              <w:rPr>
                <w:rFonts w:eastAsia="Times New Roman" w:cs="Arial"/>
                <w:b/>
                <w:bCs/>
                <w:color w:val="000000"/>
                <w:sz w:val="20"/>
                <w:szCs w:val="20"/>
                <w:lang w:eastAsia="en-AU"/>
              </w:rPr>
              <w:t>26 October</w:t>
            </w:r>
            <w:r w:rsidR="008D0DAB" w:rsidRPr="00FD5BEA">
              <w:rPr>
                <w:rFonts w:eastAsia="Times New Roman" w:cs="Arial"/>
                <w:b/>
                <w:bCs/>
                <w:color w:val="000000"/>
                <w:sz w:val="20"/>
                <w:szCs w:val="20"/>
                <w:lang w:eastAsia="en-AU"/>
              </w:rPr>
              <w:t xml:space="preserve"> </w:t>
            </w:r>
            <w:r w:rsidR="008D0DAB">
              <w:rPr>
                <w:rFonts w:eastAsia="Times New Roman" w:cs="Arial"/>
                <w:b/>
                <w:bCs/>
                <w:color w:val="000000"/>
                <w:sz w:val="20"/>
                <w:szCs w:val="20"/>
                <w:lang w:eastAsia="en-AU"/>
              </w:rPr>
              <w:t>20</w:t>
            </w:r>
            <w:r w:rsidR="008D0DAB" w:rsidRPr="00FD5BEA">
              <w:rPr>
                <w:rFonts w:eastAsia="Times New Roman" w:cs="Arial"/>
                <w:b/>
                <w:bCs/>
                <w:color w:val="000000"/>
                <w:sz w:val="20"/>
                <w:szCs w:val="20"/>
                <w:lang w:eastAsia="en-AU"/>
              </w:rPr>
              <w:t>23</w:t>
            </w:r>
            <w:r w:rsidR="008D0DAB">
              <w:rPr>
                <w:rFonts w:eastAsia="Times New Roman" w:cs="Arial"/>
                <w:b/>
                <w:bCs/>
                <w:color w:val="000000"/>
                <w:sz w:val="20"/>
                <w:szCs w:val="20"/>
                <w:lang w:eastAsia="en-AU"/>
              </w:rPr>
              <w:t xml:space="preserve"> </w:t>
            </w:r>
            <w:r w:rsidR="008D0DAB" w:rsidRPr="00FD5BEA">
              <w:rPr>
                <w:rFonts w:eastAsia="Times New Roman" w:cs="Arial"/>
                <w:b/>
                <w:bCs/>
                <w:color w:val="000000"/>
                <w:sz w:val="20"/>
                <w:szCs w:val="20"/>
                <w:lang w:eastAsia="en-AU"/>
              </w:rPr>
              <w:t>to 30 Jun</w:t>
            </w:r>
            <w:r w:rsidR="008D0DAB">
              <w:rPr>
                <w:rFonts w:eastAsia="Times New Roman" w:cs="Arial"/>
                <w:b/>
                <w:bCs/>
                <w:color w:val="000000"/>
                <w:sz w:val="20"/>
                <w:szCs w:val="20"/>
                <w:lang w:eastAsia="en-AU"/>
              </w:rPr>
              <w:t>e</w:t>
            </w:r>
            <w:r w:rsidR="008D0DAB" w:rsidRPr="00FD5BEA">
              <w:rPr>
                <w:rFonts w:eastAsia="Times New Roman" w:cs="Arial"/>
                <w:b/>
                <w:bCs/>
                <w:color w:val="000000"/>
                <w:sz w:val="20"/>
                <w:szCs w:val="20"/>
                <w:lang w:eastAsia="en-AU"/>
              </w:rPr>
              <w:t xml:space="preserve"> </w:t>
            </w:r>
            <w:r w:rsidR="008D0DAB">
              <w:rPr>
                <w:rFonts w:eastAsia="Times New Roman" w:cs="Arial"/>
                <w:b/>
                <w:bCs/>
                <w:color w:val="000000"/>
                <w:sz w:val="20"/>
                <w:szCs w:val="20"/>
                <w:lang w:eastAsia="en-AU"/>
              </w:rPr>
              <w:t>20</w:t>
            </w:r>
            <w:r w:rsidR="008D0DAB" w:rsidRPr="00FD5BEA">
              <w:rPr>
                <w:rFonts w:eastAsia="Times New Roman" w:cs="Arial"/>
                <w:b/>
                <w:bCs/>
                <w:color w:val="000000"/>
                <w:sz w:val="20"/>
                <w:szCs w:val="20"/>
                <w:lang w:eastAsia="en-AU"/>
              </w:rPr>
              <w:t>24</w:t>
            </w:r>
          </w:p>
        </w:tc>
      </w:tr>
      <w:tr w:rsidR="008D0DAB" w:rsidRPr="00F66D3F" w14:paraId="40005FE6" w14:textId="77777777" w:rsidTr="413EB596">
        <w:tc>
          <w:tcPr>
            <w:tcW w:w="3139" w:type="pct"/>
            <w:tcBorders>
              <w:top w:val="nil"/>
              <w:left w:val="nil"/>
              <w:bottom w:val="nil"/>
              <w:right w:val="nil"/>
            </w:tcBorders>
            <w:noWrap/>
            <w:vAlign w:val="bottom"/>
            <w:hideMark/>
          </w:tcPr>
          <w:p w14:paraId="401594E1" w14:textId="77777777" w:rsidR="008D0DAB" w:rsidRPr="00FD5BEA" w:rsidRDefault="008D0DAB" w:rsidP="009B7B2A">
            <w:pPr>
              <w:spacing w:after="0" w:line="240" w:lineRule="auto"/>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16FD6072" w14:textId="77777777" w:rsidR="008D0DAB" w:rsidRPr="00FD5BEA" w:rsidRDefault="008D0DAB" w:rsidP="009B7B2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Note</w:t>
            </w:r>
          </w:p>
        </w:tc>
        <w:tc>
          <w:tcPr>
            <w:tcW w:w="678" w:type="pct"/>
            <w:tcBorders>
              <w:top w:val="nil"/>
              <w:left w:val="nil"/>
              <w:bottom w:val="nil"/>
              <w:right w:val="nil"/>
            </w:tcBorders>
            <w:noWrap/>
            <w:vAlign w:val="bottom"/>
            <w:hideMark/>
          </w:tcPr>
          <w:p w14:paraId="1169BC13" w14:textId="77777777" w:rsidR="008D0DAB" w:rsidRPr="00FD5BEA" w:rsidRDefault="008D0DAB" w:rsidP="009B7B2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$000's</w:t>
            </w:r>
          </w:p>
        </w:tc>
        <w:tc>
          <w:tcPr>
            <w:tcW w:w="678" w:type="pct"/>
            <w:tcBorders>
              <w:top w:val="nil"/>
              <w:left w:val="nil"/>
              <w:bottom w:val="nil"/>
              <w:right w:val="nil"/>
            </w:tcBorders>
            <w:noWrap/>
            <w:vAlign w:val="bottom"/>
            <w:hideMark/>
          </w:tcPr>
          <w:p w14:paraId="2060E365" w14:textId="77777777" w:rsidR="008D0DAB" w:rsidRPr="00FD5BEA" w:rsidRDefault="008D0DAB" w:rsidP="009B7B2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$000's</w:t>
            </w:r>
          </w:p>
        </w:tc>
      </w:tr>
      <w:tr w:rsidR="008D0DAB" w:rsidRPr="00F66D3F" w14:paraId="6866506C" w14:textId="77777777" w:rsidTr="413EB596">
        <w:tc>
          <w:tcPr>
            <w:tcW w:w="3139" w:type="pct"/>
            <w:tcBorders>
              <w:top w:val="nil"/>
              <w:left w:val="nil"/>
              <w:bottom w:val="nil"/>
              <w:right w:val="nil"/>
            </w:tcBorders>
            <w:noWrap/>
            <w:vAlign w:val="bottom"/>
            <w:hideMark/>
          </w:tcPr>
          <w:p w14:paraId="696BDBF6" w14:textId="77777777" w:rsidR="008D0DAB" w:rsidRPr="00FD5BEA" w:rsidRDefault="008D0DAB" w:rsidP="009B7B2A">
            <w:pPr>
              <w:spacing w:after="0" w:line="240" w:lineRule="auto"/>
              <w:rPr>
                <w:rFonts w:eastAsia="Times New Roman" w:cs="Arial"/>
                <w:sz w:val="20"/>
                <w:szCs w:val="20"/>
                <w:lang w:eastAsia="en-AU"/>
              </w:rPr>
            </w:pPr>
          </w:p>
        </w:tc>
        <w:tc>
          <w:tcPr>
            <w:tcW w:w="505" w:type="pct"/>
            <w:tcBorders>
              <w:top w:val="nil"/>
              <w:left w:val="nil"/>
              <w:bottom w:val="nil"/>
              <w:right w:val="nil"/>
            </w:tcBorders>
            <w:noWrap/>
            <w:vAlign w:val="bottom"/>
            <w:hideMark/>
          </w:tcPr>
          <w:p w14:paraId="69E24B4D" w14:textId="2EEA5F61"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296FA822" w14:textId="77777777" w:rsidR="008D0DAB" w:rsidRPr="00F65403" w:rsidRDefault="008D0DAB" w:rsidP="009B7B2A">
            <w:pPr>
              <w:tabs>
                <w:tab w:val="decimal" w:pos="921"/>
              </w:tabs>
              <w:spacing w:after="0" w:line="240" w:lineRule="auto"/>
              <w:rPr>
                <w:rFonts w:eastAsia="Times New Roman" w:cs="Arial"/>
                <w:sz w:val="20"/>
                <w:szCs w:val="20"/>
                <w:highlight w:val="yellow"/>
                <w:lang w:eastAsia="en-AU"/>
              </w:rPr>
            </w:pPr>
          </w:p>
        </w:tc>
        <w:tc>
          <w:tcPr>
            <w:tcW w:w="678" w:type="pct"/>
            <w:tcBorders>
              <w:top w:val="nil"/>
              <w:left w:val="nil"/>
              <w:bottom w:val="nil"/>
              <w:right w:val="nil"/>
            </w:tcBorders>
            <w:noWrap/>
            <w:vAlign w:val="bottom"/>
            <w:hideMark/>
          </w:tcPr>
          <w:p w14:paraId="3B91EE0E"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r>
      <w:tr w:rsidR="008D0DAB" w:rsidRPr="00F66D3F" w14:paraId="3CB28DE1" w14:textId="77777777" w:rsidTr="413EB596">
        <w:trPr>
          <w:trHeight w:val="300"/>
        </w:trPr>
        <w:tc>
          <w:tcPr>
            <w:tcW w:w="3139" w:type="pct"/>
            <w:tcBorders>
              <w:top w:val="nil"/>
              <w:left w:val="nil"/>
              <w:bottom w:val="nil"/>
              <w:right w:val="nil"/>
            </w:tcBorders>
            <w:noWrap/>
            <w:vAlign w:val="bottom"/>
            <w:hideMark/>
          </w:tcPr>
          <w:p w14:paraId="3828280F" w14:textId="77777777" w:rsidR="008D0DAB" w:rsidRPr="00FD5BEA"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Operating e</w:t>
            </w:r>
            <w:r w:rsidRPr="00FD5BEA">
              <w:rPr>
                <w:rFonts w:eastAsia="Times New Roman" w:cs="Arial"/>
                <w:color w:val="000000"/>
                <w:sz w:val="20"/>
                <w:szCs w:val="20"/>
                <w:lang w:eastAsia="en-AU"/>
              </w:rPr>
              <w:t>xpenses</w:t>
            </w:r>
          </w:p>
        </w:tc>
        <w:tc>
          <w:tcPr>
            <w:tcW w:w="505" w:type="pct"/>
            <w:tcBorders>
              <w:top w:val="nil"/>
              <w:left w:val="nil"/>
              <w:bottom w:val="nil"/>
              <w:right w:val="nil"/>
            </w:tcBorders>
            <w:noWrap/>
            <w:vAlign w:val="bottom"/>
            <w:hideMark/>
          </w:tcPr>
          <w:p w14:paraId="7795A5B5" w14:textId="77777777" w:rsidR="008D0DAB" w:rsidRPr="00FD5BEA" w:rsidRDefault="008D0DAB" w:rsidP="009B7B2A">
            <w:pPr>
              <w:spacing w:after="0" w:line="240" w:lineRule="auto"/>
              <w:jc w:val="center"/>
              <w:rPr>
                <w:rFonts w:eastAsia="Times New Roman" w:cs="Arial"/>
                <w:color w:val="000000"/>
                <w:sz w:val="20"/>
                <w:szCs w:val="20"/>
                <w:lang w:eastAsia="en-AU"/>
              </w:rPr>
            </w:pPr>
          </w:p>
        </w:tc>
        <w:tc>
          <w:tcPr>
            <w:tcW w:w="678" w:type="pct"/>
            <w:tcBorders>
              <w:top w:val="nil"/>
              <w:left w:val="nil"/>
              <w:right w:val="nil"/>
            </w:tcBorders>
            <w:noWrap/>
            <w:vAlign w:val="bottom"/>
            <w:hideMark/>
          </w:tcPr>
          <w:p w14:paraId="4302FDED"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w:t>
            </w:r>
            <w:r>
              <w:rPr>
                <w:sz w:val="20"/>
                <w:szCs w:val="20"/>
              </w:rPr>
              <w:t>66</w:t>
            </w:r>
            <w:r w:rsidRPr="00BD5C2A">
              <w:rPr>
                <w:sz w:val="20"/>
                <w:szCs w:val="20"/>
              </w:rPr>
              <w:t>)</w:t>
            </w:r>
          </w:p>
        </w:tc>
        <w:tc>
          <w:tcPr>
            <w:tcW w:w="678" w:type="pct"/>
            <w:tcBorders>
              <w:top w:val="nil"/>
              <w:left w:val="nil"/>
              <w:right w:val="nil"/>
            </w:tcBorders>
            <w:noWrap/>
            <w:vAlign w:val="bottom"/>
            <w:hideMark/>
          </w:tcPr>
          <w:p w14:paraId="64D43999"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p>
        </w:tc>
      </w:tr>
      <w:tr w:rsidR="008D0DAB" w:rsidRPr="00F66D3F" w14:paraId="04735A32" w14:textId="77777777" w:rsidTr="413EB596">
        <w:trPr>
          <w:trHeight w:val="300"/>
        </w:trPr>
        <w:tc>
          <w:tcPr>
            <w:tcW w:w="3139" w:type="pct"/>
            <w:tcBorders>
              <w:top w:val="nil"/>
              <w:left w:val="nil"/>
              <w:bottom w:val="nil"/>
              <w:right w:val="nil"/>
            </w:tcBorders>
            <w:vAlign w:val="bottom"/>
          </w:tcPr>
          <w:p w14:paraId="28F9CEC6" w14:textId="6C724D69" w:rsidR="008D0DAB" w:rsidRPr="00FD5BEA"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Unrealised foreign currency gain</w:t>
            </w:r>
          </w:p>
        </w:tc>
        <w:tc>
          <w:tcPr>
            <w:tcW w:w="505" w:type="pct"/>
            <w:tcBorders>
              <w:top w:val="nil"/>
              <w:left w:val="nil"/>
              <w:bottom w:val="nil"/>
              <w:right w:val="nil"/>
            </w:tcBorders>
            <w:noWrap/>
            <w:vAlign w:val="bottom"/>
          </w:tcPr>
          <w:p w14:paraId="127E5A33" w14:textId="77777777" w:rsidR="008D0DAB" w:rsidRPr="00FD5BEA" w:rsidRDefault="008D0DAB" w:rsidP="009B7B2A">
            <w:pPr>
              <w:spacing w:after="0" w:line="240" w:lineRule="auto"/>
              <w:jc w:val="center"/>
              <w:rPr>
                <w:rFonts w:eastAsia="Times New Roman" w:cs="Arial"/>
                <w:color w:val="000000"/>
                <w:sz w:val="20"/>
                <w:szCs w:val="20"/>
                <w:lang w:eastAsia="en-AU"/>
              </w:rPr>
            </w:pPr>
          </w:p>
        </w:tc>
        <w:tc>
          <w:tcPr>
            <w:tcW w:w="678" w:type="pct"/>
            <w:tcBorders>
              <w:top w:val="nil"/>
              <w:left w:val="nil"/>
              <w:right w:val="nil"/>
            </w:tcBorders>
            <w:noWrap/>
            <w:vAlign w:val="bottom"/>
          </w:tcPr>
          <w:p w14:paraId="145708F5" w14:textId="77777777" w:rsidR="008D0DAB" w:rsidRPr="00BD5C2A" w:rsidRDefault="008D0DAB" w:rsidP="009B7B2A">
            <w:pPr>
              <w:tabs>
                <w:tab w:val="decimal" w:pos="921"/>
              </w:tabs>
              <w:spacing w:after="0" w:line="240" w:lineRule="auto"/>
              <w:rPr>
                <w:sz w:val="20"/>
                <w:szCs w:val="20"/>
              </w:rPr>
            </w:pPr>
            <w:r>
              <w:rPr>
                <w:sz w:val="20"/>
                <w:szCs w:val="20"/>
              </w:rPr>
              <w:t>367</w:t>
            </w:r>
          </w:p>
        </w:tc>
        <w:tc>
          <w:tcPr>
            <w:tcW w:w="678" w:type="pct"/>
            <w:tcBorders>
              <w:top w:val="nil"/>
              <w:left w:val="nil"/>
              <w:right w:val="nil"/>
            </w:tcBorders>
            <w:noWrap/>
            <w:vAlign w:val="bottom"/>
          </w:tcPr>
          <w:p w14:paraId="69FF5BD8"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F66D3F" w14:paraId="6FCED990" w14:textId="77777777" w:rsidTr="413EB596">
        <w:trPr>
          <w:trHeight w:val="300"/>
        </w:trPr>
        <w:tc>
          <w:tcPr>
            <w:tcW w:w="3139" w:type="pct"/>
            <w:tcBorders>
              <w:top w:val="nil"/>
              <w:left w:val="nil"/>
              <w:bottom w:val="nil"/>
              <w:right w:val="nil"/>
            </w:tcBorders>
            <w:vAlign w:val="bottom"/>
            <w:hideMark/>
          </w:tcPr>
          <w:p w14:paraId="5857D2C8" w14:textId="77777777" w:rsidR="008D0DAB" w:rsidRPr="00FD5BEA" w:rsidRDefault="008D0DAB" w:rsidP="009B7B2A">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Results of equity accounted investees</w:t>
            </w:r>
          </w:p>
        </w:tc>
        <w:tc>
          <w:tcPr>
            <w:tcW w:w="505" w:type="pct"/>
            <w:tcBorders>
              <w:top w:val="nil"/>
              <w:left w:val="nil"/>
              <w:bottom w:val="nil"/>
              <w:right w:val="nil"/>
            </w:tcBorders>
            <w:noWrap/>
            <w:vAlign w:val="bottom"/>
            <w:hideMark/>
          </w:tcPr>
          <w:p w14:paraId="3C3E1959" w14:textId="77777777" w:rsidR="008D0DAB" w:rsidRPr="00FD5BEA"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14</w:t>
            </w:r>
          </w:p>
        </w:tc>
        <w:tc>
          <w:tcPr>
            <w:tcW w:w="678" w:type="pct"/>
            <w:tcBorders>
              <w:left w:val="nil"/>
              <w:bottom w:val="single" w:sz="4" w:space="0" w:color="auto"/>
              <w:right w:val="nil"/>
            </w:tcBorders>
            <w:noWrap/>
            <w:vAlign w:val="bottom"/>
            <w:hideMark/>
          </w:tcPr>
          <w:p w14:paraId="355F4B3E"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w:t>
            </w:r>
            <w:r>
              <w:rPr>
                <w:sz w:val="20"/>
                <w:szCs w:val="20"/>
              </w:rPr>
              <w:t>7,779</w:t>
            </w:r>
            <w:r w:rsidRPr="00BD5C2A">
              <w:rPr>
                <w:sz w:val="20"/>
                <w:szCs w:val="20"/>
              </w:rPr>
              <w:t>)</w:t>
            </w:r>
          </w:p>
        </w:tc>
        <w:tc>
          <w:tcPr>
            <w:tcW w:w="678" w:type="pct"/>
            <w:tcBorders>
              <w:left w:val="nil"/>
              <w:bottom w:val="single" w:sz="4" w:space="0" w:color="auto"/>
              <w:right w:val="nil"/>
            </w:tcBorders>
            <w:noWrap/>
            <w:vAlign w:val="bottom"/>
            <w:hideMark/>
          </w:tcPr>
          <w:p w14:paraId="23D6502F"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0B5FD7">
              <w:rPr>
                <w:rFonts w:eastAsia="Times New Roman" w:cs="Arial"/>
                <w:color w:val="000000"/>
                <w:sz w:val="20"/>
                <w:szCs w:val="20"/>
                <w:lang w:eastAsia="en-AU"/>
              </w:rPr>
              <w:t>(5,409)</w:t>
            </w:r>
          </w:p>
        </w:tc>
      </w:tr>
      <w:tr w:rsidR="008D0DAB" w:rsidRPr="00FD5BEA" w14:paraId="74A4BEBF" w14:textId="77777777" w:rsidTr="413EB596">
        <w:trPr>
          <w:trHeight w:val="300"/>
        </w:trPr>
        <w:tc>
          <w:tcPr>
            <w:tcW w:w="3139" w:type="pct"/>
            <w:tcBorders>
              <w:top w:val="nil"/>
              <w:left w:val="nil"/>
              <w:bottom w:val="nil"/>
              <w:right w:val="nil"/>
            </w:tcBorders>
            <w:vAlign w:val="bottom"/>
            <w:hideMark/>
          </w:tcPr>
          <w:p w14:paraId="6D7D55E2" w14:textId="301336CF" w:rsidR="008D0DAB" w:rsidRPr="00B94E93" w:rsidRDefault="008D0DAB" w:rsidP="009B7B2A">
            <w:pPr>
              <w:spacing w:after="0" w:line="240" w:lineRule="auto"/>
              <w:rPr>
                <w:rFonts w:eastAsia="Times New Roman" w:cs="Arial"/>
                <w:b/>
                <w:bCs/>
                <w:color w:val="000000"/>
                <w:sz w:val="20"/>
                <w:szCs w:val="20"/>
                <w:lang w:eastAsia="en-AU"/>
              </w:rPr>
            </w:pPr>
            <w:r w:rsidRPr="00B94E93">
              <w:rPr>
                <w:rFonts w:eastAsia="Times New Roman" w:cs="Arial"/>
                <w:b/>
                <w:bCs/>
                <w:color w:val="000000"/>
                <w:sz w:val="20"/>
                <w:szCs w:val="20"/>
                <w:lang w:eastAsia="en-AU"/>
              </w:rPr>
              <w:t>Operating loss</w:t>
            </w:r>
            <w:r>
              <w:rPr>
                <w:rFonts w:eastAsia="Times New Roman" w:cs="Arial"/>
                <w:b/>
                <w:bCs/>
                <w:color w:val="000000"/>
                <w:sz w:val="20"/>
                <w:szCs w:val="20"/>
                <w:lang w:eastAsia="en-AU"/>
              </w:rPr>
              <w:t xml:space="preserve"> before depreciation and amortisation and net financing costs</w:t>
            </w:r>
          </w:p>
        </w:tc>
        <w:tc>
          <w:tcPr>
            <w:tcW w:w="505" w:type="pct"/>
            <w:tcBorders>
              <w:top w:val="nil"/>
              <w:left w:val="nil"/>
              <w:bottom w:val="nil"/>
              <w:right w:val="nil"/>
            </w:tcBorders>
            <w:noWrap/>
            <w:vAlign w:val="bottom"/>
            <w:hideMark/>
          </w:tcPr>
          <w:p w14:paraId="7C54A094" w14:textId="77777777" w:rsidR="008D0DAB" w:rsidRPr="00B94E93" w:rsidRDefault="008D0DAB" w:rsidP="009B7B2A">
            <w:pPr>
              <w:spacing w:after="0" w:line="240" w:lineRule="auto"/>
              <w:jc w:val="center"/>
              <w:rPr>
                <w:rFonts w:eastAsia="Times New Roman" w:cs="Arial"/>
                <w:b/>
                <w:bCs/>
                <w:color w:val="000000"/>
                <w:sz w:val="20"/>
                <w:szCs w:val="20"/>
                <w:lang w:eastAsia="en-AU"/>
              </w:rPr>
            </w:pPr>
          </w:p>
        </w:tc>
        <w:tc>
          <w:tcPr>
            <w:tcW w:w="678" w:type="pct"/>
            <w:tcBorders>
              <w:top w:val="single" w:sz="4" w:space="0" w:color="auto"/>
              <w:left w:val="nil"/>
              <w:right w:val="nil"/>
            </w:tcBorders>
            <w:noWrap/>
            <w:vAlign w:val="bottom"/>
            <w:hideMark/>
          </w:tcPr>
          <w:p w14:paraId="55A15A1B"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sidRPr="00BD5C2A">
              <w:rPr>
                <w:b/>
                <w:bCs/>
                <w:sz w:val="20"/>
                <w:szCs w:val="20"/>
              </w:rPr>
              <w:t>(</w:t>
            </w:r>
            <w:r>
              <w:rPr>
                <w:b/>
                <w:bCs/>
                <w:sz w:val="20"/>
                <w:szCs w:val="20"/>
              </w:rPr>
              <w:t>7,478</w:t>
            </w:r>
            <w:r w:rsidRPr="00BD5C2A">
              <w:rPr>
                <w:b/>
                <w:bCs/>
                <w:sz w:val="20"/>
                <w:szCs w:val="20"/>
              </w:rPr>
              <w:t>)</w:t>
            </w:r>
          </w:p>
        </w:tc>
        <w:tc>
          <w:tcPr>
            <w:tcW w:w="678" w:type="pct"/>
            <w:tcBorders>
              <w:top w:val="single" w:sz="4" w:space="0" w:color="auto"/>
              <w:left w:val="nil"/>
              <w:right w:val="nil"/>
            </w:tcBorders>
            <w:noWrap/>
            <w:vAlign w:val="bottom"/>
            <w:hideMark/>
          </w:tcPr>
          <w:p w14:paraId="2A0A9FE4"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(5,439)</w:t>
            </w:r>
          </w:p>
        </w:tc>
      </w:tr>
      <w:tr w:rsidR="008D0DAB" w:rsidRPr="00FD5BEA" w14:paraId="47CE028A" w14:textId="77777777" w:rsidTr="413EB596">
        <w:trPr>
          <w:trHeight w:val="300"/>
        </w:trPr>
        <w:tc>
          <w:tcPr>
            <w:tcW w:w="3139" w:type="pct"/>
            <w:tcBorders>
              <w:top w:val="nil"/>
              <w:left w:val="nil"/>
              <w:bottom w:val="nil"/>
              <w:right w:val="nil"/>
            </w:tcBorders>
            <w:vAlign w:val="bottom"/>
          </w:tcPr>
          <w:p w14:paraId="6F36AC2E" w14:textId="77777777" w:rsidR="008D0DAB" w:rsidRPr="00D24E6A"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Depreciation and amortisation</w:t>
            </w:r>
          </w:p>
        </w:tc>
        <w:tc>
          <w:tcPr>
            <w:tcW w:w="505" w:type="pct"/>
            <w:tcBorders>
              <w:top w:val="nil"/>
              <w:left w:val="nil"/>
              <w:bottom w:val="nil"/>
              <w:right w:val="nil"/>
            </w:tcBorders>
            <w:noWrap/>
            <w:vAlign w:val="bottom"/>
          </w:tcPr>
          <w:p w14:paraId="1F785839" w14:textId="77777777" w:rsidR="008D0DAB" w:rsidRPr="00D24E6A" w:rsidRDefault="008D0DAB" w:rsidP="009B7B2A">
            <w:pPr>
              <w:spacing w:after="0" w:line="240" w:lineRule="auto"/>
              <w:jc w:val="center"/>
              <w:rPr>
                <w:rFonts w:eastAsia="Times New Roman" w:cs="Arial"/>
                <w:color w:val="000000"/>
                <w:sz w:val="20"/>
                <w:szCs w:val="20"/>
                <w:lang w:eastAsia="en-AU"/>
              </w:rPr>
            </w:pPr>
          </w:p>
        </w:tc>
        <w:tc>
          <w:tcPr>
            <w:tcW w:w="678" w:type="pct"/>
            <w:tcBorders>
              <w:top w:val="nil"/>
              <w:left w:val="nil"/>
              <w:bottom w:val="single" w:sz="4" w:space="0" w:color="auto"/>
              <w:right w:val="nil"/>
            </w:tcBorders>
            <w:noWrap/>
            <w:vAlign w:val="bottom"/>
          </w:tcPr>
          <w:p w14:paraId="66DD51C1"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w:t>
            </w:r>
            <w:r>
              <w:rPr>
                <w:sz w:val="20"/>
                <w:szCs w:val="20"/>
              </w:rPr>
              <w:t>120</w:t>
            </w:r>
            <w:r w:rsidRPr="00BD5C2A">
              <w:rPr>
                <w:sz w:val="20"/>
                <w:szCs w:val="20"/>
              </w:rPr>
              <w:t>)</w:t>
            </w:r>
          </w:p>
        </w:tc>
        <w:tc>
          <w:tcPr>
            <w:tcW w:w="678" w:type="pct"/>
            <w:tcBorders>
              <w:top w:val="nil"/>
              <w:left w:val="nil"/>
              <w:bottom w:val="single" w:sz="4" w:space="0" w:color="auto"/>
              <w:right w:val="nil"/>
            </w:tcBorders>
            <w:noWrap/>
            <w:vAlign w:val="bottom"/>
          </w:tcPr>
          <w:p w14:paraId="53964B27"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8D0DAB" w:rsidRPr="00FD5BEA" w14:paraId="12D6B3F7" w14:textId="77777777" w:rsidTr="413EB596">
        <w:trPr>
          <w:trHeight w:val="300"/>
        </w:trPr>
        <w:tc>
          <w:tcPr>
            <w:tcW w:w="3139" w:type="pct"/>
            <w:tcBorders>
              <w:top w:val="nil"/>
              <w:left w:val="nil"/>
              <w:bottom w:val="nil"/>
              <w:right w:val="nil"/>
            </w:tcBorders>
            <w:vAlign w:val="bottom"/>
          </w:tcPr>
          <w:p w14:paraId="45444D23" w14:textId="5FA53C8C" w:rsidR="008D0DAB" w:rsidRPr="00B94E93" w:rsidRDefault="008D0DAB" w:rsidP="009B7B2A">
            <w:pPr>
              <w:spacing w:after="0" w:line="240" w:lineRule="auto"/>
              <w:rPr>
                <w:rFonts w:eastAsia="Times New Roman" w:cs="Arial"/>
                <w:b/>
                <w:bCs/>
                <w:color w:val="000000"/>
                <w:sz w:val="20"/>
                <w:szCs w:val="20"/>
                <w:lang w:eastAsia="en-AU"/>
              </w:rPr>
            </w:pPr>
            <w:r w:rsidRPr="00B94E93">
              <w:rPr>
                <w:rFonts w:eastAsia="Times New Roman" w:cs="Arial"/>
                <w:b/>
                <w:bCs/>
                <w:color w:val="000000"/>
                <w:sz w:val="20"/>
                <w:szCs w:val="20"/>
                <w:lang w:eastAsia="en-AU"/>
              </w:rPr>
              <w:t>Loss before net financing costs</w:t>
            </w:r>
          </w:p>
        </w:tc>
        <w:tc>
          <w:tcPr>
            <w:tcW w:w="505" w:type="pct"/>
            <w:tcBorders>
              <w:top w:val="nil"/>
              <w:left w:val="nil"/>
              <w:bottom w:val="nil"/>
              <w:right w:val="nil"/>
            </w:tcBorders>
            <w:noWrap/>
            <w:vAlign w:val="bottom"/>
          </w:tcPr>
          <w:p w14:paraId="68500BDB" w14:textId="77777777" w:rsidR="008D0DAB" w:rsidRPr="00B94E93" w:rsidRDefault="008D0DAB" w:rsidP="009B7B2A">
            <w:pPr>
              <w:spacing w:after="0" w:line="240" w:lineRule="auto"/>
              <w:jc w:val="center"/>
              <w:rPr>
                <w:rFonts w:eastAsia="Times New Roman" w:cs="Arial"/>
                <w:b/>
                <w:bCs/>
                <w:color w:val="000000"/>
                <w:sz w:val="20"/>
                <w:szCs w:val="20"/>
                <w:lang w:eastAsia="en-AU"/>
              </w:rPr>
            </w:pPr>
          </w:p>
        </w:tc>
        <w:tc>
          <w:tcPr>
            <w:tcW w:w="678" w:type="pct"/>
            <w:tcBorders>
              <w:top w:val="single" w:sz="4" w:space="0" w:color="auto"/>
              <w:left w:val="nil"/>
              <w:bottom w:val="nil"/>
              <w:right w:val="nil"/>
            </w:tcBorders>
            <w:noWrap/>
            <w:vAlign w:val="bottom"/>
          </w:tcPr>
          <w:p w14:paraId="61E3D016"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(7,598)</w:t>
            </w:r>
          </w:p>
        </w:tc>
        <w:tc>
          <w:tcPr>
            <w:tcW w:w="678" w:type="pct"/>
            <w:tcBorders>
              <w:top w:val="single" w:sz="4" w:space="0" w:color="auto"/>
              <w:left w:val="nil"/>
              <w:bottom w:val="nil"/>
              <w:right w:val="nil"/>
            </w:tcBorders>
            <w:noWrap/>
            <w:vAlign w:val="bottom"/>
          </w:tcPr>
          <w:p w14:paraId="7BB2BBAC"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(5,439)</w:t>
            </w:r>
          </w:p>
        </w:tc>
      </w:tr>
      <w:tr w:rsidR="008D0DAB" w:rsidRPr="00F66D3F" w14:paraId="27FF6619" w14:textId="77777777" w:rsidTr="413EB596">
        <w:trPr>
          <w:trHeight w:val="300"/>
        </w:trPr>
        <w:tc>
          <w:tcPr>
            <w:tcW w:w="3139" w:type="pct"/>
            <w:tcBorders>
              <w:top w:val="nil"/>
              <w:left w:val="nil"/>
              <w:bottom w:val="nil"/>
              <w:right w:val="nil"/>
            </w:tcBorders>
            <w:noWrap/>
            <w:vAlign w:val="bottom"/>
            <w:hideMark/>
          </w:tcPr>
          <w:p w14:paraId="51C2D595" w14:textId="77777777" w:rsidR="008D0DAB" w:rsidRPr="00FD5BEA" w:rsidRDefault="008D0DAB" w:rsidP="009B7B2A">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Interest expense</w:t>
            </w:r>
          </w:p>
        </w:tc>
        <w:tc>
          <w:tcPr>
            <w:tcW w:w="505" w:type="pct"/>
            <w:tcBorders>
              <w:top w:val="nil"/>
              <w:left w:val="nil"/>
              <w:bottom w:val="nil"/>
              <w:right w:val="nil"/>
            </w:tcBorders>
            <w:noWrap/>
            <w:vAlign w:val="bottom"/>
            <w:hideMark/>
          </w:tcPr>
          <w:p w14:paraId="3A88A094"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26851360"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(3</w:t>
            </w:r>
            <w:r>
              <w:rPr>
                <w:sz w:val="20"/>
                <w:szCs w:val="20"/>
              </w:rPr>
              <w:t>16</w:t>
            </w:r>
            <w:r w:rsidRPr="00BD5C2A">
              <w:rPr>
                <w:sz w:val="20"/>
                <w:szCs w:val="20"/>
              </w:rPr>
              <w:t>)</w:t>
            </w:r>
          </w:p>
        </w:tc>
        <w:tc>
          <w:tcPr>
            <w:tcW w:w="678" w:type="pct"/>
            <w:tcBorders>
              <w:top w:val="nil"/>
              <w:left w:val="nil"/>
              <w:bottom w:val="nil"/>
              <w:right w:val="nil"/>
            </w:tcBorders>
            <w:noWrap/>
            <w:vAlign w:val="bottom"/>
            <w:hideMark/>
          </w:tcPr>
          <w:p w14:paraId="5A4519E6"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8D0DAB" w:rsidRPr="00F66D3F" w14:paraId="100CE0E3" w14:textId="77777777" w:rsidTr="413EB596">
        <w:trPr>
          <w:trHeight w:val="300"/>
        </w:trPr>
        <w:tc>
          <w:tcPr>
            <w:tcW w:w="3139" w:type="pct"/>
            <w:tcBorders>
              <w:top w:val="nil"/>
              <w:left w:val="nil"/>
              <w:bottom w:val="nil"/>
              <w:right w:val="nil"/>
            </w:tcBorders>
            <w:noWrap/>
            <w:vAlign w:val="bottom"/>
            <w:hideMark/>
          </w:tcPr>
          <w:p w14:paraId="0BFC82E2" w14:textId="0D50767A" w:rsidR="008D0DAB" w:rsidRPr="00FD5BEA" w:rsidRDefault="008D0DAB" w:rsidP="009B7B2A">
            <w:pPr>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Loss</w:t>
            </w:r>
            <w:r w:rsidRPr="00FD5BEA">
              <w:rPr>
                <w:rFonts w:eastAsia="Times New Roman" w:cs="Arial"/>
                <w:b/>
                <w:color w:val="000000"/>
                <w:sz w:val="20"/>
                <w:szCs w:val="20"/>
                <w:lang w:eastAsia="en-AU"/>
              </w:rPr>
              <w:t xml:space="preserve"> before income tax</w:t>
            </w:r>
          </w:p>
        </w:tc>
        <w:tc>
          <w:tcPr>
            <w:tcW w:w="505" w:type="pct"/>
            <w:tcBorders>
              <w:top w:val="nil"/>
              <w:left w:val="nil"/>
              <w:bottom w:val="nil"/>
              <w:right w:val="nil"/>
            </w:tcBorders>
            <w:noWrap/>
            <w:vAlign w:val="bottom"/>
            <w:hideMark/>
          </w:tcPr>
          <w:p w14:paraId="7135DB9C"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3A36E2C3"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(7,914)</w:t>
            </w:r>
          </w:p>
        </w:tc>
        <w:tc>
          <w:tcPr>
            <w:tcW w:w="678" w:type="pct"/>
            <w:tcBorders>
              <w:top w:val="nil"/>
              <w:left w:val="nil"/>
              <w:bottom w:val="nil"/>
              <w:right w:val="nil"/>
            </w:tcBorders>
            <w:noWrap/>
            <w:vAlign w:val="bottom"/>
            <w:hideMark/>
          </w:tcPr>
          <w:p w14:paraId="66A62CAD"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(5,439)</w:t>
            </w:r>
          </w:p>
        </w:tc>
      </w:tr>
      <w:tr w:rsidR="008D0DAB" w:rsidRPr="00F66D3F" w14:paraId="14C0C53E" w14:textId="77777777" w:rsidTr="413EB596">
        <w:trPr>
          <w:trHeight w:val="300"/>
        </w:trPr>
        <w:tc>
          <w:tcPr>
            <w:tcW w:w="3139" w:type="pct"/>
            <w:tcBorders>
              <w:top w:val="nil"/>
              <w:left w:val="nil"/>
              <w:bottom w:val="nil"/>
              <w:right w:val="nil"/>
            </w:tcBorders>
            <w:noWrap/>
            <w:vAlign w:val="bottom"/>
            <w:hideMark/>
          </w:tcPr>
          <w:p w14:paraId="591C177D" w14:textId="0BE96B3C" w:rsidR="008D0DAB" w:rsidRPr="00FD5BEA" w:rsidRDefault="008D0DAB" w:rsidP="009B7B2A">
            <w:pPr>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 xml:space="preserve">Income tax </w:t>
            </w:r>
            <w:r>
              <w:rPr>
                <w:rFonts w:eastAsia="Times New Roman" w:cs="Arial"/>
                <w:color w:val="000000"/>
                <w:sz w:val="20"/>
                <w:szCs w:val="20"/>
                <w:lang w:eastAsia="en-AU"/>
              </w:rPr>
              <w:t>benefit</w:t>
            </w:r>
          </w:p>
        </w:tc>
        <w:tc>
          <w:tcPr>
            <w:tcW w:w="505" w:type="pct"/>
            <w:tcBorders>
              <w:top w:val="nil"/>
              <w:left w:val="nil"/>
              <w:bottom w:val="nil"/>
              <w:right w:val="nil"/>
            </w:tcBorders>
            <w:noWrap/>
            <w:vAlign w:val="bottom"/>
            <w:hideMark/>
          </w:tcPr>
          <w:p w14:paraId="25BE0B00" w14:textId="34690A51" w:rsidR="008D0DAB" w:rsidRPr="00FD5BEA" w:rsidRDefault="001B35C5" w:rsidP="009B7B2A">
            <w:pPr>
              <w:spacing w:after="0" w:line="240" w:lineRule="auto"/>
              <w:jc w:val="center"/>
              <w:rPr>
                <w:rFonts w:eastAsia="Times New Roman" w:cs="Arial"/>
                <w:sz w:val="20"/>
                <w:szCs w:val="20"/>
                <w:lang w:eastAsia="en-AU"/>
              </w:rPr>
            </w:pPr>
            <w:r w:rsidRPr="413EB596">
              <w:rPr>
                <w:rFonts w:eastAsia="Times New Roman" w:cs="Arial"/>
                <w:sz w:val="20"/>
                <w:szCs w:val="20"/>
                <w:lang w:eastAsia="en-AU"/>
              </w:rPr>
              <w:t>10</w:t>
            </w:r>
          </w:p>
        </w:tc>
        <w:tc>
          <w:tcPr>
            <w:tcW w:w="678" w:type="pct"/>
            <w:tcBorders>
              <w:top w:val="nil"/>
              <w:left w:val="nil"/>
              <w:bottom w:val="single" w:sz="4" w:space="0" w:color="auto"/>
              <w:right w:val="nil"/>
            </w:tcBorders>
            <w:noWrap/>
            <w:vAlign w:val="bottom"/>
            <w:hideMark/>
          </w:tcPr>
          <w:p w14:paraId="06B8CAC2" w14:textId="11783EC6"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413EB596">
              <w:rPr>
                <w:sz w:val="20"/>
                <w:szCs w:val="20"/>
              </w:rPr>
              <w:t xml:space="preserve"> </w:t>
            </w:r>
            <w:r w:rsidR="00A618B3" w:rsidRPr="413EB596">
              <w:rPr>
                <w:sz w:val="20"/>
                <w:szCs w:val="20"/>
              </w:rPr>
              <w:t xml:space="preserve">41  </w:t>
            </w:r>
          </w:p>
        </w:tc>
        <w:tc>
          <w:tcPr>
            <w:tcW w:w="678" w:type="pct"/>
            <w:tcBorders>
              <w:top w:val="nil"/>
              <w:left w:val="nil"/>
              <w:bottom w:val="single" w:sz="4" w:space="0" w:color="auto"/>
              <w:right w:val="nil"/>
            </w:tcBorders>
            <w:noWrap/>
            <w:vAlign w:val="bottom"/>
            <w:hideMark/>
          </w:tcPr>
          <w:p w14:paraId="7A471A16" w14:textId="77777777" w:rsidR="008D0DAB" w:rsidRPr="000B5FD7" w:rsidRDefault="008D0DAB" w:rsidP="009B7B2A">
            <w:pPr>
              <w:tabs>
                <w:tab w:val="decimal" w:pos="921"/>
              </w:tabs>
              <w:spacing w:after="0" w:line="240" w:lineRule="auto"/>
              <w:rPr>
                <w:rFonts w:eastAsia="Times New Roman" w:cs="Arial"/>
                <w:color w:val="000000"/>
                <w:sz w:val="20"/>
                <w:szCs w:val="20"/>
                <w:lang w:eastAsia="en-AU"/>
              </w:rPr>
            </w:pPr>
            <w:r w:rsidRPr="00BD5C2A">
              <w:rPr>
                <w:sz w:val="20"/>
                <w:szCs w:val="20"/>
              </w:rPr>
              <w:t xml:space="preserve"> -   </w:t>
            </w:r>
          </w:p>
        </w:tc>
      </w:tr>
      <w:tr w:rsidR="008D0DAB" w:rsidRPr="00F66D3F" w14:paraId="33A229DF" w14:textId="77777777" w:rsidTr="413EB596">
        <w:trPr>
          <w:trHeight w:val="300"/>
        </w:trPr>
        <w:tc>
          <w:tcPr>
            <w:tcW w:w="3139" w:type="pct"/>
            <w:tcBorders>
              <w:top w:val="nil"/>
              <w:left w:val="nil"/>
              <w:bottom w:val="nil"/>
              <w:right w:val="nil"/>
            </w:tcBorders>
            <w:noWrap/>
            <w:vAlign w:val="bottom"/>
            <w:hideMark/>
          </w:tcPr>
          <w:p w14:paraId="425B89C1" w14:textId="6BEC5065" w:rsidR="008D0DAB" w:rsidRPr="00FD5BEA" w:rsidRDefault="008D0DAB" w:rsidP="009B7B2A">
            <w:pPr>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Loss</w:t>
            </w:r>
            <w:r w:rsidR="00EA15D1">
              <w:rPr>
                <w:rFonts w:eastAsia="Times New Roman" w:cs="Arial"/>
                <w:b/>
                <w:color w:val="000000"/>
                <w:sz w:val="20"/>
                <w:szCs w:val="20"/>
                <w:lang w:eastAsia="en-AU"/>
              </w:rPr>
              <w:t xml:space="preserve"> </w:t>
            </w:r>
            <w:r w:rsidRPr="00FD5BEA">
              <w:rPr>
                <w:rFonts w:eastAsia="Times New Roman" w:cs="Arial"/>
                <w:b/>
                <w:color w:val="000000"/>
                <w:sz w:val="20"/>
                <w:szCs w:val="20"/>
                <w:lang w:eastAsia="en-AU"/>
              </w:rPr>
              <w:t>for the period</w:t>
            </w:r>
          </w:p>
        </w:tc>
        <w:tc>
          <w:tcPr>
            <w:tcW w:w="505" w:type="pct"/>
            <w:tcBorders>
              <w:top w:val="nil"/>
              <w:left w:val="nil"/>
              <w:bottom w:val="nil"/>
              <w:right w:val="nil"/>
            </w:tcBorders>
            <w:noWrap/>
            <w:vAlign w:val="bottom"/>
            <w:hideMark/>
          </w:tcPr>
          <w:p w14:paraId="4CC08DB9"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single" w:sz="4" w:space="0" w:color="auto"/>
              <w:right w:val="nil"/>
            </w:tcBorders>
            <w:noWrap/>
            <w:vAlign w:val="bottom"/>
            <w:hideMark/>
          </w:tcPr>
          <w:p w14:paraId="1209DF88" w14:textId="2543C6D9"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sidRPr="413EB596">
              <w:rPr>
                <w:b/>
                <w:bCs/>
                <w:sz w:val="20"/>
                <w:szCs w:val="20"/>
              </w:rPr>
              <w:t>(7,</w:t>
            </w:r>
            <w:r w:rsidR="00A618B3" w:rsidRPr="413EB596">
              <w:rPr>
                <w:b/>
                <w:bCs/>
                <w:sz w:val="20"/>
                <w:szCs w:val="20"/>
              </w:rPr>
              <w:t>873</w:t>
            </w:r>
            <w:r w:rsidRPr="413EB596">
              <w:rPr>
                <w:b/>
                <w:bCs/>
                <w:sz w:val="20"/>
                <w:szCs w:val="20"/>
              </w:rPr>
              <w:t>)</w:t>
            </w:r>
          </w:p>
        </w:tc>
        <w:tc>
          <w:tcPr>
            <w:tcW w:w="678" w:type="pct"/>
            <w:tcBorders>
              <w:top w:val="nil"/>
              <w:left w:val="nil"/>
              <w:bottom w:val="single" w:sz="4" w:space="0" w:color="auto"/>
              <w:right w:val="nil"/>
            </w:tcBorders>
            <w:noWrap/>
            <w:vAlign w:val="bottom"/>
            <w:hideMark/>
          </w:tcPr>
          <w:p w14:paraId="1FD11869" w14:textId="77777777" w:rsidR="008D0DAB" w:rsidRPr="000B5FD7" w:rsidRDefault="008D0DAB" w:rsidP="009B7B2A">
            <w:pPr>
              <w:tabs>
                <w:tab w:val="decimal" w:pos="921"/>
              </w:tabs>
              <w:spacing w:after="0" w:line="240" w:lineRule="auto"/>
              <w:rPr>
                <w:rFonts w:eastAsia="Times New Roman" w:cs="Arial"/>
                <w:b/>
                <w:bCs/>
                <w:color w:val="000000"/>
                <w:sz w:val="20"/>
                <w:szCs w:val="20"/>
                <w:lang w:eastAsia="en-AU"/>
              </w:rPr>
            </w:pPr>
            <w:r>
              <w:rPr>
                <w:b/>
                <w:bCs/>
                <w:sz w:val="20"/>
                <w:szCs w:val="20"/>
              </w:rPr>
              <w:t>(5,439)</w:t>
            </w:r>
          </w:p>
        </w:tc>
      </w:tr>
      <w:tr w:rsidR="008D0DAB" w:rsidRPr="00F66D3F" w14:paraId="76E7A849" w14:textId="77777777" w:rsidTr="413EB596">
        <w:tc>
          <w:tcPr>
            <w:tcW w:w="3139" w:type="pct"/>
            <w:tcBorders>
              <w:top w:val="nil"/>
              <w:left w:val="nil"/>
              <w:bottom w:val="nil"/>
              <w:right w:val="nil"/>
            </w:tcBorders>
            <w:noWrap/>
            <w:vAlign w:val="bottom"/>
            <w:hideMark/>
          </w:tcPr>
          <w:p w14:paraId="6F2D0C8D" w14:textId="77777777" w:rsidR="008D0DAB" w:rsidRPr="00FD5BEA" w:rsidRDefault="008D0DAB" w:rsidP="009B7B2A">
            <w:pPr>
              <w:spacing w:after="0" w:line="240" w:lineRule="auto"/>
              <w:jc w:val="right"/>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2E47746F"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064A9FDE"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77E3BD72"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r>
      <w:tr w:rsidR="008D0DAB" w:rsidRPr="00F66D3F" w14:paraId="122ABABC" w14:textId="77777777" w:rsidTr="413EB596">
        <w:tc>
          <w:tcPr>
            <w:tcW w:w="3139" w:type="pct"/>
            <w:tcBorders>
              <w:top w:val="nil"/>
              <w:left w:val="nil"/>
              <w:bottom w:val="nil"/>
              <w:right w:val="nil"/>
            </w:tcBorders>
            <w:noWrap/>
            <w:vAlign w:val="bottom"/>
            <w:hideMark/>
          </w:tcPr>
          <w:p w14:paraId="302FEBB0" w14:textId="77777777" w:rsidR="008D0DAB" w:rsidRPr="00FD5BEA" w:rsidRDefault="008D0DAB" w:rsidP="009B7B2A">
            <w:pPr>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Other comprehensive income</w:t>
            </w:r>
          </w:p>
        </w:tc>
        <w:tc>
          <w:tcPr>
            <w:tcW w:w="505" w:type="pct"/>
            <w:tcBorders>
              <w:top w:val="nil"/>
              <w:left w:val="nil"/>
              <w:bottom w:val="nil"/>
              <w:right w:val="nil"/>
            </w:tcBorders>
            <w:noWrap/>
            <w:vAlign w:val="bottom"/>
            <w:hideMark/>
          </w:tcPr>
          <w:p w14:paraId="39717975"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514D5206"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1E5085D3"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r>
      <w:tr w:rsidR="008D0DAB" w:rsidRPr="00F66D3F" w14:paraId="55E38A15" w14:textId="77777777" w:rsidTr="413EB596">
        <w:tc>
          <w:tcPr>
            <w:tcW w:w="3139" w:type="pct"/>
            <w:tcBorders>
              <w:top w:val="nil"/>
              <w:left w:val="nil"/>
              <w:bottom w:val="nil"/>
              <w:right w:val="nil"/>
            </w:tcBorders>
            <w:noWrap/>
            <w:vAlign w:val="bottom"/>
            <w:hideMark/>
          </w:tcPr>
          <w:p w14:paraId="0C4A71ED" w14:textId="77777777" w:rsidR="008D0DAB" w:rsidRPr="00FD5BEA" w:rsidRDefault="008D0DAB" w:rsidP="009B7B2A">
            <w:pPr>
              <w:spacing w:after="0" w:line="240" w:lineRule="auto"/>
              <w:rPr>
                <w:rFonts w:eastAsia="Times New Roman" w:cs="Arial"/>
                <w:sz w:val="20"/>
                <w:szCs w:val="20"/>
                <w:lang w:eastAsia="en-AU"/>
              </w:rPr>
            </w:pPr>
          </w:p>
        </w:tc>
        <w:tc>
          <w:tcPr>
            <w:tcW w:w="505" w:type="pct"/>
            <w:tcBorders>
              <w:top w:val="nil"/>
              <w:left w:val="nil"/>
              <w:bottom w:val="nil"/>
              <w:right w:val="nil"/>
            </w:tcBorders>
            <w:noWrap/>
            <w:vAlign w:val="bottom"/>
            <w:hideMark/>
          </w:tcPr>
          <w:p w14:paraId="1F014A58"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0F8DE31F"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c>
          <w:tcPr>
            <w:tcW w:w="678" w:type="pct"/>
            <w:tcBorders>
              <w:top w:val="nil"/>
              <w:left w:val="nil"/>
              <w:bottom w:val="nil"/>
              <w:right w:val="nil"/>
            </w:tcBorders>
            <w:noWrap/>
            <w:vAlign w:val="bottom"/>
            <w:hideMark/>
          </w:tcPr>
          <w:p w14:paraId="514EC4DF" w14:textId="77777777" w:rsidR="008D0DAB" w:rsidRPr="00FD5BEA" w:rsidRDefault="008D0DAB" w:rsidP="009B7B2A">
            <w:pPr>
              <w:tabs>
                <w:tab w:val="decimal" w:pos="921"/>
              </w:tabs>
              <w:spacing w:after="0" w:line="240" w:lineRule="auto"/>
              <w:rPr>
                <w:rFonts w:eastAsia="Times New Roman" w:cs="Arial"/>
                <w:sz w:val="20"/>
                <w:szCs w:val="20"/>
                <w:lang w:eastAsia="en-AU"/>
              </w:rPr>
            </w:pPr>
          </w:p>
        </w:tc>
      </w:tr>
      <w:tr w:rsidR="008D0DAB" w:rsidRPr="00FD5BEA" w14:paraId="77BF0B4E" w14:textId="77777777" w:rsidTr="413EB596">
        <w:tc>
          <w:tcPr>
            <w:tcW w:w="3139" w:type="pct"/>
            <w:tcBorders>
              <w:top w:val="nil"/>
              <w:left w:val="nil"/>
              <w:bottom w:val="nil"/>
              <w:right w:val="nil"/>
            </w:tcBorders>
            <w:noWrap/>
            <w:vAlign w:val="bottom"/>
          </w:tcPr>
          <w:p w14:paraId="15353720" w14:textId="77777777" w:rsidR="008D0DAB" w:rsidRPr="00FD5BEA" w:rsidRDefault="008D0DAB" w:rsidP="009B7B2A">
            <w:pPr>
              <w:spacing w:after="0" w:line="240" w:lineRule="auto"/>
              <w:rPr>
                <w:rFonts w:eastAsia="Times New Roman" w:cs="Arial"/>
                <w:color w:val="000000"/>
                <w:sz w:val="20"/>
                <w:szCs w:val="20"/>
                <w:lang w:eastAsia="en-AU"/>
              </w:rPr>
            </w:pPr>
            <w:r w:rsidRPr="00FD5BEA">
              <w:rPr>
                <w:rFonts w:eastAsia="Times New Roman" w:cs="Arial"/>
                <w:b/>
                <w:bCs/>
                <w:i/>
                <w:iCs/>
                <w:color w:val="000000"/>
                <w:sz w:val="20"/>
                <w:szCs w:val="20"/>
                <w:lang w:eastAsia="en-AU"/>
              </w:rPr>
              <w:t xml:space="preserve">Items that </w:t>
            </w:r>
            <w:r>
              <w:rPr>
                <w:rFonts w:eastAsia="Times New Roman" w:cs="Arial"/>
                <w:b/>
                <w:bCs/>
                <w:i/>
                <w:iCs/>
                <w:color w:val="000000"/>
                <w:sz w:val="20"/>
                <w:szCs w:val="20"/>
                <w:lang w:eastAsia="en-AU"/>
              </w:rPr>
              <w:t>may</w:t>
            </w:r>
            <w:r w:rsidRPr="00FD5BEA">
              <w:rPr>
                <w:rFonts w:eastAsia="Times New Roman" w:cs="Arial"/>
                <w:b/>
                <w:bCs/>
                <w:i/>
                <w:iCs/>
                <w:color w:val="000000"/>
                <w:sz w:val="20"/>
                <w:szCs w:val="20"/>
                <w:lang w:eastAsia="en-AU"/>
              </w:rPr>
              <w:t xml:space="preserve"> be reclassified to profit or loss, net of tax</w:t>
            </w:r>
          </w:p>
        </w:tc>
        <w:tc>
          <w:tcPr>
            <w:tcW w:w="505" w:type="pct"/>
            <w:tcBorders>
              <w:top w:val="nil"/>
              <w:left w:val="nil"/>
              <w:bottom w:val="nil"/>
              <w:right w:val="nil"/>
            </w:tcBorders>
            <w:noWrap/>
            <w:vAlign w:val="bottom"/>
          </w:tcPr>
          <w:p w14:paraId="359084E4"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tcPr>
          <w:p w14:paraId="0446F680"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p>
        </w:tc>
        <w:tc>
          <w:tcPr>
            <w:tcW w:w="678" w:type="pct"/>
            <w:tcBorders>
              <w:top w:val="nil"/>
              <w:left w:val="nil"/>
              <w:bottom w:val="nil"/>
              <w:right w:val="nil"/>
            </w:tcBorders>
            <w:noWrap/>
            <w:vAlign w:val="bottom"/>
          </w:tcPr>
          <w:p w14:paraId="316B2D8B"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p>
        </w:tc>
      </w:tr>
      <w:tr w:rsidR="008D0DAB" w:rsidRPr="00F66D3F" w14:paraId="1258590D" w14:textId="77777777" w:rsidTr="413EB596">
        <w:tc>
          <w:tcPr>
            <w:tcW w:w="3139" w:type="pct"/>
            <w:tcBorders>
              <w:top w:val="nil"/>
              <w:left w:val="nil"/>
              <w:bottom w:val="nil"/>
              <w:right w:val="nil"/>
            </w:tcBorders>
            <w:noWrap/>
            <w:vAlign w:val="bottom"/>
            <w:hideMark/>
          </w:tcPr>
          <w:p w14:paraId="70578F66" w14:textId="50B46496" w:rsidR="008D0DAB" w:rsidRPr="00FD5BEA" w:rsidRDefault="00EA15D1" w:rsidP="009B7B2A">
            <w:pPr>
              <w:spacing w:after="0" w:line="240" w:lineRule="auto"/>
              <w:ind w:left="113"/>
              <w:rPr>
                <w:rFonts w:eastAsia="Times New Roman" w:cs="Arial"/>
                <w:color w:val="000000"/>
                <w:sz w:val="20"/>
                <w:szCs w:val="20"/>
                <w:lang w:eastAsia="en-AU"/>
              </w:rPr>
            </w:pPr>
            <w:r>
              <w:rPr>
                <w:rFonts w:eastAsia="Times New Roman" w:cs="Arial"/>
                <w:color w:val="000000"/>
                <w:sz w:val="20"/>
                <w:szCs w:val="20"/>
                <w:lang w:eastAsia="en-AU"/>
              </w:rPr>
              <w:t>L</w:t>
            </w:r>
            <w:r w:rsidR="008D0DAB" w:rsidRPr="00FD5BEA">
              <w:rPr>
                <w:rFonts w:eastAsia="Times New Roman" w:cs="Arial"/>
                <w:color w:val="000000"/>
                <w:sz w:val="20"/>
                <w:szCs w:val="20"/>
                <w:lang w:eastAsia="en-AU"/>
              </w:rPr>
              <w:t>oss in fair value of cash flow hedges</w:t>
            </w:r>
          </w:p>
        </w:tc>
        <w:tc>
          <w:tcPr>
            <w:tcW w:w="505" w:type="pct"/>
            <w:tcBorders>
              <w:top w:val="nil"/>
              <w:left w:val="nil"/>
              <w:bottom w:val="nil"/>
              <w:right w:val="nil"/>
            </w:tcBorders>
            <w:noWrap/>
            <w:vAlign w:val="bottom"/>
            <w:hideMark/>
          </w:tcPr>
          <w:p w14:paraId="6A2538A8"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right w:val="nil"/>
            </w:tcBorders>
            <w:noWrap/>
            <w:vAlign w:val="bottom"/>
            <w:hideMark/>
          </w:tcPr>
          <w:p w14:paraId="30FB87EF" w14:textId="45EA22E5" w:rsidR="008D0DAB" w:rsidRPr="00FD5BEA" w:rsidRDefault="008D0DAB" w:rsidP="009B7B2A">
            <w:pPr>
              <w:tabs>
                <w:tab w:val="decimal" w:pos="921"/>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E92EFD" w:rsidRPr="413EB596">
              <w:rPr>
                <w:rFonts w:eastAsia="Times New Roman" w:cs="Arial"/>
                <w:color w:val="000000" w:themeColor="text1"/>
                <w:sz w:val="20"/>
                <w:szCs w:val="20"/>
                <w:lang w:eastAsia="en-AU"/>
              </w:rPr>
              <w:t>5</w:t>
            </w:r>
            <w:r w:rsidR="00046C25" w:rsidRPr="413EB596">
              <w:rPr>
                <w:rFonts w:eastAsia="Times New Roman" w:cs="Arial"/>
                <w:color w:val="000000" w:themeColor="text1"/>
                <w:sz w:val="20"/>
                <w:szCs w:val="20"/>
                <w:lang w:eastAsia="en-AU"/>
              </w:rPr>
              <w:t>2</w:t>
            </w:r>
            <w:r w:rsidR="00E92EFD" w:rsidRPr="413EB596">
              <w:rPr>
                <w:rFonts w:eastAsia="Times New Roman" w:cs="Arial"/>
                <w:color w:val="000000" w:themeColor="text1"/>
                <w:sz w:val="20"/>
                <w:szCs w:val="20"/>
                <w:lang w:eastAsia="en-AU"/>
              </w:rPr>
              <w:t>6</w:t>
            </w:r>
            <w:r w:rsidRPr="413EB596">
              <w:rPr>
                <w:rFonts w:eastAsia="Times New Roman" w:cs="Arial"/>
                <w:color w:val="000000" w:themeColor="text1"/>
                <w:sz w:val="20"/>
                <w:szCs w:val="20"/>
                <w:lang w:eastAsia="en-AU"/>
              </w:rPr>
              <w:t>)</w:t>
            </w:r>
          </w:p>
        </w:tc>
        <w:tc>
          <w:tcPr>
            <w:tcW w:w="678" w:type="pct"/>
            <w:tcBorders>
              <w:top w:val="nil"/>
              <w:left w:val="nil"/>
              <w:right w:val="nil"/>
            </w:tcBorders>
            <w:noWrap/>
            <w:vAlign w:val="bottom"/>
            <w:hideMark/>
          </w:tcPr>
          <w:p w14:paraId="3C9A9BD0"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w:t>
            </w:r>
          </w:p>
        </w:tc>
      </w:tr>
      <w:tr w:rsidR="008D0DAB" w:rsidRPr="00F66D3F" w14:paraId="44E3F08F" w14:textId="77777777" w:rsidTr="413EB596">
        <w:tc>
          <w:tcPr>
            <w:tcW w:w="3139" w:type="pct"/>
            <w:tcBorders>
              <w:top w:val="nil"/>
              <w:left w:val="nil"/>
              <w:bottom w:val="nil"/>
              <w:right w:val="nil"/>
            </w:tcBorders>
            <w:vAlign w:val="bottom"/>
            <w:hideMark/>
          </w:tcPr>
          <w:p w14:paraId="625CFD12" w14:textId="7A12A5AD" w:rsidR="008D0DAB" w:rsidRPr="00FD5BEA" w:rsidRDefault="008D0DAB" w:rsidP="009B7B2A">
            <w:pPr>
              <w:spacing w:after="0" w:line="240" w:lineRule="auto"/>
              <w:ind w:left="113"/>
              <w:rPr>
                <w:rFonts w:eastAsia="Times New Roman" w:cs="Arial"/>
                <w:color w:val="000000"/>
                <w:sz w:val="20"/>
                <w:szCs w:val="20"/>
                <w:lang w:eastAsia="en-AU"/>
              </w:rPr>
            </w:pPr>
            <w:r w:rsidRPr="00FD5BEA">
              <w:rPr>
                <w:rFonts w:eastAsia="Times New Roman" w:cs="Arial"/>
                <w:color w:val="000000"/>
                <w:sz w:val="20"/>
                <w:szCs w:val="20"/>
                <w:lang w:eastAsia="en-AU"/>
              </w:rPr>
              <w:t xml:space="preserve">Share of </w:t>
            </w:r>
            <w:r w:rsidR="000E12B4">
              <w:rPr>
                <w:rFonts w:eastAsia="Times New Roman" w:cs="Arial"/>
                <w:color w:val="000000"/>
                <w:sz w:val="20"/>
                <w:szCs w:val="20"/>
                <w:lang w:eastAsia="en-AU"/>
              </w:rPr>
              <w:t>other comprehensive income</w:t>
            </w:r>
            <w:r w:rsidRPr="00FD5BEA">
              <w:rPr>
                <w:rFonts w:eastAsia="Times New Roman" w:cs="Arial"/>
                <w:color w:val="000000"/>
                <w:sz w:val="20"/>
                <w:szCs w:val="20"/>
                <w:lang w:eastAsia="en-AU"/>
              </w:rPr>
              <w:t xml:space="preserve">/(loss) </w:t>
            </w:r>
            <w:r w:rsidR="000E12B4">
              <w:rPr>
                <w:rFonts w:eastAsia="Times New Roman" w:cs="Arial"/>
                <w:color w:val="000000"/>
                <w:sz w:val="20"/>
                <w:szCs w:val="20"/>
                <w:lang w:eastAsia="en-AU"/>
              </w:rPr>
              <w:t>of</w:t>
            </w:r>
            <w:r w:rsidRPr="00FD5BEA">
              <w:rPr>
                <w:rFonts w:eastAsia="Times New Roman" w:cs="Arial"/>
                <w:color w:val="000000"/>
                <w:sz w:val="20"/>
                <w:szCs w:val="20"/>
                <w:lang w:eastAsia="en-AU"/>
              </w:rPr>
              <w:t xml:space="preserve"> equity accounted investees</w:t>
            </w:r>
          </w:p>
        </w:tc>
        <w:tc>
          <w:tcPr>
            <w:tcW w:w="505" w:type="pct"/>
            <w:tcBorders>
              <w:top w:val="nil"/>
              <w:left w:val="nil"/>
              <w:bottom w:val="nil"/>
              <w:right w:val="nil"/>
            </w:tcBorders>
            <w:noWrap/>
            <w:vAlign w:val="bottom"/>
            <w:hideMark/>
          </w:tcPr>
          <w:p w14:paraId="246581F8" w14:textId="77777777" w:rsidR="008D0DAB" w:rsidRPr="00FD5BEA"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14</w:t>
            </w:r>
          </w:p>
        </w:tc>
        <w:tc>
          <w:tcPr>
            <w:tcW w:w="678" w:type="pct"/>
            <w:tcBorders>
              <w:top w:val="nil"/>
              <w:left w:val="nil"/>
              <w:right w:val="nil"/>
            </w:tcBorders>
            <w:noWrap/>
            <w:vAlign w:val="bottom"/>
            <w:hideMark/>
          </w:tcPr>
          <w:p w14:paraId="6537C62E"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20</w:t>
            </w:r>
            <w:r w:rsidRPr="00FD5BEA">
              <w:rPr>
                <w:rFonts w:eastAsia="Times New Roman" w:cs="Arial"/>
                <w:color w:val="000000"/>
                <w:sz w:val="20"/>
                <w:szCs w:val="20"/>
                <w:lang w:eastAsia="en-AU"/>
              </w:rPr>
              <w:t xml:space="preserve"> </w:t>
            </w:r>
          </w:p>
        </w:tc>
        <w:tc>
          <w:tcPr>
            <w:tcW w:w="678" w:type="pct"/>
            <w:tcBorders>
              <w:top w:val="nil"/>
              <w:left w:val="nil"/>
              <w:right w:val="nil"/>
            </w:tcBorders>
            <w:noWrap/>
            <w:vAlign w:val="bottom"/>
            <w:hideMark/>
          </w:tcPr>
          <w:p w14:paraId="27BAD0AB"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(2,773)</w:t>
            </w:r>
          </w:p>
        </w:tc>
      </w:tr>
      <w:tr w:rsidR="008D0DAB" w:rsidRPr="00F66D3F" w14:paraId="7FE7FF85" w14:textId="77777777" w:rsidTr="413EB596">
        <w:tc>
          <w:tcPr>
            <w:tcW w:w="3139" w:type="pct"/>
            <w:tcBorders>
              <w:top w:val="nil"/>
              <w:left w:val="nil"/>
              <w:bottom w:val="nil"/>
              <w:right w:val="nil"/>
            </w:tcBorders>
            <w:vAlign w:val="bottom"/>
            <w:hideMark/>
          </w:tcPr>
          <w:p w14:paraId="5B627734" w14:textId="3383A15D" w:rsidR="008D0DAB" w:rsidRPr="00FD5BEA" w:rsidRDefault="008D0DAB" w:rsidP="009B7B2A">
            <w:pPr>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Total other comprehensive</w:t>
            </w:r>
            <w:r w:rsidR="00EA15D1">
              <w:rPr>
                <w:rFonts w:eastAsia="Times New Roman" w:cs="Arial"/>
                <w:b/>
                <w:color w:val="000000"/>
                <w:sz w:val="20"/>
                <w:szCs w:val="20"/>
                <w:lang w:eastAsia="en-AU"/>
              </w:rPr>
              <w:t xml:space="preserve"> loss</w:t>
            </w:r>
            <w:r>
              <w:rPr>
                <w:rFonts w:eastAsia="Times New Roman" w:cs="Arial"/>
                <w:b/>
                <w:bCs/>
                <w:color w:val="000000"/>
                <w:sz w:val="20"/>
                <w:szCs w:val="20"/>
                <w:lang w:eastAsia="en-AU"/>
              </w:rPr>
              <w:t>, net of tax</w:t>
            </w:r>
          </w:p>
        </w:tc>
        <w:tc>
          <w:tcPr>
            <w:tcW w:w="505" w:type="pct"/>
            <w:tcBorders>
              <w:top w:val="nil"/>
              <w:left w:val="nil"/>
              <w:bottom w:val="nil"/>
              <w:right w:val="nil"/>
            </w:tcBorders>
            <w:noWrap/>
            <w:vAlign w:val="bottom"/>
            <w:hideMark/>
          </w:tcPr>
          <w:p w14:paraId="6B83EA98"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nil"/>
              <w:right w:val="nil"/>
            </w:tcBorders>
            <w:noWrap/>
            <w:vAlign w:val="bottom"/>
            <w:hideMark/>
          </w:tcPr>
          <w:p w14:paraId="3ECBA7DB" w14:textId="1E1E21EA" w:rsidR="008D0DAB" w:rsidRPr="00FD5BEA" w:rsidRDefault="008D0DAB" w:rsidP="413EB596">
            <w:pPr>
              <w:tabs>
                <w:tab w:val="decimal" w:pos="921"/>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r w:rsidR="001405BB" w:rsidRPr="413EB596">
              <w:rPr>
                <w:rFonts w:eastAsia="Times New Roman" w:cs="Arial"/>
                <w:b/>
                <w:bCs/>
                <w:color w:val="000000" w:themeColor="text1"/>
                <w:sz w:val="20"/>
                <w:szCs w:val="20"/>
                <w:lang w:eastAsia="en-AU"/>
              </w:rPr>
              <w:t>506</w:t>
            </w:r>
            <w:r w:rsidRPr="413EB596">
              <w:rPr>
                <w:rFonts w:eastAsia="Times New Roman" w:cs="Arial"/>
                <w:b/>
                <w:bCs/>
                <w:color w:val="000000" w:themeColor="text1"/>
                <w:sz w:val="20"/>
                <w:szCs w:val="20"/>
                <w:lang w:eastAsia="en-AU"/>
              </w:rPr>
              <w:t>)</w:t>
            </w:r>
          </w:p>
        </w:tc>
        <w:tc>
          <w:tcPr>
            <w:tcW w:w="678" w:type="pct"/>
            <w:tcBorders>
              <w:top w:val="nil"/>
              <w:left w:val="nil"/>
              <w:bottom w:val="nil"/>
              <w:right w:val="nil"/>
            </w:tcBorders>
            <w:noWrap/>
            <w:vAlign w:val="bottom"/>
            <w:hideMark/>
          </w:tcPr>
          <w:p w14:paraId="25F33FEC" w14:textId="77777777" w:rsidR="008D0DAB" w:rsidRPr="00FD5BEA" w:rsidRDefault="008D0DAB" w:rsidP="009B7B2A">
            <w:pPr>
              <w:tabs>
                <w:tab w:val="decimal" w:pos="921"/>
              </w:tabs>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(2,773)</w:t>
            </w:r>
          </w:p>
        </w:tc>
      </w:tr>
      <w:tr w:rsidR="008D0DAB" w:rsidRPr="00F66D3F" w14:paraId="0C34F25F" w14:textId="77777777" w:rsidTr="413EB596">
        <w:tc>
          <w:tcPr>
            <w:tcW w:w="3139" w:type="pct"/>
            <w:tcBorders>
              <w:top w:val="nil"/>
              <w:left w:val="nil"/>
              <w:bottom w:val="nil"/>
              <w:right w:val="nil"/>
            </w:tcBorders>
            <w:noWrap/>
            <w:vAlign w:val="bottom"/>
            <w:hideMark/>
          </w:tcPr>
          <w:p w14:paraId="024299C4" w14:textId="77777777" w:rsidR="008D0DAB" w:rsidRPr="00FD5BEA" w:rsidRDefault="008D0DAB" w:rsidP="009B7B2A">
            <w:pPr>
              <w:spacing w:after="0" w:line="240" w:lineRule="auto"/>
              <w:jc w:val="right"/>
              <w:rPr>
                <w:rFonts w:eastAsia="Times New Roman" w:cs="Arial"/>
                <w:b/>
                <w:color w:val="000000"/>
                <w:sz w:val="20"/>
                <w:szCs w:val="20"/>
                <w:lang w:eastAsia="en-AU"/>
              </w:rPr>
            </w:pPr>
          </w:p>
        </w:tc>
        <w:tc>
          <w:tcPr>
            <w:tcW w:w="505" w:type="pct"/>
            <w:tcBorders>
              <w:top w:val="nil"/>
              <w:left w:val="nil"/>
              <w:bottom w:val="nil"/>
              <w:right w:val="nil"/>
            </w:tcBorders>
            <w:noWrap/>
            <w:vAlign w:val="bottom"/>
            <w:hideMark/>
          </w:tcPr>
          <w:p w14:paraId="50119ED6"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single" w:sz="4" w:space="0" w:color="auto"/>
              <w:right w:val="nil"/>
            </w:tcBorders>
            <w:noWrap/>
            <w:vAlign w:val="bottom"/>
            <w:hideMark/>
          </w:tcPr>
          <w:p w14:paraId="4F075F25"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r w:rsidRPr="00FD5BEA">
              <w:rPr>
                <w:rFonts w:eastAsia="Times New Roman" w:cs="Arial"/>
                <w:color w:val="000000"/>
                <w:sz w:val="20"/>
                <w:szCs w:val="20"/>
                <w:lang w:eastAsia="en-AU"/>
              </w:rPr>
              <w:t> </w:t>
            </w:r>
          </w:p>
        </w:tc>
        <w:tc>
          <w:tcPr>
            <w:tcW w:w="678" w:type="pct"/>
            <w:tcBorders>
              <w:top w:val="nil"/>
              <w:left w:val="nil"/>
              <w:bottom w:val="nil"/>
              <w:right w:val="nil"/>
            </w:tcBorders>
            <w:noWrap/>
            <w:vAlign w:val="bottom"/>
            <w:hideMark/>
          </w:tcPr>
          <w:p w14:paraId="68D9F265" w14:textId="77777777" w:rsidR="008D0DAB" w:rsidRPr="00FD5BEA" w:rsidRDefault="008D0DAB" w:rsidP="009B7B2A">
            <w:pPr>
              <w:tabs>
                <w:tab w:val="decimal" w:pos="921"/>
              </w:tabs>
              <w:spacing w:after="0" w:line="240" w:lineRule="auto"/>
              <w:rPr>
                <w:rFonts w:eastAsia="Times New Roman" w:cs="Arial"/>
                <w:color w:val="000000"/>
                <w:sz w:val="20"/>
                <w:szCs w:val="20"/>
                <w:lang w:eastAsia="en-AU"/>
              </w:rPr>
            </w:pPr>
          </w:p>
        </w:tc>
      </w:tr>
      <w:tr w:rsidR="008D0DAB" w:rsidRPr="00F66D3F" w14:paraId="6B2E8C20" w14:textId="77777777" w:rsidTr="413EB596">
        <w:tc>
          <w:tcPr>
            <w:tcW w:w="3139" w:type="pct"/>
            <w:tcBorders>
              <w:top w:val="nil"/>
              <w:left w:val="nil"/>
              <w:bottom w:val="nil"/>
              <w:right w:val="nil"/>
            </w:tcBorders>
            <w:noWrap/>
            <w:vAlign w:val="bottom"/>
            <w:hideMark/>
          </w:tcPr>
          <w:p w14:paraId="6642ECA5" w14:textId="2C5100C8" w:rsidR="008D0DAB" w:rsidRPr="00FD5BEA" w:rsidRDefault="008D0DAB" w:rsidP="009B7B2A">
            <w:pPr>
              <w:spacing w:after="0" w:line="240" w:lineRule="auto"/>
              <w:rPr>
                <w:rFonts w:eastAsia="Times New Roman" w:cs="Arial"/>
                <w:b/>
                <w:color w:val="000000"/>
                <w:sz w:val="20"/>
                <w:szCs w:val="20"/>
                <w:lang w:eastAsia="en-AU"/>
              </w:rPr>
            </w:pPr>
            <w:r w:rsidRPr="00FD5BEA">
              <w:rPr>
                <w:rFonts w:eastAsia="Times New Roman" w:cs="Arial"/>
                <w:b/>
                <w:color w:val="000000"/>
                <w:sz w:val="20"/>
                <w:szCs w:val="20"/>
                <w:lang w:eastAsia="en-AU"/>
              </w:rPr>
              <w:t xml:space="preserve">Total comprehensive </w:t>
            </w:r>
            <w:r w:rsidR="00EA15D1">
              <w:rPr>
                <w:rFonts w:eastAsia="Times New Roman" w:cs="Arial"/>
                <w:b/>
                <w:bCs/>
                <w:color w:val="000000"/>
                <w:sz w:val="20"/>
                <w:szCs w:val="20"/>
                <w:lang w:eastAsia="en-AU"/>
              </w:rPr>
              <w:t>l</w:t>
            </w:r>
            <w:r>
              <w:rPr>
                <w:rFonts w:eastAsia="Times New Roman" w:cs="Arial"/>
                <w:b/>
                <w:bCs/>
                <w:color w:val="000000"/>
                <w:sz w:val="20"/>
                <w:szCs w:val="20"/>
                <w:lang w:eastAsia="en-AU"/>
              </w:rPr>
              <w:t>oss for the year</w:t>
            </w:r>
          </w:p>
        </w:tc>
        <w:tc>
          <w:tcPr>
            <w:tcW w:w="505" w:type="pct"/>
            <w:tcBorders>
              <w:top w:val="nil"/>
              <w:left w:val="nil"/>
              <w:bottom w:val="nil"/>
              <w:right w:val="nil"/>
            </w:tcBorders>
            <w:noWrap/>
            <w:vAlign w:val="bottom"/>
            <w:hideMark/>
          </w:tcPr>
          <w:p w14:paraId="307D5062" w14:textId="77777777" w:rsidR="008D0DAB" w:rsidRPr="00FD5BEA" w:rsidRDefault="008D0DAB" w:rsidP="009B7B2A">
            <w:pPr>
              <w:spacing w:after="0" w:line="240" w:lineRule="auto"/>
              <w:jc w:val="center"/>
              <w:rPr>
                <w:rFonts w:eastAsia="Times New Roman" w:cs="Arial"/>
                <w:sz w:val="20"/>
                <w:szCs w:val="20"/>
                <w:lang w:eastAsia="en-AU"/>
              </w:rPr>
            </w:pPr>
          </w:p>
        </w:tc>
        <w:tc>
          <w:tcPr>
            <w:tcW w:w="678" w:type="pct"/>
            <w:tcBorders>
              <w:top w:val="nil"/>
              <w:left w:val="nil"/>
              <w:bottom w:val="double" w:sz="6" w:space="0" w:color="auto"/>
              <w:right w:val="nil"/>
            </w:tcBorders>
            <w:noWrap/>
            <w:vAlign w:val="bottom"/>
            <w:hideMark/>
          </w:tcPr>
          <w:p w14:paraId="52817C4B" w14:textId="24C345EF" w:rsidR="008D0DAB" w:rsidRPr="00FD5BEA" w:rsidRDefault="008D0DAB" w:rsidP="413EB596">
            <w:pPr>
              <w:tabs>
                <w:tab w:val="decimal" w:pos="921"/>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(8,</w:t>
            </w:r>
            <w:r w:rsidR="001405BB" w:rsidRPr="413EB596">
              <w:rPr>
                <w:rFonts w:eastAsia="Times New Roman" w:cs="Arial"/>
                <w:b/>
                <w:bCs/>
                <w:color w:val="000000" w:themeColor="text1"/>
                <w:sz w:val="20"/>
                <w:szCs w:val="20"/>
                <w:lang w:eastAsia="en-AU"/>
              </w:rPr>
              <w:t>379</w:t>
            </w:r>
            <w:r w:rsidRPr="413EB596">
              <w:rPr>
                <w:rFonts w:eastAsia="Times New Roman" w:cs="Arial"/>
                <w:b/>
                <w:bCs/>
                <w:color w:val="000000" w:themeColor="text1"/>
                <w:sz w:val="20"/>
                <w:szCs w:val="20"/>
                <w:lang w:eastAsia="en-AU"/>
              </w:rPr>
              <w:t>)</w:t>
            </w:r>
          </w:p>
        </w:tc>
        <w:tc>
          <w:tcPr>
            <w:tcW w:w="678" w:type="pct"/>
            <w:tcBorders>
              <w:top w:val="single" w:sz="4" w:space="0" w:color="auto"/>
              <w:left w:val="nil"/>
              <w:bottom w:val="double" w:sz="6" w:space="0" w:color="auto"/>
              <w:right w:val="nil"/>
            </w:tcBorders>
            <w:noWrap/>
            <w:vAlign w:val="bottom"/>
            <w:hideMark/>
          </w:tcPr>
          <w:p w14:paraId="4C8A2808" w14:textId="77777777" w:rsidR="008D0DAB" w:rsidRPr="00FD5BEA" w:rsidRDefault="008D0DAB" w:rsidP="009B7B2A">
            <w:pPr>
              <w:tabs>
                <w:tab w:val="decimal" w:pos="92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(8,212)</w:t>
            </w:r>
          </w:p>
        </w:tc>
      </w:tr>
    </w:tbl>
    <w:p w14:paraId="73C2A3EE" w14:textId="77777777" w:rsidR="008D0DAB" w:rsidRPr="00F65403" w:rsidRDefault="008D0DAB" w:rsidP="008D0DAB">
      <w:pPr>
        <w:pStyle w:val="BodyText"/>
        <w:rPr>
          <w:lang w:val="en-AU"/>
        </w:rPr>
      </w:pPr>
    </w:p>
    <w:p w14:paraId="0D17C87E" w14:textId="77777777" w:rsidR="008D0DAB" w:rsidRPr="001C1467" w:rsidRDefault="008D0DAB" w:rsidP="008D0DAB">
      <w:pPr>
        <w:pStyle w:val="BodyText"/>
        <w:rPr>
          <w:i/>
          <w:lang w:val="en-AU"/>
        </w:rPr>
      </w:pPr>
      <w:r w:rsidRPr="4B8613CA">
        <w:rPr>
          <w:i/>
          <w:lang w:val="en-AU"/>
        </w:rPr>
        <w:t>The above consolidated statement of profit or loss and other comprehensive income should be read in conjunction with the accompanying notes. </w:t>
      </w:r>
    </w:p>
    <w:p w14:paraId="647333F5" w14:textId="77777777" w:rsidR="008D0DAB" w:rsidRDefault="008D0DAB" w:rsidP="008D0DAB">
      <w:r>
        <w:br w:type="page"/>
      </w:r>
    </w:p>
    <w:p w14:paraId="329D21F6" w14:textId="77777777" w:rsidR="008D0DAB" w:rsidRPr="0048780B" w:rsidRDefault="008D0DAB" w:rsidP="00B254AC">
      <w:pPr>
        <w:pStyle w:val="Heading1"/>
      </w:pPr>
      <w:bookmarkStart w:id="542" w:name="_Toc209080412"/>
      <w:bookmarkStart w:id="543" w:name="_Toc209703982"/>
      <w:bookmarkStart w:id="544" w:name="_Toc209704035"/>
      <w:bookmarkStart w:id="545" w:name="_Toc209704088"/>
      <w:r w:rsidRPr="0048780B">
        <w:t>Consolidated statement of financial position</w:t>
      </w:r>
      <w:bookmarkEnd w:id="542"/>
      <w:bookmarkEnd w:id="543"/>
      <w:bookmarkEnd w:id="544"/>
      <w:bookmarkEnd w:id="545"/>
      <w:r w:rsidRPr="0048780B">
        <w:t> </w:t>
      </w:r>
    </w:p>
    <w:p w14:paraId="512C99AE" w14:textId="77777777" w:rsidR="008D0DAB" w:rsidRPr="0048780B" w:rsidRDefault="008D0DAB" w:rsidP="008D0DAB">
      <w:pPr>
        <w:pStyle w:val="Heading3"/>
      </w:pPr>
      <w:r>
        <w:t>As at 30 June 2025</w:t>
      </w:r>
    </w:p>
    <w:tbl>
      <w:tblPr>
        <w:tblW w:w="4703" w:type="pct"/>
        <w:tblLayout w:type="fixed"/>
        <w:tblCellMar>
          <w:top w:w="28" w:type="dxa"/>
          <w:left w:w="28" w:type="dxa"/>
          <w:bottom w:w="28" w:type="dxa"/>
          <w:right w:w="28" w:type="dxa"/>
        </w:tblCellMar>
        <w:tblLook w:val="04A0" w:firstRow="1" w:lastRow="0" w:firstColumn="1" w:lastColumn="0" w:noHBand="0" w:noVBand="1"/>
      </w:tblPr>
      <w:tblGrid>
        <w:gridCol w:w="4796"/>
        <w:gridCol w:w="876"/>
        <w:gridCol w:w="1409"/>
        <w:gridCol w:w="1409"/>
      </w:tblGrid>
      <w:tr w:rsidR="008D0DAB" w:rsidRPr="00167C2B" w14:paraId="2BB33131" w14:textId="77777777" w:rsidTr="413EB596">
        <w:tc>
          <w:tcPr>
            <w:tcW w:w="2824" w:type="pct"/>
            <w:tcBorders>
              <w:top w:val="nil"/>
              <w:left w:val="nil"/>
              <w:bottom w:val="nil"/>
              <w:right w:val="nil"/>
            </w:tcBorders>
            <w:noWrap/>
            <w:vAlign w:val="bottom"/>
            <w:hideMark/>
          </w:tcPr>
          <w:p w14:paraId="371094B5" w14:textId="77777777" w:rsidR="008D0DAB" w:rsidRPr="00F65403" w:rsidRDefault="008D0DAB" w:rsidP="009B7B2A">
            <w:pPr>
              <w:spacing w:after="0" w:line="240" w:lineRule="auto"/>
              <w:rPr>
                <w:rFonts w:eastAsia="Times New Roman" w:cs="Arial"/>
                <w:sz w:val="20"/>
                <w:szCs w:val="20"/>
                <w:lang w:eastAsia="en-AU"/>
              </w:rPr>
            </w:pPr>
          </w:p>
        </w:tc>
        <w:tc>
          <w:tcPr>
            <w:tcW w:w="516" w:type="pct"/>
            <w:tcBorders>
              <w:top w:val="nil"/>
              <w:left w:val="nil"/>
              <w:bottom w:val="nil"/>
              <w:right w:val="nil"/>
            </w:tcBorders>
            <w:noWrap/>
            <w:vAlign w:val="bottom"/>
            <w:hideMark/>
          </w:tcPr>
          <w:p w14:paraId="1225BE32" w14:textId="77777777" w:rsidR="008D0DAB" w:rsidRPr="00F65403" w:rsidRDefault="008D0DAB" w:rsidP="009B7B2A">
            <w:pPr>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4CFE40DB" w14:textId="77777777" w:rsidR="008D0DAB" w:rsidRPr="00C77AB0" w:rsidRDefault="008D0DAB" w:rsidP="009B7B2A">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2025</w:t>
            </w:r>
          </w:p>
        </w:tc>
        <w:tc>
          <w:tcPr>
            <w:tcW w:w="830" w:type="pct"/>
            <w:tcBorders>
              <w:top w:val="nil"/>
              <w:left w:val="nil"/>
              <w:bottom w:val="nil"/>
              <w:right w:val="nil"/>
            </w:tcBorders>
            <w:noWrap/>
            <w:vAlign w:val="bottom"/>
            <w:hideMark/>
          </w:tcPr>
          <w:p w14:paraId="510AF058" w14:textId="77777777" w:rsidR="008D0DAB" w:rsidRPr="00C77AB0" w:rsidRDefault="008D0DAB" w:rsidP="009B7B2A">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2024</w:t>
            </w:r>
          </w:p>
        </w:tc>
      </w:tr>
      <w:tr w:rsidR="008D0DAB" w:rsidRPr="00167C2B" w14:paraId="447E6F67" w14:textId="77777777" w:rsidTr="413EB596">
        <w:tc>
          <w:tcPr>
            <w:tcW w:w="2824" w:type="pct"/>
            <w:tcBorders>
              <w:top w:val="nil"/>
              <w:left w:val="nil"/>
              <w:bottom w:val="nil"/>
              <w:right w:val="nil"/>
            </w:tcBorders>
            <w:noWrap/>
            <w:vAlign w:val="bottom"/>
            <w:hideMark/>
          </w:tcPr>
          <w:p w14:paraId="1472FABF" w14:textId="77777777" w:rsidR="008D0DAB" w:rsidRPr="00C77AB0" w:rsidRDefault="008D0DAB" w:rsidP="009B7B2A">
            <w:pPr>
              <w:spacing w:after="0" w:line="240" w:lineRule="auto"/>
              <w:jc w:val="right"/>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1A0A31FA" w14:textId="77777777" w:rsidR="008D0DAB" w:rsidRPr="00C77AB0" w:rsidRDefault="008D0DAB" w:rsidP="009B7B2A">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Note</w:t>
            </w:r>
          </w:p>
        </w:tc>
        <w:tc>
          <w:tcPr>
            <w:tcW w:w="830" w:type="pct"/>
            <w:tcBorders>
              <w:top w:val="nil"/>
              <w:left w:val="nil"/>
              <w:bottom w:val="nil"/>
              <w:right w:val="nil"/>
            </w:tcBorders>
            <w:noWrap/>
            <w:vAlign w:val="bottom"/>
            <w:hideMark/>
          </w:tcPr>
          <w:p w14:paraId="142C0D54" w14:textId="77777777" w:rsidR="008D0DAB" w:rsidRPr="00C77AB0" w:rsidRDefault="008D0DAB" w:rsidP="009B7B2A">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c>
          <w:tcPr>
            <w:tcW w:w="830" w:type="pct"/>
            <w:tcBorders>
              <w:top w:val="nil"/>
              <w:left w:val="nil"/>
              <w:bottom w:val="nil"/>
              <w:right w:val="nil"/>
            </w:tcBorders>
            <w:noWrap/>
            <w:vAlign w:val="bottom"/>
            <w:hideMark/>
          </w:tcPr>
          <w:p w14:paraId="79080A42" w14:textId="77777777" w:rsidR="008D0DAB" w:rsidRPr="00C77AB0" w:rsidRDefault="008D0DAB" w:rsidP="009B7B2A">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r>
      <w:tr w:rsidR="008D0DAB" w:rsidRPr="00167C2B" w14:paraId="1F7D5967" w14:textId="77777777" w:rsidTr="413EB596">
        <w:tc>
          <w:tcPr>
            <w:tcW w:w="2824" w:type="pct"/>
            <w:tcBorders>
              <w:top w:val="nil"/>
              <w:left w:val="nil"/>
              <w:bottom w:val="nil"/>
              <w:right w:val="nil"/>
            </w:tcBorders>
            <w:noWrap/>
            <w:vAlign w:val="bottom"/>
            <w:hideMark/>
          </w:tcPr>
          <w:p w14:paraId="41848BC6"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Assets</w:t>
            </w:r>
          </w:p>
        </w:tc>
        <w:tc>
          <w:tcPr>
            <w:tcW w:w="516" w:type="pct"/>
            <w:tcBorders>
              <w:top w:val="nil"/>
              <w:left w:val="nil"/>
              <w:bottom w:val="nil"/>
              <w:right w:val="nil"/>
            </w:tcBorders>
            <w:noWrap/>
            <w:vAlign w:val="bottom"/>
            <w:hideMark/>
          </w:tcPr>
          <w:p w14:paraId="14F2FE1A"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490AF6BF"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44A8EC48"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32181850" w14:textId="77777777" w:rsidTr="413EB596">
        <w:tc>
          <w:tcPr>
            <w:tcW w:w="2824" w:type="pct"/>
            <w:tcBorders>
              <w:top w:val="nil"/>
              <w:left w:val="nil"/>
              <w:bottom w:val="nil"/>
              <w:right w:val="nil"/>
            </w:tcBorders>
            <w:noWrap/>
            <w:vAlign w:val="bottom"/>
            <w:hideMark/>
          </w:tcPr>
          <w:p w14:paraId="26DB96B1"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Assets</w:t>
            </w:r>
          </w:p>
        </w:tc>
        <w:tc>
          <w:tcPr>
            <w:tcW w:w="516" w:type="pct"/>
            <w:tcBorders>
              <w:top w:val="nil"/>
              <w:left w:val="nil"/>
              <w:bottom w:val="nil"/>
              <w:right w:val="nil"/>
            </w:tcBorders>
            <w:noWrap/>
            <w:vAlign w:val="bottom"/>
            <w:hideMark/>
          </w:tcPr>
          <w:p w14:paraId="5130C8B6"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5790C1BC"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67653E68"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17F01EE4" w14:textId="77777777" w:rsidTr="00E326C0">
        <w:trPr>
          <w:trHeight w:val="300"/>
        </w:trPr>
        <w:tc>
          <w:tcPr>
            <w:tcW w:w="2824" w:type="pct"/>
            <w:tcBorders>
              <w:top w:val="nil"/>
              <w:left w:val="nil"/>
              <w:bottom w:val="nil"/>
              <w:right w:val="nil"/>
            </w:tcBorders>
            <w:noWrap/>
            <w:vAlign w:val="bottom"/>
            <w:hideMark/>
          </w:tcPr>
          <w:p w14:paraId="61698A8E"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Cash and cash equivalents</w:t>
            </w:r>
          </w:p>
        </w:tc>
        <w:tc>
          <w:tcPr>
            <w:tcW w:w="516" w:type="pct"/>
            <w:tcBorders>
              <w:top w:val="nil"/>
              <w:left w:val="nil"/>
              <w:bottom w:val="nil"/>
              <w:right w:val="nil"/>
            </w:tcBorders>
            <w:noWrap/>
            <w:vAlign w:val="bottom"/>
            <w:hideMark/>
          </w:tcPr>
          <w:p w14:paraId="28F54D18" w14:textId="77777777" w:rsidR="008D0DAB" w:rsidRPr="00C77AB0"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830" w:type="pct"/>
            <w:tcBorders>
              <w:top w:val="nil"/>
              <w:left w:val="nil"/>
              <w:right w:val="nil"/>
            </w:tcBorders>
            <w:noWrap/>
            <w:vAlign w:val="bottom"/>
            <w:hideMark/>
          </w:tcPr>
          <w:p w14:paraId="659B4D96"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w:t>
            </w:r>
            <w:r w:rsidRPr="00C77AB0">
              <w:rPr>
                <w:rFonts w:eastAsia="Times New Roman" w:cs="Arial"/>
                <w:color w:val="000000"/>
                <w:sz w:val="20"/>
                <w:szCs w:val="20"/>
                <w:lang w:eastAsia="en-AU"/>
              </w:rPr>
              <w:t xml:space="preserve"> </w:t>
            </w:r>
          </w:p>
        </w:tc>
        <w:tc>
          <w:tcPr>
            <w:tcW w:w="830" w:type="pct"/>
            <w:tcBorders>
              <w:top w:val="nil"/>
              <w:left w:val="nil"/>
              <w:right w:val="nil"/>
            </w:tcBorders>
            <w:noWrap/>
            <w:vAlign w:val="bottom"/>
            <w:hideMark/>
          </w:tcPr>
          <w:p w14:paraId="11FC525B"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167C2B" w14:paraId="7A2959C8" w14:textId="77777777" w:rsidTr="00E326C0">
        <w:trPr>
          <w:trHeight w:val="300"/>
        </w:trPr>
        <w:tc>
          <w:tcPr>
            <w:tcW w:w="2824" w:type="pct"/>
            <w:tcBorders>
              <w:top w:val="nil"/>
              <w:left w:val="nil"/>
              <w:bottom w:val="nil"/>
              <w:right w:val="nil"/>
            </w:tcBorders>
            <w:noWrap/>
            <w:vAlign w:val="bottom"/>
            <w:hideMark/>
          </w:tcPr>
          <w:p w14:paraId="71DDBC49"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Receivables</w:t>
            </w:r>
          </w:p>
        </w:tc>
        <w:tc>
          <w:tcPr>
            <w:tcW w:w="516" w:type="pct"/>
            <w:tcBorders>
              <w:top w:val="nil"/>
              <w:left w:val="nil"/>
              <w:bottom w:val="nil"/>
              <w:right w:val="nil"/>
            </w:tcBorders>
            <w:noWrap/>
            <w:vAlign w:val="bottom"/>
            <w:hideMark/>
          </w:tcPr>
          <w:p w14:paraId="628D23D8"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single" w:sz="4" w:space="0" w:color="auto"/>
              <w:right w:val="nil"/>
            </w:tcBorders>
            <w:noWrap/>
            <w:vAlign w:val="bottom"/>
            <w:hideMark/>
          </w:tcPr>
          <w:p w14:paraId="5BA501E3" w14:textId="77F17173"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w:t>
            </w:r>
            <w:r w:rsidR="001405BB" w:rsidRPr="413EB596">
              <w:rPr>
                <w:rFonts w:eastAsia="Times New Roman" w:cs="Arial"/>
                <w:color w:val="000000" w:themeColor="text1"/>
                <w:sz w:val="20"/>
                <w:szCs w:val="20"/>
                <w:lang w:eastAsia="en-AU"/>
              </w:rPr>
              <w:t xml:space="preserve">739 </w:t>
            </w:r>
          </w:p>
        </w:tc>
        <w:tc>
          <w:tcPr>
            <w:tcW w:w="830" w:type="pct"/>
            <w:tcBorders>
              <w:top w:val="nil"/>
              <w:left w:val="nil"/>
              <w:bottom w:val="single" w:sz="4" w:space="0" w:color="auto"/>
              <w:right w:val="nil"/>
            </w:tcBorders>
            <w:noWrap/>
            <w:vAlign w:val="bottom"/>
            <w:hideMark/>
          </w:tcPr>
          <w:p w14:paraId="64465B4C"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167C2B" w14:paraId="4A00B4D1" w14:textId="77777777" w:rsidTr="00E326C0">
        <w:trPr>
          <w:trHeight w:val="300"/>
        </w:trPr>
        <w:tc>
          <w:tcPr>
            <w:tcW w:w="2824" w:type="pct"/>
            <w:tcBorders>
              <w:top w:val="nil"/>
              <w:left w:val="nil"/>
              <w:bottom w:val="nil"/>
              <w:right w:val="nil"/>
            </w:tcBorders>
            <w:noWrap/>
            <w:vAlign w:val="bottom"/>
            <w:hideMark/>
          </w:tcPr>
          <w:p w14:paraId="1F66526E"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assets</w:t>
            </w:r>
          </w:p>
        </w:tc>
        <w:tc>
          <w:tcPr>
            <w:tcW w:w="516" w:type="pct"/>
            <w:tcBorders>
              <w:top w:val="nil"/>
              <w:left w:val="nil"/>
              <w:bottom w:val="nil"/>
              <w:right w:val="nil"/>
            </w:tcBorders>
            <w:noWrap/>
            <w:vAlign w:val="bottom"/>
            <w:hideMark/>
          </w:tcPr>
          <w:p w14:paraId="33751AB5"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single" w:sz="4" w:space="0" w:color="auto"/>
              <w:left w:val="nil"/>
              <w:bottom w:val="nil"/>
              <w:right w:val="nil"/>
            </w:tcBorders>
            <w:noWrap/>
            <w:vAlign w:val="bottom"/>
            <w:hideMark/>
          </w:tcPr>
          <w:p w14:paraId="2E8E55F1" w14:textId="0BC7A956" w:rsidR="008D0DAB" w:rsidRPr="00C77AB0" w:rsidRDefault="008D0DAB"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w:t>
            </w:r>
            <w:r w:rsidR="001405BB" w:rsidRPr="413EB596">
              <w:rPr>
                <w:rFonts w:eastAsia="Times New Roman" w:cs="Arial"/>
                <w:b/>
                <w:bCs/>
                <w:color w:val="000000" w:themeColor="text1"/>
                <w:sz w:val="20"/>
                <w:szCs w:val="20"/>
                <w:lang w:eastAsia="en-AU"/>
              </w:rPr>
              <w:t>747</w:t>
            </w:r>
            <w:r w:rsidRPr="413EB596">
              <w:rPr>
                <w:rFonts w:eastAsia="Times New Roman" w:cs="Arial"/>
                <w:b/>
                <w:bCs/>
                <w:color w:val="000000" w:themeColor="text1"/>
                <w:sz w:val="20"/>
                <w:szCs w:val="20"/>
                <w:lang w:eastAsia="en-AU"/>
              </w:rPr>
              <w:t xml:space="preserve"> </w:t>
            </w:r>
          </w:p>
        </w:tc>
        <w:tc>
          <w:tcPr>
            <w:tcW w:w="830" w:type="pct"/>
            <w:tcBorders>
              <w:top w:val="single" w:sz="4" w:space="0" w:color="auto"/>
              <w:left w:val="nil"/>
              <w:bottom w:val="nil"/>
              <w:right w:val="nil"/>
            </w:tcBorders>
            <w:noWrap/>
            <w:vAlign w:val="bottom"/>
            <w:hideMark/>
          </w:tcPr>
          <w:p w14:paraId="2583BD45"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r w:rsidRPr="00C77AB0">
              <w:rPr>
                <w:rFonts w:eastAsia="Times New Roman" w:cs="Arial"/>
                <w:b/>
                <w:color w:val="000000"/>
                <w:sz w:val="20"/>
                <w:szCs w:val="20"/>
                <w:lang w:eastAsia="en-AU"/>
              </w:rPr>
              <w:t xml:space="preserve"> </w:t>
            </w:r>
          </w:p>
        </w:tc>
      </w:tr>
      <w:tr w:rsidR="008D0DAB" w:rsidRPr="00167C2B" w14:paraId="062391F9" w14:textId="77777777" w:rsidTr="413EB596">
        <w:tc>
          <w:tcPr>
            <w:tcW w:w="2824" w:type="pct"/>
            <w:tcBorders>
              <w:top w:val="nil"/>
              <w:left w:val="nil"/>
              <w:bottom w:val="nil"/>
              <w:right w:val="nil"/>
            </w:tcBorders>
            <w:noWrap/>
            <w:vAlign w:val="bottom"/>
            <w:hideMark/>
          </w:tcPr>
          <w:p w14:paraId="18258AF9" w14:textId="77777777" w:rsidR="008D0DAB" w:rsidRPr="00C77AB0" w:rsidRDefault="008D0DAB" w:rsidP="009B7B2A">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73512C26"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0C17A8C4"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02B21D88"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2042FA9B" w14:textId="77777777" w:rsidTr="413EB596">
        <w:tc>
          <w:tcPr>
            <w:tcW w:w="2824" w:type="pct"/>
            <w:tcBorders>
              <w:top w:val="nil"/>
              <w:left w:val="nil"/>
              <w:bottom w:val="nil"/>
              <w:right w:val="nil"/>
            </w:tcBorders>
            <w:noWrap/>
            <w:vAlign w:val="bottom"/>
            <w:hideMark/>
          </w:tcPr>
          <w:p w14:paraId="1DA3AD57"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assets</w:t>
            </w:r>
          </w:p>
        </w:tc>
        <w:tc>
          <w:tcPr>
            <w:tcW w:w="516" w:type="pct"/>
            <w:tcBorders>
              <w:top w:val="nil"/>
              <w:left w:val="nil"/>
              <w:bottom w:val="nil"/>
              <w:right w:val="nil"/>
            </w:tcBorders>
            <w:noWrap/>
            <w:vAlign w:val="bottom"/>
            <w:hideMark/>
          </w:tcPr>
          <w:p w14:paraId="2B3DAFB3"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788A2D18"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67F0E9B7"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555958D5" w14:textId="77777777" w:rsidTr="00E326C0">
        <w:trPr>
          <w:trHeight w:val="300"/>
        </w:trPr>
        <w:tc>
          <w:tcPr>
            <w:tcW w:w="2824" w:type="pct"/>
            <w:tcBorders>
              <w:top w:val="nil"/>
              <w:left w:val="nil"/>
              <w:bottom w:val="nil"/>
              <w:right w:val="nil"/>
            </w:tcBorders>
            <w:noWrap/>
            <w:vAlign w:val="bottom"/>
          </w:tcPr>
          <w:p w14:paraId="4494E014"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Property, </w:t>
            </w:r>
            <w:r>
              <w:rPr>
                <w:rFonts w:eastAsia="Times New Roman" w:cs="Arial"/>
                <w:color w:val="000000"/>
                <w:sz w:val="20"/>
                <w:szCs w:val="20"/>
                <w:lang w:eastAsia="en-AU"/>
              </w:rPr>
              <w:t>p</w:t>
            </w:r>
            <w:r w:rsidRPr="00C77AB0">
              <w:rPr>
                <w:rFonts w:eastAsia="Times New Roman" w:cs="Arial"/>
                <w:color w:val="000000"/>
                <w:sz w:val="20"/>
                <w:szCs w:val="20"/>
                <w:lang w:eastAsia="en-AU"/>
              </w:rPr>
              <w:t xml:space="preserve">lant and </w:t>
            </w:r>
            <w:r>
              <w:rPr>
                <w:rFonts w:eastAsia="Times New Roman" w:cs="Arial"/>
                <w:color w:val="000000"/>
                <w:sz w:val="20"/>
                <w:szCs w:val="20"/>
                <w:lang w:eastAsia="en-AU"/>
              </w:rPr>
              <w:t>e</w:t>
            </w:r>
            <w:r w:rsidRPr="00C77AB0">
              <w:rPr>
                <w:rFonts w:eastAsia="Times New Roman" w:cs="Arial"/>
                <w:color w:val="000000"/>
                <w:sz w:val="20"/>
                <w:szCs w:val="20"/>
                <w:lang w:eastAsia="en-AU"/>
              </w:rPr>
              <w:t>quipment</w:t>
            </w:r>
          </w:p>
        </w:tc>
        <w:tc>
          <w:tcPr>
            <w:tcW w:w="516" w:type="pct"/>
            <w:tcBorders>
              <w:top w:val="nil"/>
              <w:left w:val="nil"/>
              <w:bottom w:val="nil"/>
              <w:right w:val="nil"/>
            </w:tcBorders>
            <w:noWrap/>
            <w:vAlign w:val="bottom"/>
          </w:tcPr>
          <w:p w14:paraId="1E653BF4" w14:textId="77777777" w:rsidR="008D0DAB" w:rsidRPr="00C1358F" w:rsidDel="006F5BE1" w:rsidRDefault="008D0DAB" w:rsidP="009B7B2A">
            <w:pPr>
              <w:spacing w:after="0" w:line="240" w:lineRule="auto"/>
              <w:jc w:val="center"/>
              <w:rPr>
                <w:rFonts w:eastAsia="Times New Roman" w:cs="Arial"/>
                <w:color w:val="000000"/>
                <w:sz w:val="20"/>
                <w:szCs w:val="20"/>
                <w:highlight w:val="yellow"/>
                <w:lang w:eastAsia="en-AU"/>
              </w:rPr>
            </w:pPr>
            <w:r w:rsidRPr="00C1358F">
              <w:rPr>
                <w:rFonts w:eastAsia="Times New Roman" w:cs="Arial"/>
                <w:color w:val="000000"/>
                <w:sz w:val="20"/>
                <w:szCs w:val="20"/>
                <w:lang w:eastAsia="en-AU"/>
              </w:rPr>
              <w:t>4</w:t>
            </w:r>
          </w:p>
        </w:tc>
        <w:tc>
          <w:tcPr>
            <w:tcW w:w="830" w:type="pct"/>
            <w:tcBorders>
              <w:top w:val="nil"/>
              <w:left w:val="nil"/>
              <w:right w:val="nil"/>
            </w:tcBorders>
            <w:noWrap/>
            <w:vAlign w:val="bottom"/>
          </w:tcPr>
          <w:p w14:paraId="2CB9CD91"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102,501</w:t>
            </w:r>
            <w:r w:rsidRPr="00C77AB0">
              <w:rPr>
                <w:rFonts w:eastAsia="Times New Roman" w:cs="Arial"/>
                <w:color w:val="000000"/>
                <w:sz w:val="20"/>
                <w:szCs w:val="20"/>
                <w:lang w:eastAsia="en-AU"/>
              </w:rPr>
              <w:t xml:space="preserve"> </w:t>
            </w:r>
          </w:p>
        </w:tc>
        <w:tc>
          <w:tcPr>
            <w:tcW w:w="830" w:type="pct"/>
            <w:tcBorders>
              <w:top w:val="nil"/>
              <w:left w:val="nil"/>
              <w:right w:val="nil"/>
            </w:tcBorders>
            <w:noWrap/>
            <w:vAlign w:val="bottom"/>
          </w:tcPr>
          <w:p w14:paraId="6F1009EA"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8D0DAB" w:rsidRPr="00C77AB0" w14:paraId="3E514176" w14:textId="77777777" w:rsidTr="00E326C0">
        <w:trPr>
          <w:trHeight w:val="300"/>
        </w:trPr>
        <w:tc>
          <w:tcPr>
            <w:tcW w:w="2824" w:type="pct"/>
            <w:tcBorders>
              <w:top w:val="nil"/>
              <w:left w:val="nil"/>
              <w:bottom w:val="nil"/>
              <w:right w:val="nil"/>
            </w:tcBorders>
            <w:noWrap/>
            <w:vAlign w:val="bottom"/>
          </w:tcPr>
          <w:p w14:paraId="5FB1C2E9"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Investments accounted for using the equity method</w:t>
            </w:r>
          </w:p>
        </w:tc>
        <w:tc>
          <w:tcPr>
            <w:tcW w:w="516" w:type="pct"/>
            <w:tcBorders>
              <w:top w:val="nil"/>
              <w:left w:val="nil"/>
              <w:bottom w:val="nil"/>
              <w:right w:val="nil"/>
            </w:tcBorders>
            <w:noWrap/>
            <w:vAlign w:val="bottom"/>
          </w:tcPr>
          <w:p w14:paraId="418F5530" w14:textId="77777777" w:rsidR="008D0DAB" w:rsidRPr="00C1358F" w:rsidRDefault="008D0DAB" w:rsidP="009B7B2A">
            <w:pPr>
              <w:spacing w:after="0" w:line="240" w:lineRule="auto"/>
              <w:jc w:val="center"/>
              <w:rPr>
                <w:rFonts w:eastAsia="Times New Roman" w:cs="Arial"/>
                <w:color w:val="000000"/>
                <w:sz w:val="20"/>
                <w:szCs w:val="20"/>
                <w:highlight w:val="yellow"/>
                <w:lang w:eastAsia="en-AU"/>
              </w:rPr>
            </w:pPr>
            <w:r w:rsidRPr="00C1358F">
              <w:rPr>
                <w:rFonts w:eastAsia="Times New Roman" w:cs="Arial"/>
                <w:color w:val="000000"/>
                <w:sz w:val="20"/>
                <w:szCs w:val="20"/>
                <w:lang w:eastAsia="en-AU"/>
              </w:rPr>
              <w:t>14</w:t>
            </w:r>
          </w:p>
        </w:tc>
        <w:tc>
          <w:tcPr>
            <w:tcW w:w="830" w:type="pct"/>
            <w:tcBorders>
              <w:top w:val="nil"/>
              <w:left w:val="nil"/>
              <w:right w:val="nil"/>
            </w:tcBorders>
            <w:noWrap/>
          </w:tcPr>
          <w:p w14:paraId="32C3E589"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176,756</w:t>
            </w:r>
          </w:p>
        </w:tc>
        <w:tc>
          <w:tcPr>
            <w:tcW w:w="830" w:type="pct"/>
            <w:tcBorders>
              <w:top w:val="nil"/>
              <w:left w:val="nil"/>
              <w:right w:val="nil"/>
            </w:tcBorders>
            <w:noWrap/>
            <w:vAlign w:val="bottom"/>
          </w:tcPr>
          <w:p w14:paraId="20497D1B"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64,913</w:t>
            </w:r>
          </w:p>
        </w:tc>
      </w:tr>
      <w:tr w:rsidR="00513670" w:rsidRPr="00C77AB0" w14:paraId="50ABAF31" w14:textId="77777777" w:rsidTr="00E326C0">
        <w:trPr>
          <w:trHeight w:val="300"/>
        </w:trPr>
        <w:tc>
          <w:tcPr>
            <w:tcW w:w="2824" w:type="pct"/>
            <w:tcBorders>
              <w:top w:val="nil"/>
              <w:left w:val="nil"/>
              <w:bottom w:val="nil"/>
              <w:right w:val="nil"/>
            </w:tcBorders>
            <w:noWrap/>
            <w:vAlign w:val="bottom"/>
          </w:tcPr>
          <w:p w14:paraId="18A043CC" w14:textId="16880E58" w:rsidR="00513670" w:rsidRPr="00C77AB0" w:rsidRDefault="00513670" w:rsidP="009B7B2A">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Deferred tax assets</w:t>
            </w:r>
          </w:p>
        </w:tc>
        <w:tc>
          <w:tcPr>
            <w:tcW w:w="516" w:type="pct"/>
            <w:tcBorders>
              <w:top w:val="nil"/>
              <w:left w:val="nil"/>
              <w:bottom w:val="nil"/>
              <w:right w:val="nil"/>
            </w:tcBorders>
            <w:noWrap/>
            <w:vAlign w:val="bottom"/>
          </w:tcPr>
          <w:p w14:paraId="57559E4F" w14:textId="2E399551" w:rsidR="00513670" w:rsidRPr="00C1358F" w:rsidRDefault="00513670" w:rsidP="009B7B2A">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10</w:t>
            </w:r>
          </w:p>
        </w:tc>
        <w:tc>
          <w:tcPr>
            <w:tcW w:w="830" w:type="pct"/>
            <w:tcBorders>
              <w:left w:val="nil"/>
              <w:bottom w:val="single" w:sz="4" w:space="0" w:color="auto"/>
              <w:right w:val="nil"/>
            </w:tcBorders>
            <w:noWrap/>
          </w:tcPr>
          <w:p w14:paraId="0AA71531" w14:textId="386AC71F" w:rsidR="00513670" w:rsidRDefault="00F1026C"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217</w:t>
            </w:r>
          </w:p>
        </w:tc>
        <w:tc>
          <w:tcPr>
            <w:tcW w:w="830" w:type="pct"/>
            <w:tcBorders>
              <w:left w:val="nil"/>
              <w:bottom w:val="single" w:sz="4" w:space="0" w:color="auto"/>
              <w:right w:val="nil"/>
            </w:tcBorders>
            <w:noWrap/>
            <w:vAlign w:val="bottom"/>
          </w:tcPr>
          <w:p w14:paraId="46E4C022" w14:textId="133584F7" w:rsidR="00513670" w:rsidRPr="00C77AB0" w:rsidRDefault="00513670" w:rsidP="009B7B2A">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8D0DAB" w:rsidRPr="00167C2B" w14:paraId="18E9AD27" w14:textId="77777777" w:rsidTr="413EB596">
        <w:tc>
          <w:tcPr>
            <w:tcW w:w="2824" w:type="pct"/>
            <w:tcBorders>
              <w:top w:val="nil"/>
              <w:left w:val="nil"/>
              <w:bottom w:val="nil"/>
              <w:right w:val="nil"/>
            </w:tcBorders>
            <w:noWrap/>
            <w:vAlign w:val="bottom"/>
            <w:hideMark/>
          </w:tcPr>
          <w:p w14:paraId="4E491EBD"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assets</w:t>
            </w:r>
          </w:p>
        </w:tc>
        <w:tc>
          <w:tcPr>
            <w:tcW w:w="516" w:type="pct"/>
            <w:tcBorders>
              <w:top w:val="nil"/>
              <w:left w:val="nil"/>
              <w:bottom w:val="nil"/>
              <w:right w:val="nil"/>
            </w:tcBorders>
            <w:noWrap/>
            <w:vAlign w:val="bottom"/>
            <w:hideMark/>
          </w:tcPr>
          <w:p w14:paraId="662D0E73" w14:textId="77777777" w:rsidR="008D0DAB" w:rsidRPr="00C1358F" w:rsidRDefault="008D0DAB" w:rsidP="009B7B2A">
            <w:pPr>
              <w:spacing w:after="0" w:line="240" w:lineRule="auto"/>
              <w:jc w:val="center"/>
              <w:rPr>
                <w:rFonts w:eastAsia="Times New Roman" w:cs="Arial"/>
                <w:sz w:val="20"/>
                <w:szCs w:val="20"/>
                <w:highlight w:val="yellow"/>
                <w:lang w:eastAsia="en-AU"/>
              </w:rPr>
            </w:pPr>
          </w:p>
        </w:tc>
        <w:tc>
          <w:tcPr>
            <w:tcW w:w="830" w:type="pct"/>
            <w:tcBorders>
              <w:top w:val="single" w:sz="4" w:space="0" w:color="auto"/>
              <w:left w:val="nil"/>
              <w:bottom w:val="nil"/>
              <w:right w:val="nil"/>
            </w:tcBorders>
            <w:noWrap/>
            <w:vAlign w:val="bottom"/>
            <w:hideMark/>
          </w:tcPr>
          <w:p w14:paraId="69905127" w14:textId="7365D20A" w:rsidR="008D0DAB" w:rsidRPr="00C77AB0" w:rsidRDefault="008D0DAB"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w:t>
            </w:r>
            <w:r w:rsidR="00F1026C">
              <w:rPr>
                <w:rFonts w:eastAsia="Times New Roman" w:cs="Arial"/>
                <w:b/>
                <w:bCs/>
                <w:color w:val="000000" w:themeColor="text1"/>
                <w:sz w:val="20"/>
                <w:szCs w:val="20"/>
                <w:lang w:eastAsia="en-AU"/>
              </w:rPr>
              <w:t>79,474</w:t>
            </w:r>
            <w:r w:rsidRPr="413EB596">
              <w:rPr>
                <w:rFonts w:eastAsia="Times New Roman" w:cs="Arial"/>
                <w:b/>
                <w:bCs/>
                <w:color w:val="000000" w:themeColor="text1"/>
                <w:sz w:val="20"/>
                <w:szCs w:val="20"/>
                <w:lang w:eastAsia="en-AU"/>
              </w:rPr>
              <w:t xml:space="preserve"> </w:t>
            </w:r>
          </w:p>
        </w:tc>
        <w:tc>
          <w:tcPr>
            <w:tcW w:w="830" w:type="pct"/>
            <w:tcBorders>
              <w:top w:val="single" w:sz="4" w:space="0" w:color="auto"/>
              <w:left w:val="nil"/>
              <w:bottom w:val="nil"/>
              <w:right w:val="nil"/>
            </w:tcBorders>
            <w:noWrap/>
            <w:vAlign w:val="bottom"/>
            <w:hideMark/>
          </w:tcPr>
          <w:p w14:paraId="60863D47"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64,913</w:t>
            </w:r>
          </w:p>
        </w:tc>
      </w:tr>
      <w:tr w:rsidR="008D0DAB" w:rsidRPr="00167C2B" w14:paraId="02E6EDFF" w14:textId="77777777" w:rsidTr="413EB596">
        <w:tc>
          <w:tcPr>
            <w:tcW w:w="2824" w:type="pct"/>
            <w:tcBorders>
              <w:top w:val="nil"/>
              <w:left w:val="nil"/>
              <w:bottom w:val="nil"/>
              <w:right w:val="nil"/>
            </w:tcBorders>
            <w:noWrap/>
            <w:vAlign w:val="bottom"/>
            <w:hideMark/>
          </w:tcPr>
          <w:p w14:paraId="57A47B45"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assets</w:t>
            </w:r>
          </w:p>
        </w:tc>
        <w:tc>
          <w:tcPr>
            <w:tcW w:w="516" w:type="pct"/>
            <w:tcBorders>
              <w:top w:val="nil"/>
              <w:left w:val="nil"/>
              <w:bottom w:val="nil"/>
              <w:right w:val="nil"/>
            </w:tcBorders>
            <w:noWrap/>
            <w:vAlign w:val="bottom"/>
            <w:hideMark/>
          </w:tcPr>
          <w:p w14:paraId="5C19F88E" w14:textId="77777777" w:rsidR="008D0DAB" w:rsidRPr="00C1358F" w:rsidRDefault="008D0DAB" w:rsidP="009B7B2A">
            <w:pPr>
              <w:spacing w:after="0" w:line="240" w:lineRule="auto"/>
              <w:jc w:val="center"/>
              <w:rPr>
                <w:rFonts w:eastAsia="Times New Roman" w:cs="Arial"/>
                <w:sz w:val="20"/>
                <w:szCs w:val="20"/>
                <w:highlight w:val="yellow"/>
                <w:lang w:eastAsia="en-AU"/>
              </w:rPr>
            </w:pPr>
          </w:p>
        </w:tc>
        <w:tc>
          <w:tcPr>
            <w:tcW w:w="830" w:type="pct"/>
            <w:tcBorders>
              <w:top w:val="single" w:sz="4" w:space="0" w:color="auto"/>
              <w:left w:val="nil"/>
              <w:bottom w:val="single" w:sz="4" w:space="0" w:color="auto"/>
              <w:right w:val="nil"/>
            </w:tcBorders>
            <w:noWrap/>
            <w:vAlign w:val="bottom"/>
            <w:hideMark/>
          </w:tcPr>
          <w:p w14:paraId="6B614E67" w14:textId="2437CB69" w:rsidR="008D0DAB" w:rsidRPr="00C77AB0" w:rsidRDefault="008D0DAB" w:rsidP="009B7B2A">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28</w:t>
            </w:r>
            <w:r w:rsidR="00F1026C">
              <w:rPr>
                <w:rFonts w:eastAsia="Times New Roman" w:cs="Arial"/>
                <w:b/>
                <w:bCs/>
                <w:color w:val="000000" w:themeColor="text1"/>
                <w:sz w:val="20"/>
                <w:szCs w:val="20"/>
                <w:lang w:eastAsia="en-AU"/>
              </w:rPr>
              <w:t>2,221</w:t>
            </w:r>
          </w:p>
        </w:tc>
        <w:tc>
          <w:tcPr>
            <w:tcW w:w="830" w:type="pct"/>
            <w:tcBorders>
              <w:top w:val="single" w:sz="4" w:space="0" w:color="auto"/>
              <w:left w:val="nil"/>
              <w:bottom w:val="single" w:sz="4" w:space="0" w:color="auto"/>
              <w:right w:val="nil"/>
            </w:tcBorders>
            <w:noWrap/>
            <w:vAlign w:val="bottom"/>
            <w:hideMark/>
          </w:tcPr>
          <w:p w14:paraId="0F09B810"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64,913</w:t>
            </w:r>
          </w:p>
        </w:tc>
      </w:tr>
      <w:tr w:rsidR="008D0DAB" w:rsidRPr="00167C2B" w14:paraId="3D852B10" w14:textId="77777777" w:rsidTr="413EB596">
        <w:tc>
          <w:tcPr>
            <w:tcW w:w="2824" w:type="pct"/>
            <w:tcBorders>
              <w:top w:val="nil"/>
              <w:left w:val="nil"/>
              <w:bottom w:val="nil"/>
              <w:right w:val="nil"/>
            </w:tcBorders>
            <w:noWrap/>
            <w:vAlign w:val="bottom"/>
            <w:hideMark/>
          </w:tcPr>
          <w:p w14:paraId="7044FB3E" w14:textId="77777777" w:rsidR="008D0DAB" w:rsidRPr="00C77AB0" w:rsidRDefault="008D0DAB" w:rsidP="009B7B2A">
            <w:pPr>
              <w:spacing w:after="0" w:line="240" w:lineRule="auto"/>
              <w:jc w:val="right"/>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21676ECA" w14:textId="77777777" w:rsidR="008D0DAB" w:rsidRPr="00C1358F" w:rsidRDefault="008D0DAB" w:rsidP="009B7B2A">
            <w:pPr>
              <w:spacing w:after="0" w:line="240" w:lineRule="auto"/>
              <w:jc w:val="center"/>
              <w:rPr>
                <w:rFonts w:eastAsia="Times New Roman" w:cs="Arial"/>
                <w:sz w:val="20"/>
                <w:szCs w:val="20"/>
                <w:highlight w:val="yellow"/>
                <w:lang w:eastAsia="en-AU"/>
              </w:rPr>
            </w:pPr>
          </w:p>
        </w:tc>
        <w:tc>
          <w:tcPr>
            <w:tcW w:w="830" w:type="pct"/>
            <w:tcBorders>
              <w:top w:val="nil"/>
              <w:left w:val="nil"/>
              <w:bottom w:val="nil"/>
              <w:right w:val="nil"/>
            </w:tcBorders>
            <w:noWrap/>
            <w:vAlign w:val="bottom"/>
            <w:hideMark/>
          </w:tcPr>
          <w:p w14:paraId="18121021"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0801862D"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354E9350" w14:textId="77777777" w:rsidTr="413EB596">
        <w:tc>
          <w:tcPr>
            <w:tcW w:w="2824" w:type="pct"/>
            <w:tcBorders>
              <w:top w:val="nil"/>
              <w:left w:val="nil"/>
              <w:bottom w:val="nil"/>
              <w:right w:val="nil"/>
            </w:tcBorders>
            <w:noWrap/>
            <w:vAlign w:val="bottom"/>
            <w:hideMark/>
          </w:tcPr>
          <w:p w14:paraId="38D1DFED"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Liabilities</w:t>
            </w:r>
          </w:p>
        </w:tc>
        <w:tc>
          <w:tcPr>
            <w:tcW w:w="516" w:type="pct"/>
            <w:tcBorders>
              <w:top w:val="nil"/>
              <w:left w:val="nil"/>
              <w:bottom w:val="nil"/>
              <w:right w:val="nil"/>
            </w:tcBorders>
            <w:noWrap/>
            <w:vAlign w:val="bottom"/>
            <w:hideMark/>
          </w:tcPr>
          <w:p w14:paraId="66885C24" w14:textId="77777777" w:rsidR="008D0DAB" w:rsidRPr="00C1358F" w:rsidRDefault="008D0DAB" w:rsidP="009B7B2A">
            <w:pPr>
              <w:spacing w:after="0" w:line="240" w:lineRule="auto"/>
              <w:jc w:val="center"/>
              <w:rPr>
                <w:rFonts w:eastAsia="Times New Roman" w:cs="Arial"/>
                <w:sz w:val="20"/>
                <w:szCs w:val="20"/>
                <w:highlight w:val="yellow"/>
                <w:lang w:eastAsia="en-AU"/>
              </w:rPr>
            </w:pPr>
          </w:p>
        </w:tc>
        <w:tc>
          <w:tcPr>
            <w:tcW w:w="830" w:type="pct"/>
            <w:tcBorders>
              <w:top w:val="nil"/>
              <w:left w:val="nil"/>
              <w:bottom w:val="nil"/>
              <w:right w:val="nil"/>
            </w:tcBorders>
            <w:noWrap/>
            <w:vAlign w:val="bottom"/>
            <w:hideMark/>
          </w:tcPr>
          <w:p w14:paraId="1843B124"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77EF604E"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27D0C84D" w14:textId="77777777" w:rsidTr="413EB596">
        <w:tc>
          <w:tcPr>
            <w:tcW w:w="2824" w:type="pct"/>
            <w:tcBorders>
              <w:top w:val="nil"/>
              <w:left w:val="nil"/>
              <w:bottom w:val="nil"/>
              <w:right w:val="nil"/>
            </w:tcBorders>
            <w:noWrap/>
            <w:vAlign w:val="bottom"/>
            <w:hideMark/>
          </w:tcPr>
          <w:p w14:paraId="22762B06"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liabilities</w:t>
            </w:r>
          </w:p>
        </w:tc>
        <w:tc>
          <w:tcPr>
            <w:tcW w:w="516" w:type="pct"/>
            <w:tcBorders>
              <w:top w:val="nil"/>
              <w:left w:val="nil"/>
              <w:bottom w:val="nil"/>
              <w:right w:val="nil"/>
            </w:tcBorders>
            <w:noWrap/>
            <w:vAlign w:val="bottom"/>
            <w:hideMark/>
          </w:tcPr>
          <w:p w14:paraId="2A5D392E" w14:textId="77777777" w:rsidR="008D0DAB" w:rsidRPr="00C1358F" w:rsidRDefault="008D0DAB" w:rsidP="009B7B2A">
            <w:pPr>
              <w:spacing w:after="0" w:line="240" w:lineRule="auto"/>
              <w:jc w:val="center"/>
              <w:rPr>
                <w:rFonts w:eastAsia="Times New Roman" w:cs="Arial"/>
                <w:sz w:val="20"/>
                <w:szCs w:val="20"/>
                <w:highlight w:val="yellow"/>
                <w:lang w:eastAsia="en-AU"/>
              </w:rPr>
            </w:pPr>
          </w:p>
        </w:tc>
        <w:tc>
          <w:tcPr>
            <w:tcW w:w="830" w:type="pct"/>
            <w:tcBorders>
              <w:top w:val="nil"/>
              <w:left w:val="nil"/>
              <w:bottom w:val="nil"/>
              <w:right w:val="nil"/>
            </w:tcBorders>
            <w:noWrap/>
            <w:vAlign w:val="bottom"/>
            <w:hideMark/>
          </w:tcPr>
          <w:p w14:paraId="556775CC"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7D1EF603"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760C4608" w14:textId="77777777" w:rsidTr="413EB596">
        <w:tc>
          <w:tcPr>
            <w:tcW w:w="2824" w:type="pct"/>
            <w:tcBorders>
              <w:top w:val="nil"/>
              <w:left w:val="nil"/>
              <w:bottom w:val="nil"/>
              <w:right w:val="nil"/>
            </w:tcBorders>
            <w:noWrap/>
            <w:vAlign w:val="bottom"/>
            <w:hideMark/>
          </w:tcPr>
          <w:p w14:paraId="0FA10B84"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Payables</w:t>
            </w:r>
          </w:p>
        </w:tc>
        <w:tc>
          <w:tcPr>
            <w:tcW w:w="516" w:type="pct"/>
            <w:tcBorders>
              <w:top w:val="nil"/>
              <w:left w:val="nil"/>
              <w:bottom w:val="nil"/>
              <w:right w:val="nil"/>
            </w:tcBorders>
            <w:noWrap/>
            <w:vAlign w:val="bottom"/>
            <w:hideMark/>
          </w:tcPr>
          <w:p w14:paraId="30437CC1" w14:textId="77777777" w:rsidR="008D0DAB" w:rsidRPr="00A91B82" w:rsidRDefault="008D0DAB" w:rsidP="009B7B2A">
            <w:pPr>
              <w:spacing w:after="0" w:line="240" w:lineRule="auto"/>
              <w:jc w:val="center"/>
              <w:rPr>
                <w:rFonts w:eastAsia="Times New Roman" w:cs="Arial"/>
                <w:color w:val="000000"/>
                <w:sz w:val="20"/>
                <w:szCs w:val="20"/>
                <w:lang w:eastAsia="en-AU"/>
              </w:rPr>
            </w:pPr>
            <w:r w:rsidRPr="00C1358F">
              <w:rPr>
                <w:rFonts w:eastAsia="Times New Roman" w:cs="Arial"/>
                <w:color w:val="000000"/>
                <w:sz w:val="20"/>
                <w:szCs w:val="20"/>
                <w:lang w:eastAsia="en-AU"/>
              </w:rPr>
              <w:t>5</w:t>
            </w:r>
          </w:p>
        </w:tc>
        <w:tc>
          <w:tcPr>
            <w:tcW w:w="830" w:type="pct"/>
            <w:tcBorders>
              <w:top w:val="nil"/>
              <w:left w:val="nil"/>
              <w:bottom w:val="nil"/>
              <w:right w:val="nil"/>
            </w:tcBorders>
            <w:noWrap/>
            <w:vAlign w:val="bottom"/>
            <w:hideMark/>
          </w:tcPr>
          <w:p w14:paraId="2815BBA0"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19,195</w:t>
            </w:r>
            <w:r w:rsidRPr="00C77AB0">
              <w:rPr>
                <w:rFonts w:eastAsia="Times New Roman" w:cs="Arial"/>
                <w:color w:val="000000"/>
                <w:sz w:val="20"/>
                <w:szCs w:val="20"/>
                <w:lang w:eastAsia="en-AU"/>
              </w:rPr>
              <w:t xml:space="preserve"> </w:t>
            </w:r>
          </w:p>
        </w:tc>
        <w:tc>
          <w:tcPr>
            <w:tcW w:w="830" w:type="pct"/>
            <w:tcBorders>
              <w:top w:val="nil"/>
              <w:left w:val="nil"/>
              <w:bottom w:val="nil"/>
              <w:right w:val="nil"/>
            </w:tcBorders>
            <w:noWrap/>
            <w:vAlign w:val="bottom"/>
            <w:hideMark/>
          </w:tcPr>
          <w:p w14:paraId="64CBB5DA"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73,125</w:t>
            </w:r>
            <w:r w:rsidRPr="00C77AB0">
              <w:rPr>
                <w:rFonts w:eastAsia="Times New Roman" w:cs="Arial"/>
                <w:color w:val="000000"/>
                <w:sz w:val="20"/>
                <w:szCs w:val="20"/>
                <w:lang w:eastAsia="en-AU"/>
              </w:rPr>
              <w:t xml:space="preserve"> </w:t>
            </w:r>
          </w:p>
        </w:tc>
      </w:tr>
      <w:tr w:rsidR="008D0DAB" w:rsidRPr="00C77AB0" w14:paraId="13DE1EC0" w14:textId="77777777" w:rsidTr="413EB596">
        <w:tc>
          <w:tcPr>
            <w:tcW w:w="2824" w:type="pct"/>
            <w:tcBorders>
              <w:top w:val="nil"/>
              <w:left w:val="nil"/>
              <w:bottom w:val="nil"/>
              <w:right w:val="nil"/>
            </w:tcBorders>
            <w:noWrap/>
            <w:vAlign w:val="bottom"/>
          </w:tcPr>
          <w:p w14:paraId="4FE798F1" w14:textId="77777777" w:rsidR="008D0DAB" w:rsidRPr="00C77AB0"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Provisions</w:t>
            </w:r>
          </w:p>
        </w:tc>
        <w:tc>
          <w:tcPr>
            <w:tcW w:w="516" w:type="pct"/>
            <w:tcBorders>
              <w:top w:val="nil"/>
              <w:left w:val="nil"/>
              <w:bottom w:val="nil"/>
              <w:right w:val="nil"/>
            </w:tcBorders>
            <w:noWrap/>
            <w:vAlign w:val="bottom"/>
          </w:tcPr>
          <w:p w14:paraId="02E32F18" w14:textId="77777777" w:rsidR="008D0DAB" w:rsidRPr="00A91B82" w:rsidRDefault="008D0DAB" w:rsidP="009B7B2A">
            <w:pPr>
              <w:spacing w:after="0" w:line="240" w:lineRule="auto"/>
              <w:jc w:val="center"/>
              <w:rPr>
                <w:rFonts w:eastAsia="Times New Roman" w:cs="Arial"/>
                <w:color w:val="000000"/>
                <w:sz w:val="20"/>
                <w:szCs w:val="20"/>
                <w:lang w:eastAsia="en-AU"/>
              </w:rPr>
            </w:pPr>
            <w:r w:rsidRPr="00C1358F">
              <w:rPr>
                <w:rFonts w:eastAsia="Times New Roman" w:cs="Arial"/>
                <w:color w:val="000000"/>
                <w:sz w:val="20"/>
                <w:szCs w:val="20"/>
                <w:lang w:eastAsia="en-AU"/>
              </w:rPr>
              <w:t>6</w:t>
            </w:r>
          </w:p>
        </w:tc>
        <w:tc>
          <w:tcPr>
            <w:tcW w:w="830" w:type="pct"/>
            <w:tcBorders>
              <w:top w:val="nil"/>
              <w:left w:val="nil"/>
              <w:right w:val="nil"/>
            </w:tcBorders>
            <w:noWrap/>
          </w:tcPr>
          <w:p w14:paraId="60926184" w14:textId="77777777" w:rsidR="008D0DAB" w:rsidRPr="00D15AF6" w:rsidRDefault="008D0DAB" w:rsidP="009B7B2A">
            <w:pPr>
              <w:tabs>
                <w:tab w:val="decimal" w:pos="1155"/>
              </w:tabs>
              <w:spacing w:after="0" w:line="240" w:lineRule="auto"/>
              <w:rPr>
                <w:sz w:val="20"/>
                <w:szCs w:val="18"/>
              </w:rPr>
            </w:pPr>
            <w:r>
              <w:rPr>
                <w:sz w:val="20"/>
                <w:szCs w:val="18"/>
              </w:rPr>
              <w:t>6,000</w:t>
            </w:r>
          </w:p>
        </w:tc>
        <w:tc>
          <w:tcPr>
            <w:tcW w:w="830" w:type="pct"/>
            <w:tcBorders>
              <w:top w:val="nil"/>
              <w:left w:val="nil"/>
              <w:right w:val="nil"/>
            </w:tcBorders>
            <w:noWrap/>
            <w:vAlign w:val="bottom"/>
          </w:tcPr>
          <w:p w14:paraId="6AB3EED4" w14:textId="372A38AB" w:rsidR="008D0DAB" w:rsidRPr="00C77AB0" w:rsidRDefault="00E87B8F" w:rsidP="009B7B2A">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8D0DAB" w:rsidRPr="00C77AB0" w14:paraId="75DA9766" w14:textId="77777777" w:rsidTr="413EB596">
        <w:tc>
          <w:tcPr>
            <w:tcW w:w="2824" w:type="pct"/>
            <w:tcBorders>
              <w:top w:val="nil"/>
              <w:left w:val="nil"/>
              <w:bottom w:val="nil"/>
              <w:right w:val="nil"/>
            </w:tcBorders>
            <w:noWrap/>
            <w:vAlign w:val="bottom"/>
          </w:tcPr>
          <w:p w14:paraId="4B4E5629"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liabilities</w:t>
            </w:r>
          </w:p>
        </w:tc>
        <w:tc>
          <w:tcPr>
            <w:tcW w:w="516" w:type="pct"/>
            <w:tcBorders>
              <w:top w:val="nil"/>
              <w:left w:val="nil"/>
              <w:bottom w:val="nil"/>
              <w:right w:val="nil"/>
            </w:tcBorders>
            <w:noWrap/>
            <w:vAlign w:val="bottom"/>
          </w:tcPr>
          <w:p w14:paraId="174C3565" w14:textId="77777777" w:rsidR="008D0DAB" w:rsidRPr="00A91B82" w:rsidDel="006F5BE1" w:rsidRDefault="008D0DAB" w:rsidP="009B7B2A">
            <w:pPr>
              <w:spacing w:after="0" w:line="240" w:lineRule="auto"/>
              <w:jc w:val="center"/>
              <w:rPr>
                <w:rFonts w:eastAsia="Times New Roman" w:cs="Arial"/>
                <w:color w:val="000000"/>
                <w:sz w:val="20"/>
                <w:szCs w:val="20"/>
                <w:lang w:eastAsia="en-AU"/>
              </w:rPr>
            </w:pPr>
          </w:p>
        </w:tc>
        <w:tc>
          <w:tcPr>
            <w:tcW w:w="830" w:type="pct"/>
            <w:tcBorders>
              <w:top w:val="nil"/>
              <w:left w:val="nil"/>
              <w:right w:val="nil"/>
            </w:tcBorders>
            <w:noWrap/>
          </w:tcPr>
          <w:p w14:paraId="61A916A4" w14:textId="77777777" w:rsidR="008D0DAB" w:rsidRPr="00753AA5" w:rsidRDefault="008D0DAB" w:rsidP="009B7B2A">
            <w:pPr>
              <w:tabs>
                <w:tab w:val="decimal" w:pos="1155"/>
              </w:tabs>
              <w:spacing w:after="0" w:line="240" w:lineRule="auto"/>
              <w:rPr>
                <w:rFonts w:eastAsia="Times New Roman" w:cs="Arial"/>
                <w:color w:val="000000"/>
                <w:sz w:val="20"/>
                <w:szCs w:val="18"/>
                <w:lang w:eastAsia="en-AU"/>
              </w:rPr>
            </w:pPr>
            <w:r w:rsidRPr="00D15AF6">
              <w:rPr>
                <w:sz w:val="20"/>
                <w:szCs w:val="18"/>
              </w:rPr>
              <w:t>752</w:t>
            </w:r>
          </w:p>
        </w:tc>
        <w:tc>
          <w:tcPr>
            <w:tcW w:w="830" w:type="pct"/>
            <w:tcBorders>
              <w:top w:val="nil"/>
              <w:left w:val="nil"/>
              <w:right w:val="nil"/>
            </w:tcBorders>
            <w:noWrap/>
            <w:vAlign w:val="bottom"/>
          </w:tcPr>
          <w:p w14:paraId="2ED67F33"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8D0DAB" w:rsidRPr="00C77AB0" w14:paraId="7953EEAC" w14:textId="77777777" w:rsidTr="413EB596">
        <w:tc>
          <w:tcPr>
            <w:tcW w:w="2824" w:type="pct"/>
            <w:tcBorders>
              <w:top w:val="nil"/>
              <w:left w:val="nil"/>
              <w:bottom w:val="nil"/>
              <w:right w:val="nil"/>
            </w:tcBorders>
            <w:noWrap/>
            <w:vAlign w:val="bottom"/>
            <w:hideMark/>
          </w:tcPr>
          <w:p w14:paraId="5DEF1605"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Interest bearing liabilities</w:t>
            </w:r>
          </w:p>
        </w:tc>
        <w:tc>
          <w:tcPr>
            <w:tcW w:w="516" w:type="pct"/>
            <w:tcBorders>
              <w:top w:val="nil"/>
              <w:left w:val="nil"/>
              <w:bottom w:val="nil"/>
              <w:right w:val="nil"/>
            </w:tcBorders>
            <w:noWrap/>
            <w:vAlign w:val="bottom"/>
            <w:hideMark/>
          </w:tcPr>
          <w:p w14:paraId="382CA24C" w14:textId="77777777" w:rsidR="008D0DAB" w:rsidRPr="00A91B82" w:rsidRDefault="008D0DAB" w:rsidP="009B7B2A">
            <w:pPr>
              <w:spacing w:after="0" w:line="240" w:lineRule="auto"/>
              <w:jc w:val="center"/>
              <w:rPr>
                <w:rFonts w:eastAsia="Times New Roman" w:cs="Arial"/>
                <w:color w:val="000000"/>
                <w:sz w:val="20"/>
                <w:szCs w:val="20"/>
                <w:lang w:eastAsia="en-AU"/>
              </w:rPr>
            </w:pPr>
            <w:r w:rsidRPr="00C1358F">
              <w:rPr>
                <w:rFonts w:eastAsia="Times New Roman" w:cs="Arial"/>
                <w:color w:val="000000"/>
                <w:sz w:val="20"/>
                <w:szCs w:val="20"/>
                <w:lang w:eastAsia="en-AU"/>
              </w:rPr>
              <w:t>7</w:t>
            </w:r>
          </w:p>
        </w:tc>
        <w:tc>
          <w:tcPr>
            <w:tcW w:w="830" w:type="pct"/>
            <w:tcBorders>
              <w:top w:val="nil"/>
              <w:left w:val="nil"/>
              <w:bottom w:val="single" w:sz="4" w:space="0" w:color="auto"/>
              <w:right w:val="nil"/>
            </w:tcBorders>
            <w:noWrap/>
            <w:hideMark/>
          </w:tcPr>
          <w:p w14:paraId="235B0757" w14:textId="77777777" w:rsidR="008D0DAB" w:rsidRPr="00753AA5" w:rsidRDefault="008D0DAB" w:rsidP="009B7B2A">
            <w:pPr>
              <w:tabs>
                <w:tab w:val="decimal" w:pos="1155"/>
              </w:tabs>
              <w:spacing w:after="0" w:line="240" w:lineRule="auto"/>
              <w:rPr>
                <w:rFonts w:eastAsia="Times New Roman" w:cs="Arial"/>
                <w:color w:val="000000"/>
                <w:sz w:val="20"/>
                <w:szCs w:val="18"/>
                <w:lang w:eastAsia="en-AU"/>
              </w:rPr>
            </w:pPr>
            <w:r>
              <w:rPr>
                <w:sz w:val="20"/>
                <w:szCs w:val="18"/>
              </w:rPr>
              <w:t>313</w:t>
            </w:r>
          </w:p>
        </w:tc>
        <w:tc>
          <w:tcPr>
            <w:tcW w:w="830" w:type="pct"/>
            <w:tcBorders>
              <w:top w:val="nil"/>
              <w:left w:val="nil"/>
              <w:bottom w:val="single" w:sz="4" w:space="0" w:color="auto"/>
              <w:right w:val="nil"/>
            </w:tcBorders>
            <w:noWrap/>
            <w:vAlign w:val="bottom"/>
            <w:hideMark/>
          </w:tcPr>
          <w:p w14:paraId="76356440"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8D0DAB" w:rsidRPr="00167C2B" w14:paraId="07897252" w14:textId="77777777" w:rsidTr="413EB596">
        <w:tc>
          <w:tcPr>
            <w:tcW w:w="2824" w:type="pct"/>
            <w:tcBorders>
              <w:top w:val="nil"/>
              <w:left w:val="nil"/>
              <w:bottom w:val="nil"/>
              <w:right w:val="nil"/>
            </w:tcBorders>
            <w:vAlign w:val="bottom"/>
            <w:hideMark/>
          </w:tcPr>
          <w:p w14:paraId="23F82D67"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liabilities</w:t>
            </w:r>
          </w:p>
        </w:tc>
        <w:tc>
          <w:tcPr>
            <w:tcW w:w="516" w:type="pct"/>
            <w:tcBorders>
              <w:top w:val="nil"/>
              <w:left w:val="nil"/>
              <w:bottom w:val="nil"/>
              <w:right w:val="nil"/>
            </w:tcBorders>
            <w:noWrap/>
            <w:vAlign w:val="bottom"/>
            <w:hideMark/>
          </w:tcPr>
          <w:p w14:paraId="02F29812" w14:textId="77777777" w:rsidR="008D0DAB" w:rsidRPr="00C1358F" w:rsidRDefault="008D0DAB" w:rsidP="009B7B2A">
            <w:pPr>
              <w:spacing w:after="0" w:line="240" w:lineRule="auto"/>
              <w:jc w:val="center"/>
              <w:rPr>
                <w:rFonts w:eastAsia="Times New Roman" w:cs="Arial"/>
                <w:sz w:val="20"/>
                <w:szCs w:val="20"/>
                <w:lang w:eastAsia="en-AU"/>
              </w:rPr>
            </w:pPr>
          </w:p>
        </w:tc>
        <w:tc>
          <w:tcPr>
            <w:tcW w:w="830" w:type="pct"/>
            <w:tcBorders>
              <w:top w:val="single" w:sz="4" w:space="0" w:color="auto"/>
              <w:left w:val="nil"/>
              <w:bottom w:val="nil"/>
              <w:right w:val="nil"/>
            </w:tcBorders>
            <w:noWrap/>
            <w:vAlign w:val="bottom"/>
            <w:hideMark/>
          </w:tcPr>
          <w:p w14:paraId="2FC0A13D" w14:textId="5F9B2DB5" w:rsidR="008D0DAB" w:rsidRPr="00C77AB0" w:rsidRDefault="008D0DAB"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26,</w:t>
            </w:r>
            <w:r w:rsidR="00DA05F3" w:rsidRPr="413EB596">
              <w:rPr>
                <w:rFonts w:eastAsia="Times New Roman" w:cs="Arial"/>
                <w:b/>
                <w:bCs/>
                <w:color w:val="000000" w:themeColor="text1"/>
                <w:sz w:val="20"/>
                <w:szCs w:val="20"/>
                <w:lang w:eastAsia="en-AU"/>
              </w:rPr>
              <w:t xml:space="preserve">260 </w:t>
            </w:r>
          </w:p>
        </w:tc>
        <w:tc>
          <w:tcPr>
            <w:tcW w:w="830" w:type="pct"/>
            <w:tcBorders>
              <w:top w:val="single" w:sz="4" w:space="0" w:color="auto"/>
              <w:left w:val="nil"/>
              <w:bottom w:val="nil"/>
              <w:right w:val="nil"/>
            </w:tcBorders>
            <w:noWrap/>
            <w:vAlign w:val="bottom"/>
            <w:hideMark/>
          </w:tcPr>
          <w:p w14:paraId="0BF66B92"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73,125</w:t>
            </w:r>
          </w:p>
        </w:tc>
      </w:tr>
      <w:tr w:rsidR="008D0DAB" w:rsidRPr="00167C2B" w14:paraId="49C4A7B4" w14:textId="77777777" w:rsidTr="413EB596">
        <w:tc>
          <w:tcPr>
            <w:tcW w:w="2824" w:type="pct"/>
            <w:tcBorders>
              <w:top w:val="nil"/>
              <w:left w:val="nil"/>
              <w:bottom w:val="nil"/>
              <w:right w:val="nil"/>
            </w:tcBorders>
            <w:vAlign w:val="bottom"/>
            <w:hideMark/>
          </w:tcPr>
          <w:p w14:paraId="3EF362B2" w14:textId="77777777" w:rsidR="008D0DAB" w:rsidRPr="00C77AB0" w:rsidRDefault="008D0DAB" w:rsidP="009B7B2A">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1A1E1544" w14:textId="77777777" w:rsidR="008D0DAB" w:rsidRPr="00C1358F"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0F2299F0"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3D78438F"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6BD467E0" w14:textId="77777777" w:rsidTr="413EB596">
        <w:tc>
          <w:tcPr>
            <w:tcW w:w="2824" w:type="pct"/>
            <w:tcBorders>
              <w:top w:val="nil"/>
              <w:left w:val="nil"/>
              <w:bottom w:val="nil"/>
              <w:right w:val="nil"/>
            </w:tcBorders>
            <w:noWrap/>
            <w:vAlign w:val="bottom"/>
            <w:hideMark/>
          </w:tcPr>
          <w:p w14:paraId="18628DAB"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liabilities</w:t>
            </w:r>
          </w:p>
        </w:tc>
        <w:tc>
          <w:tcPr>
            <w:tcW w:w="516" w:type="pct"/>
            <w:tcBorders>
              <w:top w:val="nil"/>
              <w:left w:val="nil"/>
              <w:bottom w:val="nil"/>
              <w:right w:val="nil"/>
            </w:tcBorders>
            <w:noWrap/>
            <w:vAlign w:val="bottom"/>
            <w:hideMark/>
          </w:tcPr>
          <w:p w14:paraId="17E19478" w14:textId="77777777" w:rsidR="008D0DAB" w:rsidRPr="00C1358F"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44096DAD"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38C15486"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27D0896C" w14:textId="77777777" w:rsidTr="413EB596">
        <w:tc>
          <w:tcPr>
            <w:tcW w:w="2824" w:type="pct"/>
            <w:tcBorders>
              <w:top w:val="nil"/>
              <w:left w:val="nil"/>
              <w:bottom w:val="nil"/>
              <w:right w:val="nil"/>
            </w:tcBorders>
            <w:noWrap/>
            <w:vAlign w:val="bottom"/>
          </w:tcPr>
          <w:p w14:paraId="4EA1FC5A" w14:textId="77777777" w:rsidR="008D0DAB" w:rsidRPr="00C77AB0"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Payables</w:t>
            </w:r>
          </w:p>
        </w:tc>
        <w:tc>
          <w:tcPr>
            <w:tcW w:w="516" w:type="pct"/>
            <w:tcBorders>
              <w:top w:val="nil"/>
              <w:left w:val="nil"/>
              <w:bottom w:val="nil"/>
              <w:right w:val="nil"/>
            </w:tcBorders>
            <w:noWrap/>
            <w:vAlign w:val="bottom"/>
          </w:tcPr>
          <w:p w14:paraId="375AEBD4" w14:textId="77777777" w:rsidR="008D0DAB" w:rsidRPr="00A91B82" w:rsidDel="006F5BE1" w:rsidRDefault="008D0DAB" w:rsidP="009B7B2A">
            <w:pPr>
              <w:spacing w:after="0" w:line="240" w:lineRule="auto"/>
              <w:jc w:val="center"/>
              <w:rPr>
                <w:rFonts w:eastAsia="Times New Roman" w:cs="Arial"/>
                <w:color w:val="000000"/>
                <w:sz w:val="20"/>
                <w:szCs w:val="20"/>
                <w:lang w:eastAsia="en-AU"/>
              </w:rPr>
            </w:pPr>
            <w:r w:rsidRPr="00C1358F">
              <w:rPr>
                <w:rFonts w:eastAsia="Times New Roman" w:cs="Arial"/>
                <w:color w:val="000000"/>
                <w:sz w:val="20"/>
                <w:szCs w:val="20"/>
                <w:lang w:eastAsia="en-AU"/>
              </w:rPr>
              <w:t>5</w:t>
            </w:r>
          </w:p>
        </w:tc>
        <w:tc>
          <w:tcPr>
            <w:tcW w:w="830" w:type="pct"/>
            <w:tcBorders>
              <w:top w:val="nil"/>
              <w:left w:val="nil"/>
              <w:bottom w:val="nil"/>
              <w:right w:val="nil"/>
            </w:tcBorders>
            <w:noWrap/>
            <w:vAlign w:val="bottom"/>
          </w:tcPr>
          <w:p w14:paraId="3615E368"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262,407</w:t>
            </w:r>
          </w:p>
        </w:tc>
        <w:tc>
          <w:tcPr>
            <w:tcW w:w="830" w:type="pct"/>
            <w:tcBorders>
              <w:top w:val="nil"/>
              <w:left w:val="nil"/>
              <w:bottom w:val="nil"/>
              <w:right w:val="nil"/>
            </w:tcBorders>
            <w:noWrap/>
            <w:vAlign w:val="bottom"/>
          </w:tcPr>
          <w:p w14:paraId="00C1D9E3"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8D0DAB" w:rsidRPr="00167C2B" w14:paraId="4D393A9A" w14:textId="77777777" w:rsidTr="00E326C0">
        <w:trPr>
          <w:trHeight w:val="300"/>
        </w:trPr>
        <w:tc>
          <w:tcPr>
            <w:tcW w:w="2824" w:type="pct"/>
            <w:tcBorders>
              <w:top w:val="nil"/>
              <w:left w:val="nil"/>
              <w:bottom w:val="nil"/>
              <w:right w:val="nil"/>
            </w:tcBorders>
            <w:noWrap/>
            <w:vAlign w:val="bottom"/>
          </w:tcPr>
          <w:p w14:paraId="0634B14E" w14:textId="77777777" w:rsidR="008D0DAB" w:rsidRPr="00C77AB0" w:rsidDel="0078412B"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Provisions</w:t>
            </w:r>
          </w:p>
        </w:tc>
        <w:tc>
          <w:tcPr>
            <w:tcW w:w="516" w:type="pct"/>
            <w:tcBorders>
              <w:top w:val="nil"/>
              <w:left w:val="nil"/>
              <w:bottom w:val="nil"/>
              <w:right w:val="nil"/>
            </w:tcBorders>
            <w:noWrap/>
            <w:vAlign w:val="bottom"/>
          </w:tcPr>
          <w:p w14:paraId="2E82BDBD" w14:textId="4A940636" w:rsidR="008D0DAB" w:rsidRPr="00A91B82" w:rsidDel="00B26600" w:rsidRDefault="00A53FA8" w:rsidP="009B7B2A">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6</w:t>
            </w:r>
          </w:p>
        </w:tc>
        <w:tc>
          <w:tcPr>
            <w:tcW w:w="830" w:type="pct"/>
            <w:tcBorders>
              <w:top w:val="nil"/>
              <w:left w:val="nil"/>
              <w:right w:val="nil"/>
            </w:tcBorders>
            <w:noWrap/>
            <w:vAlign w:val="bottom"/>
          </w:tcPr>
          <w:p w14:paraId="68B5C6EC" w14:textId="77777777" w:rsidR="008D0DAB" w:rsidRPr="59D983C2" w:rsidDel="00E26B97" w:rsidRDefault="008D0DAB" w:rsidP="009B7B2A">
            <w:pPr>
              <w:tabs>
                <w:tab w:val="decimal" w:pos="1155"/>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3,912</w:t>
            </w:r>
          </w:p>
        </w:tc>
        <w:tc>
          <w:tcPr>
            <w:tcW w:w="830" w:type="pct"/>
            <w:tcBorders>
              <w:top w:val="nil"/>
              <w:left w:val="nil"/>
              <w:right w:val="nil"/>
            </w:tcBorders>
            <w:noWrap/>
            <w:vAlign w:val="bottom"/>
          </w:tcPr>
          <w:p w14:paraId="209D4A54" w14:textId="071F3E0D" w:rsidR="008D0DAB" w:rsidRPr="49BCD735" w:rsidDel="00E26B97" w:rsidRDefault="00E87B8F" w:rsidP="009B7B2A">
            <w:pPr>
              <w:tabs>
                <w:tab w:val="decimal" w:pos="1155"/>
              </w:tabs>
              <w:spacing w:after="0" w:line="240" w:lineRule="auto"/>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w:t>
            </w:r>
          </w:p>
        </w:tc>
      </w:tr>
      <w:tr w:rsidR="008D0DAB" w:rsidRPr="00167C2B" w14:paraId="62240DC7" w14:textId="77777777" w:rsidTr="00E326C0">
        <w:trPr>
          <w:trHeight w:val="300"/>
        </w:trPr>
        <w:tc>
          <w:tcPr>
            <w:tcW w:w="2824" w:type="pct"/>
            <w:tcBorders>
              <w:top w:val="nil"/>
              <w:left w:val="nil"/>
              <w:bottom w:val="nil"/>
              <w:right w:val="nil"/>
            </w:tcBorders>
            <w:noWrap/>
            <w:vAlign w:val="bottom"/>
            <w:hideMark/>
          </w:tcPr>
          <w:p w14:paraId="278A07BB"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Interest bearing liabilities</w:t>
            </w:r>
          </w:p>
        </w:tc>
        <w:tc>
          <w:tcPr>
            <w:tcW w:w="516" w:type="pct"/>
            <w:tcBorders>
              <w:top w:val="nil"/>
              <w:left w:val="nil"/>
              <w:bottom w:val="nil"/>
              <w:right w:val="nil"/>
            </w:tcBorders>
            <w:noWrap/>
            <w:vAlign w:val="bottom"/>
            <w:hideMark/>
          </w:tcPr>
          <w:p w14:paraId="755745FB" w14:textId="77777777" w:rsidR="008D0DAB" w:rsidRPr="00A91B82" w:rsidRDefault="008D0DAB" w:rsidP="009B7B2A">
            <w:pPr>
              <w:spacing w:after="0" w:line="240" w:lineRule="auto"/>
              <w:jc w:val="center"/>
              <w:rPr>
                <w:rFonts w:eastAsia="Times New Roman" w:cs="Arial"/>
                <w:color w:val="000000"/>
                <w:sz w:val="20"/>
                <w:szCs w:val="20"/>
                <w:lang w:eastAsia="en-AU"/>
              </w:rPr>
            </w:pPr>
            <w:r w:rsidRPr="00C1358F">
              <w:rPr>
                <w:rFonts w:eastAsia="Times New Roman" w:cs="Arial"/>
                <w:color w:val="000000"/>
                <w:sz w:val="20"/>
                <w:szCs w:val="20"/>
                <w:lang w:eastAsia="en-AU"/>
              </w:rPr>
              <w:t>7</w:t>
            </w:r>
          </w:p>
        </w:tc>
        <w:tc>
          <w:tcPr>
            <w:tcW w:w="830" w:type="pct"/>
            <w:tcBorders>
              <w:left w:val="nil"/>
              <w:right w:val="nil"/>
            </w:tcBorders>
            <w:noWrap/>
            <w:vAlign w:val="bottom"/>
            <w:hideMark/>
          </w:tcPr>
          <w:p w14:paraId="30249F1A"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6,233</w:t>
            </w:r>
            <w:r w:rsidRPr="00C77AB0">
              <w:rPr>
                <w:rFonts w:eastAsia="Times New Roman" w:cs="Arial"/>
                <w:color w:val="000000"/>
                <w:sz w:val="20"/>
                <w:szCs w:val="20"/>
                <w:lang w:eastAsia="en-AU"/>
              </w:rPr>
              <w:t xml:space="preserve"> </w:t>
            </w:r>
          </w:p>
        </w:tc>
        <w:tc>
          <w:tcPr>
            <w:tcW w:w="830" w:type="pct"/>
            <w:tcBorders>
              <w:left w:val="nil"/>
              <w:right w:val="nil"/>
            </w:tcBorders>
            <w:noWrap/>
            <w:vAlign w:val="bottom"/>
            <w:hideMark/>
          </w:tcPr>
          <w:p w14:paraId="07F87819"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8D0DAB" w:rsidRPr="00167C2B" w14:paraId="55D9FC5E" w14:textId="77777777" w:rsidTr="413EB596">
        <w:tc>
          <w:tcPr>
            <w:tcW w:w="2824" w:type="pct"/>
            <w:tcBorders>
              <w:top w:val="nil"/>
              <w:left w:val="nil"/>
              <w:bottom w:val="nil"/>
              <w:right w:val="nil"/>
            </w:tcBorders>
            <w:vAlign w:val="bottom"/>
            <w:hideMark/>
          </w:tcPr>
          <w:p w14:paraId="1C317C10"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liabilities</w:t>
            </w:r>
          </w:p>
        </w:tc>
        <w:tc>
          <w:tcPr>
            <w:tcW w:w="516" w:type="pct"/>
            <w:tcBorders>
              <w:top w:val="nil"/>
              <w:left w:val="nil"/>
              <w:bottom w:val="nil"/>
              <w:right w:val="nil"/>
            </w:tcBorders>
            <w:noWrap/>
            <w:vAlign w:val="bottom"/>
            <w:hideMark/>
          </w:tcPr>
          <w:p w14:paraId="31713373" w14:textId="77777777" w:rsidR="008D0DAB" w:rsidRPr="00A91B82" w:rsidRDefault="008D0DAB" w:rsidP="009B7B2A">
            <w:pPr>
              <w:spacing w:after="0" w:line="240" w:lineRule="auto"/>
              <w:jc w:val="center"/>
              <w:rPr>
                <w:rFonts w:eastAsia="Times New Roman" w:cs="Arial"/>
                <w:sz w:val="20"/>
                <w:szCs w:val="20"/>
                <w:lang w:eastAsia="en-AU"/>
              </w:rPr>
            </w:pPr>
          </w:p>
        </w:tc>
        <w:tc>
          <w:tcPr>
            <w:tcW w:w="830" w:type="pct"/>
            <w:tcBorders>
              <w:top w:val="single" w:sz="4" w:space="0" w:color="auto"/>
              <w:left w:val="nil"/>
              <w:bottom w:val="single" w:sz="4" w:space="0" w:color="auto"/>
              <w:right w:val="nil"/>
            </w:tcBorders>
            <w:noWrap/>
            <w:vAlign w:val="bottom"/>
            <w:hideMark/>
          </w:tcPr>
          <w:p w14:paraId="5ECFA11C" w14:textId="0DA902CE" w:rsidR="008D0DAB" w:rsidRPr="00C77AB0" w:rsidRDefault="00F1026C" w:rsidP="413EB596">
            <w:pPr>
              <w:tabs>
                <w:tab w:val="decimal" w:pos="1155"/>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272,552</w:t>
            </w:r>
            <w:r w:rsidR="008D0DAB" w:rsidRPr="413EB596">
              <w:rPr>
                <w:rFonts w:eastAsia="Times New Roman" w:cs="Arial"/>
                <w:b/>
                <w:bCs/>
                <w:color w:val="000000" w:themeColor="text1"/>
                <w:sz w:val="20"/>
                <w:szCs w:val="20"/>
                <w:lang w:eastAsia="en-AU"/>
              </w:rPr>
              <w:t xml:space="preserve"> </w:t>
            </w:r>
          </w:p>
        </w:tc>
        <w:tc>
          <w:tcPr>
            <w:tcW w:w="830" w:type="pct"/>
            <w:tcBorders>
              <w:top w:val="single" w:sz="4" w:space="0" w:color="auto"/>
              <w:left w:val="nil"/>
              <w:bottom w:val="single" w:sz="4" w:space="0" w:color="auto"/>
              <w:right w:val="nil"/>
            </w:tcBorders>
            <w:noWrap/>
            <w:vAlign w:val="bottom"/>
            <w:hideMark/>
          </w:tcPr>
          <w:p w14:paraId="5E64A34F"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8D0DAB" w:rsidRPr="00167C2B" w14:paraId="66F94FC0" w14:textId="77777777" w:rsidTr="413EB596">
        <w:tc>
          <w:tcPr>
            <w:tcW w:w="2824" w:type="pct"/>
            <w:tcBorders>
              <w:top w:val="nil"/>
              <w:left w:val="nil"/>
              <w:bottom w:val="nil"/>
              <w:right w:val="nil"/>
            </w:tcBorders>
            <w:vAlign w:val="bottom"/>
            <w:hideMark/>
          </w:tcPr>
          <w:p w14:paraId="26B386DB"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liabilities</w:t>
            </w:r>
          </w:p>
        </w:tc>
        <w:tc>
          <w:tcPr>
            <w:tcW w:w="516" w:type="pct"/>
            <w:tcBorders>
              <w:top w:val="nil"/>
              <w:left w:val="nil"/>
              <w:bottom w:val="nil"/>
              <w:right w:val="nil"/>
            </w:tcBorders>
            <w:noWrap/>
            <w:vAlign w:val="bottom"/>
            <w:hideMark/>
          </w:tcPr>
          <w:p w14:paraId="504937D4" w14:textId="77777777" w:rsidR="008D0DAB" w:rsidRPr="00A91B82"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single" w:sz="4" w:space="0" w:color="auto"/>
              <w:right w:val="nil"/>
            </w:tcBorders>
            <w:noWrap/>
            <w:vAlign w:val="bottom"/>
            <w:hideMark/>
          </w:tcPr>
          <w:p w14:paraId="23EFA9AB" w14:textId="27DD46C5" w:rsidR="008D0DAB" w:rsidRPr="00C77AB0" w:rsidRDefault="00F1026C" w:rsidP="009B7B2A">
            <w:pPr>
              <w:tabs>
                <w:tab w:val="decimal" w:pos="1155"/>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298,812</w:t>
            </w:r>
            <w:r w:rsidR="006B3348" w:rsidRPr="413EB596">
              <w:rPr>
                <w:rFonts w:eastAsia="Times New Roman" w:cs="Arial"/>
                <w:b/>
                <w:bCs/>
                <w:color w:val="000000" w:themeColor="text1"/>
                <w:sz w:val="20"/>
                <w:szCs w:val="20"/>
                <w:lang w:eastAsia="en-AU"/>
              </w:rPr>
              <w:t xml:space="preserve"> </w:t>
            </w:r>
            <w:r w:rsidR="008D0DAB" w:rsidRPr="413EB596">
              <w:rPr>
                <w:rFonts w:eastAsia="Times New Roman" w:cs="Arial"/>
                <w:b/>
                <w:bCs/>
                <w:color w:val="000000" w:themeColor="text1"/>
                <w:sz w:val="20"/>
                <w:szCs w:val="20"/>
                <w:lang w:eastAsia="en-AU"/>
              </w:rPr>
              <w:t xml:space="preserve"> </w:t>
            </w:r>
          </w:p>
        </w:tc>
        <w:tc>
          <w:tcPr>
            <w:tcW w:w="830" w:type="pct"/>
            <w:tcBorders>
              <w:top w:val="nil"/>
              <w:left w:val="nil"/>
              <w:bottom w:val="single" w:sz="4" w:space="0" w:color="auto"/>
              <w:right w:val="nil"/>
            </w:tcBorders>
            <w:noWrap/>
            <w:vAlign w:val="bottom"/>
            <w:hideMark/>
          </w:tcPr>
          <w:p w14:paraId="3C4CBCF1"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73,125</w:t>
            </w:r>
          </w:p>
        </w:tc>
      </w:tr>
      <w:tr w:rsidR="008D0DAB" w:rsidRPr="00167C2B" w14:paraId="1B7DE826" w14:textId="77777777" w:rsidTr="413EB596">
        <w:tc>
          <w:tcPr>
            <w:tcW w:w="2824" w:type="pct"/>
            <w:tcBorders>
              <w:top w:val="nil"/>
              <w:left w:val="nil"/>
              <w:bottom w:val="nil"/>
              <w:right w:val="nil"/>
            </w:tcBorders>
            <w:noWrap/>
            <w:vAlign w:val="bottom"/>
            <w:hideMark/>
          </w:tcPr>
          <w:p w14:paraId="05756FAA" w14:textId="77777777" w:rsidR="008D0DAB" w:rsidRPr="00C77AB0" w:rsidRDefault="008D0DAB" w:rsidP="009B7B2A">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05498A5A"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714D5E02"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401C5F39"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775038DD" w14:textId="77777777" w:rsidTr="413EB596">
        <w:tc>
          <w:tcPr>
            <w:tcW w:w="2824" w:type="pct"/>
            <w:tcBorders>
              <w:top w:val="nil"/>
              <w:left w:val="nil"/>
              <w:bottom w:val="nil"/>
              <w:right w:val="nil"/>
            </w:tcBorders>
            <w:noWrap/>
            <w:vAlign w:val="bottom"/>
            <w:hideMark/>
          </w:tcPr>
          <w:p w14:paraId="483FB67F"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Net assets</w:t>
            </w:r>
          </w:p>
        </w:tc>
        <w:tc>
          <w:tcPr>
            <w:tcW w:w="516" w:type="pct"/>
            <w:tcBorders>
              <w:top w:val="nil"/>
              <w:left w:val="nil"/>
              <w:bottom w:val="nil"/>
              <w:right w:val="nil"/>
            </w:tcBorders>
            <w:noWrap/>
            <w:vAlign w:val="bottom"/>
            <w:hideMark/>
          </w:tcPr>
          <w:p w14:paraId="4F4904EC"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double" w:sz="6" w:space="0" w:color="auto"/>
              <w:right w:val="nil"/>
            </w:tcBorders>
            <w:noWrap/>
            <w:vAlign w:val="bottom"/>
            <w:hideMark/>
          </w:tcPr>
          <w:p w14:paraId="3F4EA2F5" w14:textId="028A547C" w:rsidR="008D0DAB" w:rsidRPr="00C77AB0" w:rsidRDefault="008D0DAB"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(16,</w:t>
            </w:r>
            <w:r w:rsidR="00A0345D" w:rsidRPr="413EB596">
              <w:rPr>
                <w:rFonts w:eastAsia="Times New Roman" w:cs="Arial"/>
                <w:b/>
                <w:bCs/>
                <w:color w:val="000000" w:themeColor="text1"/>
                <w:sz w:val="20"/>
                <w:szCs w:val="20"/>
                <w:lang w:eastAsia="en-AU"/>
              </w:rPr>
              <w:t>591</w:t>
            </w:r>
            <w:r w:rsidRPr="413EB596">
              <w:rPr>
                <w:rFonts w:eastAsia="Times New Roman" w:cs="Arial"/>
                <w:b/>
                <w:bCs/>
                <w:color w:val="000000" w:themeColor="text1"/>
                <w:sz w:val="20"/>
                <w:szCs w:val="20"/>
                <w:lang w:eastAsia="en-AU"/>
              </w:rPr>
              <w:t xml:space="preserve">) </w:t>
            </w:r>
          </w:p>
        </w:tc>
        <w:tc>
          <w:tcPr>
            <w:tcW w:w="830" w:type="pct"/>
            <w:tcBorders>
              <w:top w:val="nil"/>
              <w:left w:val="nil"/>
              <w:bottom w:val="double" w:sz="6" w:space="0" w:color="auto"/>
              <w:right w:val="nil"/>
            </w:tcBorders>
            <w:noWrap/>
            <w:vAlign w:val="bottom"/>
            <w:hideMark/>
          </w:tcPr>
          <w:p w14:paraId="46CE66F2"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(8,212)</w:t>
            </w:r>
          </w:p>
        </w:tc>
      </w:tr>
      <w:tr w:rsidR="008D0DAB" w:rsidRPr="00167C2B" w14:paraId="72184DE5" w14:textId="77777777" w:rsidTr="413EB596">
        <w:tc>
          <w:tcPr>
            <w:tcW w:w="2824" w:type="pct"/>
            <w:tcBorders>
              <w:top w:val="nil"/>
              <w:left w:val="nil"/>
              <w:bottom w:val="nil"/>
              <w:right w:val="nil"/>
            </w:tcBorders>
            <w:noWrap/>
            <w:vAlign w:val="bottom"/>
            <w:hideMark/>
          </w:tcPr>
          <w:p w14:paraId="5BA26627" w14:textId="77777777" w:rsidR="008D0DAB" w:rsidRPr="00C77AB0" w:rsidRDefault="008D0DAB" w:rsidP="009B7B2A">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0035C75B"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2A2D91BA"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313C51BB"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0C1AAC1D" w14:textId="77777777" w:rsidTr="413EB596">
        <w:tc>
          <w:tcPr>
            <w:tcW w:w="2824" w:type="pct"/>
            <w:tcBorders>
              <w:top w:val="nil"/>
              <w:left w:val="nil"/>
              <w:bottom w:val="nil"/>
              <w:right w:val="nil"/>
            </w:tcBorders>
            <w:noWrap/>
            <w:vAlign w:val="bottom"/>
            <w:hideMark/>
          </w:tcPr>
          <w:p w14:paraId="297137AA"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Equity</w:t>
            </w:r>
          </w:p>
        </w:tc>
        <w:tc>
          <w:tcPr>
            <w:tcW w:w="516" w:type="pct"/>
            <w:tcBorders>
              <w:top w:val="nil"/>
              <w:left w:val="nil"/>
              <w:bottom w:val="nil"/>
              <w:right w:val="nil"/>
            </w:tcBorders>
            <w:noWrap/>
            <w:vAlign w:val="bottom"/>
            <w:hideMark/>
          </w:tcPr>
          <w:p w14:paraId="777136C4"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4D4EFE61"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c>
          <w:tcPr>
            <w:tcW w:w="830" w:type="pct"/>
            <w:tcBorders>
              <w:top w:val="nil"/>
              <w:left w:val="nil"/>
              <w:bottom w:val="nil"/>
              <w:right w:val="nil"/>
            </w:tcBorders>
            <w:noWrap/>
            <w:vAlign w:val="bottom"/>
            <w:hideMark/>
          </w:tcPr>
          <w:p w14:paraId="6A81AEC5" w14:textId="77777777" w:rsidR="008D0DAB" w:rsidRPr="00F65403" w:rsidRDefault="008D0DAB" w:rsidP="009B7B2A">
            <w:pPr>
              <w:tabs>
                <w:tab w:val="decimal" w:pos="1155"/>
              </w:tabs>
              <w:spacing w:after="0" w:line="240" w:lineRule="auto"/>
              <w:rPr>
                <w:rFonts w:eastAsia="Times New Roman" w:cs="Arial"/>
                <w:sz w:val="20"/>
                <w:szCs w:val="20"/>
                <w:lang w:eastAsia="en-AU"/>
              </w:rPr>
            </w:pPr>
          </w:p>
        </w:tc>
      </w:tr>
      <w:tr w:rsidR="008D0DAB" w:rsidRPr="00167C2B" w14:paraId="3D6CB6CF" w14:textId="77777777" w:rsidTr="413EB596">
        <w:tc>
          <w:tcPr>
            <w:tcW w:w="2824" w:type="pct"/>
            <w:tcBorders>
              <w:top w:val="nil"/>
              <w:left w:val="nil"/>
              <w:bottom w:val="nil"/>
              <w:right w:val="nil"/>
            </w:tcBorders>
            <w:noWrap/>
            <w:vAlign w:val="bottom"/>
            <w:hideMark/>
          </w:tcPr>
          <w:p w14:paraId="76498144"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 xml:space="preserve">Reserves </w:t>
            </w:r>
          </w:p>
        </w:tc>
        <w:tc>
          <w:tcPr>
            <w:tcW w:w="516" w:type="pct"/>
            <w:tcBorders>
              <w:top w:val="nil"/>
              <w:left w:val="nil"/>
              <w:bottom w:val="nil"/>
              <w:right w:val="nil"/>
            </w:tcBorders>
            <w:noWrap/>
            <w:vAlign w:val="bottom"/>
            <w:hideMark/>
          </w:tcPr>
          <w:p w14:paraId="7CF0F866"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43765412" w14:textId="5D3D1FCA"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(3,</w:t>
            </w:r>
            <w:r w:rsidR="00A0345D" w:rsidRPr="413EB596">
              <w:rPr>
                <w:rFonts w:eastAsia="Times New Roman" w:cs="Arial"/>
                <w:color w:val="000000" w:themeColor="text1"/>
                <w:sz w:val="20"/>
                <w:szCs w:val="20"/>
                <w:lang w:eastAsia="en-AU"/>
              </w:rPr>
              <w:t>279</w:t>
            </w:r>
            <w:r w:rsidRPr="413EB596">
              <w:rPr>
                <w:rFonts w:eastAsia="Times New Roman" w:cs="Arial"/>
                <w:color w:val="000000" w:themeColor="text1"/>
                <w:sz w:val="20"/>
                <w:szCs w:val="20"/>
                <w:lang w:eastAsia="en-AU"/>
              </w:rPr>
              <w:t>)</w:t>
            </w:r>
          </w:p>
        </w:tc>
        <w:tc>
          <w:tcPr>
            <w:tcW w:w="830" w:type="pct"/>
            <w:tcBorders>
              <w:top w:val="nil"/>
              <w:left w:val="nil"/>
              <w:bottom w:val="nil"/>
              <w:right w:val="nil"/>
            </w:tcBorders>
            <w:noWrap/>
            <w:vAlign w:val="bottom"/>
            <w:hideMark/>
          </w:tcPr>
          <w:p w14:paraId="2D84097C"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(2,773)</w:t>
            </w:r>
          </w:p>
        </w:tc>
      </w:tr>
      <w:tr w:rsidR="008D0DAB" w:rsidRPr="00167C2B" w14:paraId="7DF76381" w14:textId="77777777" w:rsidTr="413EB596">
        <w:tc>
          <w:tcPr>
            <w:tcW w:w="2824" w:type="pct"/>
            <w:tcBorders>
              <w:top w:val="nil"/>
              <w:left w:val="nil"/>
              <w:bottom w:val="nil"/>
              <w:right w:val="nil"/>
            </w:tcBorders>
            <w:vAlign w:val="bottom"/>
            <w:hideMark/>
          </w:tcPr>
          <w:p w14:paraId="0EADF819" w14:textId="77777777" w:rsidR="008D0DAB" w:rsidRPr="00C77AB0" w:rsidRDefault="008D0DAB" w:rsidP="009B7B2A">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Retained earnings</w:t>
            </w:r>
          </w:p>
        </w:tc>
        <w:tc>
          <w:tcPr>
            <w:tcW w:w="516" w:type="pct"/>
            <w:tcBorders>
              <w:top w:val="nil"/>
              <w:left w:val="nil"/>
              <w:bottom w:val="nil"/>
              <w:right w:val="nil"/>
            </w:tcBorders>
            <w:noWrap/>
            <w:vAlign w:val="bottom"/>
            <w:hideMark/>
          </w:tcPr>
          <w:p w14:paraId="431382D7"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nil"/>
              <w:left w:val="nil"/>
              <w:bottom w:val="nil"/>
              <w:right w:val="nil"/>
            </w:tcBorders>
            <w:noWrap/>
            <w:vAlign w:val="bottom"/>
            <w:hideMark/>
          </w:tcPr>
          <w:p w14:paraId="5E8F4EF1" w14:textId="396CD616" w:rsidR="008D0DAB" w:rsidRPr="00C77AB0" w:rsidRDefault="008D0DAB" w:rsidP="009B7B2A">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(13,3</w:t>
            </w:r>
            <w:r w:rsidR="00A0345D" w:rsidRPr="413EB596">
              <w:rPr>
                <w:rFonts w:eastAsia="Times New Roman" w:cs="Arial"/>
                <w:color w:val="000000" w:themeColor="text1"/>
                <w:sz w:val="20"/>
                <w:szCs w:val="20"/>
                <w:lang w:eastAsia="en-AU"/>
              </w:rPr>
              <w:t>12</w:t>
            </w:r>
            <w:r w:rsidRPr="413EB596">
              <w:rPr>
                <w:rFonts w:eastAsia="Times New Roman" w:cs="Arial"/>
                <w:color w:val="000000" w:themeColor="text1"/>
                <w:sz w:val="20"/>
                <w:szCs w:val="20"/>
                <w:lang w:eastAsia="en-AU"/>
              </w:rPr>
              <w:t>)</w:t>
            </w:r>
          </w:p>
        </w:tc>
        <w:tc>
          <w:tcPr>
            <w:tcW w:w="830" w:type="pct"/>
            <w:tcBorders>
              <w:top w:val="nil"/>
              <w:left w:val="nil"/>
              <w:bottom w:val="single" w:sz="4" w:space="0" w:color="auto"/>
              <w:right w:val="nil"/>
            </w:tcBorders>
            <w:noWrap/>
            <w:vAlign w:val="bottom"/>
            <w:hideMark/>
          </w:tcPr>
          <w:p w14:paraId="3AD44F6A" w14:textId="77777777" w:rsidR="008D0DAB" w:rsidRPr="00C77AB0" w:rsidRDefault="008D0DAB" w:rsidP="009B7B2A">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(5,439)</w:t>
            </w:r>
          </w:p>
        </w:tc>
      </w:tr>
      <w:tr w:rsidR="008D0DAB" w:rsidRPr="00167C2B" w14:paraId="49941B2E" w14:textId="77777777" w:rsidTr="413EB596">
        <w:tc>
          <w:tcPr>
            <w:tcW w:w="2824" w:type="pct"/>
            <w:tcBorders>
              <w:top w:val="nil"/>
              <w:left w:val="nil"/>
              <w:bottom w:val="nil"/>
              <w:right w:val="nil"/>
            </w:tcBorders>
            <w:vAlign w:val="bottom"/>
            <w:hideMark/>
          </w:tcPr>
          <w:p w14:paraId="16B14F71" w14:textId="77777777" w:rsidR="008D0DAB" w:rsidRPr="00C77AB0" w:rsidRDefault="008D0DAB" w:rsidP="009B7B2A">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Equity</w:t>
            </w:r>
          </w:p>
        </w:tc>
        <w:tc>
          <w:tcPr>
            <w:tcW w:w="516" w:type="pct"/>
            <w:tcBorders>
              <w:top w:val="nil"/>
              <w:left w:val="nil"/>
              <w:bottom w:val="nil"/>
              <w:right w:val="nil"/>
            </w:tcBorders>
            <w:noWrap/>
            <w:vAlign w:val="bottom"/>
            <w:hideMark/>
          </w:tcPr>
          <w:p w14:paraId="2B415408" w14:textId="77777777" w:rsidR="008D0DAB" w:rsidRPr="00F65403" w:rsidRDefault="008D0DAB" w:rsidP="009B7B2A">
            <w:pPr>
              <w:spacing w:after="0" w:line="240" w:lineRule="auto"/>
              <w:jc w:val="center"/>
              <w:rPr>
                <w:rFonts w:eastAsia="Times New Roman" w:cs="Arial"/>
                <w:sz w:val="20"/>
                <w:szCs w:val="20"/>
                <w:lang w:eastAsia="en-AU"/>
              </w:rPr>
            </w:pPr>
          </w:p>
        </w:tc>
        <w:tc>
          <w:tcPr>
            <w:tcW w:w="830" w:type="pct"/>
            <w:tcBorders>
              <w:top w:val="single" w:sz="4" w:space="0" w:color="auto"/>
              <w:left w:val="nil"/>
              <w:bottom w:val="double" w:sz="6" w:space="0" w:color="auto"/>
              <w:right w:val="nil"/>
            </w:tcBorders>
            <w:noWrap/>
            <w:vAlign w:val="bottom"/>
            <w:hideMark/>
          </w:tcPr>
          <w:p w14:paraId="0441704E" w14:textId="3C75667D" w:rsidR="008D0DAB" w:rsidRPr="00C77AB0" w:rsidRDefault="008D0DAB"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(16,</w:t>
            </w:r>
            <w:r w:rsidR="00A0345D" w:rsidRPr="413EB596">
              <w:rPr>
                <w:rFonts w:eastAsia="Times New Roman" w:cs="Arial"/>
                <w:b/>
                <w:bCs/>
                <w:color w:val="000000" w:themeColor="text1"/>
                <w:sz w:val="20"/>
                <w:szCs w:val="20"/>
                <w:lang w:eastAsia="en-AU"/>
              </w:rPr>
              <w:t>591</w:t>
            </w:r>
            <w:r w:rsidRPr="413EB596">
              <w:rPr>
                <w:rFonts w:eastAsia="Times New Roman" w:cs="Arial"/>
                <w:b/>
                <w:bCs/>
                <w:color w:val="000000" w:themeColor="text1"/>
                <w:sz w:val="20"/>
                <w:szCs w:val="20"/>
                <w:lang w:eastAsia="en-AU"/>
              </w:rPr>
              <w:t>)</w:t>
            </w:r>
          </w:p>
        </w:tc>
        <w:tc>
          <w:tcPr>
            <w:tcW w:w="830" w:type="pct"/>
            <w:tcBorders>
              <w:top w:val="nil"/>
              <w:left w:val="nil"/>
              <w:bottom w:val="double" w:sz="6" w:space="0" w:color="auto"/>
              <w:right w:val="nil"/>
            </w:tcBorders>
            <w:noWrap/>
            <w:vAlign w:val="bottom"/>
            <w:hideMark/>
          </w:tcPr>
          <w:p w14:paraId="5D7E190E" w14:textId="77777777" w:rsidR="008D0DAB" w:rsidRPr="00C77AB0" w:rsidRDefault="008D0DAB" w:rsidP="009B7B2A">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(8,212)</w:t>
            </w:r>
          </w:p>
        </w:tc>
      </w:tr>
    </w:tbl>
    <w:p w14:paraId="51E39F88" w14:textId="77777777" w:rsidR="008D0DAB" w:rsidRPr="001C1467" w:rsidRDefault="008D0DAB" w:rsidP="008D0DAB">
      <w:pPr>
        <w:pStyle w:val="BodyText"/>
        <w:rPr>
          <w:i/>
          <w:lang w:val="en-AU"/>
        </w:rPr>
      </w:pPr>
      <w:r w:rsidRPr="00F65403">
        <w:rPr>
          <w:i/>
          <w:lang w:val="en-AU"/>
        </w:rPr>
        <w:br/>
        <w:t>The above consolidated statement of financial position should be read in conjunction with the accompanying notes. </w:t>
      </w:r>
    </w:p>
    <w:p w14:paraId="246C0CDC" w14:textId="77777777" w:rsidR="008D0DAB" w:rsidRDefault="008D0DAB" w:rsidP="008D0DAB">
      <w:pPr>
        <w:rPr>
          <w:rFonts w:eastAsiaTheme="majorEastAsia" w:cstheme="majorBidi"/>
          <w:sz w:val="32"/>
          <w:szCs w:val="32"/>
        </w:rPr>
      </w:pPr>
      <w:r>
        <w:br w:type="page"/>
      </w:r>
    </w:p>
    <w:p w14:paraId="60360F57" w14:textId="77777777" w:rsidR="008D0DAB" w:rsidRPr="0048780B" w:rsidRDefault="008D0DAB" w:rsidP="00B254AC">
      <w:pPr>
        <w:pStyle w:val="Heading1"/>
      </w:pPr>
      <w:bookmarkStart w:id="546" w:name="_Toc209080413"/>
      <w:bookmarkStart w:id="547" w:name="_Toc209703983"/>
      <w:bookmarkStart w:id="548" w:name="_Toc209704036"/>
      <w:bookmarkStart w:id="549" w:name="_Toc209704089"/>
      <w:r w:rsidRPr="0048780B">
        <w:t>Consolidated statement of changes in equity</w:t>
      </w:r>
      <w:bookmarkEnd w:id="546"/>
      <w:bookmarkEnd w:id="547"/>
      <w:bookmarkEnd w:id="548"/>
      <w:bookmarkEnd w:id="549"/>
      <w:r w:rsidRPr="0048780B">
        <w:t> </w:t>
      </w:r>
    </w:p>
    <w:p w14:paraId="14F75805" w14:textId="77777777" w:rsidR="008D0DAB" w:rsidRPr="00F65403" w:rsidRDefault="008D0DAB" w:rsidP="008D0DAB">
      <w:pPr>
        <w:pStyle w:val="Heading3"/>
        <w:rPr>
          <w:rFonts w:cs="Arial"/>
          <w:sz w:val="22"/>
          <w:szCs w:val="22"/>
        </w:rPr>
      </w:pPr>
      <w:r w:rsidRPr="4FD260F1">
        <w:rPr>
          <w:rFonts w:cs="Arial"/>
        </w:rPr>
        <w:t>For the year ended 30 June 2025</w:t>
      </w:r>
    </w:p>
    <w:tbl>
      <w:tblPr>
        <w:tblW w:w="4601" w:type="pct"/>
        <w:tblLayout w:type="fixed"/>
        <w:tblCellMar>
          <w:top w:w="28" w:type="dxa"/>
          <w:left w:w="28" w:type="dxa"/>
          <w:bottom w:w="28" w:type="dxa"/>
          <w:right w:w="28" w:type="dxa"/>
        </w:tblCellMar>
        <w:tblLook w:val="04A0" w:firstRow="1" w:lastRow="0" w:firstColumn="1" w:lastColumn="0" w:noHBand="0" w:noVBand="1"/>
      </w:tblPr>
      <w:tblGrid>
        <w:gridCol w:w="4112"/>
        <w:gridCol w:w="1417"/>
        <w:gridCol w:w="1367"/>
        <w:gridCol w:w="1410"/>
      </w:tblGrid>
      <w:tr w:rsidR="008D0DAB" w:rsidRPr="003D7E2B" w14:paraId="6A3F055C" w14:textId="77777777" w:rsidTr="413EB596">
        <w:tc>
          <w:tcPr>
            <w:tcW w:w="2475" w:type="pct"/>
            <w:tcBorders>
              <w:top w:val="nil"/>
              <w:left w:val="nil"/>
              <w:bottom w:val="nil"/>
              <w:right w:val="nil"/>
            </w:tcBorders>
            <w:noWrap/>
            <w:vAlign w:val="bottom"/>
            <w:hideMark/>
          </w:tcPr>
          <w:p w14:paraId="6FF8825E" w14:textId="77777777" w:rsidR="008D0DAB" w:rsidRPr="008F1B1D" w:rsidRDefault="008D0DAB" w:rsidP="009B7B2A">
            <w:pPr>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hideMark/>
          </w:tcPr>
          <w:p w14:paraId="2BAE4616" w14:textId="77777777" w:rsidR="008D0DAB" w:rsidRPr="008F1B1D" w:rsidRDefault="008D0DAB" w:rsidP="009B7B2A">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Reserves</w:t>
            </w:r>
          </w:p>
        </w:tc>
        <w:tc>
          <w:tcPr>
            <w:tcW w:w="823" w:type="pct"/>
            <w:tcBorders>
              <w:top w:val="nil"/>
              <w:left w:val="nil"/>
              <w:bottom w:val="nil"/>
              <w:right w:val="nil"/>
            </w:tcBorders>
            <w:vAlign w:val="bottom"/>
            <w:hideMark/>
          </w:tcPr>
          <w:p w14:paraId="57C3903C" w14:textId="77777777" w:rsidR="008D0DAB" w:rsidRPr="008F1B1D"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Accumulated losses</w:t>
            </w:r>
          </w:p>
        </w:tc>
        <w:tc>
          <w:tcPr>
            <w:tcW w:w="849" w:type="pct"/>
            <w:tcBorders>
              <w:top w:val="nil"/>
              <w:left w:val="nil"/>
              <w:bottom w:val="nil"/>
              <w:right w:val="nil"/>
            </w:tcBorders>
            <w:noWrap/>
            <w:vAlign w:val="bottom"/>
            <w:hideMark/>
          </w:tcPr>
          <w:p w14:paraId="04812A43" w14:textId="77777777" w:rsidR="008D0DAB" w:rsidRPr="008F1B1D" w:rsidRDefault="008D0DAB" w:rsidP="009B7B2A">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Total</w:t>
            </w:r>
          </w:p>
        </w:tc>
      </w:tr>
      <w:tr w:rsidR="008D0DAB" w:rsidRPr="003D7E2B" w14:paraId="5C299C91" w14:textId="77777777" w:rsidTr="413EB596">
        <w:tc>
          <w:tcPr>
            <w:tcW w:w="2475" w:type="pct"/>
            <w:tcBorders>
              <w:top w:val="nil"/>
              <w:left w:val="nil"/>
              <w:bottom w:val="nil"/>
              <w:right w:val="nil"/>
            </w:tcBorders>
            <w:vAlign w:val="bottom"/>
            <w:hideMark/>
          </w:tcPr>
          <w:p w14:paraId="0EBD7D08" w14:textId="77777777" w:rsidR="008D0DAB" w:rsidRPr="008F1B1D" w:rsidRDefault="008D0DAB" w:rsidP="009B7B2A">
            <w:pPr>
              <w:spacing w:after="0" w:line="240" w:lineRule="auto"/>
              <w:rPr>
                <w:rFonts w:eastAsia="Times New Roman" w:cs="Arial"/>
                <w:b/>
                <w:color w:val="000000"/>
                <w:sz w:val="20"/>
                <w:szCs w:val="20"/>
                <w:lang w:eastAsia="en-AU"/>
              </w:rPr>
            </w:pPr>
          </w:p>
        </w:tc>
        <w:tc>
          <w:tcPr>
            <w:tcW w:w="853" w:type="pct"/>
            <w:tcBorders>
              <w:top w:val="nil"/>
              <w:left w:val="nil"/>
              <w:bottom w:val="nil"/>
              <w:right w:val="nil"/>
            </w:tcBorders>
            <w:noWrap/>
            <w:vAlign w:val="bottom"/>
            <w:hideMark/>
          </w:tcPr>
          <w:p w14:paraId="167250E2" w14:textId="77777777" w:rsidR="008D0DAB" w:rsidRPr="008F1B1D" w:rsidRDefault="008D0DAB" w:rsidP="009B7B2A">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823" w:type="pct"/>
            <w:tcBorders>
              <w:top w:val="nil"/>
              <w:left w:val="nil"/>
              <w:bottom w:val="nil"/>
              <w:right w:val="nil"/>
            </w:tcBorders>
            <w:noWrap/>
            <w:vAlign w:val="bottom"/>
            <w:hideMark/>
          </w:tcPr>
          <w:p w14:paraId="3A95B1B0" w14:textId="77777777" w:rsidR="008D0DAB" w:rsidRPr="008F1B1D" w:rsidRDefault="008D0DAB" w:rsidP="009B7B2A">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849" w:type="pct"/>
            <w:tcBorders>
              <w:top w:val="nil"/>
              <w:left w:val="nil"/>
              <w:bottom w:val="nil"/>
              <w:right w:val="nil"/>
            </w:tcBorders>
            <w:noWrap/>
            <w:vAlign w:val="bottom"/>
            <w:hideMark/>
          </w:tcPr>
          <w:p w14:paraId="1BCE80A3" w14:textId="77777777" w:rsidR="008D0DAB" w:rsidRPr="008F1B1D" w:rsidRDefault="008D0DAB" w:rsidP="009B7B2A">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r>
      <w:tr w:rsidR="008D0DAB" w:rsidRPr="003D7E2B" w14:paraId="5D3D5503" w14:textId="77777777" w:rsidTr="413EB596">
        <w:tc>
          <w:tcPr>
            <w:tcW w:w="2475" w:type="pct"/>
            <w:tcBorders>
              <w:top w:val="nil"/>
              <w:left w:val="nil"/>
              <w:bottom w:val="nil"/>
              <w:right w:val="nil"/>
            </w:tcBorders>
            <w:noWrap/>
            <w:vAlign w:val="bottom"/>
            <w:hideMark/>
          </w:tcPr>
          <w:p w14:paraId="43685F16" w14:textId="77777777" w:rsidR="008D0DAB" w:rsidRPr="008F1B1D" w:rsidRDefault="008D0DAB" w:rsidP="009B7B2A">
            <w:pPr>
              <w:spacing w:after="0" w:line="240" w:lineRule="auto"/>
              <w:rPr>
                <w:rFonts w:eastAsia="Times New Roman" w:cs="Arial"/>
                <w:b/>
                <w:color w:val="000000"/>
                <w:sz w:val="20"/>
                <w:szCs w:val="20"/>
                <w:lang w:eastAsia="en-AU"/>
              </w:rPr>
            </w:pPr>
          </w:p>
        </w:tc>
        <w:tc>
          <w:tcPr>
            <w:tcW w:w="853" w:type="pct"/>
            <w:tcBorders>
              <w:top w:val="nil"/>
              <w:left w:val="nil"/>
              <w:bottom w:val="nil"/>
              <w:right w:val="nil"/>
            </w:tcBorders>
            <w:noWrap/>
            <w:vAlign w:val="bottom"/>
            <w:hideMark/>
          </w:tcPr>
          <w:p w14:paraId="1614A4DD"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c>
          <w:tcPr>
            <w:tcW w:w="823" w:type="pct"/>
            <w:tcBorders>
              <w:top w:val="nil"/>
              <w:left w:val="nil"/>
              <w:bottom w:val="nil"/>
              <w:right w:val="nil"/>
            </w:tcBorders>
            <w:noWrap/>
            <w:vAlign w:val="bottom"/>
            <w:hideMark/>
          </w:tcPr>
          <w:p w14:paraId="31056BE8"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c>
          <w:tcPr>
            <w:tcW w:w="849" w:type="pct"/>
            <w:tcBorders>
              <w:top w:val="nil"/>
              <w:left w:val="nil"/>
              <w:bottom w:val="nil"/>
              <w:right w:val="nil"/>
            </w:tcBorders>
            <w:noWrap/>
            <w:vAlign w:val="bottom"/>
            <w:hideMark/>
          </w:tcPr>
          <w:p w14:paraId="380970E8"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r>
      <w:tr w:rsidR="008D0DAB" w:rsidRPr="003D7E2B" w14:paraId="314E1719" w14:textId="77777777" w:rsidTr="413EB596">
        <w:tc>
          <w:tcPr>
            <w:tcW w:w="2475" w:type="pct"/>
            <w:tcBorders>
              <w:top w:val="nil"/>
              <w:left w:val="nil"/>
              <w:bottom w:val="nil"/>
              <w:right w:val="nil"/>
            </w:tcBorders>
            <w:noWrap/>
            <w:vAlign w:val="bottom"/>
            <w:hideMark/>
          </w:tcPr>
          <w:p w14:paraId="14F3410A" w14:textId="3A97CA67" w:rsidR="008D0DAB" w:rsidRPr="008F1B1D" w:rsidRDefault="008D0DAB" w:rsidP="009B7B2A">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2</w:t>
            </w:r>
            <w:r w:rsidR="003719DC">
              <w:rPr>
                <w:rFonts w:eastAsia="Times New Roman" w:cs="Arial"/>
                <w:b/>
                <w:color w:val="000000"/>
                <w:sz w:val="20"/>
                <w:szCs w:val="20"/>
                <w:lang w:eastAsia="en-AU"/>
              </w:rPr>
              <w:t>6</w:t>
            </w:r>
            <w:r w:rsidRPr="008F1B1D">
              <w:rPr>
                <w:rFonts w:eastAsia="Times New Roman" w:cs="Arial"/>
                <w:b/>
                <w:color w:val="000000"/>
                <w:sz w:val="20"/>
                <w:szCs w:val="20"/>
                <w:lang w:eastAsia="en-AU"/>
              </w:rPr>
              <w:t xml:space="preserve"> October 2023</w:t>
            </w:r>
          </w:p>
        </w:tc>
        <w:tc>
          <w:tcPr>
            <w:tcW w:w="853" w:type="pct"/>
            <w:tcBorders>
              <w:top w:val="nil"/>
              <w:left w:val="nil"/>
              <w:bottom w:val="nil"/>
              <w:right w:val="nil"/>
            </w:tcBorders>
            <w:noWrap/>
            <w:vAlign w:val="bottom"/>
            <w:hideMark/>
          </w:tcPr>
          <w:p w14:paraId="5312D427"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823" w:type="pct"/>
            <w:tcBorders>
              <w:top w:val="nil"/>
              <w:left w:val="nil"/>
              <w:bottom w:val="nil"/>
              <w:right w:val="nil"/>
            </w:tcBorders>
            <w:noWrap/>
            <w:vAlign w:val="bottom"/>
            <w:hideMark/>
          </w:tcPr>
          <w:p w14:paraId="1461CCDD"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849" w:type="pct"/>
            <w:tcBorders>
              <w:top w:val="nil"/>
              <w:left w:val="nil"/>
              <w:bottom w:val="nil"/>
              <w:right w:val="nil"/>
            </w:tcBorders>
            <w:noWrap/>
            <w:vAlign w:val="bottom"/>
            <w:hideMark/>
          </w:tcPr>
          <w:p w14:paraId="06FCF4F5"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w:t>
            </w:r>
          </w:p>
        </w:tc>
      </w:tr>
      <w:tr w:rsidR="008D0DAB" w:rsidRPr="003D7E2B" w14:paraId="6DCE9F0F" w14:textId="77777777" w:rsidTr="413EB596">
        <w:tc>
          <w:tcPr>
            <w:tcW w:w="2475" w:type="pct"/>
            <w:tcBorders>
              <w:top w:val="nil"/>
              <w:left w:val="nil"/>
              <w:bottom w:val="nil"/>
              <w:right w:val="nil"/>
            </w:tcBorders>
            <w:noWrap/>
            <w:vAlign w:val="bottom"/>
            <w:hideMark/>
          </w:tcPr>
          <w:p w14:paraId="1BD8E77C" w14:textId="6F7CE965" w:rsidR="008D0DAB" w:rsidRPr="008F1B1D" w:rsidRDefault="00EE3FC8"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w:t>
            </w:r>
            <w:r w:rsidR="008D0DAB" w:rsidRPr="008F1B1D">
              <w:rPr>
                <w:rFonts w:eastAsia="Times New Roman" w:cs="Arial"/>
                <w:color w:val="000000"/>
                <w:sz w:val="20"/>
                <w:szCs w:val="20"/>
                <w:lang w:eastAsia="en-AU"/>
              </w:rPr>
              <w:t>oss for the period</w:t>
            </w:r>
          </w:p>
        </w:tc>
        <w:tc>
          <w:tcPr>
            <w:tcW w:w="853" w:type="pct"/>
            <w:tcBorders>
              <w:top w:val="nil"/>
              <w:left w:val="nil"/>
              <w:right w:val="nil"/>
            </w:tcBorders>
            <w:noWrap/>
            <w:vAlign w:val="bottom"/>
            <w:hideMark/>
          </w:tcPr>
          <w:p w14:paraId="6B354BDF"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23" w:type="pct"/>
            <w:tcBorders>
              <w:top w:val="nil"/>
              <w:left w:val="nil"/>
              <w:right w:val="nil"/>
            </w:tcBorders>
            <w:noWrap/>
            <w:vAlign w:val="bottom"/>
            <w:hideMark/>
          </w:tcPr>
          <w:p w14:paraId="76ACA351"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(5,439)</w:t>
            </w:r>
            <w:r w:rsidRPr="008F1B1D">
              <w:rPr>
                <w:rFonts w:eastAsia="Times New Roman" w:cs="Arial"/>
                <w:color w:val="000000"/>
                <w:sz w:val="20"/>
                <w:szCs w:val="20"/>
                <w:lang w:eastAsia="en-AU"/>
              </w:rPr>
              <w:t xml:space="preserve"> </w:t>
            </w:r>
          </w:p>
        </w:tc>
        <w:tc>
          <w:tcPr>
            <w:tcW w:w="849" w:type="pct"/>
            <w:tcBorders>
              <w:top w:val="nil"/>
              <w:left w:val="nil"/>
              <w:right w:val="nil"/>
            </w:tcBorders>
            <w:noWrap/>
            <w:vAlign w:val="bottom"/>
            <w:hideMark/>
          </w:tcPr>
          <w:p w14:paraId="58025DA0"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(5,439)</w:t>
            </w:r>
            <w:r w:rsidRPr="008F1B1D">
              <w:rPr>
                <w:rFonts w:eastAsia="Times New Roman" w:cs="Arial"/>
                <w:b/>
                <w:color w:val="000000"/>
                <w:sz w:val="20"/>
                <w:szCs w:val="20"/>
                <w:lang w:eastAsia="en-AU"/>
              </w:rPr>
              <w:t xml:space="preserve"> </w:t>
            </w:r>
          </w:p>
        </w:tc>
      </w:tr>
      <w:tr w:rsidR="008D0DAB" w:rsidRPr="003D7E2B" w14:paraId="19929B76" w14:textId="77777777" w:rsidTr="413EB596">
        <w:tc>
          <w:tcPr>
            <w:tcW w:w="2475" w:type="pct"/>
            <w:tcBorders>
              <w:top w:val="nil"/>
              <w:left w:val="nil"/>
              <w:bottom w:val="nil"/>
              <w:right w:val="nil"/>
            </w:tcBorders>
            <w:vAlign w:val="bottom"/>
            <w:hideMark/>
          </w:tcPr>
          <w:p w14:paraId="2AB8FDC8" w14:textId="4EF62872" w:rsidR="008D0DAB" w:rsidRPr="008F1B1D" w:rsidRDefault="008D0DAB" w:rsidP="009B7B2A">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 xml:space="preserve">Other comprehensive loss for the </w:t>
            </w:r>
            <w:r w:rsidR="00CA5C2D">
              <w:rPr>
                <w:rFonts w:eastAsia="Times New Roman" w:cs="Arial"/>
                <w:color w:val="000000"/>
                <w:sz w:val="20"/>
                <w:szCs w:val="20"/>
                <w:lang w:eastAsia="en-AU"/>
              </w:rPr>
              <w:t>period</w:t>
            </w:r>
            <w:r w:rsidRPr="008F1B1D">
              <w:rPr>
                <w:rFonts w:eastAsia="Times New Roman" w:cs="Arial"/>
                <w:color w:val="000000"/>
                <w:sz w:val="20"/>
                <w:szCs w:val="20"/>
                <w:lang w:eastAsia="en-AU"/>
              </w:rPr>
              <w:t>, net of income tax</w:t>
            </w:r>
          </w:p>
        </w:tc>
        <w:tc>
          <w:tcPr>
            <w:tcW w:w="853" w:type="pct"/>
            <w:tcBorders>
              <w:top w:val="nil"/>
              <w:left w:val="nil"/>
              <w:bottom w:val="single" w:sz="4" w:space="0" w:color="auto"/>
              <w:right w:val="nil"/>
            </w:tcBorders>
            <w:noWrap/>
            <w:vAlign w:val="bottom"/>
            <w:hideMark/>
          </w:tcPr>
          <w:p w14:paraId="15ECBAE6"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(2,773)</w:t>
            </w:r>
          </w:p>
        </w:tc>
        <w:tc>
          <w:tcPr>
            <w:tcW w:w="823" w:type="pct"/>
            <w:tcBorders>
              <w:top w:val="nil"/>
              <w:left w:val="nil"/>
              <w:bottom w:val="single" w:sz="4" w:space="0" w:color="auto"/>
              <w:right w:val="nil"/>
            </w:tcBorders>
            <w:noWrap/>
            <w:vAlign w:val="bottom"/>
            <w:hideMark/>
          </w:tcPr>
          <w:p w14:paraId="35CAC9D8"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49" w:type="pct"/>
            <w:tcBorders>
              <w:top w:val="nil"/>
              <w:left w:val="nil"/>
              <w:bottom w:val="single" w:sz="4" w:space="0" w:color="auto"/>
              <w:right w:val="nil"/>
            </w:tcBorders>
            <w:noWrap/>
            <w:vAlign w:val="bottom"/>
            <w:hideMark/>
          </w:tcPr>
          <w:p w14:paraId="3FAE3777"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r>
      <w:tr w:rsidR="008D0DAB" w:rsidRPr="008F1B1D" w14:paraId="436288DC" w14:textId="77777777" w:rsidTr="413EB596">
        <w:tc>
          <w:tcPr>
            <w:tcW w:w="2475" w:type="pct"/>
            <w:tcBorders>
              <w:top w:val="nil"/>
              <w:left w:val="nil"/>
              <w:bottom w:val="nil"/>
              <w:right w:val="nil"/>
            </w:tcBorders>
            <w:vAlign w:val="bottom"/>
          </w:tcPr>
          <w:p w14:paraId="2862BF6E" w14:textId="77777777" w:rsidR="008D0DAB" w:rsidRPr="00D15AF6" w:rsidRDefault="008D0DAB" w:rsidP="009B7B2A">
            <w:pPr>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 xml:space="preserve">Total comprehensive </w:t>
            </w:r>
            <w:r>
              <w:rPr>
                <w:rFonts w:eastAsia="Times New Roman" w:cs="Arial"/>
                <w:b/>
                <w:color w:val="000000"/>
                <w:sz w:val="20"/>
                <w:szCs w:val="20"/>
                <w:lang w:eastAsia="en-AU"/>
              </w:rPr>
              <w:t>loss</w:t>
            </w:r>
          </w:p>
        </w:tc>
        <w:tc>
          <w:tcPr>
            <w:tcW w:w="853" w:type="pct"/>
            <w:tcBorders>
              <w:top w:val="single" w:sz="4" w:space="0" w:color="auto"/>
              <w:left w:val="nil"/>
              <w:bottom w:val="nil"/>
              <w:right w:val="nil"/>
            </w:tcBorders>
            <w:noWrap/>
            <w:vAlign w:val="bottom"/>
          </w:tcPr>
          <w:p w14:paraId="6F56B653" w14:textId="77777777" w:rsidR="008D0DAB" w:rsidRPr="00D15AF6" w:rsidRDefault="008D0DAB" w:rsidP="009B7B2A">
            <w:pPr>
              <w:tabs>
                <w:tab w:val="decimal" w:pos="1048"/>
              </w:tabs>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(2,773)</w:t>
            </w:r>
          </w:p>
        </w:tc>
        <w:tc>
          <w:tcPr>
            <w:tcW w:w="823" w:type="pct"/>
            <w:tcBorders>
              <w:top w:val="single" w:sz="4" w:space="0" w:color="auto"/>
              <w:left w:val="nil"/>
              <w:bottom w:val="nil"/>
              <w:right w:val="nil"/>
            </w:tcBorders>
            <w:noWrap/>
            <w:vAlign w:val="bottom"/>
          </w:tcPr>
          <w:p w14:paraId="6C9D8669" w14:textId="77777777" w:rsidR="008D0DAB" w:rsidRPr="00D15AF6"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(5,439)</w:t>
            </w:r>
          </w:p>
        </w:tc>
        <w:tc>
          <w:tcPr>
            <w:tcW w:w="849" w:type="pct"/>
            <w:tcBorders>
              <w:top w:val="single" w:sz="4" w:space="0" w:color="auto"/>
              <w:left w:val="nil"/>
              <w:bottom w:val="nil"/>
              <w:right w:val="nil"/>
            </w:tcBorders>
            <w:noWrap/>
            <w:vAlign w:val="bottom"/>
          </w:tcPr>
          <w:p w14:paraId="723A5883" w14:textId="77777777" w:rsidR="008D0DAB" w:rsidRPr="00FA41CC" w:rsidRDefault="008D0DAB" w:rsidP="009B7B2A">
            <w:pPr>
              <w:tabs>
                <w:tab w:val="decimal" w:pos="1048"/>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(8,212)</w:t>
            </w:r>
          </w:p>
        </w:tc>
      </w:tr>
      <w:tr w:rsidR="008D0DAB" w:rsidRPr="003D7E2B" w14:paraId="57E9309A" w14:textId="77777777" w:rsidTr="413EB596">
        <w:tc>
          <w:tcPr>
            <w:tcW w:w="2475" w:type="pct"/>
            <w:tcBorders>
              <w:top w:val="nil"/>
              <w:left w:val="nil"/>
              <w:bottom w:val="nil"/>
              <w:right w:val="nil"/>
            </w:tcBorders>
            <w:noWrap/>
            <w:vAlign w:val="bottom"/>
            <w:hideMark/>
          </w:tcPr>
          <w:p w14:paraId="36292FB9" w14:textId="77777777" w:rsidR="008D0DAB" w:rsidRPr="008F1B1D" w:rsidRDefault="008D0DAB" w:rsidP="009B7B2A">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2024</w:t>
            </w:r>
          </w:p>
        </w:tc>
        <w:tc>
          <w:tcPr>
            <w:tcW w:w="853" w:type="pct"/>
            <w:tcBorders>
              <w:top w:val="nil"/>
              <w:left w:val="nil"/>
              <w:bottom w:val="nil"/>
              <w:right w:val="nil"/>
            </w:tcBorders>
            <w:noWrap/>
            <w:vAlign w:val="bottom"/>
            <w:hideMark/>
          </w:tcPr>
          <w:p w14:paraId="651890D7"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c>
          <w:tcPr>
            <w:tcW w:w="823" w:type="pct"/>
            <w:tcBorders>
              <w:top w:val="nil"/>
              <w:left w:val="nil"/>
              <w:bottom w:val="nil"/>
              <w:right w:val="nil"/>
            </w:tcBorders>
            <w:noWrap/>
            <w:vAlign w:val="bottom"/>
            <w:hideMark/>
          </w:tcPr>
          <w:p w14:paraId="7A7970A1"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(5,439)</w:t>
            </w:r>
          </w:p>
        </w:tc>
        <w:tc>
          <w:tcPr>
            <w:tcW w:w="849" w:type="pct"/>
            <w:tcBorders>
              <w:top w:val="nil"/>
              <w:left w:val="nil"/>
              <w:bottom w:val="nil"/>
              <w:right w:val="nil"/>
            </w:tcBorders>
            <w:noWrap/>
            <w:vAlign w:val="bottom"/>
            <w:hideMark/>
          </w:tcPr>
          <w:p w14:paraId="1FE2B93E"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(8,212)</w:t>
            </w:r>
          </w:p>
        </w:tc>
      </w:tr>
      <w:tr w:rsidR="008D0DAB" w:rsidRPr="003D7E2B" w14:paraId="1EEBCF00" w14:textId="77777777" w:rsidTr="413EB596">
        <w:tc>
          <w:tcPr>
            <w:tcW w:w="2475" w:type="pct"/>
            <w:tcBorders>
              <w:top w:val="nil"/>
              <w:left w:val="nil"/>
              <w:bottom w:val="nil"/>
              <w:right w:val="nil"/>
            </w:tcBorders>
            <w:noWrap/>
            <w:vAlign w:val="bottom"/>
            <w:hideMark/>
          </w:tcPr>
          <w:p w14:paraId="27FA5CD0" w14:textId="77777777" w:rsidR="008D0DAB" w:rsidRPr="00F65403" w:rsidRDefault="008D0DAB" w:rsidP="009B7B2A">
            <w:pPr>
              <w:spacing w:after="0" w:line="240" w:lineRule="auto"/>
              <w:rPr>
                <w:rFonts w:eastAsia="Times New Roman" w:cs="Arial"/>
                <w:b/>
                <w:color w:val="000000"/>
                <w:sz w:val="20"/>
                <w:szCs w:val="20"/>
                <w:highlight w:val="yellow"/>
                <w:lang w:eastAsia="en-AU"/>
              </w:rPr>
            </w:pPr>
          </w:p>
        </w:tc>
        <w:tc>
          <w:tcPr>
            <w:tcW w:w="853" w:type="pct"/>
            <w:tcBorders>
              <w:top w:val="nil"/>
              <w:left w:val="nil"/>
              <w:bottom w:val="nil"/>
              <w:right w:val="nil"/>
            </w:tcBorders>
            <w:noWrap/>
            <w:vAlign w:val="bottom"/>
            <w:hideMark/>
          </w:tcPr>
          <w:p w14:paraId="4AC75B5F"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c>
          <w:tcPr>
            <w:tcW w:w="823" w:type="pct"/>
            <w:tcBorders>
              <w:top w:val="nil"/>
              <w:left w:val="nil"/>
              <w:bottom w:val="nil"/>
              <w:right w:val="nil"/>
            </w:tcBorders>
            <w:noWrap/>
            <w:vAlign w:val="bottom"/>
            <w:hideMark/>
          </w:tcPr>
          <w:p w14:paraId="5D09341C"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c>
          <w:tcPr>
            <w:tcW w:w="849" w:type="pct"/>
            <w:tcBorders>
              <w:top w:val="nil"/>
              <w:left w:val="nil"/>
              <w:bottom w:val="nil"/>
              <w:right w:val="nil"/>
            </w:tcBorders>
            <w:noWrap/>
            <w:vAlign w:val="bottom"/>
            <w:hideMark/>
          </w:tcPr>
          <w:p w14:paraId="452105E4" w14:textId="77777777" w:rsidR="008D0DAB" w:rsidRPr="008F1B1D" w:rsidRDefault="008D0DAB" w:rsidP="009B7B2A">
            <w:pPr>
              <w:tabs>
                <w:tab w:val="decimal" w:pos="1048"/>
              </w:tabs>
              <w:spacing w:after="0" w:line="240" w:lineRule="auto"/>
              <w:rPr>
                <w:rFonts w:eastAsia="Times New Roman" w:cs="Arial"/>
                <w:sz w:val="20"/>
                <w:szCs w:val="20"/>
                <w:lang w:eastAsia="en-AU"/>
              </w:rPr>
            </w:pPr>
          </w:p>
        </w:tc>
      </w:tr>
      <w:tr w:rsidR="008D0DAB" w:rsidRPr="003D7E2B" w14:paraId="284715A4" w14:textId="77777777" w:rsidTr="413EB596">
        <w:tc>
          <w:tcPr>
            <w:tcW w:w="2475" w:type="pct"/>
            <w:tcBorders>
              <w:top w:val="nil"/>
              <w:left w:val="nil"/>
              <w:bottom w:val="nil"/>
              <w:right w:val="nil"/>
            </w:tcBorders>
            <w:noWrap/>
            <w:vAlign w:val="bottom"/>
          </w:tcPr>
          <w:p w14:paraId="5770FE4D" w14:textId="77777777" w:rsidR="008D0DAB" w:rsidRPr="008F1B1D" w:rsidRDefault="008D0DAB" w:rsidP="009B7B2A">
            <w:pPr>
              <w:spacing w:after="0" w:line="240" w:lineRule="auto"/>
              <w:rPr>
                <w:rFonts w:eastAsia="Times New Roman" w:cs="Arial"/>
                <w:b/>
                <w:color w:val="000000"/>
                <w:sz w:val="20"/>
                <w:szCs w:val="20"/>
                <w:lang w:eastAsia="en-AU"/>
              </w:rPr>
            </w:pPr>
          </w:p>
        </w:tc>
        <w:tc>
          <w:tcPr>
            <w:tcW w:w="853" w:type="pct"/>
            <w:tcBorders>
              <w:top w:val="nil"/>
              <w:left w:val="nil"/>
              <w:bottom w:val="nil"/>
              <w:right w:val="nil"/>
            </w:tcBorders>
            <w:noWrap/>
            <w:vAlign w:val="bottom"/>
          </w:tcPr>
          <w:p w14:paraId="24D8BEDE"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p>
        </w:tc>
        <w:tc>
          <w:tcPr>
            <w:tcW w:w="823" w:type="pct"/>
            <w:tcBorders>
              <w:top w:val="nil"/>
              <w:left w:val="nil"/>
              <w:bottom w:val="nil"/>
              <w:right w:val="nil"/>
            </w:tcBorders>
            <w:noWrap/>
            <w:vAlign w:val="bottom"/>
          </w:tcPr>
          <w:p w14:paraId="2A1F1DE5"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p>
        </w:tc>
        <w:tc>
          <w:tcPr>
            <w:tcW w:w="849" w:type="pct"/>
            <w:tcBorders>
              <w:top w:val="nil"/>
              <w:left w:val="nil"/>
              <w:bottom w:val="nil"/>
              <w:right w:val="nil"/>
            </w:tcBorders>
            <w:noWrap/>
            <w:vAlign w:val="bottom"/>
          </w:tcPr>
          <w:p w14:paraId="06CAAC77"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p>
        </w:tc>
      </w:tr>
      <w:tr w:rsidR="008D0DAB" w:rsidRPr="003D7E2B" w14:paraId="60DD4D6D" w14:textId="77777777" w:rsidTr="413EB596">
        <w:tc>
          <w:tcPr>
            <w:tcW w:w="2475" w:type="pct"/>
            <w:tcBorders>
              <w:top w:val="nil"/>
              <w:left w:val="nil"/>
              <w:bottom w:val="nil"/>
              <w:right w:val="nil"/>
            </w:tcBorders>
            <w:noWrap/>
            <w:vAlign w:val="bottom"/>
            <w:hideMark/>
          </w:tcPr>
          <w:p w14:paraId="4A160833" w14:textId="77777777" w:rsidR="008D0DAB" w:rsidRPr="008F1B1D" w:rsidRDefault="008D0DAB" w:rsidP="009B7B2A">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1 July 2024</w:t>
            </w:r>
          </w:p>
        </w:tc>
        <w:tc>
          <w:tcPr>
            <w:tcW w:w="853" w:type="pct"/>
            <w:tcBorders>
              <w:top w:val="nil"/>
              <w:left w:val="nil"/>
              <w:bottom w:val="nil"/>
              <w:right w:val="nil"/>
            </w:tcBorders>
            <w:noWrap/>
            <w:vAlign w:val="bottom"/>
            <w:hideMark/>
          </w:tcPr>
          <w:p w14:paraId="4A455B47"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(2,773)</w:t>
            </w:r>
          </w:p>
        </w:tc>
        <w:tc>
          <w:tcPr>
            <w:tcW w:w="823" w:type="pct"/>
            <w:tcBorders>
              <w:top w:val="nil"/>
              <w:left w:val="nil"/>
              <w:bottom w:val="nil"/>
              <w:right w:val="nil"/>
            </w:tcBorders>
            <w:noWrap/>
            <w:vAlign w:val="bottom"/>
            <w:hideMark/>
          </w:tcPr>
          <w:p w14:paraId="61CB88F5"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(5,439)</w:t>
            </w:r>
            <w:r w:rsidRPr="008F1B1D">
              <w:rPr>
                <w:rFonts w:eastAsia="Times New Roman" w:cs="Arial"/>
                <w:b/>
                <w:color w:val="000000"/>
                <w:sz w:val="20"/>
                <w:szCs w:val="20"/>
                <w:lang w:eastAsia="en-AU"/>
              </w:rPr>
              <w:t xml:space="preserve"> </w:t>
            </w:r>
          </w:p>
        </w:tc>
        <w:tc>
          <w:tcPr>
            <w:tcW w:w="849" w:type="pct"/>
            <w:tcBorders>
              <w:top w:val="nil"/>
              <w:left w:val="nil"/>
              <w:bottom w:val="nil"/>
              <w:right w:val="nil"/>
            </w:tcBorders>
            <w:noWrap/>
            <w:vAlign w:val="bottom"/>
            <w:hideMark/>
          </w:tcPr>
          <w:p w14:paraId="58521ADC" w14:textId="77777777" w:rsidR="008D0DAB" w:rsidRPr="008F1B1D" w:rsidRDefault="008D0DAB" w:rsidP="009B7B2A">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(8,212)</w:t>
            </w:r>
            <w:r w:rsidRPr="008F1B1D">
              <w:rPr>
                <w:rFonts w:eastAsia="Times New Roman" w:cs="Arial"/>
                <w:b/>
                <w:color w:val="000000"/>
                <w:sz w:val="20"/>
                <w:szCs w:val="20"/>
                <w:lang w:eastAsia="en-AU"/>
              </w:rPr>
              <w:t xml:space="preserve"> </w:t>
            </w:r>
          </w:p>
        </w:tc>
      </w:tr>
      <w:tr w:rsidR="008D0DAB" w:rsidRPr="003D7E2B" w14:paraId="15089B77" w14:textId="77777777" w:rsidTr="413EB596">
        <w:tc>
          <w:tcPr>
            <w:tcW w:w="2475" w:type="pct"/>
            <w:tcBorders>
              <w:top w:val="nil"/>
              <w:left w:val="nil"/>
              <w:bottom w:val="nil"/>
              <w:right w:val="nil"/>
            </w:tcBorders>
            <w:noWrap/>
            <w:vAlign w:val="bottom"/>
            <w:hideMark/>
          </w:tcPr>
          <w:p w14:paraId="24F030D5" w14:textId="7829D6B3" w:rsidR="008D0DAB" w:rsidRPr="008F1B1D" w:rsidRDefault="00EE3FC8"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w:t>
            </w:r>
            <w:r w:rsidR="008D0DAB" w:rsidRPr="008F1B1D">
              <w:rPr>
                <w:rFonts w:eastAsia="Times New Roman" w:cs="Arial"/>
                <w:color w:val="000000"/>
                <w:sz w:val="20"/>
                <w:szCs w:val="20"/>
                <w:lang w:eastAsia="en-AU"/>
              </w:rPr>
              <w:t xml:space="preserve">oss for the </w:t>
            </w:r>
            <w:r w:rsidR="008D0DAB">
              <w:rPr>
                <w:rFonts w:eastAsia="Times New Roman" w:cs="Arial"/>
                <w:color w:val="000000"/>
                <w:sz w:val="20"/>
                <w:szCs w:val="20"/>
                <w:lang w:eastAsia="en-AU"/>
              </w:rPr>
              <w:t>year</w:t>
            </w:r>
          </w:p>
        </w:tc>
        <w:tc>
          <w:tcPr>
            <w:tcW w:w="853" w:type="pct"/>
            <w:tcBorders>
              <w:top w:val="nil"/>
              <w:left w:val="nil"/>
              <w:right w:val="nil"/>
            </w:tcBorders>
            <w:noWrap/>
            <w:vAlign w:val="bottom"/>
            <w:hideMark/>
          </w:tcPr>
          <w:p w14:paraId="2D8E13E0"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23" w:type="pct"/>
            <w:tcBorders>
              <w:top w:val="nil"/>
              <w:left w:val="nil"/>
              <w:right w:val="nil"/>
            </w:tcBorders>
            <w:noWrap/>
            <w:vAlign w:val="bottom"/>
            <w:hideMark/>
          </w:tcPr>
          <w:p w14:paraId="3E9D5091" w14:textId="718329AE"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(7,</w:t>
            </w:r>
            <w:r w:rsidR="0065179E" w:rsidRPr="413EB596">
              <w:rPr>
                <w:rFonts w:eastAsia="Times New Roman" w:cs="Arial"/>
                <w:color w:val="000000" w:themeColor="text1"/>
                <w:sz w:val="20"/>
                <w:szCs w:val="20"/>
                <w:lang w:eastAsia="en-AU"/>
              </w:rPr>
              <w:t>873</w:t>
            </w:r>
            <w:r w:rsidRPr="413EB596">
              <w:rPr>
                <w:rFonts w:eastAsia="Times New Roman" w:cs="Arial"/>
                <w:color w:val="000000" w:themeColor="text1"/>
                <w:sz w:val="20"/>
                <w:szCs w:val="20"/>
                <w:lang w:eastAsia="en-AU"/>
              </w:rPr>
              <w:t>)</w:t>
            </w:r>
          </w:p>
        </w:tc>
        <w:tc>
          <w:tcPr>
            <w:tcW w:w="849" w:type="pct"/>
            <w:tcBorders>
              <w:top w:val="nil"/>
              <w:left w:val="nil"/>
              <w:right w:val="nil"/>
            </w:tcBorders>
            <w:noWrap/>
            <w:vAlign w:val="bottom"/>
            <w:hideMark/>
          </w:tcPr>
          <w:p w14:paraId="34289C80" w14:textId="0B1EC6F6" w:rsidR="008D0DAB" w:rsidRPr="008F1B1D" w:rsidRDefault="008D0DAB"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(7,</w:t>
            </w:r>
            <w:r w:rsidR="0065179E" w:rsidRPr="413EB596">
              <w:rPr>
                <w:rFonts w:eastAsia="Times New Roman" w:cs="Arial"/>
                <w:b/>
                <w:bCs/>
                <w:color w:val="000000" w:themeColor="text1"/>
                <w:sz w:val="20"/>
                <w:szCs w:val="20"/>
                <w:lang w:eastAsia="en-AU"/>
              </w:rPr>
              <w:t>873</w:t>
            </w:r>
            <w:r w:rsidRPr="413EB596">
              <w:rPr>
                <w:rFonts w:eastAsia="Times New Roman" w:cs="Arial"/>
                <w:b/>
                <w:bCs/>
                <w:color w:val="000000" w:themeColor="text1"/>
                <w:sz w:val="20"/>
                <w:szCs w:val="20"/>
                <w:lang w:eastAsia="en-AU"/>
              </w:rPr>
              <w:t>)</w:t>
            </w:r>
          </w:p>
        </w:tc>
      </w:tr>
      <w:tr w:rsidR="008D0DAB" w:rsidRPr="003D7E2B" w14:paraId="005E08B0" w14:textId="77777777" w:rsidTr="413EB596">
        <w:tc>
          <w:tcPr>
            <w:tcW w:w="2475" w:type="pct"/>
            <w:tcBorders>
              <w:top w:val="nil"/>
              <w:left w:val="nil"/>
              <w:bottom w:val="nil"/>
              <w:right w:val="nil"/>
            </w:tcBorders>
            <w:vAlign w:val="bottom"/>
            <w:hideMark/>
          </w:tcPr>
          <w:p w14:paraId="0640EA38" w14:textId="43B1447B" w:rsidR="008D0DAB" w:rsidRPr="008F1B1D" w:rsidRDefault="008D0DAB" w:rsidP="009B7B2A">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Other comprehensive loss for the year, net of income tax</w:t>
            </w:r>
          </w:p>
        </w:tc>
        <w:tc>
          <w:tcPr>
            <w:tcW w:w="853" w:type="pct"/>
            <w:tcBorders>
              <w:top w:val="nil"/>
              <w:left w:val="nil"/>
              <w:bottom w:val="single" w:sz="4" w:space="0" w:color="auto"/>
              <w:right w:val="nil"/>
            </w:tcBorders>
            <w:noWrap/>
            <w:vAlign w:val="bottom"/>
            <w:hideMark/>
          </w:tcPr>
          <w:p w14:paraId="03660C7C" w14:textId="1621E100"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147A85" w:rsidRPr="413EB596">
              <w:rPr>
                <w:rFonts w:eastAsia="Times New Roman" w:cs="Arial"/>
                <w:color w:val="000000" w:themeColor="text1"/>
                <w:sz w:val="20"/>
                <w:szCs w:val="20"/>
                <w:lang w:eastAsia="en-AU"/>
              </w:rPr>
              <w:t>506</w:t>
            </w:r>
            <w:r w:rsidRPr="413EB596">
              <w:rPr>
                <w:rFonts w:eastAsia="Times New Roman" w:cs="Arial"/>
                <w:color w:val="000000" w:themeColor="text1"/>
                <w:sz w:val="20"/>
                <w:szCs w:val="20"/>
                <w:lang w:eastAsia="en-AU"/>
              </w:rPr>
              <w:t>)</w:t>
            </w:r>
          </w:p>
        </w:tc>
        <w:tc>
          <w:tcPr>
            <w:tcW w:w="823" w:type="pct"/>
            <w:tcBorders>
              <w:top w:val="nil"/>
              <w:left w:val="nil"/>
              <w:bottom w:val="single" w:sz="4" w:space="0" w:color="auto"/>
              <w:right w:val="nil"/>
            </w:tcBorders>
            <w:noWrap/>
            <w:vAlign w:val="bottom"/>
            <w:hideMark/>
          </w:tcPr>
          <w:p w14:paraId="7CF9B5FA" w14:textId="77777777" w:rsidR="008D0DAB" w:rsidRPr="008F1B1D" w:rsidRDefault="008D0DAB" w:rsidP="009B7B2A">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49" w:type="pct"/>
            <w:tcBorders>
              <w:top w:val="nil"/>
              <w:left w:val="nil"/>
              <w:bottom w:val="single" w:sz="4" w:space="0" w:color="auto"/>
              <w:right w:val="nil"/>
            </w:tcBorders>
            <w:noWrap/>
            <w:vAlign w:val="bottom"/>
            <w:hideMark/>
          </w:tcPr>
          <w:p w14:paraId="12C73C39" w14:textId="12A8A1B6" w:rsidR="008D0DAB" w:rsidRPr="008F1B1D" w:rsidRDefault="008D0DAB"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r w:rsidR="0065179E" w:rsidRPr="413EB596">
              <w:rPr>
                <w:rFonts w:eastAsia="Times New Roman" w:cs="Arial"/>
                <w:b/>
                <w:bCs/>
                <w:color w:val="000000" w:themeColor="text1"/>
                <w:sz w:val="20"/>
                <w:szCs w:val="20"/>
                <w:lang w:eastAsia="en-AU"/>
              </w:rPr>
              <w:t>506</w:t>
            </w:r>
            <w:r w:rsidRPr="413EB596">
              <w:rPr>
                <w:rFonts w:eastAsia="Times New Roman" w:cs="Arial"/>
                <w:b/>
                <w:bCs/>
                <w:color w:val="000000" w:themeColor="text1"/>
                <w:sz w:val="20"/>
                <w:szCs w:val="20"/>
                <w:lang w:eastAsia="en-AU"/>
              </w:rPr>
              <w:t>)</w:t>
            </w:r>
          </w:p>
        </w:tc>
      </w:tr>
      <w:tr w:rsidR="008D0DAB" w:rsidRPr="008F1B1D" w14:paraId="2BAA1765" w14:textId="77777777" w:rsidTr="413EB596">
        <w:tc>
          <w:tcPr>
            <w:tcW w:w="2475" w:type="pct"/>
            <w:tcBorders>
              <w:top w:val="nil"/>
              <w:left w:val="nil"/>
              <w:bottom w:val="nil"/>
              <w:right w:val="nil"/>
            </w:tcBorders>
            <w:vAlign w:val="bottom"/>
          </w:tcPr>
          <w:p w14:paraId="32800155" w14:textId="77777777" w:rsidR="008D0DAB" w:rsidRPr="00BD112F" w:rsidRDefault="008D0DAB" w:rsidP="009B7B2A">
            <w:pPr>
              <w:spacing w:after="0" w:line="240" w:lineRule="auto"/>
              <w:rPr>
                <w:rFonts w:eastAsia="Times New Roman" w:cs="Arial"/>
                <w:b/>
                <w:bCs/>
                <w:color w:val="000000"/>
                <w:sz w:val="20"/>
                <w:szCs w:val="20"/>
                <w:lang w:eastAsia="en-AU"/>
              </w:rPr>
            </w:pPr>
            <w:r w:rsidRPr="00BD112F">
              <w:rPr>
                <w:rFonts w:eastAsia="Times New Roman" w:cs="Arial"/>
                <w:b/>
                <w:bCs/>
                <w:color w:val="000000"/>
                <w:sz w:val="20"/>
                <w:szCs w:val="20"/>
                <w:lang w:eastAsia="en-AU"/>
              </w:rPr>
              <w:t>Total comprehensive</w:t>
            </w:r>
            <w:r>
              <w:rPr>
                <w:rFonts w:eastAsia="Times New Roman" w:cs="Arial"/>
                <w:b/>
                <w:bCs/>
                <w:color w:val="000000"/>
                <w:sz w:val="20"/>
                <w:szCs w:val="20"/>
                <w:lang w:eastAsia="en-AU"/>
              </w:rPr>
              <w:t xml:space="preserve"> loss</w:t>
            </w:r>
          </w:p>
        </w:tc>
        <w:tc>
          <w:tcPr>
            <w:tcW w:w="853" w:type="pct"/>
            <w:tcBorders>
              <w:top w:val="single" w:sz="4" w:space="0" w:color="auto"/>
              <w:left w:val="nil"/>
              <w:bottom w:val="nil"/>
              <w:right w:val="nil"/>
            </w:tcBorders>
            <w:noWrap/>
            <w:vAlign w:val="bottom"/>
          </w:tcPr>
          <w:p w14:paraId="73BFF8F6" w14:textId="0861D83D" w:rsidR="008D0DAB" w:rsidRPr="00BD112F" w:rsidRDefault="008D0DAB" w:rsidP="009B7B2A">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r w:rsidR="00147A85" w:rsidRPr="413EB596">
              <w:rPr>
                <w:rFonts w:eastAsia="Times New Roman" w:cs="Arial"/>
                <w:b/>
                <w:bCs/>
                <w:color w:val="000000" w:themeColor="text1"/>
                <w:sz w:val="20"/>
                <w:szCs w:val="20"/>
                <w:lang w:eastAsia="en-AU"/>
              </w:rPr>
              <w:t>506</w:t>
            </w:r>
            <w:r w:rsidRPr="413EB596">
              <w:rPr>
                <w:rFonts w:eastAsia="Times New Roman" w:cs="Arial"/>
                <w:b/>
                <w:bCs/>
                <w:color w:val="000000" w:themeColor="text1"/>
                <w:sz w:val="20"/>
                <w:szCs w:val="20"/>
                <w:lang w:eastAsia="en-AU"/>
              </w:rPr>
              <w:t>)</w:t>
            </w:r>
          </w:p>
        </w:tc>
        <w:tc>
          <w:tcPr>
            <w:tcW w:w="823" w:type="pct"/>
            <w:tcBorders>
              <w:top w:val="single" w:sz="4" w:space="0" w:color="auto"/>
              <w:left w:val="nil"/>
              <w:bottom w:val="nil"/>
              <w:right w:val="nil"/>
            </w:tcBorders>
            <w:noWrap/>
            <w:vAlign w:val="bottom"/>
          </w:tcPr>
          <w:p w14:paraId="26BEF0DA" w14:textId="3DBF739C" w:rsidR="008D0DAB" w:rsidRPr="00BD112F" w:rsidRDefault="008D0DAB" w:rsidP="009B7B2A">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r w:rsidR="0065179E" w:rsidRPr="413EB596">
              <w:rPr>
                <w:rFonts w:eastAsia="Times New Roman" w:cs="Arial"/>
                <w:b/>
                <w:bCs/>
                <w:color w:val="000000" w:themeColor="text1"/>
                <w:sz w:val="20"/>
                <w:szCs w:val="20"/>
                <w:lang w:eastAsia="en-AU"/>
              </w:rPr>
              <w:t>7,873</w:t>
            </w:r>
            <w:r w:rsidRPr="413EB596">
              <w:rPr>
                <w:rFonts w:eastAsia="Times New Roman" w:cs="Arial"/>
                <w:b/>
                <w:bCs/>
                <w:color w:val="000000" w:themeColor="text1"/>
                <w:sz w:val="20"/>
                <w:szCs w:val="20"/>
                <w:lang w:eastAsia="en-AU"/>
              </w:rPr>
              <w:t>)</w:t>
            </w:r>
          </w:p>
        </w:tc>
        <w:tc>
          <w:tcPr>
            <w:tcW w:w="849" w:type="pct"/>
            <w:tcBorders>
              <w:top w:val="single" w:sz="4" w:space="0" w:color="auto"/>
              <w:left w:val="nil"/>
              <w:bottom w:val="nil"/>
              <w:right w:val="nil"/>
            </w:tcBorders>
            <w:noWrap/>
            <w:vAlign w:val="bottom"/>
          </w:tcPr>
          <w:p w14:paraId="062A9BDD" w14:textId="395A16B9" w:rsidR="008D0DAB" w:rsidRPr="00FA41CC" w:rsidRDefault="008D0DAB" w:rsidP="009B7B2A">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r w:rsidR="00C6555B" w:rsidRPr="413EB596">
              <w:rPr>
                <w:rFonts w:eastAsia="Times New Roman" w:cs="Arial"/>
                <w:b/>
                <w:bCs/>
                <w:color w:val="000000" w:themeColor="text1"/>
                <w:sz w:val="20"/>
                <w:szCs w:val="20"/>
                <w:lang w:eastAsia="en-AU"/>
              </w:rPr>
              <w:t>8,379</w:t>
            </w:r>
            <w:r w:rsidRPr="413EB596">
              <w:rPr>
                <w:rFonts w:eastAsia="Times New Roman" w:cs="Arial"/>
                <w:b/>
                <w:bCs/>
                <w:color w:val="000000" w:themeColor="text1"/>
                <w:sz w:val="20"/>
                <w:szCs w:val="20"/>
                <w:lang w:eastAsia="en-AU"/>
              </w:rPr>
              <w:t>)</w:t>
            </w:r>
          </w:p>
        </w:tc>
      </w:tr>
      <w:tr w:rsidR="008D0DAB" w:rsidRPr="003D7E2B" w14:paraId="2786D23B" w14:textId="77777777" w:rsidTr="413EB596">
        <w:tc>
          <w:tcPr>
            <w:tcW w:w="2475" w:type="pct"/>
            <w:tcBorders>
              <w:top w:val="nil"/>
              <w:left w:val="nil"/>
              <w:bottom w:val="nil"/>
              <w:right w:val="nil"/>
            </w:tcBorders>
            <w:noWrap/>
            <w:vAlign w:val="bottom"/>
            <w:hideMark/>
          </w:tcPr>
          <w:p w14:paraId="37505AAE" w14:textId="77777777" w:rsidR="008D0DAB" w:rsidRPr="008F1B1D" w:rsidRDefault="008D0DAB" w:rsidP="009B7B2A">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2025</w:t>
            </w:r>
          </w:p>
        </w:tc>
        <w:tc>
          <w:tcPr>
            <w:tcW w:w="853" w:type="pct"/>
            <w:tcBorders>
              <w:top w:val="single" w:sz="4" w:space="0" w:color="auto"/>
              <w:left w:val="nil"/>
              <w:bottom w:val="double" w:sz="4" w:space="0" w:color="auto"/>
              <w:right w:val="nil"/>
            </w:tcBorders>
            <w:noWrap/>
            <w:vAlign w:val="bottom"/>
            <w:hideMark/>
          </w:tcPr>
          <w:p w14:paraId="20B388A6" w14:textId="09F3DF40" w:rsidR="008D0DAB" w:rsidRPr="008F1B1D" w:rsidRDefault="008D0DAB"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w:t>
            </w:r>
            <w:r w:rsidR="00147A85" w:rsidRPr="413EB596">
              <w:rPr>
                <w:rFonts w:eastAsia="Times New Roman" w:cs="Arial"/>
                <w:b/>
                <w:bCs/>
                <w:color w:val="000000" w:themeColor="text1"/>
                <w:sz w:val="20"/>
                <w:szCs w:val="20"/>
                <w:lang w:eastAsia="en-AU"/>
              </w:rPr>
              <w:t>279</w:t>
            </w:r>
            <w:r w:rsidRPr="413EB596">
              <w:rPr>
                <w:rFonts w:eastAsia="Times New Roman" w:cs="Arial"/>
                <w:b/>
                <w:bCs/>
                <w:color w:val="000000" w:themeColor="text1"/>
                <w:sz w:val="20"/>
                <w:szCs w:val="20"/>
                <w:lang w:eastAsia="en-AU"/>
              </w:rPr>
              <w:t>)</w:t>
            </w:r>
          </w:p>
        </w:tc>
        <w:tc>
          <w:tcPr>
            <w:tcW w:w="823" w:type="pct"/>
            <w:tcBorders>
              <w:top w:val="single" w:sz="4" w:space="0" w:color="auto"/>
              <w:left w:val="nil"/>
              <w:bottom w:val="double" w:sz="4" w:space="0" w:color="auto"/>
              <w:right w:val="nil"/>
            </w:tcBorders>
            <w:noWrap/>
            <w:vAlign w:val="bottom"/>
            <w:hideMark/>
          </w:tcPr>
          <w:p w14:paraId="228E0E11" w14:textId="616CA1F8" w:rsidR="008D0DAB" w:rsidRPr="008F1B1D" w:rsidRDefault="008D0DAB"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(13,</w:t>
            </w:r>
            <w:r w:rsidR="00C6555B" w:rsidRPr="413EB596">
              <w:rPr>
                <w:rFonts w:eastAsia="Times New Roman" w:cs="Arial"/>
                <w:b/>
                <w:bCs/>
                <w:color w:val="000000" w:themeColor="text1"/>
                <w:sz w:val="20"/>
                <w:szCs w:val="20"/>
                <w:lang w:eastAsia="en-AU"/>
              </w:rPr>
              <w:t>312</w:t>
            </w:r>
            <w:r w:rsidRPr="413EB596">
              <w:rPr>
                <w:rFonts w:eastAsia="Times New Roman" w:cs="Arial"/>
                <w:b/>
                <w:bCs/>
                <w:color w:val="000000" w:themeColor="text1"/>
                <w:sz w:val="20"/>
                <w:szCs w:val="20"/>
                <w:lang w:eastAsia="en-AU"/>
              </w:rPr>
              <w:t>)</w:t>
            </w:r>
          </w:p>
        </w:tc>
        <w:tc>
          <w:tcPr>
            <w:tcW w:w="849" w:type="pct"/>
            <w:tcBorders>
              <w:top w:val="single" w:sz="4" w:space="0" w:color="auto"/>
              <w:left w:val="nil"/>
              <w:bottom w:val="double" w:sz="4" w:space="0" w:color="auto"/>
              <w:right w:val="nil"/>
            </w:tcBorders>
            <w:noWrap/>
            <w:vAlign w:val="bottom"/>
            <w:hideMark/>
          </w:tcPr>
          <w:p w14:paraId="3EBE59C6" w14:textId="44130A7D" w:rsidR="008D0DAB" w:rsidRPr="008F1B1D" w:rsidRDefault="008D0DAB"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(16,</w:t>
            </w:r>
            <w:r w:rsidR="00C6555B" w:rsidRPr="413EB596">
              <w:rPr>
                <w:rFonts w:eastAsia="Times New Roman" w:cs="Arial"/>
                <w:b/>
                <w:bCs/>
                <w:color w:val="000000" w:themeColor="text1"/>
                <w:sz w:val="20"/>
                <w:szCs w:val="20"/>
                <w:lang w:eastAsia="en-AU"/>
              </w:rPr>
              <w:t>591</w:t>
            </w:r>
            <w:r w:rsidRPr="413EB596">
              <w:rPr>
                <w:rFonts w:eastAsia="Times New Roman" w:cs="Arial"/>
                <w:b/>
                <w:bCs/>
                <w:color w:val="000000" w:themeColor="text1"/>
                <w:sz w:val="20"/>
                <w:szCs w:val="20"/>
                <w:lang w:eastAsia="en-AU"/>
              </w:rPr>
              <w:t>)</w:t>
            </w:r>
          </w:p>
        </w:tc>
      </w:tr>
    </w:tbl>
    <w:p w14:paraId="7A3BD7FA" w14:textId="77777777" w:rsidR="008D0DAB" w:rsidRPr="00F65403" w:rsidDel="00196EAE" w:rsidRDefault="008D0DAB" w:rsidP="008D0DAB">
      <w:pPr>
        <w:pStyle w:val="BodyText"/>
        <w:rPr>
          <w:i/>
          <w:lang w:val="en-AU"/>
        </w:rPr>
      </w:pPr>
    </w:p>
    <w:p w14:paraId="64D99B03" w14:textId="77777777" w:rsidR="008D0DAB" w:rsidRPr="001C1467" w:rsidRDefault="008D0DAB" w:rsidP="008D0DAB">
      <w:pPr>
        <w:pStyle w:val="BodyText"/>
        <w:rPr>
          <w:i/>
          <w:lang w:val="en-AU"/>
        </w:rPr>
      </w:pPr>
      <w:r w:rsidRPr="00F65403">
        <w:rPr>
          <w:i/>
          <w:lang w:val="en-AU"/>
        </w:rPr>
        <w:t>The above consolidated statement of changes in equity should be read in conjunction with the accompanying notes.</w:t>
      </w:r>
    </w:p>
    <w:p w14:paraId="0B1CB269" w14:textId="77777777" w:rsidR="008D0DAB" w:rsidRPr="00F65403" w:rsidRDefault="008D0DAB" w:rsidP="008D0DAB"/>
    <w:p w14:paraId="66F52455" w14:textId="77777777" w:rsidR="008D0DAB" w:rsidRDefault="008D0DAB" w:rsidP="008D0DAB">
      <w:r>
        <w:br w:type="page"/>
      </w:r>
    </w:p>
    <w:p w14:paraId="657FC7F0" w14:textId="77777777" w:rsidR="008D0DAB" w:rsidRPr="0048780B" w:rsidRDefault="008D0DAB" w:rsidP="00B254AC">
      <w:pPr>
        <w:pStyle w:val="Heading1"/>
      </w:pPr>
      <w:bookmarkStart w:id="550" w:name="_Ref208418881"/>
      <w:bookmarkStart w:id="551" w:name="_Toc209080414"/>
      <w:bookmarkStart w:id="552" w:name="_Toc209703984"/>
      <w:bookmarkStart w:id="553" w:name="_Toc209704037"/>
      <w:bookmarkStart w:id="554" w:name="_Toc209704090"/>
      <w:r w:rsidRPr="0048780B">
        <w:t>Consolidated statement of cash flows</w:t>
      </w:r>
      <w:bookmarkEnd w:id="550"/>
      <w:bookmarkEnd w:id="551"/>
      <w:bookmarkEnd w:id="552"/>
      <w:bookmarkEnd w:id="553"/>
      <w:bookmarkEnd w:id="554"/>
      <w:r w:rsidRPr="0048780B">
        <w:t> </w:t>
      </w:r>
    </w:p>
    <w:p w14:paraId="72263413" w14:textId="77777777" w:rsidR="008D0DAB" w:rsidRPr="00F65403" w:rsidRDefault="008D0DAB" w:rsidP="008D0DAB">
      <w:pPr>
        <w:pStyle w:val="Heading3"/>
        <w:rPr>
          <w:rFonts w:cs="Arial"/>
        </w:rPr>
      </w:pPr>
      <w:r w:rsidRPr="4FD260F1">
        <w:rPr>
          <w:rFonts w:cs="Arial"/>
        </w:rPr>
        <w:t>For the year ended 30 June 2025</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387"/>
        <w:gridCol w:w="709"/>
        <w:gridCol w:w="1465"/>
        <w:gridCol w:w="1465"/>
      </w:tblGrid>
      <w:tr w:rsidR="008D0DAB" w:rsidRPr="00886B3E" w14:paraId="26870066" w14:textId="77777777" w:rsidTr="413EB596">
        <w:tc>
          <w:tcPr>
            <w:tcW w:w="5387" w:type="dxa"/>
            <w:tcBorders>
              <w:top w:val="nil"/>
              <w:left w:val="nil"/>
              <w:bottom w:val="nil"/>
              <w:right w:val="nil"/>
            </w:tcBorders>
            <w:noWrap/>
            <w:vAlign w:val="bottom"/>
            <w:hideMark/>
          </w:tcPr>
          <w:p w14:paraId="3EA8C0B4" w14:textId="77777777" w:rsidR="008D0DAB" w:rsidRPr="000E1B25" w:rsidRDefault="008D0DAB" w:rsidP="009B7B2A">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6AF58058"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vAlign w:val="bottom"/>
            <w:hideMark/>
          </w:tcPr>
          <w:p w14:paraId="6749B0B2" w14:textId="77777777" w:rsidR="008D0DAB" w:rsidRPr="000E1B25" w:rsidRDefault="008D0DAB" w:rsidP="009B7B2A">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Year ended</w:t>
            </w:r>
            <w:r>
              <w:rPr>
                <w:rFonts w:eastAsia="Times New Roman" w:cs="Arial"/>
                <w:b/>
                <w:bCs/>
                <w:color w:val="000000"/>
                <w:sz w:val="20"/>
                <w:szCs w:val="20"/>
                <w:lang w:eastAsia="en-AU"/>
              </w:rPr>
              <w:t xml:space="preserve"> 30 June 2025</w:t>
            </w:r>
          </w:p>
        </w:tc>
        <w:tc>
          <w:tcPr>
            <w:tcW w:w="1465" w:type="dxa"/>
            <w:tcBorders>
              <w:top w:val="nil"/>
              <w:left w:val="nil"/>
              <w:bottom w:val="nil"/>
              <w:right w:val="nil"/>
            </w:tcBorders>
            <w:vAlign w:val="bottom"/>
            <w:hideMark/>
          </w:tcPr>
          <w:p w14:paraId="110C78E7" w14:textId="596E4AEC" w:rsidR="008D0DAB" w:rsidRPr="000E1B25" w:rsidRDefault="008C4543" w:rsidP="009B7B2A">
            <w:pPr>
              <w:spacing w:after="0" w:line="240" w:lineRule="auto"/>
              <w:jc w:val="center"/>
              <w:rPr>
                <w:rFonts w:eastAsia="Times New Roman" w:cs="Arial"/>
                <w:b/>
                <w:color w:val="000000"/>
                <w:sz w:val="20"/>
                <w:szCs w:val="20"/>
                <w:lang w:eastAsia="en-AU"/>
              </w:rPr>
            </w:pPr>
            <w:r>
              <w:rPr>
                <w:rFonts w:eastAsia="Times New Roman" w:cs="Arial"/>
                <w:b/>
                <w:bCs/>
                <w:color w:val="000000"/>
                <w:sz w:val="20"/>
                <w:szCs w:val="20"/>
                <w:lang w:eastAsia="en-AU"/>
              </w:rPr>
              <w:t>26 October</w:t>
            </w:r>
            <w:r w:rsidR="008D0DAB" w:rsidRPr="00FD5BEA">
              <w:rPr>
                <w:rFonts w:eastAsia="Times New Roman" w:cs="Arial"/>
                <w:b/>
                <w:bCs/>
                <w:color w:val="000000"/>
                <w:sz w:val="20"/>
                <w:szCs w:val="20"/>
                <w:lang w:eastAsia="en-AU"/>
              </w:rPr>
              <w:t xml:space="preserve"> </w:t>
            </w:r>
            <w:r w:rsidR="008D0DAB">
              <w:rPr>
                <w:rFonts w:eastAsia="Times New Roman" w:cs="Arial"/>
                <w:b/>
                <w:bCs/>
                <w:color w:val="000000"/>
                <w:sz w:val="20"/>
                <w:szCs w:val="20"/>
                <w:lang w:eastAsia="en-AU"/>
              </w:rPr>
              <w:t>20</w:t>
            </w:r>
            <w:r w:rsidR="008D0DAB" w:rsidRPr="00FD5BEA">
              <w:rPr>
                <w:rFonts w:eastAsia="Times New Roman" w:cs="Arial"/>
                <w:b/>
                <w:bCs/>
                <w:color w:val="000000"/>
                <w:sz w:val="20"/>
                <w:szCs w:val="20"/>
                <w:lang w:eastAsia="en-AU"/>
              </w:rPr>
              <w:t>23</w:t>
            </w:r>
            <w:r w:rsidR="008D0DAB">
              <w:rPr>
                <w:rFonts w:eastAsia="Times New Roman" w:cs="Arial"/>
                <w:b/>
                <w:bCs/>
                <w:color w:val="000000"/>
                <w:sz w:val="20"/>
                <w:szCs w:val="20"/>
                <w:lang w:eastAsia="en-AU"/>
              </w:rPr>
              <w:t xml:space="preserve"> </w:t>
            </w:r>
            <w:r w:rsidR="008D0DAB" w:rsidRPr="00FD5BEA">
              <w:rPr>
                <w:rFonts w:eastAsia="Times New Roman" w:cs="Arial"/>
                <w:b/>
                <w:bCs/>
                <w:color w:val="000000"/>
                <w:sz w:val="20"/>
                <w:szCs w:val="20"/>
                <w:lang w:eastAsia="en-AU"/>
              </w:rPr>
              <w:t>to 30 Jun</w:t>
            </w:r>
            <w:r w:rsidR="008D0DAB">
              <w:rPr>
                <w:rFonts w:eastAsia="Times New Roman" w:cs="Arial"/>
                <w:b/>
                <w:bCs/>
                <w:color w:val="000000"/>
                <w:sz w:val="20"/>
                <w:szCs w:val="20"/>
                <w:lang w:eastAsia="en-AU"/>
              </w:rPr>
              <w:t>e</w:t>
            </w:r>
            <w:r w:rsidR="008D0DAB" w:rsidRPr="00FD5BEA">
              <w:rPr>
                <w:rFonts w:eastAsia="Times New Roman" w:cs="Arial"/>
                <w:b/>
                <w:bCs/>
                <w:color w:val="000000"/>
                <w:sz w:val="20"/>
                <w:szCs w:val="20"/>
                <w:lang w:eastAsia="en-AU"/>
              </w:rPr>
              <w:t xml:space="preserve"> </w:t>
            </w:r>
            <w:r w:rsidR="008D0DAB">
              <w:rPr>
                <w:rFonts w:eastAsia="Times New Roman" w:cs="Arial"/>
                <w:b/>
                <w:bCs/>
                <w:color w:val="000000"/>
                <w:sz w:val="20"/>
                <w:szCs w:val="20"/>
                <w:lang w:eastAsia="en-AU"/>
              </w:rPr>
              <w:t>20</w:t>
            </w:r>
            <w:r w:rsidR="008D0DAB" w:rsidRPr="00FD5BEA">
              <w:rPr>
                <w:rFonts w:eastAsia="Times New Roman" w:cs="Arial"/>
                <w:b/>
                <w:bCs/>
                <w:color w:val="000000"/>
                <w:sz w:val="20"/>
                <w:szCs w:val="20"/>
                <w:lang w:eastAsia="en-AU"/>
              </w:rPr>
              <w:t>24</w:t>
            </w:r>
          </w:p>
        </w:tc>
      </w:tr>
      <w:tr w:rsidR="008D0DAB" w:rsidRPr="00886B3E" w14:paraId="35F06FC9" w14:textId="77777777" w:rsidTr="413EB596">
        <w:tc>
          <w:tcPr>
            <w:tcW w:w="5387" w:type="dxa"/>
            <w:tcBorders>
              <w:top w:val="nil"/>
              <w:left w:val="nil"/>
              <w:bottom w:val="nil"/>
              <w:right w:val="nil"/>
            </w:tcBorders>
            <w:vAlign w:val="bottom"/>
            <w:hideMark/>
          </w:tcPr>
          <w:p w14:paraId="242711AA" w14:textId="77777777" w:rsidR="008D0DAB" w:rsidRPr="000E1B25" w:rsidRDefault="008D0DAB" w:rsidP="009B7B2A">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09DD5A9D" w14:textId="77777777" w:rsidR="008D0DAB" w:rsidRPr="000E1B25" w:rsidRDefault="008D0DAB" w:rsidP="009B7B2A">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Note</w:t>
            </w:r>
          </w:p>
        </w:tc>
        <w:tc>
          <w:tcPr>
            <w:tcW w:w="1465" w:type="dxa"/>
            <w:tcBorders>
              <w:top w:val="nil"/>
              <w:left w:val="nil"/>
              <w:bottom w:val="nil"/>
              <w:right w:val="nil"/>
            </w:tcBorders>
            <w:noWrap/>
            <w:hideMark/>
          </w:tcPr>
          <w:p w14:paraId="0BE9E0D3" w14:textId="77777777" w:rsidR="008D0DAB" w:rsidRPr="000E1B25" w:rsidRDefault="008D0DAB" w:rsidP="009B7B2A">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c>
          <w:tcPr>
            <w:tcW w:w="1465" w:type="dxa"/>
            <w:tcBorders>
              <w:top w:val="nil"/>
              <w:left w:val="nil"/>
              <w:bottom w:val="nil"/>
              <w:right w:val="nil"/>
            </w:tcBorders>
            <w:noWrap/>
            <w:hideMark/>
          </w:tcPr>
          <w:p w14:paraId="2662C370" w14:textId="77777777" w:rsidR="008D0DAB" w:rsidRPr="000E1B25" w:rsidRDefault="008D0DAB" w:rsidP="009B7B2A">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r>
      <w:tr w:rsidR="008D0DAB" w:rsidRPr="00886B3E" w14:paraId="030FA127" w14:textId="77777777" w:rsidTr="413EB596">
        <w:tc>
          <w:tcPr>
            <w:tcW w:w="5387" w:type="dxa"/>
            <w:tcBorders>
              <w:top w:val="nil"/>
              <w:left w:val="nil"/>
              <w:bottom w:val="nil"/>
              <w:right w:val="nil"/>
            </w:tcBorders>
            <w:noWrap/>
            <w:vAlign w:val="bottom"/>
            <w:hideMark/>
          </w:tcPr>
          <w:p w14:paraId="63FD5286" w14:textId="77777777" w:rsidR="008D0DAB" w:rsidRPr="000E1B25" w:rsidRDefault="008D0DAB" w:rsidP="009B7B2A">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0853DD16"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145558E1" w14:textId="77777777" w:rsidR="008D0DAB" w:rsidRPr="00F65403" w:rsidRDefault="008D0DAB" w:rsidP="009B7B2A">
            <w:pPr>
              <w:tabs>
                <w:tab w:val="decimal" w:pos="1110"/>
              </w:tabs>
              <w:spacing w:after="0" w:line="240" w:lineRule="auto"/>
              <w:rPr>
                <w:rFonts w:eastAsia="Times New Roman" w:cs="Arial"/>
                <w:sz w:val="20"/>
                <w:szCs w:val="20"/>
                <w:highlight w:val="yellow"/>
                <w:lang w:eastAsia="en-AU"/>
              </w:rPr>
            </w:pPr>
          </w:p>
        </w:tc>
        <w:tc>
          <w:tcPr>
            <w:tcW w:w="1465" w:type="dxa"/>
            <w:tcBorders>
              <w:top w:val="nil"/>
              <w:left w:val="nil"/>
              <w:bottom w:val="nil"/>
              <w:right w:val="nil"/>
            </w:tcBorders>
            <w:noWrap/>
            <w:vAlign w:val="bottom"/>
            <w:hideMark/>
          </w:tcPr>
          <w:p w14:paraId="293F78F2"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315C30BB" w14:textId="77777777" w:rsidTr="413EB596">
        <w:tc>
          <w:tcPr>
            <w:tcW w:w="5387" w:type="dxa"/>
            <w:tcBorders>
              <w:top w:val="nil"/>
              <w:left w:val="nil"/>
              <w:bottom w:val="nil"/>
              <w:right w:val="nil"/>
            </w:tcBorders>
            <w:noWrap/>
            <w:vAlign w:val="bottom"/>
            <w:hideMark/>
          </w:tcPr>
          <w:p w14:paraId="09A6025A" w14:textId="77777777"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operating activities</w:t>
            </w:r>
          </w:p>
        </w:tc>
        <w:tc>
          <w:tcPr>
            <w:tcW w:w="709" w:type="dxa"/>
            <w:tcBorders>
              <w:top w:val="nil"/>
              <w:left w:val="nil"/>
              <w:bottom w:val="nil"/>
              <w:right w:val="nil"/>
            </w:tcBorders>
            <w:noWrap/>
            <w:hideMark/>
          </w:tcPr>
          <w:p w14:paraId="40B4FE7B" w14:textId="77777777" w:rsidR="008D0DAB" w:rsidRPr="000E1B25" w:rsidRDefault="008D0DAB" w:rsidP="009B7B2A">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7A937F99"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07931A14"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31B351EF" w14:textId="77777777" w:rsidTr="413EB596">
        <w:tc>
          <w:tcPr>
            <w:tcW w:w="5387" w:type="dxa"/>
            <w:tcBorders>
              <w:top w:val="nil"/>
              <w:left w:val="nil"/>
              <w:bottom w:val="nil"/>
              <w:right w:val="nil"/>
            </w:tcBorders>
            <w:noWrap/>
            <w:vAlign w:val="bottom"/>
            <w:hideMark/>
          </w:tcPr>
          <w:p w14:paraId="38C64A01" w14:textId="77777777" w:rsidR="008D0DAB" w:rsidRPr="000E1B25" w:rsidRDefault="008D0DAB" w:rsidP="009B7B2A">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to suppliers and employees</w:t>
            </w:r>
          </w:p>
        </w:tc>
        <w:tc>
          <w:tcPr>
            <w:tcW w:w="709" w:type="dxa"/>
            <w:tcBorders>
              <w:top w:val="nil"/>
              <w:left w:val="nil"/>
              <w:bottom w:val="nil"/>
              <w:right w:val="nil"/>
            </w:tcBorders>
            <w:noWrap/>
            <w:hideMark/>
          </w:tcPr>
          <w:p w14:paraId="2A11DA90"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09FA83C2" w14:textId="773D28DC" w:rsidR="008D0DAB" w:rsidRPr="000E1B25" w:rsidRDefault="008D0DAB" w:rsidP="009B7B2A">
            <w:pPr>
              <w:tabs>
                <w:tab w:val="decimal" w:pos="1110"/>
              </w:tabs>
              <w:spacing w:after="0" w:line="240" w:lineRule="auto"/>
              <w:rPr>
                <w:rFonts w:eastAsia="Times New Roman" w:cs="Arial"/>
                <w:sz w:val="20"/>
                <w:szCs w:val="20"/>
                <w:lang w:eastAsia="en-AU"/>
              </w:rPr>
            </w:pPr>
            <w:r w:rsidRPr="413EB596">
              <w:rPr>
                <w:rFonts w:eastAsia="Times New Roman" w:cs="Arial"/>
                <w:sz w:val="20"/>
                <w:szCs w:val="20"/>
                <w:lang w:eastAsia="en-AU"/>
              </w:rPr>
              <w:t>(2,</w:t>
            </w:r>
            <w:r w:rsidR="004833F1" w:rsidRPr="413EB596">
              <w:rPr>
                <w:rFonts w:eastAsia="Times New Roman" w:cs="Arial"/>
                <w:sz w:val="20"/>
                <w:szCs w:val="20"/>
                <w:lang w:eastAsia="en-AU"/>
              </w:rPr>
              <w:t>38</w:t>
            </w:r>
            <w:r w:rsidR="004E1B31">
              <w:rPr>
                <w:rFonts w:eastAsia="Times New Roman" w:cs="Arial"/>
                <w:sz w:val="20"/>
                <w:szCs w:val="20"/>
                <w:lang w:eastAsia="en-AU"/>
              </w:rPr>
              <w:t>8</w:t>
            </w:r>
            <w:r w:rsidRPr="413EB596">
              <w:rPr>
                <w:rFonts w:eastAsia="Times New Roman" w:cs="Arial"/>
                <w:sz w:val="20"/>
                <w:szCs w:val="20"/>
                <w:lang w:eastAsia="en-AU"/>
              </w:rPr>
              <w:t>)</w:t>
            </w:r>
          </w:p>
        </w:tc>
        <w:tc>
          <w:tcPr>
            <w:tcW w:w="1465" w:type="dxa"/>
            <w:tcBorders>
              <w:top w:val="nil"/>
              <w:left w:val="nil"/>
              <w:bottom w:val="nil"/>
              <w:right w:val="nil"/>
            </w:tcBorders>
            <w:noWrap/>
            <w:vAlign w:val="bottom"/>
            <w:hideMark/>
          </w:tcPr>
          <w:p w14:paraId="6A9D5ADA"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886B3E" w14:paraId="353657C0" w14:textId="77777777" w:rsidTr="413EB596">
        <w:tc>
          <w:tcPr>
            <w:tcW w:w="5387" w:type="dxa"/>
            <w:tcBorders>
              <w:top w:val="nil"/>
              <w:left w:val="nil"/>
              <w:bottom w:val="nil"/>
              <w:right w:val="nil"/>
            </w:tcBorders>
            <w:noWrap/>
            <w:vAlign w:val="bottom"/>
            <w:hideMark/>
          </w:tcPr>
          <w:p w14:paraId="475B1783" w14:textId="77777777" w:rsidR="008D0DAB" w:rsidRPr="000E1B25" w:rsidRDefault="008D0DAB" w:rsidP="009B7B2A">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Interest paid</w:t>
            </w:r>
          </w:p>
        </w:tc>
        <w:tc>
          <w:tcPr>
            <w:tcW w:w="709" w:type="dxa"/>
            <w:tcBorders>
              <w:top w:val="nil"/>
              <w:left w:val="nil"/>
              <w:bottom w:val="nil"/>
              <w:right w:val="nil"/>
            </w:tcBorders>
            <w:noWrap/>
            <w:hideMark/>
          </w:tcPr>
          <w:p w14:paraId="0CA1E6B1"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3A1BCF92"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(161)</w:t>
            </w:r>
          </w:p>
        </w:tc>
        <w:tc>
          <w:tcPr>
            <w:tcW w:w="1465" w:type="dxa"/>
            <w:tcBorders>
              <w:top w:val="nil"/>
              <w:left w:val="nil"/>
              <w:bottom w:val="single" w:sz="4" w:space="0" w:color="auto"/>
              <w:right w:val="nil"/>
            </w:tcBorders>
            <w:noWrap/>
            <w:vAlign w:val="bottom"/>
            <w:hideMark/>
          </w:tcPr>
          <w:p w14:paraId="57F6E184"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D0DAB" w:rsidRPr="00886B3E" w14:paraId="7376E5D0" w14:textId="77777777" w:rsidTr="413EB596">
        <w:tc>
          <w:tcPr>
            <w:tcW w:w="5387" w:type="dxa"/>
            <w:tcBorders>
              <w:top w:val="nil"/>
              <w:left w:val="nil"/>
              <w:bottom w:val="nil"/>
              <w:right w:val="nil"/>
            </w:tcBorders>
            <w:noWrap/>
            <w:vAlign w:val="bottom"/>
            <w:hideMark/>
          </w:tcPr>
          <w:p w14:paraId="00D12F94" w14:textId="67EB025B"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Net cash flows used in operating activities</w:t>
            </w:r>
          </w:p>
        </w:tc>
        <w:tc>
          <w:tcPr>
            <w:tcW w:w="709" w:type="dxa"/>
            <w:tcBorders>
              <w:top w:val="nil"/>
              <w:left w:val="nil"/>
              <w:bottom w:val="nil"/>
              <w:right w:val="nil"/>
            </w:tcBorders>
            <w:noWrap/>
            <w:hideMark/>
          </w:tcPr>
          <w:p w14:paraId="741AF789" w14:textId="77777777" w:rsidR="008D0DAB" w:rsidRPr="000E1B25"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3ii</w:t>
            </w:r>
          </w:p>
        </w:tc>
        <w:tc>
          <w:tcPr>
            <w:tcW w:w="1465" w:type="dxa"/>
            <w:tcBorders>
              <w:top w:val="nil"/>
              <w:left w:val="nil"/>
              <w:bottom w:val="nil"/>
              <w:right w:val="nil"/>
            </w:tcBorders>
            <w:noWrap/>
            <w:vAlign w:val="bottom"/>
            <w:hideMark/>
          </w:tcPr>
          <w:p w14:paraId="49973A81" w14:textId="3DC65924"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(2,54</w:t>
            </w:r>
            <w:r w:rsidR="004E1B31">
              <w:rPr>
                <w:rFonts w:eastAsia="Times New Roman" w:cs="Arial"/>
                <w:b/>
                <w:color w:val="000000"/>
                <w:sz w:val="20"/>
                <w:szCs w:val="20"/>
                <w:lang w:eastAsia="en-AU"/>
              </w:rPr>
              <w:t>9</w:t>
            </w:r>
            <w:r>
              <w:rPr>
                <w:rFonts w:eastAsia="Times New Roman" w:cs="Arial"/>
                <w:b/>
                <w:color w:val="000000"/>
                <w:sz w:val="20"/>
                <w:szCs w:val="20"/>
                <w:lang w:eastAsia="en-AU"/>
              </w:rPr>
              <w:t>)</w:t>
            </w:r>
          </w:p>
        </w:tc>
        <w:tc>
          <w:tcPr>
            <w:tcW w:w="1465" w:type="dxa"/>
            <w:tcBorders>
              <w:top w:val="nil"/>
              <w:left w:val="nil"/>
              <w:bottom w:val="nil"/>
              <w:right w:val="nil"/>
            </w:tcBorders>
            <w:noWrap/>
            <w:vAlign w:val="bottom"/>
            <w:hideMark/>
          </w:tcPr>
          <w:p w14:paraId="49AC5648" w14:textId="77777777"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8D0DAB" w:rsidRPr="00886B3E" w14:paraId="5A601682" w14:textId="77777777" w:rsidTr="413EB596">
        <w:tc>
          <w:tcPr>
            <w:tcW w:w="5387" w:type="dxa"/>
            <w:tcBorders>
              <w:top w:val="nil"/>
              <w:left w:val="nil"/>
              <w:bottom w:val="nil"/>
              <w:right w:val="nil"/>
            </w:tcBorders>
            <w:noWrap/>
            <w:vAlign w:val="bottom"/>
            <w:hideMark/>
          </w:tcPr>
          <w:p w14:paraId="335B5EB7" w14:textId="77777777" w:rsidR="008D0DAB" w:rsidRPr="000E1B25" w:rsidRDefault="008D0DAB" w:rsidP="009B7B2A">
            <w:pPr>
              <w:spacing w:after="0" w:line="240" w:lineRule="auto"/>
              <w:rPr>
                <w:rFonts w:eastAsia="Times New Roman" w:cs="Arial"/>
                <w:b/>
                <w:color w:val="000000"/>
                <w:sz w:val="20"/>
                <w:szCs w:val="20"/>
                <w:lang w:eastAsia="en-AU"/>
              </w:rPr>
            </w:pPr>
          </w:p>
        </w:tc>
        <w:tc>
          <w:tcPr>
            <w:tcW w:w="709" w:type="dxa"/>
            <w:tcBorders>
              <w:top w:val="nil"/>
              <w:left w:val="nil"/>
              <w:bottom w:val="nil"/>
              <w:right w:val="nil"/>
            </w:tcBorders>
            <w:noWrap/>
            <w:hideMark/>
          </w:tcPr>
          <w:p w14:paraId="534D5996"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5972B7CB"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2101BA98"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70EAAA89" w14:textId="77777777" w:rsidTr="413EB596">
        <w:tc>
          <w:tcPr>
            <w:tcW w:w="5387" w:type="dxa"/>
            <w:tcBorders>
              <w:top w:val="nil"/>
              <w:left w:val="nil"/>
              <w:bottom w:val="nil"/>
              <w:right w:val="nil"/>
            </w:tcBorders>
            <w:noWrap/>
            <w:vAlign w:val="bottom"/>
            <w:hideMark/>
          </w:tcPr>
          <w:p w14:paraId="334C6965" w14:textId="77777777"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investing activities</w:t>
            </w:r>
          </w:p>
        </w:tc>
        <w:tc>
          <w:tcPr>
            <w:tcW w:w="709" w:type="dxa"/>
            <w:tcBorders>
              <w:top w:val="nil"/>
              <w:left w:val="nil"/>
              <w:bottom w:val="nil"/>
              <w:right w:val="nil"/>
            </w:tcBorders>
            <w:noWrap/>
            <w:hideMark/>
          </w:tcPr>
          <w:p w14:paraId="15741E50" w14:textId="77777777" w:rsidR="008D0DAB" w:rsidRPr="000E1B25" w:rsidRDefault="008D0DAB" w:rsidP="009B7B2A">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22BB95A4"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11687F5C"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5F526B8A" w14:textId="77777777" w:rsidTr="413EB596">
        <w:tc>
          <w:tcPr>
            <w:tcW w:w="5387" w:type="dxa"/>
            <w:tcBorders>
              <w:top w:val="nil"/>
              <w:left w:val="nil"/>
              <w:bottom w:val="nil"/>
              <w:right w:val="nil"/>
            </w:tcBorders>
            <w:noWrap/>
            <w:vAlign w:val="bottom"/>
            <w:hideMark/>
          </w:tcPr>
          <w:p w14:paraId="759D39DC" w14:textId="77777777" w:rsidR="008D0DAB" w:rsidRPr="000E1B25" w:rsidRDefault="008D0DAB" w:rsidP="009B7B2A">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for property, plant and equipment</w:t>
            </w:r>
          </w:p>
        </w:tc>
        <w:tc>
          <w:tcPr>
            <w:tcW w:w="709" w:type="dxa"/>
            <w:tcBorders>
              <w:top w:val="nil"/>
              <w:left w:val="nil"/>
              <w:bottom w:val="nil"/>
              <w:right w:val="nil"/>
            </w:tcBorders>
            <w:noWrap/>
            <w:hideMark/>
          </w:tcPr>
          <w:p w14:paraId="2BC1A2EF"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3E9487F6" w14:textId="77777777" w:rsidR="008D0DAB" w:rsidRPr="000E1B25" w:rsidRDefault="008D0DAB" w:rsidP="009B7B2A">
            <w:pPr>
              <w:tabs>
                <w:tab w:val="decimal" w:pos="1110"/>
              </w:tabs>
              <w:spacing w:after="0" w:line="240" w:lineRule="auto"/>
              <w:rPr>
                <w:rFonts w:eastAsia="Times New Roman" w:cs="Arial"/>
                <w:sz w:val="20"/>
                <w:szCs w:val="20"/>
                <w:lang w:eastAsia="en-AU"/>
              </w:rPr>
            </w:pPr>
            <w:r w:rsidRPr="49BCD735">
              <w:rPr>
                <w:rFonts w:eastAsia="Times New Roman" w:cs="Arial"/>
                <w:sz w:val="20"/>
                <w:szCs w:val="20"/>
                <w:lang w:eastAsia="en-AU"/>
              </w:rPr>
              <w:t>(67,</w:t>
            </w:r>
            <w:r>
              <w:rPr>
                <w:rFonts w:eastAsia="Times New Roman" w:cs="Arial"/>
                <w:sz w:val="20"/>
                <w:szCs w:val="20"/>
                <w:lang w:eastAsia="en-AU"/>
              </w:rPr>
              <w:t>155</w:t>
            </w:r>
            <w:r w:rsidRPr="49BCD735">
              <w:rPr>
                <w:rFonts w:eastAsia="Times New Roman" w:cs="Arial"/>
                <w:sz w:val="20"/>
                <w:szCs w:val="20"/>
                <w:lang w:eastAsia="en-AU"/>
              </w:rPr>
              <w:t>)</w:t>
            </w:r>
          </w:p>
        </w:tc>
        <w:tc>
          <w:tcPr>
            <w:tcW w:w="1465" w:type="dxa"/>
            <w:tcBorders>
              <w:top w:val="nil"/>
              <w:left w:val="nil"/>
              <w:bottom w:val="nil"/>
              <w:right w:val="nil"/>
            </w:tcBorders>
            <w:noWrap/>
            <w:vAlign w:val="bottom"/>
            <w:hideMark/>
          </w:tcPr>
          <w:p w14:paraId="6330B9BD"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D0DAB" w:rsidRPr="00886B3E" w14:paraId="350A87BB" w14:textId="77777777" w:rsidTr="413EB596">
        <w:tc>
          <w:tcPr>
            <w:tcW w:w="5387" w:type="dxa"/>
            <w:tcBorders>
              <w:top w:val="nil"/>
              <w:left w:val="nil"/>
              <w:bottom w:val="nil"/>
              <w:right w:val="nil"/>
            </w:tcBorders>
            <w:vAlign w:val="bottom"/>
            <w:hideMark/>
          </w:tcPr>
          <w:p w14:paraId="77F46BD7" w14:textId="77777777" w:rsidR="008D0DAB" w:rsidRPr="000E1B25" w:rsidRDefault="008D0DAB" w:rsidP="009B7B2A">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for investments in equity accounted investees</w:t>
            </w:r>
          </w:p>
        </w:tc>
        <w:tc>
          <w:tcPr>
            <w:tcW w:w="709" w:type="dxa"/>
            <w:tcBorders>
              <w:top w:val="nil"/>
              <w:left w:val="nil"/>
              <w:bottom w:val="nil"/>
              <w:right w:val="nil"/>
            </w:tcBorders>
            <w:noWrap/>
            <w:hideMark/>
          </w:tcPr>
          <w:p w14:paraId="76DA07B8"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25671E59"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(119,600)</w:t>
            </w:r>
          </w:p>
        </w:tc>
        <w:tc>
          <w:tcPr>
            <w:tcW w:w="1465" w:type="dxa"/>
            <w:tcBorders>
              <w:top w:val="nil"/>
              <w:left w:val="nil"/>
              <w:bottom w:val="single" w:sz="4" w:space="0" w:color="auto"/>
              <w:right w:val="nil"/>
            </w:tcBorders>
            <w:noWrap/>
            <w:vAlign w:val="bottom"/>
            <w:hideMark/>
          </w:tcPr>
          <w:p w14:paraId="00040398"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(73,095)</w:t>
            </w:r>
          </w:p>
        </w:tc>
      </w:tr>
      <w:tr w:rsidR="008D0DAB" w:rsidRPr="00886B3E" w14:paraId="1CE8387C" w14:textId="77777777" w:rsidTr="413EB596">
        <w:tc>
          <w:tcPr>
            <w:tcW w:w="5387" w:type="dxa"/>
            <w:tcBorders>
              <w:top w:val="nil"/>
              <w:left w:val="nil"/>
              <w:bottom w:val="nil"/>
              <w:right w:val="nil"/>
            </w:tcBorders>
            <w:noWrap/>
            <w:vAlign w:val="bottom"/>
            <w:hideMark/>
          </w:tcPr>
          <w:p w14:paraId="7005DC89" w14:textId="7E7264A9"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Net cash flows used in investing activities</w:t>
            </w:r>
          </w:p>
        </w:tc>
        <w:tc>
          <w:tcPr>
            <w:tcW w:w="709" w:type="dxa"/>
            <w:tcBorders>
              <w:top w:val="nil"/>
              <w:left w:val="nil"/>
              <w:bottom w:val="nil"/>
              <w:right w:val="nil"/>
            </w:tcBorders>
            <w:noWrap/>
            <w:hideMark/>
          </w:tcPr>
          <w:p w14:paraId="2BEA6600" w14:textId="77777777" w:rsidR="008D0DAB" w:rsidRPr="000E1B25" w:rsidRDefault="008D0DAB" w:rsidP="009B7B2A">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5A57D15C" w14:textId="77777777" w:rsidR="008D0DAB" w:rsidRPr="000E1B25" w:rsidRDefault="008D0DAB" w:rsidP="009B7B2A">
            <w:pPr>
              <w:tabs>
                <w:tab w:val="decimal" w:pos="1110"/>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(18</w:t>
            </w:r>
            <w:r>
              <w:rPr>
                <w:rFonts w:eastAsia="Times New Roman" w:cs="Arial"/>
                <w:b/>
                <w:bCs/>
                <w:color w:val="000000" w:themeColor="text1"/>
                <w:sz w:val="20"/>
                <w:szCs w:val="20"/>
                <w:lang w:eastAsia="en-AU"/>
              </w:rPr>
              <w:t>6,755</w:t>
            </w:r>
            <w:r w:rsidRPr="49BCD735">
              <w:rPr>
                <w:rFonts w:eastAsia="Times New Roman" w:cs="Arial"/>
                <w:b/>
                <w:bCs/>
                <w:color w:val="000000" w:themeColor="text1"/>
                <w:sz w:val="20"/>
                <w:szCs w:val="20"/>
                <w:lang w:eastAsia="en-AU"/>
              </w:rPr>
              <w:t>)</w:t>
            </w:r>
          </w:p>
        </w:tc>
        <w:tc>
          <w:tcPr>
            <w:tcW w:w="1465" w:type="dxa"/>
            <w:tcBorders>
              <w:top w:val="nil"/>
              <w:left w:val="nil"/>
              <w:bottom w:val="nil"/>
              <w:right w:val="nil"/>
            </w:tcBorders>
            <w:noWrap/>
            <w:vAlign w:val="bottom"/>
            <w:hideMark/>
          </w:tcPr>
          <w:p w14:paraId="76079B92" w14:textId="77777777"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(73,095)</w:t>
            </w:r>
          </w:p>
        </w:tc>
      </w:tr>
      <w:tr w:rsidR="008D0DAB" w:rsidRPr="00886B3E" w14:paraId="4E73BD7B" w14:textId="77777777" w:rsidTr="413EB596">
        <w:tc>
          <w:tcPr>
            <w:tcW w:w="5387" w:type="dxa"/>
            <w:tcBorders>
              <w:top w:val="nil"/>
              <w:left w:val="nil"/>
              <w:bottom w:val="nil"/>
              <w:right w:val="nil"/>
            </w:tcBorders>
            <w:noWrap/>
            <w:vAlign w:val="bottom"/>
            <w:hideMark/>
          </w:tcPr>
          <w:p w14:paraId="13CBBE0C" w14:textId="77777777" w:rsidR="008D0DAB" w:rsidRPr="000E1B25" w:rsidRDefault="008D0DAB" w:rsidP="009B7B2A">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0A469367"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50917D01"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78757E1B"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1706D0F0" w14:textId="77777777" w:rsidTr="413EB596">
        <w:tc>
          <w:tcPr>
            <w:tcW w:w="5387" w:type="dxa"/>
            <w:tcBorders>
              <w:top w:val="nil"/>
              <w:left w:val="nil"/>
              <w:bottom w:val="nil"/>
              <w:right w:val="nil"/>
            </w:tcBorders>
            <w:noWrap/>
            <w:vAlign w:val="bottom"/>
            <w:hideMark/>
          </w:tcPr>
          <w:p w14:paraId="4938F246" w14:textId="77777777"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financing activities</w:t>
            </w:r>
          </w:p>
        </w:tc>
        <w:tc>
          <w:tcPr>
            <w:tcW w:w="709" w:type="dxa"/>
            <w:tcBorders>
              <w:top w:val="nil"/>
              <w:left w:val="nil"/>
              <w:bottom w:val="nil"/>
              <w:right w:val="nil"/>
            </w:tcBorders>
            <w:noWrap/>
            <w:hideMark/>
          </w:tcPr>
          <w:p w14:paraId="28B3320F" w14:textId="77777777" w:rsidR="008D0DAB" w:rsidRPr="000E1B25" w:rsidRDefault="008D0DAB" w:rsidP="009B7B2A">
            <w:pPr>
              <w:spacing w:after="0" w:line="240" w:lineRule="auto"/>
              <w:jc w:val="center"/>
              <w:rPr>
                <w:rFonts w:eastAsia="Times New Roman" w:cs="Arial"/>
                <w:b/>
                <w:color w:val="000000"/>
                <w:sz w:val="20"/>
                <w:szCs w:val="20"/>
                <w:lang w:eastAsia="en-AU"/>
              </w:rPr>
            </w:pPr>
          </w:p>
        </w:tc>
        <w:tc>
          <w:tcPr>
            <w:tcW w:w="1465" w:type="dxa"/>
            <w:tcBorders>
              <w:top w:val="nil"/>
              <w:left w:val="nil"/>
              <w:right w:val="nil"/>
            </w:tcBorders>
            <w:noWrap/>
            <w:vAlign w:val="bottom"/>
            <w:hideMark/>
          </w:tcPr>
          <w:p w14:paraId="7D943FFD"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c>
          <w:tcPr>
            <w:tcW w:w="1465" w:type="dxa"/>
            <w:tcBorders>
              <w:top w:val="nil"/>
              <w:left w:val="nil"/>
              <w:right w:val="nil"/>
            </w:tcBorders>
            <w:noWrap/>
            <w:vAlign w:val="bottom"/>
            <w:hideMark/>
          </w:tcPr>
          <w:p w14:paraId="3B67C53F" w14:textId="77777777" w:rsidR="008D0DAB" w:rsidRPr="000E1B25" w:rsidRDefault="008D0DAB" w:rsidP="009B7B2A">
            <w:pPr>
              <w:tabs>
                <w:tab w:val="decimal" w:pos="1110"/>
              </w:tabs>
              <w:spacing w:after="0" w:line="240" w:lineRule="auto"/>
              <w:rPr>
                <w:rFonts w:eastAsia="Times New Roman" w:cs="Arial"/>
                <w:sz w:val="20"/>
                <w:szCs w:val="20"/>
                <w:lang w:eastAsia="en-AU"/>
              </w:rPr>
            </w:pPr>
          </w:p>
        </w:tc>
      </w:tr>
      <w:tr w:rsidR="008D0DAB" w:rsidRPr="00886B3E" w14:paraId="7F3EBF8F" w14:textId="77777777" w:rsidTr="413EB596">
        <w:tc>
          <w:tcPr>
            <w:tcW w:w="5387" w:type="dxa"/>
            <w:tcBorders>
              <w:top w:val="nil"/>
              <w:left w:val="nil"/>
              <w:bottom w:val="nil"/>
              <w:right w:val="nil"/>
            </w:tcBorders>
            <w:noWrap/>
            <w:vAlign w:val="bottom"/>
            <w:hideMark/>
          </w:tcPr>
          <w:p w14:paraId="7B8A52DD" w14:textId="77777777" w:rsidR="008D0DAB" w:rsidRPr="000E1B25"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Funds advanced from ultimate parent company</w:t>
            </w:r>
          </w:p>
        </w:tc>
        <w:tc>
          <w:tcPr>
            <w:tcW w:w="709" w:type="dxa"/>
            <w:tcBorders>
              <w:top w:val="nil"/>
              <w:left w:val="nil"/>
              <w:bottom w:val="nil"/>
              <w:right w:val="nil"/>
            </w:tcBorders>
            <w:noWrap/>
            <w:hideMark/>
          </w:tcPr>
          <w:p w14:paraId="0499D3A9"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1C59B91D" w14:textId="77777777" w:rsidR="008D0DAB" w:rsidRPr="000E1B25" w:rsidRDefault="008D0DAB" w:rsidP="009B7B2A">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189,312</w:t>
            </w:r>
          </w:p>
        </w:tc>
        <w:tc>
          <w:tcPr>
            <w:tcW w:w="1465" w:type="dxa"/>
            <w:tcBorders>
              <w:top w:val="nil"/>
              <w:left w:val="nil"/>
              <w:bottom w:val="single" w:sz="4" w:space="0" w:color="auto"/>
              <w:right w:val="nil"/>
            </w:tcBorders>
            <w:noWrap/>
            <w:vAlign w:val="bottom"/>
            <w:hideMark/>
          </w:tcPr>
          <w:p w14:paraId="391F4249"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73,095</w:t>
            </w:r>
          </w:p>
        </w:tc>
      </w:tr>
      <w:tr w:rsidR="008D0DAB" w:rsidRPr="00886B3E" w14:paraId="023B3493" w14:textId="77777777" w:rsidTr="413EB596">
        <w:tc>
          <w:tcPr>
            <w:tcW w:w="5387" w:type="dxa"/>
            <w:tcBorders>
              <w:top w:val="nil"/>
              <w:left w:val="nil"/>
              <w:bottom w:val="nil"/>
              <w:right w:val="nil"/>
            </w:tcBorders>
            <w:noWrap/>
            <w:vAlign w:val="bottom"/>
            <w:hideMark/>
          </w:tcPr>
          <w:p w14:paraId="2547D75F" w14:textId="058C95EB"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Net cash flows from financing activities</w:t>
            </w:r>
          </w:p>
        </w:tc>
        <w:tc>
          <w:tcPr>
            <w:tcW w:w="709" w:type="dxa"/>
            <w:tcBorders>
              <w:top w:val="nil"/>
              <w:left w:val="nil"/>
              <w:bottom w:val="nil"/>
              <w:right w:val="nil"/>
            </w:tcBorders>
            <w:noWrap/>
            <w:hideMark/>
          </w:tcPr>
          <w:p w14:paraId="501E2C41" w14:textId="77777777" w:rsidR="008D0DAB" w:rsidRPr="000E1B25" w:rsidRDefault="008D0DAB" w:rsidP="009B7B2A">
            <w:pPr>
              <w:spacing w:after="0" w:line="240" w:lineRule="auto"/>
              <w:jc w:val="center"/>
              <w:rPr>
                <w:rFonts w:eastAsia="Times New Roman" w:cs="Arial"/>
                <w:b/>
                <w:color w:val="000000"/>
                <w:sz w:val="20"/>
                <w:szCs w:val="20"/>
                <w:lang w:eastAsia="en-AU"/>
              </w:rPr>
            </w:pPr>
          </w:p>
        </w:tc>
        <w:tc>
          <w:tcPr>
            <w:tcW w:w="1465" w:type="dxa"/>
            <w:tcBorders>
              <w:top w:val="single" w:sz="4" w:space="0" w:color="auto"/>
              <w:left w:val="nil"/>
              <w:bottom w:val="nil"/>
              <w:right w:val="nil"/>
            </w:tcBorders>
            <w:noWrap/>
            <w:vAlign w:val="bottom"/>
            <w:hideMark/>
          </w:tcPr>
          <w:p w14:paraId="3094A42A" w14:textId="77777777"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189,312</w:t>
            </w:r>
          </w:p>
        </w:tc>
        <w:tc>
          <w:tcPr>
            <w:tcW w:w="1465" w:type="dxa"/>
            <w:tcBorders>
              <w:top w:val="single" w:sz="4" w:space="0" w:color="auto"/>
              <w:left w:val="nil"/>
              <w:bottom w:val="nil"/>
              <w:right w:val="nil"/>
            </w:tcBorders>
            <w:noWrap/>
            <w:vAlign w:val="bottom"/>
            <w:hideMark/>
          </w:tcPr>
          <w:p w14:paraId="516A9DF9" w14:textId="77777777"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73,095</w:t>
            </w:r>
          </w:p>
        </w:tc>
      </w:tr>
      <w:tr w:rsidR="008D0DAB" w:rsidRPr="000E1B25" w14:paraId="1EB9B036" w14:textId="77777777" w:rsidTr="413EB596">
        <w:tc>
          <w:tcPr>
            <w:tcW w:w="5387" w:type="dxa"/>
            <w:tcBorders>
              <w:top w:val="nil"/>
              <w:left w:val="nil"/>
              <w:bottom w:val="nil"/>
              <w:right w:val="nil"/>
            </w:tcBorders>
            <w:noWrap/>
            <w:vAlign w:val="bottom"/>
          </w:tcPr>
          <w:p w14:paraId="345C9A15" w14:textId="77777777" w:rsidR="008D0DAB" w:rsidRPr="000E1B25" w:rsidRDefault="008D0DAB" w:rsidP="009B7B2A">
            <w:pPr>
              <w:spacing w:after="0" w:line="240" w:lineRule="auto"/>
              <w:rPr>
                <w:rFonts w:eastAsia="Times New Roman" w:cs="Arial"/>
                <w:color w:val="000000"/>
                <w:sz w:val="20"/>
                <w:szCs w:val="20"/>
                <w:lang w:eastAsia="en-AU"/>
              </w:rPr>
            </w:pPr>
          </w:p>
        </w:tc>
        <w:tc>
          <w:tcPr>
            <w:tcW w:w="709" w:type="dxa"/>
            <w:tcBorders>
              <w:top w:val="nil"/>
              <w:left w:val="nil"/>
              <w:bottom w:val="nil"/>
              <w:right w:val="nil"/>
            </w:tcBorders>
            <w:noWrap/>
          </w:tcPr>
          <w:p w14:paraId="5F8FF7B0"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tcPr>
          <w:p w14:paraId="311E0689"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p>
        </w:tc>
        <w:tc>
          <w:tcPr>
            <w:tcW w:w="1465" w:type="dxa"/>
            <w:tcBorders>
              <w:top w:val="nil"/>
              <w:left w:val="nil"/>
              <w:bottom w:val="nil"/>
              <w:right w:val="nil"/>
            </w:tcBorders>
            <w:noWrap/>
            <w:vAlign w:val="bottom"/>
          </w:tcPr>
          <w:p w14:paraId="67ED8950"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p>
        </w:tc>
      </w:tr>
      <w:tr w:rsidR="008D0DAB" w:rsidRPr="00886B3E" w14:paraId="5FF1C181" w14:textId="77777777" w:rsidTr="413EB596">
        <w:tc>
          <w:tcPr>
            <w:tcW w:w="5387" w:type="dxa"/>
            <w:tcBorders>
              <w:top w:val="nil"/>
              <w:left w:val="nil"/>
              <w:bottom w:val="nil"/>
              <w:right w:val="nil"/>
            </w:tcBorders>
            <w:noWrap/>
            <w:vAlign w:val="bottom"/>
            <w:hideMark/>
          </w:tcPr>
          <w:p w14:paraId="54A9BB8B" w14:textId="77777777"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color w:val="000000"/>
                <w:sz w:val="20"/>
                <w:szCs w:val="20"/>
                <w:lang w:eastAsia="en-AU"/>
              </w:rPr>
              <w:t>Net increase in cash and cash equivalents for the period</w:t>
            </w:r>
          </w:p>
        </w:tc>
        <w:tc>
          <w:tcPr>
            <w:tcW w:w="709" w:type="dxa"/>
            <w:tcBorders>
              <w:top w:val="nil"/>
              <w:left w:val="nil"/>
              <w:bottom w:val="nil"/>
              <w:right w:val="nil"/>
            </w:tcBorders>
            <w:noWrap/>
            <w:hideMark/>
          </w:tcPr>
          <w:p w14:paraId="0E8C989E" w14:textId="77777777" w:rsidR="008D0DAB" w:rsidRPr="000E1B25" w:rsidRDefault="008D0DAB" w:rsidP="009B7B2A">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42C7A610" w14:textId="77777777" w:rsidR="008D0DAB" w:rsidRPr="000E1B25" w:rsidRDefault="008D0DAB" w:rsidP="009B7B2A">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8</w:t>
            </w:r>
          </w:p>
        </w:tc>
        <w:tc>
          <w:tcPr>
            <w:tcW w:w="1465" w:type="dxa"/>
            <w:tcBorders>
              <w:top w:val="nil"/>
              <w:left w:val="nil"/>
              <w:bottom w:val="nil"/>
              <w:right w:val="nil"/>
            </w:tcBorders>
            <w:noWrap/>
            <w:vAlign w:val="bottom"/>
            <w:hideMark/>
          </w:tcPr>
          <w:p w14:paraId="003A844A" w14:textId="77777777" w:rsidR="008D0DAB" w:rsidRPr="000E1B25" w:rsidRDefault="008D0DAB" w:rsidP="009B7B2A">
            <w:pPr>
              <w:tabs>
                <w:tab w:val="decimal" w:pos="1110"/>
              </w:tabs>
              <w:spacing w:after="0" w:line="240" w:lineRule="auto"/>
              <w:rPr>
                <w:rFonts w:eastAsia="Times New Roman" w:cs="Arial"/>
                <w:sz w:val="20"/>
                <w:szCs w:val="20"/>
                <w:lang w:eastAsia="en-AU"/>
              </w:rPr>
            </w:pPr>
            <w:r>
              <w:rPr>
                <w:rFonts w:eastAsia="Times New Roman" w:cs="Arial"/>
                <w:color w:val="000000"/>
                <w:sz w:val="20"/>
                <w:szCs w:val="20"/>
                <w:lang w:eastAsia="en-AU"/>
              </w:rPr>
              <w:t>-</w:t>
            </w:r>
          </w:p>
        </w:tc>
      </w:tr>
      <w:tr w:rsidR="008D0DAB" w:rsidRPr="00886B3E" w14:paraId="507FE12D" w14:textId="77777777" w:rsidTr="413EB596">
        <w:tc>
          <w:tcPr>
            <w:tcW w:w="5387" w:type="dxa"/>
            <w:tcBorders>
              <w:top w:val="nil"/>
              <w:left w:val="nil"/>
              <w:bottom w:val="nil"/>
              <w:right w:val="nil"/>
            </w:tcBorders>
            <w:noWrap/>
            <w:vAlign w:val="bottom"/>
            <w:hideMark/>
          </w:tcPr>
          <w:p w14:paraId="58995BAA" w14:textId="77777777" w:rsidR="008D0DAB" w:rsidRPr="000E1B25" w:rsidRDefault="008D0DAB" w:rsidP="009B7B2A">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Cash and cash equivalents at the beginning of the period</w:t>
            </w:r>
          </w:p>
        </w:tc>
        <w:tc>
          <w:tcPr>
            <w:tcW w:w="709" w:type="dxa"/>
            <w:tcBorders>
              <w:top w:val="nil"/>
              <w:left w:val="nil"/>
              <w:bottom w:val="nil"/>
              <w:right w:val="nil"/>
            </w:tcBorders>
            <w:noWrap/>
            <w:hideMark/>
          </w:tcPr>
          <w:p w14:paraId="0E5E5CE8" w14:textId="77777777" w:rsidR="008D0DAB" w:rsidRPr="000E1B25" w:rsidRDefault="008D0DAB" w:rsidP="009B7B2A">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551EE315"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1465" w:type="dxa"/>
            <w:tcBorders>
              <w:top w:val="nil"/>
              <w:left w:val="nil"/>
              <w:bottom w:val="single" w:sz="4" w:space="0" w:color="auto"/>
              <w:right w:val="nil"/>
            </w:tcBorders>
            <w:noWrap/>
            <w:vAlign w:val="bottom"/>
            <w:hideMark/>
          </w:tcPr>
          <w:p w14:paraId="1CFA7C51" w14:textId="77777777" w:rsidR="008D0DAB" w:rsidRPr="000E1B25" w:rsidRDefault="008D0DAB" w:rsidP="009B7B2A">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8D0DAB" w:rsidRPr="00886B3E" w14:paraId="2D34A603" w14:textId="77777777" w:rsidTr="413EB596">
        <w:tc>
          <w:tcPr>
            <w:tcW w:w="5387" w:type="dxa"/>
            <w:tcBorders>
              <w:top w:val="nil"/>
              <w:left w:val="nil"/>
              <w:bottom w:val="nil"/>
              <w:right w:val="nil"/>
            </w:tcBorders>
            <w:noWrap/>
            <w:vAlign w:val="bottom"/>
            <w:hideMark/>
          </w:tcPr>
          <w:p w14:paraId="54EE6C90" w14:textId="77777777" w:rsidR="008D0DAB" w:rsidRPr="000E1B25" w:rsidRDefault="008D0DAB" w:rsidP="009B7B2A">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and cash equivalents at 30 June 2025</w:t>
            </w:r>
          </w:p>
        </w:tc>
        <w:tc>
          <w:tcPr>
            <w:tcW w:w="709" w:type="dxa"/>
            <w:tcBorders>
              <w:top w:val="nil"/>
              <w:left w:val="nil"/>
              <w:bottom w:val="nil"/>
              <w:right w:val="nil"/>
            </w:tcBorders>
            <w:noWrap/>
            <w:hideMark/>
          </w:tcPr>
          <w:p w14:paraId="59C7BBC2" w14:textId="2222E4E6" w:rsidR="008D0DAB" w:rsidRPr="00AA3AC5" w:rsidRDefault="004E1B31" w:rsidP="009B7B2A">
            <w:pPr>
              <w:spacing w:after="0" w:line="240" w:lineRule="auto"/>
              <w:jc w:val="center"/>
              <w:rPr>
                <w:rFonts w:eastAsia="Times New Roman" w:cs="Arial"/>
                <w:bCs/>
                <w:color w:val="000000"/>
                <w:sz w:val="20"/>
                <w:szCs w:val="20"/>
                <w:lang w:eastAsia="en-AU"/>
              </w:rPr>
            </w:pPr>
            <w:r w:rsidRPr="00AA3AC5">
              <w:rPr>
                <w:rFonts w:eastAsia="Times New Roman" w:cs="Arial"/>
                <w:bCs/>
                <w:color w:val="000000"/>
                <w:sz w:val="20"/>
                <w:szCs w:val="20"/>
                <w:lang w:eastAsia="en-AU"/>
              </w:rPr>
              <w:t>3i</w:t>
            </w:r>
          </w:p>
        </w:tc>
        <w:tc>
          <w:tcPr>
            <w:tcW w:w="1465" w:type="dxa"/>
            <w:tcBorders>
              <w:top w:val="nil"/>
              <w:left w:val="nil"/>
              <w:bottom w:val="double" w:sz="6" w:space="0" w:color="auto"/>
              <w:right w:val="nil"/>
            </w:tcBorders>
            <w:noWrap/>
            <w:vAlign w:val="bottom"/>
            <w:hideMark/>
          </w:tcPr>
          <w:p w14:paraId="5E7AED72" w14:textId="77777777" w:rsidR="008D0DAB" w:rsidRPr="000E1B25" w:rsidRDefault="008D0DAB" w:rsidP="009B7B2A">
            <w:pPr>
              <w:tabs>
                <w:tab w:val="decimal" w:pos="111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8</w:t>
            </w:r>
          </w:p>
        </w:tc>
        <w:tc>
          <w:tcPr>
            <w:tcW w:w="1465" w:type="dxa"/>
            <w:tcBorders>
              <w:top w:val="nil"/>
              <w:left w:val="nil"/>
              <w:bottom w:val="double" w:sz="6" w:space="0" w:color="auto"/>
              <w:right w:val="nil"/>
            </w:tcBorders>
            <w:noWrap/>
            <w:vAlign w:val="bottom"/>
            <w:hideMark/>
          </w:tcPr>
          <w:p w14:paraId="2CF424CD" w14:textId="77777777" w:rsidR="008D0DAB" w:rsidRPr="000E1B25" w:rsidRDefault="008D0DAB" w:rsidP="009B7B2A">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bl>
    <w:p w14:paraId="57D19D40" w14:textId="77777777" w:rsidR="008D0DAB" w:rsidRPr="00F65403" w:rsidRDefault="008D0DAB" w:rsidP="008D0DAB">
      <w:pPr>
        <w:pStyle w:val="BodyText"/>
        <w:rPr>
          <w:i/>
          <w:lang w:val="en-AU"/>
        </w:rPr>
      </w:pPr>
      <w:r w:rsidRPr="00F65403">
        <w:rPr>
          <w:i/>
          <w:lang w:val="en-AU"/>
        </w:rPr>
        <w:br/>
        <w:t>The above consolidated statement of cash flows should be read in conjunction with the accompanying notes</w:t>
      </w:r>
    </w:p>
    <w:p w14:paraId="1F8A8A20" w14:textId="77777777" w:rsidR="008D0DAB" w:rsidRPr="00F65403" w:rsidRDefault="008D0DAB" w:rsidP="008D0DAB">
      <w:pPr>
        <w:pStyle w:val="BodyText"/>
        <w:rPr>
          <w:lang w:val="en-AU"/>
        </w:rPr>
      </w:pPr>
    </w:p>
    <w:p w14:paraId="20E1BA5B" w14:textId="77777777" w:rsidR="008D0DAB" w:rsidRDefault="008D0DAB" w:rsidP="008D0DAB">
      <w:pPr>
        <w:pStyle w:val="Heading5"/>
      </w:pPr>
      <w:r>
        <w:br w:type="page"/>
      </w:r>
    </w:p>
    <w:p w14:paraId="0EB6E88A" w14:textId="77777777" w:rsidR="008D0DAB" w:rsidRDefault="008D0DAB" w:rsidP="00B254AC">
      <w:pPr>
        <w:pStyle w:val="Heading1"/>
      </w:pPr>
      <w:bookmarkStart w:id="555" w:name="_Toc209080415"/>
      <w:bookmarkStart w:id="556" w:name="_Toc209703985"/>
      <w:bookmarkStart w:id="557" w:name="_Toc209704038"/>
      <w:bookmarkStart w:id="558" w:name="_Toc209704091"/>
      <w:r w:rsidRPr="00B8389B">
        <w:t>Notes to the consolidated financial statements</w:t>
      </w:r>
      <w:bookmarkEnd w:id="555"/>
      <w:bookmarkEnd w:id="556"/>
      <w:bookmarkEnd w:id="557"/>
      <w:bookmarkEnd w:id="558"/>
    </w:p>
    <w:p w14:paraId="1A03A172" w14:textId="77777777" w:rsidR="008D0DAB" w:rsidRPr="00F65403" w:rsidRDefault="008D0DAB" w:rsidP="008D0DAB">
      <w:pPr>
        <w:pStyle w:val="BodyText"/>
        <w:rPr>
          <w:lang w:val="en-AU"/>
        </w:rPr>
      </w:pPr>
    </w:p>
    <w:p w14:paraId="18554571" w14:textId="77777777" w:rsidR="008D0DAB" w:rsidRPr="00F65403" w:rsidRDefault="008D0DAB" w:rsidP="00E945C0">
      <w:pPr>
        <w:pStyle w:val="Heading7"/>
        <w:numPr>
          <w:ilvl w:val="0"/>
          <w:numId w:val="146"/>
        </w:numPr>
      </w:pPr>
      <w:r w:rsidRPr="00F65403">
        <w:t>General information</w:t>
      </w:r>
    </w:p>
    <w:p w14:paraId="1A55CE47" w14:textId="77777777" w:rsidR="008D0DAB" w:rsidRPr="00F65403" w:rsidRDefault="008D0DAB" w:rsidP="008D0DAB">
      <w:pPr>
        <w:pStyle w:val="BodyText"/>
        <w:rPr>
          <w:lang w:val="en-AU"/>
        </w:rPr>
      </w:pPr>
      <w:r w:rsidRPr="00F65403">
        <w:rPr>
          <w:lang w:val="en-AU"/>
        </w:rPr>
        <w:t xml:space="preserve">SEC </w:t>
      </w:r>
      <w:r>
        <w:rPr>
          <w:lang w:val="en-AU"/>
        </w:rPr>
        <w:t>Infrastructure</w:t>
      </w:r>
      <w:r w:rsidRPr="00F65403">
        <w:rPr>
          <w:lang w:val="en-AU"/>
        </w:rPr>
        <w:t xml:space="preserve"> Pty Ltd (the Company) is a for-profit proprietary company domiciled in Australia. These financial statements comprise the Company and its controlled entities (the Group). </w:t>
      </w:r>
    </w:p>
    <w:p w14:paraId="68D7458B" w14:textId="77777777" w:rsidR="008D0DAB" w:rsidRDefault="008D0DAB" w:rsidP="008D0DAB">
      <w:pPr>
        <w:pStyle w:val="BodyText"/>
        <w:rPr>
          <w:lang w:val="en-AU"/>
        </w:rPr>
      </w:pPr>
      <w:r w:rsidRPr="00C97846">
        <w:rPr>
          <w:lang w:val="en-AU"/>
        </w:rPr>
        <w:t>The parent and ultimate parent of the Company is SEC Victoria Pty Ltd.</w:t>
      </w:r>
    </w:p>
    <w:p w14:paraId="2593D7D7" w14:textId="77777777" w:rsidR="008D0DAB" w:rsidRPr="00F65403" w:rsidRDefault="008D0DAB" w:rsidP="008D0DAB">
      <w:pPr>
        <w:pStyle w:val="BodyText"/>
        <w:rPr>
          <w:lang w:val="en-AU"/>
        </w:rPr>
      </w:pPr>
    </w:p>
    <w:p w14:paraId="33CC0DA0" w14:textId="77777777" w:rsidR="008D0DAB" w:rsidRPr="00F65403" w:rsidRDefault="008D0DAB" w:rsidP="008D0DAB">
      <w:pPr>
        <w:pStyle w:val="BodyText"/>
        <w:rPr>
          <w:lang w:val="en-AU"/>
        </w:rPr>
      </w:pPr>
      <w:r w:rsidRPr="00F65403">
        <w:rPr>
          <w:lang w:val="en-AU"/>
        </w:rPr>
        <w:t>The principal activit</w:t>
      </w:r>
      <w:r>
        <w:rPr>
          <w:lang w:val="en-AU"/>
        </w:rPr>
        <w:t>y</w:t>
      </w:r>
      <w:r w:rsidRPr="00F65403">
        <w:rPr>
          <w:lang w:val="en-AU"/>
        </w:rPr>
        <w:t xml:space="preserve"> of the Group during the year </w:t>
      </w:r>
      <w:r>
        <w:rPr>
          <w:lang w:val="en-AU"/>
        </w:rPr>
        <w:t xml:space="preserve">was </w:t>
      </w:r>
      <w:r w:rsidRPr="00F65403">
        <w:rPr>
          <w:lang w:val="en-AU"/>
        </w:rPr>
        <w:t>the investment in renewable energy generation and storage projects</w:t>
      </w:r>
      <w:r>
        <w:rPr>
          <w:lang w:val="en-AU"/>
        </w:rPr>
        <w:t>.</w:t>
      </w:r>
      <w:r w:rsidRPr="00F65403">
        <w:rPr>
          <w:lang w:val="en-AU"/>
        </w:rPr>
        <w:t xml:space="preserve"> </w:t>
      </w:r>
    </w:p>
    <w:p w14:paraId="363387A5" w14:textId="77777777" w:rsidR="008D0DAB" w:rsidRPr="00F65403" w:rsidRDefault="008D0DAB" w:rsidP="008D0DAB">
      <w:pPr>
        <w:pStyle w:val="BodyText"/>
        <w:rPr>
          <w:lang w:val="en-AU"/>
        </w:rPr>
      </w:pPr>
    </w:p>
    <w:p w14:paraId="04BAB62F" w14:textId="5516750C" w:rsidR="008D0DAB" w:rsidRPr="00F65403" w:rsidRDefault="008D0DAB" w:rsidP="008D0DAB">
      <w:pPr>
        <w:pStyle w:val="BodyText"/>
        <w:rPr>
          <w:lang w:val="en-AU"/>
        </w:rPr>
      </w:pPr>
      <w:r w:rsidRPr="00F65403">
        <w:rPr>
          <w:lang w:val="en-AU"/>
        </w:rPr>
        <w:t>Pursuant to section 3, of the</w:t>
      </w:r>
      <w:r>
        <w:rPr>
          <w:lang w:val="en-AU"/>
        </w:rPr>
        <w:t xml:space="preserve"> </w:t>
      </w:r>
      <w:r>
        <w:rPr>
          <w:i/>
          <w:iCs/>
          <w:lang w:val="en-AU"/>
        </w:rPr>
        <w:t>Financial Management Act 1994</w:t>
      </w:r>
      <w:r w:rsidRPr="00F65403">
        <w:rPr>
          <w:lang w:val="en-AU"/>
        </w:rPr>
        <w:t xml:space="preserve"> </w:t>
      </w:r>
      <w:r>
        <w:rPr>
          <w:lang w:val="en-AU"/>
        </w:rPr>
        <w:t>(</w:t>
      </w:r>
      <w:r w:rsidRPr="00F65403">
        <w:rPr>
          <w:lang w:val="en-AU"/>
        </w:rPr>
        <w:t>FMA</w:t>
      </w:r>
      <w:r>
        <w:rPr>
          <w:lang w:val="en-AU"/>
        </w:rPr>
        <w:t>)</w:t>
      </w:r>
      <w:r w:rsidRPr="00F65403">
        <w:rPr>
          <w:lang w:val="en-AU"/>
        </w:rPr>
        <w:t xml:space="preserve">, the Treasurer of Victoria declared that SEC </w:t>
      </w:r>
      <w:r>
        <w:rPr>
          <w:lang w:val="en-AU"/>
        </w:rPr>
        <w:t xml:space="preserve">Infrastructure Pty Ltd </w:t>
      </w:r>
      <w:r w:rsidRPr="00F65403">
        <w:rPr>
          <w:lang w:val="en-AU"/>
        </w:rPr>
        <w:t>is a body to which Part 7 of the FMA applies, with effect from 21 December 2023. The Company and the Group was established on 2</w:t>
      </w:r>
      <w:r>
        <w:rPr>
          <w:lang w:val="en-AU"/>
        </w:rPr>
        <w:t>6</w:t>
      </w:r>
      <w:r w:rsidRPr="00F65403">
        <w:rPr>
          <w:lang w:val="en-AU"/>
        </w:rPr>
        <w:t xml:space="preserve"> October 2023 under the provisions of the </w:t>
      </w:r>
      <w:r w:rsidRPr="00F65403">
        <w:rPr>
          <w:i/>
          <w:lang w:val="en-AU"/>
        </w:rPr>
        <w:t>Corporations Act 2001</w:t>
      </w:r>
      <w:r w:rsidRPr="00F65403">
        <w:rPr>
          <w:lang w:val="en-AU"/>
        </w:rPr>
        <w:t xml:space="preserve"> and were each declared a state-owned Company under Part 5 of the </w:t>
      </w:r>
      <w:r w:rsidRPr="00F65403">
        <w:rPr>
          <w:i/>
          <w:lang w:val="en-AU"/>
        </w:rPr>
        <w:t>State Owned Enterprises Act 1992</w:t>
      </w:r>
      <w:r w:rsidRPr="00F65403">
        <w:rPr>
          <w:lang w:val="en-AU"/>
        </w:rPr>
        <w:t xml:space="preserve"> on 14 November 2023.  </w:t>
      </w:r>
    </w:p>
    <w:p w14:paraId="09EBC9E5" w14:textId="77777777" w:rsidR="008D0DAB" w:rsidRPr="00F65403" w:rsidRDefault="008D0DAB" w:rsidP="008D0DAB">
      <w:pPr>
        <w:pStyle w:val="BodyText"/>
        <w:rPr>
          <w:lang w:val="en-AU"/>
        </w:rPr>
      </w:pPr>
    </w:p>
    <w:p w14:paraId="35AD1F19" w14:textId="77777777" w:rsidR="008D0DAB" w:rsidRPr="00F65403" w:rsidRDefault="008D0DAB" w:rsidP="008D0DAB">
      <w:pPr>
        <w:pStyle w:val="BodyText"/>
        <w:rPr>
          <w:lang w:val="en-AU"/>
        </w:rPr>
      </w:pPr>
      <w:r w:rsidRPr="00F65403">
        <w:rPr>
          <w:lang w:val="en-AU"/>
        </w:rPr>
        <w:t xml:space="preserve">The registered office and principal place of business is Level 26, 2 Lonsdale St, Melbourne, Victoria 3000.  </w:t>
      </w:r>
    </w:p>
    <w:p w14:paraId="4D8ED1CE" w14:textId="77777777" w:rsidR="008D0DAB" w:rsidRPr="00AA3AC5" w:rsidRDefault="008D0DAB" w:rsidP="008D0DAB">
      <w:pPr>
        <w:pStyle w:val="BodyText"/>
        <w:rPr>
          <w:sz w:val="18"/>
          <w:szCs w:val="18"/>
          <w:lang w:val="en-AU"/>
        </w:rPr>
      </w:pPr>
    </w:p>
    <w:p w14:paraId="7B13AFDD" w14:textId="4A529E18" w:rsidR="008D0DAB" w:rsidRPr="00F65403" w:rsidRDefault="008D0DAB" w:rsidP="008D0DAB">
      <w:pPr>
        <w:pStyle w:val="BodyText"/>
        <w:rPr>
          <w:lang w:val="en-AU"/>
        </w:rPr>
      </w:pPr>
      <w:r w:rsidRPr="49BCD735">
        <w:rPr>
          <w:lang w:val="en-AU"/>
        </w:rPr>
        <w:t xml:space="preserve">The financial report was authorised for issue by the Board of Directors on </w:t>
      </w:r>
      <w:r w:rsidR="00BF29DA">
        <w:rPr>
          <w:lang w:val="en-AU"/>
        </w:rPr>
        <w:t>6</w:t>
      </w:r>
      <w:r w:rsidR="00BF29DA" w:rsidRPr="49BCD735">
        <w:rPr>
          <w:lang w:val="en-AU"/>
        </w:rPr>
        <w:t xml:space="preserve"> </w:t>
      </w:r>
      <w:r w:rsidRPr="49BCD735">
        <w:rPr>
          <w:lang w:val="en-AU"/>
        </w:rPr>
        <w:t>October 2025.</w:t>
      </w:r>
    </w:p>
    <w:p w14:paraId="3D4E9DEF" w14:textId="77777777" w:rsidR="008D0DAB" w:rsidRPr="00F65403" w:rsidRDefault="008D0DAB" w:rsidP="008D0DAB">
      <w:pPr>
        <w:pStyle w:val="BodyText"/>
        <w:rPr>
          <w:lang w:val="en-AU"/>
        </w:rPr>
      </w:pPr>
    </w:p>
    <w:p w14:paraId="0C0D9BFD" w14:textId="77777777" w:rsidR="008D0DAB" w:rsidRPr="00F65403" w:rsidRDefault="008D0DAB" w:rsidP="008D0DAB">
      <w:pPr>
        <w:pStyle w:val="Heading8"/>
      </w:pPr>
      <w:proofErr w:type="spellStart"/>
      <w:r>
        <w:t>i</w:t>
      </w:r>
      <w:proofErr w:type="spellEnd"/>
      <w:r>
        <w:t>.</w:t>
      </w:r>
      <w:r>
        <w:tab/>
        <w:t>Basis of preparation</w:t>
      </w:r>
    </w:p>
    <w:p w14:paraId="0125FB4D" w14:textId="77777777" w:rsidR="008D0DAB" w:rsidRPr="00F65403" w:rsidRDefault="008D0DAB" w:rsidP="008D0DAB">
      <w:pPr>
        <w:pStyle w:val="BodyText"/>
        <w:rPr>
          <w:lang w:val="en-AU"/>
        </w:rPr>
      </w:pPr>
      <w:r w:rsidRPr="04CB71B0">
        <w:rPr>
          <w:lang w:val="en-AU"/>
        </w:rPr>
        <w:t xml:space="preserve">The functional and presentation currency of the Company and Group is the Australian dollar. Amounts are rounded and expressed to the nearest thousand dollars in accordance with Ministerial Directions under the FMA, unless otherwise stated. </w:t>
      </w:r>
    </w:p>
    <w:p w14:paraId="292669E7" w14:textId="77777777" w:rsidR="008D0DAB" w:rsidRPr="00AA3AC5" w:rsidRDefault="008D0DAB" w:rsidP="008D0DAB">
      <w:pPr>
        <w:pStyle w:val="BodyText"/>
        <w:rPr>
          <w:sz w:val="18"/>
          <w:szCs w:val="18"/>
          <w:lang w:val="en-AU"/>
        </w:rPr>
      </w:pPr>
    </w:p>
    <w:p w14:paraId="06839564" w14:textId="2CD30531" w:rsidR="008D0DAB" w:rsidRPr="00F65403" w:rsidRDefault="008D0DAB" w:rsidP="008D0DAB">
      <w:pPr>
        <w:pStyle w:val="BodyText"/>
        <w:rPr>
          <w:lang w:val="en-AU"/>
        </w:rPr>
      </w:pPr>
      <w:r w:rsidRPr="00F65403">
        <w:rPr>
          <w:lang w:val="en-AU"/>
        </w:rPr>
        <w:t>The financial statements have been prepared on an accrual basis and in accordance with the historical cost basis, except for certain assets and liabilities, including:</w:t>
      </w:r>
    </w:p>
    <w:p w14:paraId="0106C724" w14:textId="77777777" w:rsidR="008D0DAB" w:rsidRPr="00F65403" w:rsidRDefault="008D0DAB" w:rsidP="008D0DAB">
      <w:pPr>
        <w:pStyle w:val="ListBullet"/>
        <w:rPr>
          <w:lang w:val="en-AU"/>
        </w:rPr>
      </w:pPr>
      <w:r>
        <w:rPr>
          <w:lang w:val="en-AU"/>
        </w:rPr>
        <w:t>investments accounted for using the equity method, which are initially recognised at cost and then adjusted for the Company’s share of net assets, and</w:t>
      </w:r>
    </w:p>
    <w:p w14:paraId="7C127130" w14:textId="77777777" w:rsidR="008D0DAB" w:rsidRPr="00F65403" w:rsidRDefault="008D0DAB" w:rsidP="008D0DAB">
      <w:pPr>
        <w:pStyle w:val="ListBullet"/>
        <w:rPr>
          <w:lang w:val="en-AU"/>
        </w:rPr>
      </w:pPr>
      <w:r w:rsidRPr="00F65403">
        <w:rPr>
          <w:lang w:val="en-AU"/>
        </w:rPr>
        <w:t>non-financial physical asset measured at fair value</w:t>
      </w:r>
      <w:r>
        <w:rPr>
          <w:lang w:val="en-AU"/>
        </w:rPr>
        <w:t>.</w:t>
      </w:r>
    </w:p>
    <w:p w14:paraId="6A8D38B8" w14:textId="77777777" w:rsidR="008D0DAB" w:rsidRPr="00AA3AC5" w:rsidRDefault="008D0DAB" w:rsidP="008D0DAB">
      <w:pPr>
        <w:pStyle w:val="BodyText"/>
        <w:rPr>
          <w:sz w:val="18"/>
          <w:szCs w:val="18"/>
          <w:lang w:val="en-AU"/>
        </w:rPr>
      </w:pPr>
    </w:p>
    <w:p w14:paraId="46C5E101" w14:textId="77777777" w:rsidR="008D0DAB" w:rsidRPr="00F65403" w:rsidRDefault="008D0DAB" w:rsidP="008D0DAB">
      <w:pPr>
        <w:pStyle w:val="BodyText"/>
        <w:rPr>
          <w:lang w:val="en-AU"/>
        </w:rPr>
      </w:pPr>
      <w:r w:rsidRPr="00F65403">
        <w:rPr>
          <w:lang w:val="en-AU"/>
        </w:rPr>
        <w:t>The Group has prepared the financial statements on the basis that it will continue to operate as a going concern.</w:t>
      </w:r>
    </w:p>
    <w:p w14:paraId="3055CE5D" w14:textId="77777777" w:rsidR="008D0DAB" w:rsidRPr="00AA3AC5" w:rsidRDefault="008D0DAB" w:rsidP="008D0DAB">
      <w:pPr>
        <w:pStyle w:val="BodyText"/>
        <w:rPr>
          <w:sz w:val="18"/>
          <w:szCs w:val="18"/>
          <w:lang w:val="en-AU"/>
        </w:rPr>
      </w:pPr>
    </w:p>
    <w:p w14:paraId="66DA87F2" w14:textId="77777777" w:rsidR="008D0DAB" w:rsidRPr="00F65403" w:rsidRDefault="008D0DAB" w:rsidP="008D0DAB">
      <w:pPr>
        <w:pStyle w:val="BodyText"/>
        <w:rPr>
          <w:lang w:val="en-AU"/>
        </w:rPr>
      </w:pPr>
      <w:r w:rsidRPr="00F65403">
        <w:rPr>
          <w:lang w:val="en-AU"/>
        </w:rPr>
        <w:t>Comparative information has been reclassified where required for consistency with the current year presentation.</w:t>
      </w:r>
    </w:p>
    <w:p w14:paraId="689E37A9" w14:textId="77777777" w:rsidR="008D0DAB" w:rsidRPr="00AA3AC5" w:rsidRDefault="008D0DAB" w:rsidP="008D0DAB">
      <w:pPr>
        <w:pStyle w:val="BodyText"/>
        <w:rPr>
          <w:sz w:val="18"/>
          <w:szCs w:val="18"/>
          <w:lang w:val="en-AU"/>
        </w:rPr>
      </w:pPr>
    </w:p>
    <w:p w14:paraId="18CA4C0D" w14:textId="77777777" w:rsidR="008D0DAB" w:rsidRPr="00F65403" w:rsidRDefault="008D0DAB" w:rsidP="008D0DAB">
      <w:pPr>
        <w:pStyle w:val="Heading8"/>
      </w:pPr>
      <w:r>
        <w:t>ii.</w:t>
      </w:r>
      <w:r>
        <w:tab/>
        <w:t>Use of judgements and estimates</w:t>
      </w:r>
    </w:p>
    <w:p w14:paraId="23D459A7" w14:textId="77777777" w:rsidR="008D0DAB" w:rsidRPr="00F65403" w:rsidRDefault="008D0DAB" w:rsidP="008D0DAB">
      <w:pPr>
        <w:pStyle w:val="BodyText"/>
        <w:rPr>
          <w:lang w:val="en-AU"/>
        </w:rPr>
      </w:pPr>
      <w:r w:rsidRPr="323AD893">
        <w:rPr>
          <w:lang w:val="en-AU"/>
        </w:rPr>
        <w:t>Judgements, estimates and assumptions are required to be made about financial information being presented. Judgements and assumptions made by management in applying Australian Accounting Standards that have significant effects on the financial statements and estimates are disclosed in the notes under the heading: ‘Significant judgement or estimate’. Estimates and associated assumptions are based on professional judgements derived from historical experience and various other factors that are believed to be reasonable under the circumstances. Actual results may differ from these estimates.</w:t>
      </w:r>
    </w:p>
    <w:p w14:paraId="248027B9" w14:textId="77777777" w:rsidR="008D0DAB" w:rsidRPr="00AA3AC5" w:rsidRDefault="008D0DAB" w:rsidP="008D0DAB">
      <w:pPr>
        <w:pStyle w:val="BodyText"/>
        <w:rPr>
          <w:sz w:val="18"/>
          <w:szCs w:val="18"/>
          <w:lang w:val="en-AU"/>
        </w:rPr>
      </w:pPr>
    </w:p>
    <w:p w14:paraId="6380A5B1" w14:textId="77777777" w:rsidR="008D0DAB" w:rsidRPr="00F65403" w:rsidRDefault="008D0DAB" w:rsidP="008D0DAB">
      <w:pPr>
        <w:pStyle w:val="BodyText"/>
        <w:rPr>
          <w:lang w:val="en-AU"/>
        </w:rPr>
      </w:pPr>
      <w:r w:rsidRPr="00F65403">
        <w:rPr>
          <w:lang w:val="en-AU"/>
        </w:rPr>
        <w:t>Revisions to accounting estimates are recognised in the period in which the estimate is revised and also in future periods that are affected by the revision.  </w:t>
      </w:r>
    </w:p>
    <w:p w14:paraId="59616E10" w14:textId="77777777" w:rsidR="008D0DAB" w:rsidRPr="00AA3AC5" w:rsidRDefault="008D0DAB" w:rsidP="008D0DAB">
      <w:pPr>
        <w:pStyle w:val="BodyText"/>
        <w:rPr>
          <w:sz w:val="18"/>
          <w:szCs w:val="18"/>
          <w:lang w:val="en-AU"/>
        </w:rPr>
      </w:pPr>
    </w:p>
    <w:p w14:paraId="09C831D5" w14:textId="77777777" w:rsidR="008D0DAB" w:rsidRPr="00F65403" w:rsidRDefault="008D0DAB" w:rsidP="008D0DAB">
      <w:pPr>
        <w:pStyle w:val="Heading8"/>
      </w:pPr>
      <w:r>
        <w:t>iii.</w:t>
      </w:r>
      <w:r>
        <w:tab/>
        <w:t xml:space="preserve">Statement of compliance </w:t>
      </w:r>
    </w:p>
    <w:p w14:paraId="602C7FEF" w14:textId="77777777" w:rsidR="008D0DAB" w:rsidRPr="00F65403" w:rsidRDefault="008D0DAB" w:rsidP="008D0DAB">
      <w:pPr>
        <w:pStyle w:val="BodyText"/>
        <w:rPr>
          <w:lang w:val="en-AU"/>
        </w:rPr>
      </w:pPr>
      <w:r w:rsidRPr="00F65403">
        <w:rPr>
          <w:lang w:val="en-AU"/>
        </w:rPr>
        <w:t xml:space="preserve">The financial report is a general-purpose financial report prepared in accordance with the </w:t>
      </w:r>
      <w:r w:rsidRPr="00F65403">
        <w:rPr>
          <w:i/>
          <w:lang w:val="en-AU"/>
        </w:rPr>
        <w:t>Corporations Act 2001</w:t>
      </w:r>
      <w:r w:rsidRPr="00F65403">
        <w:rPr>
          <w:lang w:val="en-AU"/>
        </w:rPr>
        <w:t xml:space="preserve">, </w:t>
      </w:r>
      <w:r w:rsidRPr="00F65403">
        <w:rPr>
          <w:i/>
          <w:lang w:val="en-AU"/>
        </w:rPr>
        <w:t>Financial Management Act 1994</w:t>
      </w:r>
      <w:r w:rsidRPr="00F65403">
        <w:rPr>
          <w:lang w:val="en-AU"/>
        </w:rPr>
        <w:t xml:space="preserve"> and applicable Australian Accounting Standards (AAS), which include Interpretations, issued by the Australian Accounting Standards Board (AASB).</w:t>
      </w:r>
    </w:p>
    <w:p w14:paraId="2634DF93" w14:textId="77777777" w:rsidR="008D0DAB" w:rsidRPr="00F65403" w:rsidRDefault="008D0DAB" w:rsidP="008D0DAB">
      <w:pPr>
        <w:pStyle w:val="BodyText"/>
        <w:rPr>
          <w:lang w:val="en-AU"/>
        </w:rPr>
      </w:pPr>
    </w:p>
    <w:p w14:paraId="5571C585" w14:textId="77777777" w:rsidR="008D0DAB" w:rsidRPr="00F65403" w:rsidRDefault="008D0DAB" w:rsidP="008D0DAB">
      <w:pPr>
        <w:pStyle w:val="Heading7"/>
      </w:pPr>
      <w:r w:rsidRPr="00F65403">
        <w:t>New accounting standards and interpretations</w:t>
      </w:r>
    </w:p>
    <w:p w14:paraId="08B36539" w14:textId="77777777" w:rsidR="008D0DAB" w:rsidRPr="00F65403" w:rsidRDefault="008D0DAB" w:rsidP="008D0DAB">
      <w:pPr>
        <w:pStyle w:val="Heading8"/>
      </w:pPr>
      <w:r>
        <w:t>New and amended standards adopted by the Group</w:t>
      </w:r>
    </w:p>
    <w:p w14:paraId="653EF061" w14:textId="77777777" w:rsidR="008D0DAB" w:rsidRPr="00F65403" w:rsidRDefault="008D0DAB" w:rsidP="008D0DAB">
      <w:pPr>
        <w:pStyle w:val="BodyText"/>
        <w:rPr>
          <w:lang w:val="en-AU"/>
        </w:rPr>
      </w:pPr>
      <w:r w:rsidRPr="00F65403">
        <w:rPr>
          <w:lang w:val="en-AU"/>
        </w:rPr>
        <w:t>The following new standards and amendments to standards are mandatory for the first time for the financial year beginning 1 July 2024 and have been adopted by the Group:</w:t>
      </w:r>
    </w:p>
    <w:p w14:paraId="3A98ADAD" w14:textId="77777777" w:rsidR="008D0DAB" w:rsidRPr="00AA3AC5" w:rsidRDefault="008D0DAB" w:rsidP="008D0DAB">
      <w:pPr>
        <w:pStyle w:val="BodyText"/>
        <w:rPr>
          <w:sz w:val="18"/>
          <w:szCs w:val="18"/>
          <w:lang w:val="en-AU"/>
        </w:rPr>
      </w:pPr>
    </w:p>
    <w:p w14:paraId="0E4BAA08" w14:textId="367AF8FA" w:rsidR="008D0DAB" w:rsidRPr="00F65403" w:rsidRDefault="008D0DAB" w:rsidP="008D0DAB">
      <w:pPr>
        <w:pStyle w:val="ListBullet"/>
        <w:rPr>
          <w:lang w:val="en-AU"/>
        </w:rPr>
      </w:pPr>
      <w:r w:rsidRPr="00F65403">
        <w:rPr>
          <w:lang w:val="en-AU"/>
        </w:rPr>
        <w:t xml:space="preserve">AASB 2020-1 Amendments to AASs </w:t>
      </w:r>
      <w:r w:rsidR="00104757">
        <w:rPr>
          <w:lang w:val="en-AU"/>
        </w:rPr>
        <w:t>-</w:t>
      </w:r>
      <w:r w:rsidRPr="00F65403">
        <w:rPr>
          <w:lang w:val="en-AU"/>
        </w:rPr>
        <w:t xml:space="preserve"> Classification of Liabilities as Current or Non-current </w:t>
      </w:r>
    </w:p>
    <w:p w14:paraId="07C6A2C4" w14:textId="77777777" w:rsidR="008D0DAB" w:rsidRPr="00AA3AC5" w:rsidDel="0032229B" w:rsidRDefault="008D0DAB" w:rsidP="008D0DAB">
      <w:pPr>
        <w:pStyle w:val="BodyText"/>
        <w:rPr>
          <w:sz w:val="18"/>
          <w:szCs w:val="18"/>
          <w:lang w:val="en-AU"/>
        </w:rPr>
      </w:pPr>
    </w:p>
    <w:p w14:paraId="6A5EF2F8" w14:textId="77777777" w:rsidR="008D0DAB" w:rsidRPr="00F65403" w:rsidRDefault="008D0DAB" w:rsidP="008D0DAB">
      <w:pPr>
        <w:pStyle w:val="Heading8"/>
      </w:pPr>
      <w:proofErr w:type="spellStart"/>
      <w:r>
        <w:t>i</w:t>
      </w:r>
      <w:proofErr w:type="spellEnd"/>
      <w:r>
        <w:t>.</w:t>
      </w:r>
      <w:r>
        <w:tab/>
        <w:t>New accounting standards and interpretations not yet adopted</w:t>
      </w:r>
    </w:p>
    <w:p w14:paraId="579C1605" w14:textId="77777777" w:rsidR="008D0DAB" w:rsidRPr="00F65403" w:rsidRDefault="008D0DAB" w:rsidP="008D0DAB">
      <w:pPr>
        <w:pStyle w:val="BodyText"/>
        <w:rPr>
          <w:lang w:val="en-AU"/>
        </w:rPr>
      </w:pPr>
      <w:r w:rsidRPr="00F65403">
        <w:rPr>
          <w:lang w:val="en-AU"/>
        </w:rPr>
        <w:t>Certain new and revised accounting standards have been issued but are not mandatory for the current reporting period. Those that are applicable to the Group, and which may have an effect on the Group's accounting policies, financial position or performance are disclosed below. These standards and interpretations have not been early adopted:</w:t>
      </w:r>
    </w:p>
    <w:p w14:paraId="1A05964F" w14:textId="77777777" w:rsidR="008D0DAB" w:rsidRPr="00F65403" w:rsidRDefault="008D0DAB" w:rsidP="008D0DAB">
      <w:pPr>
        <w:pStyle w:val="BodyText"/>
        <w:rPr>
          <w:lang w:val="en-AU"/>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5"/>
        <w:gridCol w:w="5386"/>
        <w:gridCol w:w="1645"/>
      </w:tblGrid>
      <w:tr w:rsidR="008D0DAB" w:rsidRPr="00F6590C" w14:paraId="309A9237" w14:textId="77777777" w:rsidTr="1CC5B690">
        <w:trPr>
          <w:tblHeader/>
        </w:trPr>
        <w:tc>
          <w:tcPr>
            <w:tcW w:w="1985" w:type="dxa"/>
            <w:tcBorders>
              <w:top w:val="nil"/>
              <w:bottom w:val="single" w:sz="4" w:space="0" w:color="auto"/>
            </w:tcBorders>
          </w:tcPr>
          <w:p w14:paraId="63641C07" w14:textId="77777777" w:rsidR="008D0DAB" w:rsidRPr="00F65403" w:rsidRDefault="008D0DAB" w:rsidP="009B7B2A">
            <w:pPr>
              <w:rPr>
                <w:rFonts w:eastAsia="Arial" w:cs="Arial"/>
                <w:b/>
                <w:sz w:val="20"/>
                <w:szCs w:val="20"/>
              </w:rPr>
            </w:pPr>
            <w:r w:rsidRPr="00F65403">
              <w:rPr>
                <w:rFonts w:eastAsia="Arial" w:cs="Arial"/>
                <w:b/>
                <w:sz w:val="20"/>
                <w:szCs w:val="20"/>
              </w:rPr>
              <w:t>Accounting Standard</w:t>
            </w:r>
          </w:p>
        </w:tc>
        <w:tc>
          <w:tcPr>
            <w:tcW w:w="5386" w:type="dxa"/>
            <w:tcBorders>
              <w:top w:val="nil"/>
              <w:bottom w:val="single" w:sz="4" w:space="0" w:color="auto"/>
            </w:tcBorders>
          </w:tcPr>
          <w:p w14:paraId="129435C0" w14:textId="77777777" w:rsidR="008D0DAB" w:rsidRPr="00F65403" w:rsidRDefault="008D0DAB" w:rsidP="009B7B2A">
            <w:pPr>
              <w:rPr>
                <w:rFonts w:eastAsia="Arial" w:cs="Arial"/>
                <w:b/>
                <w:sz w:val="20"/>
                <w:szCs w:val="20"/>
              </w:rPr>
            </w:pPr>
            <w:r w:rsidRPr="00F65403">
              <w:rPr>
                <w:rFonts w:eastAsia="Arial" w:cs="Arial"/>
                <w:b/>
                <w:sz w:val="20"/>
                <w:szCs w:val="20"/>
              </w:rPr>
              <w:t>Description of change</w:t>
            </w:r>
          </w:p>
        </w:tc>
        <w:tc>
          <w:tcPr>
            <w:tcW w:w="1645" w:type="dxa"/>
            <w:tcBorders>
              <w:top w:val="nil"/>
              <w:bottom w:val="single" w:sz="4" w:space="0" w:color="auto"/>
            </w:tcBorders>
          </w:tcPr>
          <w:p w14:paraId="5ADECE3B" w14:textId="77777777" w:rsidR="008D0DAB" w:rsidRPr="00F65403" w:rsidRDefault="008D0DAB" w:rsidP="009B7B2A">
            <w:pPr>
              <w:rPr>
                <w:rFonts w:eastAsia="Arial" w:cs="Arial"/>
                <w:b/>
                <w:sz w:val="20"/>
                <w:szCs w:val="20"/>
              </w:rPr>
            </w:pPr>
            <w:r w:rsidRPr="00F65403">
              <w:rPr>
                <w:rFonts w:eastAsia="Arial" w:cs="Arial"/>
                <w:b/>
                <w:sz w:val="20"/>
                <w:szCs w:val="20"/>
              </w:rPr>
              <w:t>Application date</w:t>
            </w:r>
          </w:p>
        </w:tc>
      </w:tr>
      <w:tr w:rsidR="008D0DAB" w:rsidRPr="00FC5D03" w14:paraId="643EFC0C" w14:textId="77777777" w:rsidTr="1CC5B690">
        <w:tc>
          <w:tcPr>
            <w:tcW w:w="1985" w:type="dxa"/>
            <w:tcBorders>
              <w:top w:val="single" w:sz="4" w:space="0" w:color="auto"/>
              <w:bottom w:val="nil"/>
            </w:tcBorders>
          </w:tcPr>
          <w:p w14:paraId="34E80739" w14:textId="77777777" w:rsidR="008D0DAB" w:rsidRPr="00F65403" w:rsidRDefault="008D0DAB" w:rsidP="009B7B2A">
            <w:pPr>
              <w:rPr>
                <w:rFonts w:cs="Arial"/>
                <w:i/>
                <w:sz w:val="20"/>
                <w:szCs w:val="20"/>
              </w:rPr>
            </w:pPr>
            <w:r w:rsidRPr="00F65403">
              <w:rPr>
                <w:rFonts w:cs="Arial"/>
                <w:sz w:val="20"/>
                <w:szCs w:val="20"/>
              </w:rPr>
              <w:t xml:space="preserve">AASB 18 </w:t>
            </w:r>
            <w:r w:rsidRPr="00F65403">
              <w:rPr>
                <w:rFonts w:cs="Arial"/>
                <w:i/>
                <w:sz w:val="20"/>
                <w:szCs w:val="20"/>
              </w:rPr>
              <w:t>Presentation and Disclosure of Financial Statements</w:t>
            </w:r>
          </w:p>
          <w:p w14:paraId="4469D4DF" w14:textId="77777777" w:rsidR="008D0DAB" w:rsidRPr="00F65403" w:rsidRDefault="008D0DAB" w:rsidP="009B7B2A">
            <w:pPr>
              <w:rPr>
                <w:rFonts w:eastAsia="Arial" w:cs="Arial"/>
                <w:sz w:val="20"/>
                <w:szCs w:val="20"/>
              </w:rPr>
            </w:pPr>
          </w:p>
        </w:tc>
        <w:tc>
          <w:tcPr>
            <w:tcW w:w="5386" w:type="dxa"/>
            <w:tcBorders>
              <w:top w:val="single" w:sz="4" w:space="0" w:color="auto"/>
              <w:bottom w:val="nil"/>
            </w:tcBorders>
          </w:tcPr>
          <w:p w14:paraId="2B184D93" w14:textId="77777777" w:rsidR="008D0DAB" w:rsidRPr="00F65403" w:rsidRDefault="008D0DAB" w:rsidP="009B7B2A">
            <w:pPr>
              <w:rPr>
                <w:rFonts w:eastAsia="Arial" w:cs="Arial"/>
                <w:sz w:val="20"/>
                <w:szCs w:val="20"/>
              </w:rPr>
            </w:pPr>
            <w:r w:rsidRPr="00F65403">
              <w:rPr>
                <w:rFonts w:eastAsia="Arial" w:cs="Arial"/>
                <w:sz w:val="20"/>
                <w:szCs w:val="20"/>
              </w:rPr>
              <w:t xml:space="preserve">AASB 18 replaces AASB 101 </w:t>
            </w:r>
            <w:r w:rsidRPr="00F65403">
              <w:rPr>
                <w:rFonts w:eastAsia="Arial" w:cs="Arial"/>
                <w:i/>
                <w:sz w:val="20"/>
                <w:szCs w:val="20"/>
              </w:rPr>
              <w:t>Presentation of Financial Statements</w:t>
            </w:r>
            <w:r w:rsidRPr="00F65403">
              <w:rPr>
                <w:rFonts w:eastAsia="Arial" w:cs="Arial"/>
                <w:sz w:val="20"/>
                <w:szCs w:val="20"/>
              </w:rPr>
              <w:t xml:space="preserve"> to improve how entities communicate in their financial statements, with a particular focus on information about financial performance in the statement of profit or loss.</w:t>
            </w:r>
          </w:p>
          <w:p w14:paraId="5E64BCB8" w14:textId="77777777" w:rsidR="008D0DAB" w:rsidRPr="00F65403" w:rsidRDefault="008D0DAB" w:rsidP="009B7B2A">
            <w:pPr>
              <w:rPr>
                <w:rFonts w:eastAsia="Arial" w:cs="Arial"/>
                <w:sz w:val="20"/>
                <w:szCs w:val="20"/>
              </w:rPr>
            </w:pPr>
          </w:p>
          <w:p w14:paraId="3A06B4A2" w14:textId="345BFEA6" w:rsidR="008D0DAB" w:rsidRPr="00F65403" w:rsidRDefault="008D0DAB" w:rsidP="009B7B2A">
            <w:pPr>
              <w:rPr>
                <w:rFonts w:eastAsia="Arial" w:cs="Arial"/>
                <w:sz w:val="20"/>
                <w:szCs w:val="20"/>
              </w:rPr>
            </w:pPr>
            <w:r w:rsidRPr="00F65403">
              <w:rPr>
                <w:rFonts w:eastAsia="Arial" w:cs="Arial"/>
                <w:sz w:val="20"/>
                <w:szCs w:val="20"/>
              </w:rPr>
              <w:t>The key presentation and disclosure requirements established by AASB 18 is the presentation of newly defined subtotals in the statement of profit or loss.</w:t>
            </w:r>
            <w:r w:rsidR="00A66866">
              <w:rPr>
                <w:rFonts w:eastAsia="Arial" w:cs="Arial"/>
                <w:sz w:val="20"/>
                <w:szCs w:val="20"/>
              </w:rPr>
              <w:t xml:space="preserve"> </w:t>
            </w:r>
            <w:r w:rsidRPr="00F65403">
              <w:rPr>
                <w:rFonts w:eastAsia="Arial" w:cs="Arial"/>
                <w:sz w:val="20"/>
                <w:szCs w:val="20"/>
              </w:rPr>
              <w:t>AASB 18 requires the Group to:</w:t>
            </w:r>
          </w:p>
          <w:p w14:paraId="2E4C7EEC" w14:textId="77777777" w:rsidR="008D0DAB" w:rsidRPr="00F65403" w:rsidRDefault="008D0DAB" w:rsidP="009B7B2A">
            <w:pPr>
              <w:pStyle w:val="Bullet"/>
              <w:rPr>
                <w:rFonts w:cs="Arial"/>
                <w:sz w:val="20"/>
                <w:szCs w:val="20"/>
              </w:rPr>
            </w:pPr>
            <w:r w:rsidRPr="00F65403">
              <w:rPr>
                <w:rFonts w:cs="Arial"/>
                <w:sz w:val="20"/>
                <w:szCs w:val="20"/>
              </w:rPr>
              <w:t>classify income and expenses into operating, investing, financing, income taxes and discontinued operations categories in the statement of profit or loss; and</w:t>
            </w:r>
          </w:p>
          <w:p w14:paraId="47ADF5EE" w14:textId="4844EBFD" w:rsidR="008D0DAB" w:rsidRPr="00F65403" w:rsidRDefault="008D0DAB" w:rsidP="009B7B2A">
            <w:pPr>
              <w:pStyle w:val="Bullet"/>
              <w:rPr>
                <w:rFonts w:eastAsia="Arial" w:cs="Arial"/>
                <w:sz w:val="20"/>
                <w:szCs w:val="20"/>
              </w:rPr>
            </w:pPr>
            <w:r w:rsidRPr="00F65403">
              <w:rPr>
                <w:rFonts w:cs="Arial"/>
                <w:sz w:val="20"/>
                <w:szCs w:val="20"/>
              </w:rPr>
              <w:t xml:space="preserve">present two newly defined subtotals </w:t>
            </w:r>
            <w:r w:rsidR="00104757">
              <w:rPr>
                <w:rFonts w:cs="Arial"/>
                <w:sz w:val="20"/>
                <w:szCs w:val="20"/>
              </w:rPr>
              <w:t>-</w:t>
            </w:r>
            <w:r w:rsidRPr="00F65403">
              <w:rPr>
                <w:rFonts w:cs="Arial"/>
                <w:sz w:val="20"/>
                <w:szCs w:val="20"/>
              </w:rPr>
              <w:t xml:space="preserve"> operating profit and profit before financing and income taxes.</w:t>
            </w:r>
          </w:p>
        </w:tc>
        <w:tc>
          <w:tcPr>
            <w:tcW w:w="1645" w:type="dxa"/>
            <w:tcBorders>
              <w:top w:val="single" w:sz="4" w:space="0" w:color="auto"/>
              <w:bottom w:val="nil"/>
            </w:tcBorders>
          </w:tcPr>
          <w:p w14:paraId="77C08F43" w14:textId="77777777" w:rsidR="008D0DAB" w:rsidRPr="00F65403" w:rsidRDefault="008D0DAB" w:rsidP="009B7B2A">
            <w:pPr>
              <w:rPr>
                <w:rFonts w:eastAsia="Arial" w:cs="Arial"/>
                <w:sz w:val="20"/>
                <w:szCs w:val="20"/>
              </w:rPr>
            </w:pPr>
            <w:r w:rsidRPr="00F65403">
              <w:rPr>
                <w:rFonts w:eastAsia="Arial" w:cs="Arial"/>
                <w:sz w:val="20"/>
                <w:szCs w:val="20"/>
              </w:rPr>
              <w:t>Standard:</w:t>
            </w:r>
          </w:p>
          <w:p w14:paraId="3144FB72" w14:textId="77777777" w:rsidR="008D0DAB" w:rsidRPr="00F65403" w:rsidRDefault="008D0DAB" w:rsidP="009B7B2A">
            <w:pPr>
              <w:rPr>
                <w:rFonts w:eastAsia="Arial" w:cs="Arial"/>
                <w:sz w:val="20"/>
                <w:szCs w:val="20"/>
              </w:rPr>
            </w:pPr>
            <w:r w:rsidRPr="00F65403">
              <w:rPr>
                <w:rFonts w:eastAsia="Arial" w:cs="Arial"/>
                <w:sz w:val="20"/>
                <w:szCs w:val="20"/>
              </w:rPr>
              <w:t>1 January 2027</w:t>
            </w:r>
          </w:p>
          <w:p w14:paraId="3E6F12DD" w14:textId="77777777" w:rsidR="008D0DAB" w:rsidRPr="00F65403" w:rsidRDefault="008D0DAB" w:rsidP="009B7B2A">
            <w:pPr>
              <w:rPr>
                <w:rFonts w:eastAsia="Arial" w:cs="Arial"/>
                <w:sz w:val="20"/>
                <w:szCs w:val="20"/>
              </w:rPr>
            </w:pPr>
          </w:p>
          <w:p w14:paraId="463388F1" w14:textId="77777777" w:rsidR="008D0DAB" w:rsidRPr="00F65403" w:rsidRDefault="008D0DAB" w:rsidP="009B7B2A">
            <w:pPr>
              <w:rPr>
                <w:rFonts w:eastAsia="Arial" w:cs="Arial"/>
                <w:sz w:val="20"/>
                <w:szCs w:val="20"/>
              </w:rPr>
            </w:pPr>
            <w:r w:rsidRPr="00F65403">
              <w:rPr>
                <w:rFonts w:eastAsia="Arial" w:cs="Arial"/>
                <w:sz w:val="20"/>
                <w:szCs w:val="20"/>
              </w:rPr>
              <w:t>Group:</w:t>
            </w:r>
          </w:p>
          <w:p w14:paraId="42196B87" w14:textId="77777777" w:rsidR="008D0DAB" w:rsidRPr="00F65403" w:rsidRDefault="008D0DAB" w:rsidP="009B7B2A">
            <w:pPr>
              <w:rPr>
                <w:rFonts w:eastAsia="Arial" w:cs="Arial"/>
                <w:sz w:val="20"/>
                <w:szCs w:val="20"/>
              </w:rPr>
            </w:pPr>
            <w:r w:rsidRPr="00F65403">
              <w:rPr>
                <w:rFonts w:eastAsia="Arial" w:cs="Arial"/>
                <w:sz w:val="20"/>
                <w:szCs w:val="20"/>
              </w:rPr>
              <w:t>1 July 2027</w:t>
            </w:r>
          </w:p>
        </w:tc>
      </w:tr>
      <w:tr w:rsidR="008D0DAB" w:rsidRPr="00FC5D03" w14:paraId="1A79B30A" w14:textId="77777777" w:rsidTr="1CC5B690">
        <w:tc>
          <w:tcPr>
            <w:tcW w:w="1985" w:type="dxa"/>
          </w:tcPr>
          <w:p w14:paraId="5FE43208" w14:textId="6B4B25E8" w:rsidR="008D0DAB" w:rsidRPr="00F65403" w:rsidRDefault="008D0DAB" w:rsidP="009B7B2A">
            <w:pPr>
              <w:rPr>
                <w:rFonts w:eastAsia="Arial" w:cs="Arial"/>
                <w:sz w:val="20"/>
                <w:szCs w:val="20"/>
              </w:rPr>
            </w:pPr>
            <w:r w:rsidRPr="00F65403">
              <w:rPr>
                <w:rFonts w:eastAsia="Arial" w:cs="Arial"/>
                <w:sz w:val="20"/>
                <w:szCs w:val="20"/>
              </w:rPr>
              <w:t xml:space="preserve">AASB 2024-2 Amendments to AASs </w:t>
            </w:r>
            <w:r w:rsidR="00104757">
              <w:rPr>
                <w:rFonts w:eastAsia="Arial" w:cs="Arial"/>
                <w:sz w:val="20"/>
                <w:szCs w:val="20"/>
              </w:rPr>
              <w:t>-</w:t>
            </w:r>
            <w:r w:rsidRPr="00F65403">
              <w:rPr>
                <w:rFonts w:eastAsia="Arial" w:cs="Arial"/>
                <w:sz w:val="20"/>
                <w:szCs w:val="20"/>
              </w:rPr>
              <w:t xml:space="preserve"> Classification and Measurement of Financial Instruments</w:t>
            </w:r>
          </w:p>
        </w:tc>
        <w:tc>
          <w:tcPr>
            <w:tcW w:w="5386" w:type="dxa"/>
          </w:tcPr>
          <w:p w14:paraId="19098D91" w14:textId="0A324F8B" w:rsidR="008D0DAB" w:rsidRPr="00F65403" w:rsidRDefault="008D0DAB" w:rsidP="009B7B2A">
            <w:pPr>
              <w:rPr>
                <w:rFonts w:eastAsia="Arial" w:cs="Arial"/>
                <w:sz w:val="20"/>
                <w:szCs w:val="20"/>
              </w:rPr>
            </w:pPr>
            <w:r w:rsidRPr="00F65403">
              <w:rPr>
                <w:rFonts w:eastAsia="Arial" w:cs="Arial"/>
                <w:sz w:val="20"/>
                <w:szCs w:val="20"/>
              </w:rPr>
              <w:t xml:space="preserve">These amendments to AASB 7 and AASB 9 </w:t>
            </w:r>
            <w:r w:rsidRPr="00AA3AC5">
              <w:rPr>
                <w:rFonts w:eastAsia="Arial" w:cs="Arial"/>
                <w:i/>
                <w:iCs/>
                <w:sz w:val="20"/>
                <w:szCs w:val="20"/>
              </w:rPr>
              <w:t>Financial Instruments</w:t>
            </w:r>
            <w:r w:rsidRPr="00F65403">
              <w:rPr>
                <w:rFonts w:eastAsia="Arial" w:cs="Arial"/>
                <w:sz w:val="20"/>
                <w:szCs w:val="20"/>
              </w:rPr>
              <w:t>:</w:t>
            </w:r>
          </w:p>
          <w:p w14:paraId="1E88AD86" w14:textId="67113281" w:rsidR="008D0DAB" w:rsidRPr="00F65403" w:rsidRDefault="4C845418" w:rsidP="009B7B2A">
            <w:pPr>
              <w:pStyle w:val="ListParagraph"/>
              <w:numPr>
                <w:ilvl w:val="0"/>
                <w:numId w:val="93"/>
              </w:numPr>
              <w:rPr>
                <w:rFonts w:eastAsia="Arial" w:cs="Arial"/>
                <w:sz w:val="20"/>
                <w:szCs w:val="20"/>
              </w:rPr>
            </w:pPr>
            <w:r w:rsidRPr="1CC5B690">
              <w:rPr>
                <w:rFonts w:eastAsia="Arial" w:cs="Arial"/>
                <w:sz w:val="20"/>
                <w:szCs w:val="20"/>
              </w:rPr>
              <w:t>c</w:t>
            </w:r>
            <w:r w:rsidR="008D0DAB" w:rsidRPr="1CC5B690">
              <w:rPr>
                <w:rFonts w:eastAsia="Arial" w:cs="Arial"/>
                <w:sz w:val="20"/>
                <w:szCs w:val="20"/>
              </w:rPr>
              <w:t xml:space="preserve">larify that a financial liability is derecognised on the ‘settlement date’, i.e., when the related obligation is discharged, cancelled, expires or the liability otherwise qualifies for derecognition. </w:t>
            </w:r>
          </w:p>
          <w:p w14:paraId="7C75A9D8" w14:textId="35C9F3F1" w:rsidR="008D0DAB" w:rsidRPr="00F65403" w:rsidRDefault="3AE0601F" w:rsidP="009B7B2A">
            <w:pPr>
              <w:pStyle w:val="ListParagraph"/>
              <w:numPr>
                <w:ilvl w:val="0"/>
                <w:numId w:val="93"/>
              </w:numPr>
              <w:rPr>
                <w:rFonts w:eastAsia="Arial" w:cs="Arial"/>
                <w:sz w:val="20"/>
                <w:szCs w:val="20"/>
              </w:rPr>
            </w:pPr>
            <w:r w:rsidRPr="1CC5B690">
              <w:rPr>
                <w:rFonts w:eastAsia="Arial" w:cs="Arial"/>
                <w:sz w:val="20"/>
                <w:szCs w:val="20"/>
              </w:rPr>
              <w:t>i</w:t>
            </w:r>
            <w:r w:rsidR="008D0DAB" w:rsidRPr="1CC5B690">
              <w:rPr>
                <w:rFonts w:eastAsia="Arial" w:cs="Arial"/>
                <w:sz w:val="20"/>
                <w:szCs w:val="20"/>
              </w:rPr>
              <w:t xml:space="preserve">ntroduce an accounting policy option to derecognise financial liabilities that are settled through an electronic payment system before the settlement date if certain conditions are met </w:t>
            </w:r>
          </w:p>
          <w:p w14:paraId="4901BE33" w14:textId="2C8B47FB" w:rsidR="008D0DAB" w:rsidRPr="00F65403" w:rsidRDefault="5F092B56" w:rsidP="009B7B2A">
            <w:pPr>
              <w:pStyle w:val="ListParagraph"/>
              <w:numPr>
                <w:ilvl w:val="0"/>
                <w:numId w:val="93"/>
              </w:numPr>
              <w:rPr>
                <w:rFonts w:eastAsia="Arial" w:cs="Arial"/>
                <w:sz w:val="20"/>
                <w:szCs w:val="20"/>
              </w:rPr>
            </w:pPr>
            <w:r w:rsidRPr="1CC5B690">
              <w:rPr>
                <w:rFonts w:eastAsia="Arial" w:cs="Arial"/>
                <w:sz w:val="20"/>
                <w:szCs w:val="20"/>
              </w:rPr>
              <w:t>c</w:t>
            </w:r>
            <w:r w:rsidR="008D0DAB" w:rsidRPr="1CC5B690">
              <w:rPr>
                <w:rFonts w:eastAsia="Arial" w:cs="Arial"/>
                <w:sz w:val="20"/>
                <w:szCs w:val="20"/>
              </w:rPr>
              <w:t>larify how to assess contractual cash flow characteristics that include environmental, social and governance (ESG)-linked features and other similar contingent features when classifying financial assets</w:t>
            </w:r>
          </w:p>
          <w:p w14:paraId="62EA98BF" w14:textId="42D67D8F" w:rsidR="008D0DAB" w:rsidRPr="00F65403" w:rsidRDefault="338602EF" w:rsidP="009B7B2A">
            <w:pPr>
              <w:pStyle w:val="ListParagraph"/>
              <w:numPr>
                <w:ilvl w:val="0"/>
                <w:numId w:val="93"/>
              </w:numPr>
              <w:rPr>
                <w:rFonts w:eastAsia="Arial" w:cs="Arial"/>
                <w:sz w:val="20"/>
                <w:szCs w:val="20"/>
              </w:rPr>
            </w:pPr>
            <w:r w:rsidRPr="1CC5B690">
              <w:rPr>
                <w:rFonts w:eastAsia="Arial" w:cs="Arial"/>
                <w:sz w:val="20"/>
                <w:szCs w:val="20"/>
              </w:rPr>
              <w:t>c</w:t>
            </w:r>
            <w:r w:rsidR="008D0DAB" w:rsidRPr="1CC5B690">
              <w:rPr>
                <w:rFonts w:eastAsia="Arial" w:cs="Arial"/>
                <w:sz w:val="20"/>
                <w:szCs w:val="20"/>
              </w:rPr>
              <w:t>larify how non-recourse features and contractually linked instruments are assessed for the purpose of applying the SPPI test when determining the measurement basis of financial assets.</w:t>
            </w:r>
          </w:p>
          <w:p w14:paraId="5CF2B8A4" w14:textId="30226C59" w:rsidR="008D0DAB" w:rsidRPr="00F65403" w:rsidRDefault="449A9835" w:rsidP="009B7B2A">
            <w:pPr>
              <w:pStyle w:val="ListParagraph"/>
              <w:numPr>
                <w:ilvl w:val="0"/>
                <w:numId w:val="93"/>
              </w:numPr>
              <w:rPr>
                <w:rFonts w:eastAsia="Arial" w:cs="Arial"/>
                <w:sz w:val="20"/>
                <w:szCs w:val="20"/>
              </w:rPr>
            </w:pPr>
            <w:r w:rsidRPr="1CC5B690">
              <w:rPr>
                <w:rFonts w:eastAsia="Arial" w:cs="Arial"/>
                <w:sz w:val="20"/>
                <w:szCs w:val="20"/>
              </w:rPr>
              <w:t>r</w:t>
            </w:r>
            <w:r w:rsidR="008D0DAB" w:rsidRPr="1CC5B690">
              <w:rPr>
                <w:rFonts w:eastAsia="Arial" w:cs="Arial"/>
                <w:sz w:val="20"/>
                <w:szCs w:val="20"/>
              </w:rPr>
              <w:t>equire additional disclosures in AASB 7 for financial assets and liabilities with contractual terms that reference a contingent event (including those that are ESG-linked), and equity instruments classified at fair value through other comprehensive income</w:t>
            </w:r>
            <w:r w:rsidR="3EC51943" w:rsidRPr="1CC5B690">
              <w:rPr>
                <w:rFonts w:eastAsia="Arial" w:cs="Arial"/>
                <w:sz w:val="20"/>
                <w:szCs w:val="20"/>
              </w:rPr>
              <w:t>.</w:t>
            </w:r>
            <w:r w:rsidR="008D0DAB" w:rsidRPr="1CC5B690">
              <w:rPr>
                <w:rFonts w:eastAsia="Arial" w:cs="Arial"/>
                <w:sz w:val="20"/>
                <w:szCs w:val="20"/>
              </w:rPr>
              <w:t xml:space="preserve"> </w:t>
            </w:r>
          </w:p>
          <w:p w14:paraId="66A262F0" w14:textId="77777777" w:rsidR="008D0DAB" w:rsidRPr="00F65403" w:rsidRDefault="008D0DAB" w:rsidP="009B7B2A">
            <w:pPr>
              <w:rPr>
                <w:rFonts w:eastAsia="Arial" w:cs="Arial"/>
                <w:sz w:val="20"/>
                <w:szCs w:val="20"/>
              </w:rPr>
            </w:pPr>
          </w:p>
          <w:p w14:paraId="7EBA7896" w14:textId="77777777" w:rsidR="008D0DAB" w:rsidRPr="00F65403" w:rsidRDefault="008D0DAB" w:rsidP="009B7B2A">
            <w:pPr>
              <w:rPr>
                <w:rFonts w:eastAsia="Arial" w:cs="Arial"/>
                <w:sz w:val="20"/>
                <w:szCs w:val="20"/>
              </w:rPr>
            </w:pPr>
            <w:r w:rsidRPr="00F65403">
              <w:rPr>
                <w:rFonts w:eastAsia="Arial" w:cs="Arial"/>
                <w:sz w:val="20"/>
                <w:szCs w:val="20"/>
              </w:rPr>
              <w:t>The new requirements will be applied retrospectively with an adjustment to opening retained earnings. Prior periods are not required to be restated and can only be restated without using hindsight. An entity is required to disclose information about financial assets that change their measurement category due to the amendments.</w:t>
            </w:r>
          </w:p>
        </w:tc>
        <w:tc>
          <w:tcPr>
            <w:tcW w:w="1645" w:type="dxa"/>
          </w:tcPr>
          <w:p w14:paraId="52B105CE" w14:textId="77777777" w:rsidR="008D0DAB" w:rsidRPr="00F65403" w:rsidRDefault="008D0DAB" w:rsidP="009B7B2A">
            <w:pPr>
              <w:rPr>
                <w:rFonts w:eastAsia="Arial" w:cs="Arial"/>
                <w:sz w:val="20"/>
                <w:szCs w:val="20"/>
              </w:rPr>
            </w:pPr>
            <w:r w:rsidRPr="00F65403">
              <w:rPr>
                <w:rFonts w:eastAsia="Arial" w:cs="Arial"/>
                <w:sz w:val="20"/>
                <w:szCs w:val="20"/>
              </w:rPr>
              <w:t>Standard:</w:t>
            </w:r>
          </w:p>
          <w:p w14:paraId="6C389EA7" w14:textId="77777777" w:rsidR="008D0DAB" w:rsidRPr="00F65403" w:rsidRDefault="008D0DAB" w:rsidP="009B7B2A">
            <w:pPr>
              <w:rPr>
                <w:rFonts w:eastAsia="Arial" w:cs="Arial"/>
                <w:sz w:val="20"/>
                <w:szCs w:val="20"/>
              </w:rPr>
            </w:pPr>
            <w:r w:rsidRPr="00F65403">
              <w:rPr>
                <w:rFonts w:eastAsia="Arial" w:cs="Arial"/>
                <w:sz w:val="20"/>
                <w:szCs w:val="20"/>
              </w:rPr>
              <w:t>1 January 2026</w:t>
            </w:r>
          </w:p>
          <w:p w14:paraId="532B5F4F" w14:textId="77777777" w:rsidR="008D0DAB" w:rsidRPr="00F65403" w:rsidRDefault="008D0DAB" w:rsidP="009B7B2A">
            <w:pPr>
              <w:rPr>
                <w:rFonts w:eastAsia="Arial" w:cs="Arial"/>
                <w:sz w:val="20"/>
                <w:szCs w:val="20"/>
              </w:rPr>
            </w:pPr>
          </w:p>
          <w:p w14:paraId="41F4303E" w14:textId="77777777" w:rsidR="008D0DAB" w:rsidRPr="00F65403" w:rsidRDefault="008D0DAB" w:rsidP="009B7B2A">
            <w:pPr>
              <w:rPr>
                <w:rFonts w:eastAsia="Arial" w:cs="Arial"/>
                <w:sz w:val="20"/>
                <w:szCs w:val="20"/>
              </w:rPr>
            </w:pPr>
            <w:r w:rsidRPr="00F65403">
              <w:rPr>
                <w:rFonts w:eastAsia="Arial" w:cs="Arial"/>
                <w:sz w:val="20"/>
                <w:szCs w:val="20"/>
              </w:rPr>
              <w:t>Group:</w:t>
            </w:r>
          </w:p>
          <w:p w14:paraId="4FEB8C7F" w14:textId="77777777" w:rsidR="008D0DAB" w:rsidRPr="00F65403" w:rsidRDefault="008D0DAB" w:rsidP="009B7B2A">
            <w:pPr>
              <w:rPr>
                <w:rFonts w:eastAsia="Arial" w:cs="Arial"/>
                <w:sz w:val="20"/>
                <w:szCs w:val="20"/>
              </w:rPr>
            </w:pPr>
            <w:r w:rsidRPr="00F65403">
              <w:rPr>
                <w:rFonts w:eastAsia="Arial" w:cs="Arial"/>
                <w:sz w:val="20"/>
                <w:szCs w:val="20"/>
              </w:rPr>
              <w:t>1 July 2026</w:t>
            </w:r>
          </w:p>
        </w:tc>
      </w:tr>
    </w:tbl>
    <w:p w14:paraId="49D64460" w14:textId="77777777" w:rsidR="008D0DAB" w:rsidRPr="00AA3AC5" w:rsidRDefault="008D0DAB" w:rsidP="008D0DAB">
      <w:pPr>
        <w:rPr>
          <w:rFonts w:eastAsiaTheme="majorEastAsia" w:cstheme="majorBidi"/>
          <w:b/>
          <w:sz w:val="4"/>
          <w:szCs w:val="6"/>
        </w:rPr>
      </w:pPr>
    </w:p>
    <w:p w14:paraId="3C09E420" w14:textId="77777777" w:rsidR="008D0DAB" w:rsidRPr="00F65403" w:rsidRDefault="008D0DAB" w:rsidP="008D0DAB">
      <w:pPr>
        <w:pStyle w:val="Heading7"/>
      </w:pPr>
      <w:r w:rsidRPr="00F65403">
        <w:t>Cash and cash equivalents</w:t>
      </w:r>
    </w:p>
    <w:tbl>
      <w:tblPr>
        <w:tblW w:w="9026" w:type="dxa"/>
        <w:tblCellMar>
          <w:top w:w="28" w:type="dxa"/>
          <w:left w:w="28" w:type="dxa"/>
          <w:bottom w:w="28" w:type="dxa"/>
          <w:right w:w="28" w:type="dxa"/>
        </w:tblCellMar>
        <w:tblLook w:val="04A0" w:firstRow="1" w:lastRow="0" w:firstColumn="1" w:lastColumn="0" w:noHBand="0" w:noVBand="1"/>
      </w:tblPr>
      <w:tblGrid>
        <w:gridCol w:w="6090"/>
        <w:gridCol w:w="1468"/>
        <w:gridCol w:w="1468"/>
      </w:tblGrid>
      <w:tr w:rsidR="008D0DAB" w:rsidRPr="002C760A" w14:paraId="651E1F1B" w14:textId="77777777" w:rsidTr="413EB596">
        <w:tc>
          <w:tcPr>
            <w:tcW w:w="6090" w:type="dxa"/>
            <w:tcBorders>
              <w:top w:val="nil"/>
              <w:left w:val="nil"/>
              <w:bottom w:val="nil"/>
              <w:right w:val="nil"/>
            </w:tcBorders>
            <w:noWrap/>
            <w:vAlign w:val="bottom"/>
            <w:hideMark/>
          </w:tcPr>
          <w:p w14:paraId="628183E1" w14:textId="77777777" w:rsidR="008D0DAB" w:rsidRPr="00F65403" w:rsidRDefault="008D0DAB" w:rsidP="009B7B2A">
            <w:pPr>
              <w:spacing w:after="0" w:line="240" w:lineRule="auto"/>
              <w:rPr>
                <w:rFonts w:eastAsia="Times New Roman" w:cs="Arial"/>
                <w:sz w:val="20"/>
                <w:szCs w:val="20"/>
                <w:lang w:eastAsia="en-AU"/>
              </w:rPr>
            </w:pPr>
          </w:p>
        </w:tc>
        <w:tc>
          <w:tcPr>
            <w:tcW w:w="1468" w:type="dxa"/>
            <w:tcBorders>
              <w:top w:val="nil"/>
              <w:left w:val="nil"/>
              <w:bottom w:val="nil"/>
              <w:right w:val="nil"/>
            </w:tcBorders>
            <w:noWrap/>
            <w:hideMark/>
          </w:tcPr>
          <w:p w14:paraId="1DAD29E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2025</w:t>
            </w:r>
          </w:p>
        </w:tc>
        <w:tc>
          <w:tcPr>
            <w:tcW w:w="1468" w:type="dxa"/>
            <w:tcBorders>
              <w:top w:val="nil"/>
              <w:left w:val="nil"/>
              <w:bottom w:val="nil"/>
              <w:right w:val="nil"/>
            </w:tcBorders>
            <w:noWrap/>
            <w:hideMark/>
          </w:tcPr>
          <w:p w14:paraId="172E451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2C760A" w14:paraId="6F0DC17A" w14:textId="77777777" w:rsidTr="413EB596">
        <w:trPr>
          <w:trHeight w:val="300"/>
        </w:trPr>
        <w:tc>
          <w:tcPr>
            <w:tcW w:w="6090" w:type="dxa"/>
            <w:tcBorders>
              <w:top w:val="nil"/>
              <w:left w:val="nil"/>
              <w:bottom w:val="nil"/>
              <w:right w:val="nil"/>
            </w:tcBorders>
            <w:noWrap/>
            <w:vAlign w:val="bottom"/>
            <w:hideMark/>
          </w:tcPr>
          <w:p w14:paraId="4F9C4A24"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1468" w:type="dxa"/>
            <w:tcBorders>
              <w:top w:val="nil"/>
              <w:left w:val="nil"/>
              <w:right w:val="nil"/>
            </w:tcBorders>
            <w:noWrap/>
            <w:hideMark/>
          </w:tcPr>
          <w:p w14:paraId="39D5202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468" w:type="dxa"/>
            <w:tcBorders>
              <w:top w:val="nil"/>
              <w:left w:val="nil"/>
              <w:right w:val="nil"/>
            </w:tcBorders>
            <w:noWrap/>
            <w:hideMark/>
          </w:tcPr>
          <w:p w14:paraId="403FEA5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2C760A" w14:paraId="68396160" w14:textId="77777777" w:rsidTr="00E326C0">
        <w:trPr>
          <w:trHeight w:val="300"/>
        </w:trPr>
        <w:tc>
          <w:tcPr>
            <w:tcW w:w="6090" w:type="dxa"/>
            <w:tcBorders>
              <w:top w:val="nil"/>
              <w:left w:val="nil"/>
              <w:bottom w:val="nil"/>
              <w:right w:val="nil"/>
            </w:tcBorders>
            <w:noWrap/>
            <w:vAlign w:val="bottom"/>
          </w:tcPr>
          <w:p w14:paraId="7DC45629"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on hand or on deposit</w:t>
            </w:r>
          </w:p>
        </w:tc>
        <w:tc>
          <w:tcPr>
            <w:tcW w:w="1468" w:type="dxa"/>
            <w:tcBorders>
              <w:top w:val="nil"/>
              <w:left w:val="nil"/>
              <w:bottom w:val="single" w:sz="4" w:space="0" w:color="auto"/>
              <w:right w:val="nil"/>
            </w:tcBorders>
            <w:noWrap/>
            <w:vAlign w:val="bottom"/>
          </w:tcPr>
          <w:p w14:paraId="702A5203"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cs="Arial"/>
                <w:color w:val="000000"/>
                <w:sz w:val="20"/>
                <w:szCs w:val="20"/>
              </w:rPr>
              <w:t>8</w:t>
            </w:r>
          </w:p>
        </w:tc>
        <w:tc>
          <w:tcPr>
            <w:tcW w:w="1468" w:type="dxa"/>
            <w:tcBorders>
              <w:top w:val="nil"/>
              <w:left w:val="nil"/>
              <w:bottom w:val="single" w:sz="4" w:space="0" w:color="auto"/>
              <w:right w:val="nil"/>
            </w:tcBorders>
            <w:noWrap/>
            <w:vAlign w:val="bottom"/>
          </w:tcPr>
          <w:p w14:paraId="22992551"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cs="Arial"/>
                <w:color w:val="000000"/>
                <w:sz w:val="20"/>
                <w:szCs w:val="20"/>
              </w:rPr>
              <w:t>-</w:t>
            </w:r>
          </w:p>
        </w:tc>
      </w:tr>
      <w:tr w:rsidR="008D0DAB" w:rsidRPr="002C760A" w14:paraId="2906DC9E" w14:textId="77777777" w:rsidTr="00E326C0">
        <w:trPr>
          <w:trHeight w:val="300"/>
        </w:trPr>
        <w:tc>
          <w:tcPr>
            <w:tcW w:w="6090" w:type="dxa"/>
            <w:tcBorders>
              <w:top w:val="nil"/>
              <w:left w:val="nil"/>
              <w:bottom w:val="nil"/>
              <w:right w:val="nil"/>
            </w:tcBorders>
            <w:noWrap/>
            <w:vAlign w:val="bottom"/>
          </w:tcPr>
          <w:p w14:paraId="7C598E9E"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Cash and cash equivalents disclosed in the balance sheet</w:t>
            </w:r>
          </w:p>
        </w:tc>
        <w:tc>
          <w:tcPr>
            <w:tcW w:w="1468" w:type="dxa"/>
            <w:tcBorders>
              <w:top w:val="single" w:sz="4" w:space="0" w:color="auto"/>
              <w:left w:val="nil"/>
              <w:bottom w:val="single" w:sz="4" w:space="0" w:color="auto"/>
              <w:right w:val="nil"/>
            </w:tcBorders>
            <w:noWrap/>
            <w:vAlign w:val="bottom"/>
          </w:tcPr>
          <w:p w14:paraId="12C12F13" w14:textId="77777777" w:rsidR="008D0DAB" w:rsidRPr="00591908" w:rsidRDefault="008D0DAB" w:rsidP="009B7B2A">
            <w:pPr>
              <w:tabs>
                <w:tab w:val="decimal" w:pos="958"/>
              </w:tabs>
              <w:spacing w:after="0" w:line="240" w:lineRule="auto"/>
              <w:rPr>
                <w:rFonts w:eastAsia="Times New Roman" w:cs="Arial"/>
                <w:b/>
                <w:bCs/>
                <w:color w:val="000000"/>
                <w:sz w:val="20"/>
                <w:szCs w:val="20"/>
                <w:lang w:eastAsia="en-AU"/>
              </w:rPr>
            </w:pPr>
            <w:r>
              <w:rPr>
                <w:rFonts w:cs="Arial"/>
                <w:b/>
                <w:color w:val="000000"/>
                <w:sz w:val="20"/>
                <w:szCs w:val="20"/>
              </w:rPr>
              <w:t>8</w:t>
            </w:r>
          </w:p>
        </w:tc>
        <w:tc>
          <w:tcPr>
            <w:tcW w:w="1468" w:type="dxa"/>
            <w:tcBorders>
              <w:top w:val="single" w:sz="4" w:space="0" w:color="auto"/>
              <w:left w:val="nil"/>
              <w:bottom w:val="single" w:sz="4" w:space="0" w:color="auto"/>
              <w:right w:val="nil"/>
            </w:tcBorders>
            <w:noWrap/>
            <w:vAlign w:val="bottom"/>
          </w:tcPr>
          <w:p w14:paraId="1837A021" w14:textId="77777777" w:rsidR="008D0DAB" w:rsidRPr="00591908" w:rsidRDefault="008D0DAB" w:rsidP="009B7B2A">
            <w:pPr>
              <w:tabs>
                <w:tab w:val="decimal" w:pos="958"/>
              </w:tabs>
              <w:spacing w:after="0" w:line="240" w:lineRule="auto"/>
              <w:rPr>
                <w:rFonts w:eastAsia="Times New Roman" w:cs="Arial"/>
                <w:b/>
                <w:bCs/>
                <w:color w:val="000000"/>
                <w:sz w:val="20"/>
                <w:szCs w:val="20"/>
                <w:lang w:eastAsia="en-AU"/>
              </w:rPr>
            </w:pPr>
            <w:r>
              <w:rPr>
                <w:rFonts w:cs="Arial"/>
                <w:b/>
                <w:color w:val="000000"/>
                <w:sz w:val="20"/>
                <w:szCs w:val="20"/>
              </w:rPr>
              <w:t>-</w:t>
            </w:r>
          </w:p>
        </w:tc>
      </w:tr>
    </w:tbl>
    <w:p w14:paraId="074A6FF2" w14:textId="77777777" w:rsidR="008D0DAB" w:rsidRPr="00AA3AC5" w:rsidRDefault="008D0DAB" w:rsidP="008D0DAB">
      <w:pPr>
        <w:pStyle w:val="BodyText"/>
        <w:rPr>
          <w:sz w:val="14"/>
          <w:szCs w:val="14"/>
          <w:lang w:val="en-AU"/>
        </w:rPr>
      </w:pPr>
    </w:p>
    <w:p w14:paraId="4DB54286" w14:textId="77777777" w:rsidR="008D0DAB" w:rsidRPr="00F65403" w:rsidRDefault="008D0DAB" w:rsidP="008D0DAB">
      <w:pPr>
        <w:pStyle w:val="Heading8"/>
      </w:pPr>
      <w:proofErr w:type="spellStart"/>
      <w:r>
        <w:t>i</w:t>
      </w:r>
      <w:proofErr w:type="spellEnd"/>
      <w:r>
        <w:t>.</w:t>
      </w:r>
      <w:r>
        <w:tab/>
        <w:t>Accounting policy</w:t>
      </w:r>
    </w:p>
    <w:p w14:paraId="3DC5DD94" w14:textId="77777777" w:rsidR="008D0DAB" w:rsidRPr="00F65403" w:rsidRDefault="008D0DAB" w:rsidP="008D0DAB">
      <w:pPr>
        <w:pStyle w:val="BodyText"/>
        <w:rPr>
          <w:lang w:val="en-AU"/>
        </w:rPr>
      </w:pPr>
      <w:r w:rsidRPr="00F65403">
        <w:rPr>
          <w:lang w:val="en-AU"/>
        </w:rPr>
        <w:t>Cash and cash equivalents comprise cash at bank and on hand and short-term deposits with an original maturity of three months or less that are readily convertible to known amounts of cash. The carrying amount represents fair value.</w:t>
      </w:r>
    </w:p>
    <w:p w14:paraId="6AD25ADE" w14:textId="77777777" w:rsidR="008D0DAB" w:rsidRPr="00AA3AC5" w:rsidRDefault="008D0DAB" w:rsidP="008D0DAB">
      <w:pPr>
        <w:pStyle w:val="BodyText"/>
        <w:rPr>
          <w:sz w:val="16"/>
          <w:szCs w:val="16"/>
          <w:lang w:val="en-AU"/>
        </w:rPr>
      </w:pPr>
    </w:p>
    <w:p w14:paraId="22F4EA44" w14:textId="613643A4" w:rsidR="008D0DAB" w:rsidRPr="00F65403" w:rsidRDefault="008D0DAB" w:rsidP="008D0DAB">
      <w:pPr>
        <w:pStyle w:val="BodyText"/>
        <w:rPr>
          <w:lang w:val="en-AU"/>
        </w:rPr>
      </w:pPr>
      <w:r w:rsidRPr="193BDB44">
        <w:rPr>
          <w:lang w:val="en-AU"/>
        </w:rPr>
        <w:t xml:space="preserve">For the purposes of the </w:t>
      </w:r>
      <w:r w:rsidR="00291431">
        <w:rPr>
          <w:lang w:val="en-AU"/>
        </w:rPr>
        <w:t>c</w:t>
      </w:r>
      <w:r w:rsidRPr="193BDB44">
        <w:rPr>
          <w:lang w:val="en-AU"/>
        </w:rPr>
        <w:t xml:space="preserve">onsolidated </w:t>
      </w:r>
      <w:r w:rsidR="00291431">
        <w:rPr>
          <w:lang w:val="en-AU"/>
        </w:rPr>
        <w:t>s</w:t>
      </w:r>
      <w:r w:rsidRPr="193BDB44">
        <w:rPr>
          <w:lang w:val="en-AU"/>
        </w:rPr>
        <w:t xml:space="preserve">tatement of </w:t>
      </w:r>
      <w:r w:rsidR="00291431">
        <w:rPr>
          <w:lang w:val="en-AU"/>
        </w:rPr>
        <w:t>c</w:t>
      </w:r>
      <w:r w:rsidRPr="193BDB44">
        <w:rPr>
          <w:lang w:val="en-AU"/>
        </w:rPr>
        <w:t xml:space="preserve">ash </w:t>
      </w:r>
      <w:r w:rsidR="00291431">
        <w:rPr>
          <w:lang w:val="en-AU"/>
        </w:rPr>
        <w:t>f</w:t>
      </w:r>
      <w:r w:rsidRPr="193BDB44">
        <w:rPr>
          <w:lang w:val="en-AU"/>
        </w:rPr>
        <w:t>lows, cash and cash equivalents consist of cash and cash equivalents as defined above.</w:t>
      </w:r>
    </w:p>
    <w:p w14:paraId="28CBF0AC" w14:textId="77777777" w:rsidR="008D0DAB" w:rsidRPr="00AA3AC5" w:rsidRDefault="008D0DAB" w:rsidP="008D0DAB">
      <w:pPr>
        <w:pStyle w:val="BodyText"/>
        <w:rPr>
          <w:sz w:val="16"/>
          <w:szCs w:val="16"/>
          <w:lang w:val="en-AU"/>
        </w:rPr>
      </w:pPr>
    </w:p>
    <w:p w14:paraId="32DCB247" w14:textId="77777777" w:rsidR="008D0DAB" w:rsidRPr="00F65403" w:rsidRDefault="008D0DAB" w:rsidP="008D0DAB">
      <w:pPr>
        <w:pStyle w:val="Heading8"/>
      </w:pPr>
      <w:r>
        <w:t>ii.</w:t>
      </w:r>
      <w:r>
        <w:tab/>
        <w:t>Reconciliation of net result for the period to cash flow from operating activities</w:t>
      </w:r>
      <w:r>
        <w:br/>
      </w:r>
    </w:p>
    <w:tbl>
      <w:tblPr>
        <w:tblW w:w="9026" w:type="dxa"/>
        <w:tblCellMar>
          <w:top w:w="28" w:type="dxa"/>
          <w:left w:w="28" w:type="dxa"/>
          <w:bottom w:w="28" w:type="dxa"/>
          <w:right w:w="28" w:type="dxa"/>
        </w:tblCellMar>
        <w:tblLook w:val="04A0" w:firstRow="1" w:lastRow="0" w:firstColumn="1" w:lastColumn="0" w:noHBand="0" w:noVBand="1"/>
      </w:tblPr>
      <w:tblGrid>
        <w:gridCol w:w="5757"/>
        <w:gridCol w:w="1623"/>
        <w:gridCol w:w="1646"/>
      </w:tblGrid>
      <w:tr w:rsidR="008D0DAB" w:rsidRPr="003D420E" w14:paraId="185A6C7F" w14:textId="77777777" w:rsidTr="413EB596">
        <w:tc>
          <w:tcPr>
            <w:tcW w:w="5757" w:type="dxa"/>
            <w:tcBorders>
              <w:top w:val="nil"/>
              <w:left w:val="nil"/>
              <w:bottom w:val="nil"/>
              <w:right w:val="nil"/>
            </w:tcBorders>
            <w:noWrap/>
            <w:vAlign w:val="bottom"/>
            <w:hideMark/>
          </w:tcPr>
          <w:p w14:paraId="57B025AF" w14:textId="77777777" w:rsidR="008D0DAB" w:rsidRPr="00F65403" w:rsidRDefault="008D0DAB" w:rsidP="009B7B2A">
            <w:pPr>
              <w:spacing w:after="0" w:line="240" w:lineRule="auto"/>
              <w:rPr>
                <w:rFonts w:eastAsia="Times New Roman" w:cs="Arial"/>
                <w:sz w:val="20"/>
                <w:szCs w:val="20"/>
                <w:lang w:eastAsia="en-AU"/>
              </w:rPr>
            </w:pPr>
          </w:p>
        </w:tc>
        <w:tc>
          <w:tcPr>
            <w:tcW w:w="1623" w:type="dxa"/>
            <w:tcBorders>
              <w:top w:val="nil"/>
              <w:left w:val="nil"/>
              <w:bottom w:val="nil"/>
              <w:right w:val="nil"/>
            </w:tcBorders>
            <w:noWrap/>
            <w:hideMark/>
          </w:tcPr>
          <w:p w14:paraId="1BA286E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Year ended 30 June 2025</w:t>
            </w:r>
          </w:p>
        </w:tc>
        <w:tc>
          <w:tcPr>
            <w:tcW w:w="1646" w:type="dxa"/>
            <w:tcBorders>
              <w:top w:val="nil"/>
              <w:left w:val="nil"/>
              <w:bottom w:val="nil"/>
              <w:right w:val="nil"/>
            </w:tcBorders>
            <w:noWrap/>
            <w:hideMark/>
          </w:tcPr>
          <w:p w14:paraId="451D83E9" w14:textId="79CDE109" w:rsidR="008D0DAB" w:rsidRPr="00F65403" w:rsidRDefault="008C4543"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26 October</w:t>
            </w:r>
            <w:r w:rsidR="008D0DAB" w:rsidRPr="00F65403">
              <w:rPr>
                <w:rFonts w:eastAsia="Times New Roman" w:cs="Arial"/>
                <w:b/>
                <w:color w:val="000000"/>
                <w:sz w:val="20"/>
                <w:szCs w:val="20"/>
                <w:lang w:eastAsia="en-AU"/>
              </w:rPr>
              <w:t xml:space="preserve"> 2023 to 30 June 2024</w:t>
            </w:r>
          </w:p>
        </w:tc>
      </w:tr>
      <w:tr w:rsidR="008D0DAB" w:rsidRPr="003D420E" w14:paraId="0B06DBB3" w14:textId="77777777" w:rsidTr="413EB596">
        <w:tc>
          <w:tcPr>
            <w:tcW w:w="5757" w:type="dxa"/>
            <w:tcBorders>
              <w:top w:val="nil"/>
              <w:left w:val="nil"/>
              <w:bottom w:val="nil"/>
              <w:right w:val="nil"/>
            </w:tcBorders>
            <w:noWrap/>
            <w:vAlign w:val="bottom"/>
            <w:hideMark/>
          </w:tcPr>
          <w:p w14:paraId="6000F85C"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1623" w:type="dxa"/>
            <w:tcBorders>
              <w:top w:val="nil"/>
              <w:left w:val="nil"/>
              <w:bottom w:val="nil"/>
              <w:right w:val="nil"/>
            </w:tcBorders>
            <w:noWrap/>
            <w:hideMark/>
          </w:tcPr>
          <w:p w14:paraId="2044D26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646" w:type="dxa"/>
            <w:tcBorders>
              <w:top w:val="nil"/>
              <w:left w:val="nil"/>
              <w:bottom w:val="nil"/>
              <w:right w:val="nil"/>
            </w:tcBorders>
            <w:noWrap/>
            <w:hideMark/>
          </w:tcPr>
          <w:p w14:paraId="0B49030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3D420E" w14:paraId="688AB197" w14:textId="77777777" w:rsidTr="413EB596">
        <w:tc>
          <w:tcPr>
            <w:tcW w:w="5757" w:type="dxa"/>
            <w:tcBorders>
              <w:top w:val="nil"/>
              <w:left w:val="nil"/>
              <w:bottom w:val="nil"/>
              <w:right w:val="nil"/>
            </w:tcBorders>
            <w:noWrap/>
            <w:vAlign w:val="bottom"/>
            <w:hideMark/>
          </w:tcPr>
          <w:p w14:paraId="21270A91"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Net result for the period</w:t>
            </w:r>
          </w:p>
        </w:tc>
        <w:tc>
          <w:tcPr>
            <w:tcW w:w="1623" w:type="dxa"/>
            <w:tcBorders>
              <w:top w:val="nil"/>
              <w:left w:val="nil"/>
              <w:bottom w:val="nil"/>
              <w:right w:val="nil"/>
            </w:tcBorders>
            <w:noWrap/>
            <w:vAlign w:val="bottom"/>
            <w:hideMark/>
          </w:tcPr>
          <w:p w14:paraId="71CD1A6A" w14:textId="26F8F0F0" w:rsidR="008D0DAB" w:rsidRPr="00F65403" w:rsidRDefault="008D0DAB" w:rsidP="009B7B2A">
            <w:pPr>
              <w:tabs>
                <w:tab w:val="decimal" w:pos="110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(7,</w:t>
            </w:r>
            <w:r w:rsidR="0079387F" w:rsidRPr="413EB596">
              <w:rPr>
                <w:rFonts w:eastAsia="Times New Roman" w:cs="Arial"/>
                <w:color w:val="000000" w:themeColor="text1"/>
                <w:sz w:val="20"/>
                <w:szCs w:val="20"/>
                <w:lang w:eastAsia="en-AU"/>
              </w:rPr>
              <w:t>873</w:t>
            </w:r>
            <w:r w:rsidRPr="413EB596">
              <w:rPr>
                <w:rFonts w:eastAsia="Times New Roman" w:cs="Arial"/>
                <w:color w:val="000000" w:themeColor="text1"/>
                <w:sz w:val="20"/>
                <w:szCs w:val="20"/>
                <w:lang w:eastAsia="en-AU"/>
              </w:rPr>
              <w:t>)</w:t>
            </w:r>
          </w:p>
        </w:tc>
        <w:tc>
          <w:tcPr>
            <w:tcW w:w="1646" w:type="dxa"/>
            <w:tcBorders>
              <w:top w:val="nil"/>
              <w:left w:val="nil"/>
              <w:bottom w:val="nil"/>
              <w:right w:val="nil"/>
            </w:tcBorders>
            <w:noWrap/>
            <w:vAlign w:val="bottom"/>
            <w:hideMark/>
          </w:tcPr>
          <w:p w14:paraId="647B481F"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(5,439)</w:t>
            </w:r>
            <w:r w:rsidRPr="00F65403">
              <w:rPr>
                <w:rFonts w:eastAsia="Times New Roman" w:cs="Arial"/>
                <w:color w:val="000000"/>
                <w:sz w:val="20"/>
                <w:szCs w:val="20"/>
                <w:lang w:eastAsia="en-AU"/>
              </w:rPr>
              <w:t xml:space="preserve"> </w:t>
            </w:r>
          </w:p>
        </w:tc>
      </w:tr>
      <w:tr w:rsidR="008D0DAB" w:rsidRPr="003D420E" w14:paraId="42F7F895" w14:textId="77777777" w:rsidTr="413EB596">
        <w:tc>
          <w:tcPr>
            <w:tcW w:w="5757" w:type="dxa"/>
            <w:tcBorders>
              <w:top w:val="nil"/>
              <w:left w:val="nil"/>
              <w:bottom w:val="nil"/>
              <w:right w:val="nil"/>
            </w:tcBorders>
            <w:noWrap/>
            <w:vAlign w:val="bottom"/>
            <w:hideMark/>
          </w:tcPr>
          <w:p w14:paraId="2BCBD003"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Non-cash movements:</w:t>
            </w:r>
          </w:p>
        </w:tc>
        <w:tc>
          <w:tcPr>
            <w:tcW w:w="1623" w:type="dxa"/>
            <w:tcBorders>
              <w:top w:val="nil"/>
              <w:left w:val="nil"/>
              <w:bottom w:val="nil"/>
              <w:right w:val="nil"/>
            </w:tcBorders>
            <w:noWrap/>
            <w:vAlign w:val="bottom"/>
            <w:hideMark/>
          </w:tcPr>
          <w:p w14:paraId="44F7DAFB" w14:textId="77777777" w:rsidR="008D0DAB" w:rsidRPr="00F65403" w:rsidRDefault="008D0DAB" w:rsidP="009B7B2A">
            <w:pPr>
              <w:tabs>
                <w:tab w:val="decimal" w:pos="1100"/>
              </w:tabs>
              <w:spacing w:after="0" w:line="240" w:lineRule="auto"/>
              <w:rPr>
                <w:rFonts w:eastAsia="Times New Roman" w:cs="Arial"/>
                <w:sz w:val="20"/>
                <w:szCs w:val="20"/>
                <w:lang w:eastAsia="en-AU"/>
              </w:rPr>
            </w:pPr>
          </w:p>
        </w:tc>
        <w:tc>
          <w:tcPr>
            <w:tcW w:w="1646" w:type="dxa"/>
            <w:tcBorders>
              <w:top w:val="nil"/>
              <w:left w:val="nil"/>
              <w:bottom w:val="nil"/>
              <w:right w:val="nil"/>
            </w:tcBorders>
            <w:noWrap/>
            <w:vAlign w:val="bottom"/>
            <w:hideMark/>
          </w:tcPr>
          <w:p w14:paraId="7398AB7E" w14:textId="77777777" w:rsidR="008D0DAB" w:rsidRPr="00F65403" w:rsidRDefault="008D0DAB" w:rsidP="009B7B2A">
            <w:pPr>
              <w:tabs>
                <w:tab w:val="decimal" w:pos="958"/>
              </w:tabs>
              <w:spacing w:after="0" w:line="240" w:lineRule="auto"/>
              <w:rPr>
                <w:rFonts w:eastAsia="Times New Roman" w:cs="Arial"/>
                <w:sz w:val="20"/>
                <w:szCs w:val="20"/>
                <w:lang w:eastAsia="en-AU"/>
              </w:rPr>
            </w:pPr>
          </w:p>
        </w:tc>
      </w:tr>
      <w:tr w:rsidR="008D0DAB" w:rsidRPr="003D420E" w14:paraId="3E5FC7AD" w14:textId="77777777" w:rsidTr="413EB596">
        <w:tc>
          <w:tcPr>
            <w:tcW w:w="5757" w:type="dxa"/>
            <w:tcBorders>
              <w:top w:val="nil"/>
              <w:left w:val="nil"/>
              <w:bottom w:val="nil"/>
              <w:right w:val="nil"/>
            </w:tcBorders>
            <w:noWrap/>
            <w:vAlign w:val="bottom"/>
          </w:tcPr>
          <w:p w14:paraId="3E08570D" w14:textId="124DC61F"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Share of net loss of joint ventures accounted for using the equity method</w:t>
            </w:r>
          </w:p>
        </w:tc>
        <w:tc>
          <w:tcPr>
            <w:tcW w:w="1623" w:type="dxa"/>
            <w:tcBorders>
              <w:top w:val="nil"/>
              <w:left w:val="nil"/>
              <w:bottom w:val="nil"/>
              <w:right w:val="nil"/>
            </w:tcBorders>
            <w:noWrap/>
            <w:vAlign w:val="bottom"/>
          </w:tcPr>
          <w:p w14:paraId="61006F47" w14:textId="77777777" w:rsidR="008D0DAB" w:rsidRPr="00F65403" w:rsidRDefault="008D0DAB" w:rsidP="009B7B2A">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7,779</w:t>
            </w:r>
          </w:p>
        </w:tc>
        <w:tc>
          <w:tcPr>
            <w:tcW w:w="1646" w:type="dxa"/>
            <w:tcBorders>
              <w:top w:val="nil"/>
              <w:left w:val="nil"/>
              <w:bottom w:val="nil"/>
              <w:right w:val="nil"/>
            </w:tcBorders>
            <w:noWrap/>
            <w:vAlign w:val="bottom"/>
          </w:tcPr>
          <w:p w14:paraId="68B9E3A9"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5,409</w:t>
            </w:r>
          </w:p>
        </w:tc>
      </w:tr>
      <w:tr w:rsidR="008D0DAB" w:rsidRPr="003D420E" w14:paraId="0C3134F6" w14:textId="77777777" w:rsidTr="413EB596">
        <w:tc>
          <w:tcPr>
            <w:tcW w:w="5757" w:type="dxa"/>
            <w:tcBorders>
              <w:top w:val="nil"/>
              <w:left w:val="nil"/>
              <w:bottom w:val="nil"/>
              <w:right w:val="nil"/>
            </w:tcBorders>
            <w:noWrap/>
            <w:vAlign w:val="bottom"/>
            <w:hideMark/>
          </w:tcPr>
          <w:p w14:paraId="7B7C064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1623" w:type="dxa"/>
            <w:tcBorders>
              <w:top w:val="nil"/>
              <w:left w:val="nil"/>
              <w:bottom w:val="nil"/>
              <w:right w:val="nil"/>
            </w:tcBorders>
            <w:noWrap/>
            <w:vAlign w:val="bottom"/>
            <w:hideMark/>
          </w:tcPr>
          <w:p w14:paraId="600A7244" w14:textId="77777777" w:rsidR="008D0DAB" w:rsidRPr="00F65403" w:rsidRDefault="008D0DAB" w:rsidP="009B7B2A">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120</w:t>
            </w:r>
            <w:r w:rsidRPr="00F65403">
              <w:rPr>
                <w:rFonts w:eastAsia="Times New Roman" w:cs="Arial"/>
                <w:color w:val="000000"/>
                <w:sz w:val="20"/>
                <w:szCs w:val="20"/>
                <w:lang w:eastAsia="en-AU"/>
              </w:rPr>
              <w:t xml:space="preserve"> </w:t>
            </w:r>
          </w:p>
        </w:tc>
        <w:tc>
          <w:tcPr>
            <w:tcW w:w="1646" w:type="dxa"/>
            <w:tcBorders>
              <w:top w:val="nil"/>
              <w:left w:val="nil"/>
              <w:bottom w:val="nil"/>
              <w:right w:val="nil"/>
            </w:tcBorders>
            <w:noWrap/>
            <w:vAlign w:val="bottom"/>
            <w:hideMark/>
          </w:tcPr>
          <w:p w14:paraId="0BCE80D5"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8D0DAB" w:rsidRPr="003D420E" w14:paraId="4C10CA58" w14:textId="77777777" w:rsidTr="413EB596">
        <w:tc>
          <w:tcPr>
            <w:tcW w:w="5757" w:type="dxa"/>
            <w:tcBorders>
              <w:top w:val="nil"/>
              <w:left w:val="nil"/>
              <w:bottom w:val="nil"/>
              <w:right w:val="nil"/>
            </w:tcBorders>
            <w:noWrap/>
            <w:vAlign w:val="bottom"/>
            <w:hideMark/>
          </w:tcPr>
          <w:p w14:paraId="56C98314" w14:textId="77777777" w:rsidR="008D0DAB" w:rsidRPr="00F65403" w:rsidRDefault="008D0DAB" w:rsidP="009B7B2A">
            <w:pPr>
              <w:spacing w:after="0" w:line="240" w:lineRule="auto"/>
              <w:rPr>
                <w:rFonts w:eastAsia="Times New Roman" w:cs="Arial"/>
                <w:color w:val="000000"/>
                <w:sz w:val="20"/>
                <w:szCs w:val="20"/>
                <w:lang w:eastAsia="en-AU"/>
              </w:rPr>
            </w:pPr>
          </w:p>
        </w:tc>
        <w:tc>
          <w:tcPr>
            <w:tcW w:w="1623" w:type="dxa"/>
            <w:tcBorders>
              <w:top w:val="nil"/>
              <w:left w:val="nil"/>
              <w:bottom w:val="nil"/>
              <w:right w:val="nil"/>
            </w:tcBorders>
            <w:noWrap/>
            <w:vAlign w:val="bottom"/>
            <w:hideMark/>
          </w:tcPr>
          <w:p w14:paraId="0BB67B92" w14:textId="77777777" w:rsidR="008D0DAB" w:rsidRPr="00F65403" w:rsidRDefault="008D0DAB" w:rsidP="009B7B2A">
            <w:pPr>
              <w:tabs>
                <w:tab w:val="decimal" w:pos="1100"/>
              </w:tabs>
              <w:spacing w:after="0" w:line="240" w:lineRule="auto"/>
              <w:rPr>
                <w:rFonts w:eastAsia="Times New Roman" w:cs="Arial"/>
                <w:sz w:val="20"/>
                <w:szCs w:val="20"/>
                <w:lang w:eastAsia="en-AU"/>
              </w:rPr>
            </w:pPr>
          </w:p>
        </w:tc>
        <w:tc>
          <w:tcPr>
            <w:tcW w:w="1646" w:type="dxa"/>
            <w:tcBorders>
              <w:top w:val="nil"/>
              <w:left w:val="nil"/>
              <w:bottom w:val="nil"/>
              <w:right w:val="nil"/>
            </w:tcBorders>
            <w:noWrap/>
            <w:vAlign w:val="bottom"/>
            <w:hideMark/>
          </w:tcPr>
          <w:p w14:paraId="72AF59B1" w14:textId="77777777" w:rsidR="008D0DAB" w:rsidRPr="00F65403" w:rsidRDefault="008D0DAB" w:rsidP="009B7B2A">
            <w:pPr>
              <w:tabs>
                <w:tab w:val="decimal" w:pos="958"/>
              </w:tabs>
              <w:spacing w:after="0" w:line="240" w:lineRule="auto"/>
              <w:rPr>
                <w:rFonts w:eastAsia="Times New Roman" w:cs="Arial"/>
                <w:sz w:val="20"/>
                <w:szCs w:val="20"/>
                <w:lang w:eastAsia="en-AU"/>
              </w:rPr>
            </w:pPr>
          </w:p>
        </w:tc>
      </w:tr>
      <w:tr w:rsidR="008D0DAB" w:rsidRPr="003D420E" w14:paraId="63C062EB" w14:textId="77777777" w:rsidTr="413EB596">
        <w:tc>
          <w:tcPr>
            <w:tcW w:w="5757" w:type="dxa"/>
            <w:tcBorders>
              <w:top w:val="nil"/>
              <w:left w:val="nil"/>
              <w:bottom w:val="nil"/>
              <w:right w:val="nil"/>
            </w:tcBorders>
            <w:noWrap/>
            <w:vAlign w:val="bottom"/>
            <w:hideMark/>
          </w:tcPr>
          <w:p w14:paraId="3B2F734D"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Movements in assets and liabilities:</w:t>
            </w:r>
          </w:p>
        </w:tc>
        <w:tc>
          <w:tcPr>
            <w:tcW w:w="1623" w:type="dxa"/>
            <w:tcBorders>
              <w:top w:val="nil"/>
              <w:left w:val="nil"/>
              <w:bottom w:val="nil"/>
              <w:right w:val="nil"/>
            </w:tcBorders>
            <w:noWrap/>
            <w:vAlign w:val="bottom"/>
            <w:hideMark/>
          </w:tcPr>
          <w:p w14:paraId="266728F1" w14:textId="77777777" w:rsidR="008D0DAB" w:rsidRPr="00F65403" w:rsidRDefault="008D0DAB" w:rsidP="009B7B2A">
            <w:pPr>
              <w:tabs>
                <w:tab w:val="decimal" w:pos="1100"/>
              </w:tabs>
              <w:spacing w:after="0" w:line="240" w:lineRule="auto"/>
              <w:rPr>
                <w:rFonts w:eastAsia="Times New Roman" w:cs="Arial"/>
                <w:sz w:val="20"/>
                <w:szCs w:val="20"/>
                <w:lang w:eastAsia="en-AU"/>
              </w:rPr>
            </w:pPr>
          </w:p>
        </w:tc>
        <w:tc>
          <w:tcPr>
            <w:tcW w:w="1646" w:type="dxa"/>
            <w:tcBorders>
              <w:top w:val="nil"/>
              <w:left w:val="nil"/>
              <w:bottom w:val="nil"/>
              <w:right w:val="nil"/>
            </w:tcBorders>
            <w:noWrap/>
            <w:vAlign w:val="bottom"/>
            <w:hideMark/>
          </w:tcPr>
          <w:p w14:paraId="5E9A6277" w14:textId="77777777" w:rsidR="008D0DAB" w:rsidRPr="00F65403" w:rsidRDefault="008D0DAB" w:rsidP="009B7B2A">
            <w:pPr>
              <w:tabs>
                <w:tab w:val="decimal" w:pos="958"/>
              </w:tabs>
              <w:spacing w:after="0" w:line="240" w:lineRule="auto"/>
              <w:rPr>
                <w:rFonts w:eastAsia="Times New Roman" w:cs="Arial"/>
                <w:sz w:val="20"/>
                <w:szCs w:val="20"/>
                <w:lang w:eastAsia="en-AU"/>
              </w:rPr>
            </w:pPr>
          </w:p>
        </w:tc>
      </w:tr>
      <w:tr w:rsidR="008D0DAB" w:rsidRPr="003D420E" w14:paraId="37B872B3" w14:textId="77777777" w:rsidTr="413EB596">
        <w:tc>
          <w:tcPr>
            <w:tcW w:w="5757" w:type="dxa"/>
            <w:tcBorders>
              <w:top w:val="nil"/>
              <w:left w:val="nil"/>
              <w:bottom w:val="nil"/>
              <w:right w:val="nil"/>
            </w:tcBorders>
            <w:noWrap/>
            <w:vAlign w:val="bottom"/>
            <w:hideMark/>
          </w:tcPr>
          <w:p w14:paraId="669FBC97"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Decrease/(Increase) in receivables</w:t>
            </w:r>
          </w:p>
        </w:tc>
        <w:tc>
          <w:tcPr>
            <w:tcW w:w="1623" w:type="dxa"/>
            <w:tcBorders>
              <w:top w:val="nil"/>
              <w:left w:val="nil"/>
              <w:bottom w:val="nil"/>
              <w:right w:val="nil"/>
            </w:tcBorders>
            <w:noWrap/>
            <w:vAlign w:val="bottom"/>
            <w:hideMark/>
          </w:tcPr>
          <w:p w14:paraId="1912EA4A" w14:textId="4CB65725" w:rsidR="008D0DAB" w:rsidRPr="00F65403" w:rsidRDefault="008D0DAB" w:rsidP="009B7B2A">
            <w:pPr>
              <w:tabs>
                <w:tab w:val="decimal" w:pos="1100"/>
              </w:tabs>
              <w:spacing w:after="0" w:line="240" w:lineRule="auto"/>
              <w:rPr>
                <w:rFonts w:eastAsia="Times New Roman" w:cs="Arial"/>
                <w:sz w:val="20"/>
                <w:szCs w:val="20"/>
                <w:lang w:eastAsia="en-AU"/>
              </w:rPr>
            </w:pPr>
            <w:r w:rsidRPr="413EB596">
              <w:rPr>
                <w:rFonts w:cs="Arial"/>
                <w:color w:val="000000" w:themeColor="text1"/>
                <w:sz w:val="20"/>
                <w:szCs w:val="20"/>
              </w:rPr>
              <w:t>(</w:t>
            </w:r>
            <w:r w:rsidR="00C55C50" w:rsidRPr="413EB596">
              <w:rPr>
                <w:rFonts w:cs="Arial"/>
                <w:color w:val="000000" w:themeColor="text1"/>
                <w:sz w:val="20"/>
                <w:szCs w:val="20"/>
              </w:rPr>
              <w:t>2,7</w:t>
            </w:r>
            <w:r w:rsidR="005D7806">
              <w:rPr>
                <w:rFonts w:cs="Arial"/>
                <w:color w:val="000000" w:themeColor="text1"/>
                <w:sz w:val="20"/>
                <w:szCs w:val="20"/>
              </w:rPr>
              <w:t>39</w:t>
            </w:r>
            <w:r w:rsidRPr="413EB596">
              <w:rPr>
                <w:rFonts w:cs="Arial"/>
                <w:color w:val="000000" w:themeColor="text1"/>
                <w:sz w:val="20"/>
                <w:szCs w:val="20"/>
              </w:rPr>
              <w:t>)</w:t>
            </w:r>
          </w:p>
        </w:tc>
        <w:tc>
          <w:tcPr>
            <w:tcW w:w="1646" w:type="dxa"/>
            <w:tcBorders>
              <w:top w:val="nil"/>
              <w:left w:val="nil"/>
              <w:bottom w:val="nil"/>
              <w:right w:val="nil"/>
            </w:tcBorders>
            <w:noWrap/>
            <w:vAlign w:val="bottom"/>
            <w:hideMark/>
          </w:tcPr>
          <w:p w14:paraId="05B2CEE9"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5D7806" w:rsidRPr="003D420E" w14:paraId="07BE1A05" w14:textId="77777777" w:rsidTr="413EB596">
        <w:tc>
          <w:tcPr>
            <w:tcW w:w="5757" w:type="dxa"/>
            <w:tcBorders>
              <w:top w:val="nil"/>
              <w:left w:val="nil"/>
              <w:bottom w:val="nil"/>
              <w:right w:val="nil"/>
            </w:tcBorders>
            <w:noWrap/>
            <w:vAlign w:val="bottom"/>
          </w:tcPr>
          <w:p w14:paraId="78F520FA" w14:textId="0537C482" w:rsidR="005D7806" w:rsidRPr="00F65403" w:rsidRDefault="005D7806"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Decrease/(Increase) in </w:t>
            </w:r>
            <w:r>
              <w:rPr>
                <w:rFonts w:eastAsia="Times New Roman" w:cs="Arial"/>
                <w:color w:val="000000"/>
                <w:sz w:val="20"/>
                <w:szCs w:val="20"/>
                <w:lang w:eastAsia="en-AU"/>
              </w:rPr>
              <w:t>deferred tax assets</w:t>
            </w:r>
          </w:p>
        </w:tc>
        <w:tc>
          <w:tcPr>
            <w:tcW w:w="1623" w:type="dxa"/>
            <w:tcBorders>
              <w:top w:val="nil"/>
              <w:left w:val="nil"/>
              <w:bottom w:val="nil"/>
              <w:right w:val="nil"/>
            </w:tcBorders>
            <w:noWrap/>
            <w:vAlign w:val="bottom"/>
          </w:tcPr>
          <w:p w14:paraId="6EFF1E23" w14:textId="7E2C8EAF" w:rsidR="005D7806" w:rsidRPr="413EB596" w:rsidRDefault="005D7806" w:rsidP="009B7B2A">
            <w:pPr>
              <w:tabs>
                <w:tab w:val="decimal" w:pos="1100"/>
              </w:tabs>
              <w:spacing w:after="0" w:line="240" w:lineRule="auto"/>
              <w:rPr>
                <w:rFonts w:cs="Arial"/>
                <w:color w:val="000000" w:themeColor="text1"/>
                <w:sz w:val="20"/>
                <w:szCs w:val="20"/>
              </w:rPr>
            </w:pPr>
            <w:r>
              <w:rPr>
                <w:rFonts w:cs="Arial"/>
                <w:color w:val="000000" w:themeColor="text1"/>
                <w:sz w:val="20"/>
                <w:szCs w:val="20"/>
              </w:rPr>
              <w:t>9</w:t>
            </w:r>
          </w:p>
        </w:tc>
        <w:tc>
          <w:tcPr>
            <w:tcW w:w="1646" w:type="dxa"/>
            <w:tcBorders>
              <w:top w:val="nil"/>
              <w:left w:val="nil"/>
              <w:bottom w:val="nil"/>
              <w:right w:val="nil"/>
            </w:tcBorders>
            <w:noWrap/>
            <w:vAlign w:val="bottom"/>
          </w:tcPr>
          <w:p w14:paraId="4C3426B7" w14:textId="5518224A" w:rsidR="005D7806" w:rsidRDefault="005D7806"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DC5C41" w:rsidRPr="003D420E" w14:paraId="521398FF" w14:textId="77777777" w:rsidTr="413EB596">
        <w:tc>
          <w:tcPr>
            <w:tcW w:w="5757" w:type="dxa"/>
            <w:tcBorders>
              <w:top w:val="nil"/>
              <w:left w:val="nil"/>
              <w:bottom w:val="nil"/>
              <w:right w:val="nil"/>
            </w:tcBorders>
            <w:noWrap/>
            <w:vAlign w:val="bottom"/>
            <w:hideMark/>
          </w:tcPr>
          <w:p w14:paraId="3A14FD64" w14:textId="77777777" w:rsidR="00DC5C41" w:rsidRPr="00F65403" w:rsidRDefault="00DC5C41" w:rsidP="00DC5C41">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Increase/(Decrease) in payables</w:t>
            </w:r>
          </w:p>
        </w:tc>
        <w:tc>
          <w:tcPr>
            <w:tcW w:w="1623" w:type="dxa"/>
            <w:tcBorders>
              <w:top w:val="nil"/>
              <w:left w:val="nil"/>
              <w:bottom w:val="nil"/>
              <w:right w:val="nil"/>
            </w:tcBorders>
            <w:noWrap/>
            <w:vAlign w:val="bottom"/>
            <w:hideMark/>
          </w:tcPr>
          <w:p w14:paraId="5249C04A" w14:textId="7F6C45FB" w:rsidR="00DC5C41" w:rsidRPr="00F65403" w:rsidRDefault="005D7806" w:rsidP="00DC5C41">
            <w:pPr>
              <w:tabs>
                <w:tab w:val="decimal" w:pos="1100"/>
              </w:tabs>
              <w:spacing w:after="0" w:line="240" w:lineRule="auto"/>
              <w:rPr>
                <w:rFonts w:eastAsia="Times New Roman" w:cs="Arial"/>
                <w:sz w:val="20"/>
                <w:szCs w:val="20"/>
                <w:lang w:eastAsia="en-AU"/>
              </w:rPr>
            </w:pPr>
            <w:r>
              <w:rPr>
                <w:rFonts w:cs="Arial"/>
                <w:color w:val="000000"/>
                <w:sz w:val="20"/>
                <w:szCs w:val="20"/>
              </w:rPr>
              <w:t>155</w:t>
            </w:r>
          </w:p>
        </w:tc>
        <w:tc>
          <w:tcPr>
            <w:tcW w:w="1646" w:type="dxa"/>
            <w:tcBorders>
              <w:top w:val="nil"/>
              <w:left w:val="nil"/>
              <w:bottom w:val="nil"/>
              <w:right w:val="nil"/>
            </w:tcBorders>
            <w:noWrap/>
            <w:vAlign w:val="bottom"/>
            <w:hideMark/>
          </w:tcPr>
          <w:p w14:paraId="7262C45A" w14:textId="77777777" w:rsidR="00DC5C41" w:rsidRPr="00F65403" w:rsidRDefault="00DC5C41" w:rsidP="00DC5C41">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p>
        </w:tc>
      </w:tr>
      <w:tr w:rsidR="00DC5C41" w:rsidRPr="002C760A" w14:paraId="6BE7E5C2" w14:textId="77777777" w:rsidTr="413EB596">
        <w:tc>
          <w:tcPr>
            <w:tcW w:w="5757" w:type="dxa"/>
            <w:tcBorders>
              <w:top w:val="single" w:sz="4" w:space="0" w:color="auto"/>
              <w:left w:val="nil"/>
              <w:bottom w:val="single" w:sz="4" w:space="0" w:color="auto"/>
              <w:right w:val="nil"/>
            </w:tcBorders>
            <w:noWrap/>
            <w:vAlign w:val="bottom"/>
          </w:tcPr>
          <w:p w14:paraId="54E1427B" w14:textId="06C98D2F" w:rsidR="00DC5C41" w:rsidRPr="00F65403" w:rsidRDefault="00DC5C41" w:rsidP="00DC5C41">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cash flows used in operating activities</w:t>
            </w:r>
          </w:p>
        </w:tc>
        <w:tc>
          <w:tcPr>
            <w:tcW w:w="1623" w:type="dxa"/>
            <w:tcBorders>
              <w:top w:val="single" w:sz="4" w:space="0" w:color="auto"/>
              <w:left w:val="nil"/>
              <w:bottom w:val="single" w:sz="4" w:space="0" w:color="auto"/>
              <w:right w:val="nil"/>
            </w:tcBorders>
            <w:noWrap/>
            <w:vAlign w:val="bottom"/>
          </w:tcPr>
          <w:p w14:paraId="60C04C56" w14:textId="7D39E617" w:rsidR="00DC5C41" w:rsidRPr="00F65403" w:rsidRDefault="00DC5C41" w:rsidP="00DC5C41">
            <w:pPr>
              <w:tabs>
                <w:tab w:val="decimal" w:pos="1100"/>
              </w:tabs>
              <w:spacing w:after="0" w:line="240" w:lineRule="auto"/>
              <w:rPr>
                <w:rFonts w:eastAsia="Times New Roman" w:cs="Arial"/>
                <w:sz w:val="20"/>
                <w:szCs w:val="20"/>
                <w:lang w:eastAsia="en-AU"/>
              </w:rPr>
            </w:pPr>
            <w:r>
              <w:rPr>
                <w:rFonts w:eastAsia="Times New Roman" w:cs="Arial"/>
                <w:b/>
                <w:color w:val="000000"/>
                <w:sz w:val="20"/>
                <w:szCs w:val="20"/>
                <w:lang w:eastAsia="en-AU"/>
              </w:rPr>
              <w:t>(2,54</w:t>
            </w:r>
            <w:r w:rsidR="005D7806">
              <w:rPr>
                <w:rFonts w:eastAsia="Times New Roman" w:cs="Arial"/>
                <w:b/>
                <w:color w:val="000000"/>
                <w:sz w:val="20"/>
                <w:szCs w:val="20"/>
                <w:lang w:eastAsia="en-AU"/>
              </w:rPr>
              <w:t>9</w:t>
            </w:r>
            <w:r>
              <w:rPr>
                <w:rFonts w:eastAsia="Times New Roman" w:cs="Arial"/>
                <w:b/>
                <w:color w:val="000000"/>
                <w:sz w:val="20"/>
                <w:szCs w:val="20"/>
                <w:lang w:eastAsia="en-AU"/>
              </w:rPr>
              <w:t>)</w:t>
            </w:r>
          </w:p>
        </w:tc>
        <w:tc>
          <w:tcPr>
            <w:tcW w:w="1646" w:type="dxa"/>
            <w:tcBorders>
              <w:top w:val="single" w:sz="4" w:space="0" w:color="auto"/>
              <w:left w:val="nil"/>
              <w:bottom w:val="single" w:sz="4" w:space="0" w:color="auto"/>
              <w:right w:val="nil"/>
            </w:tcBorders>
            <w:noWrap/>
            <w:vAlign w:val="bottom"/>
          </w:tcPr>
          <w:p w14:paraId="4C3D6F69" w14:textId="77777777" w:rsidR="00DC5C41" w:rsidRPr="00F65403" w:rsidRDefault="00DC5C41" w:rsidP="00DC5C41">
            <w:pPr>
              <w:tabs>
                <w:tab w:val="decimal" w:pos="958"/>
              </w:tabs>
              <w:spacing w:after="0" w:line="240" w:lineRule="auto"/>
              <w:rPr>
                <w:rFonts w:eastAsia="Times New Roman" w:cs="Arial"/>
                <w:color w:val="000000"/>
                <w:sz w:val="20"/>
                <w:szCs w:val="20"/>
                <w:lang w:eastAsia="en-AU"/>
              </w:rPr>
            </w:pPr>
            <w:r>
              <w:rPr>
                <w:rFonts w:eastAsia="Times New Roman" w:cs="Arial"/>
                <w:b/>
                <w:color w:val="000000"/>
                <w:sz w:val="20"/>
                <w:szCs w:val="20"/>
                <w:lang w:eastAsia="en-AU"/>
              </w:rPr>
              <w:t>-</w:t>
            </w:r>
            <w:r w:rsidRPr="00F65403">
              <w:rPr>
                <w:rFonts w:eastAsia="Times New Roman" w:cs="Arial"/>
                <w:b/>
                <w:color w:val="000000"/>
                <w:sz w:val="20"/>
                <w:szCs w:val="20"/>
                <w:lang w:eastAsia="en-AU"/>
              </w:rPr>
              <w:t xml:space="preserve"> </w:t>
            </w:r>
          </w:p>
        </w:tc>
      </w:tr>
    </w:tbl>
    <w:p w14:paraId="3A6642C8" w14:textId="119BD440" w:rsidR="002D2475" w:rsidRPr="00AA3AC5" w:rsidRDefault="002D2475" w:rsidP="008D0DAB">
      <w:pPr>
        <w:pStyle w:val="BodyText"/>
        <w:rPr>
          <w:sz w:val="22"/>
          <w:szCs w:val="22"/>
          <w:lang w:val="en-AU"/>
        </w:rPr>
      </w:pPr>
    </w:p>
    <w:p w14:paraId="001CBD84" w14:textId="77777777" w:rsidR="008D0DAB" w:rsidRPr="00AA3AC5" w:rsidRDefault="008D0DAB" w:rsidP="008D0DAB">
      <w:pPr>
        <w:pStyle w:val="Heading8"/>
        <w:rPr>
          <w:sz w:val="12"/>
          <w:szCs w:val="14"/>
        </w:rPr>
      </w:pPr>
      <w:r>
        <w:t>iii.</w:t>
      </w:r>
      <w:r>
        <w:tab/>
        <w:t>Reconciliation of change in liabilities from financing activities</w:t>
      </w:r>
      <w:r>
        <w:br/>
      </w:r>
    </w:p>
    <w:tbl>
      <w:tblPr>
        <w:tblW w:w="5000" w:type="pct"/>
        <w:tblCellMar>
          <w:top w:w="28" w:type="dxa"/>
          <w:left w:w="28" w:type="dxa"/>
          <w:bottom w:w="28" w:type="dxa"/>
          <w:right w:w="28" w:type="dxa"/>
        </w:tblCellMar>
        <w:tblLook w:val="04A0" w:firstRow="1" w:lastRow="0" w:firstColumn="1" w:lastColumn="0" w:noHBand="0" w:noVBand="1"/>
      </w:tblPr>
      <w:tblGrid>
        <w:gridCol w:w="3274"/>
        <w:gridCol w:w="1437"/>
        <w:gridCol w:w="1439"/>
        <w:gridCol w:w="1439"/>
        <w:gridCol w:w="1437"/>
      </w:tblGrid>
      <w:tr w:rsidR="008D0DAB" w:rsidRPr="006035DB" w14:paraId="57CB38B0" w14:textId="77777777" w:rsidTr="413EB596">
        <w:tc>
          <w:tcPr>
            <w:tcW w:w="1814" w:type="pct"/>
            <w:tcBorders>
              <w:top w:val="nil"/>
              <w:left w:val="nil"/>
              <w:bottom w:val="nil"/>
              <w:right w:val="nil"/>
            </w:tcBorders>
            <w:noWrap/>
            <w:vAlign w:val="bottom"/>
            <w:hideMark/>
          </w:tcPr>
          <w:p w14:paraId="699F0FAC" w14:textId="77777777" w:rsidR="008D0DAB" w:rsidRPr="00F65403" w:rsidRDefault="008D0DAB" w:rsidP="009B7B2A">
            <w:pPr>
              <w:spacing w:after="0" w:line="240" w:lineRule="auto"/>
              <w:rPr>
                <w:rFonts w:eastAsia="Times New Roman" w:cs="Arial"/>
                <w:b/>
                <w:sz w:val="20"/>
                <w:szCs w:val="20"/>
                <w:lang w:eastAsia="en-AU"/>
              </w:rPr>
            </w:pPr>
            <w:r w:rsidRPr="00F65403">
              <w:rPr>
                <w:rFonts w:eastAsia="Times New Roman" w:cs="Arial"/>
                <w:b/>
                <w:sz w:val="20"/>
                <w:szCs w:val="20"/>
                <w:lang w:eastAsia="en-AU"/>
              </w:rPr>
              <w:t>2025</w:t>
            </w:r>
          </w:p>
        </w:tc>
        <w:tc>
          <w:tcPr>
            <w:tcW w:w="796" w:type="pct"/>
            <w:tcBorders>
              <w:top w:val="nil"/>
              <w:left w:val="nil"/>
              <w:bottom w:val="nil"/>
              <w:right w:val="nil"/>
            </w:tcBorders>
            <w:vAlign w:val="bottom"/>
            <w:hideMark/>
          </w:tcPr>
          <w:p w14:paraId="1629257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Balance at beginning of financial year</w:t>
            </w:r>
          </w:p>
        </w:tc>
        <w:tc>
          <w:tcPr>
            <w:tcW w:w="797" w:type="pct"/>
            <w:tcBorders>
              <w:top w:val="nil"/>
              <w:left w:val="nil"/>
              <w:bottom w:val="nil"/>
              <w:right w:val="nil"/>
            </w:tcBorders>
            <w:vAlign w:val="bottom"/>
            <w:hideMark/>
          </w:tcPr>
          <w:p w14:paraId="438ED7E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Net proceeds/ (repayments)</w:t>
            </w:r>
          </w:p>
        </w:tc>
        <w:tc>
          <w:tcPr>
            <w:tcW w:w="797" w:type="pct"/>
            <w:tcBorders>
              <w:top w:val="nil"/>
              <w:left w:val="nil"/>
              <w:bottom w:val="nil"/>
              <w:right w:val="nil"/>
            </w:tcBorders>
            <w:vAlign w:val="bottom"/>
            <w:hideMark/>
          </w:tcPr>
          <w:p w14:paraId="59FE00C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Non</w:t>
            </w:r>
            <w:r>
              <w:rPr>
                <w:rFonts w:eastAsia="Times New Roman" w:cs="Arial"/>
                <w:b/>
                <w:color w:val="000000"/>
                <w:sz w:val="20"/>
                <w:szCs w:val="20"/>
                <w:lang w:eastAsia="en-AU"/>
              </w:rPr>
              <w:t>-</w:t>
            </w:r>
            <w:r w:rsidRPr="00F65403">
              <w:rPr>
                <w:rFonts w:eastAsia="Times New Roman" w:cs="Arial"/>
                <w:b/>
                <w:color w:val="000000"/>
                <w:sz w:val="20"/>
                <w:szCs w:val="20"/>
                <w:lang w:eastAsia="en-AU"/>
              </w:rPr>
              <w:t>cash movements</w:t>
            </w:r>
          </w:p>
        </w:tc>
        <w:tc>
          <w:tcPr>
            <w:tcW w:w="796" w:type="pct"/>
            <w:tcBorders>
              <w:top w:val="nil"/>
              <w:left w:val="nil"/>
              <w:bottom w:val="nil"/>
              <w:right w:val="nil"/>
            </w:tcBorders>
            <w:vAlign w:val="bottom"/>
            <w:hideMark/>
          </w:tcPr>
          <w:p w14:paraId="006FB04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Balance at end of financial </w:t>
            </w:r>
            <w:r w:rsidRPr="00F65403">
              <w:rPr>
                <w:rFonts w:eastAsia="Times New Roman" w:cs="Arial"/>
                <w:b/>
                <w:color w:val="000000"/>
                <w:sz w:val="20"/>
                <w:szCs w:val="20"/>
                <w:lang w:eastAsia="en-AU"/>
              </w:rPr>
              <w:br/>
              <w:t>year</w:t>
            </w:r>
          </w:p>
        </w:tc>
      </w:tr>
      <w:tr w:rsidR="008D0DAB" w:rsidRPr="006035DB" w14:paraId="28A0371A" w14:textId="77777777" w:rsidTr="413EB596">
        <w:tc>
          <w:tcPr>
            <w:tcW w:w="1814" w:type="pct"/>
            <w:tcBorders>
              <w:top w:val="nil"/>
              <w:left w:val="nil"/>
              <w:bottom w:val="nil"/>
              <w:right w:val="nil"/>
            </w:tcBorders>
            <w:noWrap/>
            <w:vAlign w:val="bottom"/>
            <w:hideMark/>
          </w:tcPr>
          <w:p w14:paraId="2A4A930E"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96" w:type="pct"/>
            <w:tcBorders>
              <w:top w:val="nil"/>
              <w:left w:val="nil"/>
              <w:bottom w:val="nil"/>
              <w:right w:val="nil"/>
            </w:tcBorders>
            <w:noWrap/>
            <w:vAlign w:val="bottom"/>
            <w:hideMark/>
          </w:tcPr>
          <w:p w14:paraId="09F83A3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7" w:type="pct"/>
            <w:tcBorders>
              <w:top w:val="nil"/>
              <w:left w:val="nil"/>
              <w:bottom w:val="nil"/>
              <w:right w:val="nil"/>
            </w:tcBorders>
            <w:noWrap/>
            <w:vAlign w:val="bottom"/>
            <w:hideMark/>
          </w:tcPr>
          <w:p w14:paraId="12DEC17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7" w:type="pct"/>
            <w:tcBorders>
              <w:top w:val="nil"/>
              <w:left w:val="nil"/>
              <w:bottom w:val="nil"/>
              <w:right w:val="nil"/>
            </w:tcBorders>
            <w:noWrap/>
            <w:vAlign w:val="bottom"/>
            <w:hideMark/>
          </w:tcPr>
          <w:p w14:paraId="06B1293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96" w:type="pct"/>
            <w:tcBorders>
              <w:top w:val="nil"/>
              <w:left w:val="nil"/>
              <w:bottom w:val="nil"/>
              <w:right w:val="nil"/>
            </w:tcBorders>
            <w:noWrap/>
            <w:vAlign w:val="bottom"/>
            <w:hideMark/>
          </w:tcPr>
          <w:p w14:paraId="55869F7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6035DB" w14:paraId="3ABC1285" w14:textId="77777777" w:rsidTr="413EB596">
        <w:tc>
          <w:tcPr>
            <w:tcW w:w="1814" w:type="pct"/>
            <w:tcBorders>
              <w:top w:val="nil"/>
              <w:left w:val="nil"/>
              <w:bottom w:val="nil"/>
              <w:right w:val="nil"/>
            </w:tcBorders>
            <w:noWrap/>
            <w:vAlign w:val="bottom"/>
            <w:hideMark/>
          </w:tcPr>
          <w:p w14:paraId="256EB3FE"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96" w:type="pct"/>
            <w:tcBorders>
              <w:top w:val="nil"/>
              <w:left w:val="nil"/>
              <w:bottom w:val="nil"/>
              <w:right w:val="nil"/>
            </w:tcBorders>
            <w:noWrap/>
            <w:vAlign w:val="bottom"/>
            <w:hideMark/>
          </w:tcPr>
          <w:p w14:paraId="22FBDF0F" w14:textId="77777777" w:rsidR="008D0DAB" w:rsidRPr="00F65403" w:rsidRDefault="008D0DAB" w:rsidP="009B7B2A">
            <w:pPr>
              <w:tabs>
                <w:tab w:val="decimal" w:pos="964"/>
              </w:tabs>
              <w:spacing w:after="0" w:line="240" w:lineRule="auto"/>
              <w:rPr>
                <w:rFonts w:eastAsia="Times New Roman" w:cs="Arial"/>
                <w:sz w:val="20"/>
                <w:szCs w:val="20"/>
                <w:lang w:eastAsia="en-AU"/>
              </w:rPr>
            </w:pPr>
          </w:p>
        </w:tc>
        <w:tc>
          <w:tcPr>
            <w:tcW w:w="797" w:type="pct"/>
            <w:tcBorders>
              <w:top w:val="nil"/>
              <w:left w:val="nil"/>
              <w:bottom w:val="nil"/>
              <w:right w:val="nil"/>
            </w:tcBorders>
            <w:noWrap/>
            <w:vAlign w:val="bottom"/>
            <w:hideMark/>
          </w:tcPr>
          <w:p w14:paraId="33A8F660" w14:textId="77777777" w:rsidR="008D0DAB" w:rsidRPr="00F65403" w:rsidRDefault="008D0DAB" w:rsidP="009B7B2A">
            <w:pPr>
              <w:tabs>
                <w:tab w:val="decimal" w:pos="964"/>
              </w:tabs>
              <w:spacing w:after="0" w:line="240" w:lineRule="auto"/>
              <w:rPr>
                <w:rFonts w:eastAsia="Times New Roman" w:cs="Arial"/>
                <w:sz w:val="20"/>
                <w:szCs w:val="20"/>
                <w:lang w:eastAsia="en-AU"/>
              </w:rPr>
            </w:pPr>
          </w:p>
        </w:tc>
        <w:tc>
          <w:tcPr>
            <w:tcW w:w="797" w:type="pct"/>
            <w:tcBorders>
              <w:top w:val="nil"/>
              <w:left w:val="nil"/>
              <w:bottom w:val="nil"/>
              <w:right w:val="nil"/>
            </w:tcBorders>
            <w:noWrap/>
            <w:vAlign w:val="bottom"/>
            <w:hideMark/>
          </w:tcPr>
          <w:p w14:paraId="740095FE" w14:textId="77777777" w:rsidR="008D0DAB" w:rsidRPr="00F65403" w:rsidRDefault="008D0DAB" w:rsidP="009B7B2A">
            <w:pPr>
              <w:tabs>
                <w:tab w:val="decimal" w:pos="964"/>
              </w:tabs>
              <w:spacing w:after="0" w:line="240" w:lineRule="auto"/>
              <w:rPr>
                <w:rFonts w:eastAsia="Times New Roman" w:cs="Arial"/>
                <w:sz w:val="20"/>
                <w:szCs w:val="20"/>
                <w:lang w:eastAsia="en-AU"/>
              </w:rPr>
            </w:pPr>
          </w:p>
        </w:tc>
        <w:tc>
          <w:tcPr>
            <w:tcW w:w="796" w:type="pct"/>
            <w:tcBorders>
              <w:top w:val="nil"/>
              <w:left w:val="nil"/>
              <w:bottom w:val="nil"/>
              <w:right w:val="nil"/>
            </w:tcBorders>
            <w:noWrap/>
            <w:vAlign w:val="bottom"/>
            <w:hideMark/>
          </w:tcPr>
          <w:p w14:paraId="5587184D" w14:textId="77777777" w:rsidR="008D0DAB" w:rsidRPr="00F65403" w:rsidRDefault="008D0DAB" w:rsidP="009B7B2A">
            <w:pPr>
              <w:tabs>
                <w:tab w:val="decimal" w:pos="964"/>
              </w:tabs>
              <w:spacing w:after="0" w:line="240" w:lineRule="auto"/>
              <w:rPr>
                <w:rFonts w:eastAsia="Times New Roman" w:cs="Arial"/>
                <w:sz w:val="20"/>
                <w:szCs w:val="20"/>
                <w:lang w:eastAsia="en-AU"/>
              </w:rPr>
            </w:pPr>
          </w:p>
        </w:tc>
      </w:tr>
      <w:tr w:rsidR="008D0DAB" w:rsidRPr="006035DB" w14:paraId="53CDAC8E" w14:textId="77777777" w:rsidTr="413EB596">
        <w:tc>
          <w:tcPr>
            <w:tcW w:w="1814" w:type="pct"/>
            <w:tcBorders>
              <w:top w:val="nil"/>
              <w:left w:val="nil"/>
              <w:bottom w:val="nil"/>
              <w:right w:val="nil"/>
            </w:tcBorders>
            <w:noWrap/>
            <w:vAlign w:val="bottom"/>
            <w:hideMark/>
          </w:tcPr>
          <w:p w14:paraId="5C1F5C45"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796" w:type="pct"/>
            <w:tcBorders>
              <w:top w:val="nil"/>
              <w:left w:val="nil"/>
              <w:bottom w:val="nil"/>
              <w:right w:val="nil"/>
            </w:tcBorders>
            <w:noWrap/>
            <w:vAlign w:val="bottom"/>
            <w:hideMark/>
          </w:tcPr>
          <w:p w14:paraId="3A23A8BF"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797" w:type="pct"/>
            <w:tcBorders>
              <w:top w:val="nil"/>
              <w:left w:val="nil"/>
              <w:bottom w:val="nil"/>
              <w:right w:val="nil"/>
            </w:tcBorders>
            <w:noWrap/>
            <w:vAlign w:val="bottom"/>
            <w:hideMark/>
          </w:tcPr>
          <w:p w14:paraId="050D6D86"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(161)</w:t>
            </w:r>
          </w:p>
        </w:tc>
        <w:tc>
          <w:tcPr>
            <w:tcW w:w="797" w:type="pct"/>
            <w:tcBorders>
              <w:top w:val="nil"/>
              <w:left w:val="nil"/>
              <w:bottom w:val="nil"/>
              <w:right w:val="nil"/>
            </w:tcBorders>
            <w:noWrap/>
            <w:vAlign w:val="bottom"/>
            <w:hideMark/>
          </w:tcPr>
          <w:p w14:paraId="6F2F61C1" w14:textId="77777777" w:rsidR="008D0DAB" w:rsidRPr="00F65403" w:rsidRDefault="008D0DAB" w:rsidP="009B7B2A">
            <w:pPr>
              <w:tabs>
                <w:tab w:val="decimal" w:pos="964"/>
              </w:tabs>
              <w:spacing w:after="0" w:line="240" w:lineRule="auto"/>
              <w:rPr>
                <w:rFonts w:eastAsia="Times New Roman" w:cs="Arial"/>
                <w:sz w:val="20"/>
                <w:szCs w:val="20"/>
                <w:lang w:eastAsia="en-AU"/>
              </w:rPr>
            </w:pPr>
            <w:r>
              <w:rPr>
                <w:rFonts w:eastAsia="Times New Roman" w:cs="Arial"/>
                <w:sz w:val="20"/>
                <w:szCs w:val="20"/>
                <w:lang w:eastAsia="en-AU"/>
              </w:rPr>
              <w:t>6,707</w:t>
            </w:r>
          </w:p>
        </w:tc>
        <w:tc>
          <w:tcPr>
            <w:tcW w:w="796" w:type="pct"/>
            <w:tcBorders>
              <w:top w:val="nil"/>
              <w:left w:val="nil"/>
              <w:bottom w:val="nil"/>
              <w:right w:val="nil"/>
            </w:tcBorders>
            <w:noWrap/>
            <w:vAlign w:val="bottom"/>
            <w:hideMark/>
          </w:tcPr>
          <w:p w14:paraId="07C60C2C"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6,546</w:t>
            </w:r>
          </w:p>
        </w:tc>
      </w:tr>
      <w:tr w:rsidR="008D0DAB" w:rsidRPr="006035DB" w14:paraId="2E828962" w14:textId="77777777" w:rsidTr="413EB596">
        <w:tc>
          <w:tcPr>
            <w:tcW w:w="1814" w:type="pct"/>
            <w:tcBorders>
              <w:top w:val="nil"/>
              <w:left w:val="nil"/>
              <w:bottom w:val="nil"/>
              <w:right w:val="nil"/>
            </w:tcBorders>
            <w:noWrap/>
            <w:vAlign w:val="bottom"/>
            <w:hideMark/>
          </w:tcPr>
          <w:p w14:paraId="1461A2BF" w14:textId="77777777" w:rsidR="008D0DAB" w:rsidRPr="00E326C0" w:rsidRDefault="008D0DAB" w:rsidP="009B7B2A">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p>
        </w:tc>
        <w:tc>
          <w:tcPr>
            <w:tcW w:w="796" w:type="pct"/>
            <w:tcBorders>
              <w:top w:val="single" w:sz="4" w:space="0" w:color="auto"/>
              <w:left w:val="nil"/>
              <w:bottom w:val="single" w:sz="4" w:space="0" w:color="auto"/>
              <w:right w:val="nil"/>
            </w:tcBorders>
            <w:noWrap/>
            <w:vAlign w:val="bottom"/>
            <w:hideMark/>
          </w:tcPr>
          <w:p w14:paraId="00AD4717"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97" w:type="pct"/>
            <w:tcBorders>
              <w:top w:val="single" w:sz="4" w:space="0" w:color="auto"/>
              <w:left w:val="nil"/>
              <w:bottom w:val="single" w:sz="4" w:space="0" w:color="auto"/>
              <w:right w:val="nil"/>
            </w:tcBorders>
            <w:noWrap/>
            <w:vAlign w:val="bottom"/>
            <w:hideMark/>
          </w:tcPr>
          <w:p w14:paraId="128CFEB2" w14:textId="77777777" w:rsidR="008D0DAB" w:rsidRPr="00780E96" w:rsidRDefault="008D0DAB" w:rsidP="009B7B2A">
            <w:pPr>
              <w:tabs>
                <w:tab w:val="decimal" w:pos="964"/>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(161)</w:t>
            </w:r>
          </w:p>
        </w:tc>
        <w:tc>
          <w:tcPr>
            <w:tcW w:w="797" w:type="pct"/>
            <w:tcBorders>
              <w:top w:val="single" w:sz="4" w:space="0" w:color="auto"/>
              <w:left w:val="nil"/>
              <w:bottom w:val="single" w:sz="4" w:space="0" w:color="auto"/>
              <w:right w:val="nil"/>
            </w:tcBorders>
            <w:noWrap/>
            <w:vAlign w:val="bottom"/>
            <w:hideMark/>
          </w:tcPr>
          <w:p w14:paraId="4613B520" w14:textId="77777777" w:rsidR="008D0DAB" w:rsidRPr="00780E96" w:rsidRDefault="008D0DAB" w:rsidP="009B7B2A">
            <w:pPr>
              <w:tabs>
                <w:tab w:val="decimal" w:pos="964"/>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6,707</w:t>
            </w:r>
          </w:p>
        </w:tc>
        <w:tc>
          <w:tcPr>
            <w:tcW w:w="796" w:type="pct"/>
            <w:tcBorders>
              <w:top w:val="single" w:sz="4" w:space="0" w:color="auto"/>
              <w:left w:val="nil"/>
              <w:bottom w:val="single" w:sz="4" w:space="0" w:color="auto"/>
              <w:right w:val="nil"/>
            </w:tcBorders>
            <w:noWrap/>
            <w:vAlign w:val="bottom"/>
            <w:hideMark/>
          </w:tcPr>
          <w:p w14:paraId="7D187662" w14:textId="77777777" w:rsidR="008D0DAB" w:rsidRPr="00780E96" w:rsidRDefault="008D0DAB" w:rsidP="009B7B2A">
            <w:pPr>
              <w:tabs>
                <w:tab w:val="decimal" w:pos="964"/>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6,546</w:t>
            </w:r>
          </w:p>
        </w:tc>
      </w:tr>
    </w:tbl>
    <w:p w14:paraId="60DD5123" w14:textId="77777777" w:rsidR="008D0DAB" w:rsidRPr="00F65403" w:rsidRDefault="008D0DAB" w:rsidP="008D0DAB">
      <w:pPr>
        <w:pStyle w:val="BodyText"/>
        <w:rPr>
          <w:lang w:val="en-AU"/>
        </w:rPr>
      </w:pPr>
    </w:p>
    <w:p w14:paraId="257E9212" w14:textId="77777777" w:rsidR="008D0DAB" w:rsidRPr="00F65403" w:rsidRDefault="008D0DAB" w:rsidP="008D0DAB">
      <w:pPr>
        <w:pStyle w:val="BodyText"/>
        <w:rPr>
          <w:rFonts w:eastAsiaTheme="majorEastAsia" w:cstheme="majorBidi"/>
          <w:lang w:val="en-AU"/>
        </w:rPr>
      </w:pPr>
      <w:r w:rsidRPr="00F65403">
        <w:rPr>
          <w:lang w:val="en-AU"/>
        </w:rPr>
        <w:t>No comparative has been prepared as there were no liabilities from financial activities noted in the prior year.</w:t>
      </w:r>
      <w:r>
        <w:rPr>
          <w:lang w:val="en-AU"/>
        </w:rPr>
        <w:br/>
      </w:r>
    </w:p>
    <w:p w14:paraId="03B674AA" w14:textId="77777777" w:rsidR="008D0DAB" w:rsidRPr="00F65403" w:rsidRDefault="008D0DAB" w:rsidP="008D0DAB">
      <w:pPr>
        <w:pStyle w:val="Heading7"/>
      </w:pPr>
      <w:r w:rsidRPr="00F65403">
        <w:t>Property, plant and equipment</w:t>
      </w:r>
    </w:p>
    <w:tbl>
      <w:tblPr>
        <w:tblW w:w="4999" w:type="pct"/>
        <w:tblLayout w:type="fixed"/>
        <w:tblCellMar>
          <w:top w:w="28" w:type="dxa"/>
          <w:left w:w="28" w:type="dxa"/>
          <w:bottom w:w="28" w:type="dxa"/>
          <w:right w:w="28" w:type="dxa"/>
        </w:tblCellMar>
        <w:tblLook w:val="04A0" w:firstRow="1" w:lastRow="0" w:firstColumn="1" w:lastColumn="0" w:noHBand="0" w:noVBand="1"/>
      </w:tblPr>
      <w:tblGrid>
        <w:gridCol w:w="2408"/>
        <w:gridCol w:w="1103"/>
        <w:gridCol w:w="1103"/>
        <w:gridCol w:w="1103"/>
        <w:gridCol w:w="1103"/>
        <w:gridCol w:w="1103"/>
        <w:gridCol w:w="1101"/>
      </w:tblGrid>
      <w:tr w:rsidR="008D0DAB" w:rsidRPr="007518CE" w14:paraId="7700CCE7" w14:textId="77777777" w:rsidTr="413EB596">
        <w:tc>
          <w:tcPr>
            <w:tcW w:w="1334" w:type="pct"/>
            <w:tcBorders>
              <w:top w:val="nil"/>
              <w:left w:val="nil"/>
              <w:bottom w:val="nil"/>
              <w:right w:val="nil"/>
            </w:tcBorders>
            <w:noWrap/>
            <w:vAlign w:val="bottom"/>
            <w:hideMark/>
          </w:tcPr>
          <w:p w14:paraId="09A6531C" w14:textId="77777777" w:rsidR="008D0DAB" w:rsidRPr="00F65403" w:rsidRDefault="008D0DAB" w:rsidP="009B7B2A">
            <w:pPr>
              <w:spacing w:after="0" w:line="240" w:lineRule="auto"/>
              <w:rPr>
                <w:rFonts w:eastAsia="Times New Roman" w:cs="Arial"/>
                <w:sz w:val="20"/>
                <w:szCs w:val="20"/>
                <w:lang w:eastAsia="en-AU"/>
              </w:rPr>
            </w:pPr>
          </w:p>
        </w:tc>
        <w:tc>
          <w:tcPr>
            <w:tcW w:w="1222" w:type="pct"/>
            <w:gridSpan w:val="2"/>
            <w:tcBorders>
              <w:top w:val="nil"/>
              <w:left w:val="nil"/>
              <w:bottom w:val="nil"/>
              <w:right w:val="nil"/>
            </w:tcBorders>
            <w:noWrap/>
            <w:vAlign w:val="bottom"/>
            <w:hideMark/>
          </w:tcPr>
          <w:p w14:paraId="4CCF193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Gross carrying amount</w:t>
            </w:r>
          </w:p>
        </w:tc>
        <w:tc>
          <w:tcPr>
            <w:tcW w:w="1222" w:type="pct"/>
            <w:gridSpan w:val="2"/>
            <w:tcBorders>
              <w:top w:val="nil"/>
              <w:left w:val="nil"/>
              <w:bottom w:val="nil"/>
              <w:right w:val="nil"/>
            </w:tcBorders>
            <w:vAlign w:val="bottom"/>
            <w:hideMark/>
          </w:tcPr>
          <w:p w14:paraId="4007F84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Accumulated depreciation</w:t>
            </w:r>
          </w:p>
        </w:tc>
        <w:tc>
          <w:tcPr>
            <w:tcW w:w="1221" w:type="pct"/>
            <w:gridSpan w:val="2"/>
            <w:tcBorders>
              <w:top w:val="nil"/>
              <w:left w:val="nil"/>
              <w:bottom w:val="nil"/>
              <w:right w:val="nil"/>
            </w:tcBorders>
            <w:vAlign w:val="bottom"/>
            <w:hideMark/>
          </w:tcPr>
          <w:p w14:paraId="0CCB86D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Net carrying amount</w:t>
            </w:r>
          </w:p>
        </w:tc>
      </w:tr>
      <w:tr w:rsidR="008D0DAB" w:rsidRPr="007518CE" w14:paraId="2ADBF9B5" w14:textId="77777777" w:rsidTr="413EB596">
        <w:tc>
          <w:tcPr>
            <w:tcW w:w="1334" w:type="pct"/>
            <w:tcBorders>
              <w:top w:val="nil"/>
              <w:left w:val="nil"/>
              <w:bottom w:val="nil"/>
              <w:right w:val="nil"/>
            </w:tcBorders>
            <w:noWrap/>
            <w:vAlign w:val="bottom"/>
            <w:hideMark/>
          </w:tcPr>
          <w:p w14:paraId="74C1C236" w14:textId="77777777" w:rsidR="008D0DAB" w:rsidRPr="00F65403" w:rsidRDefault="008D0DAB" w:rsidP="009B7B2A">
            <w:pPr>
              <w:spacing w:after="0" w:line="240" w:lineRule="auto"/>
              <w:jc w:val="center"/>
              <w:rPr>
                <w:rFonts w:eastAsia="Times New Roman" w:cs="Arial"/>
                <w:sz w:val="20"/>
                <w:szCs w:val="20"/>
                <w:lang w:eastAsia="en-AU"/>
              </w:rPr>
            </w:pPr>
          </w:p>
        </w:tc>
        <w:tc>
          <w:tcPr>
            <w:tcW w:w="611" w:type="pct"/>
            <w:tcBorders>
              <w:top w:val="nil"/>
              <w:left w:val="nil"/>
              <w:bottom w:val="nil"/>
              <w:right w:val="nil"/>
            </w:tcBorders>
            <w:noWrap/>
            <w:hideMark/>
          </w:tcPr>
          <w:p w14:paraId="48447B0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1" w:type="pct"/>
            <w:tcBorders>
              <w:top w:val="nil"/>
              <w:left w:val="nil"/>
              <w:bottom w:val="nil"/>
              <w:right w:val="nil"/>
            </w:tcBorders>
            <w:noWrap/>
            <w:hideMark/>
          </w:tcPr>
          <w:p w14:paraId="06311E5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11" w:type="pct"/>
            <w:tcBorders>
              <w:top w:val="nil"/>
              <w:left w:val="nil"/>
              <w:bottom w:val="nil"/>
              <w:right w:val="nil"/>
            </w:tcBorders>
            <w:noWrap/>
            <w:hideMark/>
          </w:tcPr>
          <w:p w14:paraId="256635D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1" w:type="pct"/>
            <w:tcBorders>
              <w:top w:val="nil"/>
              <w:left w:val="nil"/>
              <w:bottom w:val="nil"/>
              <w:right w:val="nil"/>
            </w:tcBorders>
            <w:hideMark/>
          </w:tcPr>
          <w:p w14:paraId="5D2D50F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11" w:type="pct"/>
            <w:tcBorders>
              <w:top w:val="nil"/>
              <w:left w:val="nil"/>
              <w:bottom w:val="nil"/>
              <w:right w:val="nil"/>
            </w:tcBorders>
            <w:hideMark/>
          </w:tcPr>
          <w:p w14:paraId="2E87692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0" w:type="pct"/>
            <w:tcBorders>
              <w:top w:val="nil"/>
              <w:left w:val="nil"/>
              <w:bottom w:val="nil"/>
              <w:right w:val="nil"/>
            </w:tcBorders>
            <w:noWrap/>
            <w:hideMark/>
          </w:tcPr>
          <w:p w14:paraId="1BDA903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7518CE" w14:paraId="5229F7F1" w14:textId="77777777" w:rsidTr="413EB596">
        <w:tc>
          <w:tcPr>
            <w:tcW w:w="1334" w:type="pct"/>
            <w:tcBorders>
              <w:top w:val="nil"/>
              <w:left w:val="nil"/>
              <w:bottom w:val="nil"/>
              <w:right w:val="nil"/>
            </w:tcBorders>
            <w:noWrap/>
            <w:vAlign w:val="bottom"/>
            <w:hideMark/>
          </w:tcPr>
          <w:p w14:paraId="5407592A"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11" w:type="pct"/>
            <w:tcBorders>
              <w:top w:val="nil"/>
              <w:left w:val="nil"/>
              <w:right w:val="nil"/>
            </w:tcBorders>
            <w:noWrap/>
            <w:hideMark/>
          </w:tcPr>
          <w:p w14:paraId="38F473E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150E4D7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60BF8A9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2F34254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1" w:type="pct"/>
            <w:tcBorders>
              <w:top w:val="nil"/>
              <w:left w:val="nil"/>
              <w:right w:val="nil"/>
            </w:tcBorders>
            <w:noWrap/>
            <w:hideMark/>
          </w:tcPr>
          <w:p w14:paraId="7E86387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0" w:type="pct"/>
            <w:tcBorders>
              <w:top w:val="nil"/>
              <w:left w:val="nil"/>
              <w:right w:val="nil"/>
            </w:tcBorders>
            <w:noWrap/>
            <w:hideMark/>
          </w:tcPr>
          <w:p w14:paraId="7E31A8E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7518CE" w14:paraId="65C7B7F6" w14:textId="77777777" w:rsidTr="413EB596">
        <w:tc>
          <w:tcPr>
            <w:tcW w:w="1334" w:type="pct"/>
            <w:tcBorders>
              <w:top w:val="nil"/>
              <w:left w:val="nil"/>
              <w:bottom w:val="nil"/>
              <w:right w:val="nil"/>
            </w:tcBorders>
            <w:noWrap/>
            <w:vAlign w:val="bottom"/>
          </w:tcPr>
          <w:p w14:paraId="2F19B7C9"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At cost</w:t>
            </w:r>
          </w:p>
        </w:tc>
        <w:tc>
          <w:tcPr>
            <w:tcW w:w="611" w:type="pct"/>
            <w:tcBorders>
              <w:top w:val="nil"/>
              <w:left w:val="nil"/>
              <w:right w:val="nil"/>
            </w:tcBorders>
            <w:noWrap/>
            <w:vAlign w:val="bottom"/>
          </w:tcPr>
          <w:p w14:paraId="08AC6EB1"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5A1F3984"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7AEE6626"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26D1C0E8"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top w:val="nil"/>
              <w:left w:val="nil"/>
              <w:right w:val="nil"/>
            </w:tcBorders>
            <w:noWrap/>
            <w:vAlign w:val="bottom"/>
          </w:tcPr>
          <w:p w14:paraId="57E25CEC"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0" w:type="pct"/>
            <w:tcBorders>
              <w:top w:val="nil"/>
              <w:left w:val="nil"/>
              <w:right w:val="nil"/>
            </w:tcBorders>
            <w:noWrap/>
            <w:vAlign w:val="bottom"/>
          </w:tcPr>
          <w:p w14:paraId="22139F01"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r>
      <w:tr w:rsidR="008D0DAB" w:rsidRPr="007518CE" w14:paraId="6005C274" w14:textId="77777777" w:rsidTr="413EB596">
        <w:tc>
          <w:tcPr>
            <w:tcW w:w="1334" w:type="pct"/>
            <w:tcBorders>
              <w:top w:val="nil"/>
              <w:left w:val="nil"/>
              <w:bottom w:val="nil"/>
              <w:right w:val="nil"/>
            </w:tcBorders>
            <w:noWrap/>
            <w:vAlign w:val="bottom"/>
            <w:hideMark/>
          </w:tcPr>
          <w:p w14:paraId="39E946F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Assets under construction</w:t>
            </w:r>
          </w:p>
        </w:tc>
        <w:tc>
          <w:tcPr>
            <w:tcW w:w="611" w:type="pct"/>
            <w:tcBorders>
              <w:left w:val="nil"/>
              <w:right w:val="nil"/>
            </w:tcBorders>
            <w:noWrap/>
            <w:vAlign w:val="bottom"/>
            <w:hideMark/>
          </w:tcPr>
          <w:p w14:paraId="4554291A"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96,230 </w:t>
            </w:r>
          </w:p>
        </w:tc>
        <w:tc>
          <w:tcPr>
            <w:tcW w:w="611" w:type="pct"/>
            <w:tcBorders>
              <w:left w:val="nil"/>
              <w:right w:val="nil"/>
            </w:tcBorders>
            <w:noWrap/>
            <w:vAlign w:val="bottom"/>
            <w:hideMark/>
          </w:tcPr>
          <w:p w14:paraId="48B9AD33"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163666CE"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4012A82E"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right w:val="nil"/>
            </w:tcBorders>
            <w:noWrap/>
            <w:vAlign w:val="bottom"/>
            <w:hideMark/>
          </w:tcPr>
          <w:p w14:paraId="26CAC128"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96,230 </w:t>
            </w:r>
          </w:p>
        </w:tc>
        <w:tc>
          <w:tcPr>
            <w:tcW w:w="610" w:type="pct"/>
            <w:tcBorders>
              <w:left w:val="nil"/>
              <w:right w:val="nil"/>
            </w:tcBorders>
            <w:noWrap/>
            <w:vAlign w:val="bottom"/>
            <w:hideMark/>
          </w:tcPr>
          <w:p w14:paraId="4B60EA35"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8D0DAB" w:rsidRPr="007518CE" w14:paraId="688D8939" w14:textId="77777777" w:rsidTr="00E326C0">
        <w:trPr>
          <w:trHeight w:val="300"/>
        </w:trPr>
        <w:tc>
          <w:tcPr>
            <w:tcW w:w="1334" w:type="pct"/>
            <w:tcBorders>
              <w:top w:val="nil"/>
              <w:left w:val="nil"/>
              <w:bottom w:val="nil"/>
              <w:right w:val="nil"/>
            </w:tcBorders>
            <w:noWrap/>
            <w:vAlign w:val="bottom"/>
          </w:tcPr>
          <w:p w14:paraId="5801B5C1"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At fair value</w:t>
            </w:r>
          </w:p>
        </w:tc>
        <w:tc>
          <w:tcPr>
            <w:tcW w:w="611" w:type="pct"/>
            <w:tcBorders>
              <w:left w:val="nil"/>
              <w:right w:val="nil"/>
            </w:tcBorders>
            <w:noWrap/>
            <w:vAlign w:val="bottom"/>
          </w:tcPr>
          <w:p w14:paraId="54A6903E"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14F88047"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1C5DF0E6"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5AEF5782"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1" w:type="pct"/>
            <w:tcBorders>
              <w:left w:val="nil"/>
              <w:right w:val="nil"/>
            </w:tcBorders>
            <w:noWrap/>
            <w:vAlign w:val="bottom"/>
          </w:tcPr>
          <w:p w14:paraId="2AFCF9A8"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610" w:type="pct"/>
            <w:tcBorders>
              <w:left w:val="nil"/>
              <w:right w:val="nil"/>
            </w:tcBorders>
            <w:noWrap/>
            <w:vAlign w:val="bottom"/>
          </w:tcPr>
          <w:p w14:paraId="46027D4B"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r>
      <w:tr w:rsidR="008D0DAB" w:rsidRPr="007518CE" w14:paraId="6E481455" w14:textId="77777777" w:rsidTr="00E326C0">
        <w:trPr>
          <w:trHeight w:val="300"/>
        </w:trPr>
        <w:tc>
          <w:tcPr>
            <w:tcW w:w="1334" w:type="pct"/>
            <w:tcBorders>
              <w:top w:val="nil"/>
              <w:left w:val="nil"/>
              <w:bottom w:val="nil"/>
              <w:right w:val="nil"/>
            </w:tcBorders>
            <w:noWrap/>
            <w:vAlign w:val="bottom"/>
          </w:tcPr>
          <w:p w14:paraId="18D64DE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land</w:t>
            </w:r>
          </w:p>
        </w:tc>
        <w:tc>
          <w:tcPr>
            <w:tcW w:w="611" w:type="pct"/>
            <w:tcBorders>
              <w:left w:val="nil"/>
              <w:bottom w:val="single" w:sz="4" w:space="0" w:color="auto"/>
              <w:right w:val="nil"/>
            </w:tcBorders>
            <w:noWrap/>
            <w:vAlign w:val="bottom"/>
          </w:tcPr>
          <w:p w14:paraId="7076D2CE"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6,391 </w:t>
            </w:r>
          </w:p>
        </w:tc>
        <w:tc>
          <w:tcPr>
            <w:tcW w:w="611" w:type="pct"/>
            <w:tcBorders>
              <w:left w:val="nil"/>
              <w:bottom w:val="single" w:sz="4" w:space="0" w:color="auto"/>
              <w:right w:val="nil"/>
            </w:tcBorders>
            <w:noWrap/>
            <w:vAlign w:val="bottom"/>
          </w:tcPr>
          <w:p w14:paraId="198224C5"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bottom w:val="single" w:sz="4" w:space="0" w:color="auto"/>
              <w:right w:val="nil"/>
            </w:tcBorders>
            <w:noWrap/>
            <w:vAlign w:val="bottom"/>
          </w:tcPr>
          <w:p w14:paraId="30C95DD4"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(120</w:t>
            </w:r>
            <w:r w:rsidRPr="00F65403">
              <w:rPr>
                <w:rFonts w:eastAsia="Times New Roman" w:cs="Arial"/>
                <w:color w:val="000000"/>
                <w:sz w:val="20"/>
                <w:szCs w:val="20"/>
                <w:lang w:eastAsia="en-AU"/>
              </w:rPr>
              <w:t>)</w:t>
            </w:r>
          </w:p>
        </w:tc>
        <w:tc>
          <w:tcPr>
            <w:tcW w:w="611" w:type="pct"/>
            <w:tcBorders>
              <w:left w:val="nil"/>
              <w:bottom w:val="single" w:sz="4" w:space="0" w:color="auto"/>
              <w:right w:val="nil"/>
            </w:tcBorders>
            <w:noWrap/>
            <w:vAlign w:val="bottom"/>
          </w:tcPr>
          <w:p w14:paraId="382153B3"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c>
          <w:tcPr>
            <w:tcW w:w="611" w:type="pct"/>
            <w:tcBorders>
              <w:left w:val="nil"/>
              <w:bottom w:val="single" w:sz="4" w:space="0" w:color="auto"/>
              <w:right w:val="nil"/>
            </w:tcBorders>
            <w:noWrap/>
            <w:vAlign w:val="bottom"/>
          </w:tcPr>
          <w:p w14:paraId="7194D104"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6,271 </w:t>
            </w:r>
          </w:p>
        </w:tc>
        <w:tc>
          <w:tcPr>
            <w:tcW w:w="610" w:type="pct"/>
            <w:tcBorders>
              <w:left w:val="nil"/>
              <w:bottom w:val="single" w:sz="4" w:space="0" w:color="auto"/>
              <w:right w:val="nil"/>
            </w:tcBorders>
            <w:noWrap/>
            <w:vAlign w:val="bottom"/>
          </w:tcPr>
          <w:p w14:paraId="7523823B"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r>
              <w:rPr>
                <w:rFonts w:cs="Arial"/>
                <w:color w:val="000000"/>
                <w:sz w:val="20"/>
                <w:szCs w:val="20"/>
              </w:rPr>
              <w:t xml:space="preserve">          -   </w:t>
            </w:r>
          </w:p>
        </w:tc>
      </w:tr>
      <w:tr w:rsidR="008D0DAB" w:rsidRPr="007518CE" w14:paraId="3763B058" w14:textId="77777777" w:rsidTr="00E326C0">
        <w:trPr>
          <w:trHeight w:val="300"/>
        </w:trPr>
        <w:tc>
          <w:tcPr>
            <w:tcW w:w="1334" w:type="pct"/>
            <w:tcBorders>
              <w:top w:val="nil"/>
              <w:left w:val="nil"/>
              <w:bottom w:val="nil"/>
              <w:right w:val="nil"/>
            </w:tcBorders>
            <w:noWrap/>
            <w:vAlign w:val="bottom"/>
            <w:hideMark/>
          </w:tcPr>
          <w:p w14:paraId="5E40E74E"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611" w:type="pct"/>
            <w:tcBorders>
              <w:top w:val="single" w:sz="4" w:space="0" w:color="auto"/>
              <w:left w:val="nil"/>
              <w:bottom w:val="single" w:sz="4" w:space="0" w:color="auto"/>
              <w:right w:val="nil"/>
            </w:tcBorders>
            <w:noWrap/>
            <w:vAlign w:val="bottom"/>
          </w:tcPr>
          <w:p w14:paraId="7AF680DC"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102,621</w:t>
            </w:r>
          </w:p>
        </w:tc>
        <w:tc>
          <w:tcPr>
            <w:tcW w:w="611" w:type="pct"/>
            <w:tcBorders>
              <w:top w:val="single" w:sz="4" w:space="0" w:color="auto"/>
              <w:left w:val="nil"/>
              <w:bottom w:val="single" w:sz="4" w:space="0" w:color="auto"/>
              <w:right w:val="nil"/>
            </w:tcBorders>
            <w:noWrap/>
            <w:vAlign w:val="bottom"/>
            <w:hideMark/>
          </w:tcPr>
          <w:p w14:paraId="5DBA7CD8"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c>
          <w:tcPr>
            <w:tcW w:w="611" w:type="pct"/>
            <w:tcBorders>
              <w:top w:val="single" w:sz="4" w:space="0" w:color="auto"/>
              <w:left w:val="nil"/>
              <w:bottom w:val="single" w:sz="4" w:space="0" w:color="auto"/>
              <w:right w:val="nil"/>
            </w:tcBorders>
            <w:noWrap/>
            <w:vAlign w:val="bottom"/>
            <w:hideMark/>
          </w:tcPr>
          <w:p w14:paraId="56544D4C"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(120</w:t>
            </w:r>
            <w:r w:rsidRPr="00F65403">
              <w:rPr>
                <w:rFonts w:eastAsia="Times New Roman" w:cs="Arial"/>
                <w:b/>
                <w:color w:val="000000"/>
                <w:sz w:val="20"/>
                <w:szCs w:val="20"/>
                <w:lang w:eastAsia="en-AU"/>
              </w:rPr>
              <w:t>)</w:t>
            </w:r>
          </w:p>
        </w:tc>
        <w:tc>
          <w:tcPr>
            <w:tcW w:w="611" w:type="pct"/>
            <w:tcBorders>
              <w:top w:val="single" w:sz="4" w:space="0" w:color="auto"/>
              <w:left w:val="nil"/>
              <w:bottom w:val="single" w:sz="4" w:space="0" w:color="auto"/>
              <w:right w:val="nil"/>
            </w:tcBorders>
            <w:noWrap/>
            <w:vAlign w:val="bottom"/>
            <w:hideMark/>
          </w:tcPr>
          <w:p w14:paraId="7B264CD9"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c>
          <w:tcPr>
            <w:tcW w:w="611" w:type="pct"/>
            <w:tcBorders>
              <w:top w:val="single" w:sz="4" w:space="0" w:color="auto"/>
              <w:left w:val="nil"/>
              <w:bottom w:val="single" w:sz="4" w:space="0" w:color="auto"/>
              <w:right w:val="nil"/>
            </w:tcBorders>
            <w:noWrap/>
            <w:vAlign w:val="bottom"/>
            <w:hideMark/>
          </w:tcPr>
          <w:p w14:paraId="075F24C9"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102,501 </w:t>
            </w:r>
          </w:p>
        </w:tc>
        <w:tc>
          <w:tcPr>
            <w:tcW w:w="610" w:type="pct"/>
            <w:tcBorders>
              <w:top w:val="single" w:sz="4" w:space="0" w:color="auto"/>
              <w:left w:val="nil"/>
              <w:bottom w:val="single" w:sz="4" w:space="0" w:color="auto"/>
              <w:right w:val="nil"/>
            </w:tcBorders>
            <w:noWrap/>
            <w:vAlign w:val="bottom"/>
            <w:hideMark/>
          </w:tcPr>
          <w:p w14:paraId="6812E18C" w14:textId="77777777" w:rsidR="008D0DAB" w:rsidRPr="00F65403" w:rsidRDefault="008D0DAB" w:rsidP="009B7B2A">
            <w:pPr>
              <w:tabs>
                <w:tab w:val="decimal" w:pos="960"/>
              </w:tabs>
              <w:spacing w:after="0" w:line="240" w:lineRule="auto"/>
              <w:rPr>
                <w:rFonts w:eastAsia="Times New Roman" w:cs="Arial"/>
                <w:b/>
                <w:color w:val="000000"/>
                <w:sz w:val="20"/>
                <w:szCs w:val="20"/>
                <w:lang w:eastAsia="en-AU"/>
              </w:rPr>
            </w:pPr>
            <w:r>
              <w:rPr>
                <w:rFonts w:cs="Arial"/>
                <w:b/>
                <w:bCs/>
                <w:color w:val="000000"/>
                <w:sz w:val="20"/>
                <w:szCs w:val="20"/>
              </w:rPr>
              <w:t xml:space="preserve">          -   </w:t>
            </w:r>
          </w:p>
        </w:tc>
      </w:tr>
    </w:tbl>
    <w:p w14:paraId="0670FCCF" w14:textId="77777777" w:rsidR="008D0DAB" w:rsidRPr="00F65403" w:rsidRDefault="008D0DAB" w:rsidP="008D0DAB">
      <w:pPr>
        <w:pStyle w:val="BodyText"/>
        <w:rPr>
          <w:sz w:val="24"/>
          <w:szCs w:val="24"/>
          <w:lang w:val="en-AU"/>
        </w:rPr>
      </w:pPr>
    </w:p>
    <w:p w14:paraId="74680F06" w14:textId="0AE1198C" w:rsidR="008D0DAB" w:rsidRPr="0002320E" w:rsidRDefault="008D0DAB" w:rsidP="00AA3AC5">
      <w:pPr>
        <w:pStyle w:val="Heading8"/>
      </w:pPr>
      <w:proofErr w:type="spellStart"/>
      <w:r>
        <w:t>i</w:t>
      </w:r>
      <w:proofErr w:type="spellEnd"/>
      <w:r>
        <w:t>.</w:t>
      </w:r>
      <w:r>
        <w:tab/>
        <w:t>Reconciliation of movements in carrying values of property, plant and equipment</w:t>
      </w:r>
      <w:r w:rsidR="004756B5">
        <w:br/>
      </w:r>
    </w:p>
    <w:tbl>
      <w:tblPr>
        <w:tblW w:w="0" w:type="auto"/>
        <w:tblCellMar>
          <w:top w:w="28" w:type="dxa"/>
          <w:left w:w="28" w:type="dxa"/>
          <w:bottom w:w="28" w:type="dxa"/>
          <w:right w:w="28" w:type="dxa"/>
        </w:tblCellMar>
        <w:tblLook w:val="04A0" w:firstRow="1" w:lastRow="0" w:firstColumn="1" w:lastColumn="0" w:noHBand="0" w:noVBand="1"/>
      </w:tblPr>
      <w:tblGrid>
        <w:gridCol w:w="3402"/>
        <w:gridCol w:w="675"/>
        <w:gridCol w:w="1772"/>
        <w:gridCol w:w="1701"/>
        <w:gridCol w:w="1234"/>
      </w:tblGrid>
      <w:tr w:rsidR="008D0DAB" w:rsidRPr="007518CE" w14:paraId="065C4F65" w14:textId="77777777" w:rsidTr="009B7B2A">
        <w:tc>
          <w:tcPr>
            <w:tcW w:w="3402" w:type="dxa"/>
            <w:tcBorders>
              <w:top w:val="nil"/>
              <w:left w:val="nil"/>
              <w:bottom w:val="nil"/>
              <w:right w:val="nil"/>
            </w:tcBorders>
            <w:noWrap/>
            <w:vAlign w:val="bottom"/>
            <w:hideMark/>
          </w:tcPr>
          <w:p w14:paraId="57155CC1" w14:textId="77777777" w:rsidR="008D0DAB" w:rsidRPr="00F65403" w:rsidRDefault="008D0DAB" w:rsidP="009B7B2A">
            <w:pPr>
              <w:spacing w:after="0" w:line="240" w:lineRule="auto"/>
              <w:jc w:val="center"/>
              <w:rPr>
                <w:rFonts w:eastAsia="Times New Roman" w:cs="Arial"/>
                <w:sz w:val="20"/>
                <w:szCs w:val="20"/>
                <w:lang w:eastAsia="en-AU"/>
              </w:rPr>
            </w:pPr>
          </w:p>
        </w:tc>
        <w:tc>
          <w:tcPr>
            <w:tcW w:w="675" w:type="dxa"/>
            <w:tcBorders>
              <w:top w:val="nil"/>
              <w:left w:val="nil"/>
              <w:bottom w:val="nil"/>
              <w:right w:val="nil"/>
            </w:tcBorders>
          </w:tcPr>
          <w:p w14:paraId="6994307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Note</w:t>
            </w:r>
          </w:p>
        </w:tc>
        <w:tc>
          <w:tcPr>
            <w:tcW w:w="1772" w:type="dxa"/>
            <w:tcBorders>
              <w:top w:val="nil"/>
              <w:left w:val="nil"/>
              <w:bottom w:val="nil"/>
              <w:right w:val="nil"/>
            </w:tcBorders>
            <w:noWrap/>
            <w:hideMark/>
          </w:tcPr>
          <w:p w14:paraId="7513B1E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Assets under construction</w:t>
            </w:r>
          </w:p>
        </w:tc>
        <w:tc>
          <w:tcPr>
            <w:tcW w:w="0" w:type="auto"/>
            <w:tcBorders>
              <w:top w:val="nil"/>
              <w:left w:val="nil"/>
              <w:bottom w:val="nil"/>
              <w:right w:val="nil"/>
            </w:tcBorders>
            <w:noWrap/>
          </w:tcPr>
          <w:p w14:paraId="0F9CA3A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Right-of-use land</w:t>
            </w:r>
          </w:p>
        </w:tc>
        <w:tc>
          <w:tcPr>
            <w:tcW w:w="0" w:type="auto"/>
            <w:tcBorders>
              <w:top w:val="nil"/>
              <w:left w:val="nil"/>
              <w:bottom w:val="nil"/>
              <w:right w:val="nil"/>
            </w:tcBorders>
          </w:tcPr>
          <w:p w14:paraId="073E916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7518CE" w14:paraId="25C31CB8" w14:textId="77777777" w:rsidTr="009B7B2A">
        <w:tc>
          <w:tcPr>
            <w:tcW w:w="3402" w:type="dxa"/>
            <w:tcBorders>
              <w:top w:val="nil"/>
              <w:left w:val="nil"/>
              <w:bottom w:val="nil"/>
              <w:right w:val="nil"/>
            </w:tcBorders>
            <w:noWrap/>
            <w:vAlign w:val="bottom"/>
            <w:hideMark/>
          </w:tcPr>
          <w:p w14:paraId="1E5E93A9"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75" w:type="dxa"/>
            <w:tcBorders>
              <w:top w:val="nil"/>
              <w:left w:val="nil"/>
              <w:right w:val="nil"/>
            </w:tcBorders>
          </w:tcPr>
          <w:p w14:paraId="2D537630"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772" w:type="dxa"/>
            <w:tcBorders>
              <w:top w:val="nil"/>
              <w:left w:val="nil"/>
              <w:right w:val="nil"/>
            </w:tcBorders>
            <w:noWrap/>
            <w:hideMark/>
          </w:tcPr>
          <w:p w14:paraId="75E9E75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0" w:type="auto"/>
            <w:tcBorders>
              <w:top w:val="nil"/>
              <w:left w:val="nil"/>
              <w:right w:val="nil"/>
            </w:tcBorders>
            <w:noWrap/>
            <w:hideMark/>
          </w:tcPr>
          <w:p w14:paraId="295C5DD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0" w:type="auto"/>
            <w:tcBorders>
              <w:top w:val="nil"/>
              <w:left w:val="nil"/>
              <w:right w:val="nil"/>
            </w:tcBorders>
            <w:noWrap/>
            <w:hideMark/>
          </w:tcPr>
          <w:p w14:paraId="57885F7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7518CE" w14:paraId="49D1B6FC" w14:textId="77777777" w:rsidTr="009B7B2A">
        <w:tc>
          <w:tcPr>
            <w:tcW w:w="3402" w:type="dxa"/>
            <w:tcBorders>
              <w:top w:val="nil"/>
              <w:left w:val="nil"/>
              <w:bottom w:val="nil"/>
              <w:right w:val="nil"/>
            </w:tcBorders>
            <w:noWrap/>
            <w:vAlign w:val="bottom"/>
          </w:tcPr>
          <w:p w14:paraId="49317312"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Balance at 1 July 2024</w:t>
            </w:r>
          </w:p>
        </w:tc>
        <w:tc>
          <w:tcPr>
            <w:tcW w:w="675" w:type="dxa"/>
            <w:tcBorders>
              <w:top w:val="nil"/>
              <w:left w:val="nil"/>
              <w:right w:val="nil"/>
            </w:tcBorders>
          </w:tcPr>
          <w:p w14:paraId="0918442C"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772" w:type="dxa"/>
            <w:tcBorders>
              <w:top w:val="nil"/>
              <w:left w:val="nil"/>
              <w:right w:val="nil"/>
            </w:tcBorders>
            <w:noWrap/>
            <w:vAlign w:val="bottom"/>
          </w:tcPr>
          <w:p w14:paraId="02FBFC2B" w14:textId="77777777" w:rsidR="008D0DAB" w:rsidRPr="00F65403" w:rsidRDefault="008D0DAB" w:rsidP="009B7B2A">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0" w:type="auto"/>
            <w:tcBorders>
              <w:top w:val="nil"/>
              <w:left w:val="nil"/>
              <w:right w:val="nil"/>
            </w:tcBorders>
            <w:noWrap/>
            <w:vAlign w:val="bottom"/>
          </w:tcPr>
          <w:p w14:paraId="1805A93B" w14:textId="77777777" w:rsidR="008D0DAB" w:rsidRPr="00F65403" w:rsidRDefault="008D0DAB" w:rsidP="009B7B2A">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0" w:type="auto"/>
            <w:tcBorders>
              <w:top w:val="nil"/>
              <w:left w:val="nil"/>
              <w:right w:val="nil"/>
            </w:tcBorders>
            <w:noWrap/>
            <w:vAlign w:val="bottom"/>
          </w:tcPr>
          <w:p w14:paraId="2C3A0B56" w14:textId="77777777" w:rsidR="008D0DAB" w:rsidRPr="00F65403" w:rsidRDefault="008D0DAB" w:rsidP="009B7B2A">
            <w:pPr>
              <w:tabs>
                <w:tab w:val="decimal" w:pos="1177"/>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8D0DAB" w:rsidRPr="007518CE" w14:paraId="0B856BCC" w14:textId="77777777" w:rsidTr="009B7B2A">
        <w:tc>
          <w:tcPr>
            <w:tcW w:w="3402" w:type="dxa"/>
            <w:tcBorders>
              <w:top w:val="nil"/>
              <w:left w:val="nil"/>
              <w:bottom w:val="nil"/>
              <w:right w:val="nil"/>
            </w:tcBorders>
            <w:noWrap/>
            <w:vAlign w:val="bottom"/>
          </w:tcPr>
          <w:p w14:paraId="0D65CC19" w14:textId="789DB864"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Acquisition of SEC Renewable Energy Park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Horsham</w:t>
            </w:r>
          </w:p>
        </w:tc>
        <w:tc>
          <w:tcPr>
            <w:tcW w:w="675" w:type="dxa"/>
            <w:tcBorders>
              <w:left w:val="nil"/>
              <w:right w:val="nil"/>
            </w:tcBorders>
            <w:vAlign w:val="bottom"/>
          </w:tcPr>
          <w:p w14:paraId="155399CD" w14:textId="77777777" w:rsidR="008D0DAB" w:rsidRPr="00FD10BE" w:rsidRDefault="008D0DAB" w:rsidP="009B7B2A">
            <w:pPr>
              <w:spacing w:after="0" w:line="240" w:lineRule="auto"/>
              <w:jc w:val="center"/>
              <w:rPr>
                <w:rFonts w:eastAsia="Times New Roman" w:cs="Arial"/>
                <w:color w:val="000000"/>
                <w:sz w:val="20"/>
                <w:szCs w:val="20"/>
                <w:lang w:eastAsia="en-AU"/>
              </w:rPr>
            </w:pPr>
            <w:r w:rsidRPr="49BCD735">
              <w:rPr>
                <w:rFonts w:eastAsia="Times New Roman" w:cs="Arial"/>
                <w:color w:val="000000" w:themeColor="text1"/>
                <w:sz w:val="20"/>
                <w:szCs w:val="20"/>
                <w:lang w:eastAsia="en-AU"/>
              </w:rPr>
              <w:t>1</w:t>
            </w:r>
            <w:r>
              <w:rPr>
                <w:rFonts w:eastAsia="Times New Roman" w:cs="Arial"/>
                <w:color w:val="000000" w:themeColor="text1"/>
                <w:sz w:val="20"/>
                <w:szCs w:val="20"/>
                <w:lang w:eastAsia="en-AU"/>
              </w:rPr>
              <w:t>3</w:t>
            </w:r>
          </w:p>
        </w:tc>
        <w:tc>
          <w:tcPr>
            <w:tcW w:w="1772" w:type="dxa"/>
            <w:tcBorders>
              <w:left w:val="nil"/>
              <w:right w:val="nil"/>
            </w:tcBorders>
            <w:noWrap/>
            <w:vAlign w:val="bottom"/>
          </w:tcPr>
          <w:p w14:paraId="43400239"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13,749</w:t>
            </w:r>
          </w:p>
        </w:tc>
        <w:tc>
          <w:tcPr>
            <w:tcW w:w="0" w:type="auto"/>
            <w:tcBorders>
              <w:left w:val="nil"/>
              <w:right w:val="nil"/>
            </w:tcBorders>
            <w:noWrap/>
            <w:vAlign w:val="bottom"/>
          </w:tcPr>
          <w:p w14:paraId="09A219C1"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w:t>
            </w:r>
          </w:p>
        </w:tc>
        <w:tc>
          <w:tcPr>
            <w:tcW w:w="0" w:type="auto"/>
            <w:tcBorders>
              <w:left w:val="nil"/>
              <w:right w:val="nil"/>
            </w:tcBorders>
            <w:noWrap/>
            <w:vAlign w:val="bottom"/>
          </w:tcPr>
          <w:p w14:paraId="2AC2BACF"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13,749</w:t>
            </w:r>
          </w:p>
        </w:tc>
      </w:tr>
      <w:tr w:rsidR="008D0DAB" w:rsidRPr="007518CE" w14:paraId="4238A769" w14:textId="77777777" w:rsidTr="009B7B2A">
        <w:tc>
          <w:tcPr>
            <w:tcW w:w="3402" w:type="dxa"/>
            <w:tcBorders>
              <w:top w:val="nil"/>
              <w:left w:val="nil"/>
              <w:bottom w:val="nil"/>
              <w:right w:val="nil"/>
            </w:tcBorders>
            <w:noWrap/>
            <w:vAlign w:val="bottom"/>
          </w:tcPr>
          <w:p w14:paraId="1885275C"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Additions</w:t>
            </w:r>
          </w:p>
        </w:tc>
        <w:tc>
          <w:tcPr>
            <w:tcW w:w="675" w:type="dxa"/>
            <w:tcBorders>
              <w:left w:val="nil"/>
              <w:right w:val="nil"/>
            </w:tcBorders>
          </w:tcPr>
          <w:p w14:paraId="4743BB61" w14:textId="77777777" w:rsidR="008D0DAB" w:rsidRPr="00FD10BE" w:rsidRDefault="008D0DAB" w:rsidP="009B7B2A">
            <w:pPr>
              <w:spacing w:after="0" w:line="240" w:lineRule="auto"/>
              <w:jc w:val="center"/>
              <w:rPr>
                <w:rFonts w:eastAsia="Times New Roman" w:cs="Arial"/>
                <w:b/>
                <w:color w:val="000000"/>
                <w:sz w:val="20"/>
                <w:szCs w:val="20"/>
                <w:lang w:eastAsia="en-AU"/>
              </w:rPr>
            </w:pPr>
          </w:p>
        </w:tc>
        <w:tc>
          <w:tcPr>
            <w:tcW w:w="1772" w:type="dxa"/>
            <w:tcBorders>
              <w:left w:val="nil"/>
              <w:right w:val="nil"/>
            </w:tcBorders>
            <w:noWrap/>
            <w:vAlign w:val="bottom"/>
          </w:tcPr>
          <w:p w14:paraId="0C78529B"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82,481</w:t>
            </w:r>
          </w:p>
        </w:tc>
        <w:tc>
          <w:tcPr>
            <w:tcW w:w="0" w:type="auto"/>
            <w:tcBorders>
              <w:left w:val="nil"/>
              <w:right w:val="nil"/>
            </w:tcBorders>
            <w:noWrap/>
            <w:vAlign w:val="bottom"/>
          </w:tcPr>
          <w:p w14:paraId="7F05BA07"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6,391</w:t>
            </w:r>
          </w:p>
        </w:tc>
        <w:tc>
          <w:tcPr>
            <w:tcW w:w="0" w:type="auto"/>
            <w:tcBorders>
              <w:left w:val="nil"/>
              <w:right w:val="nil"/>
            </w:tcBorders>
            <w:noWrap/>
            <w:vAlign w:val="bottom"/>
          </w:tcPr>
          <w:p w14:paraId="19BEA7D0"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88,872</w:t>
            </w:r>
          </w:p>
        </w:tc>
      </w:tr>
      <w:tr w:rsidR="008D0DAB" w:rsidRPr="007518CE" w14:paraId="3A78DFC5" w14:textId="77777777" w:rsidTr="009B7B2A">
        <w:tc>
          <w:tcPr>
            <w:tcW w:w="3402" w:type="dxa"/>
            <w:tcBorders>
              <w:top w:val="nil"/>
              <w:left w:val="nil"/>
              <w:bottom w:val="nil"/>
              <w:right w:val="nil"/>
            </w:tcBorders>
            <w:noWrap/>
            <w:vAlign w:val="bottom"/>
          </w:tcPr>
          <w:p w14:paraId="127B409D"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675" w:type="dxa"/>
            <w:tcBorders>
              <w:left w:val="nil"/>
              <w:right w:val="nil"/>
            </w:tcBorders>
          </w:tcPr>
          <w:p w14:paraId="1D6A75DE"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1772" w:type="dxa"/>
            <w:tcBorders>
              <w:left w:val="nil"/>
              <w:bottom w:val="single" w:sz="4" w:space="0" w:color="auto"/>
              <w:right w:val="nil"/>
            </w:tcBorders>
            <w:noWrap/>
            <w:vAlign w:val="bottom"/>
          </w:tcPr>
          <w:p w14:paraId="18388D48"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w:t>
            </w:r>
          </w:p>
        </w:tc>
        <w:tc>
          <w:tcPr>
            <w:tcW w:w="0" w:type="auto"/>
            <w:tcBorders>
              <w:left w:val="nil"/>
              <w:bottom w:val="single" w:sz="4" w:space="0" w:color="auto"/>
              <w:right w:val="nil"/>
            </w:tcBorders>
            <w:noWrap/>
            <w:vAlign w:val="bottom"/>
          </w:tcPr>
          <w:p w14:paraId="4C90CF82"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(120)</w:t>
            </w:r>
          </w:p>
        </w:tc>
        <w:tc>
          <w:tcPr>
            <w:tcW w:w="0" w:type="auto"/>
            <w:tcBorders>
              <w:left w:val="nil"/>
              <w:bottom w:val="single" w:sz="4" w:space="0" w:color="auto"/>
              <w:right w:val="nil"/>
            </w:tcBorders>
            <w:noWrap/>
            <w:vAlign w:val="bottom"/>
          </w:tcPr>
          <w:p w14:paraId="6A758B96" w14:textId="77777777" w:rsidR="008D0DAB" w:rsidRPr="0080685E" w:rsidRDefault="008D0DAB" w:rsidP="009B7B2A">
            <w:pPr>
              <w:tabs>
                <w:tab w:val="decimal" w:pos="960"/>
              </w:tabs>
              <w:spacing w:after="0" w:line="240" w:lineRule="auto"/>
              <w:jc w:val="center"/>
              <w:rPr>
                <w:rFonts w:cs="Arial"/>
                <w:color w:val="000000"/>
                <w:sz w:val="20"/>
                <w:szCs w:val="20"/>
              </w:rPr>
            </w:pPr>
            <w:r>
              <w:rPr>
                <w:rFonts w:cs="Arial"/>
                <w:color w:val="000000"/>
                <w:sz w:val="20"/>
                <w:szCs w:val="20"/>
              </w:rPr>
              <w:t>(120)</w:t>
            </w:r>
          </w:p>
        </w:tc>
      </w:tr>
      <w:tr w:rsidR="008D0DAB" w:rsidRPr="007518CE" w14:paraId="63F2552F" w14:textId="77777777" w:rsidTr="009B7B2A">
        <w:tc>
          <w:tcPr>
            <w:tcW w:w="3402" w:type="dxa"/>
            <w:tcBorders>
              <w:top w:val="nil"/>
              <w:left w:val="nil"/>
              <w:bottom w:val="nil"/>
              <w:right w:val="nil"/>
            </w:tcBorders>
            <w:noWrap/>
            <w:vAlign w:val="bottom"/>
            <w:hideMark/>
          </w:tcPr>
          <w:p w14:paraId="4A2D6015"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Carrying amount </w:t>
            </w:r>
            <w:r>
              <w:rPr>
                <w:rFonts w:eastAsia="Times New Roman" w:cs="Arial"/>
                <w:b/>
                <w:color w:val="000000"/>
                <w:sz w:val="20"/>
                <w:szCs w:val="20"/>
                <w:lang w:eastAsia="en-AU"/>
              </w:rPr>
              <w:t xml:space="preserve">at </w:t>
            </w:r>
            <w:r w:rsidRPr="00F65403">
              <w:rPr>
                <w:rFonts w:eastAsia="Times New Roman" w:cs="Arial"/>
                <w:b/>
                <w:color w:val="000000"/>
                <w:sz w:val="20"/>
                <w:szCs w:val="20"/>
                <w:lang w:eastAsia="en-AU"/>
              </w:rPr>
              <w:t>30 June 2025</w:t>
            </w:r>
          </w:p>
        </w:tc>
        <w:tc>
          <w:tcPr>
            <w:tcW w:w="675" w:type="dxa"/>
            <w:tcBorders>
              <w:left w:val="nil"/>
              <w:right w:val="nil"/>
            </w:tcBorders>
          </w:tcPr>
          <w:p w14:paraId="49CBE576" w14:textId="77777777" w:rsidR="008D0DAB" w:rsidRPr="00F65403" w:rsidRDefault="008D0DAB" w:rsidP="009B7B2A">
            <w:pPr>
              <w:tabs>
                <w:tab w:val="decimal" w:pos="960"/>
              </w:tabs>
              <w:spacing w:after="0" w:line="240" w:lineRule="auto"/>
              <w:rPr>
                <w:rFonts w:eastAsia="Times New Roman" w:cs="Arial"/>
                <w:color w:val="000000"/>
                <w:sz w:val="20"/>
                <w:szCs w:val="20"/>
                <w:lang w:eastAsia="en-AU"/>
              </w:rPr>
            </w:pPr>
          </w:p>
        </w:tc>
        <w:tc>
          <w:tcPr>
            <w:tcW w:w="1772" w:type="dxa"/>
            <w:tcBorders>
              <w:top w:val="single" w:sz="4" w:space="0" w:color="auto"/>
              <w:left w:val="nil"/>
              <w:bottom w:val="single" w:sz="4" w:space="0" w:color="auto"/>
              <w:right w:val="nil"/>
            </w:tcBorders>
            <w:noWrap/>
            <w:vAlign w:val="bottom"/>
          </w:tcPr>
          <w:p w14:paraId="2E2EC5EC" w14:textId="77777777" w:rsidR="008D0DAB" w:rsidRPr="0080685E" w:rsidRDefault="008D0DAB" w:rsidP="009B7B2A">
            <w:pPr>
              <w:tabs>
                <w:tab w:val="decimal" w:pos="960"/>
              </w:tabs>
              <w:spacing w:after="0" w:line="240" w:lineRule="auto"/>
              <w:jc w:val="center"/>
              <w:rPr>
                <w:rFonts w:cs="Arial"/>
                <w:b/>
                <w:bCs/>
                <w:color w:val="000000"/>
                <w:sz w:val="20"/>
                <w:szCs w:val="20"/>
              </w:rPr>
            </w:pPr>
            <w:r>
              <w:rPr>
                <w:rFonts w:cs="Arial"/>
                <w:b/>
                <w:bCs/>
                <w:color w:val="000000"/>
                <w:sz w:val="20"/>
                <w:szCs w:val="20"/>
              </w:rPr>
              <w:t>96,230</w:t>
            </w:r>
          </w:p>
        </w:tc>
        <w:tc>
          <w:tcPr>
            <w:tcW w:w="0" w:type="auto"/>
            <w:tcBorders>
              <w:top w:val="single" w:sz="4" w:space="0" w:color="auto"/>
              <w:left w:val="nil"/>
              <w:bottom w:val="single" w:sz="4" w:space="0" w:color="auto"/>
              <w:right w:val="nil"/>
            </w:tcBorders>
            <w:noWrap/>
            <w:vAlign w:val="bottom"/>
          </w:tcPr>
          <w:p w14:paraId="536BB158" w14:textId="77777777" w:rsidR="008D0DAB" w:rsidRPr="0080685E" w:rsidRDefault="008D0DAB" w:rsidP="009B7B2A">
            <w:pPr>
              <w:tabs>
                <w:tab w:val="decimal" w:pos="960"/>
              </w:tabs>
              <w:spacing w:after="0" w:line="240" w:lineRule="auto"/>
              <w:jc w:val="center"/>
              <w:rPr>
                <w:rFonts w:cs="Arial"/>
                <w:b/>
                <w:bCs/>
                <w:color w:val="000000"/>
                <w:sz w:val="20"/>
                <w:szCs w:val="20"/>
              </w:rPr>
            </w:pPr>
            <w:r w:rsidRPr="006D3602">
              <w:rPr>
                <w:rFonts w:cs="Arial"/>
                <w:b/>
                <w:bCs/>
                <w:color w:val="000000"/>
                <w:sz w:val="20"/>
                <w:szCs w:val="20"/>
              </w:rPr>
              <w:t>6,271</w:t>
            </w:r>
          </w:p>
        </w:tc>
        <w:tc>
          <w:tcPr>
            <w:tcW w:w="0" w:type="auto"/>
            <w:tcBorders>
              <w:top w:val="single" w:sz="4" w:space="0" w:color="auto"/>
              <w:left w:val="nil"/>
              <w:bottom w:val="single" w:sz="4" w:space="0" w:color="auto"/>
              <w:right w:val="nil"/>
            </w:tcBorders>
            <w:noWrap/>
            <w:vAlign w:val="bottom"/>
          </w:tcPr>
          <w:p w14:paraId="657F692A" w14:textId="77777777" w:rsidR="008D0DAB" w:rsidRPr="00D15AF6" w:rsidRDefault="008D0DAB" w:rsidP="009B7B2A">
            <w:pPr>
              <w:tabs>
                <w:tab w:val="decimal" w:pos="960"/>
              </w:tabs>
              <w:spacing w:after="0" w:line="240" w:lineRule="auto"/>
              <w:jc w:val="center"/>
              <w:rPr>
                <w:rFonts w:cs="Arial"/>
                <w:b/>
                <w:color w:val="000000"/>
                <w:sz w:val="20"/>
                <w:szCs w:val="20"/>
              </w:rPr>
            </w:pPr>
            <w:r>
              <w:rPr>
                <w:rFonts w:cs="Arial"/>
                <w:b/>
                <w:bCs/>
                <w:color w:val="000000"/>
                <w:sz w:val="20"/>
                <w:szCs w:val="20"/>
              </w:rPr>
              <w:t>102,501</w:t>
            </w:r>
          </w:p>
        </w:tc>
      </w:tr>
    </w:tbl>
    <w:p w14:paraId="62BADF9D" w14:textId="77777777" w:rsidR="008D0DAB" w:rsidRPr="00F65403" w:rsidRDefault="008D0DAB" w:rsidP="008D0DAB">
      <w:pPr>
        <w:pStyle w:val="BodyText"/>
        <w:rPr>
          <w:sz w:val="24"/>
          <w:szCs w:val="24"/>
          <w:lang w:val="en-AU"/>
        </w:rPr>
      </w:pPr>
    </w:p>
    <w:p w14:paraId="36216752" w14:textId="77777777" w:rsidR="008D0DAB" w:rsidRPr="00F65403" w:rsidRDefault="008D0DAB" w:rsidP="008D0DAB">
      <w:pPr>
        <w:pStyle w:val="Heading8"/>
      </w:pPr>
      <w:r>
        <w:t>ii.</w:t>
      </w:r>
      <w:r>
        <w:tab/>
        <w:t>Accounting policy</w:t>
      </w:r>
    </w:p>
    <w:p w14:paraId="3A859419" w14:textId="77777777" w:rsidR="008D0DAB" w:rsidRPr="00F65403" w:rsidRDefault="008D0DAB" w:rsidP="008D0DAB">
      <w:pPr>
        <w:pStyle w:val="Heading9"/>
      </w:pPr>
      <w:r w:rsidRPr="00F65403">
        <w:t xml:space="preserve">Property, plant and equipment </w:t>
      </w:r>
    </w:p>
    <w:p w14:paraId="318F5EB8" w14:textId="77777777" w:rsidR="008D0DAB" w:rsidRPr="00F65403" w:rsidRDefault="008D0DAB" w:rsidP="008D0DAB">
      <w:pPr>
        <w:pStyle w:val="BodyText"/>
        <w:rPr>
          <w:lang w:val="en-AU"/>
        </w:rPr>
      </w:pPr>
      <w:r w:rsidRPr="6582C6F5">
        <w:rPr>
          <w:lang w:val="en-AU"/>
        </w:rPr>
        <w:t>Items of property, plant and equipment are measured initially at cost and subsequently revalued at fair value less accumulated depreciation and impairment, except assets under construction which continue to be measured at cost less any accumulated impairment. Valuations are performed with sufficient frequency to ensure that the carrying amount of the revalued asset does not materially differ from its fair value.</w:t>
      </w:r>
    </w:p>
    <w:p w14:paraId="6431984D" w14:textId="77777777" w:rsidR="008D0DAB" w:rsidRPr="00F65403" w:rsidRDefault="008D0DAB" w:rsidP="008D0DAB">
      <w:pPr>
        <w:pStyle w:val="BodyText"/>
        <w:rPr>
          <w:lang w:val="en-AU"/>
        </w:rPr>
      </w:pPr>
    </w:p>
    <w:p w14:paraId="5DACAB8C" w14:textId="77777777" w:rsidR="008D0DAB" w:rsidRPr="00F65403" w:rsidRDefault="008D0DAB" w:rsidP="008D0DAB">
      <w:pPr>
        <w:pStyle w:val="BodyText"/>
        <w:rPr>
          <w:lang w:val="en-AU"/>
        </w:rPr>
      </w:pPr>
      <w:r w:rsidRPr="00F65403">
        <w:rPr>
          <w:lang w:val="en-AU"/>
        </w:rPr>
        <w:t>The cost of assets under construction includes the cost of all materials used in construction, direct labour,</w:t>
      </w:r>
      <w:r w:rsidRPr="00F65403" w:rsidDel="00F440A2">
        <w:rPr>
          <w:lang w:val="en-AU"/>
        </w:rPr>
        <w:t xml:space="preserve"> </w:t>
      </w:r>
      <w:r w:rsidRPr="00F65403">
        <w:rPr>
          <w:lang w:val="en-AU"/>
        </w:rPr>
        <w:t xml:space="preserve">financing costs (if qualifying) and an appropriate proportion of any variable and fixed overheads. </w:t>
      </w:r>
    </w:p>
    <w:p w14:paraId="443DF113" w14:textId="77777777" w:rsidR="008D0DAB" w:rsidRPr="00F65403" w:rsidRDefault="008D0DAB" w:rsidP="008D0DAB">
      <w:pPr>
        <w:pStyle w:val="BodyText"/>
        <w:rPr>
          <w:lang w:val="en-AU"/>
        </w:rPr>
      </w:pPr>
    </w:p>
    <w:p w14:paraId="1756503A" w14:textId="77777777" w:rsidR="008D0DAB" w:rsidRPr="00F65403" w:rsidRDefault="008D0DAB" w:rsidP="008D0DAB">
      <w:pPr>
        <w:pStyle w:val="BodyText"/>
        <w:rPr>
          <w:lang w:val="en-AU"/>
        </w:rPr>
      </w:pPr>
      <w:r w:rsidRPr="00F65403">
        <w:rPr>
          <w:lang w:val="en-AU"/>
        </w:rPr>
        <w:t xml:space="preserve">The carrying amounts of assets under construction are reviewed to determine if there is any indication of impairment. If any such indication exists, the asset’s recoverable amount is estimated and if required, an impairment is recognised in the income statement. All other property, plant and equipment asset classes are stated at fair value in accordance with FRD 103 </w:t>
      </w:r>
      <w:r w:rsidRPr="00F65403">
        <w:rPr>
          <w:i/>
          <w:lang w:val="en-AU"/>
        </w:rPr>
        <w:t>Non-financial physical assets</w:t>
      </w:r>
      <w:r w:rsidRPr="00F65403">
        <w:rPr>
          <w:lang w:val="en-AU"/>
        </w:rPr>
        <w:t xml:space="preserve">. </w:t>
      </w:r>
    </w:p>
    <w:p w14:paraId="6550913E" w14:textId="77777777" w:rsidR="008D0DAB" w:rsidRPr="00F65403" w:rsidRDefault="008D0DAB" w:rsidP="008D0DAB">
      <w:pPr>
        <w:pStyle w:val="BodyText"/>
        <w:rPr>
          <w:lang w:val="en-AU"/>
        </w:rPr>
      </w:pPr>
    </w:p>
    <w:p w14:paraId="5EE0DEFF" w14:textId="77777777" w:rsidR="008D0DAB" w:rsidRPr="00F65403" w:rsidRDefault="008D0DAB" w:rsidP="008D0DAB">
      <w:pPr>
        <w:pStyle w:val="BodyText"/>
        <w:rPr>
          <w:szCs w:val="24"/>
          <w:lang w:val="en-AU"/>
        </w:rPr>
      </w:pPr>
      <w:r w:rsidRPr="00F65403">
        <w:rPr>
          <w:lang w:val="en-AU"/>
        </w:rPr>
        <w:t>Depreciation is calculated on a straight-line basis so as to write off the cost of each asset over its expected useful life.</w:t>
      </w:r>
    </w:p>
    <w:p w14:paraId="73D7D6EB" w14:textId="77777777" w:rsidR="008D0DAB" w:rsidRPr="00F65403" w:rsidRDefault="008D0DAB" w:rsidP="008D0DAB">
      <w:pPr>
        <w:pStyle w:val="BodyText"/>
      </w:pPr>
    </w:p>
    <w:p w14:paraId="3A5CDFFF" w14:textId="77777777" w:rsidR="008D0DAB" w:rsidRPr="00F65403" w:rsidRDefault="008D0DAB" w:rsidP="008D0DAB">
      <w:pPr>
        <w:pStyle w:val="Heading9"/>
      </w:pPr>
      <w:r w:rsidRPr="00F65403">
        <w:t>Right of use (ROU) property, plant and equipment</w:t>
      </w:r>
    </w:p>
    <w:p w14:paraId="1809FF66" w14:textId="77777777" w:rsidR="008D0DAB" w:rsidRPr="00F65403" w:rsidRDefault="008D0DAB" w:rsidP="008D0DAB">
      <w:pPr>
        <w:pStyle w:val="BodyText"/>
        <w:rPr>
          <w:lang w:val="en-AU"/>
        </w:rPr>
      </w:pPr>
      <w:r w:rsidRPr="00F65403">
        <w:rPr>
          <w:szCs w:val="24"/>
          <w:lang w:val="en-AU"/>
        </w:rPr>
        <w:t xml:space="preserve">The Group’s leased assets include land. </w:t>
      </w:r>
      <w:r w:rsidRPr="00F65403">
        <w:rPr>
          <w:lang w:val="en-AU"/>
        </w:rPr>
        <w:t>The Group recognises a ROU asset and a lease liability at the commencement date of the lease, being the date the underlying asset is available for use.</w:t>
      </w:r>
    </w:p>
    <w:p w14:paraId="5297A3A7" w14:textId="77777777" w:rsidR="008D0DAB" w:rsidRPr="00F65403" w:rsidRDefault="008D0DAB" w:rsidP="008D0DAB">
      <w:pPr>
        <w:pStyle w:val="BodyText"/>
        <w:rPr>
          <w:lang w:val="en-AU"/>
        </w:rPr>
      </w:pPr>
    </w:p>
    <w:p w14:paraId="7534A60E" w14:textId="77777777" w:rsidR="004756B5" w:rsidRDefault="004756B5">
      <w:pPr>
        <w:rPr>
          <w:rFonts w:eastAsia="Arial" w:cs="Arial"/>
          <w:sz w:val="20"/>
          <w:szCs w:val="20"/>
        </w:rPr>
      </w:pPr>
      <w:r>
        <w:br w:type="page"/>
      </w:r>
    </w:p>
    <w:p w14:paraId="1E6E0EF8" w14:textId="322FF772" w:rsidR="008D0DAB" w:rsidRPr="00F65403" w:rsidRDefault="008D0DAB" w:rsidP="008D0DAB">
      <w:pPr>
        <w:pStyle w:val="BodyText"/>
        <w:rPr>
          <w:lang w:val="en-AU"/>
        </w:rPr>
      </w:pPr>
      <w:r w:rsidRPr="00F65403">
        <w:rPr>
          <w:lang w:val="en-AU"/>
        </w:rPr>
        <w:t>ROU assets are initially measured at cost which comprises the initial amount of the lease liability adjusted for:</w:t>
      </w:r>
    </w:p>
    <w:p w14:paraId="7F40F6A3" w14:textId="77777777" w:rsidR="008D0DAB" w:rsidRPr="00F65403" w:rsidRDefault="008D0DAB" w:rsidP="008D0DAB">
      <w:pPr>
        <w:pStyle w:val="ListBullet"/>
        <w:rPr>
          <w:lang w:val="en-AU"/>
        </w:rPr>
      </w:pPr>
      <w:r w:rsidRPr="00F65403">
        <w:rPr>
          <w:lang w:val="en-AU"/>
        </w:rPr>
        <w:t>any lease payments made at or before the commencement date less any lease incentive received</w:t>
      </w:r>
    </w:p>
    <w:p w14:paraId="7A42D468" w14:textId="77777777" w:rsidR="008D0DAB" w:rsidRPr="00F65403" w:rsidRDefault="008D0DAB" w:rsidP="008D0DAB">
      <w:pPr>
        <w:pStyle w:val="ListBullet"/>
        <w:rPr>
          <w:lang w:val="en-AU"/>
        </w:rPr>
      </w:pPr>
      <w:r w:rsidRPr="00F65403">
        <w:rPr>
          <w:lang w:val="en-AU"/>
        </w:rPr>
        <w:t>any initial direct costs incurred</w:t>
      </w:r>
    </w:p>
    <w:p w14:paraId="70DB8A19" w14:textId="77777777" w:rsidR="008D0DAB" w:rsidRPr="00F65403" w:rsidRDefault="008D0DAB" w:rsidP="008D0DAB">
      <w:pPr>
        <w:pStyle w:val="ListBullet"/>
        <w:rPr>
          <w:lang w:val="en-AU"/>
        </w:rPr>
      </w:pPr>
      <w:r w:rsidRPr="00F65403">
        <w:rPr>
          <w:lang w:val="en-AU"/>
        </w:rPr>
        <w:t>an estimate of costs to dismantle and remove the underlying asset or to restore the underlying asset or the site on which it is located.</w:t>
      </w:r>
    </w:p>
    <w:p w14:paraId="314DC5B6" w14:textId="77777777" w:rsidR="008D0DAB" w:rsidRPr="00F65403" w:rsidRDefault="008D0DAB" w:rsidP="008D0DAB">
      <w:pPr>
        <w:pStyle w:val="BodyText"/>
        <w:rPr>
          <w:lang w:val="en-AU"/>
        </w:rPr>
      </w:pPr>
    </w:p>
    <w:p w14:paraId="0FA6AEDD" w14:textId="77777777" w:rsidR="008D0DAB" w:rsidRPr="00F65403" w:rsidRDefault="008D0DAB" w:rsidP="008D0DAB">
      <w:pPr>
        <w:pStyle w:val="BodyText"/>
        <w:rPr>
          <w:lang w:val="en-AU"/>
        </w:rPr>
      </w:pPr>
      <w:r w:rsidRPr="00F65403">
        <w:rPr>
          <w:lang w:val="en-AU"/>
        </w:rPr>
        <w:t>The Group depreciates the right-of-use assets on a straight-line basis from the lease commencement date to the earlier of the end of the useful life of the right-of-use asset or the end of the lease term. The right-of-use assets are also subject to revaluation.</w:t>
      </w:r>
    </w:p>
    <w:p w14:paraId="088EFC4D" w14:textId="77777777" w:rsidR="008D0DAB" w:rsidRPr="00F65403" w:rsidRDefault="008D0DAB" w:rsidP="008D0DAB">
      <w:pPr>
        <w:pStyle w:val="BodyText"/>
        <w:rPr>
          <w:lang w:val="en-AU"/>
        </w:rPr>
      </w:pPr>
    </w:p>
    <w:p w14:paraId="7071C94C" w14:textId="77777777" w:rsidR="008D0DAB" w:rsidRPr="00F65403" w:rsidRDefault="008D0DAB" w:rsidP="008D0DAB">
      <w:pPr>
        <w:pStyle w:val="BodyText"/>
        <w:rPr>
          <w:lang w:val="en-AU"/>
        </w:rPr>
      </w:pPr>
      <w:r w:rsidRPr="00F65403">
        <w:rPr>
          <w:lang w:val="en-AU"/>
        </w:rPr>
        <w:t>The following estimated useful lives are used in the calculation of depreciation on ROU assets:</w:t>
      </w:r>
    </w:p>
    <w:p w14:paraId="584452B5" w14:textId="24C3D2CC" w:rsidR="008D0DAB" w:rsidRPr="00F65403" w:rsidRDefault="01FCE52A" w:rsidP="008D0DAB">
      <w:pPr>
        <w:pStyle w:val="ListBullet"/>
        <w:rPr>
          <w:lang w:val="en-AU"/>
        </w:rPr>
      </w:pPr>
      <w:r w:rsidRPr="531F1360">
        <w:rPr>
          <w:lang w:val="en-AU"/>
        </w:rPr>
        <w:t>l</w:t>
      </w:r>
      <w:r w:rsidR="008D0DAB" w:rsidRPr="531F1360">
        <w:rPr>
          <w:lang w:val="en-AU"/>
        </w:rPr>
        <w:t>and ROU assets: lesser of lease period or up to 40 years</w:t>
      </w:r>
      <w:r w:rsidR="7A609670" w:rsidRPr="531F1360">
        <w:rPr>
          <w:lang w:val="en-AU"/>
        </w:rPr>
        <w:t>.</w:t>
      </w:r>
    </w:p>
    <w:p w14:paraId="5025CB63" w14:textId="77777777" w:rsidR="008D0DAB" w:rsidRPr="00F65403" w:rsidRDefault="008D0DAB" w:rsidP="008D0DAB">
      <w:pPr>
        <w:pStyle w:val="BodyText"/>
        <w:rPr>
          <w:lang w:val="en-AU"/>
        </w:rPr>
      </w:pPr>
    </w:p>
    <w:p w14:paraId="54F86271" w14:textId="77777777" w:rsidR="008D0DAB" w:rsidRPr="00F65403" w:rsidRDefault="008D0DAB" w:rsidP="008D0DAB">
      <w:pPr>
        <w:pStyle w:val="Heading9"/>
      </w:pPr>
      <w:r w:rsidRPr="00F65403">
        <w:t>Revaluations</w:t>
      </w:r>
    </w:p>
    <w:p w14:paraId="57E55BD8" w14:textId="77777777" w:rsidR="008D0DAB" w:rsidRPr="00F65403" w:rsidRDefault="008D0DAB" w:rsidP="008D0DAB">
      <w:pPr>
        <w:pStyle w:val="BodyText"/>
        <w:rPr>
          <w:lang w:val="en-AU"/>
        </w:rPr>
      </w:pPr>
      <w:r w:rsidRPr="6582C6F5">
        <w:rPr>
          <w:lang w:val="en-AU"/>
        </w:rPr>
        <w:t>A revaluation surplus is recorded in other comprehensive income (OCI) and credited to the asset revaluation surplus in equity. However, to the extent that it reverses a revaluation deficit of the same asset previously recognised in profit or loss, the increase is recognised in profit and loss. A revaluation deficit is recognised in the statement of profit or loss, except to the extent that it offsets an existing surplus on the same asset recognised in the asset revaluation surplus.</w:t>
      </w:r>
    </w:p>
    <w:p w14:paraId="150162A9" w14:textId="77777777" w:rsidR="008D0DAB" w:rsidRPr="00F65403" w:rsidRDefault="008D0DAB" w:rsidP="008D0DAB">
      <w:pPr>
        <w:pStyle w:val="BodyText"/>
        <w:rPr>
          <w:lang w:val="en-AU"/>
        </w:rPr>
      </w:pPr>
    </w:p>
    <w:p w14:paraId="7132A42A" w14:textId="77777777" w:rsidR="008D0DAB" w:rsidRPr="00F65403" w:rsidRDefault="008D0DAB" w:rsidP="008D0DAB">
      <w:pPr>
        <w:pStyle w:val="BodyText"/>
        <w:rPr>
          <w:lang w:val="en-AU"/>
        </w:rPr>
      </w:pPr>
      <w:r w:rsidRPr="00F65403">
        <w:rPr>
          <w:lang w:val="en-AU"/>
        </w:rPr>
        <w:t>An annual transfer from the asset revaluation surplus to retained earnings is made for the difference between depreciation based on the revalued carrying</w:t>
      </w:r>
      <w:r w:rsidRPr="00F65403">
        <w:rPr>
          <w:w w:val="105"/>
          <w:lang w:val="en-AU"/>
        </w:rPr>
        <w:t xml:space="preserve"> amount of </w:t>
      </w:r>
      <w:r w:rsidRPr="00F65403">
        <w:rPr>
          <w:lang w:val="en-AU"/>
        </w:rPr>
        <w:t>the asset and depreciation based on the asset’s original cost. Additionally, accumulated depreciation as at the revaluation date is eliminated against the gross carrying amount of the asset and the net amount is restated to the revalued amount of the asset. Upon disposal, any revaluation surplus relating to the particular asset being sold is transferred to retained earnings.</w:t>
      </w:r>
    </w:p>
    <w:p w14:paraId="3ED0D6FE" w14:textId="77777777" w:rsidR="008D0DAB" w:rsidRPr="00F65403" w:rsidRDefault="008D0DAB" w:rsidP="008D0DAB">
      <w:pPr>
        <w:pStyle w:val="BodyText"/>
        <w:rPr>
          <w:lang w:val="en-AU"/>
        </w:rPr>
      </w:pPr>
    </w:p>
    <w:p w14:paraId="6CD4B24D" w14:textId="77777777" w:rsidR="008D0DAB" w:rsidRPr="00F65403" w:rsidRDefault="008D0DAB" w:rsidP="008D0DAB">
      <w:pPr>
        <w:pStyle w:val="Heading8"/>
      </w:pPr>
      <w:r>
        <w:t>iii.</w:t>
      </w:r>
      <w:r>
        <w:tab/>
        <w:t>Determination of fair values for non-financial physical assets</w:t>
      </w:r>
      <w:r>
        <w:br/>
      </w:r>
    </w:p>
    <w:p w14:paraId="36C9209F" w14:textId="77777777" w:rsidR="008D0DAB" w:rsidRPr="00F65403" w:rsidRDefault="008D0DAB" w:rsidP="008D0DAB">
      <w:pPr>
        <w:pStyle w:val="BodyText"/>
        <w:rPr>
          <w:lang w:val="en-AU"/>
        </w:rPr>
      </w:pPr>
      <w:r w:rsidRPr="00F65403">
        <w:rPr>
          <w:lang w:val="en-AU"/>
        </w:rPr>
        <w:t>This section sets out information on how the Group determined fair value of non-financial physical assets for financial reporting purposes. Fair value is the price that would be received to sell an asset or paid to transfer a liability in an orderly transaction between market participants at the measurement date.</w:t>
      </w:r>
    </w:p>
    <w:p w14:paraId="5CF535EC" w14:textId="77777777" w:rsidR="008D0DAB" w:rsidRPr="00F65403" w:rsidRDefault="008D0DAB" w:rsidP="008D0DAB">
      <w:pPr>
        <w:pStyle w:val="BodyText"/>
        <w:rPr>
          <w:lang w:val="en-AU"/>
        </w:rPr>
      </w:pPr>
    </w:p>
    <w:p w14:paraId="4622877C" w14:textId="77777777" w:rsidR="008D0DAB" w:rsidRPr="00F65403" w:rsidRDefault="008D0DAB" w:rsidP="008D0DAB">
      <w:pPr>
        <w:pStyle w:val="BodyText"/>
        <w:rPr>
          <w:lang w:val="en-AU"/>
        </w:rPr>
      </w:pPr>
      <w:r w:rsidRPr="00F65403">
        <w:rPr>
          <w:lang w:val="en-AU"/>
        </w:rPr>
        <w:t>The following non-financial physical assets are carried at fair value:</w:t>
      </w:r>
    </w:p>
    <w:p w14:paraId="35B47757" w14:textId="77777777" w:rsidR="008D0DAB" w:rsidRPr="00F65403" w:rsidRDefault="008D0DAB" w:rsidP="008D0DAB">
      <w:pPr>
        <w:pStyle w:val="ListBullet"/>
        <w:rPr>
          <w:lang w:val="en-AU"/>
        </w:rPr>
      </w:pPr>
      <w:r w:rsidRPr="00F65403">
        <w:rPr>
          <w:lang w:val="en-AU"/>
        </w:rPr>
        <w:t>property, plant and equipment, excluding assets under construction</w:t>
      </w:r>
    </w:p>
    <w:p w14:paraId="67530F88" w14:textId="77777777" w:rsidR="008D0DAB" w:rsidRPr="00F65403" w:rsidRDefault="008D0DAB" w:rsidP="008D0DAB">
      <w:pPr>
        <w:pStyle w:val="ListBullet"/>
        <w:rPr>
          <w:lang w:val="en-AU"/>
        </w:rPr>
      </w:pPr>
      <w:r w:rsidRPr="00F65403">
        <w:rPr>
          <w:lang w:val="en-AU"/>
        </w:rPr>
        <w:t>right-of-use assets.</w:t>
      </w:r>
    </w:p>
    <w:p w14:paraId="7887C6D2" w14:textId="77777777" w:rsidR="008D0DAB" w:rsidRPr="00F65403" w:rsidRDefault="008D0DAB" w:rsidP="008D0DAB">
      <w:pPr>
        <w:pStyle w:val="BodyText"/>
        <w:rPr>
          <w:lang w:val="en-AU"/>
        </w:rPr>
      </w:pPr>
    </w:p>
    <w:p w14:paraId="0BE34E25" w14:textId="4BAB0ACA" w:rsidR="008D0DAB" w:rsidRPr="00F65403" w:rsidRDefault="008D0DAB" w:rsidP="008D0DAB">
      <w:pPr>
        <w:pStyle w:val="BodyText"/>
        <w:rPr>
          <w:lang w:val="en-AU"/>
        </w:rPr>
      </w:pPr>
      <w:r w:rsidRPr="193BDB44">
        <w:rPr>
          <w:lang w:val="en-AU"/>
        </w:rPr>
        <w:t xml:space="preserve">In determining fair values, a number of inputs are used. To increase consistency and comparability in the financial statements, these inputs are categorised into three levels, also </w:t>
      </w:r>
      <w:r w:rsidRPr="00B62BE6">
        <w:rPr>
          <w:lang w:val="en-AU"/>
        </w:rPr>
        <w:t xml:space="preserve">known as the fair value hierarchy. Classifications are in accordance with the fair value hierarchy, refer to </w:t>
      </w:r>
      <w:r w:rsidRPr="00C1358F">
        <w:rPr>
          <w:lang w:val="en-AU"/>
        </w:rPr>
        <w:t>Note 9ii. fair value measurements</w:t>
      </w:r>
      <w:r w:rsidRPr="00B62BE6">
        <w:rPr>
          <w:lang w:val="en-AU"/>
        </w:rPr>
        <w:t>.</w:t>
      </w:r>
    </w:p>
    <w:p w14:paraId="2A398BA1" w14:textId="77777777" w:rsidR="008D0DAB" w:rsidRPr="00F65403" w:rsidRDefault="008D0DAB" w:rsidP="008D0DAB">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4506"/>
        <w:gridCol w:w="931"/>
        <w:gridCol w:w="931"/>
        <w:gridCol w:w="490"/>
        <w:gridCol w:w="305"/>
        <w:gridCol w:w="933"/>
        <w:gridCol w:w="930"/>
      </w:tblGrid>
      <w:tr w:rsidR="008D0DAB" w:rsidRPr="00BC3365" w14:paraId="4E5EE31F" w14:textId="77777777" w:rsidTr="413EB596">
        <w:tc>
          <w:tcPr>
            <w:tcW w:w="2496" w:type="pct"/>
            <w:tcBorders>
              <w:top w:val="nil"/>
              <w:left w:val="nil"/>
              <w:bottom w:val="nil"/>
              <w:right w:val="nil"/>
            </w:tcBorders>
            <w:vAlign w:val="center"/>
            <w:hideMark/>
          </w:tcPr>
          <w:p w14:paraId="7CAE5D13"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2504" w:type="pct"/>
            <w:gridSpan w:val="6"/>
            <w:tcBorders>
              <w:top w:val="nil"/>
              <w:left w:val="nil"/>
              <w:bottom w:val="nil"/>
              <w:right w:val="nil"/>
            </w:tcBorders>
            <w:hideMark/>
          </w:tcPr>
          <w:p w14:paraId="4835ADF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BC3365" w14:paraId="13EDA0CB" w14:textId="77777777" w:rsidTr="413EB596">
        <w:tc>
          <w:tcPr>
            <w:tcW w:w="2496" w:type="pct"/>
            <w:tcBorders>
              <w:top w:val="nil"/>
              <w:left w:val="nil"/>
              <w:bottom w:val="nil"/>
              <w:right w:val="nil"/>
            </w:tcBorders>
            <w:noWrap/>
            <w:vAlign w:val="bottom"/>
            <w:hideMark/>
          </w:tcPr>
          <w:p w14:paraId="293BFDAC"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516" w:type="pct"/>
            <w:tcBorders>
              <w:top w:val="nil"/>
              <w:left w:val="nil"/>
              <w:bottom w:val="nil"/>
              <w:right w:val="nil"/>
            </w:tcBorders>
            <w:vAlign w:val="bottom"/>
            <w:hideMark/>
          </w:tcPr>
          <w:p w14:paraId="7D7F680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516" w:type="pct"/>
            <w:tcBorders>
              <w:top w:val="nil"/>
              <w:left w:val="nil"/>
              <w:bottom w:val="nil"/>
              <w:right w:val="nil"/>
            </w:tcBorders>
            <w:vAlign w:val="bottom"/>
            <w:hideMark/>
          </w:tcPr>
          <w:p w14:paraId="1BC7C03F"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440" w:type="pct"/>
            <w:gridSpan w:val="2"/>
            <w:tcBorders>
              <w:top w:val="nil"/>
              <w:left w:val="nil"/>
              <w:bottom w:val="nil"/>
              <w:right w:val="nil"/>
            </w:tcBorders>
            <w:vAlign w:val="bottom"/>
            <w:hideMark/>
          </w:tcPr>
          <w:p w14:paraId="5926FEB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517" w:type="pct"/>
            <w:tcBorders>
              <w:top w:val="nil"/>
              <w:left w:val="nil"/>
              <w:bottom w:val="nil"/>
              <w:right w:val="nil"/>
            </w:tcBorders>
            <w:vAlign w:val="bottom"/>
            <w:hideMark/>
          </w:tcPr>
          <w:p w14:paraId="480767EF"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516" w:type="pct"/>
            <w:tcBorders>
              <w:top w:val="nil"/>
              <w:left w:val="nil"/>
              <w:bottom w:val="nil"/>
              <w:right w:val="nil"/>
            </w:tcBorders>
            <w:vAlign w:val="bottom"/>
            <w:hideMark/>
          </w:tcPr>
          <w:p w14:paraId="5F2B1C6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BC3365" w14:paraId="51307E16" w14:textId="77777777" w:rsidTr="413EB596">
        <w:tc>
          <w:tcPr>
            <w:tcW w:w="2496" w:type="pct"/>
            <w:tcBorders>
              <w:top w:val="nil"/>
              <w:left w:val="nil"/>
              <w:bottom w:val="nil"/>
              <w:right w:val="nil"/>
            </w:tcBorders>
            <w:noWrap/>
            <w:vAlign w:val="bottom"/>
            <w:hideMark/>
          </w:tcPr>
          <w:p w14:paraId="1E3E4B83"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land</w:t>
            </w:r>
          </w:p>
        </w:tc>
        <w:tc>
          <w:tcPr>
            <w:tcW w:w="516" w:type="pct"/>
            <w:tcBorders>
              <w:top w:val="nil"/>
              <w:left w:val="nil"/>
              <w:bottom w:val="nil"/>
              <w:right w:val="nil"/>
            </w:tcBorders>
            <w:noWrap/>
            <w:vAlign w:val="center"/>
          </w:tcPr>
          <w:p w14:paraId="56E3AA2B" w14:textId="77777777" w:rsidR="008D0DAB" w:rsidRPr="00F65403" w:rsidRDefault="008D0DAB" w:rsidP="009B7B2A">
            <w:pPr>
              <w:tabs>
                <w:tab w:val="decimal" w:pos="737"/>
              </w:tabs>
              <w:spacing w:after="0" w:line="240" w:lineRule="auto"/>
              <w:jc w:val="center"/>
              <w:rPr>
                <w:rFonts w:eastAsia="Times New Roman" w:cs="Arial"/>
                <w:color w:val="000000"/>
                <w:sz w:val="20"/>
                <w:szCs w:val="20"/>
                <w:lang w:eastAsia="en-AU"/>
              </w:rPr>
            </w:pPr>
            <w:r>
              <w:rPr>
                <w:rFonts w:cs="Arial"/>
                <w:color w:val="000000"/>
                <w:sz w:val="20"/>
                <w:szCs w:val="20"/>
              </w:rPr>
              <w:t>6,271</w:t>
            </w:r>
          </w:p>
        </w:tc>
        <w:tc>
          <w:tcPr>
            <w:tcW w:w="516" w:type="pct"/>
            <w:tcBorders>
              <w:top w:val="nil"/>
              <w:left w:val="nil"/>
              <w:bottom w:val="nil"/>
              <w:right w:val="nil"/>
            </w:tcBorders>
            <w:vAlign w:val="center"/>
          </w:tcPr>
          <w:p w14:paraId="77041BB2" w14:textId="77777777" w:rsidR="008D0DAB" w:rsidRPr="00F65403" w:rsidRDefault="008D0DAB" w:rsidP="009B7B2A">
            <w:pPr>
              <w:tabs>
                <w:tab w:val="decimal" w:pos="737"/>
              </w:tabs>
              <w:spacing w:after="0" w:line="240" w:lineRule="auto"/>
              <w:jc w:val="center"/>
              <w:rPr>
                <w:rFonts w:eastAsia="Times New Roman" w:cs="Arial"/>
                <w:color w:val="000000"/>
                <w:sz w:val="20"/>
                <w:szCs w:val="20"/>
                <w:lang w:eastAsia="en-AU"/>
              </w:rPr>
            </w:pPr>
            <w:r>
              <w:rPr>
                <w:rFonts w:cs="Arial"/>
                <w:color w:val="000000"/>
                <w:sz w:val="20"/>
                <w:szCs w:val="20"/>
              </w:rPr>
              <w:t>-</w:t>
            </w:r>
          </w:p>
        </w:tc>
        <w:tc>
          <w:tcPr>
            <w:tcW w:w="440" w:type="pct"/>
            <w:gridSpan w:val="2"/>
            <w:tcBorders>
              <w:top w:val="nil"/>
              <w:left w:val="nil"/>
              <w:bottom w:val="nil"/>
              <w:right w:val="nil"/>
            </w:tcBorders>
            <w:vAlign w:val="center"/>
          </w:tcPr>
          <w:p w14:paraId="73A760F7" w14:textId="77777777" w:rsidR="008D0DAB" w:rsidRPr="00F65403" w:rsidRDefault="008D0DAB" w:rsidP="009B7B2A">
            <w:pPr>
              <w:tabs>
                <w:tab w:val="decimal" w:pos="737"/>
              </w:tabs>
              <w:spacing w:after="0" w:line="240" w:lineRule="auto"/>
              <w:jc w:val="center"/>
              <w:rPr>
                <w:rFonts w:eastAsia="Times New Roman" w:cs="Arial"/>
                <w:color w:val="000000"/>
                <w:sz w:val="20"/>
                <w:szCs w:val="20"/>
                <w:lang w:eastAsia="en-AU"/>
              </w:rPr>
            </w:pPr>
            <w:r>
              <w:rPr>
                <w:rFonts w:cs="Arial"/>
                <w:color w:val="000000"/>
                <w:sz w:val="20"/>
                <w:szCs w:val="20"/>
              </w:rPr>
              <w:t>-</w:t>
            </w:r>
          </w:p>
        </w:tc>
        <w:tc>
          <w:tcPr>
            <w:tcW w:w="517" w:type="pct"/>
            <w:tcBorders>
              <w:top w:val="nil"/>
              <w:left w:val="nil"/>
              <w:bottom w:val="nil"/>
              <w:right w:val="nil"/>
            </w:tcBorders>
            <w:noWrap/>
            <w:vAlign w:val="center"/>
          </w:tcPr>
          <w:p w14:paraId="773FD3BF" w14:textId="77777777" w:rsidR="008D0DAB" w:rsidRPr="00F65403" w:rsidRDefault="008D0DAB" w:rsidP="009B7B2A">
            <w:pPr>
              <w:tabs>
                <w:tab w:val="decimal" w:pos="737"/>
              </w:tabs>
              <w:spacing w:after="0" w:line="240" w:lineRule="auto"/>
              <w:jc w:val="center"/>
              <w:rPr>
                <w:rFonts w:eastAsia="Times New Roman" w:cs="Arial"/>
                <w:color w:val="000000"/>
                <w:sz w:val="20"/>
                <w:szCs w:val="20"/>
                <w:lang w:eastAsia="en-AU"/>
              </w:rPr>
            </w:pPr>
            <w:r>
              <w:rPr>
                <w:rFonts w:cs="Arial"/>
                <w:color w:val="000000"/>
                <w:sz w:val="20"/>
                <w:szCs w:val="20"/>
              </w:rPr>
              <w:t>6,271</w:t>
            </w:r>
          </w:p>
        </w:tc>
        <w:tc>
          <w:tcPr>
            <w:tcW w:w="516" w:type="pct"/>
            <w:tcBorders>
              <w:top w:val="nil"/>
              <w:left w:val="nil"/>
              <w:bottom w:val="nil"/>
              <w:right w:val="nil"/>
            </w:tcBorders>
            <w:noWrap/>
            <w:vAlign w:val="center"/>
          </w:tcPr>
          <w:p w14:paraId="66AB3581" w14:textId="77777777" w:rsidR="008D0DAB" w:rsidRPr="00F65403" w:rsidRDefault="008D0DAB" w:rsidP="009B7B2A">
            <w:pPr>
              <w:tabs>
                <w:tab w:val="decimal" w:pos="737"/>
              </w:tabs>
              <w:spacing w:after="0" w:line="240" w:lineRule="auto"/>
              <w:jc w:val="center"/>
              <w:rPr>
                <w:rFonts w:eastAsia="Times New Roman" w:cs="Arial"/>
                <w:color w:val="000000"/>
                <w:sz w:val="20"/>
                <w:szCs w:val="20"/>
                <w:lang w:eastAsia="en-AU"/>
              </w:rPr>
            </w:pPr>
            <w:r>
              <w:rPr>
                <w:rFonts w:cs="Arial"/>
                <w:color w:val="000000"/>
                <w:sz w:val="20"/>
                <w:szCs w:val="20"/>
              </w:rPr>
              <w:t>6,271</w:t>
            </w:r>
          </w:p>
        </w:tc>
      </w:tr>
      <w:tr w:rsidR="008D0DAB" w:rsidRPr="00BC3365" w14:paraId="6F239468" w14:textId="77777777" w:rsidTr="413EB596">
        <w:tc>
          <w:tcPr>
            <w:tcW w:w="2496" w:type="pct"/>
            <w:tcBorders>
              <w:top w:val="nil"/>
              <w:left w:val="nil"/>
              <w:bottom w:val="nil"/>
              <w:right w:val="nil"/>
            </w:tcBorders>
            <w:noWrap/>
            <w:vAlign w:val="center"/>
            <w:hideMark/>
          </w:tcPr>
          <w:p w14:paraId="4C62053B" w14:textId="77777777" w:rsidR="008D0DAB" w:rsidRPr="00F65403" w:rsidRDefault="008D0DAB"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w:t>
            </w:r>
          </w:p>
        </w:tc>
        <w:tc>
          <w:tcPr>
            <w:tcW w:w="516" w:type="pct"/>
            <w:tcBorders>
              <w:top w:val="single" w:sz="8" w:space="0" w:color="auto"/>
              <w:left w:val="nil"/>
              <w:bottom w:val="single" w:sz="8" w:space="0" w:color="auto"/>
              <w:right w:val="nil"/>
            </w:tcBorders>
            <w:vAlign w:val="center"/>
            <w:hideMark/>
          </w:tcPr>
          <w:p w14:paraId="676F9035" w14:textId="77777777" w:rsidR="008D0DAB" w:rsidRPr="00F65403" w:rsidRDefault="008D0DAB" w:rsidP="009B7B2A">
            <w:pPr>
              <w:tabs>
                <w:tab w:val="decimal" w:pos="737"/>
              </w:tabs>
              <w:spacing w:after="0" w:line="240" w:lineRule="auto"/>
              <w:jc w:val="center"/>
              <w:rPr>
                <w:rFonts w:eastAsia="Times New Roman" w:cs="Arial"/>
                <w:b/>
                <w:color w:val="000000"/>
                <w:sz w:val="20"/>
                <w:szCs w:val="20"/>
                <w:lang w:eastAsia="en-AU"/>
              </w:rPr>
            </w:pPr>
            <w:r>
              <w:rPr>
                <w:rFonts w:cs="Arial"/>
                <w:b/>
                <w:bCs/>
                <w:color w:val="000000"/>
                <w:sz w:val="20"/>
                <w:szCs w:val="20"/>
              </w:rPr>
              <w:t>6,271</w:t>
            </w:r>
          </w:p>
        </w:tc>
        <w:tc>
          <w:tcPr>
            <w:tcW w:w="516" w:type="pct"/>
            <w:tcBorders>
              <w:top w:val="single" w:sz="8" w:space="0" w:color="auto"/>
              <w:left w:val="nil"/>
              <w:bottom w:val="single" w:sz="8" w:space="0" w:color="auto"/>
              <w:right w:val="nil"/>
            </w:tcBorders>
            <w:vAlign w:val="center"/>
            <w:hideMark/>
          </w:tcPr>
          <w:p w14:paraId="3DFC310C" w14:textId="77777777" w:rsidR="008D0DAB" w:rsidRPr="00F65403" w:rsidRDefault="008D0DAB" w:rsidP="009B7B2A">
            <w:pPr>
              <w:tabs>
                <w:tab w:val="decimal" w:pos="737"/>
              </w:tabs>
              <w:spacing w:after="0" w:line="240" w:lineRule="auto"/>
              <w:jc w:val="center"/>
              <w:rPr>
                <w:rFonts w:eastAsia="Times New Roman" w:cs="Arial"/>
                <w:b/>
                <w:color w:val="000000"/>
                <w:sz w:val="20"/>
                <w:szCs w:val="20"/>
                <w:lang w:eastAsia="en-AU"/>
              </w:rPr>
            </w:pPr>
            <w:r>
              <w:rPr>
                <w:rFonts w:cs="Arial"/>
                <w:b/>
                <w:bCs/>
                <w:color w:val="000000"/>
                <w:sz w:val="20"/>
                <w:szCs w:val="20"/>
              </w:rPr>
              <w:t>-</w:t>
            </w:r>
          </w:p>
        </w:tc>
        <w:tc>
          <w:tcPr>
            <w:tcW w:w="440" w:type="pct"/>
            <w:gridSpan w:val="2"/>
            <w:tcBorders>
              <w:top w:val="single" w:sz="8" w:space="0" w:color="auto"/>
              <w:left w:val="nil"/>
              <w:bottom w:val="single" w:sz="8" w:space="0" w:color="auto"/>
              <w:right w:val="nil"/>
            </w:tcBorders>
            <w:vAlign w:val="center"/>
            <w:hideMark/>
          </w:tcPr>
          <w:p w14:paraId="0EF27380" w14:textId="77777777" w:rsidR="008D0DAB" w:rsidRPr="00F65403" w:rsidRDefault="008D0DAB" w:rsidP="009B7B2A">
            <w:pPr>
              <w:tabs>
                <w:tab w:val="decimal" w:pos="737"/>
              </w:tabs>
              <w:spacing w:after="0" w:line="240" w:lineRule="auto"/>
              <w:jc w:val="center"/>
              <w:rPr>
                <w:rFonts w:eastAsia="Times New Roman" w:cs="Arial"/>
                <w:b/>
                <w:color w:val="000000"/>
                <w:sz w:val="20"/>
                <w:szCs w:val="20"/>
                <w:lang w:eastAsia="en-AU"/>
              </w:rPr>
            </w:pPr>
            <w:r>
              <w:rPr>
                <w:rFonts w:cs="Arial"/>
                <w:b/>
                <w:bCs/>
                <w:color w:val="000000"/>
                <w:sz w:val="20"/>
                <w:szCs w:val="20"/>
              </w:rPr>
              <w:t>-</w:t>
            </w:r>
          </w:p>
        </w:tc>
        <w:tc>
          <w:tcPr>
            <w:tcW w:w="517" w:type="pct"/>
            <w:tcBorders>
              <w:top w:val="single" w:sz="8" w:space="0" w:color="auto"/>
              <w:left w:val="nil"/>
              <w:bottom w:val="single" w:sz="8" w:space="0" w:color="auto"/>
              <w:right w:val="nil"/>
            </w:tcBorders>
            <w:vAlign w:val="center"/>
            <w:hideMark/>
          </w:tcPr>
          <w:p w14:paraId="0645BCB0" w14:textId="77777777" w:rsidR="008D0DAB" w:rsidRPr="00F65403" w:rsidRDefault="008D0DAB" w:rsidP="009B7B2A">
            <w:pPr>
              <w:tabs>
                <w:tab w:val="decimal" w:pos="737"/>
              </w:tabs>
              <w:spacing w:after="0" w:line="240" w:lineRule="auto"/>
              <w:jc w:val="center"/>
              <w:rPr>
                <w:rFonts w:eastAsia="Times New Roman" w:cs="Arial"/>
                <w:b/>
                <w:color w:val="000000"/>
                <w:sz w:val="20"/>
                <w:szCs w:val="20"/>
                <w:lang w:eastAsia="en-AU"/>
              </w:rPr>
            </w:pPr>
            <w:r>
              <w:rPr>
                <w:rFonts w:cs="Arial"/>
                <w:b/>
                <w:bCs/>
                <w:color w:val="000000"/>
                <w:sz w:val="20"/>
                <w:szCs w:val="20"/>
              </w:rPr>
              <w:t>6,271</w:t>
            </w:r>
          </w:p>
        </w:tc>
        <w:tc>
          <w:tcPr>
            <w:tcW w:w="516" w:type="pct"/>
            <w:tcBorders>
              <w:top w:val="single" w:sz="8" w:space="0" w:color="auto"/>
              <w:left w:val="nil"/>
              <w:bottom w:val="single" w:sz="8" w:space="0" w:color="auto"/>
              <w:right w:val="nil"/>
            </w:tcBorders>
            <w:vAlign w:val="center"/>
            <w:hideMark/>
          </w:tcPr>
          <w:p w14:paraId="3C644E7B" w14:textId="77777777" w:rsidR="008D0DAB" w:rsidRPr="00F65403" w:rsidRDefault="008D0DAB" w:rsidP="009B7B2A">
            <w:pPr>
              <w:tabs>
                <w:tab w:val="decimal" w:pos="737"/>
              </w:tabs>
              <w:spacing w:after="0" w:line="240" w:lineRule="auto"/>
              <w:jc w:val="center"/>
              <w:rPr>
                <w:rFonts w:eastAsia="Times New Roman" w:cs="Arial"/>
                <w:b/>
                <w:color w:val="000000"/>
                <w:sz w:val="20"/>
                <w:szCs w:val="20"/>
                <w:lang w:eastAsia="en-AU"/>
              </w:rPr>
            </w:pPr>
            <w:r>
              <w:rPr>
                <w:rFonts w:cs="Arial"/>
                <w:b/>
                <w:bCs/>
                <w:color w:val="000000"/>
                <w:sz w:val="20"/>
                <w:szCs w:val="20"/>
              </w:rPr>
              <w:t>6,271</w:t>
            </w:r>
          </w:p>
        </w:tc>
      </w:tr>
      <w:tr w:rsidR="008D0DAB" w:rsidRPr="00BC3365" w14:paraId="44657B2C" w14:textId="77777777" w:rsidTr="413EB596">
        <w:tc>
          <w:tcPr>
            <w:tcW w:w="2496" w:type="pct"/>
            <w:tcBorders>
              <w:top w:val="nil"/>
              <w:left w:val="nil"/>
              <w:bottom w:val="nil"/>
              <w:right w:val="nil"/>
            </w:tcBorders>
            <w:noWrap/>
            <w:vAlign w:val="bottom"/>
            <w:hideMark/>
          </w:tcPr>
          <w:p w14:paraId="43013DD0"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1303" w:type="pct"/>
            <w:gridSpan w:val="3"/>
            <w:tcBorders>
              <w:top w:val="nil"/>
              <w:left w:val="nil"/>
              <w:bottom w:val="nil"/>
              <w:right w:val="nil"/>
            </w:tcBorders>
            <w:vAlign w:val="center"/>
            <w:hideMark/>
          </w:tcPr>
          <w:p w14:paraId="21AD1AEC" w14:textId="77777777" w:rsidR="008D0DAB" w:rsidRPr="00F65403" w:rsidRDefault="008D0DAB" w:rsidP="009B7B2A">
            <w:pPr>
              <w:spacing w:after="0" w:line="240" w:lineRule="auto"/>
              <w:jc w:val="right"/>
              <w:rPr>
                <w:rFonts w:eastAsia="Times New Roman" w:cs="Arial"/>
                <w:sz w:val="20"/>
                <w:szCs w:val="20"/>
                <w:lang w:eastAsia="en-AU"/>
              </w:rPr>
            </w:pPr>
          </w:p>
        </w:tc>
        <w:tc>
          <w:tcPr>
            <w:tcW w:w="1202" w:type="pct"/>
            <w:gridSpan w:val="3"/>
            <w:tcBorders>
              <w:top w:val="nil"/>
              <w:left w:val="nil"/>
              <w:bottom w:val="nil"/>
              <w:right w:val="nil"/>
            </w:tcBorders>
            <w:noWrap/>
            <w:vAlign w:val="bottom"/>
            <w:hideMark/>
          </w:tcPr>
          <w:p w14:paraId="08EE98B8" w14:textId="77777777" w:rsidR="008D0DAB" w:rsidRPr="00F65403" w:rsidRDefault="008D0DAB" w:rsidP="009B7B2A">
            <w:pPr>
              <w:spacing w:after="0" w:line="240" w:lineRule="auto"/>
              <w:jc w:val="right"/>
              <w:rPr>
                <w:rFonts w:eastAsia="Times New Roman" w:cs="Arial"/>
                <w:sz w:val="20"/>
                <w:szCs w:val="20"/>
                <w:lang w:eastAsia="en-AU"/>
              </w:rPr>
            </w:pPr>
          </w:p>
        </w:tc>
      </w:tr>
    </w:tbl>
    <w:p w14:paraId="043326E6" w14:textId="77777777" w:rsidR="008D0DAB" w:rsidRPr="00F65403" w:rsidRDefault="008D0DAB" w:rsidP="008D0DAB">
      <w:pPr>
        <w:pStyle w:val="BodyText"/>
        <w:rPr>
          <w:lang w:val="en-AU"/>
        </w:rPr>
      </w:pPr>
    </w:p>
    <w:p w14:paraId="3967E5D9" w14:textId="77777777" w:rsidR="008D0DAB" w:rsidRPr="00F65403" w:rsidRDefault="008D0DAB" w:rsidP="008D0DAB">
      <w:pPr>
        <w:pStyle w:val="BodyText"/>
        <w:rPr>
          <w:lang w:val="en-AU"/>
        </w:rPr>
      </w:pPr>
      <w:r w:rsidRPr="00F65403">
        <w:rPr>
          <w:lang w:val="en-AU"/>
        </w:rPr>
        <w:t>ROU are valued using the market approach assessing against rental market indicators, including comparable leases. As the fair value is subsequently depreciated over the earlier of the end of the useful life of the right-of- use asset or the end of the lease term over the lesser, this is considered a significant, unobservable input, and classified as Level 3.</w:t>
      </w:r>
    </w:p>
    <w:p w14:paraId="61E99AAF" w14:textId="77777777" w:rsidR="008D0DAB" w:rsidRPr="00F65403" w:rsidRDefault="008D0DAB" w:rsidP="008D0DAB">
      <w:pPr>
        <w:pStyle w:val="BodyText"/>
        <w:rPr>
          <w:lang w:val="en-AU"/>
        </w:rPr>
      </w:pPr>
    </w:p>
    <w:p w14:paraId="59E01825" w14:textId="77777777" w:rsidR="008D0DAB" w:rsidRPr="00F65403" w:rsidRDefault="008D0DAB" w:rsidP="008D0DAB">
      <w:pPr>
        <w:pStyle w:val="Heading8"/>
      </w:pPr>
      <w:r>
        <w:t>iv.</w:t>
      </w:r>
      <w:r>
        <w:tab/>
        <w:t>Reconciliation of Level 3 fair value movements</w:t>
      </w:r>
    </w:p>
    <w:tbl>
      <w:tblPr>
        <w:tblW w:w="5000" w:type="pct"/>
        <w:tblCellMar>
          <w:top w:w="28" w:type="dxa"/>
          <w:left w:w="28" w:type="dxa"/>
          <w:bottom w:w="28" w:type="dxa"/>
          <w:right w:w="28" w:type="dxa"/>
        </w:tblCellMar>
        <w:tblLook w:val="04A0" w:firstRow="1" w:lastRow="0" w:firstColumn="1" w:lastColumn="0" w:noHBand="0" w:noVBand="1"/>
      </w:tblPr>
      <w:tblGrid>
        <w:gridCol w:w="6452"/>
        <w:gridCol w:w="1262"/>
        <w:gridCol w:w="1312"/>
      </w:tblGrid>
      <w:tr w:rsidR="008D0DAB" w:rsidRPr="00901F1B" w14:paraId="6DB8B27C" w14:textId="77777777" w:rsidTr="00AA3AC5">
        <w:trPr>
          <w:trHeight w:val="300"/>
        </w:trPr>
        <w:tc>
          <w:tcPr>
            <w:tcW w:w="3574" w:type="pct"/>
            <w:tcBorders>
              <w:top w:val="nil"/>
              <w:left w:val="nil"/>
              <w:bottom w:val="nil"/>
              <w:right w:val="nil"/>
            </w:tcBorders>
            <w:noWrap/>
            <w:vAlign w:val="bottom"/>
            <w:hideMark/>
          </w:tcPr>
          <w:p w14:paraId="050B24DA" w14:textId="77777777" w:rsidR="008D0DAB" w:rsidRPr="00F65403" w:rsidRDefault="008D0DAB" w:rsidP="009B7B2A">
            <w:pPr>
              <w:spacing w:after="0" w:line="240" w:lineRule="auto"/>
              <w:rPr>
                <w:rFonts w:eastAsia="Times New Roman" w:cs="Arial"/>
                <w:sz w:val="20"/>
                <w:szCs w:val="20"/>
                <w:lang w:eastAsia="en-AU"/>
              </w:rPr>
            </w:pPr>
          </w:p>
        </w:tc>
        <w:tc>
          <w:tcPr>
            <w:tcW w:w="699" w:type="pct"/>
            <w:tcBorders>
              <w:top w:val="nil"/>
              <w:left w:val="nil"/>
              <w:bottom w:val="nil"/>
              <w:right w:val="nil"/>
            </w:tcBorders>
            <w:hideMark/>
          </w:tcPr>
          <w:p w14:paraId="179177C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Right-of-use land</w:t>
            </w:r>
          </w:p>
        </w:tc>
        <w:tc>
          <w:tcPr>
            <w:tcW w:w="727" w:type="pct"/>
            <w:tcBorders>
              <w:top w:val="nil"/>
              <w:left w:val="nil"/>
              <w:bottom w:val="nil"/>
              <w:right w:val="nil"/>
            </w:tcBorders>
            <w:vAlign w:val="bottom"/>
            <w:hideMark/>
          </w:tcPr>
          <w:p w14:paraId="42AC795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 Total </w:t>
            </w:r>
          </w:p>
        </w:tc>
      </w:tr>
      <w:tr w:rsidR="008D0DAB" w:rsidRPr="00901F1B" w14:paraId="7B1205B1" w14:textId="77777777" w:rsidTr="00AA3AC5">
        <w:trPr>
          <w:trHeight w:val="119"/>
        </w:trPr>
        <w:tc>
          <w:tcPr>
            <w:tcW w:w="3574" w:type="pct"/>
            <w:tcBorders>
              <w:top w:val="nil"/>
              <w:left w:val="nil"/>
              <w:bottom w:val="nil"/>
              <w:right w:val="nil"/>
            </w:tcBorders>
            <w:noWrap/>
            <w:vAlign w:val="bottom"/>
            <w:hideMark/>
          </w:tcPr>
          <w:p w14:paraId="61A426BF"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699" w:type="pct"/>
            <w:tcBorders>
              <w:top w:val="nil"/>
              <w:left w:val="nil"/>
              <w:bottom w:val="nil"/>
              <w:right w:val="nil"/>
            </w:tcBorders>
            <w:noWrap/>
            <w:vAlign w:val="bottom"/>
            <w:hideMark/>
          </w:tcPr>
          <w:p w14:paraId="716F563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7" w:type="pct"/>
            <w:tcBorders>
              <w:top w:val="nil"/>
              <w:left w:val="nil"/>
              <w:bottom w:val="nil"/>
              <w:right w:val="nil"/>
            </w:tcBorders>
            <w:noWrap/>
            <w:vAlign w:val="bottom"/>
            <w:hideMark/>
          </w:tcPr>
          <w:p w14:paraId="574B33E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901F1B" w14:paraId="74B99E31" w14:textId="77777777" w:rsidTr="00AA3AC5">
        <w:trPr>
          <w:trHeight w:val="40"/>
        </w:trPr>
        <w:tc>
          <w:tcPr>
            <w:tcW w:w="3574" w:type="pct"/>
            <w:tcBorders>
              <w:top w:val="nil"/>
              <w:left w:val="nil"/>
              <w:bottom w:val="nil"/>
              <w:right w:val="nil"/>
            </w:tcBorders>
            <w:noWrap/>
            <w:vAlign w:val="bottom"/>
            <w:hideMark/>
          </w:tcPr>
          <w:p w14:paraId="7D71580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Opening balance</w:t>
            </w:r>
          </w:p>
        </w:tc>
        <w:tc>
          <w:tcPr>
            <w:tcW w:w="699" w:type="pct"/>
            <w:tcBorders>
              <w:top w:val="nil"/>
              <w:left w:val="nil"/>
              <w:bottom w:val="nil"/>
              <w:right w:val="nil"/>
            </w:tcBorders>
            <w:noWrap/>
            <w:vAlign w:val="bottom"/>
            <w:hideMark/>
          </w:tcPr>
          <w:p w14:paraId="004AE0C9" w14:textId="77777777" w:rsidR="008D0DAB" w:rsidRPr="0080685E" w:rsidRDefault="008D0DAB" w:rsidP="009B7B2A">
            <w:pPr>
              <w:tabs>
                <w:tab w:val="decimal" w:pos="737"/>
              </w:tabs>
              <w:spacing w:after="0" w:line="240" w:lineRule="auto"/>
              <w:jc w:val="center"/>
              <w:rPr>
                <w:rFonts w:cs="Arial"/>
                <w:color w:val="000000"/>
                <w:sz w:val="20"/>
                <w:szCs w:val="20"/>
              </w:rPr>
            </w:pPr>
            <w:r w:rsidRPr="0080685E">
              <w:rPr>
                <w:rFonts w:cs="Arial"/>
                <w:color w:val="000000"/>
                <w:sz w:val="20"/>
                <w:szCs w:val="20"/>
              </w:rPr>
              <w:t>-</w:t>
            </w:r>
          </w:p>
        </w:tc>
        <w:tc>
          <w:tcPr>
            <w:tcW w:w="727" w:type="pct"/>
            <w:tcBorders>
              <w:top w:val="nil"/>
              <w:left w:val="nil"/>
              <w:bottom w:val="nil"/>
              <w:right w:val="nil"/>
            </w:tcBorders>
            <w:noWrap/>
            <w:vAlign w:val="bottom"/>
            <w:hideMark/>
          </w:tcPr>
          <w:p w14:paraId="539E2336" w14:textId="77777777" w:rsidR="008D0DAB" w:rsidRPr="0080685E" w:rsidRDefault="008D0DAB" w:rsidP="009B7B2A">
            <w:pPr>
              <w:tabs>
                <w:tab w:val="decimal" w:pos="737"/>
              </w:tabs>
              <w:spacing w:after="0" w:line="240" w:lineRule="auto"/>
              <w:jc w:val="center"/>
              <w:rPr>
                <w:rFonts w:cs="Arial"/>
                <w:color w:val="000000"/>
                <w:sz w:val="20"/>
                <w:szCs w:val="20"/>
              </w:rPr>
            </w:pPr>
            <w:r w:rsidRPr="0080685E">
              <w:rPr>
                <w:rFonts w:cs="Arial"/>
                <w:color w:val="000000"/>
                <w:sz w:val="20"/>
                <w:szCs w:val="20"/>
              </w:rPr>
              <w:t>-</w:t>
            </w:r>
          </w:p>
        </w:tc>
      </w:tr>
      <w:tr w:rsidR="0004747C" w:rsidRPr="00901F1B" w14:paraId="3B3D387D" w14:textId="77777777" w:rsidTr="00AA3AC5">
        <w:trPr>
          <w:trHeight w:val="177"/>
        </w:trPr>
        <w:tc>
          <w:tcPr>
            <w:tcW w:w="3574" w:type="pct"/>
            <w:tcBorders>
              <w:top w:val="nil"/>
              <w:left w:val="nil"/>
              <w:bottom w:val="nil"/>
              <w:right w:val="nil"/>
            </w:tcBorders>
            <w:noWrap/>
            <w:vAlign w:val="bottom"/>
            <w:hideMark/>
          </w:tcPr>
          <w:p w14:paraId="0FF6A248" w14:textId="77777777" w:rsidR="0004747C" w:rsidRPr="00F65403" w:rsidRDefault="0004747C" w:rsidP="000474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Purchases</w:t>
            </w:r>
          </w:p>
        </w:tc>
        <w:tc>
          <w:tcPr>
            <w:tcW w:w="699" w:type="pct"/>
            <w:tcBorders>
              <w:top w:val="nil"/>
              <w:left w:val="nil"/>
              <w:right w:val="nil"/>
            </w:tcBorders>
            <w:noWrap/>
            <w:vAlign w:val="bottom"/>
          </w:tcPr>
          <w:p w14:paraId="03BC6DF7" w14:textId="77777777" w:rsidR="0004747C" w:rsidRPr="0080685E" w:rsidRDefault="0004747C" w:rsidP="0004747C">
            <w:pPr>
              <w:tabs>
                <w:tab w:val="decimal" w:pos="737"/>
              </w:tabs>
              <w:spacing w:after="0" w:line="240" w:lineRule="auto"/>
              <w:jc w:val="center"/>
              <w:rPr>
                <w:rFonts w:cs="Arial"/>
                <w:color w:val="000000"/>
                <w:sz w:val="20"/>
                <w:szCs w:val="20"/>
              </w:rPr>
            </w:pPr>
            <w:r w:rsidRPr="0059608B">
              <w:rPr>
                <w:rFonts w:cs="Arial"/>
                <w:color w:val="000000"/>
                <w:sz w:val="20"/>
                <w:szCs w:val="20"/>
              </w:rPr>
              <w:t>6,391</w:t>
            </w:r>
          </w:p>
        </w:tc>
        <w:tc>
          <w:tcPr>
            <w:tcW w:w="727" w:type="pct"/>
            <w:tcBorders>
              <w:top w:val="nil"/>
              <w:left w:val="nil"/>
              <w:right w:val="nil"/>
            </w:tcBorders>
            <w:noWrap/>
            <w:vAlign w:val="bottom"/>
          </w:tcPr>
          <w:p w14:paraId="6ED34CFB" w14:textId="55B7DECB" w:rsidR="0004747C" w:rsidRPr="0080685E" w:rsidRDefault="0004747C" w:rsidP="0004747C">
            <w:pPr>
              <w:tabs>
                <w:tab w:val="decimal" w:pos="737"/>
              </w:tabs>
              <w:spacing w:after="0" w:line="240" w:lineRule="auto"/>
              <w:jc w:val="center"/>
              <w:rPr>
                <w:rFonts w:cs="Arial"/>
                <w:b/>
                <w:bCs/>
                <w:color w:val="000000"/>
                <w:sz w:val="20"/>
                <w:szCs w:val="20"/>
              </w:rPr>
            </w:pPr>
            <w:r w:rsidRPr="0059608B">
              <w:rPr>
                <w:rFonts w:cs="Arial"/>
                <w:color w:val="000000"/>
                <w:sz w:val="20"/>
                <w:szCs w:val="20"/>
              </w:rPr>
              <w:t>6,391</w:t>
            </w:r>
          </w:p>
        </w:tc>
      </w:tr>
      <w:tr w:rsidR="0004747C" w:rsidRPr="00901F1B" w14:paraId="7909354B" w14:textId="77777777" w:rsidTr="00AA3AC5">
        <w:tc>
          <w:tcPr>
            <w:tcW w:w="3574" w:type="pct"/>
            <w:tcBorders>
              <w:top w:val="nil"/>
              <w:left w:val="nil"/>
              <w:bottom w:val="nil"/>
              <w:right w:val="nil"/>
            </w:tcBorders>
            <w:noWrap/>
            <w:vAlign w:val="bottom"/>
          </w:tcPr>
          <w:p w14:paraId="36ACDE44" w14:textId="77777777" w:rsidR="0004747C" w:rsidRPr="00F65403" w:rsidRDefault="0004747C" w:rsidP="000474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Transfers in/(out) of level 3</w:t>
            </w:r>
          </w:p>
        </w:tc>
        <w:tc>
          <w:tcPr>
            <w:tcW w:w="699" w:type="pct"/>
            <w:tcBorders>
              <w:top w:val="nil"/>
              <w:left w:val="nil"/>
              <w:right w:val="nil"/>
            </w:tcBorders>
            <w:noWrap/>
            <w:vAlign w:val="bottom"/>
          </w:tcPr>
          <w:p w14:paraId="20D79BCA" w14:textId="77777777" w:rsidR="0004747C" w:rsidRPr="0059608B" w:rsidRDefault="0004747C" w:rsidP="0004747C">
            <w:pPr>
              <w:tabs>
                <w:tab w:val="decimal" w:pos="737"/>
              </w:tabs>
              <w:spacing w:after="0" w:line="240" w:lineRule="auto"/>
              <w:jc w:val="center"/>
              <w:rPr>
                <w:rFonts w:cs="Arial"/>
                <w:color w:val="000000"/>
                <w:sz w:val="20"/>
                <w:szCs w:val="20"/>
              </w:rPr>
            </w:pPr>
            <w:r>
              <w:rPr>
                <w:rFonts w:cs="Arial"/>
                <w:color w:val="000000"/>
                <w:sz w:val="20"/>
                <w:szCs w:val="20"/>
              </w:rPr>
              <w:t>-</w:t>
            </w:r>
          </w:p>
        </w:tc>
        <w:tc>
          <w:tcPr>
            <w:tcW w:w="727" w:type="pct"/>
            <w:tcBorders>
              <w:top w:val="nil"/>
              <w:left w:val="nil"/>
              <w:right w:val="nil"/>
            </w:tcBorders>
            <w:noWrap/>
            <w:vAlign w:val="bottom"/>
          </w:tcPr>
          <w:p w14:paraId="0A8059FF" w14:textId="09EB055D" w:rsidR="0004747C" w:rsidRDefault="0004747C" w:rsidP="0004747C">
            <w:pPr>
              <w:tabs>
                <w:tab w:val="decimal" w:pos="737"/>
              </w:tabs>
              <w:spacing w:after="0" w:line="240" w:lineRule="auto"/>
              <w:jc w:val="center"/>
              <w:rPr>
                <w:rFonts w:cs="Arial"/>
                <w:color w:val="000000"/>
                <w:sz w:val="20"/>
                <w:szCs w:val="20"/>
              </w:rPr>
            </w:pPr>
            <w:r>
              <w:rPr>
                <w:rFonts w:cs="Arial"/>
                <w:color w:val="000000"/>
                <w:sz w:val="20"/>
                <w:szCs w:val="20"/>
              </w:rPr>
              <w:t>-</w:t>
            </w:r>
          </w:p>
        </w:tc>
      </w:tr>
      <w:tr w:rsidR="0004747C" w:rsidRPr="00901F1B" w14:paraId="5D6094DF" w14:textId="77777777" w:rsidTr="00AA3AC5">
        <w:tc>
          <w:tcPr>
            <w:tcW w:w="3574" w:type="pct"/>
            <w:tcBorders>
              <w:top w:val="nil"/>
              <w:left w:val="nil"/>
              <w:bottom w:val="nil"/>
              <w:right w:val="nil"/>
            </w:tcBorders>
            <w:noWrap/>
            <w:vAlign w:val="bottom"/>
            <w:hideMark/>
          </w:tcPr>
          <w:p w14:paraId="714E7E25" w14:textId="77777777" w:rsidR="0004747C" w:rsidRPr="00F65403" w:rsidRDefault="0004747C" w:rsidP="0004747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w:t>
            </w:r>
          </w:p>
        </w:tc>
        <w:tc>
          <w:tcPr>
            <w:tcW w:w="699" w:type="pct"/>
            <w:tcBorders>
              <w:left w:val="nil"/>
              <w:bottom w:val="single" w:sz="4" w:space="0" w:color="auto"/>
              <w:right w:val="nil"/>
            </w:tcBorders>
            <w:noWrap/>
            <w:vAlign w:val="bottom"/>
          </w:tcPr>
          <w:p w14:paraId="6B4A540A" w14:textId="77777777" w:rsidR="0004747C" w:rsidRPr="0080685E" w:rsidRDefault="0004747C" w:rsidP="0004747C">
            <w:pPr>
              <w:tabs>
                <w:tab w:val="decimal" w:pos="737"/>
              </w:tabs>
              <w:spacing w:after="0" w:line="240" w:lineRule="auto"/>
              <w:jc w:val="center"/>
              <w:rPr>
                <w:rFonts w:cs="Arial"/>
                <w:color w:val="000000"/>
                <w:sz w:val="20"/>
                <w:szCs w:val="20"/>
              </w:rPr>
            </w:pPr>
            <w:r w:rsidRPr="0059608B">
              <w:rPr>
                <w:rFonts w:cs="Arial"/>
                <w:color w:val="000000"/>
                <w:sz w:val="20"/>
                <w:szCs w:val="20"/>
              </w:rPr>
              <w:t>(120)</w:t>
            </w:r>
          </w:p>
        </w:tc>
        <w:tc>
          <w:tcPr>
            <w:tcW w:w="727" w:type="pct"/>
            <w:tcBorders>
              <w:left w:val="nil"/>
              <w:bottom w:val="single" w:sz="4" w:space="0" w:color="auto"/>
              <w:right w:val="nil"/>
            </w:tcBorders>
            <w:noWrap/>
            <w:vAlign w:val="bottom"/>
          </w:tcPr>
          <w:p w14:paraId="1D86F48D" w14:textId="18397EAE" w:rsidR="0004747C" w:rsidRPr="0080685E" w:rsidRDefault="0004747C" w:rsidP="0004747C">
            <w:pPr>
              <w:tabs>
                <w:tab w:val="decimal" w:pos="737"/>
              </w:tabs>
              <w:spacing w:after="0" w:line="240" w:lineRule="auto"/>
              <w:jc w:val="center"/>
              <w:rPr>
                <w:rFonts w:cs="Arial"/>
                <w:b/>
                <w:bCs/>
                <w:color w:val="000000"/>
                <w:sz w:val="20"/>
                <w:szCs w:val="20"/>
              </w:rPr>
            </w:pPr>
            <w:r w:rsidRPr="0059608B">
              <w:rPr>
                <w:rFonts w:cs="Arial"/>
                <w:color w:val="000000"/>
                <w:sz w:val="20"/>
                <w:szCs w:val="20"/>
              </w:rPr>
              <w:t>(120)</w:t>
            </w:r>
          </w:p>
        </w:tc>
      </w:tr>
      <w:tr w:rsidR="0004747C" w:rsidRPr="00901F1B" w14:paraId="20C33094" w14:textId="77777777" w:rsidTr="00AA3AC5">
        <w:tc>
          <w:tcPr>
            <w:tcW w:w="3574" w:type="pct"/>
            <w:tcBorders>
              <w:top w:val="nil"/>
              <w:left w:val="nil"/>
              <w:bottom w:val="nil"/>
              <w:right w:val="nil"/>
            </w:tcBorders>
            <w:noWrap/>
            <w:vAlign w:val="bottom"/>
            <w:hideMark/>
          </w:tcPr>
          <w:p w14:paraId="5D3C0C12" w14:textId="77777777" w:rsidR="0004747C" w:rsidRPr="00F65403" w:rsidRDefault="0004747C" w:rsidP="0004747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Closing balance</w:t>
            </w:r>
          </w:p>
        </w:tc>
        <w:tc>
          <w:tcPr>
            <w:tcW w:w="699" w:type="pct"/>
            <w:tcBorders>
              <w:top w:val="nil"/>
              <w:left w:val="nil"/>
              <w:bottom w:val="single" w:sz="4" w:space="0" w:color="auto"/>
              <w:right w:val="nil"/>
            </w:tcBorders>
            <w:noWrap/>
            <w:vAlign w:val="bottom"/>
          </w:tcPr>
          <w:p w14:paraId="63A7FF4E" w14:textId="77777777" w:rsidR="0004747C" w:rsidRPr="0080685E" w:rsidRDefault="0004747C" w:rsidP="0004747C">
            <w:pPr>
              <w:tabs>
                <w:tab w:val="decimal" w:pos="737"/>
              </w:tabs>
              <w:spacing w:after="0" w:line="240" w:lineRule="auto"/>
              <w:jc w:val="center"/>
              <w:rPr>
                <w:rFonts w:cs="Arial"/>
                <w:b/>
                <w:bCs/>
                <w:color w:val="000000"/>
                <w:sz w:val="20"/>
                <w:szCs w:val="20"/>
              </w:rPr>
            </w:pPr>
            <w:r w:rsidRPr="00B16079">
              <w:rPr>
                <w:rFonts w:cs="Arial"/>
                <w:b/>
                <w:bCs/>
                <w:color w:val="000000"/>
                <w:sz w:val="20"/>
                <w:szCs w:val="20"/>
              </w:rPr>
              <w:t>6,271</w:t>
            </w:r>
          </w:p>
        </w:tc>
        <w:tc>
          <w:tcPr>
            <w:tcW w:w="727" w:type="pct"/>
            <w:tcBorders>
              <w:top w:val="nil"/>
              <w:left w:val="nil"/>
              <w:bottom w:val="single" w:sz="4" w:space="0" w:color="auto"/>
              <w:right w:val="nil"/>
            </w:tcBorders>
            <w:noWrap/>
            <w:vAlign w:val="bottom"/>
          </w:tcPr>
          <w:p w14:paraId="3EFA3B56" w14:textId="70BD8E08" w:rsidR="0004747C" w:rsidRPr="0080685E" w:rsidRDefault="0004747C" w:rsidP="0004747C">
            <w:pPr>
              <w:tabs>
                <w:tab w:val="decimal" w:pos="737"/>
              </w:tabs>
              <w:spacing w:after="0" w:line="240" w:lineRule="auto"/>
              <w:jc w:val="center"/>
              <w:rPr>
                <w:rFonts w:cs="Arial"/>
                <w:b/>
                <w:bCs/>
                <w:color w:val="000000"/>
                <w:sz w:val="20"/>
                <w:szCs w:val="20"/>
              </w:rPr>
            </w:pPr>
            <w:r w:rsidRPr="00B16079">
              <w:rPr>
                <w:rFonts w:cs="Arial"/>
                <w:b/>
                <w:bCs/>
                <w:color w:val="000000"/>
                <w:sz w:val="20"/>
                <w:szCs w:val="20"/>
              </w:rPr>
              <w:t>6,271</w:t>
            </w:r>
          </w:p>
        </w:tc>
      </w:tr>
    </w:tbl>
    <w:p w14:paraId="7B2B6B8A" w14:textId="77777777" w:rsidR="008D0DAB" w:rsidRPr="00F65403" w:rsidRDefault="008D0DAB" w:rsidP="008D0DAB">
      <w:pPr>
        <w:pStyle w:val="BodyText"/>
        <w:rPr>
          <w:lang w:val="en-AU"/>
        </w:rPr>
      </w:pPr>
    </w:p>
    <w:p w14:paraId="4BC97BCD" w14:textId="74BD5259" w:rsidR="008D0DAB" w:rsidRPr="00F65403" w:rsidRDefault="008D0DAB" w:rsidP="008D0DAB">
      <w:pPr>
        <w:pStyle w:val="BodyText"/>
        <w:rPr>
          <w:lang w:val="en-AU"/>
        </w:rPr>
      </w:pPr>
      <w:r w:rsidRPr="00F65403">
        <w:rPr>
          <w:lang w:val="en-AU"/>
        </w:rPr>
        <w:t>Description of significant unobservable inputs to Level 3 valuations:</w:t>
      </w:r>
      <w:r w:rsidR="009D2D28">
        <w:rPr>
          <w:lang w:val="en-AU"/>
        </w:rPr>
        <w:br/>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698"/>
        <w:gridCol w:w="1560"/>
        <w:gridCol w:w="1986"/>
        <w:gridCol w:w="993"/>
        <w:gridCol w:w="2789"/>
      </w:tblGrid>
      <w:tr w:rsidR="008D0DAB" w:rsidRPr="0062744C" w14:paraId="00BABE74" w14:textId="77777777" w:rsidTr="413EB596">
        <w:trPr>
          <w:cantSplit/>
          <w:tblHeader/>
        </w:trPr>
        <w:tc>
          <w:tcPr>
            <w:tcW w:w="941" w:type="pct"/>
            <w:tcBorders>
              <w:top w:val="nil"/>
              <w:left w:val="nil"/>
              <w:bottom w:val="nil"/>
              <w:right w:val="nil"/>
            </w:tcBorders>
            <w:noWrap/>
            <w:vAlign w:val="bottom"/>
            <w:hideMark/>
          </w:tcPr>
          <w:p w14:paraId="0B9F4C41"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 class</w:t>
            </w:r>
          </w:p>
        </w:tc>
        <w:tc>
          <w:tcPr>
            <w:tcW w:w="864" w:type="pct"/>
            <w:tcBorders>
              <w:top w:val="nil"/>
              <w:left w:val="nil"/>
              <w:bottom w:val="nil"/>
              <w:right w:val="nil"/>
            </w:tcBorders>
            <w:noWrap/>
            <w:vAlign w:val="bottom"/>
            <w:hideMark/>
          </w:tcPr>
          <w:p w14:paraId="793D18D9" w14:textId="77777777" w:rsidR="008D0DAB" w:rsidRPr="00F65403" w:rsidRDefault="008D0DAB"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Valuation technique</w:t>
            </w:r>
          </w:p>
        </w:tc>
        <w:tc>
          <w:tcPr>
            <w:tcW w:w="1100" w:type="pct"/>
            <w:tcBorders>
              <w:top w:val="nil"/>
              <w:left w:val="nil"/>
              <w:bottom w:val="nil"/>
              <w:right w:val="nil"/>
            </w:tcBorders>
            <w:vAlign w:val="bottom"/>
            <w:hideMark/>
          </w:tcPr>
          <w:p w14:paraId="37EF48B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Significant unobservable input</w:t>
            </w:r>
          </w:p>
        </w:tc>
        <w:tc>
          <w:tcPr>
            <w:tcW w:w="550" w:type="pct"/>
            <w:tcBorders>
              <w:top w:val="nil"/>
              <w:left w:val="nil"/>
              <w:bottom w:val="nil"/>
              <w:right w:val="nil"/>
            </w:tcBorders>
            <w:noWrap/>
            <w:vAlign w:val="bottom"/>
            <w:hideMark/>
          </w:tcPr>
          <w:p w14:paraId="71C5BFD7"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w:t>
            </w:r>
          </w:p>
        </w:tc>
        <w:tc>
          <w:tcPr>
            <w:tcW w:w="1545" w:type="pct"/>
            <w:tcBorders>
              <w:top w:val="nil"/>
              <w:left w:val="nil"/>
              <w:bottom w:val="nil"/>
              <w:right w:val="nil"/>
            </w:tcBorders>
            <w:noWrap/>
            <w:vAlign w:val="bottom"/>
            <w:hideMark/>
          </w:tcPr>
          <w:p w14:paraId="4A5D84C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w:t>
            </w:r>
          </w:p>
        </w:tc>
      </w:tr>
      <w:tr w:rsidR="008D0DAB" w:rsidRPr="00AC2860" w14:paraId="14089178" w14:textId="77777777" w:rsidTr="413EB596">
        <w:trPr>
          <w:cantSplit/>
        </w:trPr>
        <w:tc>
          <w:tcPr>
            <w:tcW w:w="941" w:type="pct"/>
            <w:tcBorders>
              <w:top w:val="nil"/>
              <w:left w:val="nil"/>
              <w:bottom w:val="nil"/>
              <w:right w:val="nil"/>
            </w:tcBorders>
            <w:noWrap/>
            <w:hideMark/>
          </w:tcPr>
          <w:p w14:paraId="17290F8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Right-of-use: land</w:t>
            </w:r>
          </w:p>
        </w:tc>
        <w:tc>
          <w:tcPr>
            <w:tcW w:w="864" w:type="pct"/>
            <w:tcBorders>
              <w:top w:val="nil"/>
              <w:left w:val="nil"/>
              <w:bottom w:val="nil"/>
              <w:right w:val="nil"/>
            </w:tcBorders>
            <w:noWrap/>
            <w:hideMark/>
          </w:tcPr>
          <w:p w14:paraId="684051B2" w14:textId="77777777" w:rsidR="00D82A08" w:rsidRDefault="008D0DAB" w:rsidP="413EB596">
            <w:pPr>
              <w:spacing w:after="0" w:line="240" w:lineRule="auto"/>
              <w:jc w:val="center"/>
              <w:rPr>
                <w:rFonts w:eastAsia="Times New Roman" w:cs="Arial"/>
                <w:color w:val="000000" w:themeColor="text1"/>
                <w:sz w:val="20"/>
                <w:szCs w:val="20"/>
                <w:lang w:eastAsia="en-AU"/>
              </w:rPr>
            </w:pPr>
            <w:r w:rsidRPr="413EB596">
              <w:rPr>
                <w:rFonts w:eastAsia="Times New Roman" w:cs="Arial"/>
                <w:color w:val="000000" w:themeColor="text1"/>
                <w:sz w:val="20"/>
                <w:szCs w:val="20"/>
                <w:lang w:eastAsia="en-AU"/>
              </w:rPr>
              <w:t xml:space="preserve">Market </w:t>
            </w:r>
          </w:p>
          <w:p w14:paraId="1D4682E5" w14:textId="3AEB198F" w:rsidR="008D0DAB" w:rsidRPr="00F65403" w:rsidRDefault="008D0DAB" w:rsidP="413EB596">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approach</w:t>
            </w:r>
          </w:p>
        </w:tc>
        <w:tc>
          <w:tcPr>
            <w:tcW w:w="1100" w:type="pct"/>
            <w:tcBorders>
              <w:top w:val="nil"/>
              <w:left w:val="nil"/>
              <w:bottom w:val="nil"/>
              <w:right w:val="nil"/>
            </w:tcBorders>
            <w:noWrap/>
            <w:hideMark/>
          </w:tcPr>
          <w:p w14:paraId="35185509" w14:textId="77777777" w:rsidR="008D0DAB" w:rsidRPr="00F65403" w:rsidRDefault="008D0DAB" w:rsidP="413EB596">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Useful life</w:t>
            </w:r>
          </w:p>
        </w:tc>
        <w:tc>
          <w:tcPr>
            <w:tcW w:w="550" w:type="pct"/>
            <w:tcBorders>
              <w:top w:val="nil"/>
              <w:left w:val="nil"/>
              <w:bottom w:val="nil"/>
              <w:right w:val="nil"/>
            </w:tcBorders>
            <w:noWrap/>
            <w:hideMark/>
          </w:tcPr>
          <w:p w14:paraId="01830131"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40 years</w:t>
            </w:r>
          </w:p>
        </w:tc>
        <w:tc>
          <w:tcPr>
            <w:tcW w:w="1545" w:type="pct"/>
            <w:tcBorders>
              <w:top w:val="nil"/>
              <w:left w:val="nil"/>
              <w:bottom w:val="nil"/>
              <w:right w:val="nil"/>
            </w:tcBorders>
            <w:hideMark/>
          </w:tcPr>
          <w:p w14:paraId="19D17880"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An increase in useful life would result in a higher valuation</w:t>
            </w:r>
          </w:p>
        </w:tc>
      </w:tr>
    </w:tbl>
    <w:p w14:paraId="27C17074" w14:textId="77777777" w:rsidR="008D0DAB" w:rsidRPr="00F65403" w:rsidRDefault="008D0DAB" w:rsidP="008D0DAB">
      <w:pPr>
        <w:pStyle w:val="BodyText"/>
        <w:rPr>
          <w:lang w:val="en-AU"/>
        </w:rPr>
      </w:pPr>
    </w:p>
    <w:p w14:paraId="4303CD09" w14:textId="77777777" w:rsidR="008D0DAB" w:rsidRPr="00F65403" w:rsidRDefault="008D0DAB" w:rsidP="008D0DAB">
      <w:pPr>
        <w:pStyle w:val="Heading7"/>
      </w:pPr>
      <w:r w:rsidRPr="00F65403">
        <w:t>Payables</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631"/>
        <w:gridCol w:w="1269"/>
        <w:gridCol w:w="1126"/>
      </w:tblGrid>
      <w:tr w:rsidR="008D0DAB" w:rsidRPr="002B1EBF" w14:paraId="3DDE8039" w14:textId="77777777" w:rsidTr="413EB596">
        <w:tc>
          <w:tcPr>
            <w:tcW w:w="3673" w:type="pct"/>
            <w:tcBorders>
              <w:top w:val="nil"/>
              <w:left w:val="nil"/>
              <w:bottom w:val="nil"/>
              <w:right w:val="nil"/>
            </w:tcBorders>
            <w:noWrap/>
            <w:vAlign w:val="bottom"/>
            <w:hideMark/>
          </w:tcPr>
          <w:p w14:paraId="03DDA345" w14:textId="77777777" w:rsidR="008D0DAB" w:rsidRPr="00F65403" w:rsidRDefault="008D0DAB" w:rsidP="009B7B2A">
            <w:pPr>
              <w:spacing w:after="0" w:line="240" w:lineRule="auto"/>
              <w:rPr>
                <w:rFonts w:eastAsia="Times New Roman" w:cs="Arial"/>
                <w:sz w:val="20"/>
                <w:szCs w:val="20"/>
                <w:lang w:eastAsia="en-AU"/>
              </w:rPr>
            </w:pPr>
          </w:p>
        </w:tc>
        <w:tc>
          <w:tcPr>
            <w:tcW w:w="703" w:type="pct"/>
            <w:tcBorders>
              <w:top w:val="nil"/>
              <w:left w:val="nil"/>
              <w:bottom w:val="nil"/>
              <w:right w:val="nil"/>
            </w:tcBorders>
            <w:noWrap/>
            <w:vAlign w:val="bottom"/>
            <w:hideMark/>
          </w:tcPr>
          <w:p w14:paraId="68CD4F1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24" w:type="pct"/>
            <w:tcBorders>
              <w:top w:val="nil"/>
              <w:left w:val="nil"/>
              <w:bottom w:val="nil"/>
              <w:right w:val="nil"/>
            </w:tcBorders>
            <w:noWrap/>
            <w:vAlign w:val="bottom"/>
            <w:hideMark/>
          </w:tcPr>
          <w:p w14:paraId="27608BC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2B1EBF" w14:paraId="04023ADB" w14:textId="77777777" w:rsidTr="413EB596">
        <w:tc>
          <w:tcPr>
            <w:tcW w:w="3673" w:type="pct"/>
            <w:tcBorders>
              <w:top w:val="nil"/>
              <w:left w:val="nil"/>
              <w:bottom w:val="nil"/>
              <w:right w:val="nil"/>
            </w:tcBorders>
            <w:noWrap/>
            <w:vAlign w:val="bottom"/>
            <w:hideMark/>
          </w:tcPr>
          <w:p w14:paraId="1BE9D005"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03" w:type="pct"/>
            <w:tcBorders>
              <w:top w:val="nil"/>
              <w:left w:val="nil"/>
              <w:bottom w:val="nil"/>
              <w:right w:val="nil"/>
            </w:tcBorders>
            <w:noWrap/>
            <w:vAlign w:val="bottom"/>
            <w:hideMark/>
          </w:tcPr>
          <w:p w14:paraId="73DE03F7"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24" w:type="pct"/>
            <w:tcBorders>
              <w:top w:val="nil"/>
              <w:left w:val="nil"/>
              <w:bottom w:val="nil"/>
              <w:right w:val="nil"/>
            </w:tcBorders>
            <w:noWrap/>
            <w:vAlign w:val="bottom"/>
            <w:hideMark/>
          </w:tcPr>
          <w:p w14:paraId="274B04C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2B1EBF" w14:paraId="3380E354" w14:textId="77777777" w:rsidTr="413EB596">
        <w:tc>
          <w:tcPr>
            <w:tcW w:w="3673" w:type="pct"/>
            <w:tcBorders>
              <w:top w:val="nil"/>
              <w:left w:val="nil"/>
              <w:bottom w:val="nil"/>
              <w:right w:val="nil"/>
            </w:tcBorders>
            <w:noWrap/>
            <w:vAlign w:val="bottom"/>
          </w:tcPr>
          <w:p w14:paraId="649895C2" w14:textId="77777777" w:rsidR="008D0DAB" w:rsidRPr="00C1358F" w:rsidRDefault="008D0DAB" w:rsidP="009B7B2A">
            <w:pPr>
              <w:spacing w:after="0" w:line="240" w:lineRule="auto"/>
              <w:rPr>
                <w:rFonts w:eastAsia="Times New Roman" w:cs="Arial"/>
                <w:b/>
                <w:bCs/>
                <w:color w:val="000000"/>
                <w:sz w:val="20"/>
                <w:szCs w:val="20"/>
                <w:lang w:eastAsia="en-AU"/>
              </w:rPr>
            </w:pPr>
            <w:r w:rsidRPr="00C1358F">
              <w:rPr>
                <w:rFonts w:eastAsia="Times New Roman" w:cs="Arial"/>
                <w:b/>
                <w:bCs/>
                <w:color w:val="000000"/>
                <w:sz w:val="20"/>
                <w:szCs w:val="20"/>
                <w:lang w:eastAsia="en-AU"/>
              </w:rPr>
              <w:t>Current</w:t>
            </w:r>
          </w:p>
        </w:tc>
        <w:tc>
          <w:tcPr>
            <w:tcW w:w="703" w:type="pct"/>
            <w:tcBorders>
              <w:top w:val="nil"/>
              <w:left w:val="nil"/>
              <w:bottom w:val="nil"/>
              <w:right w:val="nil"/>
            </w:tcBorders>
            <w:noWrap/>
          </w:tcPr>
          <w:p w14:paraId="4CB62824" w14:textId="77777777" w:rsidR="008D0DAB" w:rsidDel="00D71506" w:rsidRDefault="008D0DAB" w:rsidP="009B7B2A">
            <w:pPr>
              <w:tabs>
                <w:tab w:val="decimal" w:pos="854"/>
              </w:tabs>
              <w:spacing w:after="0" w:line="240" w:lineRule="auto"/>
              <w:rPr>
                <w:sz w:val="20"/>
                <w:szCs w:val="18"/>
              </w:rPr>
            </w:pPr>
          </w:p>
        </w:tc>
        <w:tc>
          <w:tcPr>
            <w:tcW w:w="624" w:type="pct"/>
            <w:tcBorders>
              <w:top w:val="nil"/>
              <w:left w:val="nil"/>
              <w:bottom w:val="nil"/>
              <w:right w:val="nil"/>
            </w:tcBorders>
            <w:noWrap/>
          </w:tcPr>
          <w:p w14:paraId="032EBFCE" w14:textId="77777777" w:rsidR="008D0DAB" w:rsidRDefault="008D0DAB" w:rsidP="009B7B2A">
            <w:pPr>
              <w:tabs>
                <w:tab w:val="decimal" w:pos="854"/>
              </w:tabs>
              <w:spacing w:after="0" w:line="240" w:lineRule="auto"/>
              <w:rPr>
                <w:sz w:val="20"/>
                <w:szCs w:val="18"/>
              </w:rPr>
            </w:pPr>
          </w:p>
        </w:tc>
      </w:tr>
      <w:tr w:rsidR="008D0DAB" w:rsidRPr="002B1EBF" w14:paraId="68F6D8E2" w14:textId="77777777" w:rsidTr="413EB596">
        <w:tc>
          <w:tcPr>
            <w:tcW w:w="3673" w:type="pct"/>
            <w:tcBorders>
              <w:top w:val="nil"/>
              <w:left w:val="nil"/>
              <w:bottom w:val="nil"/>
              <w:right w:val="nil"/>
            </w:tcBorders>
            <w:noWrap/>
            <w:vAlign w:val="bottom"/>
            <w:hideMark/>
          </w:tcPr>
          <w:p w14:paraId="729DEEC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Trade creditors</w:t>
            </w:r>
          </w:p>
        </w:tc>
        <w:tc>
          <w:tcPr>
            <w:tcW w:w="703" w:type="pct"/>
            <w:tcBorders>
              <w:top w:val="nil"/>
              <w:left w:val="nil"/>
              <w:bottom w:val="nil"/>
              <w:right w:val="nil"/>
            </w:tcBorders>
            <w:noWrap/>
            <w:hideMark/>
          </w:tcPr>
          <w:p w14:paraId="2FDE09EE" w14:textId="32FECB48" w:rsidR="008D0DAB" w:rsidRPr="00EA02CB" w:rsidRDefault="00D6359F" w:rsidP="413EB596">
            <w:pPr>
              <w:tabs>
                <w:tab w:val="decimal" w:pos="854"/>
              </w:tabs>
              <w:spacing w:after="0" w:line="240" w:lineRule="auto"/>
              <w:jc w:val="center"/>
              <w:rPr>
                <w:rFonts w:eastAsia="Times New Roman" w:cs="Arial"/>
                <w:color w:val="000000"/>
                <w:sz w:val="20"/>
                <w:szCs w:val="20"/>
                <w:lang w:eastAsia="en-AU"/>
              </w:rPr>
            </w:pPr>
            <w:r>
              <w:rPr>
                <w:sz w:val="20"/>
                <w:szCs w:val="20"/>
              </w:rPr>
              <w:t>19,163</w:t>
            </w:r>
          </w:p>
        </w:tc>
        <w:tc>
          <w:tcPr>
            <w:tcW w:w="624" w:type="pct"/>
            <w:tcBorders>
              <w:top w:val="nil"/>
              <w:left w:val="nil"/>
              <w:bottom w:val="nil"/>
              <w:right w:val="nil"/>
            </w:tcBorders>
            <w:noWrap/>
            <w:hideMark/>
          </w:tcPr>
          <w:p w14:paraId="742FCDCB" w14:textId="77777777" w:rsidR="008D0DAB" w:rsidRPr="00EA02CB" w:rsidRDefault="008D0DAB" w:rsidP="413EB596">
            <w:pPr>
              <w:tabs>
                <w:tab w:val="decimal" w:pos="854"/>
              </w:tabs>
              <w:spacing w:after="0" w:line="240" w:lineRule="auto"/>
              <w:jc w:val="center"/>
              <w:rPr>
                <w:rFonts w:eastAsia="Times New Roman" w:cs="Arial"/>
                <w:color w:val="000000"/>
                <w:sz w:val="20"/>
                <w:szCs w:val="20"/>
                <w:lang w:eastAsia="en-AU"/>
              </w:rPr>
            </w:pPr>
            <w:r w:rsidRPr="413EB596">
              <w:rPr>
                <w:sz w:val="20"/>
                <w:szCs w:val="20"/>
              </w:rPr>
              <w:t>-</w:t>
            </w:r>
          </w:p>
        </w:tc>
      </w:tr>
      <w:tr w:rsidR="008D0DAB" w:rsidRPr="002B1EBF" w14:paraId="63542C14" w14:textId="77777777" w:rsidTr="413EB596">
        <w:tc>
          <w:tcPr>
            <w:tcW w:w="3673" w:type="pct"/>
            <w:tcBorders>
              <w:top w:val="nil"/>
              <w:left w:val="nil"/>
              <w:bottom w:val="nil"/>
              <w:right w:val="nil"/>
            </w:tcBorders>
            <w:noWrap/>
            <w:vAlign w:val="bottom"/>
            <w:hideMark/>
          </w:tcPr>
          <w:p w14:paraId="60EB44E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Accruals</w:t>
            </w:r>
          </w:p>
        </w:tc>
        <w:tc>
          <w:tcPr>
            <w:tcW w:w="703" w:type="pct"/>
            <w:tcBorders>
              <w:top w:val="nil"/>
              <w:left w:val="nil"/>
              <w:bottom w:val="nil"/>
              <w:right w:val="nil"/>
            </w:tcBorders>
            <w:noWrap/>
            <w:hideMark/>
          </w:tcPr>
          <w:p w14:paraId="3CBFDE03" w14:textId="73C96517" w:rsidR="008D0DAB" w:rsidRPr="00EA02CB" w:rsidRDefault="00D6359F" w:rsidP="413EB596">
            <w:pPr>
              <w:tabs>
                <w:tab w:val="decimal" w:pos="854"/>
              </w:tabs>
              <w:spacing w:after="0" w:line="240" w:lineRule="auto"/>
              <w:jc w:val="center"/>
              <w:rPr>
                <w:rFonts w:eastAsia="Times New Roman" w:cs="Arial"/>
                <w:color w:val="000000"/>
                <w:sz w:val="20"/>
                <w:szCs w:val="20"/>
                <w:lang w:eastAsia="en-AU"/>
              </w:rPr>
            </w:pPr>
            <w:r>
              <w:rPr>
                <w:sz w:val="20"/>
                <w:szCs w:val="20"/>
              </w:rPr>
              <w:t>32</w:t>
            </w:r>
          </w:p>
        </w:tc>
        <w:tc>
          <w:tcPr>
            <w:tcW w:w="624" w:type="pct"/>
            <w:tcBorders>
              <w:top w:val="nil"/>
              <w:left w:val="nil"/>
              <w:bottom w:val="nil"/>
              <w:right w:val="nil"/>
            </w:tcBorders>
            <w:noWrap/>
            <w:hideMark/>
          </w:tcPr>
          <w:p w14:paraId="27B4EF7C" w14:textId="77777777" w:rsidR="008D0DAB" w:rsidRPr="00EA02CB" w:rsidRDefault="008D0DAB" w:rsidP="413EB596">
            <w:pPr>
              <w:tabs>
                <w:tab w:val="decimal" w:pos="854"/>
              </w:tabs>
              <w:spacing w:after="0" w:line="240" w:lineRule="auto"/>
              <w:jc w:val="center"/>
              <w:rPr>
                <w:rFonts w:eastAsia="Times New Roman" w:cs="Arial"/>
                <w:color w:val="000000"/>
                <w:sz w:val="20"/>
                <w:szCs w:val="20"/>
                <w:lang w:eastAsia="en-AU"/>
              </w:rPr>
            </w:pPr>
            <w:r w:rsidRPr="413EB596">
              <w:rPr>
                <w:sz w:val="20"/>
                <w:szCs w:val="20"/>
              </w:rPr>
              <w:t>30</w:t>
            </w:r>
          </w:p>
        </w:tc>
      </w:tr>
      <w:tr w:rsidR="008D0DAB" w:rsidRPr="002B1EBF" w14:paraId="0BAB9DA6" w14:textId="77777777" w:rsidTr="413EB596">
        <w:tc>
          <w:tcPr>
            <w:tcW w:w="3673" w:type="pct"/>
            <w:tcBorders>
              <w:top w:val="nil"/>
              <w:left w:val="nil"/>
              <w:bottom w:val="nil"/>
              <w:right w:val="nil"/>
            </w:tcBorders>
            <w:noWrap/>
            <w:vAlign w:val="bottom"/>
            <w:hideMark/>
          </w:tcPr>
          <w:p w14:paraId="2F2BF8C6"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Payables to SEC Victoria Pty Ltd (parent entity of the Company)</w:t>
            </w:r>
          </w:p>
        </w:tc>
        <w:tc>
          <w:tcPr>
            <w:tcW w:w="703" w:type="pct"/>
            <w:tcBorders>
              <w:top w:val="nil"/>
              <w:left w:val="nil"/>
              <w:bottom w:val="nil"/>
              <w:right w:val="nil"/>
            </w:tcBorders>
            <w:noWrap/>
            <w:hideMark/>
          </w:tcPr>
          <w:p w14:paraId="44F380EC" w14:textId="77777777" w:rsidR="008D0DAB" w:rsidRPr="00EA02CB" w:rsidRDefault="008D0DAB" w:rsidP="413EB596">
            <w:pPr>
              <w:tabs>
                <w:tab w:val="decimal" w:pos="854"/>
              </w:tabs>
              <w:spacing w:after="0" w:line="240" w:lineRule="auto"/>
              <w:jc w:val="center"/>
              <w:rPr>
                <w:rFonts w:eastAsia="Times New Roman" w:cs="Arial"/>
                <w:color w:val="000000"/>
                <w:sz w:val="20"/>
                <w:szCs w:val="20"/>
                <w:lang w:eastAsia="en-AU"/>
              </w:rPr>
            </w:pPr>
            <w:r w:rsidRPr="413EB596">
              <w:rPr>
                <w:sz w:val="20"/>
                <w:szCs w:val="20"/>
              </w:rPr>
              <w:t>-</w:t>
            </w:r>
          </w:p>
        </w:tc>
        <w:tc>
          <w:tcPr>
            <w:tcW w:w="624" w:type="pct"/>
            <w:tcBorders>
              <w:top w:val="nil"/>
              <w:left w:val="nil"/>
              <w:bottom w:val="nil"/>
              <w:right w:val="nil"/>
            </w:tcBorders>
            <w:noWrap/>
            <w:hideMark/>
          </w:tcPr>
          <w:p w14:paraId="4CA5B207" w14:textId="77777777" w:rsidR="008D0DAB" w:rsidRPr="00EA02CB" w:rsidRDefault="008D0DAB" w:rsidP="413EB596">
            <w:pPr>
              <w:tabs>
                <w:tab w:val="decimal" w:pos="854"/>
              </w:tabs>
              <w:spacing w:after="0" w:line="240" w:lineRule="auto"/>
              <w:jc w:val="center"/>
              <w:rPr>
                <w:rFonts w:eastAsia="Times New Roman" w:cs="Arial"/>
                <w:color w:val="000000"/>
                <w:sz w:val="20"/>
                <w:szCs w:val="20"/>
                <w:lang w:eastAsia="en-AU"/>
              </w:rPr>
            </w:pPr>
            <w:r w:rsidRPr="413EB596">
              <w:rPr>
                <w:sz w:val="20"/>
                <w:szCs w:val="20"/>
              </w:rPr>
              <w:t>73,095</w:t>
            </w:r>
          </w:p>
        </w:tc>
      </w:tr>
      <w:tr w:rsidR="008D0DAB" w:rsidRPr="002B1EBF" w14:paraId="30F18505" w14:textId="77777777" w:rsidTr="413EB596">
        <w:tc>
          <w:tcPr>
            <w:tcW w:w="3673" w:type="pct"/>
            <w:tcBorders>
              <w:top w:val="nil"/>
              <w:left w:val="nil"/>
              <w:bottom w:val="nil"/>
              <w:right w:val="nil"/>
            </w:tcBorders>
            <w:noWrap/>
            <w:vAlign w:val="bottom"/>
            <w:hideMark/>
          </w:tcPr>
          <w:p w14:paraId="51CB9A62"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03" w:type="pct"/>
            <w:tcBorders>
              <w:top w:val="single" w:sz="4" w:space="0" w:color="auto"/>
              <w:left w:val="nil"/>
              <w:bottom w:val="single" w:sz="4" w:space="0" w:color="auto"/>
              <w:right w:val="nil"/>
            </w:tcBorders>
            <w:noWrap/>
            <w:hideMark/>
          </w:tcPr>
          <w:p w14:paraId="0AEE7A78" w14:textId="5ED2F9ED" w:rsidR="008D0DAB" w:rsidRPr="00EA02CB" w:rsidRDefault="007F6F73" w:rsidP="413EB596">
            <w:pPr>
              <w:tabs>
                <w:tab w:val="decimal" w:pos="854"/>
              </w:tabs>
              <w:spacing w:after="0" w:line="240" w:lineRule="auto"/>
              <w:jc w:val="center"/>
              <w:rPr>
                <w:b/>
                <w:bCs/>
                <w:sz w:val="20"/>
                <w:szCs w:val="20"/>
                <w:lang w:eastAsia="en-AU"/>
              </w:rPr>
            </w:pPr>
            <w:r w:rsidRPr="413EB596">
              <w:rPr>
                <w:b/>
                <w:bCs/>
                <w:sz w:val="20"/>
                <w:szCs w:val="20"/>
              </w:rPr>
              <w:t>19,195</w:t>
            </w:r>
          </w:p>
        </w:tc>
        <w:tc>
          <w:tcPr>
            <w:tcW w:w="624" w:type="pct"/>
            <w:tcBorders>
              <w:top w:val="single" w:sz="4" w:space="0" w:color="auto"/>
              <w:left w:val="nil"/>
              <w:bottom w:val="single" w:sz="4" w:space="0" w:color="auto"/>
              <w:right w:val="nil"/>
            </w:tcBorders>
            <w:noWrap/>
            <w:hideMark/>
          </w:tcPr>
          <w:p w14:paraId="79DD1167" w14:textId="77777777" w:rsidR="008D0DAB" w:rsidRPr="00EA02CB" w:rsidRDefault="008D0DAB" w:rsidP="413EB596">
            <w:pPr>
              <w:tabs>
                <w:tab w:val="decimal" w:pos="854"/>
              </w:tabs>
              <w:spacing w:after="0" w:line="240" w:lineRule="auto"/>
              <w:jc w:val="center"/>
              <w:rPr>
                <w:rFonts w:eastAsia="Times New Roman" w:cs="Arial"/>
                <w:b/>
                <w:bCs/>
                <w:color w:val="000000"/>
                <w:sz w:val="20"/>
                <w:szCs w:val="20"/>
                <w:lang w:eastAsia="en-AU"/>
              </w:rPr>
            </w:pPr>
            <w:r w:rsidRPr="413EB596">
              <w:rPr>
                <w:b/>
                <w:bCs/>
                <w:sz w:val="20"/>
                <w:szCs w:val="20"/>
              </w:rPr>
              <w:t>73,125</w:t>
            </w:r>
          </w:p>
        </w:tc>
      </w:tr>
      <w:tr w:rsidR="008D0DAB" w14:paraId="6F102445" w14:textId="77777777" w:rsidTr="413EB596">
        <w:tc>
          <w:tcPr>
            <w:tcW w:w="3673" w:type="pct"/>
            <w:tcBorders>
              <w:top w:val="nil"/>
              <w:left w:val="nil"/>
              <w:right w:val="nil"/>
            </w:tcBorders>
            <w:noWrap/>
            <w:vAlign w:val="bottom"/>
            <w:hideMark/>
          </w:tcPr>
          <w:p w14:paraId="3C88DA2C" w14:textId="77777777" w:rsidR="008D0DAB" w:rsidRPr="00F3739A" w:rsidRDefault="008D0DAB" w:rsidP="009B7B2A">
            <w:pPr>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Non-current</w:t>
            </w:r>
          </w:p>
        </w:tc>
        <w:tc>
          <w:tcPr>
            <w:tcW w:w="703" w:type="pct"/>
            <w:tcBorders>
              <w:top w:val="single" w:sz="4" w:space="0" w:color="auto"/>
              <w:left w:val="nil"/>
              <w:right w:val="nil"/>
            </w:tcBorders>
            <w:noWrap/>
            <w:hideMark/>
          </w:tcPr>
          <w:p w14:paraId="69269D27" w14:textId="77777777" w:rsidR="008D0DAB" w:rsidRPr="00F3739A" w:rsidDel="00D71506" w:rsidRDefault="008D0DAB" w:rsidP="413EB596">
            <w:pPr>
              <w:tabs>
                <w:tab w:val="decimal" w:pos="854"/>
              </w:tabs>
              <w:spacing w:after="0" w:line="240" w:lineRule="auto"/>
              <w:jc w:val="center"/>
              <w:rPr>
                <w:b/>
                <w:bCs/>
                <w:sz w:val="20"/>
                <w:szCs w:val="20"/>
              </w:rPr>
            </w:pPr>
          </w:p>
        </w:tc>
        <w:tc>
          <w:tcPr>
            <w:tcW w:w="624" w:type="pct"/>
            <w:tcBorders>
              <w:top w:val="single" w:sz="4" w:space="0" w:color="auto"/>
              <w:left w:val="nil"/>
              <w:right w:val="nil"/>
            </w:tcBorders>
            <w:noWrap/>
            <w:hideMark/>
          </w:tcPr>
          <w:p w14:paraId="0967D2D6" w14:textId="77777777" w:rsidR="008D0DAB" w:rsidRPr="00F3739A" w:rsidRDefault="008D0DAB" w:rsidP="413EB596">
            <w:pPr>
              <w:tabs>
                <w:tab w:val="decimal" w:pos="854"/>
              </w:tabs>
              <w:spacing w:after="0" w:line="240" w:lineRule="auto"/>
              <w:jc w:val="center"/>
              <w:rPr>
                <w:b/>
                <w:bCs/>
                <w:sz w:val="20"/>
                <w:szCs w:val="20"/>
              </w:rPr>
            </w:pPr>
          </w:p>
        </w:tc>
      </w:tr>
      <w:tr w:rsidR="008D0DAB" w:rsidRPr="00EA02CB" w14:paraId="3A6313FF" w14:textId="77777777" w:rsidTr="413EB596">
        <w:tc>
          <w:tcPr>
            <w:tcW w:w="3673" w:type="pct"/>
            <w:tcBorders>
              <w:left w:val="nil"/>
              <w:bottom w:val="nil"/>
              <w:right w:val="nil"/>
            </w:tcBorders>
            <w:noWrap/>
            <w:vAlign w:val="bottom"/>
            <w:hideMark/>
          </w:tcPr>
          <w:p w14:paraId="594C64AC" w14:textId="77777777" w:rsidR="008D0DAB" w:rsidRPr="00C1358F" w:rsidRDefault="008D0DAB" w:rsidP="009B7B2A">
            <w:pPr>
              <w:spacing w:after="0" w:line="240" w:lineRule="auto"/>
              <w:rPr>
                <w:rFonts w:eastAsia="Times New Roman" w:cs="Arial"/>
                <w:bCs/>
                <w:color w:val="000000"/>
                <w:sz w:val="20"/>
                <w:szCs w:val="20"/>
                <w:lang w:eastAsia="en-AU"/>
              </w:rPr>
            </w:pPr>
            <w:r w:rsidRPr="00C1358F">
              <w:rPr>
                <w:rFonts w:eastAsia="Times New Roman" w:cs="Arial"/>
                <w:bCs/>
                <w:color w:val="000000"/>
                <w:sz w:val="20"/>
                <w:szCs w:val="20"/>
                <w:lang w:eastAsia="en-AU"/>
              </w:rPr>
              <w:t>Payables to SEC Victoria Pty Ltd (parent entity of the Company)</w:t>
            </w:r>
          </w:p>
        </w:tc>
        <w:tc>
          <w:tcPr>
            <w:tcW w:w="703" w:type="pct"/>
            <w:tcBorders>
              <w:left w:val="nil"/>
              <w:bottom w:val="single" w:sz="4" w:space="0" w:color="auto"/>
              <w:right w:val="nil"/>
            </w:tcBorders>
            <w:noWrap/>
            <w:hideMark/>
          </w:tcPr>
          <w:p w14:paraId="62BF1331" w14:textId="77777777" w:rsidR="008D0DAB" w:rsidRPr="00C1358F" w:rsidRDefault="008D0DAB" w:rsidP="413EB596">
            <w:pPr>
              <w:tabs>
                <w:tab w:val="decimal" w:pos="854"/>
              </w:tabs>
              <w:spacing w:after="0" w:line="240" w:lineRule="auto"/>
              <w:jc w:val="center"/>
              <w:rPr>
                <w:sz w:val="20"/>
                <w:szCs w:val="20"/>
              </w:rPr>
            </w:pPr>
            <w:r w:rsidRPr="413EB596">
              <w:rPr>
                <w:sz w:val="20"/>
                <w:szCs w:val="20"/>
              </w:rPr>
              <w:t>262,407</w:t>
            </w:r>
          </w:p>
        </w:tc>
        <w:tc>
          <w:tcPr>
            <w:tcW w:w="624" w:type="pct"/>
            <w:tcBorders>
              <w:left w:val="nil"/>
              <w:bottom w:val="single" w:sz="4" w:space="0" w:color="auto"/>
              <w:right w:val="nil"/>
            </w:tcBorders>
            <w:noWrap/>
            <w:hideMark/>
          </w:tcPr>
          <w:p w14:paraId="5750308A" w14:textId="77777777" w:rsidR="008D0DAB" w:rsidRPr="00C1358F" w:rsidRDefault="008D0DAB" w:rsidP="413EB596">
            <w:pPr>
              <w:tabs>
                <w:tab w:val="decimal" w:pos="854"/>
              </w:tabs>
              <w:spacing w:after="0" w:line="240" w:lineRule="auto"/>
              <w:jc w:val="center"/>
              <w:rPr>
                <w:sz w:val="20"/>
                <w:szCs w:val="20"/>
              </w:rPr>
            </w:pPr>
            <w:r w:rsidRPr="413EB596">
              <w:rPr>
                <w:sz w:val="20"/>
                <w:szCs w:val="20"/>
              </w:rPr>
              <w:t>-</w:t>
            </w:r>
          </w:p>
        </w:tc>
      </w:tr>
      <w:tr w:rsidR="008D0DAB" w:rsidRPr="00EA02CB" w14:paraId="1F8093FD" w14:textId="77777777" w:rsidTr="413EB596">
        <w:tc>
          <w:tcPr>
            <w:tcW w:w="3673" w:type="pct"/>
            <w:tcBorders>
              <w:top w:val="nil"/>
              <w:left w:val="nil"/>
              <w:bottom w:val="nil"/>
              <w:right w:val="nil"/>
            </w:tcBorders>
            <w:noWrap/>
            <w:vAlign w:val="bottom"/>
            <w:hideMark/>
          </w:tcPr>
          <w:p w14:paraId="0602ECC4"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03" w:type="pct"/>
            <w:tcBorders>
              <w:top w:val="single" w:sz="4" w:space="0" w:color="auto"/>
              <w:left w:val="nil"/>
              <w:bottom w:val="single" w:sz="4" w:space="0" w:color="auto"/>
              <w:right w:val="nil"/>
            </w:tcBorders>
            <w:noWrap/>
            <w:hideMark/>
          </w:tcPr>
          <w:p w14:paraId="3941C77D" w14:textId="77777777" w:rsidR="008D0DAB" w:rsidRPr="00F3739A" w:rsidRDefault="008D0DAB" w:rsidP="413EB596">
            <w:pPr>
              <w:tabs>
                <w:tab w:val="decimal" w:pos="854"/>
              </w:tabs>
              <w:spacing w:after="0" w:line="240" w:lineRule="auto"/>
              <w:jc w:val="center"/>
              <w:rPr>
                <w:b/>
                <w:bCs/>
                <w:sz w:val="20"/>
                <w:szCs w:val="20"/>
              </w:rPr>
            </w:pPr>
            <w:r w:rsidRPr="413EB596">
              <w:rPr>
                <w:b/>
                <w:bCs/>
                <w:sz w:val="20"/>
                <w:szCs w:val="20"/>
              </w:rPr>
              <w:t>262,407</w:t>
            </w:r>
          </w:p>
        </w:tc>
        <w:tc>
          <w:tcPr>
            <w:tcW w:w="624" w:type="pct"/>
            <w:tcBorders>
              <w:top w:val="single" w:sz="4" w:space="0" w:color="auto"/>
              <w:left w:val="nil"/>
              <w:bottom w:val="single" w:sz="4" w:space="0" w:color="auto"/>
              <w:right w:val="nil"/>
            </w:tcBorders>
            <w:noWrap/>
            <w:hideMark/>
          </w:tcPr>
          <w:p w14:paraId="2B8EC74D" w14:textId="77777777" w:rsidR="008D0DAB" w:rsidRPr="00F3739A" w:rsidRDefault="008D0DAB" w:rsidP="413EB596">
            <w:pPr>
              <w:tabs>
                <w:tab w:val="decimal" w:pos="854"/>
              </w:tabs>
              <w:spacing w:after="0" w:line="240" w:lineRule="auto"/>
              <w:jc w:val="center"/>
              <w:rPr>
                <w:b/>
                <w:bCs/>
                <w:sz w:val="20"/>
                <w:szCs w:val="20"/>
              </w:rPr>
            </w:pPr>
            <w:r w:rsidRPr="413EB596">
              <w:rPr>
                <w:b/>
                <w:bCs/>
                <w:sz w:val="20"/>
                <w:szCs w:val="20"/>
              </w:rPr>
              <w:t>-</w:t>
            </w:r>
          </w:p>
        </w:tc>
      </w:tr>
    </w:tbl>
    <w:p w14:paraId="22BA2189" w14:textId="77777777" w:rsidR="008D0DAB" w:rsidRPr="00F65403" w:rsidRDefault="008D0DAB" w:rsidP="008D0DAB">
      <w:pPr>
        <w:pStyle w:val="BodyText"/>
        <w:rPr>
          <w:lang w:val="en-AU"/>
        </w:rPr>
      </w:pPr>
    </w:p>
    <w:p w14:paraId="59A54954" w14:textId="77777777" w:rsidR="008D0DAB" w:rsidRPr="00F65403" w:rsidRDefault="008D0DAB" w:rsidP="008D0DAB">
      <w:pPr>
        <w:pStyle w:val="Heading8"/>
      </w:pPr>
      <w:proofErr w:type="spellStart"/>
      <w:r>
        <w:t>i</w:t>
      </w:r>
      <w:proofErr w:type="spellEnd"/>
      <w:r>
        <w:t>.</w:t>
      </w:r>
      <w:r>
        <w:tab/>
        <w:t>Accounting policy</w:t>
      </w:r>
    </w:p>
    <w:p w14:paraId="34FAFD13" w14:textId="77777777" w:rsidR="008D0DAB" w:rsidRPr="00F65403" w:rsidRDefault="008D0DAB" w:rsidP="008D0DAB">
      <w:pPr>
        <w:pStyle w:val="BodyText"/>
        <w:rPr>
          <w:lang w:val="en-AU"/>
        </w:rPr>
      </w:pPr>
      <w:r w:rsidRPr="00F65403">
        <w:rPr>
          <w:lang w:val="en-AU"/>
        </w:rPr>
        <w:t>Contractual payables are classified as financial instruments and measured at amortised cost. Payables represent liabilities for goods/services provided to the Group prior to the end of the financial year that are unpaid.</w:t>
      </w:r>
    </w:p>
    <w:p w14:paraId="1BCB886A" w14:textId="77777777" w:rsidR="008D0DAB" w:rsidRPr="00F65403" w:rsidRDefault="008D0DAB" w:rsidP="008D0DAB">
      <w:pPr>
        <w:pStyle w:val="BodyText"/>
        <w:rPr>
          <w:lang w:val="en-AU"/>
        </w:rPr>
      </w:pPr>
    </w:p>
    <w:p w14:paraId="6A3CFB0F" w14:textId="77777777" w:rsidR="008D0DAB" w:rsidRPr="00F65403" w:rsidRDefault="008D0DAB" w:rsidP="008D0DAB">
      <w:pPr>
        <w:pStyle w:val="BodyText"/>
        <w:rPr>
          <w:lang w:val="en-AU"/>
        </w:rPr>
      </w:pPr>
      <w:r w:rsidRPr="00F65403">
        <w:rPr>
          <w:lang w:val="en-AU"/>
        </w:rPr>
        <w:t>Statutory payables are recognised and measured similarly to contractual payables but not classified as financial instruments and not included in the category of financial liabilities at amortised cost, because they do not arise from contracts.</w:t>
      </w:r>
    </w:p>
    <w:p w14:paraId="40786343" w14:textId="77777777" w:rsidR="008D0DAB" w:rsidRPr="00F65403" w:rsidRDefault="008D0DAB" w:rsidP="008D0DAB">
      <w:pPr>
        <w:pStyle w:val="BodyText"/>
        <w:rPr>
          <w:lang w:val="en-AU"/>
        </w:rPr>
      </w:pPr>
    </w:p>
    <w:p w14:paraId="6584E1FF" w14:textId="45FDCA54" w:rsidR="008D0DAB" w:rsidRDefault="008D0DAB" w:rsidP="008D0DAB">
      <w:pPr>
        <w:pStyle w:val="BodyText"/>
        <w:rPr>
          <w:lang w:val="en-AU"/>
        </w:rPr>
      </w:pPr>
      <w:r w:rsidRPr="33D5A590">
        <w:rPr>
          <w:lang w:val="en-AU"/>
        </w:rPr>
        <w:t>Payables for supplies and services have an average credit period of 30 days.</w:t>
      </w:r>
      <w:r w:rsidR="00D30CC0">
        <w:rPr>
          <w:lang w:val="en-AU"/>
        </w:rPr>
        <w:t xml:space="preserve"> </w:t>
      </w:r>
    </w:p>
    <w:p w14:paraId="1B0A0025" w14:textId="77777777" w:rsidR="00D30CC0" w:rsidRDefault="00D30CC0" w:rsidP="008D0DAB">
      <w:pPr>
        <w:pStyle w:val="BodyText"/>
        <w:rPr>
          <w:lang w:val="en-AU"/>
        </w:rPr>
      </w:pPr>
    </w:p>
    <w:p w14:paraId="46E41CC7" w14:textId="72974041" w:rsidR="00D82A08" w:rsidRDefault="00D30CC0" w:rsidP="008D0DAB">
      <w:pPr>
        <w:pStyle w:val="BodyText"/>
        <w:rPr>
          <w:lang w:val="en-AU"/>
        </w:rPr>
      </w:pPr>
      <w:r>
        <w:rPr>
          <w:lang w:val="en-AU"/>
        </w:rPr>
        <w:t xml:space="preserve">Amounts advanced by the Group’s ultimate parent entity, SEC Victoria Pty Ltd, </w:t>
      </w:r>
      <w:r w:rsidR="002561EE">
        <w:rPr>
          <w:lang w:val="en-AU"/>
        </w:rPr>
        <w:t>are interest free and have no fixed repayment term</w:t>
      </w:r>
      <w:r w:rsidR="003E7115">
        <w:rPr>
          <w:lang w:val="en-AU"/>
        </w:rPr>
        <w:t xml:space="preserve">. </w:t>
      </w:r>
      <w:r w:rsidR="00ED02DE">
        <w:rPr>
          <w:lang w:val="en-AU"/>
        </w:rPr>
        <w:t>For the portion classified as non-current, the Group has received confirmation from</w:t>
      </w:r>
      <w:r w:rsidR="00B40CA6">
        <w:rPr>
          <w:lang w:val="en-AU"/>
        </w:rPr>
        <w:t xml:space="preserve"> its parent that payment of amounts owed will not </w:t>
      </w:r>
      <w:r w:rsidR="00F8362F">
        <w:rPr>
          <w:lang w:val="en-AU"/>
        </w:rPr>
        <w:t>be required within 12 months of balance date.</w:t>
      </w:r>
      <w:r w:rsidR="00D82A08">
        <w:rPr>
          <w:lang w:val="en-AU"/>
        </w:rPr>
        <w:br/>
      </w:r>
    </w:p>
    <w:p w14:paraId="2F88F354" w14:textId="77777777" w:rsidR="00D82A08" w:rsidRDefault="00D82A08">
      <w:pPr>
        <w:rPr>
          <w:rFonts w:eastAsia="Arial" w:cs="Arial"/>
          <w:sz w:val="20"/>
          <w:szCs w:val="20"/>
        </w:rPr>
      </w:pPr>
      <w:r>
        <w:br w:type="page"/>
      </w:r>
    </w:p>
    <w:p w14:paraId="34D53677" w14:textId="77777777" w:rsidR="00D30CC0" w:rsidRPr="00F65403" w:rsidRDefault="00D30CC0" w:rsidP="008D0DAB">
      <w:pPr>
        <w:pStyle w:val="BodyText"/>
        <w:rPr>
          <w:lang w:val="en-AU"/>
        </w:rPr>
      </w:pPr>
    </w:p>
    <w:p w14:paraId="414F3E0B" w14:textId="77777777" w:rsidR="008D0DAB" w:rsidRPr="00F65403" w:rsidRDefault="008D0DAB" w:rsidP="008D0DAB">
      <w:pPr>
        <w:pStyle w:val="Heading7"/>
      </w:pPr>
      <w:r>
        <w:t>Provisions</w:t>
      </w:r>
    </w:p>
    <w:tbl>
      <w:tblPr>
        <w:tblW w:w="8883" w:type="dxa"/>
        <w:tblLayout w:type="fixed"/>
        <w:tblCellMar>
          <w:top w:w="28" w:type="dxa"/>
          <w:left w:w="28" w:type="dxa"/>
          <w:bottom w:w="28" w:type="dxa"/>
          <w:right w:w="28" w:type="dxa"/>
        </w:tblCellMar>
        <w:tblLook w:val="04A0" w:firstRow="1" w:lastRow="0" w:firstColumn="1" w:lastColumn="0" w:noHBand="0" w:noVBand="1"/>
      </w:tblPr>
      <w:tblGrid>
        <w:gridCol w:w="4820"/>
        <w:gridCol w:w="1417"/>
        <w:gridCol w:w="1394"/>
        <w:gridCol w:w="1252"/>
      </w:tblGrid>
      <w:tr w:rsidR="008D0DAB" w:rsidRPr="002B1EBF" w14:paraId="510BD22E" w14:textId="77777777" w:rsidTr="413EB596">
        <w:tc>
          <w:tcPr>
            <w:tcW w:w="4820" w:type="dxa"/>
            <w:tcBorders>
              <w:top w:val="nil"/>
              <w:left w:val="nil"/>
              <w:bottom w:val="nil"/>
              <w:right w:val="nil"/>
            </w:tcBorders>
            <w:noWrap/>
            <w:vAlign w:val="bottom"/>
            <w:hideMark/>
          </w:tcPr>
          <w:p w14:paraId="180BF5F4" w14:textId="77777777" w:rsidR="008D0DAB" w:rsidRPr="00F65403" w:rsidRDefault="008D0DAB" w:rsidP="009B7B2A">
            <w:pPr>
              <w:spacing w:after="0" w:line="240" w:lineRule="auto"/>
              <w:rPr>
                <w:rFonts w:eastAsia="Times New Roman" w:cs="Arial"/>
                <w:sz w:val="20"/>
                <w:szCs w:val="20"/>
                <w:lang w:eastAsia="en-AU"/>
              </w:rPr>
            </w:pPr>
          </w:p>
        </w:tc>
        <w:tc>
          <w:tcPr>
            <w:tcW w:w="1417" w:type="dxa"/>
            <w:tcBorders>
              <w:top w:val="nil"/>
              <w:left w:val="nil"/>
              <w:bottom w:val="nil"/>
              <w:right w:val="nil"/>
            </w:tcBorders>
            <w:noWrap/>
            <w:vAlign w:val="bottom"/>
          </w:tcPr>
          <w:p w14:paraId="1DE74FD5"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394" w:type="dxa"/>
            <w:tcBorders>
              <w:top w:val="nil"/>
              <w:left w:val="nil"/>
              <w:bottom w:val="nil"/>
              <w:right w:val="nil"/>
            </w:tcBorders>
            <w:noWrap/>
            <w:vAlign w:val="bottom"/>
          </w:tcPr>
          <w:p w14:paraId="4DEE6F1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1252" w:type="dxa"/>
            <w:tcBorders>
              <w:top w:val="nil"/>
              <w:left w:val="nil"/>
              <w:bottom w:val="nil"/>
              <w:right w:val="nil"/>
            </w:tcBorders>
            <w:vAlign w:val="bottom"/>
          </w:tcPr>
          <w:p w14:paraId="4F281DC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2B1EBF" w14:paraId="2420E962" w14:textId="77777777" w:rsidTr="413EB596">
        <w:tc>
          <w:tcPr>
            <w:tcW w:w="4820" w:type="dxa"/>
            <w:tcBorders>
              <w:top w:val="nil"/>
              <w:left w:val="nil"/>
              <w:bottom w:val="nil"/>
              <w:right w:val="nil"/>
            </w:tcBorders>
            <w:noWrap/>
            <w:vAlign w:val="bottom"/>
            <w:hideMark/>
          </w:tcPr>
          <w:p w14:paraId="4D8B1BF5"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1417" w:type="dxa"/>
            <w:tcBorders>
              <w:top w:val="nil"/>
              <w:left w:val="nil"/>
              <w:bottom w:val="nil"/>
              <w:right w:val="nil"/>
            </w:tcBorders>
            <w:noWrap/>
            <w:vAlign w:val="bottom"/>
          </w:tcPr>
          <w:p w14:paraId="6CBC5966"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394" w:type="dxa"/>
            <w:tcBorders>
              <w:top w:val="nil"/>
              <w:left w:val="nil"/>
              <w:bottom w:val="nil"/>
              <w:right w:val="nil"/>
            </w:tcBorders>
            <w:noWrap/>
            <w:vAlign w:val="bottom"/>
          </w:tcPr>
          <w:p w14:paraId="10BE7E4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252" w:type="dxa"/>
            <w:tcBorders>
              <w:top w:val="nil"/>
              <w:left w:val="nil"/>
              <w:bottom w:val="nil"/>
              <w:right w:val="nil"/>
            </w:tcBorders>
            <w:vAlign w:val="bottom"/>
          </w:tcPr>
          <w:p w14:paraId="76FEB2D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2B1EBF" w14:paraId="1985C765" w14:textId="77777777" w:rsidTr="413EB596">
        <w:tc>
          <w:tcPr>
            <w:tcW w:w="4820" w:type="dxa"/>
            <w:tcBorders>
              <w:top w:val="nil"/>
              <w:left w:val="nil"/>
              <w:bottom w:val="nil"/>
              <w:right w:val="nil"/>
            </w:tcBorders>
            <w:noWrap/>
            <w:vAlign w:val="bottom"/>
          </w:tcPr>
          <w:p w14:paraId="1DA61C76" w14:textId="77777777" w:rsidR="008D0DAB" w:rsidRPr="00F65403" w:rsidRDefault="008D0DAB" w:rsidP="009B7B2A">
            <w:pPr>
              <w:spacing w:after="0" w:line="240" w:lineRule="auto"/>
              <w:rPr>
                <w:rFonts w:cs="Arial"/>
                <w:color w:val="000000"/>
                <w:sz w:val="20"/>
                <w:szCs w:val="20"/>
              </w:rPr>
            </w:pPr>
          </w:p>
        </w:tc>
        <w:tc>
          <w:tcPr>
            <w:tcW w:w="1417" w:type="dxa"/>
            <w:tcBorders>
              <w:top w:val="nil"/>
              <w:left w:val="nil"/>
              <w:bottom w:val="nil"/>
              <w:right w:val="nil"/>
            </w:tcBorders>
            <w:noWrap/>
            <w:vAlign w:val="bottom"/>
          </w:tcPr>
          <w:p w14:paraId="089E95C4"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p>
        </w:tc>
        <w:tc>
          <w:tcPr>
            <w:tcW w:w="1394" w:type="dxa"/>
            <w:tcBorders>
              <w:top w:val="nil"/>
              <w:left w:val="nil"/>
              <w:bottom w:val="nil"/>
              <w:right w:val="nil"/>
            </w:tcBorders>
            <w:noWrap/>
            <w:vAlign w:val="bottom"/>
          </w:tcPr>
          <w:p w14:paraId="46E42AD6"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p>
        </w:tc>
        <w:tc>
          <w:tcPr>
            <w:tcW w:w="1252" w:type="dxa"/>
            <w:tcBorders>
              <w:top w:val="nil"/>
              <w:left w:val="nil"/>
              <w:bottom w:val="nil"/>
              <w:right w:val="nil"/>
            </w:tcBorders>
            <w:vAlign w:val="bottom"/>
          </w:tcPr>
          <w:p w14:paraId="3A4C3B25"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p>
        </w:tc>
      </w:tr>
      <w:tr w:rsidR="008D0DAB" w:rsidRPr="00F65403" w14:paraId="326167C1" w14:textId="77777777" w:rsidTr="413EB596">
        <w:tc>
          <w:tcPr>
            <w:tcW w:w="4820" w:type="dxa"/>
            <w:tcBorders>
              <w:top w:val="nil"/>
              <w:left w:val="nil"/>
              <w:bottom w:val="nil"/>
              <w:right w:val="nil"/>
            </w:tcBorders>
            <w:noWrap/>
            <w:vAlign w:val="bottom"/>
          </w:tcPr>
          <w:p w14:paraId="3C3F3613" w14:textId="77777777" w:rsidR="008D0DAB" w:rsidRPr="00F65403" w:rsidRDefault="008D0DAB" w:rsidP="009B7B2A">
            <w:pPr>
              <w:spacing w:after="0" w:line="240" w:lineRule="auto"/>
              <w:rPr>
                <w:rFonts w:cs="Arial"/>
                <w:color w:val="000000"/>
                <w:sz w:val="20"/>
                <w:szCs w:val="20"/>
              </w:rPr>
            </w:pPr>
            <w:r>
              <w:rPr>
                <w:rFonts w:cs="Arial"/>
                <w:color w:val="000000"/>
                <w:sz w:val="20"/>
                <w:szCs w:val="20"/>
              </w:rPr>
              <w:t xml:space="preserve">Other provisions </w:t>
            </w:r>
          </w:p>
        </w:tc>
        <w:tc>
          <w:tcPr>
            <w:tcW w:w="1417" w:type="dxa"/>
            <w:tcBorders>
              <w:top w:val="nil"/>
              <w:left w:val="nil"/>
              <w:right w:val="nil"/>
            </w:tcBorders>
            <w:noWrap/>
          </w:tcPr>
          <w:p w14:paraId="600A3C36" w14:textId="77777777" w:rsidR="008D0DAB" w:rsidRPr="00D73107" w:rsidRDefault="008D0DAB" w:rsidP="009B7B2A">
            <w:pPr>
              <w:tabs>
                <w:tab w:val="decimal" w:pos="851"/>
              </w:tabs>
              <w:spacing w:after="0" w:line="240" w:lineRule="auto"/>
              <w:rPr>
                <w:rFonts w:eastAsia="Times New Roman" w:cs="Arial"/>
                <w:color w:val="000000"/>
                <w:sz w:val="20"/>
                <w:szCs w:val="20"/>
                <w:lang w:eastAsia="en-AU"/>
              </w:rPr>
            </w:pPr>
          </w:p>
        </w:tc>
        <w:tc>
          <w:tcPr>
            <w:tcW w:w="1394" w:type="dxa"/>
            <w:tcBorders>
              <w:top w:val="nil"/>
              <w:left w:val="nil"/>
              <w:bottom w:val="single" w:sz="4" w:space="0" w:color="auto"/>
              <w:right w:val="nil"/>
            </w:tcBorders>
            <w:noWrap/>
          </w:tcPr>
          <w:p w14:paraId="03B4BE22" w14:textId="77777777" w:rsidR="008D0DAB" w:rsidRPr="00F65403" w:rsidRDefault="008D0DAB" w:rsidP="413EB596">
            <w:pPr>
              <w:tabs>
                <w:tab w:val="decimal" w:pos="966"/>
              </w:tabs>
              <w:spacing w:after="0" w:line="240" w:lineRule="auto"/>
              <w:rPr>
                <w:rFonts w:eastAsia="Times New Roman" w:cs="Arial"/>
                <w:color w:val="000000"/>
                <w:sz w:val="20"/>
                <w:szCs w:val="20"/>
                <w:lang w:eastAsia="en-AU"/>
              </w:rPr>
            </w:pPr>
            <w:r w:rsidRPr="413EB596">
              <w:rPr>
                <w:sz w:val="20"/>
                <w:szCs w:val="20"/>
              </w:rPr>
              <w:t>6,000</w:t>
            </w:r>
          </w:p>
        </w:tc>
        <w:tc>
          <w:tcPr>
            <w:tcW w:w="1252" w:type="dxa"/>
            <w:tcBorders>
              <w:top w:val="nil"/>
              <w:left w:val="nil"/>
              <w:bottom w:val="single" w:sz="4" w:space="0" w:color="auto"/>
              <w:right w:val="nil"/>
            </w:tcBorders>
            <w:vAlign w:val="bottom"/>
          </w:tcPr>
          <w:p w14:paraId="47EEE203" w14:textId="77777777" w:rsidR="008D0DAB"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F65403" w14:paraId="094AC730" w14:textId="77777777" w:rsidTr="413EB596">
        <w:tc>
          <w:tcPr>
            <w:tcW w:w="4820" w:type="dxa"/>
            <w:tcBorders>
              <w:top w:val="nil"/>
              <w:left w:val="nil"/>
              <w:bottom w:val="nil"/>
              <w:right w:val="nil"/>
            </w:tcBorders>
            <w:noWrap/>
            <w:vAlign w:val="bottom"/>
          </w:tcPr>
          <w:p w14:paraId="5DD628B5" w14:textId="77777777" w:rsidR="008D0DAB" w:rsidRPr="00F952DC" w:rsidRDefault="008D0DAB" w:rsidP="009B7B2A">
            <w:pPr>
              <w:spacing w:after="0" w:line="240" w:lineRule="auto"/>
              <w:rPr>
                <w:rFonts w:cs="Arial"/>
                <w:b/>
                <w:bCs/>
                <w:color w:val="000000"/>
                <w:sz w:val="20"/>
                <w:szCs w:val="20"/>
              </w:rPr>
            </w:pPr>
            <w:r w:rsidRPr="00F952DC">
              <w:rPr>
                <w:rFonts w:cs="Arial"/>
                <w:b/>
                <w:bCs/>
                <w:color w:val="000000"/>
                <w:sz w:val="20"/>
                <w:szCs w:val="20"/>
              </w:rPr>
              <w:t>Total current provisions</w:t>
            </w:r>
          </w:p>
        </w:tc>
        <w:tc>
          <w:tcPr>
            <w:tcW w:w="1417" w:type="dxa"/>
            <w:tcBorders>
              <w:left w:val="nil"/>
              <w:right w:val="nil"/>
            </w:tcBorders>
            <w:noWrap/>
          </w:tcPr>
          <w:p w14:paraId="7BE4A089" w14:textId="77777777" w:rsidR="008D0DAB" w:rsidRPr="00D73107" w:rsidRDefault="008D0DAB" w:rsidP="009B7B2A">
            <w:pPr>
              <w:tabs>
                <w:tab w:val="decimal" w:pos="851"/>
              </w:tabs>
              <w:spacing w:after="0" w:line="240" w:lineRule="auto"/>
              <w:rPr>
                <w:rFonts w:eastAsia="Times New Roman" w:cs="Arial"/>
                <w:b/>
                <w:bCs/>
                <w:color w:val="000000"/>
                <w:sz w:val="20"/>
                <w:szCs w:val="20"/>
                <w:lang w:eastAsia="en-AU"/>
              </w:rPr>
            </w:pPr>
          </w:p>
        </w:tc>
        <w:tc>
          <w:tcPr>
            <w:tcW w:w="1394" w:type="dxa"/>
            <w:tcBorders>
              <w:top w:val="single" w:sz="4" w:space="0" w:color="auto"/>
              <w:left w:val="nil"/>
              <w:bottom w:val="single" w:sz="4" w:space="0" w:color="auto"/>
              <w:right w:val="nil"/>
            </w:tcBorders>
            <w:noWrap/>
          </w:tcPr>
          <w:p w14:paraId="0CEFA07C" w14:textId="77777777" w:rsidR="008D0DAB" w:rsidRPr="00F952DC" w:rsidRDefault="008D0DAB" w:rsidP="413EB596">
            <w:pPr>
              <w:tabs>
                <w:tab w:val="decimal" w:pos="966"/>
              </w:tabs>
              <w:spacing w:after="0" w:line="240" w:lineRule="auto"/>
              <w:rPr>
                <w:rFonts w:eastAsia="Times New Roman" w:cs="Arial"/>
                <w:b/>
                <w:bCs/>
                <w:color w:val="000000"/>
                <w:sz w:val="20"/>
                <w:szCs w:val="20"/>
                <w:lang w:eastAsia="en-AU"/>
              </w:rPr>
            </w:pPr>
            <w:r w:rsidRPr="413EB596">
              <w:rPr>
                <w:b/>
                <w:bCs/>
                <w:sz w:val="20"/>
                <w:szCs w:val="20"/>
              </w:rPr>
              <w:t>6,000</w:t>
            </w:r>
          </w:p>
        </w:tc>
        <w:tc>
          <w:tcPr>
            <w:tcW w:w="1252" w:type="dxa"/>
            <w:tcBorders>
              <w:top w:val="single" w:sz="4" w:space="0" w:color="auto"/>
              <w:left w:val="nil"/>
              <w:bottom w:val="single" w:sz="4" w:space="0" w:color="auto"/>
              <w:right w:val="nil"/>
            </w:tcBorders>
            <w:vAlign w:val="bottom"/>
          </w:tcPr>
          <w:p w14:paraId="5FEC5A22" w14:textId="77777777" w:rsidR="008D0DAB" w:rsidRDefault="008D0DAB" w:rsidP="009B7B2A">
            <w:pPr>
              <w:tabs>
                <w:tab w:val="decimal" w:pos="85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8D0DAB" w:rsidRPr="00F65403" w14:paraId="64E3FFD3" w14:textId="77777777" w:rsidTr="413EB596">
        <w:tc>
          <w:tcPr>
            <w:tcW w:w="4820" w:type="dxa"/>
            <w:tcBorders>
              <w:top w:val="nil"/>
              <w:left w:val="nil"/>
              <w:bottom w:val="nil"/>
              <w:right w:val="nil"/>
            </w:tcBorders>
            <w:noWrap/>
            <w:vAlign w:val="bottom"/>
          </w:tcPr>
          <w:p w14:paraId="14C82115" w14:textId="77777777" w:rsidR="008D0DAB" w:rsidRPr="008C747D" w:rsidRDefault="008D0DAB" w:rsidP="009B7B2A">
            <w:pPr>
              <w:spacing w:after="0" w:line="240" w:lineRule="auto"/>
              <w:rPr>
                <w:rFonts w:cs="Arial"/>
                <w:b/>
                <w:bCs/>
                <w:color w:val="000000"/>
                <w:sz w:val="20"/>
                <w:szCs w:val="20"/>
              </w:rPr>
            </w:pPr>
            <w:r>
              <w:rPr>
                <w:rFonts w:cs="Arial"/>
                <w:color w:val="000000"/>
                <w:sz w:val="20"/>
                <w:szCs w:val="20"/>
              </w:rPr>
              <w:t>Other provisions</w:t>
            </w:r>
          </w:p>
        </w:tc>
        <w:tc>
          <w:tcPr>
            <w:tcW w:w="1417" w:type="dxa"/>
            <w:tcBorders>
              <w:top w:val="nil"/>
              <w:left w:val="nil"/>
              <w:right w:val="nil"/>
            </w:tcBorders>
            <w:noWrap/>
          </w:tcPr>
          <w:p w14:paraId="5CA9CF49" w14:textId="77777777" w:rsidR="008D0DAB" w:rsidRPr="00D73107" w:rsidRDefault="008D0DAB" w:rsidP="009B7B2A">
            <w:pPr>
              <w:tabs>
                <w:tab w:val="decimal" w:pos="851"/>
              </w:tabs>
              <w:spacing w:after="0" w:line="240" w:lineRule="auto"/>
              <w:rPr>
                <w:rFonts w:eastAsia="Times New Roman" w:cs="Arial"/>
                <w:color w:val="000000"/>
                <w:sz w:val="20"/>
                <w:szCs w:val="20"/>
                <w:lang w:eastAsia="en-AU"/>
              </w:rPr>
            </w:pPr>
          </w:p>
        </w:tc>
        <w:tc>
          <w:tcPr>
            <w:tcW w:w="1394" w:type="dxa"/>
            <w:tcBorders>
              <w:top w:val="nil"/>
              <w:left w:val="nil"/>
              <w:bottom w:val="single" w:sz="4" w:space="0" w:color="auto"/>
              <w:right w:val="nil"/>
            </w:tcBorders>
            <w:noWrap/>
          </w:tcPr>
          <w:p w14:paraId="7982073F" w14:textId="77777777" w:rsidR="008D0DAB" w:rsidRPr="00F65403" w:rsidRDefault="008D0DAB" w:rsidP="413EB596">
            <w:pPr>
              <w:tabs>
                <w:tab w:val="decimal" w:pos="966"/>
              </w:tabs>
              <w:spacing w:after="0" w:line="240" w:lineRule="auto"/>
              <w:rPr>
                <w:rFonts w:eastAsia="Times New Roman" w:cs="Arial"/>
                <w:color w:val="000000"/>
                <w:sz w:val="20"/>
                <w:szCs w:val="20"/>
                <w:lang w:eastAsia="en-AU"/>
              </w:rPr>
            </w:pPr>
            <w:r w:rsidRPr="413EB596">
              <w:rPr>
                <w:sz w:val="20"/>
                <w:szCs w:val="20"/>
              </w:rPr>
              <w:t>3,912</w:t>
            </w:r>
          </w:p>
        </w:tc>
        <w:tc>
          <w:tcPr>
            <w:tcW w:w="1252" w:type="dxa"/>
            <w:tcBorders>
              <w:top w:val="nil"/>
              <w:left w:val="nil"/>
              <w:bottom w:val="single" w:sz="4" w:space="0" w:color="auto"/>
              <w:right w:val="nil"/>
            </w:tcBorders>
            <w:vAlign w:val="bottom"/>
          </w:tcPr>
          <w:p w14:paraId="0C5CF307" w14:textId="77777777" w:rsidR="008D0DAB"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F65403" w14:paraId="1DAB099E" w14:textId="77777777" w:rsidTr="413EB596">
        <w:tc>
          <w:tcPr>
            <w:tcW w:w="4820" w:type="dxa"/>
            <w:tcBorders>
              <w:top w:val="nil"/>
              <w:left w:val="nil"/>
              <w:bottom w:val="nil"/>
              <w:right w:val="nil"/>
            </w:tcBorders>
            <w:noWrap/>
            <w:vAlign w:val="bottom"/>
          </w:tcPr>
          <w:p w14:paraId="19DA28E8" w14:textId="77777777" w:rsidR="008D0DAB" w:rsidRPr="008C747D" w:rsidRDefault="008D0DAB" w:rsidP="009B7B2A">
            <w:pPr>
              <w:spacing w:after="0" w:line="240" w:lineRule="auto"/>
              <w:rPr>
                <w:rFonts w:cs="Arial"/>
                <w:b/>
                <w:bCs/>
                <w:color w:val="000000"/>
                <w:sz w:val="20"/>
                <w:szCs w:val="20"/>
              </w:rPr>
            </w:pPr>
            <w:r w:rsidRPr="00F952DC">
              <w:rPr>
                <w:rFonts w:cs="Arial"/>
                <w:b/>
                <w:bCs/>
                <w:color w:val="000000"/>
                <w:sz w:val="20"/>
                <w:szCs w:val="20"/>
              </w:rPr>
              <w:t xml:space="preserve">Total </w:t>
            </w:r>
            <w:r>
              <w:rPr>
                <w:rFonts w:cs="Arial"/>
                <w:b/>
                <w:bCs/>
                <w:color w:val="000000"/>
                <w:sz w:val="20"/>
                <w:szCs w:val="20"/>
              </w:rPr>
              <w:t>non-</w:t>
            </w:r>
            <w:r w:rsidRPr="00F952DC">
              <w:rPr>
                <w:rFonts w:cs="Arial"/>
                <w:b/>
                <w:bCs/>
                <w:color w:val="000000"/>
                <w:sz w:val="20"/>
                <w:szCs w:val="20"/>
              </w:rPr>
              <w:t>current provisions</w:t>
            </w:r>
          </w:p>
        </w:tc>
        <w:tc>
          <w:tcPr>
            <w:tcW w:w="1417" w:type="dxa"/>
            <w:tcBorders>
              <w:left w:val="nil"/>
              <w:right w:val="nil"/>
            </w:tcBorders>
            <w:noWrap/>
          </w:tcPr>
          <w:p w14:paraId="61600B4B" w14:textId="77777777" w:rsidR="008D0DAB" w:rsidRPr="00D73107" w:rsidRDefault="008D0DAB" w:rsidP="009B7B2A">
            <w:pPr>
              <w:tabs>
                <w:tab w:val="decimal" w:pos="851"/>
              </w:tabs>
              <w:spacing w:after="0" w:line="240" w:lineRule="auto"/>
              <w:rPr>
                <w:rFonts w:eastAsia="Times New Roman" w:cs="Arial"/>
                <w:b/>
                <w:bCs/>
                <w:color w:val="000000"/>
                <w:sz w:val="20"/>
                <w:szCs w:val="20"/>
                <w:lang w:eastAsia="en-AU"/>
              </w:rPr>
            </w:pPr>
          </w:p>
        </w:tc>
        <w:tc>
          <w:tcPr>
            <w:tcW w:w="1394" w:type="dxa"/>
            <w:tcBorders>
              <w:top w:val="single" w:sz="4" w:space="0" w:color="auto"/>
              <w:left w:val="nil"/>
              <w:bottom w:val="single" w:sz="4" w:space="0" w:color="auto"/>
              <w:right w:val="nil"/>
            </w:tcBorders>
            <w:noWrap/>
          </w:tcPr>
          <w:p w14:paraId="3C9E333C" w14:textId="77777777" w:rsidR="008D0DAB" w:rsidRPr="00994B35" w:rsidRDefault="008D0DAB" w:rsidP="413EB596">
            <w:pPr>
              <w:tabs>
                <w:tab w:val="decimal" w:pos="966"/>
              </w:tabs>
              <w:spacing w:after="0" w:line="240" w:lineRule="auto"/>
              <w:rPr>
                <w:rFonts w:eastAsia="Times New Roman" w:cs="Arial"/>
                <w:b/>
                <w:bCs/>
                <w:color w:val="000000"/>
                <w:sz w:val="20"/>
                <w:szCs w:val="20"/>
                <w:lang w:eastAsia="en-AU"/>
              </w:rPr>
            </w:pPr>
            <w:r w:rsidRPr="413EB596">
              <w:rPr>
                <w:b/>
                <w:bCs/>
                <w:sz w:val="20"/>
                <w:szCs w:val="20"/>
              </w:rPr>
              <w:t>3,912</w:t>
            </w:r>
          </w:p>
        </w:tc>
        <w:tc>
          <w:tcPr>
            <w:tcW w:w="1252" w:type="dxa"/>
            <w:tcBorders>
              <w:top w:val="single" w:sz="4" w:space="0" w:color="auto"/>
              <w:left w:val="nil"/>
              <w:bottom w:val="single" w:sz="4" w:space="0" w:color="auto"/>
              <w:right w:val="nil"/>
            </w:tcBorders>
            <w:vAlign w:val="bottom"/>
          </w:tcPr>
          <w:p w14:paraId="1C20495C" w14:textId="77777777" w:rsidR="008D0DAB" w:rsidRDefault="008D0DAB" w:rsidP="009B7B2A">
            <w:pPr>
              <w:tabs>
                <w:tab w:val="decimal" w:pos="85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8D0DAB" w:rsidRPr="00F65403" w14:paraId="3B8A8A4C" w14:textId="77777777" w:rsidTr="413EB596">
        <w:tc>
          <w:tcPr>
            <w:tcW w:w="4820" w:type="dxa"/>
            <w:tcBorders>
              <w:top w:val="nil"/>
              <w:left w:val="nil"/>
              <w:bottom w:val="nil"/>
              <w:right w:val="nil"/>
            </w:tcBorders>
            <w:noWrap/>
            <w:vAlign w:val="bottom"/>
          </w:tcPr>
          <w:p w14:paraId="459CB8E8" w14:textId="77777777" w:rsidR="008D0DAB" w:rsidRPr="00F952DC" w:rsidRDefault="008D0DAB" w:rsidP="009B7B2A">
            <w:pPr>
              <w:spacing w:after="0" w:line="240" w:lineRule="auto"/>
              <w:rPr>
                <w:rFonts w:cs="Arial"/>
                <w:b/>
                <w:bCs/>
                <w:color w:val="000000"/>
                <w:sz w:val="20"/>
                <w:szCs w:val="20"/>
              </w:rPr>
            </w:pPr>
          </w:p>
        </w:tc>
        <w:tc>
          <w:tcPr>
            <w:tcW w:w="1417" w:type="dxa"/>
            <w:tcBorders>
              <w:left w:val="nil"/>
              <w:bottom w:val="nil"/>
              <w:right w:val="nil"/>
            </w:tcBorders>
            <w:noWrap/>
            <w:vAlign w:val="bottom"/>
          </w:tcPr>
          <w:p w14:paraId="286E7333"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p>
        </w:tc>
        <w:tc>
          <w:tcPr>
            <w:tcW w:w="1394" w:type="dxa"/>
            <w:tcBorders>
              <w:top w:val="single" w:sz="4" w:space="0" w:color="auto"/>
              <w:left w:val="nil"/>
              <w:bottom w:val="nil"/>
              <w:right w:val="nil"/>
            </w:tcBorders>
            <w:noWrap/>
            <w:vAlign w:val="bottom"/>
          </w:tcPr>
          <w:p w14:paraId="304639FB" w14:textId="77777777" w:rsidR="008D0DAB" w:rsidRPr="00F65403" w:rsidRDefault="008D0DAB" w:rsidP="413EB596">
            <w:pPr>
              <w:tabs>
                <w:tab w:val="decimal" w:pos="966"/>
              </w:tabs>
              <w:spacing w:after="0" w:line="240" w:lineRule="auto"/>
              <w:rPr>
                <w:rFonts w:eastAsia="Times New Roman" w:cs="Arial"/>
                <w:color w:val="000000"/>
                <w:sz w:val="20"/>
                <w:szCs w:val="20"/>
                <w:lang w:eastAsia="en-AU"/>
              </w:rPr>
            </w:pPr>
          </w:p>
        </w:tc>
        <w:tc>
          <w:tcPr>
            <w:tcW w:w="1252" w:type="dxa"/>
            <w:tcBorders>
              <w:top w:val="single" w:sz="4" w:space="0" w:color="auto"/>
              <w:left w:val="nil"/>
              <w:bottom w:val="nil"/>
              <w:right w:val="nil"/>
            </w:tcBorders>
          </w:tcPr>
          <w:p w14:paraId="112B0C7B"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p>
        </w:tc>
      </w:tr>
    </w:tbl>
    <w:p w14:paraId="4CE8679D" w14:textId="77777777" w:rsidR="008D0DAB" w:rsidRDefault="008D0DAB" w:rsidP="008D0DAB">
      <w:pPr>
        <w:pStyle w:val="BodyText"/>
        <w:rPr>
          <w:lang w:val="en-AU"/>
        </w:rPr>
      </w:pPr>
    </w:p>
    <w:tbl>
      <w:tblPr>
        <w:tblW w:w="8907" w:type="dxa"/>
        <w:tblLayout w:type="fixed"/>
        <w:tblCellMar>
          <w:top w:w="28" w:type="dxa"/>
          <w:left w:w="28" w:type="dxa"/>
          <w:bottom w:w="28" w:type="dxa"/>
          <w:right w:w="28" w:type="dxa"/>
        </w:tblCellMar>
        <w:tblLook w:val="04A0" w:firstRow="1" w:lastRow="0" w:firstColumn="1" w:lastColumn="0" w:noHBand="0" w:noVBand="1"/>
      </w:tblPr>
      <w:tblGrid>
        <w:gridCol w:w="4820"/>
        <w:gridCol w:w="1417"/>
        <w:gridCol w:w="1418"/>
        <w:gridCol w:w="1252"/>
      </w:tblGrid>
      <w:tr w:rsidR="008D0DAB" w:rsidRPr="00F65403" w14:paraId="1EA69B50" w14:textId="77777777" w:rsidTr="009B7B2A">
        <w:tc>
          <w:tcPr>
            <w:tcW w:w="4820" w:type="dxa"/>
            <w:tcBorders>
              <w:top w:val="nil"/>
              <w:left w:val="nil"/>
              <w:bottom w:val="nil"/>
              <w:right w:val="nil"/>
            </w:tcBorders>
            <w:noWrap/>
            <w:vAlign w:val="bottom"/>
          </w:tcPr>
          <w:p w14:paraId="0ADBE25B" w14:textId="77777777" w:rsidR="008D0DAB" w:rsidRPr="00E26E4B" w:rsidRDefault="008D0DAB" w:rsidP="009B7B2A">
            <w:pPr>
              <w:spacing w:after="0" w:line="240" w:lineRule="auto"/>
              <w:rPr>
                <w:rFonts w:cs="Arial"/>
                <w:i/>
                <w:iCs/>
                <w:color w:val="000000"/>
                <w:sz w:val="20"/>
                <w:szCs w:val="20"/>
              </w:rPr>
            </w:pPr>
            <w:r w:rsidRPr="00E26E4B">
              <w:rPr>
                <w:rFonts w:cs="Arial"/>
                <w:i/>
                <w:iCs/>
                <w:color w:val="000000"/>
                <w:sz w:val="20"/>
                <w:szCs w:val="20"/>
              </w:rPr>
              <w:t>Movements in other provisions</w:t>
            </w:r>
          </w:p>
        </w:tc>
        <w:tc>
          <w:tcPr>
            <w:tcW w:w="1417" w:type="dxa"/>
            <w:tcBorders>
              <w:top w:val="nil"/>
              <w:left w:val="nil"/>
              <w:bottom w:val="nil"/>
              <w:right w:val="nil"/>
            </w:tcBorders>
            <w:noWrap/>
            <w:vAlign w:val="bottom"/>
          </w:tcPr>
          <w:p w14:paraId="30877B40" w14:textId="77777777" w:rsidR="008D0DAB" w:rsidRPr="00E222BD"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D</w:t>
            </w:r>
            <w:r w:rsidRPr="00E222BD">
              <w:rPr>
                <w:rFonts w:eastAsia="Times New Roman" w:cs="Arial"/>
                <w:b/>
                <w:color w:val="000000"/>
                <w:sz w:val="20"/>
                <w:szCs w:val="20"/>
                <w:lang w:eastAsia="en-AU"/>
              </w:rPr>
              <w:t>eferred consideration</w:t>
            </w:r>
          </w:p>
        </w:tc>
        <w:tc>
          <w:tcPr>
            <w:tcW w:w="1418" w:type="dxa"/>
            <w:tcBorders>
              <w:top w:val="nil"/>
              <w:left w:val="nil"/>
              <w:bottom w:val="nil"/>
              <w:right w:val="nil"/>
            </w:tcBorders>
            <w:noWrap/>
            <w:vAlign w:val="bottom"/>
          </w:tcPr>
          <w:p w14:paraId="589016F2" w14:textId="77777777" w:rsidR="008D0DAB" w:rsidRPr="00E222BD"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Other </w:t>
            </w:r>
          </w:p>
        </w:tc>
        <w:tc>
          <w:tcPr>
            <w:tcW w:w="1252" w:type="dxa"/>
            <w:tcBorders>
              <w:top w:val="nil"/>
              <w:left w:val="nil"/>
              <w:bottom w:val="nil"/>
              <w:right w:val="nil"/>
            </w:tcBorders>
          </w:tcPr>
          <w:p w14:paraId="2ACD33CF" w14:textId="77777777" w:rsidR="008D0DAB" w:rsidRDefault="008D0DAB" w:rsidP="009B7B2A">
            <w:pPr>
              <w:spacing w:after="0" w:line="240" w:lineRule="auto"/>
              <w:jc w:val="center"/>
              <w:rPr>
                <w:rFonts w:eastAsia="Times New Roman" w:cs="Arial"/>
                <w:b/>
                <w:color w:val="000000"/>
                <w:sz w:val="20"/>
                <w:szCs w:val="20"/>
                <w:lang w:eastAsia="en-AU"/>
              </w:rPr>
            </w:pPr>
          </w:p>
          <w:p w14:paraId="1D494346" w14:textId="77777777" w:rsidR="008D0DAB" w:rsidRPr="00E222BD" w:rsidRDefault="008D0DAB" w:rsidP="009B7B2A">
            <w:pPr>
              <w:spacing w:after="0" w:line="240" w:lineRule="auto"/>
              <w:jc w:val="center"/>
              <w:rPr>
                <w:rFonts w:eastAsia="Times New Roman" w:cs="Arial"/>
                <w:b/>
                <w:color w:val="000000"/>
                <w:sz w:val="20"/>
                <w:szCs w:val="20"/>
                <w:lang w:eastAsia="en-AU"/>
              </w:rPr>
            </w:pPr>
            <w:r w:rsidRPr="00E222BD">
              <w:rPr>
                <w:rFonts w:eastAsia="Times New Roman" w:cs="Arial"/>
                <w:b/>
                <w:color w:val="000000"/>
                <w:sz w:val="20"/>
                <w:szCs w:val="20"/>
                <w:lang w:eastAsia="en-AU"/>
              </w:rPr>
              <w:t>Total</w:t>
            </w:r>
          </w:p>
        </w:tc>
      </w:tr>
      <w:tr w:rsidR="008D0DAB" w:rsidRPr="002B1EBF" w14:paraId="107BD78F" w14:textId="77777777" w:rsidTr="009B7B2A">
        <w:tc>
          <w:tcPr>
            <w:tcW w:w="4820" w:type="dxa"/>
            <w:tcBorders>
              <w:top w:val="nil"/>
              <w:left w:val="nil"/>
              <w:bottom w:val="nil"/>
              <w:right w:val="nil"/>
            </w:tcBorders>
            <w:noWrap/>
            <w:vAlign w:val="bottom"/>
          </w:tcPr>
          <w:p w14:paraId="78A11F74" w14:textId="401A9428" w:rsidR="008D0DAB" w:rsidRPr="00F65403" w:rsidRDefault="002D4CE3" w:rsidP="009B7B2A">
            <w:pPr>
              <w:spacing w:after="0" w:line="240" w:lineRule="auto"/>
              <w:rPr>
                <w:rFonts w:cs="Arial"/>
                <w:color w:val="000000"/>
                <w:sz w:val="20"/>
                <w:szCs w:val="20"/>
              </w:rPr>
            </w:pPr>
            <w:r>
              <w:rPr>
                <w:rFonts w:cs="Arial"/>
                <w:color w:val="000000"/>
                <w:sz w:val="20"/>
                <w:szCs w:val="20"/>
              </w:rPr>
              <w:t>2025</w:t>
            </w:r>
          </w:p>
        </w:tc>
        <w:tc>
          <w:tcPr>
            <w:tcW w:w="1417" w:type="dxa"/>
            <w:tcBorders>
              <w:top w:val="nil"/>
              <w:left w:val="nil"/>
              <w:bottom w:val="nil"/>
              <w:right w:val="nil"/>
            </w:tcBorders>
            <w:noWrap/>
            <w:vAlign w:val="bottom"/>
          </w:tcPr>
          <w:p w14:paraId="5840ABB6"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1418" w:type="dxa"/>
            <w:tcBorders>
              <w:top w:val="nil"/>
              <w:left w:val="nil"/>
              <w:bottom w:val="nil"/>
              <w:right w:val="nil"/>
            </w:tcBorders>
            <w:noWrap/>
            <w:vAlign w:val="bottom"/>
          </w:tcPr>
          <w:p w14:paraId="440847A6"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1252" w:type="dxa"/>
            <w:tcBorders>
              <w:top w:val="nil"/>
              <w:left w:val="nil"/>
              <w:bottom w:val="nil"/>
              <w:right w:val="nil"/>
            </w:tcBorders>
            <w:vAlign w:val="bottom"/>
          </w:tcPr>
          <w:p w14:paraId="0CB17FAD"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8D0DAB" w:rsidRPr="002B1EBF" w14:paraId="22EBB77A" w14:textId="77777777" w:rsidTr="009B7B2A">
        <w:tc>
          <w:tcPr>
            <w:tcW w:w="4820" w:type="dxa"/>
            <w:tcBorders>
              <w:top w:val="nil"/>
              <w:left w:val="nil"/>
              <w:bottom w:val="nil"/>
              <w:right w:val="nil"/>
            </w:tcBorders>
            <w:noWrap/>
            <w:vAlign w:val="bottom"/>
            <w:hideMark/>
          </w:tcPr>
          <w:p w14:paraId="7A0935E7"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cs="Arial"/>
                <w:color w:val="000000"/>
                <w:sz w:val="20"/>
                <w:szCs w:val="20"/>
              </w:rPr>
              <w:t xml:space="preserve">Balance </w:t>
            </w:r>
            <w:r>
              <w:rPr>
                <w:rFonts w:cs="Arial"/>
                <w:color w:val="000000"/>
                <w:sz w:val="20"/>
                <w:szCs w:val="20"/>
              </w:rPr>
              <w:t>at the beginning of the reporting period</w:t>
            </w:r>
          </w:p>
        </w:tc>
        <w:tc>
          <w:tcPr>
            <w:tcW w:w="1417" w:type="dxa"/>
            <w:tcBorders>
              <w:top w:val="nil"/>
              <w:left w:val="nil"/>
              <w:bottom w:val="nil"/>
              <w:right w:val="nil"/>
            </w:tcBorders>
            <w:noWrap/>
            <w:vAlign w:val="bottom"/>
          </w:tcPr>
          <w:p w14:paraId="4E65DE85"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1418" w:type="dxa"/>
            <w:tcBorders>
              <w:top w:val="nil"/>
              <w:left w:val="nil"/>
              <w:bottom w:val="nil"/>
              <w:right w:val="nil"/>
            </w:tcBorders>
            <w:noWrap/>
            <w:vAlign w:val="bottom"/>
            <w:hideMark/>
          </w:tcPr>
          <w:p w14:paraId="35167B0B"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1252" w:type="dxa"/>
            <w:tcBorders>
              <w:top w:val="nil"/>
              <w:left w:val="nil"/>
              <w:bottom w:val="nil"/>
              <w:right w:val="nil"/>
            </w:tcBorders>
          </w:tcPr>
          <w:p w14:paraId="3A7B2FF6"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2B1EBF" w14:paraId="0B4DBD77" w14:textId="77777777" w:rsidTr="009B7B2A">
        <w:tc>
          <w:tcPr>
            <w:tcW w:w="4820" w:type="dxa"/>
            <w:tcBorders>
              <w:top w:val="nil"/>
              <w:left w:val="nil"/>
              <w:bottom w:val="nil"/>
              <w:right w:val="nil"/>
            </w:tcBorders>
            <w:noWrap/>
            <w:vAlign w:val="bottom"/>
            <w:hideMark/>
          </w:tcPr>
          <w:p w14:paraId="47EA8542" w14:textId="77777777" w:rsidR="008D0DAB" w:rsidRPr="00F65403" w:rsidRDefault="008D0DAB" w:rsidP="009B7B2A">
            <w:pPr>
              <w:spacing w:after="0" w:line="240" w:lineRule="auto"/>
              <w:rPr>
                <w:rFonts w:eastAsia="Times New Roman" w:cs="Arial"/>
                <w:color w:val="000000"/>
                <w:sz w:val="20"/>
                <w:szCs w:val="20"/>
                <w:lang w:eastAsia="en-AU"/>
              </w:rPr>
            </w:pPr>
            <w:r>
              <w:rPr>
                <w:rFonts w:cs="Arial"/>
                <w:color w:val="000000"/>
                <w:sz w:val="20"/>
                <w:szCs w:val="20"/>
              </w:rPr>
              <w:t>Additional p</w:t>
            </w:r>
            <w:r w:rsidRPr="00F65403">
              <w:rPr>
                <w:rFonts w:cs="Arial"/>
                <w:color w:val="000000"/>
                <w:sz w:val="20"/>
                <w:szCs w:val="20"/>
              </w:rPr>
              <w:t>rovisions recognised</w:t>
            </w:r>
          </w:p>
        </w:tc>
        <w:tc>
          <w:tcPr>
            <w:tcW w:w="1417" w:type="dxa"/>
            <w:tcBorders>
              <w:top w:val="nil"/>
              <w:left w:val="nil"/>
              <w:bottom w:val="single" w:sz="4" w:space="0" w:color="auto"/>
              <w:right w:val="nil"/>
            </w:tcBorders>
            <w:noWrap/>
            <w:vAlign w:val="bottom"/>
          </w:tcPr>
          <w:p w14:paraId="0B0708D3"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8,000</w:t>
            </w:r>
          </w:p>
        </w:tc>
        <w:tc>
          <w:tcPr>
            <w:tcW w:w="1418" w:type="dxa"/>
            <w:tcBorders>
              <w:top w:val="nil"/>
              <w:left w:val="nil"/>
              <w:bottom w:val="single" w:sz="4" w:space="0" w:color="auto"/>
              <w:right w:val="nil"/>
            </w:tcBorders>
            <w:noWrap/>
            <w:vAlign w:val="bottom"/>
            <w:hideMark/>
          </w:tcPr>
          <w:p w14:paraId="27EA43F2"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1,912</w:t>
            </w:r>
          </w:p>
        </w:tc>
        <w:tc>
          <w:tcPr>
            <w:tcW w:w="1252" w:type="dxa"/>
            <w:tcBorders>
              <w:top w:val="nil"/>
              <w:left w:val="nil"/>
              <w:bottom w:val="nil"/>
              <w:right w:val="nil"/>
            </w:tcBorders>
          </w:tcPr>
          <w:p w14:paraId="613D64B7" w14:textId="77777777" w:rsidR="008D0DAB" w:rsidRPr="00F65403" w:rsidRDefault="008D0DAB" w:rsidP="009B7B2A">
            <w:pPr>
              <w:tabs>
                <w:tab w:val="decimal" w:pos="85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9,912</w:t>
            </w:r>
          </w:p>
        </w:tc>
      </w:tr>
      <w:tr w:rsidR="008D0DAB" w:rsidRPr="002B1EBF" w14:paraId="2A9C9E0B" w14:textId="77777777" w:rsidTr="009B7B2A">
        <w:tc>
          <w:tcPr>
            <w:tcW w:w="4820" w:type="dxa"/>
            <w:tcBorders>
              <w:top w:val="nil"/>
              <w:left w:val="nil"/>
              <w:bottom w:val="nil"/>
              <w:right w:val="nil"/>
            </w:tcBorders>
            <w:noWrap/>
            <w:vAlign w:val="bottom"/>
            <w:hideMark/>
          </w:tcPr>
          <w:p w14:paraId="406A30CF"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cs="Arial"/>
                <w:b/>
                <w:color w:val="000000"/>
                <w:sz w:val="20"/>
                <w:szCs w:val="20"/>
              </w:rPr>
              <w:t>Balance at 30 June</w:t>
            </w:r>
          </w:p>
        </w:tc>
        <w:tc>
          <w:tcPr>
            <w:tcW w:w="1417" w:type="dxa"/>
            <w:tcBorders>
              <w:top w:val="single" w:sz="4" w:space="0" w:color="auto"/>
              <w:left w:val="nil"/>
              <w:bottom w:val="single" w:sz="4" w:space="0" w:color="auto"/>
              <w:right w:val="nil"/>
            </w:tcBorders>
            <w:noWrap/>
            <w:vAlign w:val="bottom"/>
          </w:tcPr>
          <w:p w14:paraId="44DF3FFA" w14:textId="77777777" w:rsidR="008D0DAB" w:rsidRPr="00F65403" w:rsidRDefault="008D0DAB" w:rsidP="009B7B2A">
            <w:pPr>
              <w:tabs>
                <w:tab w:val="decimal" w:pos="851"/>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8,000</w:t>
            </w:r>
          </w:p>
        </w:tc>
        <w:tc>
          <w:tcPr>
            <w:tcW w:w="1418" w:type="dxa"/>
            <w:tcBorders>
              <w:top w:val="single" w:sz="4" w:space="0" w:color="auto"/>
              <w:left w:val="nil"/>
              <w:bottom w:val="single" w:sz="4" w:space="0" w:color="auto"/>
              <w:right w:val="nil"/>
            </w:tcBorders>
            <w:noWrap/>
            <w:vAlign w:val="bottom"/>
            <w:hideMark/>
          </w:tcPr>
          <w:p w14:paraId="43A63E4D" w14:textId="77777777" w:rsidR="008D0DAB" w:rsidRPr="00F65403" w:rsidRDefault="008D0DAB" w:rsidP="009B7B2A">
            <w:pPr>
              <w:tabs>
                <w:tab w:val="decimal" w:pos="851"/>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1,912</w:t>
            </w:r>
          </w:p>
        </w:tc>
        <w:tc>
          <w:tcPr>
            <w:tcW w:w="1252" w:type="dxa"/>
            <w:tcBorders>
              <w:top w:val="single" w:sz="4" w:space="0" w:color="auto"/>
              <w:left w:val="nil"/>
              <w:bottom w:val="single" w:sz="4" w:space="0" w:color="auto"/>
              <w:right w:val="nil"/>
            </w:tcBorders>
          </w:tcPr>
          <w:p w14:paraId="5BB0D9B3" w14:textId="77777777" w:rsidR="008D0DAB" w:rsidRPr="00F65403" w:rsidRDefault="008D0DAB" w:rsidP="009B7B2A">
            <w:pPr>
              <w:tabs>
                <w:tab w:val="decimal" w:pos="85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9,912</w:t>
            </w:r>
          </w:p>
        </w:tc>
      </w:tr>
    </w:tbl>
    <w:p w14:paraId="5567C2B1" w14:textId="77777777" w:rsidR="008D0DAB" w:rsidRDefault="008D0DAB" w:rsidP="008D0DAB">
      <w:pPr>
        <w:pStyle w:val="BodyText"/>
        <w:rPr>
          <w:lang w:val="en-AU"/>
        </w:rPr>
      </w:pPr>
    </w:p>
    <w:p w14:paraId="08A4F112" w14:textId="56FEE800" w:rsidR="008D0DAB" w:rsidRPr="00F65403" w:rsidRDefault="008D0DAB" w:rsidP="008D0DAB">
      <w:pPr>
        <w:pStyle w:val="BodyText"/>
        <w:rPr>
          <w:lang w:val="en-AU"/>
        </w:rPr>
      </w:pPr>
      <w:r w:rsidRPr="00F65403">
        <w:rPr>
          <w:lang w:val="en-AU"/>
        </w:rPr>
        <w:t>Other provisions</w:t>
      </w:r>
      <w:r>
        <w:rPr>
          <w:lang w:val="en-AU"/>
        </w:rPr>
        <w:t xml:space="preserve"> include</w:t>
      </w:r>
      <w:r w:rsidRPr="00F65403">
        <w:rPr>
          <w:lang w:val="en-AU"/>
        </w:rPr>
        <w:t xml:space="preserve"> </w:t>
      </w:r>
      <w:r>
        <w:rPr>
          <w:lang w:val="en-AU"/>
        </w:rPr>
        <w:t xml:space="preserve">deferred </w:t>
      </w:r>
      <w:r w:rsidRPr="00F65403">
        <w:rPr>
          <w:lang w:val="en-AU"/>
        </w:rPr>
        <w:t>consideration payable for the acquisition of</w:t>
      </w:r>
      <w:r>
        <w:rPr>
          <w:lang w:val="en-AU"/>
        </w:rPr>
        <w:t xml:space="preserve"> SEC</w:t>
      </w:r>
      <w:r w:rsidRPr="00F65403">
        <w:rPr>
          <w:lang w:val="en-AU"/>
        </w:rPr>
        <w:t xml:space="preserve"> </w:t>
      </w:r>
      <w:r w:rsidRPr="0080161C">
        <w:rPr>
          <w:lang w:val="en-AU"/>
        </w:rPr>
        <w:t xml:space="preserve">Renewable Energy Park </w:t>
      </w:r>
      <w:r w:rsidR="00104757">
        <w:rPr>
          <w:lang w:val="en-AU"/>
        </w:rPr>
        <w:t>-</w:t>
      </w:r>
      <w:r w:rsidRPr="0080161C">
        <w:rPr>
          <w:lang w:val="en-AU"/>
        </w:rPr>
        <w:t xml:space="preserve"> Horsham. Payment is dependent on achievement of future project milestones (refer note </w:t>
      </w:r>
      <w:r w:rsidRPr="00E945C0">
        <w:rPr>
          <w:lang w:val="en-AU"/>
        </w:rPr>
        <w:t>13</w:t>
      </w:r>
      <w:r w:rsidRPr="0080161C">
        <w:rPr>
          <w:lang w:val="en-AU"/>
        </w:rPr>
        <w:t xml:space="preserve"> for</w:t>
      </w:r>
      <w:r w:rsidRPr="00F65403">
        <w:rPr>
          <w:lang w:val="en-AU"/>
        </w:rPr>
        <w:t xml:space="preserve"> further details).</w:t>
      </w:r>
    </w:p>
    <w:p w14:paraId="3AC1012D" w14:textId="77777777" w:rsidR="008D0DAB" w:rsidRPr="00F65403" w:rsidRDefault="008D0DAB" w:rsidP="008D0DAB">
      <w:pPr>
        <w:pStyle w:val="BodyText"/>
        <w:rPr>
          <w:lang w:val="en-AU"/>
        </w:rPr>
      </w:pPr>
    </w:p>
    <w:p w14:paraId="1956F9AF" w14:textId="77777777" w:rsidR="008D0DAB" w:rsidRDefault="008D0DAB" w:rsidP="008D0DAB">
      <w:pPr>
        <w:pStyle w:val="Heading8"/>
      </w:pPr>
      <w:proofErr w:type="spellStart"/>
      <w:r>
        <w:t>i</w:t>
      </w:r>
      <w:proofErr w:type="spellEnd"/>
      <w:r>
        <w:t>.</w:t>
      </w:r>
      <w:r>
        <w:tab/>
        <w:t>Accounting policy</w:t>
      </w:r>
    </w:p>
    <w:p w14:paraId="38B57C5A" w14:textId="77777777" w:rsidR="008D0DAB" w:rsidRPr="009E175D" w:rsidRDefault="008D0DAB" w:rsidP="008D0DAB">
      <w:pPr>
        <w:pStyle w:val="BodyText"/>
      </w:pPr>
    </w:p>
    <w:p w14:paraId="25705101" w14:textId="77777777" w:rsidR="008D0DAB" w:rsidRDefault="008D0DAB" w:rsidP="008D0DAB">
      <w:pPr>
        <w:pStyle w:val="Heading9"/>
      </w:pPr>
      <w:r>
        <w:t>Other provisions</w:t>
      </w:r>
    </w:p>
    <w:p w14:paraId="60E051B4" w14:textId="0C171C00" w:rsidR="008D0DAB" w:rsidRPr="00F65403" w:rsidRDefault="008D0DAB" w:rsidP="008D0DAB">
      <w:pPr>
        <w:pStyle w:val="BodyText"/>
        <w:rPr>
          <w:lang w:val="en-AU"/>
        </w:rPr>
      </w:pPr>
      <w:r w:rsidRPr="4D43D13B">
        <w:rPr>
          <w:lang w:val="en-AU"/>
        </w:rPr>
        <w:t>Provisions are recognised when SEC has a present obligation (legal or constructive) as a result of a past event, it is probabl</w:t>
      </w:r>
      <w:r w:rsidR="007C39D9">
        <w:rPr>
          <w:lang w:val="en-AU"/>
        </w:rPr>
        <w:t>e</w:t>
      </w:r>
      <w:r w:rsidRPr="4D43D13B">
        <w:rPr>
          <w:lang w:val="en-AU"/>
        </w:rPr>
        <w:t xml:space="preserve"> that SEC will be required to settle the obligation and a reliable estimate can be made of the amount of the obligation</w:t>
      </w:r>
      <w:r w:rsidR="6878B065" w:rsidRPr="4D43D13B">
        <w:rPr>
          <w:lang w:val="en-AU"/>
        </w:rPr>
        <w:t>.</w:t>
      </w:r>
    </w:p>
    <w:p w14:paraId="18AB4507" w14:textId="77777777" w:rsidR="008D0DAB" w:rsidRPr="00F65403" w:rsidRDefault="008D0DAB" w:rsidP="008D0DAB">
      <w:pPr>
        <w:pStyle w:val="BodyText"/>
        <w:rPr>
          <w:lang w:val="en-AU"/>
        </w:rPr>
      </w:pPr>
    </w:p>
    <w:p w14:paraId="7D83E0D3" w14:textId="1727636C" w:rsidR="008D0DAB" w:rsidRDefault="008D0DAB" w:rsidP="008D0DAB">
      <w:pPr>
        <w:pStyle w:val="BodyText"/>
        <w:rPr>
          <w:lang w:val="en-AU"/>
        </w:rPr>
      </w:pPr>
      <w:r w:rsidRPr="00F65403">
        <w:rPr>
          <w:lang w:val="en-AU"/>
        </w:rPr>
        <w:t>The amount recogni</w:t>
      </w:r>
      <w:r>
        <w:rPr>
          <w:lang w:val="en-AU"/>
        </w:rPr>
        <w:t>s</w:t>
      </w:r>
      <w:r w:rsidRPr="00F65403">
        <w:rPr>
          <w:lang w:val="en-AU"/>
        </w:rPr>
        <w:t xml:space="preserve">ed </w:t>
      </w:r>
      <w:r>
        <w:rPr>
          <w:lang w:val="en-AU"/>
        </w:rPr>
        <w:t>as a provision is the present value of the best estimate of the consideration required to settle the present obligation at the end of the reporting period, taking into account the risks and uncertainties surrounding the obligation. The unwinding of the discount is recognised in profit or loss as part of finance costs.</w:t>
      </w:r>
      <w:r w:rsidR="000114E8">
        <w:rPr>
          <w:lang w:val="en-AU"/>
        </w:rPr>
        <w:br/>
      </w:r>
    </w:p>
    <w:p w14:paraId="2368A1CE" w14:textId="77777777" w:rsidR="008D0DAB" w:rsidRPr="00F65403" w:rsidRDefault="008D0DAB" w:rsidP="008D0DAB">
      <w:pPr>
        <w:pStyle w:val="Heading7"/>
      </w:pPr>
      <w:r w:rsidRPr="00F65403">
        <w:t>Interest bearing liabilities</w:t>
      </w:r>
    </w:p>
    <w:tbl>
      <w:tblPr>
        <w:tblW w:w="4927" w:type="pct"/>
        <w:tblCellMar>
          <w:top w:w="28" w:type="dxa"/>
          <w:left w:w="28" w:type="dxa"/>
          <w:bottom w:w="28" w:type="dxa"/>
          <w:right w:w="28" w:type="dxa"/>
        </w:tblCellMar>
        <w:tblLook w:val="04A0" w:firstRow="1" w:lastRow="0" w:firstColumn="1" w:lastColumn="0" w:noHBand="0" w:noVBand="1"/>
      </w:tblPr>
      <w:tblGrid>
        <w:gridCol w:w="6294"/>
        <w:gridCol w:w="1309"/>
        <w:gridCol w:w="1291"/>
      </w:tblGrid>
      <w:tr w:rsidR="008D0DAB" w:rsidRPr="00F65403" w14:paraId="13DAC755" w14:textId="77777777" w:rsidTr="009B7B2A">
        <w:tc>
          <w:tcPr>
            <w:tcW w:w="3538" w:type="pct"/>
            <w:tcBorders>
              <w:top w:val="nil"/>
              <w:left w:val="nil"/>
              <w:bottom w:val="nil"/>
              <w:right w:val="nil"/>
            </w:tcBorders>
            <w:noWrap/>
            <w:vAlign w:val="bottom"/>
            <w:hideMark/>
          </w:tcPr>
          <w:p w14:paraId="0014335B" w14:textId="77777777" w:rsidR="008D0DAB" w:rsidRPr="00F65403" w:rsidRDefault="008D0DAB" w:rsidP="009B7B2A">
            <w:pPr>
              <w:spacing w:after="0" w:line="240" w:lineRule="auto"/>
              <w:rPr>
                <w:rFonts w:eastAsia="Times New Roman" w:cs="Arial"/>
                <w:sz w:val="20"/>
                <w:szCs w:val="20"/>
                <w:lang w:eastAsia="en-AU"/>
              </w:rPr>
            </w:pPr>
          </w:p>
        </w:tc>
        <w:tc>
          <w:tcPr>
            <w:tcW w:w="736" w:type="pct"/>
            <w:tcBorders>
              <w:top w:val="nil"/>
              <w:left w:val="nil"/>
              <w:bottom w:val="nil"/>
              <w:right w:val="nil"/>
            </w:tcBorders>
            <w:hideMark/>
          </w:tcPr>
          <w:p w14:paraId="2202E38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26" w:type="pct"/>
            <w:tcBorders>
              <w:top w:val="nil"/>
              <w:left w:val="nil"/>
              <w:bottom w:val="nil"/>
              <w:right w:val="nil"/>
            </w:tcBorders>
            <w:noWrap/>
            <w:hideMark/>
          </w:tcPr>
          <w:p w14:paraId="63DF981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F65403" w14:paraId="431C2423" w14:textId="77777777" w:rsidTr="009B7B2A">
        <w:tc>
          <w:tcPr>
            <w:tcW w:w="3538" w:type="pct"/>
            <w:tcBorders>
              <w:top w:val="nil"/>
              <w:left w:val="nil"/>
              <w:bottom w:val="nil"/>
              <w:right w:val="nil"/>
            </w:tcBorders>
            <w:noWrap/>
            <w:vAlign w:val="bottom"/>
            <w:hideMark/>
          </w:tcPr>
          <w:p w14:paraId="4B1DCFF6" w14:textId="77777777" w:rsidR="008D0DAB" w:rsidRPr="00F65403" w:rsidRDefault="008D0DAB" w:rsidP="009B7B2A">
            <w:pPr>
              <w:spacing w:after="0" w:line="240" w:lineRule="auto"/>
              <w:rPr>
                <w:rFonts w:eastAsia="Times New Roman" w:cs="Arial"/>
                <w:sz w:val="20"/>
                <w:szCs w:val="20"/>
                <w:lang w:eastAsia="en-AU"/>
              </w:rPr>
            </w:pPr>
          </w:p>
        </w:tc>
        <w:tc>
          <w:tcPr>
            <w:tcW w:w="736" w:type="pct"/>
            <w:tcBorders>
              <w:top w:val="nil"/>
              <w:left w:val="nil"/>
              <w:bottom w:val="nil"/>
              <w:right w:val="nil"/>
            </w:tcBorders>
            <w:noWrap/>
            <w:hideMark/>
          </w:tcPr>
          <w:p w14:paraId="51BFE02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6" w:type="pct"/>
            <w:tcBorders>
              <w:top w:val="nil"/>
              <w:left w:val="nil"/>
              <w:bottom w:val="nil"/>
              <w:right w:val="nil"/>
            </w:tcBorders>
            <w:noWrap/>
            <w:hideMark/>
          </w:tcPr>
          <w:p w14:paraId="4907964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F65403" w14:paraId="128862BA" w14:textId="77777777" w:rsidTr="009B7B2A">
        <w:tc>
          <w:tcPr>
            <w:tcW w:w="3538" w:type="pct"/>
            <w:tcBorders>
              <w:top w:val="nil"/>
              <w:left w:val="nil"/>
              <w:bottom w:val="nil"/>
              <w:right w:val="nil"/>
            </w:tcBorders>
            <w:noWrap/>
            <w:vAlign w:val="bottom"/>
          </w:tcPr>
          <w:p w14:paraId="29A33B77"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 xml:space="preserve">Lease liabilities </w:t>
            </w:r>
          </w:p>
        </w:tc>
        <w:tc>
          <w:tcPr>
            <w:tcW w:w="736" w:type="pct"/>
            <w:tcBorders>
              <w:top w:val="nil"/>
              <w:left w:val="nil"/>
              <w:bottom w:val="single" w:sz="4" w:space="0" w:color="auto"/>
              <w:right w:val="nil"/>
            </w:tcBorders>
            <w:noWrap/>
            <w:vAlign w:val="bottom"/>
            <w:hideMark/>
          </w:tcPr>
          <w:p w14:paraId="762D1B85" w14:textId="77777777" w:rsidR="008D0DAB" w:rsidRPr="00F65403" w:rsidRDefault="008D0DAB" w:rsidP="009B7B2A">
            <w:pPr>
              <w:tabs>
                <w:tab w:val="decimal" w:pos="958"/>
              </w:tabs>
              <w:spacing w:after="0" w:line="240" w:lineRule="auto"/>
              <w:rPr>
                <w:rFonts w:eastAsia="Times New Roman" w:cs="Arial"/>
                <w:sz w:val="20"/>
                <w:szCs w:val="20"/>
                <w:lang w:eastAsia="en-AU"/>
              </w:rPr>
            </w:pPr>
            <w:r>
              <w:rPr>
                <w:rFonts w:eastAsia="Times New Roman" w:cs="Arial"/>
                <w:sz w:val="20"/>
                <w:szCs w:val="20"/>
                <w:lang w:eastAsia="en-AU"/>
              </w:rPr>
              <w:t>313</w:t>
            </w:r>
          </w:p>
        </w:tc>
        <w:tc>
          <w:tcPr>
            <w:tcW w:w="726" w:type="pct"/>
            <w:tcBorders>
              <w:top w:val="nil"/>
              <w:left w:val="nil"/>
              <w:bottom w:val="single" w:sz="4" w:space="0" w:color="auto"/>
              <w:right w:val="nil"/>
            </w:tcBorders>
            <w:noWrap/>
            <w:vAlign w:val="bottom"/>
            <w:hideMark/>
          </w:tcPr>
          <w:p w14:paraId="3B85AE9C" w14:textId="77777777" w:rsidR="008D0DAB" w:rsidRPr="00F65403" w:rsidRDefault="008D0DAB" w:rsidP="009B7B2A">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8D0DAB" w:rsidRPr="00F65403" w14:paraId="7D4212C0" w14:textId="77777777" w:rsidTr="009B7B2A">
        <w:tc>
          <w:tcPr>
            <w:tcW w:w="3538" w:type="pct"/>
            <w:tcBorders>
              <w:top w:val="nil"/>
              <w:left w:val="nil"/>
              <w:bottom w:val="nil"/>
              <w:right w:val="nil"/>
            </w:tcBorders>
            <w:noWrap/>
            <w:vAlign w:val="bottom"/>
          </w:tcPr>
          <w:p w14:paraId="15403B10" w14:textId="77777777" w:rsidR="008D0DAB" w:rsidRPr="00F65403" w:rsidRDefault="008D0DAB" w:rsidP="009B7B2A">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 current interest bearing liabilities</w:t>
            </w:r>
          </w:p>
        </w:tc>
        <w:tc>
          <w:tcPr>
            <w:tcW w:w="736" w:type="pct"/>
            <w:tcBorders>
              <w:top w:val="single" w:sz="4" w:space="0" w:color="auto"/>
              <w:left w:val="nil"/>
              <w:bottom w:val="single" w:sz="4" w:space="0" w:color="auto"/>
              <w:right w:val="nil"/>
            </w:tcBorders>
            <w:noWrap/>
            <w:vAlign w:val="bottom"/>
            <w:hideMark/>
          </w:tcPr>
          <w:p w14:paraId="5C267ED9"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Pr>
                <w:rFonts w:eastAsia="Times New Roman" w:cs="Arial"/>
                <w:b/>
                <w:bCs/>
                <w:sz w:val="20"/>
                <w:szCs w:val="20"/>
                <w:lang w:eastAsia="en-AU"/>
              </w:rPr>
              <w:t>313</w:t>
            </w:r>
          </w:p>
        </w:tc>
        <w:tc>
          <w:tcPr>
            <w:tcW w:w="726" w:type="pct"/>
            <w:tcBorders>
              <w:top w:val="single" w:sz="4" w:space="0" w:color="auto"/>
              <w:left w:val="nil"/>
              <w:bottom w:val="single" w:sz="4" w:space="0" w:color="auto"/>
              <w:right w:val="nil"/>
            </w:tcBorders>
            <w:noWrap/>
            <w:vAlign w:val="bottom"/>
            <w:hideMark/>
          </w:tcPr>
          <w:p w14:paraId="4BDD20D9"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r w:rsidR="008D0DAB" w:rsidRPr="00F65403" w14:paraId="091D97AB" w14:textId="77777777" w:rsidTr="009B7B2A">
        <w:tc>
          <w:tcPr>
            <w:tcW w:w="3538" w:type="pct"/>
            <w:tcBorders>
              <w:top w:val="nil"/>
              <w:left w:val="nil"/>
              <w:bottom w:val="nil"/>
              <w:right w:val="nil"/>
            </w:tcBorders>
            <w:noWrap/>
            <w:vAlign w:val="bottom"/>
          </w:tcPr>
          <w:p w14:paraId="6AD63B7F"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sz w:val="20"/>
                <w:szCs w:val="20"/>
                <w:lang w:eastAsia="en-AU"/>
              </w:rPr>
              <w:t xml:space="preserve">Lease liabilities </w:t>
            </w:r>
          </w:p>
        </w:tc>
        <w:tc>
          <w:tcPr>
            <w:tcW w:w="736" w:type="pct"/>
            <w:tcBorders>
              <w:top w:val="nil"/>
              <w:left w:val="nil"/>
              <w:bottom w:val="single" w:sz="4" w:space="0" w:color="auto"/>
              <w:right w:val="nil"/>
            </w:tcBorders>
            <w:noWrap/>
            <w:vAlign w:val="bottom"/>
          </w:tcPr>
          <w:p w14:paraId="37B558C5" w14:textId="77777777" w:rsidR="008D0DAB" w:rsidRPr="00F65403" w:rsidRDefault="008D0DAB" w:rsidP="009B7B2A">
            <w:pPr>
              <w:tabs>
                <w:tab w:val="decimal" w:pos="958"/>
              </w:tabs>
              <w:spacing w:after="0" w:line="240" w:lineRule="auto"/>
              <w:rPr>
                <w:rFonts w:eastAsia="Times New Roman" w:cs="Arial"/>
                <w:sz w:val="20"/>
                <w:szCs w:val="20"/>
                <w:lang w:eastAsia="en-AU"/>
              </w:rPr>
            </w:pPr>
            <w:r>
              <w:rPr>
                <w:rFonts w:eastAsia="Times New Roman" w:cs="Arial"/>
                <w:sz w:val="20"/>
                <w:szCs w:val="20"/>
                <w:lang w:eastAsia="en-AU"/>
              </w:rPr>
              <w:t>6,233</w:t>
            </w:r>
          </w:p>
        </w:tc>
        <w:tc>
          <w:tcPr>
            <w:tcW w:w="726" w:type="pct"/>
            <w:tcBorders>
              <w:top w:val="nil"/>
              <w:left w:val="nil"/>
              <w:bottom w:val="single" w:sz="4" w:space="0" w:color="auto"/>
              <w:right w:val="nil"/>
            </w:tcBorders>
            <w:noWrap/>
            <w:vAlign w:val="bottom"/>
          </w:tcPr>
          <w:p w14:paraId="431B4B1E" w14:textId="77777777" w:rsidR="008D0DAB" w:rsidRPr="00F65403" w:rsidRDefault="008D0DAB" w:rsidP="009B7B2A">
            <w:pPr>
              <w:tabs>
                <w:tab w:val="decimal" w:pos="958"/>
              </w:tabs>
              <w:spacing w:after="0" w:line="240" w:lineRule="auto"/>
              <w:rPr>
                <w:rFonts w:eastAsia="Times New Roman" w:cs="Arial"/>
                <w:sz w:val="20"/>
                <w:szCs w:val="20"/>
                <w:lang w:eastAsia="en-AU"/>
              </w:rPr>
            </w:pPr>
            <w:r w:rsidRPr="00F65403">
              <w:rPr>
                <w:rFonts w:eastAsia="Times New Roman" w:cs="Arial"/>
                <w:sz w:val="20"/>
                <w:szCs w:val="20"/>
                <w:lang w:eastAsia="en-AU"/>
              </w:rPr>
              <w:t>-</w:t>
            </w:r>
          </w:p>
        </w:tc>
      </w:tr>
      <w:tr w:rsidR="008D0DAB" w:rsidRPr="00F65403" w14:paraId="010963A2" w14:textId="77777777" w:rsidTr="009B7B2A">
        <w:tc>
          <w:tcPr>
            <w:tcW w:w="3538" w:type="pct"/>
            <w:tcBorders>
              <w:top w:val="nil"/>
              <w:left w:val="nil"/>
              <w:bottom w:val="nil"/>
              <w:right w:val="nil"/>
            </w:tcBorders>
            <w:noWrap/>
            <w:vAlign w:val="bottom"/>
          </w:tcPr>
          <w:p w14:paraId="4F501F76" w14:textId="77777777" w:rsidR="008D0DAB" w:rsidRPr="00F65403" w:rsidRDefault="008D0DAB" w:rsidP="009B7B2A">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 non-current interest bearing liabilities</w:t>
            </w:r>
          </w:p>
        </w:tc>
        <w:tc>
          <w:tcPr>
            <w:tcW w:w="736" w:type="pct"/>
            <w:tcBorders>
              <w:top w:val="single" w:sz="4" w:space="0" w:color="auto"/>
              <w:left w:val="nil"/>
              <w:bottom w:val="single" w:sz="4" w:space="0" w:color="auto"/>
              <w:right w:val="nil"/>
            </w:tcBorders>
            <w:noWrap/>
            <w:vAlign w:val="bottom"/>
          </w:tcPr>
          <w:p w14:paraId="4FD3CF61"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Pr>
                <w:rFonts w:eastAsia="Times New Roman" w:cs="Arial"/>
                <w:b/>
                <w:bCs/>
                <w:sz w:val="20"/>
                <w:szCs w:val="20"/>
                <w:lang w:eastAsia="en-AU"/>
              </w:rPr>
              <w:t>6,233</w:t>
            </w:r>
          </w:p>
        </w:tc>
        <w:tc>
          <w:tcPr>
            <w:tcW w:w="726" w:type="pct"/>
            <w:tcBorders>
              <w:top w:val="single" w:sz="4" w:space="0" w:color="auto"/>
              <w:left w:val="nil"/>
              <w:bottom w:val="single" w:sz="4" w:space="0" w:color="auto"/>
              <w:right w:val="nil"/>
            </w:tcBorders>
            <w:noWrap/>
            <w:vAlign w:val="bottom"/>
          </w:tcPr>
          <w:p w14:paraId="0BC78A18"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r w:rsidR="008D0DAB" w:rsidRPr="00F65403" w14:paraId="2EBE90B4" w14:textId="77777777" w:rsidTr="009B7B2A">
        <w:tc>
          <w:tcPr>
            <w:tcW w:w="3538" w:type="pct"/>
            <w:tcBorders>
              <w:top w:val="nil"/>
              <w:left w:val="nil"/>
              <w:bottom w:val="nil"/>
              <w:right w:val="nil"/>
            </w:tcBorders>
            <w:noWrap/>
            <w:vAlign w:val="bottom"/>
          </w:tcPr>
          <w:p w14:paraId="603FF812" w14:textId="77777777" w:rsidR="008D0DAB" w:rsidRPr="00F65403" w:rsidRDefault="008D0DAB" w:rsidP="009B7B2A">
            <w:pPr>
              <w:spacing w:after="0" w:line="240" w:lineRule="auto"/>
              <w:rPr>
                <w:rFonts w:eastAsia="Times New Roman" w:cs="Arial"/>
                <w:b/>
                <w:bCs/>
                <w:color w:val="000000"/>
                <w:sz w:val="20"/>
                <w:szCs w:val="20"/>
                <w:lang w:eastAsia="en-AU"/>
              </w:rPr>
            </w:pPr>
            <w:r w:rsidRPr="00F65403">
              <w:rPr>
                <w:rFonts w:eastAsia="Times New Roman" w:cs="Arial"/>
                <w:b/>
                <w:bCs/>
                <w:color w:val="000000"/>
                <w:sz w:val="20"/>
                <w:szCs w:val="20"/>
                <w:lang w:eastAsia="en-AU"/>
              </w:rPr>
              <w:t>Total interest bearing liabilities</w:t>
            </w:r>
          </w:p>
        </w:tc>
        <w:tc>
          <w:tcPr>
            <w:tcW w:w="736" w:type="pct"/>
            <w:tcBorders>
              <w:top w:val="single" w:sz="4" w:space="0" w:color="auto"/>
              <w:left w:val="nil"/>
              <w:bottom w:val="single" w:sz="4" w:space="0" w:color="auto"/>
              <w:right w:val="nil"/>
            </w:tcBorders>
            <w:noWrap/>
            <w:vAlign w:val="bottom"/>
          </w:tcPr>
          <w:p w14:paraId="111CA98D"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Pr>
                <w:rFonts w:eastAsia="Times New Roman" w:cs="Arial"/>
                <w:b/>
                <w:bCs/>
                <w:sz w:val="20"/>
                <w:szCs w:val="20"/>
                <w:lang w:eastAsia="en-AU"/>
              </w:rPr>
              <w:t>6,546</w:t>
            </w:r>
          </w:p>
        </w:tc>
        <w:tc>
          <w:tcPr>
            <w:tcW w:w="726" w:type="pct"/>
            <w:tcBorders>
              <w:top w:val="single" w:sz="4" w:space="0" w:color="auto"/>
              <w:left w:val="nil"/>
              <w:bottom w:val="single" w:sz="4" w:space="0" w:color="auto"/>
              <w:right w:val="nil"/>
            </w:tcBorders>
            <w:noWrap/>
            <w:vAlign w:val="bottom"/>
          </w:tcPr>
          <w:p w14:paraId="13A15174" w14:textId="77777777" w:rsidR="008D0DAB" w:rsidRPr="00F65403" w:rsidRDefault="008D0DAB" w:rsidP="009B7B2A">
            <w:pPr>
              <w:tabs>
                <w:tab w:val="decimal" w:pos="958"/>
              </w:tabs>
              <w:spacing w:after="0" w:line="240" w:lineRule="auto"/>
              <w:rPr>
                <w:rFonts w:eastAsia="Times New Roman" w:cs="Arial"/>
                <w:b/>
                <w:bCs/>
                <w:sz w:val="20"/>
                <w:szCs w:val="20"/>
                <w:lang w:eastAsia="en-AU"/>
              </w:rPr>
            </w:pPr>
            <w:r w:rsidRPr="00F65403">
              <w:rPr>
                <w:rFonts w:eastAsia="Times New Roman" w:cs="Arial"/>
                <w:b/>
                <w:bCs/>
                <w:sz w:val="20"/>
                <w:szCs w:val="20"/>
                <w:lang w:eastAsia="en-AU"/>
              </w:rPr>
              <w:t>-</w:t>
            </w:r>
          </w:p>
        </w:tc>
      </w:tr>
    </w:tbl>
    <w:p w14:paraId="5FC220C1" w14:textId="77777777" w:rsidR="008D0DAB" w:rsidRPr="00F65403" w:rsidRDefault="008D0DAB" w:rsidP="008D0DAB">
      <w:pPr>
        <w:pStyle w:val="BodyText"/>
        <w:rPr>
          <w:lang w:val="en-AU"/>
        </w:rPr>
      </w:pPr>
    </w:p>
    <w:p w14:paraId="356F8460" w14:textId="77777777" w:rsidR="008D0DAB" w:rsidRPr="00F65403" w:rsidRDefault="008D0DAB" w:rsidP="008D0DAB">
      <w:pPr>
        <w:pStyle w:val="Heading8"/>
      </w:pPr>
      <w:proofErr w:type="spellStart"/>
      <w:r>
        <w:t>i</w:t>
      </w:r>
      <w:proofErr w:type="spellEnd"/>
      <w:r>
        <w:t>.</w:t>
      </w:r>
      <w:r>
        <w:tab/>
        <w:t>Accounting policy</w:t>
      </w:r>
    </w:p>
    <w:p w14:paraId="12361ECF" w14:textId="77777777" w:rsidR="008D0DAB" w:rsidRPr="00F65403" w:rsidRDefault="008D0DAB" w:rsidP="008D0DAB">
      <w:pPr>
        <w:pStyle w:val="Heading9"/>
      </w:pPr>
      <w:r>
        <w:t>Borrowings</w:t>
      </w:r>
    </w:p>
    <w:p w14:paraId="4148AD10" w14:textId="77777777" w:rsidR="008D0DAB" w:rsidRPr="00F65403" w:rsidRDefault="008D0DAB" w:rsidP="008D0DAB">
      <w:pPr>
        <w:pStyle w:val="BodyText"/>
        <w:rPr>
          <w:lang w:val="en-AU"/>
        </w:rPr>
      </w:pPr>
      <w:r w:rsidRPr="00F65403">
        <w:rPr>
          <w:lang w:val="en-AU"/>
        </w:rPr>
        <w:t>Borrowings are initially recorded at the amount of proceeds received (fair value) less transaction costs. After that date, the liability is amortised to face value at maturity using an effective interest rate method.</w:t>
      </w:r>
    </w:p>
    <w:p w14:paraId="1C240BB1" w14:textId="77777777" w:rsidR="008D0DAB" w:rsidRPr="00F65403" w:rsidRDefault="008D0DAB" w:rsidP="008D0DAB">
      <w:pPr>
        <w:pStyle w:val="BodyText"/>
        <w:rPr>
          <w:lang w:val="en-AU"/>
        </w:rPr>
      </w:pPr>
    </w:p>
    <w:p w14:paraId="4CC2C2EB" w14:textId="77777777" w:rsidR="000114E8" w:rsidRDefault="000114E8">
      <w:pPr>
        <w:rPr>
          <w:rFonts w:eastAsiaTheme="majorEastAsia" w:cstheme="majorBidi"/>
          <w:i/>
          <w:color w:val="272727" w:themeColor="text1" w:themeTint="D8"/>
          <w:sz w:val="20"/>
        </w:rPr>
      </w:pPr>
      <w:r>
        <w:br w:type="page"/>
      </w:r>
    </w:p>
    <w:p w14:paraId="2DE146B7" w14:textId="1C056D10" w:rsidR="008D0DAB" w:rsidRPr="00F65403" w:rsidRDefault="008D0DAB" w:rsidP="008D0DAB">
      <w:pPr>
        <w:pStyle w:val="Heading9"/>
      </w:pPr>
      <w:r w:rsidRPr="00F65403">
        <w:t xml:space="preserve">Lease liabilities </w:t>
      </w:r>
      <w:r w:rsidR="00104757">
        <w:t>-</w:t>
      </w:r>
      <w:r w:rsidRPr="00F65403">
        <w:t xml:space="preserve"> SEC as lessee</w:t>
      </w:r>
    </w:p>
    <w:p w14:paraId="3662A3E9" w14:textId="77777777" w:rsidR="008D0DAB" w:rsidRPr="00F65403" w:rsidRDefault="008D0DAB" w:rsidP="008D0DAB">
      <w:pPr>
        <w:pStyle w:val="BodyText"/>
        <w:rPr>
          <w:lang w:val="en-AU"/>
        </w:rPr>
      </w:pPr>
      <w:r w:rsidRPr="193BDB44">
        <w:rPr>
          <w:lang w:val="en-AU"/>
        </w:rPr>
        <w:t>A lease liability is initially measured at the present value of the lease payments unpaid at the commencement date, discounted using the interest rate implicit in the lease if that rate is readily determinable.</w:t>
      </w:r>
    </w:p>
    <w:p w14:paraId="0136FBCA" w14:textId="77777777" w:rsidR="008D0DAB" w:rsidRPr="00F65403" w:rsidRDefault="008D0DAB" w:rsidP="008D0DAB">
      <w:pPr>
        <w:pStyle w:val="BodyText"/>
        <w:rPr>
          <w:lang w:val="en-AU"/>
        </w:rPr>
      </w:pPr>
    </w:p>
    <w:p w14:paraId="35661534" w14:textId="77777777" w:rsidR="008D0DAB" w:rsidRPr="00F65403" w:rsidRDefault="008D0DAB" w:rsidP="008D0DAB">
      <w:pPr>
        <w:pStyle w:val="BodyText"/>
        <w:rPr>
          <w:lang w:val="en-AU"/>
        </w:rPr>
      </w:pPr>
      <w:r w:rsidRPr="00F65403">
        <w:rPr>
          <w:lang w:val="en-AU"/>
        </w:rPr>
        <w:t>Lease payments included in the measurement of the lease liability comprise the following:</w:t>
      </w:r>
    </w:p>
    <w:p w14:paraId="284834CC" w14:textId="77777777" w:rsidR="008D0DAB" w:rsidRPr="00F65403" w:rsidRDefault="008D0DAB" w:rsidP="008D0DAB">
      <w:pPr>
        <w:pStyle w:val="ListBullet"/>
        <w:rPr>
          <w:lang w:val="en-AU"/>
        </w:rPr>
      </w:pPr>
      <w:r w:rsidRPr="00F65403">
        <w:rPr>
          <w:lang w:val="en-AU"/>
        </w:rPr>
        <w:t>fixed payments (including in-substance fixed payments) less any lease incentive receivable</w:t>
      </w:r>
    </w:p>
    <w:p w14:paraId="751E514B" w14:textId="77777777" w:rsidR="008D0DAB" w:rsidRPr="00F65403" w:rsidRDefault="008D0DAB" w:rsidP="008D0DAB">
      <w:pPr>
        <w:pStyle w:val="ListBullet"/>
        <w:rPr>
          <w:lang w:val="en-AU"/>
        </w:rPr>
      </w:pPr>
      <w:r w:rsidRPr="00F65403">
        <w:rPr>
          <w:lang w:val="en-AU"/>
        </w:rPr>
        <w:t>variable payments based on an index or rate, initially measured using the index or rate as at the commencement date</w:t>
      </w:r>
    </w:p>
    <w:p w14:paraId="2721ACA0" w14:textId="77777777" w:rsidR="008D0DAB" w:rsidRPr="00F65403" w:rsidRDefault="008D0DAB" w:rsidP="008D0DAB">
      <w:pPr>
        <w:pStyle w:val="ListBullet"/>
        <w:rPr>
          <w:lang w:val="en-AU"/>
        </w:rPr>
      </w:pPr>
      <w:r w:rsidRPr="00F65403">
        <w:rPr>
          <w:lang w:val="en-AU"/>
        </w:rPr>
        <w:t>amounts expected to be payable under a residual value guarantee</w:t>
      </w:r>
    </w:p>
    <w:p w14:paraId="51E82BB3" w14:textId="77777777" w:rsidR="008D0DAB" w:rsidRPr="00F65403" w:rsidRDefault="008D0DAB" w:rsidP="008D0DAB">
      <w:pPr>
        <w:pStyle w:val="ListBullet"/>
        <w:rPr>
          <w:lang w:val="en-AU"/>
        </w:rPr>
      </w:pPr>
      <w:r w:rsidRPr="00F65403">
        <w:rPr>
          <w:lang w:val="en-AU"/>
        </w:rPr>
        <w:t>payments arising from purchase and termination options reasonably certain to be exercised.</w:t>
      </w:r>
    </w:p>
    <w:p w14:paraId="52E146FF" w14:textId="77777777" w:rsidR="008D0DAB" w:rsidRPr="00F65403" w:rsidRDefault="008D0DAB" w:rsidP="008D0DAB">
      <w:pPr>
        <w:pStyle w:val="BodyText"/>
        <w:rPr>
          <w:lang w:val="en-AU"/>
        </w:rPr>
      </w:pPr>
    </w:p>
    <w:p w14:paraId="276D7DBA" w14:textId="77777777" w:rsidR="008D0DAB" w:rsidRPr="00F65403" w:rsidRDefault="008D0DAB" w:rsidP="008D0DAB">
      <w:pPr>
        <w:pStyle w:val="BodyText"/>
        <w:rPr>
          <w:lang w:val="en-AU"/>
        </w:rPr>
      </w:pPr>
      <w:r w:rsidRPr="00F65403">
        <w:rPr>
          <w:lang w:val="en-AU"/>
        </w:rPr>
        <w:t>After initial measurement, the liability will be reduced for payments made and increased for interest.</w:t>
      </w:r>
    </w:p>
    <w:p w14:paraId="2E7D2149" w14:textId="77777777" w:rsidR="008D0DAB" w:rsidRPr="00F65403" w:rsidRDefault="008D0DAB" w:rsidP="008D0DAB">
      <w:pPr>
        <w:pStyle w:val="BodyText"/>
        <w:rPr>
          <w:lang w:val="en-AU"/>
        </w:rPr>
      </w:pPr>
    </w:p>
    <w:p w14:paraId="1172C9C2" w14:textId="77777777" w:rsidR="008D0DAB" w:rsidRPr="00F65403" w:rsidRDefault="008D0DAB" w:rsidP="008D0DAB">
      <w:pPr>
        <w:pStyle w:val="BodyText"/>
        <w:rPr>
          <w:lang w:val="en-AU"/>
        </w:rPr>
      </w:pPr>
      <w:r w:rsidRPr="00F65403">
        <w:rPr>
          <w:lang w:val="en-AU"/>
        </w:rPr>
        <w:t>It is remeasured to reflect any reassessment or modification, or if there are changes in-substance fixed payments. On remeasurement of lease liabilities, a corresponding adjustment is made to the ROU asset, or profit and loss if the ROU asset is already reduced to zero.</w:t>
      </w:r>
    </w:p>
    <w:p w14:paraId="7BB2E1F4" w14:textId="77777777" w:rsidR="008D0DAB" w:rsidRPr="00F65403" w:rsidRDefault="008D0DAB" w:rsidP="008D0DAB">
      <w:pPr>
        <w:pStyle w:val="BodyText"/>
        <w:rPr>
          <w:lang w:val="en-AU"/>
        </w:rPr>
      </w:pPr>
    </w:p>
    <w:p w14:paraId="18933C9D" w14:textId="77777777" w:rsidR="008D0DAB" w:rsidRPr="00F65403" w:rsidRDefault="008D0DAB" w:rsidP="008D0DAB">
      <w:pPr>
        <w:pStyle w:val="Heading7"/>
      </w:pPr>
      <w:r w:rsidRPr="00F65403">
        <w:t>Financial risk management</w:t>
      </w:r>
    </w:p>
    <w:p w14:paraId="638906F5" w14:textId="77777777" w:rsidR="008D0DAB" w:rsidRPr="00F65403" w:rsidRDefault="008D0DAB" w:rsidP="008D0DAB">
      <w:pPr>
        <w:pStyle w:val="BodyText"/>
        <w:rPr>
          <w:lang w:val="en-AU"/>
        </w:rPr>
      </w:pPr>
      <w:r w:rsidRPr="00F65403">
        <w:rPr>
          <w:lang w:val="en-AU"/>
        </w:rPr>
        <w:t>The Board of Directors has overall responsibility for the establishment and oversight of the risk management policy and framework. The Board has established the Audit and Risk Committee (ARC), which is responsible for approving the Group’s risk management framework for identifying, assessing and managing risk. The ARC is also responsible for reviewing and updating the Group’s risk profile, monitoring the effectiveness of the risk management framework and reviewing, at least annually, the implementation of the risk management framework.</w:t>
      </w:r>
    </w:p>
    <w:p w14:paraId="1ADCE07D" w14:textId="77777777" w:rsidR="008D0DAB" w:rsidRPr="00F65403" w:rsidRDefault="008D0DAB" w:rsidP="008D0DAB">
      <w:pPr>
        <w:pStyle w:val="BodyText"/>
        <w:rPr>
          <w:lang w:val="en-AU"/>
        </w:rPr>
      </w:pPr>
    </w:p>
    <w:p w14:paraId="269CDC13" w14:textId="77777777" w:rsidR="008D0DAB" w:rsidRPr="00F65403" w:rsidRDefault="008D0DAB" w:rsidP="008D0DAB">
      <w:pPr>
        <w:pStyle w:val="BodyText"/>
        <w:rPr>
          <w:lang w:val="en-AU"/>
        </w:rPr>
      </w:pPr>
      <w:r w:rsidRPr="00F65403">
        <w:rPr>
          <w:lang w:val="en-AU"/>
        </w:rPr>
        <w:t>The Group has adopted or is in the process of developing policies covering specific areas, such as interest rate risk, foreign currency risk, credit risk,</w:t>
      </w:r>
      <w:r>
        <w:rPr>
          <w:lang w:val="en-AU"/>
        </w:rPr>
        <w:t xml:space="preserve"> and</w:t>
      </w:r>
      <w:r w:rsidRPr="00F65403">
        <w:rPr>
          <w:lang w:val="en-AU"/>
        </w:rPr>
        <w:t xml:space="preserve"> liquidity risk. Compliance with policies and exposure limits is reviewed on a continuous basis.</w:t>
      </w:r>
    </w:p>
    <w:p w14:paraId="6AB39560" w14:textId="77777777" w:rsidR="008D0DAB" w:rsidRPr="00F65403" w:rsidRDefault="008D0DAB" w:rsidP="008D0DAB">
      <w:pPr>
        <w:pStyle w:val="BodyText"/>
        <w:rPr>
          <w:lang w:val="en-AU"/>
        </w:rPr>
      </w:pPr>
    </w:p>
    <w:p w14:paraId="067660DD" w14:textId="77777777" w:rsidR="008D0DAB" w:rsidRPr="00F65403" w:rsidRDefault="008D0DAB" w:rsidP="008D0DAB">
      <w:pPr>
        <w:pStyle w:val="Heading8"/>
      </w:pPr>
      <w:proofErr w:type="spellStart"/>
      <w:r>
        <w:t>i</w:t>
      </w:r>
      <w:proofErr w:type="spellEnd"/>
      <w:r>
        <w:t>.</w:t>
      </w:r>
      <w:r>
        <w:tab/>
        <w:t>Capital risk management</w:t>
      </w:r>
    </w:p>
    <w:p w14:paraId="066EC1B9" w14:textId="77777777" w:rsidR="008D0DAB" w:rsidRPr="00F65403" w:rsidRDefault="008D0DAB" w:rsidP="008D0DAB">
      <w:pPr>
        <w:pStyle w:val="BodyText"/>
        <w:rPr>
          <w:lang w:val="en-AU"/>
        </w:rPr>
      </w:pPr>
      <w:r w:rsidRPr="00F65403">
        <w:rPr>
          <w:lang w:val="en-AU"/>
        </w:rPr>
        <w:t xml:space="preserve">The Group’s objectives when managing capital are to safeguard its ability to continue as a going concern, so that it can continue to provide returns for shareholders and benefits for other stakeholders and to maintain an appropriate capital structure of debt and equity. </w:t>
      </w:r>
      <w:r>
        <w:rPr>
          <w:lang w:val="en-AU"/>
        </w:rPr>
        <w:t>The Group relies on its ultimate parent, SEC Victoria Pty Ltd, to provide funding as and when required for operations.</w:t>
      </w:r>
    </w:p>
    <w:p w14:paraId="620A9BF7" w14:textId="77777777" w:rsidR="008D0DAB" w:rsidRPr="00F65403" w:rsidRDefault="008D0DAB" w:rsidP="008D0DAB">
      <w:pPr>
        <w:pStyle w:val="BodyText"/>
        <w:rPr>
          <w:lang w:val="en-AU"/>
        </w:rPr>
      </w:pPr>
    </w:p>
    <w:p w14:paraId="4C0E30B1" w14:textId="77777777" w:rsidR="008D0DAB" w:rsidRDefault="008D0DAB" w:rsidP="008D0DAB">
      <w:pPr>
        <w:pStyle w:val="BodyText"/>
        <w:rPr>
          <w:rFonts w:eastAsiaTheme="majorEastAsia" w:cstheme="majorBidi"/>
          <w:i/>
          <w:color w:val="272727" w:themeColor="text1" w:themeTint="D8"/>
        </w:rPr>
      </w:pPr>
      <w:r w:rsidRPr="00F65403">
        <w:rPr>
          <w:lang w:val="en-AU"/>
        </w:rPr>
        <w:t>The capital structure of SEC consists of cash and cash equivalents and total equity (comprising issued and contributed capital provided by the State and retained earnings). SEC monitors capital based on the funds received from the State along with anticipated cash outflows.</w:t>
      </w:r>
      <w:r>
        <w:rPr>
          <w:lang w:val="en-AU"/>
        </w:rPr>
        <w:br/>
      </w:r>
    </w:p>
    <w:p w14:paraId="576EC799" w14:textId="1735B151" w:rsidR="008D0DAB" w:rsidRPr="00F65403" w:rsidRDefault="008D0DAB" w:rsidP="008D0DAB">
      <w:pPr>
        <w:pStyle w:val="Heading8"/>
      </w:pPr>
      <w:r>
        <w:t>ii.</w:t>
      </w:r>
      <w:r>
        <w:tab/>
        <w:t>Liquidity risk management</w:t>
      </w:r>
    </w:p>
    <w:p w14:paraId="63A3B530" w14:textId="655B739D" w:rsidR="008D0DAB" w:rsidRPr="00F65403" w:rsidRDefault="008D0DAB" w:rsidP="008D0DAB">
      <w:pPr>
        <w:pStyle w:val="BodyText"/>
        <w:rPr>
          <w:lang w:val="en-AU"/>
        </w:rPr>
      </w:pPr>
      <w:r w:rsidRPr="00F65403">
        <w:rPr>
          <w:lang w:val="en-AU"/>
        </w:rPr>
        <w:t xml:space="preserve">Liquidity risk is the risk that the Group will encounter difficulty in meeting its financial obligations as they fall due. </w:t>
      </w:r>
      <w:r w:rsidRPr="13A1B2D3">
        <w:rPr>
          <w:lang w:val="en-AU"/>
        </w:rPr>
        <w:t xml:space="preserve">The Group is exposed to liquidity risk mainly through the financial liabilities as disclosed in the face of the statement of financial position. The Group relies on its ultimate parent, SEC Victoria Pty Ltd, to provide funding as and when required for operations and liquidity is managed at a consolidated SEC Victoria Pty Ltd level. SEC Victoria Group manages its liquidity risk through monitoring future cash flows, maintaining an adequate level of uncommitted funds that can be drawn at short notice to meet its short-term obligations and planning of its financial obligations based on forecasts of future cash flows. </w:t>
      </w:r>
    </w:p>
    <w:p w14:paraId="1A6AD007" w14:textId="77777777" w:rsidR="008D0DAB" w:rsidRDefault="008D0DAB" w:rsidP="008D0DAB">
      <w:pPr>
        <w:pStyle w:val="BodyText"/>
        <w:rPr>
          <w:lang w:val="en-AU"/>
        </w:rPr>
      </w:pPr>
    </w:p>
    <w:p w14:paraId="0EBB4B00" w14:textId="77777777" w:rsidR="008D0DAB" w:rsidRDefault="008D0DAB" w:rsidP="008D0DAB">
      <w:pPr>
        <w:pStyle w:val="BodyText"/>
        <w:rPr>
          <w:lang w:val="en-AU"/>
        </w:rPr>
      </w:pPr>
      <w:r w:rsidRPr="00363632">
        <w:rPr>
          <w:lang w:val="en-AU"/>
        </w:rPr>
        <w:t>The Company’s exposure to liquidity risk is insignificant based on a current assessment of risk and the level of cash available from its</w:t>
      </w:r>
      <w:r>
        <w:rPr>
          <w:lang w:val="en-AU"/>
        </w:rPr>
        <w:t xml:space="preserve"> ultimate</w:t>
      </w:r>
      <w:r w:rsidRPr="00363632">
        <w:rPr>
          <w:lang w:val="en-AU"/>
        </w:rPr>
        <w:t xml:space="preserve"> parent, SEC Victoria Pty Ltd.</w:t>
      </w:r>
    </w:p>
    <w:p w14:paraId="42390A27" w14:textId="77777777" w:rsidR="008D0DAB" w:rsidRPr="00F65403" w:rsidRDefault="008D0DAB" w:rsidP="008D0DAB">
      <w:pPr>
        <w:pStyle w:val="BodyText"/>
        <w:rPr>
          <w:lang w:val="en-AU"/>
        </w:rPr>
      </w:pPr>
    </w:p>
    <w:p w14:paraId="497FB61D" w14:textId="0082D670" w:rsidR="008D0DAB" w:rsidRPr="00F65403" w:rsidRDefault="008D0DAB" w:rsidP="008D0DAB">
      <w:pPr>
        <w:pStyle w:val="BodyText"/>
        <w:rPr>
          <w:lang w:val="en-AU"/>
        </w:rPr>
      </w:pPr>
      <w:r w:rsidRPr="00274F8A">
        <w:rPr>
          <w:lang w:val="en-AU"/>
        </w:rPr>
        <w:t>The table below sets out the timing of the Group’s payment obligations, as compared to the receipts expected from the Group’s financial assets. Amounts are presented on an undiscounted basis and include cash flows not recorded on the statement of financial position, such as interest payments for borrowings.</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318"/>
        <w:gridCol w:w="1094"/>
        <w:gridCol w:w="153"/>
        <w:gridCol w:w="933"/>
        <w:gridCol w:w="316"/>
        <w:gridCol w:w="1024"/>
        <w:gridCol w:w="1114"/>
        <w:gridCol w:w="1074"/>
      </w:tblGrid>
      <w:tr w:rsidR="008D0DAB" w:rsidRPr="003C0D78" w14:paraId="49C92B1D" w14:textId="77777777" w:rsidTr="00AA3AC5">
        <w:trPr>
          <w:trHeight w:val="264"/>
        </w:trPr>
        <w:tc>
          <w:tcPr>
            <w:tcW w:w="1838" w:type="pct"/>
            <w:tcBorders>
              <w:top w:val="nil"/>
              <w:left w:val="nil"/>
              <w:bottom w:val="nil"/>
              <w:right w:val="nil"/>
            </w:tcBorders>
            <w:noWrap/>
            <w:vAlign w:val="bottom"/>
            <w:hideMark/>
          </w:tcPr>
          <w:p w14:paraId="437A480F" w14:textId="77777777" w:rsidR="008D0DAB" w:rsidRPr="00F65403" w:rsidRDefault="008D0DAB" w:rsidP="009B7B2A">
            <w:pPr>
              <w:spacing w:after="0" w:line="240" w:lineRule="auto"/>
              <w:rPr>
                <w:rFonts w:eastAsia="Times New Roman" w:cs="Arial"/>
                <w:sz w:val="20"/>
                <w:szCs w:val="20"/>
                <w:lang w:eastAsia="en-AU"/>
              </w:rPr>
            </w:pPr>
          </w:p>
        </w:tc>
        <w:tc>
          <w:tcPr>
            <w:tcW w:w="606" w:type="pct"/>
            <w:tcBorders>
              <w:top w:val="nil"/>
              <w:left w:val="nil"/>
              <w:bottom w:val="nil"/>
              <w:right w:val="nil"/>
            </w:tcBorders>
            <w:noWrap/>
            <w:vAlign w:val="bottom"/>
            <w:hideMark/>
          </w:tcPr>
          <w:p w14:paraId="452B32E7" w14:textId="77777777" w:rsidR="008D0DAB" w:rsidRPr="00F65403" w:rsidRDefault="008D0DAB" w:rsidP="009B7B2A">
            <w:pPr>
              <w:spacing w:after="0" w:line="240" w:lineRule="auto"/>
              <w:rPr>
                <w:rFonts w:eastAsia="Times New Roman" w:cs="Arial"/>
                <w:sz w:val="20"/>
                <w:szCs w:val="20"/>
                <w:lang w:eastAsia="en-AU"/>
              </w:rPr>
            </w:pPr>
          </w:p>
        </w:tc>
        <w:tc>
          <w:tcPr>
            <w:tcW w:w="602" w:type="pct"/>
            <w:gridSpan w:val="2"/>
            <w:tcBorders>
              <w:top w:val="nil"/>
              <w:left w:val="nil"/>
              <w:bottom w:val="nil"/>
              <w:right w:val="nil"/>
            </w:tcBorders>
            <w:noWrap/>
            <w:vAlign w:val="bottom"/>
            <w:hideMark/>
          </w:tcPr>
          <w:p w14:paraId="254C9E63" w14:textId="77777777" w:rsidR="008D0DAB" w:rsidRPr="00F65403" w:rsidRDefault="008D0DAB" w:rsidP="009B7B2A">
            <w:pPr>
              <w:spacing w:after="0" w:line="240" w:lineRule="auto"/>
              <w:rPr>
                <w:rFonts w:eastAsia="Times New Roman" w:cs="Arial"/>
                <w:sz w:val="20"/>
                <w:szCs w:val="20"/>
                <w:lang w:eastAsia="en-AU"/>
              </w:rPr>
            </w:pPr>
          </w:p>
        </w:tc>
        <w:tc>
          <w:tcPr>
            <w:tcW w:w="1954" w:type="pct"/>
            <w:gridSpan w:val="4"/>
            <w:tcBorders>
              <w:top w:val="nil"/>
              <w:left w:val="nil"/>
              <w:bottom w:val="nil"/>
              <w:right w:val="nil"/>
            </w:tcBorders>
            <w:noWrap/>
            <w:vAlign w:val="bottom"/>
            <w:hideMark/>
          </w:tcPr>
          <w:p w14:paraId="076506F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8D0DAB" w:rsidRPr="003C0D78" w14:paraId="0DC78F03" w14:textId="77777777" w:rsidTr="00AA3AC5">
        <w:trPr>
          <w:trHeight w:val="528"/>
        </w:trPr>
        <w:tc>
          <w:tcPr>
            <w:tcW w:w="1838" w:type="pct"/>
            <w:tcBorders>
              <w:top w:val="nil"/>
              <w:left w:val="nil"/>
              <w:bottom w:val="nil"/>
              <w:right w:val="nil"/>
            </w:tcBorders>
            <w:noWrap/>
            <w:vAlign w:val="bottom"/>
            <w:hideMark/>
          </w:tcPr>
          <w:p w14:paraId="4587DB44"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91" w:type="pct"/>
            <w:gridSpan w:val="2"/>
            <w:tcBorders>
              <w:top w:val="nil"/>
              <w:left w:val="nil"/>
              <w:bottom w:val="nil"/>
              <w:right w:val="nil"/>
            </w:tcBorders>
            <w:vAlign w:val="bottom"/>
            <w:hideMark/>
          </w:tcPr>
          <w:p w14:paraId="07F3907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92" w:type="pct"/>
            <w:gridSpan w:val="2"/>
            <w:tcBorders>
              <w:top w:val="nil"/>
              <w:left w:val="nil"/>
              <w:bottom w:val="nil"/>
              <w:right w:val="nil"/>
            </w:tcBorders>
            <w:vAlign w:val="bottom"/>
            <w:hideMark/>
          </w:tcPr>
          <w:p w14:paraId="25FA6AD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567" w:type="pct"/>
            <w:tcBorders>
              <w:top w:val="nil"/>
              <w:left w:val="nil"/>
              <w:bottom w:val="nil"/>
              <w:right w:val="nil"/>
            </w:tcBorders>
            <w:vAlign w:val="bottom"/>
            <w:hideMark/>
          </w:tcPr>
          <w:p w14:paraId="12E0AD3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617" w:type="pct"/>
            <w:tcBorders>
              <w:top w:val="nil"/>
              <w:left w:val="nil"/>
              <w:bottom w:val="nil"/>
              <w:right w:val="nil"/>
            </w:tcBorders>
            <w:vAlign w:val="bottom"/>
            <w:hideMark/>
          </w:tcPr>
          <w:p w14:paraId="5062EAC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Pr>
                <w:rFonts w:eastAsia="Times New Roman" w:cs="Arial"/>
                <w:b/>
                <w:color w:val="000000"/>
                <w:sz w:val="20"/>
                <w:szCs w:val="20"/>
                <w:lang w:eastAsia="en-AU"/>
              </w:rPr>
              <w:t>5</w:t>
            </w:r>
            <w:r w:rsidRPr="00F65403">
              <w:rPr>
                <w:rFonts w:eastAsia="Times New Roman" w:cs="Arial"/>
                <w:b/>
                <w:color w:val="000000"/>
                <w:sz w:val="20"/>
                <w:szCs w:val="20"/>
                <w:lang w:eastAsia="en-AU"/>
              </w:rPr>
              <w:t xml:space="preserve"> years</w:t>
            </w:r>
          </w:p>
        </w:tc>
        <w:tc>
          <w:tcPr>
            <w:tcW w:w="595" w:type="pct"/>
            <w:tcBorders>
              <w:top w:val="nil"/>
              <w:left w:val="nil"/>
              <w:bottom w:val="nil"/>
              <w:right w:val="nil"/>
            </w:tcBorders>
            <w:vAlign w:val="bottom"/>
            <w:hideMark/>
          </w:tcPr>
          <w:p w14:paraId="7DD5CA87"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8D0DAB" w:rsidRPr="003C0D78" w14:paraId="10CBCD36" w14:textId="77777777" w:rsidTr="00AA3AC5">
        <w:trPr>
          <w:trHeight w:val="264"/>
        </w:trPr>
        <w:tc>
          <w:tcPr>
            <w:tcW w:w="1838" w:type="pct"/>
            <w:tcBorders>
              <w:top w:val="nil"/>
              <w:left w:val="nil"/>
              <w:bottom w:val="nil"/>
              <w:right w:val="nil"/>
            </w:tcBorders>
            <w:noWrap/>
            <w:vAlign w:val="bottom"/>
            <w:hideMark/>
          </w:tcPr>
          <w:p w14:paraId="3BC62435"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691" w:type="pct"/>
            <w:gridSpan w:val="2"/>
            <w:tcBorders>
              <w:top w:val="nil"/>
              <w:left w:val="nil"/>
              <w:bottom w:val="nil"/>
              <w:right w:val="nil"/>
            </w:tcBorders>
            <w:noWrap/>
            <w:vAlign w:val="bottom"/>
            <w:hideMark/>
          </w:tcPr>
          <w:p w14:paraId="3B67CEF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92" w:type="pct"/>
            <w:gridSpan w:val="2"/>
            <w:tcBorders>
              <w:top w:val="nil"/>
              <w:left w:val="nil"/>
              <w:bottom w:val="nil"/>
              <w:right w:val="nil"/>
            </w:tcBorders>
            <w:noWrap/>
            <w:vAlign w:val="bottom"/>
            <w:hideMark/>
          </w:tcPr>
          <w:p w14:paraId="187C693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67" w:type="pct"/>
            <w:tcBorders>
              <w:top w:val="nil"/>
              <w:left w:val="nil"/>
              <w:bottom w:val="nil"/>
              <w:right w:val="nil"/>
            </w:tcBorders>
            <w:noWrap/>
            <w:vAlign w:val="bottom"/>
            <w:hideMark/>
          </w:tcPr>
          <w:p w14:paraId="77DC803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7" w:type="pct"/>
            <w:tcBorders>
              <w:top w:val="nil"/>
              <w:left w:val="nil"/>
              <w:bottom w:val="nil"/>
              <w:right w:val="nil"/>
            </w:tcBorders>
            <w:noWrap/>
            <w:vAlign w:val="bottom"/>
            <w:hideMark/>
          </w:tcPr>
          <w:p w14:paraId="612FFB7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95" w:type="pct"/>
            <w:tcBorders>
              <w:top w:val="nil"/>
              <w:left w:val="nil"/>
              <w:bottom w:val="nil"/>
              <w:right w:val="nil"/>
            </w:tcBorders>
            <w:noWrap/>
            <w:vAlign w:val="bottom"/>
            <w:hideMark/>
          </w:tcPr>
          <w:p w14:paraId="08CF390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CB4D16" w14:paraId="581DDED4" w14:textId="77777777" w:rsidTr="00AA3AC5">
        <w:trPr>
          <w:trHeight w:val="264"/>
        </w:trPr>
        <w:tc>
          <w:tcPr>
            <w:tcW w:w="1838" w:type="pct"/>
            <w:tcBorders>
              <w:top w:val="nil"/>
              <w:left w:val="nil"/>
              <w:bottom w:val="nil"/>
              <w:right w:val="nil"/>
            </w:tcBorders>
            <w:noWrap/>
            <w:vAlign w:val="bottom"/>
            <w:hideMark/>
          </w:tcPr>
          <w:p w14:paraId="758C5A45"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Pr>
                <w:rFonts w:eastAsia="Times New Roman" w:cs="Arial"/>
                <w:color w:val="000000"/>
                <w:sz w:val="20"/>
                <w:szCs w:val="20"/>
                <w:lang w:eastAsia="en-AU"/>
              </w:rPr>
              <w:t>and other payables</w:t>
            </w:r>
          </w:p>
        </w:tc>
        <w:tc>
          <w:tcPr>
            <w:tcW w:w="691" w:type="pct"/>
            <w:gridSpan w:val="2"/>
            <w:tcBorders>
              <w:top w:val="nil"/>
              <w:left w:val="nil"/>
              <w:bottom w:val="nil"/>
              <w:right w:val="nil"/>
            </w:tcBorders>
            <w:noWrap/>
            <w:hideMark/>
          </w:tcPr>
          <w:p w14:paraId="246FF81D"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281,602</w:t>
            </w:r>
            <w:r w:rsidRPr="00C64A81">
              <w:rPr>
                <w:rFonts w:eastAsia="Times New Roman" w:cs="Arial"/>
                <w:color w:val="000000"/>
                <w:sz w:val="20"/>
                <w:szCs w:val="20"/>
                <w:lang w:eastAsia="en-AU"/>
              </w:rPr>
              <w:t>)</w:t>
            </w:r>
          </w:p>
        </w:tc>
        <w:tc>
          <w:tcPr>
            <w:tcW w:w="692" w:type="pct"/>
            <w:gridSpan w:val="2"/>
            <w:tcBorders>
              <w:top w:val="nil"/>
              <w:left w:val="nil"/>
              <w:bottom w:val="nil"/>
              <w:right w:val="nil"/>
            </w:tcBorders>
            <w:noWrap/>
            <w:hideMark/>
          </w:tcPr>
          <w:p w14:paraId="768E2B80"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281,602</w:t>
            </w:r>
            <w:r w:rsidRPr="00C64A81">
              <w:rPr>
                <w:rFonts w:eastAsia="Times New Roman" w:cs="Arial"/>
                <w:color w:val="000000"/>
                <w:sz w:val="20"/>
                <w:szCs w:val="20"/>
                <w:lang w:eastAsia="en-AU"/>
              </w:rPr>
              <w:t>)</w:t>
            </w:r>
          </w:p>
        </w:tc>
        <w:tc>
          <w:tcPr>
            <w:tcW w:w="567" w:type="pct"/>
            <w:tcBorders>
              <w:top w:val="nil"/>
              <w:left w:val="nil"/>
              <w:bottom w:val="nil"/>
              <w:right w:val="nil"/>
            </w:tcBorders>
            <w:noWrap/>
          </w:tcPr>
          <w:p w14:paraId="4727CBD4" w14:textId="36693FEF"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sidR="009022F2">
              <w:rPr>
                <w:rFonts w:eastAsia="Times New Roman" w:cs="Arial"/>
                <w:color w:val="000000"/>
                <w:sz w:val="20"/>
                <w:szCs w:val="20"/>
                <w:lang w:eastAsia="en-AU"/>
              </w:rPr>
              <w:t>19,</w:t>
            </w:r>
            <w:r w:rsidR="002741A3">
              <w:rPr>
                <w:rFonts w:eastAsia="Times New Roman" w:cs="Arial"/>
                <w:color w:val="000000"/>
                <w:sz w:val="20"/>
                <w:szCs w:val="20"/>
                <w:lang w:eastAsia="en-AU"/>
              </w:rPr>
              <w:t>195</w:t>
            </w:r>
            <w:r w:rsidRPr="00C64A81">
              <w:rPr>
                <w:rFonts w:eastAsia="Times New Roman" w:cs="Arial"/>
                <w:color w:val="000000"/>
                <w:sz w:val="20"/>
                <w:szCs w:val="20"/>
                <w:lang w:eastAsia="en-AU"/>
              </w:rPr>
              <w:t>)</w:t>
            </w:r>
          </w:p>
        </w:tc>
        <w:tc>
          <w:tcPr>
            <w:tcW w:w="617" w:type="pct"/>
            <w:tcBorders>
              <w:top w:val="nil"/>
              <w:left w:val="nil"/>
              <w:bottom w:val="nil"/>
              <w:right w:val="nil"/>
            </w:tcBorders>
            <w:noWrap/>
            <w:hideMark/>
          </w:tcPr>
          <w:p w14:paraId="5CC36772" w14:textId="7EC684F8" w:rsidR="008D0DAB" w:rsidRPr="00F65403" w:rsidRDefault="00572F56" w:rsidP="009B7B2A">
            <w:pPr>
              <w:tabs>
                <w:tab w:val="decimal" w:pos="87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(262,407)</w:t>
            </w:r>
            <w:r w:rsidR="008D0DAB" w:rsidRPr="00C64A81">
              <w:rPr>
                <w:rFonts w:eastAsia="Times New Roman" w:cs="Arial"/>
                <w:color w:val="000000"/>
                <w:sz w:val="20"/>
                <w:szCs w:val="20"/>
                <w:lang w:eastAsia="en-AU"/>
              </w:rPr>
              <w:t xml:space="preserve">   </w:t>
            </w:r>
          </w:p>
        </w:tc>
        <w:tc>
          <w:tcPr>
            <w:tcW w:w="595" w:type="pct"/>
            <w:tcBorders>
              <w:top w:val="nil"/>
              <w:left w:val="nil"/>
              <w:bottom w:val="nil"/>
              <w:right w:val="nil"/>
            </w:tcBorders>
            <w:noWrap/>
            <w:hideMark/>
          </w:tcPr>
          <w:p w14:paraId="4F645BAD" w14:textId="77777777" w:rsidR="008D0DAB" w:rsidRPr="00C1358F" w:rsidRDefault="008D0DAB" w:rsidP="009B7B2A">
            <w:pPr>
              <w:tabs>
                <w:tab w:val="decimal" w:pos="871"/>
              </w:tabs>
              <w:spacing w:after="0" w:line="240" w:lineRule="auto"/>
              <w:rPr>
                <w:rFonts w:eastAsia="Times New Roman" w:cs="Arial"/>
                <w:color w:val="000000"/>
                <w:sz w:val="20"/>
                <w:szCs w:val="20"/>
                <w:highlight w:val="yellow"/>
                <w:lang w:eastAsia="en-AU"/>
              </w:rPr>
            </w:pPr>
            <w:r w:rsidRPr="00C1358F">
              <w:rPr>
                <w:rFonts w:eastAsia="Times New Roman" w:cs="Arial"/>
                <w:color w:val="000000"/>
                <w:sz w:val="20"/>
                <w:szCs w:val="20"/>
                <w:lang w:eastAsia="en-AU"/>
              </w:rPr>
              <w:t>-</w:t>
            </w:r>
            <w:r w:rsidRPr="00C1358F">
              <w:rPr>
                <w:rFonts w:eastAsia="Times New Roman" w:cs="Arial"/>
                <w:color w:val="000000"/>
                <w:sz w:val="20"/>
                <w:szCs w:val="20"/>
                <w:highlight w:val="yellow"/>
                <w:lang w:eastAsia="en-AU"/>
              </w:rPr>
              <w:t xml:space="preserve">   </w:t>
            </w:r>
          </w:p>
        </w:tc>
      </w:tr>
      <w:tr w:rsidR="008D0DAB" w:rsidRPr="003C0D78" w14:paraId="1D650DDF" w14:textId="77777777" w:rsidTr="00AA3AC5">
        <w:trPr>
          <w:trHeight w:val="264"/>
        </w:trPr>
        <w:tc>
          <w:tcPr>
            <w:tcW w:w="1838" w:type="pct"/>
            <w:tcBorders>
              <w:top w:val="nil"/>
              <w:left w:val="nil"/>
              <w:bottom w:val="nil"/>
              <w:right w:val="nil"/>
            </w:tcBorders>
            <w:noWrap/>
            <w:vAlign w:val="bottom"/>
            <w:hideMark/>
          </w:tcPr>
          <w:p w14:paraId="0CFA42D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691" w:type="pct"/>
            <w:gridSpan w:val="2"/>
            <w:tcBorders>
              <w:top w:val="nil"/>
              <w:left w:val="nil"/>
              <w:right w:val="nil"/>
            </w:tcBorders>
            <w:noWrap/>
            <w:hideMark/>
          </w:tcPr>
          <w:p w14:paraId="77E2BAB8"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r>
              <w:rPr>
                <w:rFonts w:eastAsia="Times New Roman" w:cs="Arial"/>
                <w:color w:val="000000" w:themeColor="text1"/>
                <w:sz w:val="20"/>
                <w:szCs w:val="20"/>
                <w:lang w:eastAsia="en-AU"/>
              </w:rPr>
              <w:t>6,546</w:t>
            </w:r>
            <w:r w:rsidRPr="49BCD735">
              <w:rPr>
                <w:rFonts w:eastAsia="Times New Roman" w:cs="Arial"/>
                <w:color w:val="000000" w:themeColor="text1"/>
                <w:sz w:val="20"/>
                <w:szCs w:val="20"/>
                <w:lang w:eastAsia="en-AU"/>
              </w:rPr>
              <w:t>)</w:t>
            </w:r>
          </w:p>
        </w:tc>
        <w:tc>
          <w:tcPr>
            <w:tcW w:w="692" w:type="pct"/>
            <w:gridSpan w:val="2"/>
            <w:tcBorders>
              <w:top w:val="nil"/>
              <w:left w:val="nil"/>
              <w:right w:val="nil"/>
            </w:tcBorders>
            <w:noWrap/>
            <w:hideMark/>
          </w:tcPr>
          <w:p w14:paraId="502220C6"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w:t>
            </w:r>
            <w:r>
              <w:rPr>
                <w:rFonts w:eastAsia="Times New Roman" w:cs="Arial"/>
                <w:color w:val="000000" w:themeColor="text1"/>
                <w:sz w:val="20"/>
                <w:szCs w:val="20"/>
                <w:lang w:eastAsia="en-AU"/>
              </w:rPr>
              <w:t>6,546</w:t>
            </w:r>
            <w:r w:rsidRPr="49BCD735">
              <w:rPr>
                <w:rFonts w:eastAsia="Times New Roman" w:cs="Arial"/>
                <w:color w:val="000000" w:themeColor="text1"/>
                <w:sz w:val="20"/>
                <w:szCs w:val="20"/>
                <w:lang w:eastAsia="en-AU"/>
              </w:rPr>
              <w:t>)</w:t>
            </w:r>
          </w:p>
        </w:tc>
        <w:tc>
          <w:tcPr>
            <w:tcW w:w="567" w:type="pct"/>
            <w:tcBorders>
              <w:top w:val="nil"/>
              <w:left w:val="nil"/>
              <w:right w:val="nil"/>
            </w:tcBorders>
            <w:noWrap/>
          </w:tcPr>
          <w:p w14:paraId="4850368D"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313</w:t>
            </w:r>
            <w:r w:rsidRPr="00C64A81">
              <w:rPr>
                <w:rFonts w:eastAsia="Times New Roman" w:cs="Arial"/>
                <w:color w:val="000000"/>
                <w:sz w:val="20"/>
                <w:szCs w:val="20"/>
                <w:lang w:eastAsia="en-AU"/>
              </w:rPr>
              <w:t>)</w:t>
            </w:r>
          </w:p>
        </w:tc>
        <w:tc>
          <w:tcPr>
            <w:tcW w:w="617" w:type="pct"/>
            <w:tcBorders>
              <w:top w:val="nil"/>
              <w:left w:val="nil"/>
              <w:right w:val="nil"/>
            </w:tcBorders>
            <w:noWrap/>
            <w:hideMark/>
          </w:tcPr>
          <w:p w14:paraId="4849AB45"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1,131</w:t>
            </w:r>
            <w:r w:rsidRPr="00C64A81">
              <w:rPr>
                <w:rFonts w:eastAsia="Times New Roman" w:cs="Arial"/>
                <w:color w:val="000000"/>
                <w:sz w:val="20"/>
                <w:szCs w:val="20"/>
                <w:lang w:eastAsia="en-AU"/>
              </w:rPr>
              <w:t>)</w:t>
            </w:r>
          </w:p>
        </w:tc>
        <w:tc>
          <w:tcPr>
            <w:tcW w:w="595" w:type="pct"/>
            <w:tcBorders>
              <w:top w:val="nil"/>
              <w:left w:val="nil"/>
              <w:right w:val="nil"/>
            </w:tcBorders>
            <w:noWrap/>
            <w:hideMark/>
          </w:tcPr>
          <w:p w14:paraId="4D3C4D0F"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5,102</w:t>
            </w:r>
            <w:r w:rsidRPr="00C64A81">
              <w:rPr>
                <w:rFonts w:eastAsia="Times New Roman" w:cs="Arial"/>
                <w:color w:val="000000"/>
                <w:sz w:val="20"/>
                <w:szCs w:val="20"/>
                <w:lang w:eastAsia="en-AU"/>
              </w:rPr>
              <w:t>)</w:t>
            </w:r>
          </w:p>
        </w:tc>
      </w:tr>
      <w:tr w:rsidR="008D0DAB" w:rsidRPr="003C0D78" w14:paraId="2642A904" w14:textId="77777777" w:rsidTr="00AA3AC5">
        <w:trPr>
          <w:trHeight w:val="264"/>
        </w:trPr>
        <w:tc>
          <w:tcPr>
            <w:tcW w:w="1838" w:type="pct"/>
            <w:tcBorders>
              <w:top w:val="nil"/>
              <w:left w:val="nil"/>
              <w:bottom w:val="nil"/>
              <w:right w:val="nil"/>
            </w:tcBorders>
            <w:noWrap/>
            <w:vAlign w:val="bottom"/>
          </w:tcPr>
          <w:p w14:paraId="48D1DA2F" w14:textId="77777777" w:rsidR="008D0DAB"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Provisions</w:t>
            </w:r>
          </w:p>
        </w:tc>
        <w:tc>
          <w:tcPr>
            <w:tcW w:w="691" w:type="pct"/>
            <w:gridSpan w:val="2"/>
            <w:tcBorders>
              <w:top w:val="nil"/>
              <w:left w:val="nil"/>
              <w:bottom w:val="single" w:sz="4" w:space="0" w:color="auto"/>
              <w:right w:val="nil"/>
            </w:tcBorders>
            <w:noWrap/>
          </w:tcPr>
          <w:p w14:paraId="35AC236D"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(9,912)</w:t>
            </w:r>
          </w:p>
        </w:tc>
        <w:tc>
          <w:tcPr>
            <w:tcW w:w="692" w:type="pct"/>
            <w:gridSpan w:val="2"/>
            <w:tcBorders>
              <w:top w:val="nil"/>
              <w:left w:val="nil"/>
              <w:bottom w:val="single" w:sz="4" w:space="0" w:color="auto"/>
              <w:right w:val="nil"/>
            </w:tcBorders>
            <w:noWrap/>
          </w:tcPr>
          <w:p w14:paraId="27D7EB16"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(9,912)</w:t>
            </w:r>
          </w:p>
        </w:tc>
        <w:tc>
          <w:tcPr>
            <w:tcW w:w="567" w:type="pct"/>
            <w:tcBorders>
              <w:top w:val="nil"/>
              <w:left w:val="nil"/>
              <w:bottom w:val="single" w:sz="4" w:space="0" w:color="auto"/>
              <w:right w:val="nil"/>
            </w:tcBorders>
            <w:noWrap/>
          </w:tcPr>
          <w:p w14:paraId="21626058"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(6,000)</w:t>
            </w:r>
          </w:p>
        </w:tc>
        <w:tc>
          <w:tcPr>
            <w:tcW w:w="617" w:type="pct"/>
            <w:tcBorders>
              <w:top w:val="nil"/>
              <w:left w:val="nil"/>
              <w:bottom w:val="single" w:sz="4" w:space="0" w:color="auto"/>
              <w:right w:val="nil"/>
            </w:tcBorders>
            <w:noWrap/>
          </w:tcPr>
          <w:p w14:paraId="5616D008"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(3,912)</w:t>
            </w:r>
          </w:p>
        </w:tc>
        <w:tc>
          <w:tcPr>
            <w:tcW w:w="595" w:type="pct"/>
            <w:tcBorders>
              <w:top w:val="nil"/>
              <w:left w:val="nil"/>
              <w:bottom w:val="single" w:sz="4" w:space="0" w:color="auto"/>
              <w:right w:val="nil"/>
            </w:tcBorders>
            <w:noWrap/>
          </w:tcPr>
          <w:p w14:paraId="4437A85C"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r>
      <w:tr w:rsidR="008D0DAB" w:rsidRPr="003C0D78" w14:paraId="20EBA336" w14:textId="77777777" w:rsidTr="00AA3AC5">
        <w:trPr>
          <w:trHeight w:val="264"/>
        </w:trPr>
        <w:tc>
          <w:tcPr>
            <w:tcW w:w="1838" w:type="pct"/>
            <w:tcBorders>
              <w:top w:val="nil"/>
              <w:left w:val="nil"/>
              <w:bottom w:val="nil"/>
              <w:right w:val="nil"/>
            </w:tcBorders>
            <w:noWrap/>
            <w:vAlign w:val="bottom"/>
          </w:tcPr>
          <w:p w14:paraId="665ABEE4" w14:textId="77777777" w:rsidR="008D0DAB" w:rsidRPr="00C1358F" w:rsidRDefault="008D0DAB" w:rsidP="009B7B2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Total non-derivative financial liabilities</w:t>
            </w:r>
          </w:p>
        </w:tc>
        <w:tc>
          <w:tcPr>
            <w:tcW w:w="691" w:type="pct"/>
            <w:gridSpan w:val="2"/>
            <w:tcBorders>
              <w:top w:val="single" w:sz="4" w:space="0" w:color="auto"/>
              <w:left w:val="nil"/>
              <w:bottom w:val="single" w:sz="4" w:space="0" w:color="auto"/>
              <w:right w:val="nil"/>
            </w:tcBorders>
            <w:noWrap/>
            <w:vAlign w:val="center"/>
          </w:tcPr>
          <w:p w14:paraId="425A12C2" w14:textId="77777777" w:rsidR="008D0DAB" w:rsidRPr="000F52C8" w:rsidRDefault="008D0DAB" w:rsidP="009B7B2A">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sidRPr="00C1358F">
              <w:rPr>
                <w:rFonts w:eastAsia="Times New Roman" w:cs="Arial"/>
                <w:b/>
                <w:bCs/>
                <w:color w:val="000000"/>
                <w:sz w:val="20"/>
                <w:szCs w:val="20"/>
                <w:lang w:eastAsia="en-AU"/>
              </w:rPr>
              <w:t>298,060</w:t>
            </w:r>
            <w:r w:rsidRPr="000F52C8">
              <w:rPr>
                <w:rFonts w:eastAsia="Times New Roman" w:cs="Arial"/>
                <w:b/>
                <w:bCs/>
                <w:color w:val="000000"/>
                <w:sz w:val="20"/>
                <w:szCs w:val="20"/>
                <w:lang w:eastAsia="en-AU"/>
              </w:rPr>
              <w:t>)</w:t>
            </w:r>
          </w:p>
        </w:tc>
        <w:tc>
          <w:tcPr>
            <w:tcW w:w="692" w:type="pct"/>
            <w:gridSpan w:val="2"/>
            <w:tcBorders>
              <w:top w:val="single" w:sz="4" w:space="0" w:color="auto"/>
              <w:left w:val="nil"/>
              <w:bottom w:val="single" w:sz="4" w:space="0" w:color="auto"/>
              <w:right w:val="nil"/>
            </w:tcBorders>
            <w:noWrap/>
            <w:vAlign w:val="center"/>
          </w:tcPr>
          <w:p w14:paraId="148E85D4" w14:textId="77777777" w:rsidR="008D0DAB" w:rsidRPr="000F52C8" w:rsidRDefault="008D0DAB" w:rsidP="009B7B2A">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sidRPr="00C1358F">
              <w:rPr>
                <w:rFonts w:eastAsia="Times New Roman" w:cs="Arial"/>
                <w:b/>
                <w:bCs/>
                <w:color w:val="000000"/>
                <w:sz w:val="20"/>
                <w:szCs w:val="20"/>
                <w:lang w:eastAsia="en-AU"/>
              </w:rPr>
              <w:t>298,060</w:t>
            </w:r>
            <w:r w:rsidRPr="000F52C8">
              <w:rPr>
                <w:rFonts w:eastAsia="Times New Roman" w:cs="Arial"/>
                <w:b/>
                <w:bCs/>
                <w:color w:val="000000"/>
                <w:sz w:val="20"/>
                <w:szCs w:val="20"/>
                <w:lang w:eastAsia="en-AU"/>
              </w:rPr>
              <w:t>)</w:t>
            </w:r>
          </w:p>
        </w:tc>
        <w:tc>
          <w:tcPr>
            <w:tcW w:w="567" w:type="pct"/>
            <w:tcBorders>
              <w:top w:val="single" w:sz="4" w:space="0" w:color="auto"/>
              <w:left w:val="nil"/>
              <w:bottom w:val="single" w:sz="4" w:space="0" w:color="auto"/>
              <w:right w:val="nil"/>
            </w:tcBorders>
            <w:noWrap/>
            <w:vAlign w:val="center"/>
          </w:tcPr>
          <w:p w14:paraId="3AB0D854" w14:textId="20E81EE6" w:rsidR="008D0DAB" w:rsidRPr="000F52C8" w:rsidRDefault="008D0DAB" w:rsidP="009B7B2A">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sidR="002741A3">
              <w:rPr>
                <w:rFonts w:eastAsia="Times New Roman" w:cs="Arial"/>
                <w:b/>
                <w:bCs/>
                <w:color w:val="000000"/>
                <w:sz w:val="20"/>
                <w:szCs w:val="20"/>
                <w:lang w:eastAsia="en-AU"/>
              </w:rPr>
              <w:t>25,508</w:t>
            </w:r>
            <w:r w:rsidRPr="000F52C8">
              <w:rPr>
                <w:rFonts w:eastAsia="Times New Roman" w:cs="Arial"/>
                <w:b/>
                <w:bCs/>
                <w:color w:val="000000"/>
                <w:sz w:val="20"/>
                <w:szCs w:val="20"/>
                <w:lang w:eastAsia="en-AU"/>
              </w:rPr>
              <w:t>)</w:t>
            </w:r>
          </w:p>
        </w:tc>
        <w:tc>
          <w:tcPr>
            <w:tcW w:w="617" w:type="pct"/>
            <w:tcBorders>
              <w:top w:val="single" w:sz="4" w:space="0" w:color="auto"/>
              <w:left w:val="nil"/>
              <w:bottom w:val="single" w:sz="4" w:space="0" w:color="auto"/>
              <w:right w:val="nil"/>
            </w:tcBorders>
            <w:noWrap/>
            <w:vAlign w:val="center"/>
          </w:tcPr>
          <w:p w14:paraId="2D67DED7" w14:textId="03F61A53" w:rsidR="008D0DAB" w:rsidRPr="000F52C8" w:rsidRDefault="008D0DAB" w:rsidP="009B7B2A">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sidR="00BA7960">
              <w:rPr>
                <w:rFonts w:eastAsia="Times New Roman" w:cs="Arial"/>
                <w:b/>
                <w:bCs/>
                <w:color w:val="000000"/>
                <w:sz w:val="20"/>
                <w:szCs w:val="20"/>
                <w:lang w:eastAsia="en-AU"/>
              </w:rPr>
              <w:t>267,450</w:t>
            </w:r>
            <w:r w:rsidRPr="000F52C8">
              <w:rPr>
                <w:rFonts w:eastAsia="Times New Roman" w:cs="Arial"/>
                <w:b/>
                <w:bCs/>
                <w:color w:val="000000"/>
                <w:sz w:val="20"/>
                <w:szCs w:val="20"/>
                <w:lang w:eastAsia="en-AU"/>
              </w:rPr>
              <w:t>)</w:t>
            </w:r>
          </w:p>
        </w:tc>
        <w:tc>
          <w:tcPr>
            <w:tcW w:w="595" w:type="pct"/>
            <w:tcBorders>
              <w:top w:val="single" w:sz="4" w:space="0" w:color="auto"/>
              <w:left w:val="nil"/>
              <w:bottom w:val="single" w:sz="4" w:space="0" w:color="auto"/>
              <w:right w:val="nil"/>
            </w:tcBorders>
            <w:noWrap/>
            <w:vAlign w:val="center"/>
          </w:tcPr>
          <w:p w14:paraId="04DCAD29" w14:textId="77777777" w:rsidR="008D0DAB" w:rsidRPr="000F52C8" w:rsidRDefault="008D0DAB" w:rsidP="009B7B2A">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Pr>
                <w:rFonts w:eastAsia="Times New Roman" w:cs="Arial"/>
                <w:b/>
                <w:bCs/>
                <w:color w:val="000000"/>
                <w:sz w:val="20"/>
                <w:szCs w:val="20"/>
                <w:lang w:eastAsia="en-AU"/>
              </w:rPr>
              <w:t>5,102</w:t>
            </w:r>
            <w:r w:rsidRPr="000F52C8">
              <w:rPr>
                <w:rFonts w:eastAsia="Times New Roman" w:cs="Arial"/>
                <w:b/>
                <w:bCs/>
                <w:color w:val="000000"/>
                <w:sz w:val="20"/>
                <w:szCs w:val="20"/>
                <w:lang w:eastAsia="en-AU"/>
              </w:rPr>
              <w:t>)</w:t>
            </w:r>
          </w:p>
        </w:tc>
      </w:tr>
      <w:tr w:rsidR="008D0DAB" w:rsidRPr="003C0D78" w14:paraId="483BB0EF" w14:textId="77777777" w:rsidTr="00AA3AC5">
        <w:trPr>
          <w:trHeight w:val="264"/>
        </w:trPr>
        <w:tc>
          <w:tcPr>
            <w:tcW w:w="1838" w:type="pct"/>
            <w:tcBorders>
              <w:top w:val="nil"/>
              <w:left w:val="nil"/>
              <w:bottom w:val="nil"/>
              <w:right w:val="nil"/>
            </w:tcBorders>
            <w:noWrap/>
            <w:vAlign w:val="bottom"/>
          </w:tcPr>
          <w:p w14:paraId="0AE113A1" w14:textId="77777777" w:rsidR="008D0DAB" w:rsidRPr="00F65403" w:rsidRDefault="008D0DAB" w:rsidP="009B7B2A">
            <w:pPr>
              <w:spacing w:after="0" w:line="240" w:lineRule="auto"/>
              <w:rPr>
                <w:rFonts w:eastAsia="Times New Roman" w:cs="Arial"/>
                <w:color w:val="000000"/>
                <w:sz w:val="20"/>
                <w:szCs w:val="20"/>
                <w:lang w:eastAsia="en-AU"/>
              </w:rPr>
            </w:pPr>
          </w:p>
        </w:tc>
        <w:tc>
          <w:tcPr>
            <w:tcW w:w="691" w:type="pct"/>
            <w:gridSpan w:val="2"/>
            <w:tcBorders>
              <w:top w:val="single" w:sz="4" w:space="0" w:color="auto"/>
              <w:left w:val="nil"/>
              <w:right w:val="nil"/>
            </w:tcBorders>
            <w:noWrap/>
          </w:tcPr>
          <w:p w14:paraId="77BAC620" w14:textId="77777777" w:rsidR="008D0DAB" w:rsidRPr="00C64A81" w:rsidRDefault="008D0DAB" w:rsidP="009B7B2A">
            <w:pPr>
              <w:tabs>
                <w:tab w:val="decimal" w:pos="871"/>
              </w:tabs>
              <w:spacing w:after="0" w:line="240" w:lineRule="auto"/>
              <w:rPr>
                <w:rFonts w:eastAsia="Times New Roman" w:cs="Arial"/>
                <w:color w:val="000000"/>
                <w:sz w:val="20"/>
                <w:szCs w:val="20"/>
                <w:lang w:eastAsia="en-AU"/>
              </w:rPr>
            </w:pPr>
          </w:p>
        </w:tc>
        <w:tc>
          <w:tcPr>
            <w:tcW w:w="692" w:type="pct"/>
            <w:gridSpan w:val="2"/>
            <w:tcBorders>
              <w:top w:val="single" w:sz="4" w:space="0" w:color="auto"/>
              <w:left w:val="nil"/>
              <w:right w:val="nil"/>
            </w:tcBorders>
            <w:noWrap/>
          </w:tcPr>
          <w:p w14:paraId="534FB422" w14:textId="77777777" w:rsidR="008D0DAB" w:rsidRPr="00730623" w:rsidRDefault="008D0DAB" w:rsidP="009B7B2A">
            <w:pPr>
              <w:tabs>
                <w:tab w:val="decimal" w:pos="871"/>
              </w:tabs>
              <w:spacing w:after="0" w:line="240" w:lineRule="auto"/>
              <w:rPr>
                <w:rFonts w:eastAsia="Times New Roman" w:cs="Arial"/>
                <w:color w:val="000000"/>
                <w:sz w:val="20"/>
                <w:szCs w:val="20"/>
                <w:lang w:eastAsia="en-AU"/>
              </w:rPr>
            </w:pPr>
          </w:p>
        </w:tc>
        <w:tc>
          <w:tcPr>
            <w:tcW w:w="567" w:type="pct"/>
            <w:tcBorders>
              <w:top w:val="single" w:sz="4" w:space="0" w:color="auto"/>
              <w:left w:val="nil"/>
              <w:right w:val="nil"/>
            </w:tcBorders>
            <w:noWrap/>
          </w:tcPr>
          <w:p w14:paraId="33BE5598" w14:textId="77777777" w:rsidR="008D0DAB" w:rsidRPr="00730623" w:rsidRDefault="008D0DAB" w:rsidP="009B7B2A">
            <w:pPr>
              <w:tabs>
                <w:tab w:val="decimal" w:pos="871"/>
              </w:tabs>
              <w:spacing w:after="0" w:line="240" w:lineRule="auto"/>
              <w:rPr>
                <w:rFonts w:eastAsia="Times New Roman" w:cs="Arial"/>
                <w:color w:val="000000"/>
                <w:sz w:val="20"/>
                <w:szCs w:val="20"/>
                <w:lang w:eastAsia="en-AU"/>
              </w:rPr>
            </w:pPr>
          </w:p>
        </w:tc>
        <w:tc>
          <w:tcPr>
            <w:tcW w:w="617" w:type="pct"/>
            <w:tcBorders>
              <w:top w:val="single" w:sz="4" w:space="0" w:color="auto"/>
              <w:left w:val="nil"/>
              <w:right w:val="nil"/>
            </w:tcBorders>
            <w:noWrap/>
          </w:tcPr>
          <w:p w14:paraId="27E66882" w14:textId="77777777" w:rsidR="008D0DAB" w:rsidRPr="00730623" w:rsidRDefault="008D0DAB" w:rsidP="009B7B2A">
            <w:pPr>
              <w:tabs>
                <w:tab w:val="decimal" w:pos="871"/>
              </w:tabs>
              <w:spacing w:after="0" w:line="240" w:lineRule="auto"/>
              <w:rPr>
                <w:rFonts w:eastAsia="Times New Roman" w:cs="Arial"/>
                <w:color w:val="000000"/>
                <w:sz w:val="20"/>
                <w:szCs w:val="20"/>
                <w:lang w:eastAsia="en-AU"/>
              </w:rPr>
            </w:pPr>
          </w:p>
        </w:tc>
        <w:tc>
          <w:tcPr>
            <w:tcW w:w="595" w:type="pct"/>
            <w:tcBorders>
              <w:top w:val="single" w:sz="4" w:space="0" w:color="auto"/>
              <w:left w:val="nil"/>
              <w:right w:val="nil"/>
            </w:tcBorders>
            <w:noWrap/>
          </w:tcPr>
          <w:p w14:paraId="4D441738" w14:textId="77777777" w:rsidR="008D0DAB" w:rsidRPr="00730623" w:rsidRDefault="008D0DAB" w:rsidP="009B7B2A">
            <w:pPr>
              <w:tabs>
                <w:tab w:val="decimal" w:pos="871"/>
              </w:tabs>
              <w:spacing w:after="0" w:line="240" w:lineRule="auto"/>
              <w:rPr>
                <w:rFonts w:eastAsia="Times New Roman" w:cs="Arial"/>
                <w:color w:val="000000"/>
                <w:sz w:val="20"/>
                <w:szCs w:val="20"/>
                <w:lang w:eastAsia="en-AU"/>
              </w:rPr>
            </w:pPr>
          </w:p>
        </w:tc>
      </w:tr>
      <w:tr w:rsidR="008D0DAB" w:rsidRPr="003C0D78" w14:paraId="3C053FC2" w14:textId="77777777" w:rsidTr="00AA3AC5">
        <w:trPr>
          <w:trHeight w:val="264"/>
        </w:trPr>
        <w:tc>
          <w:tcPr>
            <w:tcW w:w="1838" w:type="pct"/>
            <w:tcBorders>
              <w:top w:val="nil"/>
              <w:left w:val="nil"/>
              <w:bottom w:val="nil"/>
              <w:right w:val="nil"/>
            </w:tcBorders>
            <w:noWrap/>
            <w:vAlign w:val="bottom"/>
            <w:hideMark/>
          </w:tcPr>
          <w:p w14:paraId="34FFA8C0"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liabilities</w:t>
            </w:r>
          </w:p>
        </w:tc>
        <w:tc>
          <w:tcPr>
            <w:tcW w:w="691" w:type="pct"/>
            <w:gridSpan w:val="2"/>
            <w:tcBorders>
              <w:left w:val="nil"/>
              <w:right w:val="nil"/>
            </w:tcBorders>
            <w:noWrap/>
            <w:hideMark/>
          </w:tcPr>
          <w:p w14:paraId="4EF9A51E"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(752)</w:t>
            </w:r>
          </w:p>
        </w:tc>
        <w:tc>
          <w:tcPr>
            <w:tcW w:w="692" w:type="pct"/>
            <w:gridSpan w:val="2"/>
            <w:tcBorders>
              <w:left w:val="nil"/>
              <w:right w:val="nil"/>
            </w:tcBorders>
            <w:noWrap/>
            <w:hideMark/>
          </w:tcPr>
          <w:p w14:paraId="5A4041CB"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(752)</w:t>
            </w:r>
          </w:p>
        </w:tc>
        <w:tc>
          <w:tcPr>
            <w:tcW w:w="567" w:type="pct"/>
            <w:tcBorders>
              <w:left w:val="nil"/>
              <w:right w:val="nil"/>
            </w:tcBorders>
            <w:noWrap/>
          </w:tcPr>
          <w:p w14:paraId="6E28F70A"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(752)</w:t>
            </w:r>
          </w:p>
        </w:tc>
        <w:tc>
          <w:tcPr>
            <w:tcW w:w="617" w:type="pct"/>
            <w:tcBorders>
              <w:left w:val="nil"/>
              <w:right w:val="nil"/>
            </w:tcBorders>
            <w:noWrap/>
            <w:hideMark/>
          </w:tcPr>
          <w:p w14:paraId="349A22DC"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sidRPr="00730623">
              <w:rPr>
                <w:rFonts w:eastAsia="Times New Roman" w:cs="Arial"/>
                <w:color w:val="000000"/>
                <w:sz w:val="20"/>
                <w:szCs w:val="20"/>
                <w:lang w:eastAsia="en-AU"/>
              </w:rPr>
              <w:t>-</w:t>
            </w:r>
          </w:p>
        </w:tc>
        <w:tc>
          <w:tcPr>
            <w:tcW w:w="595" w:type="pct"/>
            <w:tcBorders>
              <w:left w:val="nil"/>
              <w:right w:val="nil"/>
            </w:tcBorders>
            <w:noWrap/>
            <w:hideMark/>
          </w:tcPr>
          <w:p w14:paraId="18381EE0"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sidRPr="00730623">
              <w:rPr>
                <w:rFonts w:eastAsia="Times New Roman" w:cs="Arial"/>
                <w:color w:val="000000"/>
                <w:sz w:val="20"/>
                <w:szCs w:val="20"/>
                <w:lang w:eastAsia="en-AU"/>
              </w:rPr>
              <w:t>-</w:t>
            </w:r>
          </w:p>
        </w:tc>
      </w:tr>
      <w:tr w:rsidR="00121A1F" w:rsidRPr="003C0D78" w14:paraId="5BC717FC" w14:textId="77777777" w:rsidTr="00AA3AC5">
        <w:trPr>
          <w:trHeight w:val="264"/>
        </w:trPr>
        <w:tc>
          <w:tcPr>
            <w:tcW w:w="1838" w:type="pct"/>
            <w:tcBorders>
              <w:top w:val="nil"/>
              <w:left w:val="nil"/>
              <w:bottom w:val="nil"/>
              <w:right w:val="nil"/>
            </w:tcBorders>
            <w:noWrap/>
            <w:vAlign w:val="bottom"/>
            <w:hideMark/>
          </w:tcPr>
          <w:p w14:paraId="627B191E" w14:textId="77777777" w:rsidR="00121A1F" w:rsidRPr="00F65403" w:rsidRDefault="00121A1F" w:rsidP="00121A1F">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91" w:type="pct"/>
            <w:gridSpan w:val="2"/>
            <w:tcBorders>
              <w:top w:val="single" w:sz="4" w:space="0" w:color="auto"/>
              <w:left w:val="nil"/>
              <w:bottom w:val="single" w:sz="4" w:space="0" w:color="auto"/>
              <w:right w:val="nil"/>
            </w:tcBorders>
            <w:noWrap/>
          </w:tcPr>
          <w:p w14:paraId="277F89C3" w14:textId="77777777" w:rsidR="00121A1F" w:rsidRPr="00730623" w:rsidRDefault="00121A1F" w:rsidP="00121A1F">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(298,812)</w:t>
            </w:r>
          </w:p>
        </w:tc>
        <w:tc>
          <w:tcPr>
            <w:tcW w:w="692" w:type="pct"/>
            <w:gridSpan w:val="2"/>
            <w:tcBorders>
              <w:top w:val="single" w:sz="4" w:space="0" w:color="auto"/>
              <w:left w:val="nil"/>
              <w:bottom w:val="single" w:sz="4" w:space="0" w:color="auto"/>
              <w:right w:val="nil"/>
            </w:tcBorders>
            <w:noWrap/>
          </w:tcPr>
          <w:p w14:paraId="62D4CCF6" w14:textId="77777777" w:rsidR="00121A1F" w:rsidRPr="00730623" w:rsidRDefault="00121A1F" w:rsidP="00121A1F">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(298,812)</w:t>
            </w:r>
          </w:p>
        </w:tc>
        <w:tc>
          <w:tcPr>
            <w:tcW w:w="567" w:type="pct"/>
            <w:tcBorders>
              <w:top w:val="single" w:sz="4" w:space="0" w:color="auto"/>
              <w:left w:val="nil"/>
              <w:bottom w:val="single" w:sz="4" w:space="0" w:color="auto"/>
              <w:right w:val="nil"/>
            </w:tcBorders>
            <w:noWrap/>
          </w:tcPr>
          <w:p w14:paraId="18C7F261" w14:textId="77777777" w:rsidR="00121A1F" w:rsidRPr="00730623" w:rsidRDefault="00121A1F" w:rsidP="00121A1F">
            <w:pPr>
              <w:tabs>
                <w:tab w:val="decimal" w:pos="871"/>
              </w:tabs>
              <w:spacing w:after="0" w:line="240" w:lineRule="auto"/>
              <w:rPr>
                <w:rFonts w:eastAsia="Times New Roman" w:cs="Arial"/>
                <w:b/>
                <w:bCs/>
                <w:color w:val="000000"/>
                <w:sz w:val="20"/>
                <w:szCs w:val="20"/>
                <w:lang w:eastAsia="en-AU"/>
              </w:rPr>
            </w:pPr>
            <w:r w:rsidRPr="00730623">
              <w:rPr>
                <w:rFonts w:eastAsia="Times New Roman" w:cs="Arial"/>
                <w:b/>
                <w:bCs/>
                <w:color w:val="000000"/>
                <w:sz w:val="20"/>
                <w:szCs w:val="20"/>
                <w:lang w:eastAsia="en-AU"/>
              </w:rPr>
              <w:t>(</w:t>
            </w:r>
            <w:r>
              <w:rPr>
                <w:rFonts w:eastAsia="Times New Roman" w:cs="Arial"/>
                <w:b/>
                <w:bCs/>
                <w:color w:val="000000"/>
                <w:sz w:val="20"/>
                <w:szCs w:val="20"/>
                <w:lang w:eastAsia="en-AU"/>
              </w:rPr>
              <w:t>26,260</w:t>
            </w:r>
            <w:r w:rsidRPr="00730623">
              <w:rPr>
                <w:rFonts w:eastAsia="Times New Roman" w:cs="Arial"/>
                <w:b/>
                <w:bCs/>
                <w:color w:val="000000"/>
                <w:sz w:val="20"/>
                <w:szCs w:val="20"/>
                <w:lang w:eastAsia="en-AU"/>
              </w:rPr>
              <w:t>)</w:t>
            </w:r>
          </w:p>
        </w:tc>
        <w:tc>
          <w:tcPr>
            <w:tcW w:w="617" w:type="pct"/>
            <w:tcBorders>
              <w:top w:val="single" w:sz="4" w:space="0" w:color="auto"/>
              <w:left w:val="nil"/>
              <w:bottom w:val="single" w:sz="4" w:space="0" w:color="auto"/>
              <w:right w:val="nil"/>
            </w:tcBorders>
            <w:noWrap/>
            <w:vAlign w:val="center"/>
          </w:tcPr>
          <w:p w14:paraId="49AA3420" w14:textId="142D40EB" w:rsidR="00121A1F" w:rsidRPr="00730623" w:rsidRDefault="00121A1F" w:rsidP="00121A1F">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Pr>
                <w:rFonts w:eastAsia="Times New Roman" w:cs="Arial"/>
                <w:b/>
                <w:bCs/>
                <w:color w:val="000000"/>
                <w:sz w:val="20"/>
                <w:szCs w:val="20"/>
                <w:lang w:eastAsia="en-AU"/>
              </w:rPr>
              <w:t>267,450</w:t>
            </w:r>
            <w:r w:rsidRPr="000F52C8">
              <w:rPr>
                <w:rFonts w:eastAsia="Times New Roman" w:cs="Arial"/>
                <w:b/>
                <w:bCs/>
                <w:color w:val="000000"/>
                <w:sz w:val="20"/>
                <w:szCs w:val="20"/>
                <w:lang w:eastAsia="en-AU"/>
              </w:rPr>
              <w:t>)</w:t>
            </w:r>
          </w:p>
        </w:tc>
        <w:tc>
          <w:tcPr>
            <w:tcW w:w="595" w:type="pct"/>
            <w:tcBorders>
              <w:top w:val="single" w:sz="4" w:space="0" w:color="auto"/>
              <w:left w:val="nil"/>
              <w:bottom w:val="single" w:sz="4" w:space="0" w:color="auto"/>
              <w:right w:val="nil"/>
            </w:tcBorders>
            <w:noWrap/>
            <w:vAlign w:val="center"/>
          </w:tcPr>
          <w:p w14:paraId="219E9501" w14:textId="27203471" w:rsidR="00121A1F" w:rsidRPr="00730623" w:rsidRDefault="00121A1F" w:rsidP="00121A1F">
            <w:pPr>
              <w:tabs>
                <w:tab w:val="decimal" w:pos="871"/>
              </w:tabs>
              <w:spacing w:after="0" w:line="240" w:lineRule="auto"/>
              <w:rPr>
                <w:rFonts w:eastAsia="Times New Roman" w:cs="Arial"/>
                <w:b/>
                <w:bCs/>
                <w:color w:val="000000"/>
                <w:sz w:val="20"/>
                <w:szCs w:val="20"/>
                <w:lang w:eastAsia="en-AU"/>
              </w:rPr>
            </w:pPr>
            <w:r w:rsidRPr="000F52C8">
              <w:rPr>
                <w:rFonts w:eastAsia="Times New Roman" w:cs="Arial"/>
                <w:b/>
                <w:bCs/>
                <w:color w:val="000000"/>
                <w:sz w:val="20"/>
                <w:szCs w:val="20"/>
                <w:lang w:eastAsia="en-AU"/>
              </w:rPr>
              <w:t>(</w:t>
            </w:r>
            <w:r>
              <w:rPr>
                <w:rFonts w:eastAsia="Times New Roman" w:cs="Arial"/>
                <w:b/>
                <w:bCs/>
                <w:color w:val="000000"/>
                <w:sz w:val="20"/>
                <w:szCs w:val="20"/>
                <w:lang w:eastAsia="en-AU"/>
              </w:rPr>
              <w:t>5,102</w:t>
            </w:r>
            <w:r w:rsidRPr="000F52C8">
              <w:rPr>
                <w:rFonts w:eastAsia="Times New Roman" w:cs="Arial"/>
                <w:b/>
                <w:bCs/>
                <w:color w:val="000000"/>
                <w:sz w:val="20"/>
                <w:szCs w:val="20"/>
                <w:lang w:eastAsia="en-AU"/>
              </w:rPr>
              <w:t>)</w:t>
            </w:r>
          </w:p>
        </w:tc>
      </w:tr>
    </w:tbl>
    <w:p w14:paraId="7FF00977" w14:textId="77777777" w:rsidR="008D0DAB" w:rsidRDefault="008D0DAB" w:rsidP="008D0DAB">
      <w:pPr>
        <w:pStyle w:val="BodyText"/>
        <w:rPr>
          <w:szCs w:val="24"/>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117"/>
        <w:gridCol w:w="669"/>
        <w:gridCol w:w="466"/>
        <w:gridCol w:w="948"/>
        <w:gridCol w:w="403"/>
        <w:gridCol w:w="1060"/>
        <w:gridCol w:w="1276"/>
        <w:gridCol w:w="1087"/>
      </w:tblGrid>
      <w:tr w:rsidR="008D0DAB" w:rsidRPr="003C0D78" w14:paraId="00E9937A" w14:textId="77777777" w:rsidTr="413EB596">
        <w:trPr>
          <w:trHeight w:val="264"/>
        </w:trPr>
        <w:tc>
          <w:tcPr>
            <w:tcW w:w="1727" w:type="pct"/>
            <w:tcBorders>
              <w:top w:val="nil"/>
              <w:left w:val="nil"/>
              <w:bottom w:val="nil"/>
              <w:right w:val="nil"/>
            </w:tcBorders>
            <w:noWrap/>
            <w:vAlign w:val="bottom"/>
            <w:hideMark/>
          </w:tcPr>
          <w:p w14:paraId="36A82227" w14:textId="77777777" w:rsidR="008D0DAB" w:rsidRPr="00F65403" w:rsidRDefault="008D0DAB" w:rsidP="009B7B2A">
            <w:pPr>
              <w:spacing w:after="0" w:line="240" w:lineRule="auto"/>
              <w:rPr>
                <w:rFonts w:eastAsia="Times New Roman" w:cs="Arial"/>
                <w:sz w:val="20"/>
                <w:szCs w:val="20"/>
                <w:lang w:eastAsia="en-AU"/>
              </w:rPr>
            </w:pPr>
          </w:p>
        </w:tc>
        <w:tc>
          <w:tcPr>
            <w:tcW w:w="371" w:type="pct"/>
            <w:tcBorders>
              <w:top w:val="nil"/>
              <w:left w:val="nil"/>
              <w:bottom w:val="nil"/>
              <w:right w:val="nil"/>
            </w:tcBorders>
            <w:noWrap/>
            <w:vAlign w:val="bottom"/>
            <w:hideMark/>
          </w:tcPr>
          <w:p w14:paraId="6B32F8D3" w14:textId="77777777" w:rsidR="008D0DAB" w:rsidRPr="00F65403" w:rsidRDefault="008D0DAB" w:rsidP="009B7B2A">
            <w:pPr>
              <w:spacing w:after="0" w:line="240" w:lineRule="auto"/>
              <w:rPr>
                <w:rFonts w:eastAsia="Times New Roman" w:cs="Arial"/>
                <w:sz w:val="20"/>
                <w:szCs w:val="20"/>
                <w:lang w:eastAsia="en-AU"/>
              </w:rPr>
            </w:pPr>
          </w:p>
        </w:tc>
        <w:tc>
          <w:tcPr>
            <w:tcW w:w="783" w:type="pct"/>
            <w:gridSpan w:val="2"/>
            <w:tcBorders>
              <w:top w:val="nil"/>
              <w:left w:val="nil"/>
              <w:bottom w:val="nil"/>
              <w:right w:val="nil"/>
            </w:tcBorders>
            <w:noWrap/>
            <w:vAlign w:val="bottom"/>
            <w:hideMark/>
          </w:tcPr>
          <w:p w14:paraId="1D809B82" w14:textId="77777777" w:rsidR="008D0DAB" w:rsidRPr="00F65403" w:rsidRDefault="008D0DAB" w:rsidP="009B7B2A">
            <w:pPr>
              <w:spacing w:after="0" w:line="240" w:lineRule="auto"/>
              <w:rPr>
                <w:rFonts w:eastAsia="Times New Roman" w:cs="Arial"/>
                <w:sz w:val="20"/>
                <w:szCs w:val="20"/>
                <w:lang w:eastAsia="en-AU"/>
              </w:rPr>
            </w:pPr>
          </w:p>
        </w:tc>
        <w:tc>
          <w:tcPr>
            <w:tcW w:w="2119" w:type="pct"/>
            <w:gridSpan w:val="4"/>
            <w:tcBorders>
              <w:top w:val="nil"/>
              <w:left w:val="nil"/>
              <w:bottom w:val="nil"/>
              <w:right w:val="nil"/>
            </w:tcBorders>
            <w:noWrap/>
            <w:vAlign w:val="bottom"/>
            <w:hideMark/>
          </w:tcPr>
          <w:p w14:paraId="69DA909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8D0DAB" w:rsidRPr="003C0D78" w14:paraId="6D2E06B4" w14:textId="77777777" w:rsidTr="413EB596">
        <w:trPr>
          <w:trHeight w:val="528"/>
        </w:trPr>
        <w:tc>
          <w:tcPr>
            <w:tcW w:w="1727" w:type="pct"/>
            <w:tcBorders>
              <w:top w:val="nil"/>
              <w:left w:val="nil"/>
              <w:bottom w:val="nil"/>
              <w:right w:val="nil"/>
            </w:tcBorders>
            <w:noWrap/>
            <w:vAlign w:val="bottom"/>
            <w:hideMark/>
          </w:tcPr>
          <w:p w14:paraId="1BCB5FA7"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w:t>
            </w:r>
            <w:r>
              <w:rPr>
                <w:rFonts w:eastAsia="Times New Roman" w:cs="Arial"/>
                <w:b/>
                <w:color w:val="000000"/>
                <w:sz w:val="20"/>
                <w:szCs w:val="20"/>
                <w:lang w:eastAsia="en-AU"/>
              </w:rPr>
              <w:t>4</w:t>
            </w:r>
          </w:p>
        </w:tc>
        <w:tc>
          <w:tcPr>
            <w:tcW w:w="629" w:type="pct"/>
            <w:gridSpan w:val="2"/>
            <w:tcBorders>
              <w:top w:val="nil"/>
              <w:left w:val="nil"/>
              <w:bottom w:val="nil"/>
              <w:right w:val="nil"/>
            </w:tcBorders>
            <w:vAlign w:val="bottom"/>
            <w:hideMark/>
          </w:tcPr>
          <w:p w14:paraId="6421433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748" w:type="pct"/>
            <w:gridSpan w:val="2"/>
            <w:tcBorders>
              <w:top w:val="nil"/>
              <w:left w:val="nil"/>
              <w:bottom w:val="nil"/>
              <w:right w:val="nil"/>
            </w:tcBorders>
            <w:vAlign w:val="bottom"/>
            <w:hideMark/>
          </w:tcPr>
          <w:p w14:paraId="6B1C672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587" w:type="pct"/>
            <w:tcBorders>
              <w:top w:val="nil"/>
              <w:left w:val="nil"/>
              <w:bottom w:val="nil"/>
              <w:right w:val="nil"/>
            </w:tcBorders>
            <w:vAlign w:val="bottom"/>
            <w:hideMark/>
          </w:tcPr>
          <w:p w14:paraId="3BAD9D4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707" w:type="pct"/>
            <w:tcBorders>
              <w:top w:val="nil"/>
              <w:left w:val="nil"/>
              <w:bottom w:val="nil"/>
              <w:right w:val="nil"/>
            </w:tcBorders>
            <w:vAlign w:val="bottom"/>
            <w:hideMark/>
          </w:tcPr>
          <w:p w14:paraId="0E76A40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Pr>
                <w:rFonts w:eastAsia="Times New Roman" w:cs="Arial"/>
                <w:b/>
                <w:color w:val="000000"/>
                <w:sz w:val="20"/>
                <w:szCs w:val="20"/>
                <w:lang w:eastAsia="en-AU"/>
              </w:rPr>
              <w:t>5</w:t>
            </w:r>
            <w:r w:rsidRPr="00F65403">
              <w:rPr>
                <w:rFonts w:eastAsia="Times New Roman" w:cs="Arial"/>
                <w:b/>
                <w:color w:val="000000"/>
                <w:sz w:val="20"/>
                <w:szCs w:val="20"/>
                <w:lang w:eastAsia="en-AU"/>
              </w:rPr>
              <w:t xml:space="preserve"> years</w:t>
            </w:r>
          </w:p>
        </w:tc>
        <w:tc>
          <w:tcPr>
            <w:tcW w:w="602" w:type="pct"/>
            <w:tcBorders>
              <w:top w:val="nil"/>
              <w:left w:val="nil"/>
              <w:bottom w:val="nil"/>
              <w:right w:val="nil"/>
            </w:tcBorders>
            <w:vAlign w:val="bottom"/>
            <w:hideMark/>
          </w:tcPr>
          <w:p w14:paraId="78804D9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8D0DAB" w:rsidRPr="003C0D78" w14:paraId="39FCE733" w14:textId="77777777" w:rsidTr="413EB596">
        <w:trPr>
          <w:trHeight w:val="264"/>
        </w:trPr>
        <w:tc>
          <w:tcPr>
            <w:tcW w:w="1727" w:type="pct"/>
            <w:tcBorders>
              <w:top w:val="nil"/>
              <w:left w:val="nil"/>
              <w:bottom w:val="nil"/>
              <w:right w:val="nil"/>
            </w:tcBorders>
            <w:noWrap/>
            <w:vAlign w:val="bottom"/>
            <w:hideMark/>
          </w:tcPr>
          <w:p w14:paraId="19C407AD"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629" w:type="pct"/>
            <w:gridSpan w:val="2"/>
            <w:tcBorders>
              <w:top w:val="nil"/>
              <w:left w:val="nil"/>
              <w:bottom w:val="nil"/>
              <w:right w:val="nil"/>
            </w:tcBorders>
            <w:noWrap/>
            <w:vAlign w:val="bottom"/>
            <w:hideMark/>
          </w:tcPr>
          <w:p w14:paraId="10673B1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48" w:type="pct"/>
            <w:gridSpan w:val="2"/>
            <w:tcBorders>
              <w:top w:val="nil"/>
              <w:left w:val="nil"/>
              <w:bottom w:val="nil"/>
              <w:right w:val="nil"/>
            </w:tcBorders>
            <w:noWrap/>
            <w:vAlign w:val="bottom"/>
            <w:hideMark/>
          </w:tcPr>
          <w:p w14:paraId="635185A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7" w:type="pct"/>
            <w:tcBorders>
              <w:top w:val="nil"/>
              <w:left w:val="nil"/>
              <w:bottom w:val="nil"/>
              <w:right w:val="nil"/>
            </w:tcBorders>
            <w:noWrap/>
            <w:vAlign w:val="bottom"/>
            <w:hideMark/>
          </w:tcPr>
          <w:p w14:paraId="4981B51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07" w:type="pct"/>
            <w:tcBorders>
              <w:top w:val="nil"/>
              <w:left w:val="nil"/>
              <w:bottom w:val="nil"/>
              <w:right w:val="nil"/>
            </w:tcBorders>
            <w:noWrap/>
            <w:vAlign w:val="bottom"/>
            <w:hideMark/>
          </w:tcPr>
          <w:p w14:paraId="100CB6C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02" w:type="pct"/>
            <w:tcBorders>
              <w:top w:val="nil"/>
              <w:left w:val="nil"/>
              <w:bottom w:val="nil"/>
              <w:right w:val="nil"/>
            </w:tcBorders>
            <w:noWrap/>
            <w:vAlign w:val="bottom"/>
            <w:hideMark/>
          </w:tcPr>
          <w:p w14:paraId="52CDBDF3"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3C0D78" w14:paraId="5C0585F1" w14:textId="77777777" w:rsidTr="00E326C0">
        <w:trPr>
          <w:trHeight w:val="300"/>
        </w:trPr>
        <w:tc>
          <w:tcPr>
            <w:tcW w:w="1727" w:type="pct"/>
            <w:tcBorders>
              <w:top w:val="nil"/>
              <w:left w:val="nil"/>
              <w:bottom w:val="nil"/>
              <w:right w:val="nil"/>
            </w:tcBorders>
            <w:noWrap/>
            <w:vAlign w:val="bottom"/>
            <w:hideMark/>
          </w:tcPr>
          <w:p w14:paraId="363E53CA"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Pr>
                <w:rFonts w:eastAsia="Times New Roman" w:cs="Arial"/>
                <w:color w:val="000000"/>
                <w:sz w:val="20"/>
                <w:szCs w:val="20"/>
                <w:lang w:eastAsia="en-AU"/>
              </w:rPr>
              <w:t>and other payables</w:t>
            </w:r>
          </w:p>
        </w:tc>
        <w:tc>
          <w:tcPr>
            <w:tcW w:w="629" w:type="pct"/>
            <w:gridSpan w:val="2"/>
            <w:tcBorders>
              <w:top w:val="nil"/>
              <w:left w:val="nil"/>
              <w:bottom w:val="single" w:sz="4" w:space="0" w:color="auto"/>
              <w:right w:val="nil"/>
            </w:tcBorders>
            <w:noWrap/>
            <w:hideMark/>
          </w:tcPr>
          <w:p w14:paraId="10213212"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(73,125)</w:t>
            </w:r>
          </w:p>
        </w:tc>
        <w:tc>
          <w:tcPr>
            <w:tcW w:w="748" w:type="pct"/>
            <w:gridSpan w:val="2"/>
            <w:tcBorders>
              <w:top w:val="nil"/>
              <w:left w:val="nil"/>
              <w:bottom w:val="single" w:sz="4" w:space="0" w:color="auto"/>
              <w:right w:val="nil"/>
            </w:tcBorders>
            <w:noWrap/>
            <w:hideMark/>
          </w:tcPr>
          <w:p w14:paraId="648A8D2A"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(73,125)</w:t>
            </w:r>
          </w:p>
        </w:tc>
        <w:tc>
          <w:tcPr>
            <w:tcW w:w="587" w:type="pct"/>
            <w:tcBorders>
              <w:top w:val="nil"/>
              <w:left w:val="nil"/>
              <w:bottom w:val="single" w:sz="4" w:space="0" w:color="auto"/>
              <w:right w:val="nil"/>
            </w:tcBorders>
            <w:noWrap/>
          </w:tcPr>
          <w:p w14:paraId="3256800A"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(73,125)</w:t>
            </w:r>
          </w:p>
        </w:tc>
        <w:tc>
          <w:tcPr>
            <w:tcW w:w="707" w:type="pct"/>
            <w:tcBorders>
              <w:top w:val="nil"/>
              <w:left w:val="nil"/>
              <w:bottom w:val="single" w:sz="4" w:space="0" w:color="auto"/>
              <w:right w:val="nil"/>
            </w:tcBorders>
            <w:noWrap/>
            <w:hideMark/>
          </w:tcPr>
          <w:p w14:paraId="3B7ADC2B"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sidRPr="003C4101">
              <w:rPr>
                <w:rFonts w:eastAsia="Times New Roman" w:cs="Arial"/>
                <w:color w:val="000000"/>
                <w:sz w:val="20"/>
                <w:szCs w:val="20"/>
                <w:lang w:eastAsia="en-AU"/>
              </w:rPr>
              <w:t>-</w:t>
            </w:r>
          </w:p>
        </w:tc>
        <w:tc>
          <w:tcPr>
            <w:tcW w:w="602" w:type="pct"/>
            <w:tcBorders>
              <w:top w:val="nil"/>
              <w:left w:val="nil"/>
              <w:bottom w:val="single" w:sz="4" w:space="0" w:color="auto"/>
              <w:right w:val="nil"/>
            </w:tcBorders>
            <w:noWrap/>
            <w:hideMark/>
          </w:tcPr>
          <w:p w14:paraId="735D43F8"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sidRPr="003C4101">
              <w:rPr>
                <w:rFonts w:eastAsia="Times New Roman" w:cs="Arial"/>
                <w:color w:val="000000"/>
                <w:sz w:val="20"/>
                <w:szCs w:val="20"/>
                <w:lang w:eastAsia="en-AU"/>
              </w:rPr>
              <w:t>-</w:t>
            </w:r>
          </w:p>
        </w:tc>
      </w:tr>
      <w:tr w:rsidR="008D0DAB" w:rsidRPr="003C0D78" w14:paraId="142ADE08" w14:textId="77777777" w:rsidTr="00E326C0">
        <w:trPr>
          <w:trHeight w:val="300"/>
        </w:trPr>
        <w:tc>
          <w:tcPr>
            <w:tcW w:w="1727" w:type="pct"/>
            <w:tcBorders>
              <w:top w:val="nil"/>
              <w:left w:val="nil"/>
              <w:bottom w:val="nil"/>
              <w:right w:val="nil"/>
            </w:tcBorders>
            <w:noWrap/>
            <w:vAlign w:val="bottom"/>
          </w:tcPr>
          <w:p w14:paraId="5AF04A56"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b/>
                <w:bCs/>
                <w:color w:val="000000"/>
                <w:sz w:val="20"/>
                <w:szCs w:val="20"/>
                <w:lang w:eastAsia="en-AU"/>
              </w:rPr>
              <w:t>Total non-derivative financial liabilities</w:t>
            </w:r>
          </w:p>
        </w:tc>
        <w:tc>
          <w:tcPr>
            <w:tcW w:w="629" w:type="pct"/>
            <w:gridSpan w:val="2"/>
            <w:tcBorders>
              <w:top w:val="single" w:sz="4" w:space="0" w:color="auto"/>
              <w:left w:val="nil"/>
              <w:bottom w:val="single" w:sz="4" w:space="0" w:color="auto"/>
              <w:right w:val="nil"/>
            </w:tcBorders>
            <w:noWrap/>
            <w:vAlign w:val="center"/>
          </w:tcPr>
          <w:p w14:paraId="4F60B2A3" w14:textId="77777777" w:rsidR="008D0DAB" w:rsidRPr="000F52C8" w:rsidRDefault="008D0DAB" w:rsidP="009B7B2A">
            <w:pPr>
              <w:tabs>
                <w:tab w:val="decimal" w:pos="871"/>
              </w:tabs>
              <w:spacing w:after="0" w:line="240" w:lineRule="auto"/>
              <w:jc w:val="center"/>
              <w:rPr>
                <w:rFonts w:eastAsia="Times New Roman" w:cs="Arial"/>
                <w:color w:val="000000"/>
                <w:sz w:val="20"/>
                <w:szCs w:val="20"/>
                <w:lang w:eastAsia="en-AU"/>
              </w:rPr>
            </w:pPr>
            <w:r w:rsidRPr="00C1358F">
              <w:rPr>
                <w:rFonts w:eastAsia="Times New Roman" w:cs="Arial"/>
                <w:b/>
                <w:bCs/>
                <w:color w:val="000000"/>
                <w:sz w:val="20"/>
                <w:szCs w:val="20"/>
                <w:lang w:eastAsia="en-AU"/>
              </w:rPr>
              <w:t>(73,125)</w:t>
            </w:r>
          </w:p>
        </w:tc>
        <w:tc>
          <w:tcPr>
            <w:tcW w:w="748" w:type="pct"/>
            <w:gridSpan w:val="2"/>
            <w:tcBorders>
              <w:top w:val="single" w:sz="4" w:space="0" w:color="auto"/>
              <w:left w:val="nil"/>
              <w:bottom w:val="single" w:sz="4" w:space="0" w:color="auto"/>
              <w:right w:val="nil"/>
            </w:tcBorders>
            <w:noWrap/>
            <w:vAlign w:val="center"/>
          </w:tcPr>
          <w:p w14:paraId="4BB1F88C" w14:textId="77777777" w:rsidR="008D0DAB" w:rsidRPr="000F52C8" w:rsidRDefault="008D0DAB" w:rsidP="009B7B2A">
            <w:pPr>
              <w:tabs>
                <w:tab w:val="decimal" w:pos="871"/>
              </w:tabs>
              <w:spacing w:after="0" w:line="240" w:lineRule="auto"/>
              <w:jc w:val="center"/>
              <w:rPr>
                <w:rFonts w:eastAsia="Times New Roman" w:cs="Arial"/>
                <w:color w:val="000000"/>
                <w:sz w:val="20"/>
                <w:szCs w:val="20"/>
                <w:lang w:eastAsia="en-AU"/>
              </w:rPr>
            </w:pPr>
            <w:r w:rsidRPr="00C1358F">
              <w:rPr>
                <w:rFonts w:eastAsia="Times New Roman" w:cs="Arial"/>
                <w:b/>
                <w:bCs/>
                <w:color w:val="000000"/>
                <w:sz w:val="20"/>
                <w:szCs w:val="20"/>
                <w:lang w:eastAsia="en-AU"/>
              </w:rPr>
              <w:t>(73,125)</w:t>
            </w:r>
          </w:p>
        </w:tc>
        <w:tc>
          <w:tcPr>
            <w:tcW w:w="587" w:type="pct"/>
            <w:tcBorders>
              <w:top w:val="single" w:sz="4" w:space="0" w:color="auto"/>
              <w:left w:val="nil"/>
              <w:bottom w:val="single" w:sz="4" w:space="0" w:color="auto"/>
              <w:right w:val="nil"/>
            </w:tcBorders>
            <w:noWrap/>
            <w:vAlign w:val="center"/>
          </w:tcPr>
          <w:p w14:paraId="0598EAD4" w14:textId="77777777" w:rsidR="008D0DAB" w:rsidRPr="000F52C8" w:rsidRDefault="008D0DAB" w:rsidP="009B7B2A">
            <w:pPr>
              <w:tabs>
                <w:tab w:val="decimal" w:pos="871"/>
              </w:tabs>
              <w:spacing w:after="0" w:line="240" w:lineRule="auto"/>
              <w:jc w:val="center"/>
              <w:rPr>
                <w:rFonts w:eastAsia="Times New Roman" w:cs="Arial"/>
                <w:color w:val="000000"/>
                <w:sz w:val="20"/>
                <w:szCs w:val="20"/>
                <w:lang w:eastAsia="en-AU"/>
              </w:rPr>
            </w:pPr>
            <w:r w:rsidRPr="00C1358F">
              <w:rPr>
                <w:rFonts w:eastAsia="Times New Roman" w:cs="Arial"/>
                <w:b/>
                <w:bCs/>
                <w:color w:val="000000"/>
                <w:sz w:val="20"/>
                <w:szCs w:val="20"/>
                <w:lang w:eastAsia="en-AU"/>
              </w:rPr>
              <w:t>(73,125)</w:t>
            </w:r>
          </w:p>
        </w:tc>
        <w:tc>
          <w:tcPr>
            <w:tcW w:w="707" w:type="pct"/>
            <w:tcBorders>
              <w:top w:val="single" w:sz="4" w:space="0" w:color="auto"/>
              <w:left w:val="nil"/>
              <w:bottom w:val="single" w:sz="4" w:space="0" w:color="auto"/>
              <w:right w:val="nil"/>
            </w:tcBorders>
            <w:noWrap/>
            <w:vAlign w:val="center"/>
          </w:tcPr>
          <w:p w14:paraId="567583EE" w14:textId="77777777" w:rsidR="008D0DAB" w:rsidRPr="000F52C8" w:rsidRDefault="008D0DAB" w:rsidP="009B7B2A">
            <w:pPr>
              <w:tabs>
                <w:tab w:val="decimal" w:pos="871"/>
              </w:tabs>
              <w:spacing w:after="0" w:line="240" w:lineRule="auto"/>
              <w:jc w:val="center"/>
              <w:rPr>
                <w:rFonts w:eastAsia="Times New Roman" w:cs="Arial"/>
                <w:color w:val="000000"/>
                <w:sz w:val="20"/>
                <w:szCs w:val="20"/>
                <w:lang w:eastAsia="en-AU"/>
              </w:rPr>
            </w:pPr>
            <w:r w:rsidRPr="000F52C8">
              <w:rPr>
                <w:rFonts w:eastAsia="Times New Roman" w:cs="Arial"/>
                <w:b/>
                <w:bCs/>
                <w:color w:val="000000"/>
                <w:sz w:val="20"/>
                <w:szCs w:val="20"/>
                <w:lang w:eastAsia="en-AU"/>
              </w:rPr>
              <w:t>-</w:t>
            </w:r>
          </w:p>
        </w:tc>
        <w:tc>
          <w:tcPr>
            <w:tcW w:w="602" w:type="pct"/>
            <w:tcBorders>
              <w:top w:val="single" w:sz="4" w:space="0" w:color="auto"/>
              <w:left w:val="nil"/>
              <w:bottom w:val="single" w:sz="4" w:space="0" w:color="auto"/>
              <w:right w:val="nil"/>
            </w:tcBorders>
            <w:noWrap/>
            <w:vAlign w:val="center"/>
          </w:tcPr>
          <w:p w14:paraId="75533526" w14:textId="77777777" w:rsidR="008D0DAB" w:rsidRPr="003C4101"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b/>
                <w:bCs/>
                <w:color w:val="000000"/>
                <w:sz w:val="20"/>
                <w:szCs w:val="20"/>
                <w:lang w:eastAsia="en-AU"/>
              </w:rPr>
              <w:t>-</w:t>
            </w:r>
          </w:p>
        </w:tc>
      </w:tr>
      <w:tr w:rsidR="008D0DAB" w:rsidRPr="003C0D78" w14:paraId="77635841" w14:textId="77777777" w:rsidTr="00E326C0">
        <w:trPr>
          <w:trHeight w:val="300"/>
        </w:trPr>
        <w:tc>
          <w:tcPr>
            <w:tcW w:w="1727" w:type="pct"/>
            <w:tcBorders>
              <w:top w:val="nil"/>
              <w:left w:val="nil"/>
              <w:bottom w:val="nil"/>
              <w:right w:val="nil"/>
            </w:tcBorders>
            <w:noWrap/>
            <w:vAlign w:val="bottom"/>
          </w:tcPr>
          <w:p w14:paraId="4B9489AF" w14:textId="77777777" w:rsidR="008D0DAB" w:rsidRPr="00F65403" w:rsidRDefault="008D0DAB" w:rsidP="009B7B2A">
            <w:pPr>
              <w:spacing w:after="0" w:line="240" w:lineRule="auto"/>
              <w:rPr>
                <w:rFonts w:eastAsia="Times New Roman" w:cs="Arial"/>
                <w:color w:val="000000"/>
                <w:sz w:val="20"/>
                <w:szCs w:val="20"/>
                <w:lang w:eastAsia="en-AU"/>
              </w:rPr>
            </w:pPr>
          </w:p>
        </w:tc>
        <w:tc>
          <w:tcPr>
            <w:tcW w:w="629" w:type="pct"/>
            <w:gridSpan w:val="2"/>
            <w:tcBorders>
              <w:top w:val="single" w:sz="4" w:space="0" w:color="auto"/>
              <w:left w:val="nil"/>
              <w:right w:val="nil"/>
            </w:tcBorders>
            <w:noWrap/>
          </w:tcPr>
          <w:p w14:paraId="1C72E1EE" w14:textId="77777777" w:rsidR="008D0DAB" w:rsidRPr="003C4101" w:rsidRDefault="008D0DAB" w:rsidP="009B7B2A">
            <w:pPr>
              <w:tabs>
                <w:tab w:val="decimal" w:pos="871"/>
              </w:tabs>
              <w:spacing w:after="0" w:line="240" w:lineRule="auto"/>
              <w:rPr>
                <w:rFonts w:eastAsia="Times New Roman" w:cs="Arial"/>
                <w:color w:val="000000"/>
                <w:sz w:val="20"/>
                <w:szCs w:val="20"/>
                <w:lang w:eastAsia="en-AU"/>
              </w:rPr>
            </w:pPr>
          </w:p>
        </w:tc>
        <w:tc>
          <w:tcPr>
            <w:tcW w:w="748" w:type="pct"/>
            <w:gridSpan w:val="2"/>
            <w:tcBorders>
              <w:top w:val="single" w:sz="4" w:space="0" w:color="auto"/>
              <w:left w:val="nil"/>
              <w:right w:val="nil"/>
            </w:tcBorders>
            <w:noWrap/>
          </w:tcPr>
          <w:p w14:paraId="7E523BC0" w14:textId="77777777" w:rsidR="008D0DAB" w:rsidRPr="003C4101" w:rsidRDefault="008D0DAB" w:rsidP="009B7B2A">
            <w:pPr>
              <w:tabs>
                <w:tab w:val="decimal" w:pos="871"/>
              </w:tabs>
              <w:spacing w:after="0" w:line="240" w:lineRule="auto"/>
              <w:rPr>
                <w:rFonts w:eastAsia="Times New Roman" w:cs="Arial"/>
                <w:color w:val="000000"/>
                <w:sz w:val="20"/>
                <w:szCs w:val="20"/>
                <w:lang w:eastAsia="en-AU"/>
              </w:rPr>
            </w:pPr>
          </w:p>
        </w:tc>
        <w:tc>
          <w:tcPr>
            <w:tcW w:w="587" w:type="pct"/>
            <w:tcBorders>
              <w:top w:val="single" w:sz="4" w:space="0" w:color="auto"/>
              <w:left w:val="nil"/>
              <w:right w:val="nil"/>
            </w:tcBorders>
            <w:noWrap/>
          </w:tcPr>
          <w:p w14:paraId="33CB4237" w14:textId="77777777" w:rsidR="008D0DAB" w:rsidRPr="003C4101" w:rsidRDefault="008D0DAB" w:rsidP="009B7B2A">
            <w:pPr>
              <w:tabs>
                <w:tab w:val="decimal" w:pos="871"/>
              </w:tabs>
              <w:spacing w:after="0" w:line="240" w:lineRule="auto"/>
              <w:rPr>
                <w:rFonts w:eastAsia="Times New Roman" w:cs="Arial"/>
                <w:color w:val="000000"/>
                <w:sz w:val="20"/>
                <w:szCs w:val="20"/>
                <w:lang w:eastAsia="en-AU"/>
              </w:rPr>
            </w:pPr>
          </w:p>
        </w:tc>
        <w:tc>
          <w:tcPr>
            <w:tcW w:w="707" w:type="pct"/>
            <w:tcBorders>
              <w:top w:val="single" w:sz="4" w:space="0" w:color="auto"/>
              <w:left w:val="nil"/>
              <w:right w:val="nil"/>
            </w:tcBorders>
            <w:noWrap/>
          </w:tcPr>
          <w:p w14:paraId="17B80F6D" w14:textId="77777777" w:rsidR="008D0DAB" w:rsidRPr="003C4101" w:rsidRDefault="008D0DAB" w:rsidP="009B7B2A">
            <w:pPr>
              <w:tabs>
                <w:tab w:val="decimal" w:pos="871"/>
              </w:tabs>
              <w:spacing w:after="0" w:line="240" w:lineRule="auto"/>
              <w:rPr>
                <w:rFonts w:eastAsia="Times New Roman" w:cs="Arial"/>
                <w:color w:val="000000"/>
                <w:sz w:val="20"/>
                <w:szCs w:val="20"/>
                <w:lang w:eastAsia="en-AU"/>
              </w:rPr>
            </w:pPr>
          </w:p>
        </w:tc>
        <w:tc>
          <w:tcPr>
            <w:tcW w:w="602" w:type="pct"/>
            <w:tcBorders>
              <w:top w:val="single" w:sz="4" w:space="0" w:color="auto"/>
              <w:left w:val="nil"/>
              <w:right w:val="nil"/>
            </w:tcBorders>
            <w:noWrap/>
          </w:tcPr>
          <w:p w14:paraId="0B347B1A" w14:textId="77777777" w:rsidR="008D0DAB" w:rsidRPr="003C4101" w:rsidRDefault="008D0DAB" w:rsidP="009B7B2A">
            <w:pPr>
              <w:tabs>
                <w:tab w:val="decimal" w:pos="871"/>
              </w:tabs>
              <w:spacing w:after="0" w:line="240" w:lineRule="auto"/>
              <w:rPr>
                <w:rFonts w:eastAsia="Times New Roman" w:cs="Arial"/>
                <w:color w:val="000000"/>
                <w:sz w:val="20"/>
                <w:szCs w:val="20"/>
                <w:lang w:eastAsia="en-AU"/>
              </w:rPr>
            </w:pPr>
          </w:p>
        </w:tc>
      </w:tr>
      <w:tr w:rsidR="008D0DAB" w:rsidRPr="003C0D78" w14:paraId="75A02900" w14:textId="77777777" w:rsidTr="413EB596">
        <w:trPr>
          <w:trHeight w:val="264"/>
        </w:trPr>
        <w:tc>
          <w:tcPr>
            <w:tcW w:w="1727" w:type="pct"/>
            <w:tcBorders>
              <w:top w:val="nil"/>
              <w:left w:val="nil"/>
              <w:bottom w:val="nil"/>
              <w:right w:val="nil"/>
            </w:tcBorders>
            <w:noWrap/>
            <w:vAlign w:val="bottom"/>
          </w:tcPr>
          <w:p w14:paraId="393D9E37"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Derivative </w:t>
            </w:r>
            <w:r>
              <w:rPr>
                <w:rFonts w:eastAsia="Times New Roman" w:cs="Arial"/>
                <w:color w:val="000000"/>
                <w:sz w:val="20"/>
                <w:szCs w:val="20"/>
                <w:lang w:eastAsia="en-AU"/>
              </w:rPr>
              <w:t>liabilities</w:t>
            </w:r>
          </w:p>
        </w:tc>
        <w:tc>
          <w:tcPr>
            <w:tcW w:w="629" w:type="pct"/>
            <w:gridSpan w:val="2"/>
            <w:tcBorders>
              <w:top w:val="nil"/>
              <w:left w:val="nil"/>
              <w:right w:val="nil"/>
            </w:tcBorders>
            <w:noWrap/>
          </w:tcPr>
          <w:p w14:paraId="0BEB6D57"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748" w:type="pct"/>
            <w:gridSpan w:val="2"/>
            <w:tcBorders>
              <w:top w:val="nil"/>
              <w:left w:val="nil"/>
              <w:right w:val="nil"/>
            </w:tcBorders>
            <w:noWrap/>
          </w:tcPr>
          <w:p w14:paraId="61CE4F69"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587" w:type="pct"/>
            <w:tcBorders>
              <w:top w:val="nil"/>
              <w:left w:val="nil"/>
              <w:right w:val="nil"/>
            </w:tcBorders>
            <w:noWrap/>
          </w:tcPr>
          <w:p w14:paraId="42C960D0"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707" w:type="pct"/>
            <w:tcBorders>
              <w:top w:val="nil"/>
              <w:left w:val="nil"/>
              <w:right w:val="nil"/>
            </w:tcBorders>
            <w:noWrap/>
          </w:tcPr>
          <w:p w14:paraId="4293D418"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c>
          <w:tcPr>
            <w:tcW w:w="602" w:type="pct"/>
            <w:tcBorders>
              <w:top w:val="nil"/>
              <w:left w:val="nil"/>
              <w:right w:val="nil"/>
            </w:tcBorders>
            <w:noWrap/>
          </w:tcPr>
          <w:p w14:paraId="3C3C6FF7" w14:textId="77777777" w:rsidR="008D0DAB" w:rsidRPr="00F65403" w:rsidRDefault="008D0DAB" w:rsidP="009B7B2A">
            <w:pPr>
              <w:tabs>
                <w:tab w:val="decimal" w:pos="871"/>
              </w:tabs>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3C0D78" w14:paraId="39052D1F" w14:textId="77777777" w:rsidTr="413EB596">
        <w:trPr>
          <w:trHeight w:val="264"/>
        </w:trPr>
        <w:tc>
          <w:tcPr>
            <w:tcW w:w="1727" w:type="pct"/>
            <w:tcBorders>
              <w:top w:val="nil"/>
              <w:left w:val="nil"/>
              <w:bottom w:val="nil"/>
              <w:right w:val="nil"/>
            </w:tcBorders>
            <w:noWrap/>
            <w:vAlign w:val="bottom"/>
            <w:hideMark/>
          </w:tcPr>
          <w:p w14:paraId="5C844A78"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29" w:type="pct"/>
            <w:gridSpan w:val="2"/>
            <w:tcBorders>
              <w:top w:val="single" w:sz="4" w:space="0" w:color="auto"/>
              <w:left w:val="nil"/>
              <w:bottom w:val="single" w:sz="4" w:space="0" w:color="auto"/>
              <w:right w:val="nil"/>
            </w:tcBorders>
            <w:noWrap/>
          </w:tcPr>
          <w:p w14:paraId="5A29C72B" w14:textId="77777777" w:rsidR="008D0DAB" w:rsidRPr="003C4101" w:rsidRDefault="008D0DAB" w:rsidP="009B7B2A">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(73,125)</w:t>
            </w:r>
          </w:p>
        </w:tc>
        <w:tc>
          <w:tcPr>
            <w:tcW w:w="748" w:type="pct"/>
            <w:gridSpan w:val="2"/>
            <w:tcBorders>
              <w:top w:val="single" w:sz="4" w:space="0" w:color="auto"/>
              <w:left w:val="nil"/>
              <w:bottom w:val="single" w:sz="4" w:space="0" w:color="auto"/>
              <w:right w:val="nil"/>
            </w:tcBorders>
            <w:noWrap/>
          </w:tcPr>
          <w:p w14:paraId="0FCA93D7" w14:textId="77777777" w:rsidR="008D0DAB" w:rsidRPr="003C4101" w:rsidRDefault="008D0DAB" w:rsidP="009B7B2A">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(73,125)</w:t>
            </w:r>
          </w:p>
        </w:tc>
        <w:tc>
          <w:tcPr>
            <w:tcW w:w="587" w:type="pct"/>
            <w:tcBorders>
              <w:top w:val="single" w:sz="4" w:space="0" w:color="auto"/>
              <w:left w:val="nil"/>
              <w:bottom w:val="single" w:sz="4" w:space="0" w:color="auto"/>
              <w:right w:val="nil"/>
            </w:tcBorders>
            <w:noWrap/>
          </w:tcPr>
          <w:p w14:paraId="69966310" w14:textId="77777777" w:rsidR="008D0DAB" w:rsidRPr="003C4101" w:rsidRDefault="008D0DAB" w:rsidP="009B7B2A">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(73,125)</w:t>
            </w:r>
          </w:p>
        </w:tc>
        <w:tc>
          <w:tcPr>
            <w:tcW w:w="707" w:type="pct"/>
            <w:tcBorders>
              <w:top w:val="single" w:sz="4" w:space="0" w:color="auto"/>
              <w:left w:val="nil"/>
              <w:bottom w:val="single" w:sz="4" w:space="0" w:color="auto"/>
              <w:right w:val="nil"/>
            </w:tcBorders>
            <w:noWrap/>
          </w:tcPr>
          <w:p w14:paraId="49635359" w14:textId="77777777" w:rsidR="008D0DAB" w:rsidRPr="003C4101" w:rsidRDefault="008D0DAB" w:rsidP="009B7B2A">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c>
          <w:tcPr>
            <w:tcW w:w="602" w:type="pct"/>
            <w:tcBorders>
              <w:top w:val="single" w:sz="4" w:space="0" w:color="auto"/>
              <w:left w:val="nil"/>
              <w:bottom w:val="single" w:sz="4" w:space="0" w:color="auto"/>
              <w:right w:val="nil"/>
            </w:tcBorders>
            <w:noWrap/>
          </w:tcPr>
          <w:p w14:paraId="028164D0" w14:textId="77777777" w:rsidR="008D0DAB" w:rsidRPr="003C4101" w:rsidRDefault="008D0DAB" w:rsidP="009B7B2A">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bl>
    <w:p w14:paraId="16A0C287" w14:textId="42E130F2" w:rsidR="008D0DAB" w:rsidRPr="00F65403" w:rsidRDefault="008D0DAB" w:rsidP="008D0DAB">
      <w:pPr>
        <w:pStyle w:val="Heading8"/>
        <w:tabs>
          <w:tab w:val="clear" w:pos="357"/>
          <w:tab w:val="left" w:pos="0"/>
        </w:tabs>
        <w:ind w:left="0" w:firstLine="0"/>
      </w:pPr>
      <w:r w:rsidRPr="003C4101">
        <w:br/>
      </w:r>
      <w:r w:rsidR="0088341B">
        <w:t>iii</w:t>
      </w:r>
      <w:r>
        <w:t>.</w:t>
      </w:r>
      <w:r>
        <w:tab/>
        <w:t>Credit risk management</w:t>
      </w:r>
    </w:p>
    <w:p w14:paraId="30536B5E" w14:textId="1A90119C" w:rsidR="008D0DAB" w:rsidRPr="00F65403" w:rsidRDefault="008D0DAB" w:rsidP="008D0DAB">
      <w:pPr>
        <w:pStyle w:val="BodyText"/>
        <w:rPr>
          <w:lang w:val="en-AU"/>
        </w:rPr>
      </w:pPr>
      <w:r w:rsidRPr="00F65403">
        <w:rPr>
          <w:lang w:val="en-AU"/>
        </w:rPr>
        <w:t xml:space="preserve">Credit risk refers to the possibility that a customer or borrower will default on their financial obligations as and when they fall due. The Group’s exposure to credit risk arises from the potential default of a counterparty on their contractual obligations resulting in financial loss to the Group. For the </w:t>
      </w:r>
      <w:r w:rsidR="009852ED">
        <w:rPr>
          <w:lang w:val="en-AU"/>
        </w:rPr>
        <w:t xml:space="preserve">current and prior </w:t>
      </w:r>
      <w:r w:rsidRPr="00F65403">
        <w:rPr>
          <w:lang w:val="en-AU"/>
        </w:rPr>
        <w:t xml:space="preserve">period, the Group’s exposure to credit risk is not material. </w:t>
      </w:r>
    </w:p>
    <w:p w14:paraId="0B4AC314" w14:textId="77777777" w:rsidR="008D0DAB" w:rsidRPr="00F65403" w:rsidRDefault="008D0DAB" w:rsidP="008D0DAB">
      <w:pPr>
        <w:pStyle w:val="BodyText"/>
        <w:rPr>
          <w:lang w:val="en-AU"/>
        </w:rPr>
      </w:pPr>
    </w:p>
    <w:p w14:paraId="4E2A8625" w14:textId="77B47BC8" w:rsidR="008D0DAB" w:rsidRPr="00F65403" w:rsidRDefault="0088341B" w:rsidP="008D0DAB">
      <w:pPr>
        <w:pStyle w:val="Heading8"/>
      </w:pPr>
      <w:r>
        <w:t>i</w:t>
      </w:r>
      <w:r w:rsidR="008D0DAB">
        <w:t>v.</w:t>
      </w:r>
      <w:r w:rsidR="008D0DAB">
        <w:tab/>
        <w:t>Foreign currency risk</w:t>
      </w:r>
    </w:p>
    <w:p w14:paraId="506915E7" w14:textId="77777777" w:rsidR="008D0DAB" w:rsidRPr="00F65403" w:rsidRDefault="008D0DAB" w:rsidP="008D0DAB">
      <w:pPr>
        <w:pStyle w:val="BodyText"/>
        <w:rPr>
          <w:lang w:val="en-AU"/>
        </w:rPr>
      </w:pPr>
      <w:r w:rsidRPr="00F65403">
        <w:rPr>
          <w:lang w:val="en-AU"/>
        </w:rP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w:t>
      </w:r>
    </w:p>
    <w:p w14:paraId="6A7A1E4D" w14:textId="77777777" w:rsidR="008D0DAB" w:rsidRPr="00F65403" w:rsidRDefault="008D0DAB" w:rsidP="008D0DAB">
      <w:pPr>
        <w:pStyle w:val="BodyText"/>
        <w:rPr>
          <w:lang w:val="en-AU"/>
        </w:rPr>
      </w:pPr>
    </w:p>
    <w:p w14:paraId="69E95293" w14:textId="77777777" w:rsidR="008D0DAB" w:rsidRPr="00F65403" w:rsidRDefault="008D0DAB" w:rsidP="008D0DAB">
      <w:pPr>
        <w:pStyle w:val="BodyText"/>
        <w:rPr>
          <w:lang w:val="en-AU"/>
        </w:rPr>
      </w:pPr>
      <w:r>
        <w:rPr>
          <w:lang w:val="en-AU"/>
        </w:rPr>
        <w:t>The Group’s</w:t>
      </w:r>
      <w:r w:rsidRPr="00F65403">
        <w:rPr>
          <w:lang w:val="en-AU"/>
        </w:rPr>
        <w:t xml:space="preserve"> treasury management policy requires the hedging of foreign currency risk using forward foreign exchange contracts for foreign currency exposures of anticipated cash flows in excess of $500,000 and to not enter into forward foreign exchange contracts until a firm commitment is in place. </w:t>
      </w:r>
    </w:p>
    <w:p w14:paraId="3711D31B" w14:textId="77777777" w:rsidR="008D0DAB" w:rsidRPr="00F65403" w:rsidRDefault="008D0DAB" w:rsidP="008D0DAB">
      <w:pPr>
        <w:pStyle w:val="BodyText"/>
        <w:rPr>
          <w:lang w:val="en-AU"/>
        </w:rPr>
      </w:pPr>
    </w:p>
    <w:p w14:paraId="41DC7665" w14:textId="77777777" w:rsidR="008D0DAB" w:rsidRPr="00F65403" w:rsidRDefault="008D0DAB" w:rsidP="008D0DAB">
      <w:pPr>
        <w:pStyle w:val="BodyText"/>
        <w:rPr>
          <w:lang w:val="en-AU"/>
        </w:rPr>
      </w:pPr>
      <w:r w:rsidRPr="00F65403">
        <w:rPr>
          <w:lang w:val="en-AU"/>
        </w:rPr>
        <w:t>The forward foreign exchange contracts are designated as cash flow hedges. During the year, no hedges were de-designated and all underlying forecast transactions remain highly probable as per original forecast.</w:t>
      </w:r>
    </w:p>
    <w:p w14:paraId="41B6D463" w14:textId="77777777" w:rsidR="008D0DAB" w:rsidRPr="00F65403" w:rsidRDefault="008D0DAB" w:rsidP="008D0DAB">
      <w:pPr>
        <w:pStyle w:val="BodyText"/>
        <w:rPr>
          <w:lang w:val="en-AU"/>
        </w:rPr>
      </w:pPr>
    </w:p>
    <w:p w14:paraId="1DFEAFAF" w14:textId="20AB624A" w:rsidR="008D0DAB" w:rsidRPr="00F65403" w:rsidRDefault="008D0DAB" w:rsidP="008D0DAB">
      <w:pPr>
        <w:pStyle w:val="BodyText"/>
        <w:rPr>
          <w:lang w:val="en-AU"/>
        </w:rPr>
      </w:pPr>
      <w:r w:rsidRPr="00F65403">
        <w:rPr>
          <w:lang w:val="en-AU"/>
        </w:rPr>
        <w:t xml:space="preserve">The Group is exposed to foreign currency risk mainly through its payables relating to purchases of supplies and consumables from overseas. Exposures are against the US dollar (USD) and are managed through hedging instruments that allow the Group to fix its foreign currency transactions at acceptable rates. </w:t>
      </w:r>
      <w:r w:rsidR="0068263A" w:rsidRPr="0068263A">
        <w:rPr>
          <w:lang w:val="en-AU"/>
        </w:rPr>
        <w:t>For the current and prior period, the Group’s exposure to foreign currency risk is not material.</w:t>
      </w:r>
    </w:p>
    <w:p w14:paraId="69200FA1" w14:textId="0AEB2B77" w:rsidR="008D0DAB" w:rsidRPr="00F65403" w:rsidRDefault="008D0DAB" w:rsidP="008D0DAB">
      <w:pPr>
        <w:pStyle w:val="Heading8"/>
      </w:pPr>
      <w:r>
        <w:t>v.</w:t>
      </w:r>
      <w:r>
        <w:tab/>
        <w:t>Interest rate risk</w:t>
      </w:r>
    </w:p>
    <w:p w14:paraId="0E04737A" w14:textId="77777777" w:rsidR="008D0DAB" w:rsidRPr="00F65403" w:rsidRDefault="008D0DAB" w:rsidP="008D0DAB">
      <w:pPr>
        <w:pStyle w:val="BodyText"/>
        <w:rPr>
          <w:lang w:val="en-AU"/>
        </w:rPr>
      </w:pPr>
      <w:r w:rsidRPr="00F65403">
        <w:rPr>
          <w:lang w:val="en-AU"/>
        </w:rPr>
        <w:t>Cash flow interest rate risk is the risk that the future cash flows of a financial instrument will fluctuate because of changes in market interest rates. The Group has exposure to cash flow interest rate risks through cash and cash equivalents that are at floating rate.</w:t>
      </w:r>
    </w:p>
    <w:p w14:paraId="5BCEB695" w14:textId="77777777" w:rsidR="008D0DAB" w:rsidRPr="00F65403" w:rsidRDefault="008D0DAB" w:rsidP="008D0DAB">
      <w:pPr>
        <w:pStyle w:val="BodyText"/>
        <w:rPr>
          <w:lang w:val="en-AU"/>
        </w:rPr>
      </w:pPr>
    </w:p>
    <w:p w14:paraId="243F52DD" w14:textId="28BB57D9" w:rsidR="008D0DAB" w:rsidRPr="00F65403" w:rsidRDefault="008D0DAB" w:rsidP="008D0DAB">
      <w:pPr>
        <w:pStyle w:val="BodyText"/>
        <w:rPr>
          <w:lang w:val="en-AU"/>
        </w:rPr>
      </w:pPr>
      <w:r w:rsidRPr="00C1358F">
        <w:t>For the</w:t>
      </w:r>
      <w:r w:rsidR="009852ED">
        <w:t xml:space="preserve"> current and prior</w:t>
      </w:r>
      <w:r w:rsidRPr="00C1358F">
        <w:t xml:space="preserve"> period, the Group’s exposure to interest rate risk is not material. </w:t>
      </w:r>
      <w:r>
        <w:rPr>
          <w:lang w:val="en-AU"/>
        </w:rPr>
        <w:br/>
      </w:r>
    </w:p>
    <w:p w14:paraId="2C5AAEDE" w14:textId="77777777" w:rsidR="008D0DAB" w:rsidRPr="00F65403" w:rsidRDefault="008D0DAB" w:rsidP="008D0DAB">
      <w:pPr>
        <w:pStyle w:val="Heading7"/>
      </w:pPr>
      <w:bookmarkStart w:id="559" w:name="_Ref208418894"/>
      <w:r w:rsidRPr="00F65403">
        <w:t>Fair value of other financial assets and liabilities</w:t>
      </w:r>
      <w:bookmarkEnd w:id="559"/>
    </w:p>
    <w:p w14:paraId="2DF35889" w14:textId="77777777" w:rsidR="008D0DAB" w:rsidRPr="00F65403" w:rsidRDefault="008D0DAB" w:rsidP="008D0DAB">
      <w:pPr>
        <w:pStyle w:val="Heading8"/>
      </w:pPr>
      <w:proofErr w:type="spellStart"/>
      <w:r>
        <w:t>i</w:t>
      </w:r>
      <w:proofErr w:type="spellEnd"/>
      <w:r>
        <w:t>.</w:t>
      </w:r>
      <w:r>
        <w:tab/>
        <w:t>Classes and categories of financial instruments and their fair values</w:t>
      </w:r>
    </w:p>
    <w:p w14:paraId="6B984A19" w14:textId="77777777" w:rsidR="008D0DAB" w:rsidRPr="00F65403" w:rsidRDefault="008D0DAB" w:rsidP="008D0DAB">
      <w:pPr>
        <w:pStyle w:val="BodyText"/>
        <w:rPr>
          <w:lang w:val="en-AU"/>
        </w:rPr>
      </w:pPr>
      <w:r w:rsidRPr="00F65403">
        <w:rPr>
          <w:lang w:val="en-AU"/>
        </w:rPr>
        <w:t>The following table combines information about:</w:t>
      </w:r>
    </w:p>
    <w:p w14:paraId="4C5F821D" w14:textId="77777777" w:rsidR="008D0DAB" w:rsidRPr="00F65403" w:rsidRDefault="008D0DAB" w:rsidP="008D0DAB">
      <w:pPr>
        <w:pStyle w:val="ListBullet"/>
        <w:rPr>
          <w:lang w:val="en-AU"/>
        </w:rPr>
      </w:pPr>
      <w:r w:rsidRPr="00F65403">
        <w:rPr>
          <w:lang w:val="en-AU"/>
        </w:rPr>
        <w:t>classes of financial instruments based on their nature and characteristics</w:t>
      </w:r>
    </w:p>
    <w:p w14:paraId="070F7512" w14:textId="77777777" w:rsidR="008D0DAB" w:rsidRPr="00F65403" w:rsidRDefault="008D0DAB" w:rsidP="008D0DAB">
      <w:pPr>
        <w:pStyle w:val="ListBullet"/>
        <w:numPr>
          <w:ilvl w:val="1"/>
          <w:numId w:val="12"/>
        </w:numPr>
        <w:ind w:left="1134" w:hanging="425"/>
        <w:rPr>
          <w:lang w:val="en-AU"/>
        </w:rPr>
      </w:pPr>
      <w:r w:rsidRPr="00F65403">
        <w:rPr>
          <w:lang w:val="en-AU"/>
        </w:rPr>
        <w:t>amortised cost</w:t>
      </w:r>
    </w:p>
    <w:p w14:paraId="770AE18B" w14:textId="77777777" w:rsidR="008D0DAB" w:rsidRPr="00F65403" w:rsidRDefault="008D0DAB" w:rsidP="008D0DAB">
      <w:pPr>
        <w:pStyle w:val="ListBullet"/>
        <w:numPr>
          <w:ilvl w:val="1"/>
          <w:numId w:val="12"/>
        </w:numPr>
        <w:ind w:left="1134" w:hanging="425"/>
        <w:rPr>
          <w:lang w:val="en-AU"/>
        </w:rPr>
      </w:pPr>
      <w:r w:rsidRPr="00F65403">
        <w:rPr>
          <w:lang w:val="en-AU"/>
        </w:rPr>
        <w:t>fair value through profit or loss (‘FVTPL’)</w:t>
      </w:r>
    </w:p>
    <w:p w14:paraId="777B7F90" w14:textId="77777777" w:rsidR="008D0DAB" w:rsidRPr="00F65403" w:rsidRDefault="008D0DAB" w:rsidP="008D0DAB">
      <w:pPr>
        <w:pStyle w:val="ListBullet"/>
        <w:numPr>
          <w:ilvl w:val="1"/>
          <w:numId w:val="12"/>
        </w:numPr>
        <w:ind w:left="1134" w:hanging="425"/>
        <w:rPr>
          <w:lang w:val="en-AU"/>
        </w:rPr>
      </w:pPr>
      <w:r w:rsidRPr="00F65403">
        <w:rPr>
          <w:lang w:val="en-AU"/>
        </w:rPr>
        <w:t>fair value through other comprehensive income (‘FVOCI’)</w:t>
      </w:r>
    </w:p>
    <w:p w14:paraId="57D9B112" w14:textId="77777777" w:rsidR="008D0DAB" w:rsidRPr="00F65403" w:rsidRDefault="008D0DAB" w:rsidP="008D0DAB">
      <w:pPr>
        <w:pStyle w:val="ListBullet"/>
        <w:rPr>
          <w:lang w:val="en-AU"/>
        </w:rPr>
      </w:pPr>
      <w:r w:rsidRPr="00F65403">
        <w:rPr>
          <w:lang w:val="en-AU"/>
        </w:rPr>
        <w:t>the carrying amounts of financial instruments</w:t>
      </w:r>
    </w:p>
    <w:p w14:paraId="556ADFD2" w14:textId="77777777" w:rsidR="008D0DAB" w:rsidRPr="00F65403" w:rsidRDefault="008D0DAB" w:rsidP="008D0DAB">
      <w:pPr>
        <w:pStyle w:val="ListBullet"/>
        <w:rPr>
          <w:lang w:val="en-AU"/>
        </w:rPr>
      </w:pPr>
      <w:r w:rsidRPr="00F65403">
        <w:rPr>
          <w:lang w:val="en-AU"/>
        </w:rPr>
        <w:t>fair values of financial instruments (except financial instruments when carrying amount approximates their fair value).</w:t>
      </w:r>
    </w:p>
    <w:p w14:paraId="001964CB" w14:textId="77777777" w:rsidR="008D0DAB" w:rsidRPr="00F65403" w:rsidRDefault="008D0DAB" w:rsidP="008D0DAB">
      <w:pPr>
        <w:pStyle w:val="BodyText"/>
        <w:rPr>
          <w:lang w:val="en-AU"/>
        </w:rPr>
      </w:pPr>
    </w:p>
    <w:tbl>
      <w:tblPr>
        <w:tblW w:w="5183" w:type="pct"/>
        <w:tblCellMar>
          <w:top w:w="28" w:type="dxa"/>
          <w:left w:w="28" w:type="dxa"/>
          <w:bottom w:w="28" w:type="dxa"/>
          <w:right w:w="28" w:type="dxa"/>
        </w:tblCellMar>
        <w:tblLook w:val="04A0" w:firstRow="1" w:lastRow="0" w:firstColumn="1" w:lastColumn="0" w:noHBand="0" w:noVBand="1"/>
      </w:tblPr>
      <w:tblGrid>
        <w:gridCol w:w="4863"/>
        <w:gridCol w:w="185"/>
        <w:gridCol w:w="1575"/>
        <w:gridCol w:w="1575"/>
        <w:gridCol w:w="1158"/>
      </w:tblGrid>
      <w:tr w:rsidR="008D0DAB" w:rsidRPr="00D31D72" w14:paraId="08AE3543" w14:textId="77777777" w:rsidTr="413EB596">
        <w:tc>
          <w:tcPr>
            <w:tcW w:w="2804" w:type="pct"/>
            <w:gridSpan w:val="2"/>
            <w:tcBorders>
              <w:top w:val="nil"/>
              <w:left w:val="nil"/>
              <w:bottom w:val="nil"/>
              <w:right w:val="nil"/>
            </w:tcBorders>
            <w:vAlign w:val="bottom"/>
          </w:tcPr>
          <w:p w14:paraId="693C69A1" w14:textId="77777777" w:rsidR="008D0DAB" w:rsidRPr="00F65403" w:rsidRDefault="008D0DAB" w:rsidP="009B7B2A">
            <w:pPr>
              <w:spacing w:after="0" w:line="240" w:lineRule="auto"/>
              <w:rPr>
                <w:rFonts w:eastAsia="Times New Roman" w:cs="Arial"/>
                <w:b/>
                <w:color w:val="000000"/>
                <w:sz w:val="20"/>
                <w:szCs w:val="20"/>
                <w:lang w:eastAsia="en-AU"/>
              </w:rPr>
            </w:pPr>
          </w:p>
        </w:tc>
        <w:tc>
          <w:tcPr>
            <w:tcW w:w="2196" w:type="pct"/>
            <w:gridSpan w:val="3"/>
            <w:tcBorders>
              <w:top w:val="nil"/>
              <w:left w:val="nil"/>
              <w:bottom w:val="nil"/>
              <w:right w:val="nil"/>
            </w:tcBorders>
            <w:vAlign w:val="center"/>
          </w:tcPr>
          <w:p w14:paraId="4DAD33EF"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Carrying value</w:t>
            </w:r>
          </w:p>
        </w:tc>
      </w:tr>
      <w:tr w:rsidR="008D0DAB" w:rsidRPr="00D31D72" w14:paraId="1DCE0DA8" w14:textId="77777777" w:rsidTr="413EB596">
        <w:tc>
          <w:tcPr>
            <w:tcW w:w="2804" w:type="pct"/>
            <w:gridSpan w:val="2"/>
            <w:tcBorders>
              <w:top w:val="nil"/>
              <w:left w:val="nil"/>
              <w:bottom w:val="nil"/>
              <w:right w:val="nil"/>
            </w:tcBorders>
            <w:vAlign w:val="bottom"/>
          </w:tcPr>
          <w:p w14:paraId="1E3E1239" w14:textId="77777777" w:rsidR="008D0DAB" w:rsidRPr="00F65403" w:rsidRDefault="008D0DAB" w:rsidP="009B7B2A">
            <w:pPr>
              <w:spacing w:after="0" w:line="240" w:lineRule="auto"/>
              <w:rPr>
                <w:rFonts w:eastAsia="Times New Roman" w:cs="Arial"/>
                <w:b/>
                <w:color w:val="000000"/>
                <w:sz w:val="20"/>
                <w:szCs w:val="20"/>
                <w:lang w:eastAsia="en-AU"/>
              </w:rPr>
            </w:pPr>
          </w:p>
        </w:tc>
        <w:tc>
          <w:tcPr>
            <w:tcW w:w="2196" w:type="pct"/>
            <w:gridSpan w:val="3"/>
            <w:tcBorders>
              <w:top w:val="nil"/>
              <w:left w:val="nil"/>
              <w:bottom w:val="nil"/>
              <w:right w:val="nil"/>
            </w:tcBorders>
            <w:vAlign w:val="center"/>
          </w:tcPr>
          <w:p w14:paraId="4E4DE81A"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$000’s</w:t>
            </w:r>
          </w:p>
        </w:tc>
      </w:tr>
      <w:tr w:rsidR="008D0DAB" w:rsidRPr="00D31D72" w14:paraId="490486A2" w14:textId="77777777" w:rsidTr="413EB596">
        <w:tc>
          <w:tcPr>
            <w:tcW w:w="2804" w:type="pct"/>
            <w:gridSpan w:val="2"/>
            <w:tcBorders>
              <w:top w:val="nil"/>
              <w:left w:val="nil"/>
              <w:bottom w:val="nil"/>
              <w:right w:val="nil"/>
            </w:tcBorders>
            <w:vAlign w:val="bottom"/>
            <w:hideMark/>
          </w:tcPr>
          <w:p w14:paraId="04EEA234"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894" w:type="pct"/>
            <w:tcBorders>
              <w:top w:val="nil"/>
              <w:left w:val="nil"/>
              <w:bottom w:val="nil"/>
              <w:right w:val="nil"/>
            </w:tcBorders>
            <w:vAlign w:val="center"/>
            <w:hideMark/>
          </w:tcPr>
          <w:p w14:paraId="51D152E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894" w:type="pct"/>
            <w:tcBorders>
              <w:top w:val="nil"/>
              <w:left w:val="nil"/>
              <w:bottom w:val="nil"/>
              <w:right w:val="nil"/>
            </w:tcBorders>
            <w:vAlign w:val="center"/>
            <w:hideMark/>
          </w:tcPr>
          <w:p w14:paraId="66660942"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408" w:type="pct"/>
            <w:tcBorders>
              <w:top w:val="nil"/>
              <w:left w:val="nil"/>
              <w:bottom w:val="nil"/>
              <w:right w:val="nil"/>
            </w:tcBorders>
            <w:vAlign w:val="center"/>
            <w:hideMark/>
          </w:tcPr>
          <w:p w14:paraId="737E22A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D31D72" w14:paraId="3413F7AC" w14:textId="77777777" w:rsidTr="413EB596">
        <w:tc>
          <w:tcPr>
            <w:tcW w:w="2804" w:type="pct"/>
            <w:gridSpan w:val="2"/>
            <w:tcBorders>
              <w:top w:val="nil"/>
              <w:left w:val="nil"/>
              <w:bottom w:val="nil"/>
              <w:right w:val="nil"/>
            </w:tcBorders>
            <w:noWrap/>
            <w:vAlign w:val="center"/>
            <w:hideMark/>
          </w:tcPr>
          <w:p w14:paraId="4DADDB94"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894" w:type="pct"/>
            <w:tcBorders>
              <w:top w:val="nil"/>
              <w:left w:val="nil"/>
              <w:bottom w:val="nil"/>
              <w:right w:val="nil"/>
            </w:tcBorders>
            <w:vAlign w:val="bottom"/>
            <w:hideMark/>
          </w:tcPr>
          <w:p w14:paraId="21CD97BB"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c>
          <w:tcPr>
            <w:tcW w:w="894" w:type="pct"/>
            <w:tcBorders>
              <w:top w:val="nil"/>
              <w:left w:val="nil"/>
              <w:bottom w:val="nil"/>
              <w:right w:val="nil"/>
            </w:tcBorders>
            <w:vAlign w:val="bottom"/>
            <w:hideMark/>
          </w:tcPr>
          <w:p w14:paraId="6742A80A"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c>
          <w:tcPr>
            <w:tcW w:w="408" w:type="pct"/>
            <w:tcBorders>
              <w:top w:val="nil"/>
              <w:left w:val="nil"/>
              <w:bottom w:val="nil"/>
              <w:right w:val="nil"/>
            </w:tcBorders>
            <w:vAlign w:val="bottom"/>
            <w:hideMark/>
          </w:tcPr>
          <w:p w14:paraId="03356FF0"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r>
      <w:tr w:rsidR="008D0DAB" w:rsidRPr="00D31D72" w14:paraId="2A41E946" w14:textId="77777777" w:rsidTr="413EB596">
        <w:tc>
          <w:tcPr>
            <w:tcW w:w="2804" w:type="pct"/>
            <w:gridSpan w:val="2"/>
            <w:tcBorders>
              <w:top w:val="nil"/>
              <w:left w:val="nil"/>
              <w:bottom w:val="nil"/>
              <w:right w:val="nil"/>
            </w:tcBorders>
            <w:noWrap/>
            <w:vAlign w:val="center"/>
            <w:hideMark/>
          </w:tcPr>
          <w:p w14:paraId="7D113EC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894" w:type="pct"/>
            <w:tcBorders>
              <w:top w:val="nil"/>
              <w:left w:val="nil"/>
              <w:bottom w:val="nil"/>
              <w:right w:val="nil"/>
            </w:tcBorders>
            <w:hideMark/>
          </w:tcPr>
          <w:p w14:paraId="19A2391A" w14:textId="77777777" w:rsidR="008D0DAB" w:rsidRPr="00360719" w:rsidRDefault="008D0DAB" w:rsidP="009B7B2A">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894" w:type="pct"/>
            <w:tcBorders>
              <w:top w:val="nil"/>
              <w:left w:val="nil"/>
              <w:bottom w:val="nil"/>
              <w:right w:val="nil"/>
            </w:tcBorders>
            <w:hideMark/>
          </w:tcPr>
          <w:p w14:paraId="7F7567FE" w14:textId="77777777" w:rsidR="008D0DAB" w:rsidRPr="00360719" w:rsidRDefault="008D0DAB" w:rsidP="009B7B2A">
            <w:pPr>
              <w:tabs>
                <w:tab w:val="decimal" w:pos="114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w:t>
            </w:r>
          </w:p>
        </w:tc>
        <w:tc>
          <w:tcPr>
            <w:tcW w:w="408" w:type="pct"/>
            <w:tcBorders>
              <w:top w:val="nil"/>
              <w:left w:val="nil"/>
              <w:bottom w:val="nil"/>
              <w:right w:val="nil"/>
            </w:tcBorders>
            <w:hideMark/>
          </w:tcPr>
          <w:p w14:paraId="56237B66"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8</w:t>
            </w:r>
          </w:p>
        </w:tc>
      </w:tr>
      <w:tr w:rsidR="008D0DAB" w:rsidRPr="00D31D72" w14:paraId="5DB6FCD1" w14:textId="77777777" w:rsidTr="413EB596">
        <w:tc>
          <w:tcPr>
            <w:tcW w:w="2804" w:type="pct"/>
            <w:gridSpan w:val="2"/>
            <w:tcBorders>
              <w:top w:val="nil"/>
              <w:left w:val="nil"/>
              <w:bottom w:val="nil"/>
              <w:right w:val="nil"/>
            </w:tcBorders>
            <w:noWrap/>
            <w:vAlign w:val="center"/>
            <w:hideMark/>
          </w:tcPr>
          <w:p w14:paraId="3D9EE78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Receivables</w:t>
            </w:r>
          </w:p>
        </w:tc>
        <w:tc>
          <w:tcPr>
            <w:tcW w:w="894" w:type="pct"/>
            <w:tcBorders>
              <w:top w:val="nil"/>
              <w:left w:val="nil"/>
              <w:bottom w:val="nil"/>
              <w:right w:val="nil"/>
            </w:tcBorders>
            <w:hideMark/>
          </w:tcPr>
          <w:p w14:paraId="14247891" w14:textId="77777777" w:rsidR="008D0DAB" w:rsidRPr="00360719" w:rsidRDefault="008D0DAB" w:rsidP="009B7B2A">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894" w:type="pct"/>
            <w:tcBorders>
              <w:top w:val="nil"/>
              <w:left w:val="nil"/>
              <w:bottom w:val="nil"/>
              <w:right w:val="nil"/>
            </w:tcBorders>
            <w:hideMark/>
          </w:tcPr>
          <w:p w14:paraId="5631FC56" w14:textId="7052BA2B" w:rsidR="008D0DAB" w:rsidRPr="00360719" w:rsidRDefault="008D0DAB" w:rsidP="009B7B2A">
            <w:pPr>
              <w:tabs>
                <w:tab w:val="decimal" w:pos="1143"/>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w:t>
            </w:r>
            <w:r w:rsidR="00E01F37" w:rsidRPr="413EB596">
              <w:rPr>
                <w:rFonts w:eastAsia="Times New Roman" w:cs="Arial"/>
                <w:color w:val="000000" w:themeColor="text1"/>
                <w:sz w:val="20"/>
                <w:szCs w:val="20"/>
                <w:lang w:eastAsia="en-AU"/>
              </w:rPr>
              <w:t>739</w:t>
            </w:r>
          </w:p>
        </w:tc>
        <w:tc>
          <w:tcPr>
            <w:tcW w:w="408" w:type="pct"/>
            <w:tcBorders>
              <w:top w:val="nil"/>
              <w:left w:val="nil"/>
              <w:bottom w:val="nil"/>
              <w:right w:val="nil"/>
            </w:tcBorders>
            <w:hideMark/>
          </w:tcPr>
          <w:p w14:paraId="56AA48C8" w14:textId="044C9D2A"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w:t>
            </w:r>
            <w:r w:rsidR="00A00E62" w:rsidRPr="413EB596">
              <w:rPr>
                <w:rFonts w:eastAsia="Times New Roman" w:cs="Arial"/>
                <w:b/>
                <w:bCs/>
                <w:color w:val="000000" w:themeColor="text1"/>
                <w:sz w:val="20"/>
                <w:szCs w:val="20"/>
                <w:lang w:eastAsia="en-AU"/>
              </w:rPr>
              <w:t>739</w:t>
            </w:r>
          </w:p>
        </w:tc>
      </w:tr>
      <w:tr w:rsidR="008D0DAB" w:rsidRPr="00D31D72" w14:paraId="456B3AD4" w14:textId="77777777" w:rsidTr="413EB596">
        <w:tc>
          <w:tcPr>
            <w:tcW w:w="2804" w:type="pct"/>
            <w:gridSpan w:val="2"/>
            <w:tcBorders>
              <w:top w:val="nil"/>
              <w:left w:val="nil"/>
              <w:bottom w:val="nil"/>
              <w:right w:val="nil"/>
            </w:tcBorders>
            <w:noWrap/>
            <w:vAlign w:val="center"/>
            <w:hideMark/>
          </w:tcPr>
          <w:p w14:paraId="500DC7CC"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894" w:type="pct"/>
            <w:tcBorders>
              <w:top w:val="single" w:sz="8" w:space="0" w:color="auto"/>
              <w:left w:val="nil"/>
              <w:bottom w:val="single" w:sz="8" w:space="0" w:color="auto"/>
              <w:right w:val="nil"/>
            </w:tcBorders>
            <w:hideMark/>
          </w:tcPr>
          <w:p w14:paraId="3BB6D033" w14:textId="77777777" w:rsidR="008D0DAB" w:rsidRPr="00360719" w:rsidRDefault="008D0DAB" w:rsidP="009B7B2A">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   </w:t>
            </w:r>
          </w:p>
        </w:tc>
        <w:tc>
          <w:tcPr>
            <w:tcW w:w="894" w:type="pct"/>
            <w:tcBorders>
              <w:top w:val="single" w:sz="8" w:space="0" w:color="auto"/>
              <w:left w:val="nil"/>
              <w:bottom w:val="single" w:sz="8" w:space="0" w:color="auto"/>
              <w:right w:val="nil"/>
            </w:tcBorders>
            <w:hideMark/>
          </w:tcPr>
          <w:p w14:paraId="6F5E0E5D" w14:textId="32518402" w:rsidR="008D0DAB" w:rsidRPr="00360719" w:rsidRDefault="008D0DAB" w:rsidP="009B7B2A">
            <w:pPr>
              <w:tabs>
                <w:tab w:val="decimal" w:pos="1143"/>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w:t>
            </w:r>
            <w:r w:rsidR="00A00E62" w:rsidRPr="413EB596">
              <w:rPr>
                <w:rFonts w:eastAsia="Times New Roman" w:cs="Arial"/>
                <w:b/>
                <w:bCs/>
                <w:color w:val="000000" w:themeColor="text1"/>
                <w:sz w:val="20"/>
                <w:szCs w:val="20"/>
                <w:lang w:eastAsia="en-AU"/>
              </w:rPr>
              <w:t>747</w:t>
            </w:r>
          </w:p>
        </w:tc>
        <w:tc>
          <w:tcPr>
            <w:tcW w:w="408" w:type="pct"/>
            <w:tcBorders>
              <w:top w:val="single" w:sz="8" w:space="0" w:color="auto"/>
              <w:left w:val="nil"/>
              <w:bottom w:val="single" w:sz="8" w:space="0" w:color="auto"/>
              <w:right w:val="nil"/>
            </w:tcBorders>
            <w:hideMark/>
          </w:tcPr>
          <w:p w14:paraId="0659FDD3" w14:textId="7FD1FD65"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w:t>
            </w:r>
            <w:r w:rsidR="00A00E62" w:rsidRPr="413EB596">
              <w:rPr>
                <w:rFonts w:eastAsia="Times New Roman" w:cs="Arial"/>
                <w:b/>
                <w:bCs/>
                <w:color w:val="000000" w:themeColor="text1"/>
                <w:sz w:val="20"/>
                <w:szCs w:val="20"/>
                <w:lang w:eastAsia="en-AU"/>
              </w:rPr>
              <w:t>747</w:t>
            </w:r>
          </w:p>
        </w:tc>
      </w:tr>
      <w:tr w:rsidR="008D0DAB" w:rsidRPr="00D31D72" w14:paraId="50E2E2EE" w14:textId="77777777" w:rsidTr="413EB596">
        <w:tc>
          <w:tcPr>
            <w:tcW w:w="2804" w:type="pct"/>
            <w:gridSpan w:val="2"/>
            <w:tcBorders>
              <w:top w:val="nil"/>
              <w:left w:val="nil"/>
              <w:bottom w:val="nil"/>
              <w:right w:val="nil"/>
            </w:tcBorders>
            <w:noWrap/>
            <w:vAlign w:val="center"/>
            <w:hideMark/>
          </w:tcPr>
          <w:p w14:paraId="3DBCB32E"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894" w:type="pct"/>
            <w:tcBorders>
              <w:top w:val="nil"/>
              <w:left w:val="nil"/>
              <w:bottom w:val="nil"/>
              <w:right w:val="nil"/>
            </w:tcBorders>
            <w:vAlign w:val="bottom"/>
            <w:hideMark/>
          </w:tcPr>
          <w:p w14:paraId="0B32AF3A" w14:textId="77777777" w:rsidR="008D0DAB" w:rsidRPr="00360719" w:rsidRDefault="008D0DAB" w:rsidP="009B7B2A">
            <w:pPr>
              <w:tabs>
                <w:tab w:val="decimal" w:pos="1000"/>
              </w:tabs>
              <w:spacing w:after="0" w:line="240" w:lineRule="auto"/>
              <w:rPr>
                <w:rFonts w:eastAsia="Times New Roman" w:cs="Arial"/>
                <w:color w:val="000000"/>
                <w:sz w:val="20"/>
                <w:szCs w:val="20"/>
                <w:lang w:eastAsia="en-AU"/>
              </w:rPr>
            </w:pPr>
          </w:p>
        </w:tc>
        <w:tc>
          <w:tcPr>
            <w:tcW w:w="894" w:type="pct"/>
            <w:tcBorders>
              <w:top w:val="nil"/>
              <w:left w:val="nil"/>
              <w:bottom w:val="nil"/>
              <w:right w:val="nil"/>
            </w:tcBorders>
            <w:vAlign w:val="bottom"/>
            <w:hideMark/>
          </w:tcPr>
          <w:p w14:paraId="3278EA6F" w14:textId="77777777" w:rsidR="008D0DAB" w:rsidRPr="00360719" w:rsidRDefault="008D0DAB" w:rsidP="009B7B2A">
            <w:pPr>
              <w:tabs>
                <w:tab w:val="decimal" w:pos="1143"/>
              </w:tabs>
              <w:spacing w:after="0" w:line="240" w:lineRule="auto"/>
              <w:rPr>
                <w:rFonts w:eastAsia="Times New Roman" w:cs="Arial"/>
                <w:color w:val="000000"/>
                <w:sz w:val="20"/>
                <w:szCs w:val="20"/>
                <w:lang w:eastAsia="en-AU"/>
              </w:rPr>
            </w:pPr>
          </w:p>
        </w:tc>
        <w:tc>
          <w:tcPr>
            <w:tcW w:w="408" w:type="pct"/>
            <w:tcBorders>
              <w:top w:val="nil"/>
              <w:left w:val="nil"/>
              <w:bottom w:val="nil"/>
              <w:right w:val="nil"/>
            </w:tcBorders>
            <w:vAlign w:val="bottom"/>
            <w:hideMark/>
          </w:tcPr>
          <w:p w14:paraId="63C67E29"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p>
        </w:tc>
      </w:tr>
      <w:tr w:rsidR="008D0DAB" w:rsidRPr="00D31D72" w14:paraId="34897A59" w14:textId="77777777" w:rsidTr="413EB596">
        <w:tc>
          <w:tcPr>
            <w:tcW w:w="2804" w:type="pct"/>
            <w:gridSpan w:val="2"/>
            <w:tcBorders>
              <w:top w:val="nil"/>
              <w:left w:val="nil"/>
              <w:bottom w:val="nil"/>
              <w:right w:val="nil"/>
            </w:tcBorders>
            <w:noWrap/>
            <w:vAlign w:val="center"/>
            <w:hideMark/>
          </w:tcPr>
          <w:p w14:paraId="2B289DDA"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894" w:type="pct"/>
            <w:tcBorders>
              <w:top w:val="nil"/>
              <w:left w:val="nil"/>
              <w:bottom w:val="nil"/>
              <w:right w:val="nil"/>
            </w:tcBorders>
            <w:vAlign w:val="bottom"/>
            <w:hideMark/>
          </w:tcPr>
          <w:p w14:paraId="503C826B" w14:textId="77777777" w:rsidR="008D0DAB" w:rsidRPr="00360719" w:rsidRDefault="008D0DAB" w:rsidP="009B7B2A">
            <w:pPr>
              <w:tabs>
                <w:tab w:val="decimal" w:pos="1000"/>
              </w:tabs>
              <w:spacing w:after="0" w:line="240" w:lineRule="auto"/>
              <w:rPr>
                <w:rFonts w:eastAsia="Times New Roman" w:cs="Arial"/>
                <w:color w:val="000000"/>
                <w:sz w:val="20"/>
                <w:szCs w:val="20"/>
                <w:lang w:eastAsia="en-AU"/>
              </w:rPr>
            </w:pPr>
          </w:p>
        </w:tc>
        <w:tc>
          <w:tcPr>
            <w:tcW w:w="894" w:type="pct"/>
            <w:tcBorders>
              <w:top w:val="nil"/>
              <w:left w:val="nil"/>
              <w:bottom w:val="nil"/>
              <w:right w:val="nil"/>
            </w:tcBorders>
            <w:vAlign w:val="bottom"/>
            <w:hideMark/>
          </w:tcPr>
          <w:p w14:paraId="3C6434FD" w14:textId="77777777" w:rsidR="008D0DAB" w:rsidRPr="00360719" w:rsidRDefault="008D0DAB" w:rsidP="009B7B2A">
            <w:pPr>
              <w:tabs>
                <w:tab w:val="decimal" w:pos="1143"/>
              </w:tabs>
              <w:spacing w:after="0" w:line="240" w:lineRule="auto"/>
              <w:rPr>
                <w:rFonts w:eastAsia="Times New Roman" w:cs="Arial"/>
                <w:color w:val="000000"/>
                <w:sz w:val="20"/>
                <w:szCs w:val="20"/>
                <w:lang w:eastAsia="en-AU"/>
              </w:rPr>
            </w:pPr>
          </w:p>
        </w:tc>
        <w:tc>
          <w:tcPr>
            <w:tcW w:w="408" w:type="pct"/>
            <w:tcBorders>
              <w:top w:val="nil"/>
              <w:left w:val="nil"/>
              <w:bottom w:val="nil"/>
              <w:right w:val="nil"/>
            </w:tcBorders>
            <w:vAlign w:val="bottom"/>
            <w:hideMark/>
          </w:tcPr>
          <w:p w14:paraId="6B5199E3"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p>
        </w:tc>
      </w:tr>
      <w:tr w:rsidR="008D0DAB" w:rsidRPr="00D31D72" w14:paraId="3A7A64CA" w14:textId="77777777" w:rsidTr="413EB596">
        <w:tc>
          <w:tcPr>
            <w:tcW w:w="2804" w:type="pct"/>
            <w:gridSpan w:val="2"/>
            <w:tcBorders>
              <w:top w:val="nil"/>
              <w:left w:val="nil"/>
              <w:bottom w:val="nil"/>
              <w:right w:val="nil"/>
            </w:tcBorders>
            <w:noWrap/>
            <w:vAlign w:val="center"/>
            <w:hideMark/>
          </w:tcPr>
          <w:p w14:paraId="19277CE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894" w:type="pct"/>
            <w:tcBorders>
              <w:top w:val="nil"/>
              <w:left w:val="nil"/>
              <w:bottom w:val="nil"/>
              <w:right w:val="nil"/>
            </w:tcBorders>
            <w:hideMark/>
          </w:tcPr>
          <w:p w14:paraId="1AF06CB6" w14:textId="77777777" w:rsidR="008D0DAB" w:rsidRPr="00F65403" w:rsidRDefault="008D0DAB" w:rsidP="009B7B2A">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894" w:type="pct"/>
            <w:tcBorders>
              <w:top w:val="nil"/>
              <w:left w:val="nil"/>
              <w:bottom w:val="nil"/>
              <w:right w:val="nil"/>
            </w:tcBorders>
            <w:hideMark/>
          </w:tcPr>
          <w:p w14:paraId="14874914" w14:textId="77777777" w:rsidR="008D0DAB" w:rsidRPr="00F65403" w:rsidRDefault="008D0DAB" w:rsidP="009B7B2A">
            <w:pPr>
              <w:tabs>
                <w:tab w:val="decimal" w:pos="114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281,602</w:t>
            </w:r>
            <w:r w:rsidRPr="00360719">
              <w:rPr>
                <w:rFonts w:eastAsia="Times New Roman" w:cs="Arial"/>
                <w:color w:val="000000"/>
                <w:sz w:val="20"/>
                <w:szCs w:val="20"/>
                <w:lang w:eastAsia="en-AU"/>
              </w:rPr>
              <w:t xml:space="preserve"> </w:t>
            </w:r>
          </w:p>
        </w:tc>
        <w:tc>
          <w:tcPr>
            <w:tcW w:w="408" w:type="pct"/>
            <w:tcBorders>
              <w:top w:val="nil"/>
              <w:left w:val="nil"/>
              <w:bottom w:val="nil"/>
              <w:right w:val="nil"/>
            </w:tcBorders>
            <w:hideMark/>
          </w:tcPr>
          <w:p w14:paraId="250B3845"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281,602</w:t>
            </w:r>
            <w:r w:rsidRPr="00360719">
              <w:rPr>
                <w:rFonts w:eastAsia="Times New Roman" w:cs="Arial"/>
                <w:b/>
                <w:bCs/>
                <w:color w:val="000000"/>
                <w:sz w:val="20"/>
                <w:szCs w:val="20"/>
                <w:lang w:eastAsia="en-AU"/>
              </w:rPr>
              <w:t xml:space="preserve"> </w:t>
            </w:r>
          </w:p>
        </w:tc>
      </w:tr>
      <w:tr w:rsidR="008D0DAB" w:rsidRPr="00D31D72" w14:paraId="227D1AE2" w14:textId="77777777" w:rsidTr="413EB596">
        <w:tc>
          <w:tcPr>
            <w:tcW w:w="2804" w:type="pct"/>
            <w:gridSpan w:val="2"/>
            <w:tcBorders>
              <w:top w:val="nil"/>
              <w:left w:val="nil"/>
              <w:bottom w:val="nil"/>
              <w:right w:val="nil"/>
            </w:tcBorders>
            <w:noWrap/>
            <w:vAlign w:val="center"/>
          </w:tcPr>
          <w:p w14:paraId="04797C4B" w14:textId="77777777" w:rsidR="008D0DAB" w:rsidRPr="00F65403" w:rsidRDefault="008D0DAB" w:rsidP="009B7B2A">
            <w:pPr>
              <w:spacing w:after="0" w:line="240" w:lineRule="auto"/>
              <w:rPr>
                <w:rFonts w:eastAsia="Times New Roman" w:cs="Arial"/>
                <w:color w:val="000000"/>
                <w:sz w:val="20"/>
                <w:szCs w:val="20"/>
                <w:lang w:eastAsia="en-AU"/>
              </w:rPr>
            </w:pPr>
            <w:r w:rsidRPr="00AB757B">
              <w:rPr>
                <w:rFonts w:eastAsia="Times New Roman" w:cs="Arial"/>
                <w:color w:val="000000"/>
                <w:sz w:val="20"/>
                <w:szCs w:val="20"/>
                <w:lang w:eastAsia="en-AU"/>
              </w:rPr>
              <w:t>Derivative financial instruments</w:t>
            </w:r>
          </w:p>
        </w:tc>
        <w:tc>
          <w:tcPr>
            <w:tcW w:w="894" w:type="pct"/>
            <w:tcBorders>
              <w:top w:val="nil"/>
              <w:left w:val="nil"/>
              <w:bottom w:val="nil"/>
              <w:right w:val="nil"/>
            </w:tcBorders>
          </w:tcPr>
          <w:p w14:paraId="43A1F3BB" w14:textId="77777777" w:rsidR="008D0DAB" w:rsidRPr="00F65403" w:rsidRDefault="008D0DAB" w:rsidP="009B7B2A">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752 </w:t>
            </w:r>
          </w:p>
        </w:tc>
        <w:tc>
          <w:tcPr>
            <w:tcW w:w="894" w:type="pct"/>
            <w:tcBorders>
              <w:top w:val="nil"/>
              <w:left w:val="nil"/>
              <w:bottom w:val="nil"/>
              <w:right w:val="nil"/>
            </w:tcBorders>
          </w:tcPr>
          <w:p w14:paraId="37102666" w14:textId="77777777" w:rsidR="008D0DAB" w:rsidRPr="00F65403" w:rsidRDefault="008D0DAB" w:rsidP="009B7B2A">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408" w:type="pct"/>
            <w:tcBorders>
              <w:top w:val="nil"/>
              <w:left w:val="nil"/>
              <w:bottom w:val="nil"/>
              <w:right w:val="nil"/>
            </w:tcBorders>
          </w:tcPr>
          <w:p w14:paraId="019DEC41"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752 </w:t>
            </w:r>
          </w:p>
        </w:tc>
      </w:tr>
      <w:tr w:rsidR="008D0DAB" w:rsidRPr="00D31D72" w14:paraId="362F9C3E" w14:textId="77777777" w:rsidTr="413EB596">
        <w:tc>
          <w:tcPr>
            <w:tcW w:w="2804" w:type="pct"/>
            <w:gridSpan w:val="2"/>
            <w:tcBorders>
              <w:top w:val="nil"/>
              <w:left w:val="nil"/>
              <w:bottom w:val="nil"/>
              <w:right w:val="nil"/>
            </w:tcBorders>
            <w:noWrap/>
            <w:vAlign w:val="center"/>
            <w:hideMark/>
          </w:tcPr>
          <w:p w14:paraId="347D1C75"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Lease liabilities</w:t>
            </w:r>
          </w:p>
        </w:tc>
        <w:tc>
          <w:tcPr>
            <w:tcW w:w="894" w:type="pct"/>
            <w:tcBorders>
              <w:top w:val="nil"/>
              <w:left w:val="nil"/>
              <w:bottom w:val="nil"/>
              <w:right w:val="nil"/>
            </w:tcBorders>
            <w:hideMark/>
          </w:tcPr>
          <w:p w14:paraId="3EB97701" w14:textId="77777777" w:rsidR="008D0DAB" w:rsidRPr="00F65403" w:rsidRDefault="008D0DAB" w:rsidP="009B7B2A">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894" w:type="pct"/>
            <w:tcBorders>
              <w:top w:val="nil"/>
              <w:left w:val="nil"/>
              <w:bottom w:val="nil"/>
              <w:right w:val="nil"/>
            </w:tcBorders>
            <w:hideMark/>
          </w:tcPr>
          <w:p w14:paraId="6C172FEC" w14:textId="77777777" w:rsidR="008D0DAB" w:rsidRPr="00F65403" w:rsidRDefault="008D0DAB" w:rsidP="009B7B2A">
            <w:pPr>
              <w:tabs>
                <w:tab w:val="decimal" w:pos="1143"/>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w:t>
            </w:r>
            <w:r>
              <w:rPr>
                <w:rFonts w:eastAsia="Times New Roman" w:cs="Arial"/>
                <w:color w:val="000000" w:themeColor="text1"/>
                <w:sz w:val="20"/>
                <w:szCs w:val="20"/>
                <w:lang w:eastAsia="en-AU"/>
              </w:rPr>
              <w:t>6,546</w:t>
            </w:r>
          </w:p>
        </w:tc>
        <w:tc>
          <w:tcPr>
            <w:tcW w:w="408" w:type="pct"/>
            <w:tcBorders>
              <w:top w:val="nil"/>
              <w:left w:val="nil"/>
              <w:bottom w:val="nil"/>
              <w:right w:val="nil"/>
            </w:tcBorders>
            <w:hideMark/>
          </w:tcPr>
          <w:p w14:paraId="50966F10"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 xml:space="preserve"> </w:t>
            </w:r>
            <w:r>
              <w:rPr>
                <w:rFonts w:eastAsia="Times New Roman" w:cs="Arial"/>
                <w:b/>
                <w:bCs/>
                <w:color w:val="000000" w:themeColor="text1"/>
                <w:sz w:val="20"/>
                <w:szCs w:val="20"/>
                <w:lang w:eastAsia="en-AU"/>
              </w:rPr>
              <w:t>6,546</w:t>
            </w:r>
            <w:r w:rsidRPr="49BCD735">
              <w:rPr>
                <w:rFonts w:eastAsia="Times New Roman" w:cs="Arial"/>
                <w:b/>
                <w:bCs/>
                <w:color w:val="000000" w:themeColor="text1"/>
                <w:sz w:val="20"/>
                <w:szCs w:val="20"/>
                <w:lang w:eastAsia="en-AU"/>
              </w:rPr>
              <w:t xml:space="preserve"> </w:t>
            </w:r>
          </w:p>
        </w:tc>
      </w:tr>
      <w:tr w:rsidR="008D0DAB" w:rsidRPr="00D31D72" w14:paraId="3EBCD1A3" w14:textId="77777777" w:rsidTr="413EB596">
        <w:trPr>
          <w:trHeight w:val="20"/>
        </w:trPr>
        <w:tc>
          <w:tcPr>
            <w:tcW w:w="2804" w:type="pct"/>
            <w:gridSpan w:val="2"/>
            <w:tcBorders>
              <w:top w:val="nil"/>
              <w:left w:val="nil"/>
              <w:bottom w:val="nil"/>
              <w:right w:val="nil"/>
            </w:tcBorders>
            <w:vAlign w:val="center"/>
            <w:hideMark/>
          </w:tcPr>
          <w:p w14:paraId="5B89D1C9"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894" w:type="pct"/>
            <w:tcBorders>
              <w:top w:val="single" w:sz="8" w:space="0" w:color="auto"/>
              <w:left w:val="nil"/>
              <w:bottom w:val="single" w:sz="8" w:space="0" w:color="auto"/>
              <w:right w:val="nil"/>
            </w:tcBorders>
            <w:hideMark/>
          </w:tcPr>
          <w:p w14:paraId="5141EF00" w14:textId="77777777" w:rsidR="008D0DAB" w:rsidRPr="00360719" w:rsidRDefault="008D0DAB" w:rsidP="009B7B2A">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752 </w:t>
            </w:r>
          </w:p>
        </w:tc>
        <w:tc>
          <w:tcPr>
            <w:tcW w:w="894" w:type="pct"/>
            <w:tcBorders>
              <w:top w:val="single" w:sz="8" w:space="0" w:color="auto"/>
              <w:left w:val="nil"/>
              <w:bottom w:val="single" w:sz="8" w:space="0" w:color="auto"/>
              <w:right w:val="nil"/>
            </w:tcBorders>
            <w:hideMark/>
          </w:tcPr>
          <w:p w14:paraId="697AAAD0" w14:textId="77777777" w:rsidR="008D0DAB" w:rsidRPr="00360719" w:rsidRDefault="008D0DAB" w:rsidP="009B7B2A">
            <w:pPr>
              <w:tabs>
                <w:tab w:val="decimal" w:pos="1143"/>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288,148</w:t>
            </w:r>
          </w:p>
        </w:tc>
        <w:tc>
          <w:tcPr>
            <w:tcW w:w="408" w:type="pct"/>
            <w:tcBorders>
              <w:top w:val="single" w:sz="8" w:space="0" w:color="auto"/>
              <w:left w:val="nil"/>
              <w:bottom w:val="single" w:sz="8" w:space="0" w:color="auto"/>
              <w:right w:val="nil"/>
            </w:tcBorders>
            <w:hideMark/>
          </w:tcPr>
          <w:p w14:paraId="21F7E945" w14:textId="77777777" w:rsidR="008D0DAB" w:rsidRPr="00360719" w:rsidRDefault="008D0DAB" w:rsidP="009B7B2A">
            <w:pPr>
              <w:tabs>
                <w:tab w:val="decimal" w:pos="1003"/>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288,900</w:t>
            </w:r>
          </w:p>
        </w:tc>
      </w:tr>
      <w:tr w:rsidR="008D0DAB" w:rsidRPr="00D31D72" w14:paraId="4C2F771E" w14:textId="77777777" w:rsidTr="413EB596">
        <w:tc>
          <w:tcPr>
            <w:tcW w:w="2804" w:type="pct"/>
            <w:gridSpan w:val="2"/>
            <w:tcBorders>
              <w:top w:val="nil"/>
              <w:left w:val="nil"/>
              <w:bottom w:val="nil"/>
              <w:right w:val="nil"/>
            </w:tcBorders>
            <w:noWrap/>
            <w:vAlign w:val="bottom"/>
            <w:hideMark/>
          </w:tcPr>
          <w:p w14:paraId="6CC31E52"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894" w:type="pct"/>
            <w:tcBorders>
              <w:top w:val="nil"/>
              <w:left w:val="nil"/>
              <w:bottom w:val="nil"/>
              <w:right w:val="nil"/>
            </w:tcBorders>
            <w:noWrap/>
            <w:vAlign w:val="bottom"/>
            <w:hideMark/>
          </w:tcPr>
          <w:p w14:paraId="146F3444"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c>
          <w:tcPr>
            <w:tcW w:w="894" w:type="pct"/>
            <w:tcBorders>
              <w:top w:val="nil"/>
              <w:left w:val="nil"/>
              <w:bottom w:val="nil"/>
              <w:right w:val="nil"/>
            </w:tcBorders>
            <w:noWrap/>
            <w:vAlign w:val="bottom"/>
            <w:hideMark/>
          </w:tcPr>
          <w:p w14:paraId="0934CD94"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c>
          <w:tcPr>
            <w:tcW w:w="408" w:type="pct"/>
            <w:tcBorders>
              <w:top w:val="nil"/>
              <w:left w:val="nil"/>
              <w:bottom w:val="nil"/>
              <w:right w:val="nil"/>
            </w:tcBorders>
            <w:noWrap/>
            <w:vAlign w:val="bottom"/>
            <w:hideMark/>
          </w:tcPr>
          <w:p w14:paraId="49BF5512" w14:textId="77777777" w:rsidR="008D0DAB" w:rsidRPr="00F65403" w:rsidRDefault="008D0DAB" w:rsidP="009B7B2A">
            <w:pPr>
              <w:tabs>
                <w:tab w:val="decimal" w:pos="1096"/>
              </w:tabs>
              <w:spacing w:after="0" w:line="240" w:lineRule="auto"/>
              <w:rPr>
                <w:rFonts w:eastAsia="Times New Roman" w:cs="Arial"/>
                <w:sz w:val="20"/>
                <w:szCs w:val="20"/>
                <w:lang w:eastAsia="en-AU"/>
              </w:rPr>
            </w:pPr>
          </w:p>
        </w:tc>
      </w:tr>
      <w:tr w:rsidR="008D0DAB" w:rsidRPr="00D31D72" w14:paraId="4041E0DB" w14:textId="77777777" w:rsidTr="413EB596">
        <w:tc>
          <w:tcPr>
            <w:tcW w:w="2652" w:type="pct"/>
            <w:tcBorders>
              <w:top w:val="nil"/>
              <w:left w:val="nil"/>
              <w:bottom w:val="nil"/>
              <w:right w:val="nil"/>
            </w:tcBorders>
            <w:vAlign w:val="bottom"/>
          </w:tcPr>
          <w:p w14:paraId="53F9A319" w14:textId="77777777" w:rsidR="008D0DAB" w:rsidRDefault="008D0DAB" w:rsidP="009B7B2A">
            <w:pPr>
              <w:spacing w:after="0" w:line="240" w:lineRule="auto"/>
              <w:rPr>
                <w:rFonts w:eastAsia="Times New Roman" w:cs="Arial"/>
                <w:b/>
                <w:color w:val="000000"/>
                <w:sz w:val="20"/>
                <w:szCs w:val="20"/>
                <w:lang w:eastAsia="en-AU"/>
              </w:rPr>
            </w:pPr>
          </w:p>
        </w:tc>
        <w:tc>
          <w:tcPr>
            <w:tcW w:w="2348" w:type="pct"/>
            <w:gridSpan w:val="4"/>
            <w:tcBorders>
              <w:top w:val="nil"/>
              <w:left w:val="nil"/>
              <w:bottom w:val="nil"/>
              <w:right w:val="nil"/>
            </w:tcBorders>
            <w:vAlign w:val="center"/>
          </w:tcPr>
          <w:p w14:paraId="2AF2D0D2" w14:textId="77777777" w:rsidR="008D0DAB" w:rsidRDefault="008D0DAB" w:rsidP="009B7B2A">
            <w:pPr>
              <w:spacing w:after="0" w:line="240" w:lineRule="auto"/>
              <w:jc w:val="center"/>
              <w:rPr>
                <w:rFonts w:eastAsia="Times New Roman" w:cs="Arial"/>
                <w:b/>
                <w:color w:val="000000"/>
                <w:sz w:val="20"/>
                <w:szCs w:val="20"/>
                <w:lang w:eastAsia="en-AU"/>
              </w:rPr>
            </w:pPr>
          </w:p>
        </w:tc>
      </w:tr>
      <w:tr w:rsidR="008D0DAB" w:rsidRPr="00D31D72" w14:paraId="45421ACC" w14:textId="77777777" w:rsidTr="413EB596">
        <w:tc>
          <w:tcPr>
            <w:tcW w:w="2652" w:type="pct"/>
            <w:tcBorders>
              <w:top w:val="nil"/>
              <w:left w:val="nil"/>
              <w:bottom w:val="nil"/>
              <w:right w:val="nil"/>
            </w:tcBorders>
            <w:vAlign w:val="bottom"/>
          </w:tcPr>
          <w:p w14:paraId="3A5BFFDC" w14:textId="77777777" w:rsidR="008D0DAB" w:rsidRPr="00F65403" w:rsidRDefault="008D0DAB" w:rsidP="009B7B2A">
            <w:pPr>
              <w:spacing w:after="0" w:line="240" w:lineRule="auto"/>
              <w:rPr>
                <w:rFonts w:eastAsia="Times New Roman" w:cs="Arial"/>
                <w:b/>
                <w:color w:val="000000"/>
                <w:sz w:val="20"/>
                <w:szCs w:val="20"/>
                <w:lang w:eastAsia="en-AU"/>
              </w:rPr>
            </w:pPr>
          </w:p>
        </w:tc>
        <w:tc>
          <w:tcPr>
            <w:tcW w:w="2348" w:type="pct"/>
            <w:gridSpan w:val="4"/>
            <w:tcBorders>
              <w:top w:val="nil"/>
              <w:left w:val="nil"/>
              <w:bottom w:val="nil"/>
              <w:right w:val="nil"/>
            </w:tcBorders>
            <w:vAlign w:val="center"/>
          </w:tcPr>
          <w:p w14:paraId="76736DA4"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Carrying value</w:t>
            </w:r>
          </w:p>
        </w:tc>
      </w:tr>
      <w:tr w:rsidR="008D0DAB" w:rsidRPr="00D31D72" w14:paraId="030794BD" w14:textId="77777777" w:rsidTr="413EB596">
        <w:tc>
          <w:tcPr>
            <w:tcW w:w="2652" w:type="pct"/>
            <w:tcBorders>
              <w:top w:val="nil"/>
              <w:left w:val="nil"/>
              <w:bottom w:val="nil"/>
              <w:right w:val="nil"/>
            </w:tcBorders>
            <w:vAlign w:val="bottom"/>
          </w:tcPr>
          <w:p w14:paraId="140AE572" w14:textId="77777777" w:rsidR="008D0DAB" w:rsidRPr="00F65403" w:rsidRDefault="008D0DAB" w:rsidP="009B7B2A">
            <w:pPr>
              <w:spacing w:after="0" w:line="240" w:lineRule="auto"/>
              <w:rPr>
                <w:rFonts w:eastAsia="Times New Roman" w:cs="Arial"/>
                <w:b/>
                <w:color w:val="000000"/>
                <w:sz w:val="20"/>
                <w:szCs w:val="20"/>
                <w:lang w:eastAsia="en-AU"/>
              </w:rPr>
            </w:pPr>
          </w:p>
        </w:tc>
        <w:tc>
          <w:tcPr>
            <w:tcW w:w="2348" w:type="pct"/>
            <w:gridSpan w:val="4"/>
            <w:tcBorders>
              <w:top w:val="nil"/>
              <w:left w:val="nil"/>
              <w:bottom w:val="nil"/>
              <w:right w:val="nil"/>
            </w:tcBorders>
            <w:vAlign w:val="center"/>
          </w:tcPr>
          <w:p w14:paraId="0110F805"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$000’s</w:t>
            </w:r>
          </w:p>
        </w:tc>
      </w:tr>
      <w:tr w:rsidR="008D0DAB" w:rsidRPr="00D31D72" w14:paraId="42E91B28" w14:textId="77777777" w:rsidTr="413EB596">
        <w:tc>
          <w:tcPr>
            <w:tcW w:w="2652" w:type="pct"/>
            <w:tcBorders>
              <w:top w:val="nil"/>
              <w:left w:val="nil"/>
              <w:bottom w:val="nil"/>
              <w:right w:val="nil"/>
            </w:tcBorders>
            <w:vAlign w:val="bottom"/>
            <w:hideMark/>
          </w:tcPr>
          <w:p w14:paraId="54E1BDA0"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894" w:type="pct"/>
            <w:gridSpan w:val="2"/>
            <w:tcBorders>
              <w:top w:val="nil"/>
              <w:left w:val="nil"/>
              <w:bottom w:val="nil"/>
              <w:right w:val="nil"/>
            </w:tcBorders>
            <w:vAlign w:val="center"/>
            <w:hideMark/>
          </w:tcPr>
          <w:p w14:paraId="7334737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894" w:type="pct"/>
            <w:tcBorders>
              <w:top w:val="nil"/>
              <w:left w:val="nil"/>
              <w:bottom w:val="nil"/>
              <w:right w:val="nil"/>
            </w:tcBorders>
            <w:vAlign w:val="center"/>
            <w:hideMark/>
          </w:tcPr>
          <w:p w14:paraId="3E3F2AC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560" w:type="pct"/>
            <w:tcBorders>
              <w:top w:val="nil"/>
              <w:left w:val="nil"/>
              <w:bottom w:val="nil"/>
              <w:right w:val="nil"/>
            </w:tcBorders>
            <w:vAlign w:val="center"/>
            <w:hideMark/>
          </w:tcPr>
          <w:p w14:paraId="1859AA5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D31D72" w14:paraId="59456D90" w14:textId="77777777" w:rsidTr="413EB596">
        <w:tc>
          <w:tcPr>
            <w:tcW w:w="2652" w:type="pct"/>
            <w:tcBorders>
              <w:top w:val="nil"/>
              <w:left w:val="nil"/>
              <w:bottom w:val="nil"/>
              <w:right w:val="nil"/>
            </w:tcBorders>
            <w:noWrap/>
            <w:vAlign w:val="center"/>
            <w:hideMark/>
          </w:tcPr>
          <w:p w14:paraId="03C3ACEB"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894" w:type="pct"/>
            <w:gridSpan w:val="2"/>
            <w:tcBorders>
              <w:top w:val="nil"/>
              <w:left w:val="nil"/>
              <w:bottom w:val="nil"/>
              <w:right w:val="nil"/>
            </w:tcBorders>
            <w:vAlign w:val="bottom"/>
            <w:hideMark/>
          </w:tcPr>
          <w:p w14:paraId="04CD6F9E"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894" w:type="pct"/>
            <w:tcBorders>
              <w:top w:val="nil"/>
              <w:left w:val="nil"/>
              <w:bottom w:val="nil"/>
              <w:right w:val="nil"/>
            </w:tcBorders>
            <w:vAlign w:val="bottom"/>
            <w:hideMark/>
          </w:tcPr>
          <w:p w14:paraId="583FB55F"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560" w:type="pct"/>
            <w:tcBorders>
              <w:top w:val="nil"/>
              <w:left w:val="nil"/>
              <w:bottom w:val="nil"/>
              <w:right w:val="nil"/>
            </w:tcBorders>
            <w:vAlign w:val="bottom"/>
            <w:hideMark/>
          </w:tcPr>
          <w:p w14:paraId="1F1DE776"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r>
      <w:tr w:rsidR="008D0DAB" w:rsidRPr="00D31D72" w14:paraId="6CE5913E" w14:textId="77777777" w:rsidTr="413EB596">
        <w:tc>
          <w:tcPr>
            <w:tcW w:w="2652" w:type="pct"/>
            <w:tcBorders>
              <w:top w:val="nil"/>
              <w:left w:val="nil"/>
              <w:bottom w:val="nil"/>
              <w:right w:val="nil"/>
            </w:tcBorders>
            <w:noWrap/>
            <w:vAlign w:val="center"/>
            <w:hideMark/>
          </w:tcPr>
          <w:p w14:paraId="57890308"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894" w:type="pct"/>
            <w:gridSpan w:val="2"/>
            <w:tcBorders>
              <w:top w:val="nil"/>
              <w:left w:val="nil"/>
              <w:bottom w:val="nil"/>
              <w:right w:val="nil"/>
            </w:tcBorders>
            <w:vAlign w:val="bottom"/>
            <w:hideMark/>
          </w:tcPr>
          <w:p w14:paraId="3E461BF4"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94" w:type="pct"/>
            <w:tcBorders>
              <w:top w:val="nil"/>
              <w:left w:val="nil"/>
              <w:bottom w:val="nil"/>
              <w:right w:val="nil"/>
            </w:tcBorders>
            <w:vAlign w:val="bottom"/>
            <w:hideMark/>
          </w:tcPr>
          <w:p w14:paraId="22AB3583"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560" w:type="pct"/>
            <w:tcBorders>
              <w:top w:val="nil"/>
              <w:left w:val="nil"/>
              <w:bottom w:val="nil"/>
              <w:right w:val="nil"/>
            </w:tcBorders>
            <w:vAlign w:val="bottom"/>
            <w:hideMark/>
          </w:tcPr>
          <w:p w14:paraId="1D309C36"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D31D72" w14:paraId="72465CC5" w14:textId="77777777" w:rsidTr="413EB596">
        <w:tc>
          <w:tcPr>
            <w:tcW w:w="2652" w:type="pct"/>
            <w:tcBorders>
              <w:top w:val="nil"/>
              <w:left w:val="nil"/>
              <w:bottom w:val="nil"/>
              <w:right w:val="nil"/>
            </w:tcBorders>
            <w:noWrap/>
            <w:vAlign w:val="center"/>
            <w:hideMark/>
          </w:tcPr>
          <w:p w14:paraId="3E01D842"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Receivables</w:t>
            </w:r>
          </w:p>
        </w:tc>
        <w:tc>
          <w:tcPr>
            <w:tcW w:w="894" w:type="pct"/>
            <w:gridSpan w:val="2"/>
            <w:tcBorders>
              <w:top w:val="nil"/>
              <w:left w:val="nil"/>
              <w:bottom w:val="nil"/>
              <w:right w:val="nil"/>
            </w:tcBorders>
            <w:vAlign w:val="bottom"/>
            <w:hideMark/>
          </w:tcPr>
          <w:p w14:paraId="67D222A2"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94" w:type="pct"/>
            <w:tcBorders>
              <w:top w:val="nil"/>
              <w:left w:val="nil"/>
              <w:bottom w:val="nil"/>
              <w:right w:val="nil"/>
            </w:tcBorders>
            <w:vAlign w:val="bottom"/>
            <w:hideMark/>
          </w:tcPr>
          <w:p w14:paraId="038785B6"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560" w:type="pct"/>
            <w:tcBorders>
              <w:top w:val="nil"/>
              <w:left w:val="nil"/>
              <w:bottom w:val="nil"/>
              <w:right w:val="nil"/>
            </w:tcBorders>
            <w:vAlign w:val="bottom"/>
            <w:hideMark/>
          </w:tcPr>
          <w:p w14:paraId="012136F7"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D31D72" w14:paraId="3D9EB80D" w14:textId="77777777" w:rsidTr="413EB596">
        <w:tc>
          <w:tcPr>
            <w:tcW w:w="2652" w:type="pct"/>
            <w:tcBorders>
              <w:top w:val="nil"/>
              <w:left w:val="nil"/>
              <w:bottom w:val="nil"/>
              <w:right w:val="nil"/>
            </w:tcBorders>
            <w:noWrap/>
            <w:vAlign w:val="center"/>
            <w:hideMark/>
          </w:tcPr>
          <w:p w14:paraId="1061F6DE"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894" w:type="pct"/>
            <w:gridSpan w:val="2"/>
            <w:tcBorders>
              <w:top w:val="single" w:sz="4" w:space="0" w:color="auto"/>
              <w:left w:val="nil"/>
              <w:bottom w:val="single" w:sz="4" w:space="0" w:color="auto"/>
              <w:right w:val="nil"/>
            </w:tcBorders>
            <w:vAlign w:val="bottom"/>
            <w:hideMark/>
          </w:tcPr>
          <w:p w14:paraId="19486710"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894" w:type="pct"/>
            <w:tcBorders>
              <w:top w:val="single" w:sz="4" w:space="0" w:color="auto"/>
              <w:left w:val="nil"/>
              <w:bottom w:val="single" w:sz="4" w:space="0" w:color="auto"/>
              <w:right w:val="nil"/>
            </w:tcBorders>
            <w:vAlign w:val="bottom"/>
            <w:hideMark/>
          </w:tcPr>
          <w:p w14:paraId="09A67E13"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560" w:type="pct"/>
            <w:tcBorders>
              <w:top w:val="single" w:sz="4" w:space="0" w:color="auto"/>
              <w:left w:val="nil"/>
              <w:bottom w:val="single" w:sz="4" w:space="0" w:color="auto"/>
              <w:right w:val="nil"/>
            </w:tcBorders>
            <w:vAlign w:val="bottom"/>
            <w:hideMark/>
          </w:tcPr>
          <w:p w14:paraId="533F474A"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8D0DAB" w:rsidRPr="00D31D72" w14:paraId="3059ACBB" w14:textId="77777777" w:rsidTr="413EB596">
        <w:tc>
          <w:tcPr>
            <w:tcW w:w="2652" w:type="pct"/>
            <w:tcBorders>
              <w:top w:val="nil"/>
              <w:left w:val="nil"/>
              <w:bottom w:val="nil"/>
              <w:right w:val="nil"/>
            </w:tcBorders>
            <w:noWrap/>
            <w:vAlign w:val="center"/>
            <w:hideMark/>
          </w:tcPr>
          <w:p w14:paraId="0D07A038"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894" w:type="pct"/>
            <w:gridSpan w:val="2"/>
            <w:tcBorders>
              <w:top w:val="nil"/>
              <w:left w:val="nil"/>
              <w:bottom w:val="nil"/>
              <w:right w:val="nil"/>
            </w:tcBorders>
            <w:vAlign w:val="bottom"/>
            <w:hideMark/>
          </w:tcPr>
          <w:p w14:paraId="789A417B"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894" w:type="pct"/>
            <w:tcBorders>
              <w:top w:val="nil"/>
              <w:left w:val="nil"/>
              <w:bottom w:val="nil"/>
              <w:right w:val="nil"/>
            </w:tcBorders>
            <w:vAlign w:val="bottom"/>
            <w:hideMark/>
          </w:tcPr>
          <w:p w14:paraId="50CF1447"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560" w:type="pct"/>
            <w:tcBorders>
              <w:top w:val="nil"/>
              <w:left w:val="nil"/>
              <w:bottom w:val="nil"/>
              <w:right w:val="nil"/>
            </w:tcBorders>
            <w:vAlign w:val="bottom"/>
            <w:hideMark/>
          </w:tcPr>
          <w:p w14:paraId="3349C6BA"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r>
      <w:tr w:rsidR="008D0DAB" w:rsidRPr="00D31D72" w14:paraId="7E079B91" w14:textId="77777777" w:rsidTr="413EB596">
        <w:tc>
          <w:tcPr>
            <w:tcW w:w="2652" w:type="pct"/>
            <w:tcBorders>
              <w:top w:val="nil"/>
              <w:left w:val="nil"/>
              <w:bottom w:val="nil"/>
              <w:right w:val="nil"/>
            </w:tcBorders>
            <w:noWrap/>
            <w:vAlign w:val="center"/>
            <w:hideMark/>
          </w:tcPr>
          <w:p w14:paraId="7B444FA2"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894" w:type="pct"/>
            <w:gridSpan w:val="2"/>
            <w:tcBorders>
              <w:top w:val="nil"/>
              <w:left w:val="nil"/>
              <w:bottom w:val="nil"/>
              <w:right w:val="nil"/>
            </w:tcBorders>
            <w:vAlign w:val="bottom"/>
            <w:hideMark/>
          </w:tcPr>
          <w:p w14:paraId="06AFE18E"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894" w:type="pct"/>
            <w:tcBorders>
              <w:top w:val="nil"/>
              <w:left w:val="nil"/>
              <w:bottom w:val="nil"/>
              <w:right w:val="nil"/>
            </w:tcBorders>
            <w:vAlign w:val="bottom"/>
            <w:hideMark/>
          </w:tcPr>
          <w:p w14:paraId="246CC70D"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c>
          <w:tcPr>
            <w:tcW w:w="560" w:type="pct"/>
            <w:tcBorders>
              <w:top w:val="nil"/>
              <w:left w:val="nil"/>
              <w:bottom w:val="nil"/>
              <w:right w:val="nil"/>
            </w:tcBorders>
            <w:vAlign w:val="bottom"/>
            <w:hideMark/>
          </w:tcPr>
          <w:p w14:paraId="7C1CF59E" w14:textId="77777777" w:rsidR="008D0DAB" w:rsidRPr="00F65403" w:rsidRDefault="008D0DAB" w:rsidP="009B7B2A">
            <w:pPr>
              <w:tabs>
                <w:tab w:val="decimal" w:pos="1101"/>
              </w:tabs>
              <w:spacing w:after="0" w:line="240" w:lineRule="auto"/>
              <w:rPr>
                <w:rFonts w:eastAsia="Times New Roman" w:cs="Arial"/>
                <w:sz w:val="20"/>
                <w:szCs w:val="20"/>
                <w:lang w:eastAsia="en-AU"/>
              </w:rPr>
            </w:pPr>
          </w:p>
        </w:tc>
      </w:tr>
      <w:tr w:rsidR="008D0DAB" w:rsidRPr="00D31D72" w14:paraId="29D476EA" w14:textId="77777777" w:rsidTr="413EB596">
        <w:tc>
          <w:tcPr>
            <w:tcW w:w="2652" w:type="pct"/>
            <w:tcBorders>
              <w:top w:val="nil"/>
              <w:left w:val="nil"/>
              <w:bottom w:val="nil"/>
              <w:right w:val="nil"/>
            </w:tcBorders>
            <w:noWrap/>
            <w:vAlign w:val="center"/>
            <w:hideMark/>
          </w:tcPr>
          <w:p w14:paraId="04E7FC8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894" w:type="pct"/>
            <w:gridSpan w:val="2"/>
            <w:tcBorders>
              <w:top w:val="nil"/>
              <w:left w:val="nil"/>
              <w:bottom w:val="nil"/>
              <w:right w:val="nil"/>
            </w:tcBorders>
            <w:vAlign w:val="bottom"/>
            <w:hideMark/>
          </w:tcPr>
          <w:p w14:paraId="52D02581"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894" w:type="pct"/>
            <w:tcBorders>
              <w:top w:val="nil"/>
              <w:left w:val="nil"/>
              <w:bottom w:val="nil"/>
              <w:right w:val="nil"/>
            </w:tcBorders>
            <w:vAlign w:val="bottom"/>
            <w:hideMark/>
          </w:tcPr>
          <w:p w14:paraId="163BAADF"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73,125</w:t>
            </w:r>
          </w:p>
        </w:tc>
        <w:tc>
          <w:tcPr>
            <w:tcW w:w="560" w:type="pct"/>
            <w:tcBorders>
              <w:top w:val="nil"/>
              <w:left w:val="nil"/>
              <w:bottom w:val="nil"/>
              <w:right w:val="nil"/>
            </w:tcBorders>
            <w:vAlign w:val="bottom"/>
            <w:hideMark/>
          </w:tcPr>
          <w:p w14:paraId="0A16DACC" w14:textId="77777777" w:rsidR="008D0DAB" w:rsidRPr="00F65403" w:rsidRDefault="008D0DAB" w:rsidP="009B7B2A">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73,125</w:t>
            </w:r>
          </w:p>
        </w:tc>
      </w:tr>
      <w:tr w:rsidR="008D0DAB" w:rsidRPr="00D31D72" w14:paraId="713C78B6" w14:textId="77777777" w:rsidTr="413EB596">
        <w:tc>
          <w:tcPr>
            <w:tcW w:w="2652" w:type="pct"/>
            <w:tcBorders>
              <w:top w:val="nil"/>
              <w:left w:val="nil"/>
              <w:bottom w:val="nil"/>
              <w:right w:val="nil"/>
            </w:tcBorders>
            <w:vAlign w:val="center"/>
            <w:hideMark/>
          </w:tcPr>
          <w:p w14:paraId="56E2A854"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894" w:type="pct"/>
            <w:gridSpan w:val="2"/>
            <w:tcBorders>
              <w:top w:val="single" w:sz="4" w:space="0" w:color="auto"/>
              <w:left w:val="nil"/>
              <w:bottom w:val="single" w:sz="4" w:space="0" w:color="auto"/>
              <w:right w:val="nil"/>
            </w:tcBorders>
            <w:vAlign w:val="bottom"/>
            <w:hideMark/>
          </w:tcPr>
          <w:p w14:paraId="506076A1"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894" w:type="pct"/>
            <w:tcBorders>
              <w:top w:val="single" w:sz="4" w:space="0" w:color="auto"/>
              <w:left w:val="nil"/>
              <w:bottom w:val="single" w:sz="4" w:space="0" w:color="auto"/>
              <w:right w:val="nil"/>
            </w:tcBorders>
            <w:vAlign w:val="bottom"/>
            <w:hideMark/>
          </w:tcPr>
          <w:p w14:paraId="1FB3EFB5"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73,125</w:t>
            </w:r>
            <w:r w:rsidRPr="00F65403">
              <w:rPr>
                <w:rFonts w:eastAsia="Times New Roman" w:cs="Arial"/>
                <w:b/>
                <w:color w:val="000000"/>
                <w:sz w:val="20"/>
                <w:szCs w:val="20"/>
                <w:lang w:eastAsia="en-AU"/>
              </w:rPr>
              <w:t xml:space="preserve"> </w:t>
            </w:r>
          </w:p>
        </w:tc>
        <w:tc>
          <w:tcPr>
            <w:tcW w:w="560" w:type="pct"/>
            <w:tcBorders>
              <w:top w:val="single" w:sz="4" w:space="0" w:color="auto"/>
              <w:left w:val="nil"/>
              <w:bottom w:val="single" w:sz="4" w:space="0" w:color="auto"/>
              <w:right w:val="nil"/>
            </w:tcBorders>
            <w:vAlign w:val="bottom"/>
            <w:hideMark/>
          </w:tcPr>
          <w:p w14:paraId="54FFB7D6" w14:textId="77777777" w:rsidR="008D0DAB" w:rsidRPr="00F65403" w:rsidRDefault="008D0DAB" w:rsidP="009B7B2A">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73,125</w:t>
            </w:r>
          </w:p>
        </w:tc>
      </w:tr>
    </w:tbl>
    <w:p w14:paraId="37EFD481" w14:textId="6B20627B" w:rsidR="00775163" w:rsidRDefault="00775163" w:rsidP="008D0DAB">
      <w:pPr>
        <w:pStyle w:val="BodyText"/>
        <w:rPr>
          <w:lang w:val="en-AU"/>
        </w:rPr>
      </w:pPr>
    </w:p>
    <w:p w14:paraId="546F060A" w14:textId="77777777" w:rsidR="00775163" w:rsidRDefault="00775163">
      <w:pPr>
        <w:rPr>
          <w:rFonts w:eastAsia="Arial" w:cs="Arial"/>
          <w:sz w:val="20"/>
          <w:szCs w:val="20"/>
        </w:rPr>
      </w:pPr>
      <w:r>
        <w:br w:type="page"/>
      </w:r>
    </w:p>
    <w:p w14:paraId="584F0930" w14:textId="77777777" w:rsidR="008D0DAB" w:rsidRPr="00F65403" w:rsidRDefault="008D0DAB" w:rsidP="008D0DAB">
      <w:pPr>
        <w:pStyle w:val="BodyText"/>
        <w:rPr>
          <w:lang w:val="en-AU"/>
        </w:rPr>
      </w:pPr>
    </w:p>
    <w:p w14:paraId="06B83268" w14:textId="77777777" w:rsidR="008D0DAB" w:rsidRPr="00F65403" w:rsidRDefault="008D0DAB" w:rsidP="008D0DAB">
      <w:pPr>
        <w:pStyle w:val="Heading8"/>
      </w:pPr>
      <w:r>
        <w:t>ii.</w:t>
      </w:r>
      <w:r>
        <w:tab/>
        <w:t>Fair value measurements</w:t>
      </w:r>
    </w:p>
    <w:p w14:paraId="63727594" w14:textId="77777777" w:rsidR="008D0DAB" w:rsidRPr="00F65403" w:rsidRDefault="008D0DAB" w:rsidP="008D0DAB">
      <w:pPr>
        <w:pStyle w:val="BodyText"/>
        <w:rPr>
          <w:lang w:val="en-AU"/>
        </w:rPr>
      </w:pPr>
      <w:r w:rsidRPr="00F65403">
        <w:rPr>
          <w:lang w:val="en-AU"/>
        </w:rPr>
        <w:t>The following table provides an analysis of financial instruments that are measured after initial recognition at fair value, grouped into Levels 1 to 3 based on the degree to which the fair value is observable:</w:t>
      </w:r>
    </w:p>
    <w:p w14:paraId="391598A4" w14:textId="77777777" w:rsidR="008D0DAB" w:rsidRPr="00F65403" w:rsidRDefault="008D0DAB" w:rsidP="008D0DAB">
      <w:pPr>
        <w:pStyle w:val="ListBullet"/>
        <w:rPr>
          <w:lang w:val="en-AU"/>
        </w:rPr>
      </w:pPr>
      <w:r w:rsidRPr="00F65403">
        <w:rPr>
          <w:lang w:val="en-AU"/>
        </w:rPr>
        <w:t>level 1 fair value measurements are those derived from quoted prices (unadjusted) in active markets for identical assets or liabilities</w:t>
      </w:r>
    </w:p>
    <w:p w14:paraId="0C8D984F" w14:textId="77777777" w:rsidR="008D0DAB" w:rsidRPr="00F65403" w:rsidRDefault="008D0DAB" w:rsidP="008D0DAB">
      <w:pPr>
        <w:pStyle w:val="ListBullet"/>
        <w:rPr>
          <w:lang w:val="en-AU"/>
        </w:rPr>
      </w:pPr>
      <w:r w:rsidRPr="00F65403">
        <w:rPr>
          <w:lang w:val="en-AU"/>
        </w:rPr>
        <w:t>level 2 fair value measurements are those derived from inputs other than quoted prices included within level 1 that are observable for the asset or liability, either directly (as prices) or indirectly (derived from prices)</w:t>
      </w:r>
    </w:p>
    <w:p w14:paraId="2F18C22D" w14:textId="77777777" w:rsidR="008D0DAB" w:rsidRPr="00F65403" w:rsidRDefault="008D0DAB" w:rsidP="008D0DAB">
      <w:pPr>
        <w:pStyle w:val="ListBullet"/>
        <w:rPr>
          <w:lang w:val="en-AU"/>
        </w:rPr>
      </w:pPr>
      <w:r w:rsidRPr="00F65403">
        <w:rPr>
          <w:lang w:val="en-AU"/>
        </w:rPr>
        <w:t>level 3 fair value measurements are those derived from valuation techniques that include inputs for the asset or liability that are not based on observable market data (unobservable inputs).</w:t>
      </w:r>
    </w:p>
    <w:p w14:paraId="63DE0A05" w14:textId="77777777" w:rsidR="008D0DAB" w:rsidRPr="00F65403" w:rsidRDefault="008D0DAB" w:rsidP="008D0DAB">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2"/>
        <w:gridCol w:w="1158"/>
        <w:gridCol w:w="1125"/>
        <w:gridCol w:w="1126"/>
        <w:gridCol w:w="1126"/>
        <w:gridCol w:w="1119"/>
      </w:tblGrid>
      <w:tr w:rsidR="008D0DAB" w:rsidRPr="00E5651C" w14:paraId="1DCAF070" w14:textId="77777777" w:rsidTr="009B7B2A">
        <w:tc>
          <w:tcPr>
            <w:tcW w:w="1868" w:type="pct"/>
            <w:tcBorders>
              <w:top w:val="nil"/>
              <w:left w:val="nil"/>
              <w:bottom w:val="nil"/>
              <w:right w:val="nil"/>
            </w:tcBorders>
            <w:noWrap/>
            <w:vAlign w:val="bottom"/>
            <w:hideMark/>
          </w:tcPr>
          <w:p w14:paraId="58333B34" w14:textId="77777777" w:rsidR="008D0DAB" w:rsidRPr="00F65403" w:rsidRDefault="008D0DAB" w:rsidP="009B7B2A">
            <w:pPr>
              <w:spacing w:after="0" w:line="240" w:lineRule="auto"/>
              <w:rPr>
                <w:rFonts w:eastAsia="Times New Roman" w:cs="Arial"/>
                <w:sz w:val="20"/>
                <w:szCs w:val="20"/>
                <w:lang w:eastAsia="en-AU"/>
              </w:rPr>
            </w:pPr>
          </w:p>
        </w:tc>
        <w:tc>
          <w:tcPr>
            <w:tcW w:w="3132" w:type="pct"/>
            <w:gridSpan w:val="5"/>
            <w:tcBorders>
              <w:top w:val="nil"/>
              <w:left w:val="nil"/>
              <w:bottom w:val="nil"/>
              <w:right w:val="nil"/>
            </w:tcBorders>
            <w:hideMark/>
          </w:tcPr>
          <w:p w14:paraId="40732E7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E5651C" w14:paraId="099F6ADC" w14:textId="77777777" w:rsidTr="009B7B2A">
        <w:tc>
          <w:tcPr>
            <w:tcW w:w="1868" w:type="pct"/>
            <w:tcBorders>
              <w:top w:val="nil"/>
              <w:left w:val="nil"/>
              <w:bottom w:val="nil"/>
              <w:right w:val="nil"/>
            </w:tcBorders>
            <w:vAlign w:val="bottom"/>
            <w:hideMark/>
          </w:tcPr>
          <w:p w14:paraId="0D76C4A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41" w:type="pct"/>
            <w:tcBorders>
              <w:top w:val="nil"/>
              <w:left w:val="nil"/>
              <w:bottom w:val="nil"/>
              <w:right w:val="nil"/>
            </w:tcBorders>
            <w:vAlign w:val="center"/>
            <w:hideMark/>
          </w:tcPr>
          <w:p w14:paraId="20638EA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23" w:type="pct"/>
            <w:tcBorders>
              <w:top w:val="nil"/>
              <w:left w:val="nil"/>
              <w:bottom w:val="nil"/>
              <w:right w:val="nil"/>
            </w:tcBorders>
            <w:vAlign w:val="center"/>
            <w:hideMark/>
          </w:tcPr>
          <w:p w14:paraId="2663FE1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24" w:type="pct"/>
            <w:tcBorders>
              <w:top w:val="nil"/>
              <w:left w:val="nil"/>
              <w:bottom w:val="nil"/>
              <w:right w:val="nil"/>
            </w:tcBorders>
            <w:vAlign w:val="center"/>
            <w:hideMark/>
          </w:tcPr>
          <w:p w14:paraId="6517DAB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24" w:type="pct"/>
            <w:tcBorders>
              <w:top w:val="nil"/>
              <w:left w:val="nil"/>
              <w:bottom w:val="nil"/>
              <w:right w:val="nil"/>
            </w:tcBorders>
            <w:vAlign w:val="center"/>
            <w:hideMark/>
          </w:tcPr>
          <w:p w14:paraId="5F2EDCA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20" w:type="pct"/>
            <w:tcBorders>
              <w:top w:val="nil"/>
              <w:left w:val="nil"/>
              <w:bottom w:val="nil"/>
              <w:right w:val="nil"/>
            </w:tcBorders>
            <w:vAlign w:val="center"/>
            <w:hideMark/>
          </w:tcPr>
          <w:p w14:paraId="23D3A64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E5651C" w14:paraId="78EC4549" w14:textId="77777777" w:rsidTr="009B7B2A">
        <w:tc>
          <w:tcPr>
            <w:tcW w:w="1868" w:type="pct"/>
            <w:tcBorders>
              <w:top w:val="nil"/>
              <w:left w:val="nil"/>
              <w:bottom w:val="nil"/>
              <w:right w:val="nil"/>
            </w:tcBorders>
            <w:noWrap/>
            <w:vAlign w:val="bottom"/>
          </w:tcPr>
          <w:p w14:paraId="43D324B5"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41" w:type="pct"/>
            <w:tcBorders>
              <w:top w:val="nil"/>
              <w:left w:val="nil"/>
              <w:bottom w:val="nil"/>
              <w:right w:val="nil"/>
            </w:tcBorders>
            <w:noWrap/>
            <w:vAlign w:val="bottom"/>
          </w:tcPr>
          <w:p w14:paraId="163402BB" w14:textId="77777777" w:rsidR="008D0DAB" w:rsidRPr="00F65403" w:rsidRDefault="008D0DAB" w:rsidP="009B7B2A">
            <w:pPr>
              <w:tabs>
                <w:tab w:val="decimal" w:pos="931"/>
              </w:tabs>
              <w:spacing w:after="0" w:line="240" w:lineRule="auto"/>
              <w:rPr>
                <w:rFonts w:eastAsia="Times New Roman" w:cs="Arial"/>
                <w:b/>
                <w:color w:val="000000"/>
                <w:sz w:val="20"/>
                <w:szCs w:val="20"/>
                <w:lang w:eastAsia="en-AU"/>
              </w:rPr>
            </w:pPr>
          </w:p>
        </w:tc>
        <w:tc>
          <w:tcPr>
            <w:tcW w:w="623" w:type="pct"/>
            <w:tcBorders>
              <w:top w:val="nil"/>
              <w:left w:val="nil"/>
              <w:bottom w:val="nil"/>
              <w:right w:val="nil"/>
            </w:tcBorders>
            <w:vAlign w:val="bottom"/>
          </w:tcPr>
          <w:p w14:paraId="645984A4"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59427712"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65DED22A"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0" w:type="pct"/>
            <w:tcBorders>
              <w:top w:val="nil"/>
              <w:left w:val="nil"/>
              <w:bottom w:val="nil"/>
              <w:right w:val="nil"/>
            </w:tcBorders>
            <w:vAlign w:val="bottom"/>
          </w:tcPr>
          <w:p w14:paraId="3031934A"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r>
      <w:tr w:rsidR="008D0DAB" w:rsidRPr="00E5651C" w14:paraId="10D54B80" w14:textId="77777777" w:rsidTr="009B7B2A">
        <w:tc>
          <w:tcPr>
            <w:tcW w:w="1868" w:type="pct"/>
            <w:tcBorders>
              <w:top w:val="nil"/>
              <w:left w:val="nil"/>
              <w:bottom w:val="nil"/>
              <w:right w:val="nil"/>
            </w:tcBorders>
            <w:noWrap/>
            <w:vAlign w:val="bottom"/>
            <w:hideMark/>
          </w:tcPr>
          <w:p w14:paraId="1B2B05B2"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Liabilities</w:t>
            </w:r>
          </w:p>
        </w:tc>
        <w:tc>
          <w:tcPr>
            <w:tcW w:w="641" w:type="pct"/>
            <w:tcBorders>
              <w:top w:val="nil"/>
              <w:left w:val="nil"/>
              <w:bottom w:val="nil"/>
              <w:right w:val="nil"/>
            </w:tcBorders>
            <w:noWrap/>
            <w:vAlign w:val="bottom"/>
            <w:hideMark/>
          </w:tcPr>
          <w:p w14:paraId="5C864106"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3" w:type="pct"/>
            <w:tcBorders>
              <w:top w:val="nil"/>
              <w:left w:val="nil"/>
              <w:bottom w:val="nil"/>
              <w:right w:val="nil"/>
            </w:tcBorders>
            <w:vAlign w:val="bottom"/>
            <w:hideMark/>
          </w:tcPr>
          <w:p w14:paraId="25796856"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4" w:type="pct"/>
            <w:tcBorders>
              <w:top w:val="nil"/>
              <w:left w:val="nil"/>
              <w:bottom w:val="nil"/>
              <w:right w:val="nil"/>
            </w:tcBorders>
            <w:vAlign w:val="bottom"/>
            <w:hideMark/>
          </w:tcPr>
          <w:p w14:paraId="3DA466F6"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4" w:type="pct"/>
            <w:tcBorders>
              <w:top w:val="nil"/>
              <w:left w:val="nil"/>
              <w:bottom w:val="nil"/>
              <w:right w:val="nil"/>
            </w:tcBorders>
            <w:vAlign w:val="bottom"/>
            <w:hideMark/>
          </w:tcPr>
          <w:p w14:paraId="670EBC4A"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0" w:type="pct"/>
            <w:tcBorders>
              <w:top w:val="nil"/>
              <w:left w:val="nil"/>
              <w:bottom w:val="nil"/>
              <w:right w:val="nil"/>
            </w:tcBorders>
            <w:vAlign w:val="bottom"/>
            <w:hideMark/>
          </w:tcPr>
          <w:p w14:paraId="3B5A4351"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r>
      <w:tr w:rsidR="008D0DAB" w:rsidRPr="00E5651C" w14:paraId="6F15BD3F" w14:textId="77777777" w:rsidTr="009B7B2A">
        <w:tc>
          <w:tcPr>
            <w:tcW w:w="1868" w:type="pct"/>
            <w:tcBorders>
              <w:top w:val="nil"/>
              <w:left w:val="nil"/>
              <w:bottom w:val="nil"/>
              <w:right w:val="nil"/>
            </w:tcBorders>
            <w:vAlign w:val="bottom"/>
            <w:hideMark/>
          </w:tcPr>
          <w:p w14:paraId="61BE3581" w14:textId="77777777" w:rsidR="008D0DAB"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Forward foreign exchange </w:t>
            </w:r>
          </w:p>
          <w:p w14:paraId="5917850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contracts - cash flow hedges</w:t>
            </w:r>
          </w:p>
        </w:tc>
        <w:tc>
          <w:tcPr>
            <w:tcW w:w="641" w:type="pct"/>
            <w:tcBorders>
              <w:top w:val="nil"/>
              <w:left w:val="nil"/>
              <w:bottom w:val="nil"/>
              <w:right w:val="nil"/>
            </w:tcBorders>
            <w:noWrap/>
            <w:vAlign w:val="bottom"/>
            <w:hideMark/>
          </w:tcPr>
          <w:p w14:paraId="76585934" w14:textId="77777777" w:rsidR="008D0DAB" w:rsidRPr="00F65403"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752 </w:t>
            </w:r>
          </w:p>
        </w:tc>
        <w:tc>
          <w:tcPr>
            <w:tcW w:w="623" w:type="pct"/>
            <w:tcBorders>
              <w:top w:val="nil"/>
              <w:left w:val="nil"/>
              <w:bottom w:val="nil"/>
              <w:right w:val="nil"/>
            </w:tcBorders>
            <w:vAlign w:val="bottom"/>
            <w:hideMark/>
          </w:tcPr>
          <w:p w14:paraId="3663080B"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1038540F"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752 </w:t>
            </w:r>
          </w:p>
        </w:tc>
        <w:tc>
          <w:tcPr>
            <w:tcW w:w="624" w:type="pct"/>
            <w:tcBorders>
              <w:top w:val="nil"/>
              <w:left w:val="nil"/>
              <w:bottom w:val="nil"/>
              <w:right w:val="nil"/>
            </w:tcBorders>
            <w:vAlign w:val="bottom"/>
            <w:hideMark/>
          </w:tcPr>
          <w:p w14:paraId="5BFD708E"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0" w:type="pct"/>
            <w:tcBorders>
              <w:top w:val="nil"/>
              <w:left w:val="nil"/>
              <w:bottom w:val="nil"/>
              <w:right w:val="nil"/>
            </w:tcBorders>
            <w:vAlign w:val="bottom"/>
            <w:hideMark/>
          </w:tcPr>
          <w:p w14:paraId="24D3DEC4"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752 </w:t>
            </w:r>
          </w:p>
        </w:tc>
      </w:tr>
      <w:tr w:rsidR="008D0DAB" w:rsidRPr="00E5651C" w14:paraId="0AD87CE6" w14:textId="77777777" w:rsidTr="009B7B2A">
        <w:tc>
          <w:tcPr>
            <w:tcW w:w="1868" w:type="pct"/>
            <w:tcBorders>
              <w:top w:val="nil"/>
              <w:left w:val="nil"/>
              <w:bottom w:val="nil"/>
              <w:right w:val="nil"/>
            </w:tcBorders>
            <w:noWrap/>
            <w:vAlign w:val="bottom"/>
            <w:hideMark/>
          </w:tcPr>
          <w:p w14:paraId="300A14FF"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financial </w:t>
            </w:r>
            <w:r>
              <w:rPr>
                <w:rFonts w:eastAsia="Times New Roman" w:cs="Arial"/>
                <w:b/>
                <w:color w:val="000000"/>
                <w:sz w:val="20"/>
                <w:szCs w:val="20"/>
                <w:lang w:eastAsia="en-AU"/>
              </w:rPr>
              <w:t>liabilities</w:t>
            </w:r>
          </w:p>
        </w:tc>
        <w:tc>
          <w:tcPr>
            <w:tcW w:w="641" w:type="pct"/>
            <w:tcBorders>
              <w:top w:val="single" w:sz="4" w:space="0" w:color="auto"/>
              <w:left w:val="nil"/>
              <w:bottom w:val="single" w:sz="4" w:space="0" w:color="auto"/>
              <w:right w:val="nil"/>
            </w:tcBorders>
            <w:vAlign w:val="bottom"/>
            <w:hideMark/>
          </w:tcPr>
          <w:p w14:paraId="0DD43EE6"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752 </w:t>
            </w:r>
          </w:p>
        </w:tc>
        <w:tc>
          <w:tcPr>
            <w:tcW w:w="623" w:type="pct"/>
            <w:tcBorders>
              <w:top w:val="single" w:sz="4" w:space="0" w:color="auto"/>
              <w:left w:val="nil"/>
              <w:bottom w:val="single" w:sz="4" w:space="0" w:color="auto"/>
              <w:right w:val="nil"/>
            </w:tcBorders>
            <w:vAlign w:val="bottom"/>
            <w:hideMark/>
          </w:tcPr>
          <w:p w14:paraId="227DC33D"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   </w:t>
            </w:r>
          </w:p>
        </w:tc>
        <w:tc>
          <w:tcPr>
            <w:tcW w:w="624" w:type="pct"/>
            <w:tcBorders>
              <w:top w:val="single" w:sz="4" w:space="0" w:color="auto"/>
              <w:left w:val="nil"/>
              <w:bottom w:val="single" w:sz="4" w:space="0" w:color="auto"/>
              <w:right w:val="nil"/>
            </w:tcBorders>
            <w:vAlign w:val="bottom"/>
            <w:hideMark/>
          </w:tcPr>
          <w:p w14:paraId="4DB7D227"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752 </w:t>
            </w:r>
          </w:p>
        </w:tc>
        <w:tc>
          <w:tcPr>
            <w:tcW w:w="624" w:type="pct"/>
            <w:tcBorders>
              <w:top w:val="single" w:sz="4" w:space="0" w:color="auto"/>
              <w:left w:val="nil"/>
              <w:bottom w:val="single" w:sz="4" w:space="0" w:color="auto"/>
              <w:right w:val="nil"/>
            </w:tcBorders>
            <w:vAlign w:val="bottom"/>
            <w:hideMark/>
          </w:tcPr>
          <w:p w14:paraId="2005F797"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   </w:t>
            </w:r>
          </w:p>
        </w:tc>
        <w:tc>
          <w:tcPr>
            <w:tcW w:w="620" w:type="pct"/>
            <w:tcBorders>
              <w:top w:val="single" w:sz="4" w:space="0" w:color="auto"/>
              <w:left w:val="nil"/>
              <w:bottom w:val="single" w:sz="4" w:space="0" w:color="auto"/>
              <w:right w:val="nil"/>
            </w:tcBorders>
            <w:vAlign w:val="bottom"/>
            <w:hideMark/>
          </w:tcPr>
          <w:p w14:paraId="1FF81208"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752 </w:t>
            </w:r>
          </w:p>
        </w:tc>
      </w:tr>
    </w:tbl>
    <w:p w14:paraId="2E3C3BAD" w14:textId="77777777" w:rsidR="008D0DAB" w:rsidRDefault="008D0DAB" w:rsidP="008D0DAB">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48"/>
        <w:gridCol w:w="1158"/>
        <w:gridCol w:w="1101"/>
        <w:gridCol w:w="1158"/>
        <w:gridCol w:w="1103"/>
        <w:gridCol w:w="1158"/>
      </w:tblGrid>
      <w:tr w:rsidR="008D0DAB" w:rsidRPr="00E5651C" w14:paraId="506BFB54" w14:textId="77777777" w:rsidTr="009B7B2A">
        <w:tc>
          <w:tcPr>
            <w:tcW w:w="1868" w:type="pct"/>
            <w:tcBorders>
              <w:top w:val="nil"/>
              <w:left w:val="nil"/>
              <w:bottom w:val="nil"/>
              <w:right w:val="nil"/>
            </w:tcBorders>
            <w:noWrap/>
            <w:vAlign w:val="bottom"/>
            <w:hideMark/>
          </w:tcPr>
          <w:p w14:paraId="57CA378F" w14:textId="77777777" w:rsidR="008D0DAB" w:rsidRPr="00F65403" w:rsidRDefault="008D0DAB" w:rsidP="009B7B2A">
            <w:pPr>
              <w:spacing w:after="0" w:line="240" w:lineRule="auto"/>
              <w:rPr>
                <w:rFonts w:eastAsia="Times New Roman" w:cs="Arial"/>
                <w:sz w:val="20"/>
                <w:szCs w:val="20"/>
                <w:lang w:eastAsia="en-AU"/>
              </w:rPr>
            </w:pPr>
          </w:p>
        </w:tc>
        <w:tc>
          <w:tcPr>
            <w:tcW w:w="3132" w:type="pct"/>
            <w:gridSpan w:val="5"/>
            <w:tcBorders>
              <w:top w:val="nil"/>
              <w:left w:val="nil"/>
              <w:bottom w:val="nil"/>
              <w:right w:val="nil"/>
            </w:tcBorders>
            <w:hideMark/>
          </w:tcPr>
          <w:p w14:paraId="03C24F6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E5651C" w14:paraId="5EC2037F" w14:textId="77777777" w:rsidTr="009B7B2A">
        <w:tc>
          <w:tcPr>
            <w:tcW w:w="1868" w:type="pct"/>
            <w:tcBorders>
              <w:top w:val="nil"/>
              <w:left w:val="nil"/>
              <w:bottom w:val="nil"/>
              <w:right w:val="nil"/>
            </w:tcBorders>
            <w:vAlign w:val="bottom"/>
            <w:hideMark/>
          </w:tcPr>
          <w:p w14:paraId="59959D1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w:t>
            </w:r>
            <w:r>
              <w:rPr>
                <w:rFonts w:eastAsia="Times New Roman" w:cs="Arial"/>
                <w:b/>
                <w:color w:val="000000"/>
                <w:sz w:val="20"/>
                <w:szCs w:val="20"/>
                <w:lang w:eastAsia="en-AU"/>
              </w:rPr>
              <w:t>4</w:t>
            </w:r>
          </w:p>
        </w:tc>
        <w:tc>
          <w:tcPr>
            <w:tcW w:w="641" w:type="pct"/>
            <w:tcBorders>
              <w:top w:val="nil"/>
              <w:left w:val="nil"/>
              <w:bottom w:val="nil"/>
              <w:right w:val="nil"/>
            </w:tcBorders>
            <w:vAlign w:val="center"/>
            <w:hideMark/>
          </w:tcPr>
          <w:p w14:paraId="5BB8FB9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23" w:type="pct"/>
            <w:tcBorders>
              <w:top w:val="nil"/>
              <w:left w:val="nil"/>
              <w:bottom w:val="nil"/>
              <w:right w:val="nil"/>
            </w:tcBorders>
            <w:vAlign w:val="center"/>
            <w:hideMark/>
          </w:tcPr>
          <w:p w14:paraId="6299719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24" w:type="pct"/>
            <w:tcBorders>
              <w:top w:val="nil"/>
              <w:left w:val="nil"/>
              <w:bottom w:val="nil"/>
              <w:right w:val="nil"/>
            </w:tcBorders>
            <w:vAlign w:val="center"/>
            <w:hideMark/>
          </w:tcPr>
          <w:p w14:paraId="33A80A4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24" w:type="pct"/>
            <w:tcBorders>
              <w:top w:val="nil"/>
              <w:left w:val="nil"/>
              <w:bottom w:val="nil"/>
              <w:right w:val="nil"/>
            </w:tcBorders>
            <w:vAlign w:val="center"/>
            <w:hideMark/>
          </w:tcPr>
          <w:p w14:paraId="509FC7E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20" w:type="pct"/>
            <w:tcBorders>
              <w:top w:val="nil"/>
              <w:left w:val="nil"/>
              <w:bottom w:val="nil"/>
              <w:right w:val="nil"/>
            </w:tcBorders>
            <w:vAlign w:val="center"/>
            <w:hideMark/>
          </w:tcPr>
          <w:p w14:paraId="1CC5790F"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8D0DAB" w:rsidRPr="00E5651C" w14:paraId="4872EA8D" w14:textId="77777777" w:rsidTr="009B7B2A">
        <w:tc>
          <w:tcPr>
            <w:tcW w:w="1868" w:type="pct"/>
            <w:tcBorders>
              <w:top w:val="nil"/>
              <w:left w:val="nil"/>
              <w:bottom w:val="nil"/>
              <w:right w:val="nil"/>
            </w:tcBorders>
            <w:noWrap/>
            <w:vAlign w:val="bottom"/>
          </w:tcPr>
          <w:p w14:paraId="540D112D"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41" w:type="pct"/>
            <w:tcBorders>
              <w:top w:val="nil"/>
              <w:left w:val="nil"/>
              <w:bottom w:val="nil"/>
              <w:right w:val="nil"/>
            </w:tcBorders>
            <w:noWrap/>
            <w:vAlign w:val="bottom"/>
          </w:tcPr>
          <w:p w14:paraId="1458D6B9" w14:textId="77777777" w:rsidR="008D0DAB" w:rsidRPr="00F65403" w:rsidRDefault="008D0DAB" w:rsidP="009B7B2A">
            <w:pPr>
              <w:tabs>
                <w:tab w:val="decimal" w:pos="931"/>
              </w:tabs>
              <w:spacing w:after="0" w:line="240" w:lineRule="auto"/>
              <w:rPr>
                <w:rFonts w:eastAsia="Times New Roman" w:cs="Arial"/>
                <w:b/>
                <w:color w:val="000000"/>
                <w:sz w:val="20"/>
                <w:szCs w:val="20"/>
                <w:lang w:eastAsia="en-AU"/>
              </w:rPr>
            </w:pPr>
          </w:p>
        </w:tc>
        <w:tc>
          <w:tcPr>
            <w:tcW w:w="623" w:type="pct"/>
            <w:tcBorders>
              <w:top w:val="nil"/>
              <w:left w:val="nil"/>
              <w:bottom w:val="nil"/>
              <w:right w:val="nil"/>
            </w:tcBorders>
            <w:vAlign w:val="bottom"/>
          </w:tcPr>
          <w:p w14:paraId="2F3235D9"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344899FA"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6047E4FC"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c>
          <w:tcPr>
            <w:tcW w:w="620" w:type="pct"/>
            <w:tcBorders>
              <w:top w:val="nil"/>
              <w:left w:val="nil"/>
              <w:bottom w:val="nil"/>
              <w:right w:val="nil"/>
            </w:tcBorders>
            <w:vAlign w:val="bottom"/>
          </w:tcPr>
          <w:p w14:paraId="4128773B" w14:textId="77777777" w:rsidR="008D0DAB" w:rsidRPr="00F65403" w:rsidRDefault="008D0DAB" w:rsidP="009B7B2A">
            <w:pPr>
              <w:tabs>
                <w:tab w:val="decimal" w:pos="931"/>
              </w:tabs>
              <w:spacing w:after="0" w:line="240" w:lineRule="auto"/>
              <w:rPr>
                <w:rFonts w:eastAsia="Times New Roman" w:cs="Arial"/>
                <w:sz w:val="20"/>
                <w:szCs w:val="20"/>
                <w:lang w:eastAsia="en-AU"/>
              </w:rPr>
            </w:pPr>
          </w:p>
        </w:tc>
      </w:tr>
      <w:tr w:rsidR="008D0DAB" w:rsidRPr="00E5651C" w14:paraId="6A204EA7" w14:textId="77777777" w:rsidTr="009B7B2A">
        <w:tc>
          <w:tcPr>
            <w:tcW w:w="1868" w:type="pct"/>
            <w:tcBorders>
              <w:top w:val="nil"/>
              <w:left w:val="nil"/>
              <w:bottom w:val="nil"/>
              <w:right w:val="nil"/>
            </w:tcBorders>
            <w:noWrap/>
            <w:vAlign w:val="bottom"/>
            <w:hideMark/>
          </w:tcPr>
          <w:p w14:paraId="7B9CEE13"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Liabilities</w:t>
            </w:r>
          </w:p>
        </w:tc>
        <w:tc>
          <w:tcPr>
            <w:tcW w:w="641" w:type="pct"/>
            <w:tcBorders>
              <w:top w:val="nil"/>
              <w:left w:val="nil"/>
              <w:bottom w:val="nil"/>
              <w:right w:val="nil"/>
            </w:tcBorders>
            <w:noWrap/>
            <w:vAlign w:val="bottom"/>
            <w:hideMark/>
          </w:tcPr>
          <w:p w14:paraId="4E663A59"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3" w:type="pct"/>
            <w:tcBorders>
              <w:top w:val="nil"/>
              <w:left w:val="nil"/>
              <w:bottom w:val="nil"/>
              <w:right w:val="nil"/>
            </w:tcBorders>
            <w:vAlign w:val="bottom"/>
            <w:hideMark/>
          </w:tcPr>
          <w:p w14:paraId="42D95474"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4" w:type="pct"/>
            <w:tcBorders>
              <w:top w:val="nil"/>
              <w:left w:val="nil"/>
              <w:bottom w:val="nil"/>
              <w:right w:val="nil"/>
            </w:tcBorders>
            <w:vAlign w:val="bottom"/>
            <w:hideMark/>
          </w:tcPr>
          <w:p w14:paraId="2689C41A"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4" w:type="pct"/>
            <w:tcBorders>
              <w:top w:val="nil"/>
              <w:left w:val="nil"/>
              <w:bottom w:val="nil"/>
              <w:right w:val="nil"/>
            </w:tcBorders>
            <w:vAlign w:val="bottom"/>
            <w:hideMark/>
          </w:tcPr>
          <w:p w14:paraId="0E34EABF"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c>
          <w:tcPr>
            <w:tcW w:w="620" w:type="pct"/>
            <w:tcBorders>
              <w:top w:val="nil"/>
              <w:left w:val="nil"/>
              <w:bottom w:val="nil"/>
              <w:right w:val="nil"/>
            </w:tcBorders>
            <w:vAlign w:val="bottom"/>
            <w:hideMark/>
          </w:tcPr>
          <w:p w14:paraId="1F1E57F0"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p>
        </w:tc>
      </w:tr>
      <w:tr w:rsidR="008D0DAB" w:rsidRPr="00E5651C" w14:paraId="6FCAD65A" w14:textId="77777777" w:rsidTr="009B7B2A">
        <w:tc>
          <w:tcPr>
            <w:tcW w:w="1868" w:type="pct"/>
            <w:tcBorders>
              <w:top w:val="nil"/>
              <w:left w:val="nil"/>
              <w:bottom w:val="nil"/>
              <w:right w:val="nil"/>
            </w:tcBorders>
            <w:vAlign w:val="bottom"/>
            <w:hideMark/>
          </w:tcPr>
          <w:p w14:paraId="74764CE8" w14:textId="77777777" w:rsidR="008D0DAB"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Forward foreign exchange </w:t>
            </w:r>
          </w:p>
          <w:p w14:paraId="7971643A"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contracts - cash flow hedges</w:t>
            </w:r>
          </w:p>
        </w:tc>
        <w:tc>
          <w:tcPr>
            <w:tcW w:w="641" w:type="pct"/>
            <w:tcBorders>
              <w:top w:val="nil"/>
              <w:left w:val="nil"/>
              <w:bottom w:val="nil"/>
              <w:right w:val="nil"/>
            </w:tcBorders>
            <w:noWrap/>
            <w:vAlign w:val="bottom"/>
            <w:hideMark/>
          </w:tcPr>
          <w:p w14:paraId="0E1F0055" w14:textId="77777777" w:rsidR="008D0DAB" w:rsidRPr="00F65403" w:rsidRDefault="008D0DAB" w:rsidP="009B7B2A">
            <w:pPr>
              <w:tabs>
                <w:tab w:val="decimal" w:pos="1101"/>
              </w:tabs>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r w:rsidRPr="0071574A">
              <w:rPr>
                <w:rFonts w:eastAsia="Times New Roman" w:cs="Arial"/>
                <w:color w:val="000000"/>
                <w:sz w:val="20"/>
                <w:szCs w:val="20"/>
                <w:lang w:eastAsia="en-AU"/>
              </w:rPr>
              <w:t xml:space="preserve"> </w:t>
            </w:r>
          </w:p>
        </w:tc>
        <w:tc>
          <w:tcPr>
            <w:tcW w:w="623" w:type="pct"/>
            <w:tcBorders>
              <w:top w:val="nil"/>
              <w:left w:val="nil"/>
              <w:bottom w:val="nil"/>
              <w:right w:val="nil"/>
            </w:tcBorders>
            <w:vAlign w:val="bottom"/>
            <w:hideMark/>
          </w:tcPr>
          <w:p w14:paraId="565C68B6"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3229F1EC"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624" w:type="pct"/>
            <w:tcBorders>
              <w:top w:val="nil"/>
              <w:left w:val="nil"/>
              <w:bottom w:val="nil"/>
              <w:right w:val="nil"/>
            </w:tcBorders>
            <w:vAlign w:val="bottom"/>
            <w:hideMark/>
          </w:tcPr>
          <w:p w14:paraId="0E32C27B" w14:textId="77777777" w:rsidR="008D0DAB" w:rsidRPr="0071574A" w:rsidRDefault="008D0DAB" w:rsidP="009B7B2A">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0" w:type="pct"/>
            <w:tcBorders>
              <w:top w:val="nil"/>
              <w:left w:val="nil"/>
              <w:bottom w:val="nil"/>
              <w:right w:val="nil"/>
            </w:tcBorders>
            <w:vAlign w:val="bottom"/>
            <w:hideMark/>
          </w:tcPr>
          <w:p w14:paraId="4C5B90B2"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8D0DAB" w:rsidRPr="00E5651C" w14:paraId="71263B24" w14:textId="77777777" w:rsidTr="009B7B2A">
        <w:tc>
          <w:tcPr>
            <w:tcW w:w="1868" w:type="pct"/>
            <w:tcBorders>
              <w:top w:val="nil"/>
              <w:left w:val="nil"/>
              <w:bottom w:val="nil"/>
              <w:right w:val="nil"/>
            </w:tcBorders>
            <w:noWrap/>
            <w:vAlign w:val="bottom"/>
            <w:hideMark/>
          </w:tcPr>
          <w:p w14:paraId="538E24C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financial </w:t>
            </w:r>
            <w:r>
              <w:rPr>
                <w:rFonts w:eastAsia="Times New Roman" w:cs="Arial"/>
                <w:b/>
                <w:color w:val="000000"/>
                <w:sz w:val="20"/>
                <w:szCs w:val="20"/>
                <w:lang w:eastAsia="en-AU"/>
              </w:rPr>
              <w:t>liabilities</w:t>
            </w:r>
          </w:p>
        </w:tc>
        <w:tc>
          <w:tcPr>
            <w:tcW w:w="641" w:type="pct"/>
            <w:tcBorders>
              <w:top w:val="single" w:sz="4" w:space="0" w:color="auto"/>
              <w:left w:val="nil"/>
              <w:bottom w:val="single" w:sz="4" w:space="0" w:color="auto"/>
              <w:right w:val="nil"/>
            </w:tcBorders>
            <w:vAlign w:val="bottom"/>
            <w:hideMark/>
          </w:tcPr>
          <w:p w14:paraId="0F266162"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c>
          <w:tcPr>
            <w:tcW w:w="623" w:type="pct"/>
            <w:tcBorders>
              <w:top w:val="single" w:sz="4" w:space="0" w:color="auto"/>
              <w:left w:val="nil"/>
              <w:bottom w:val="single" w:sz="4" w:space="0" w:color="auto"/>
              <w:right w:val="nil"/>
            </w:tcBorders>
            <w:vAlign w:val="bottom"/>
            <w:hideMark/>
          </w:tcPr>
          <w:p w14:paraId="4E7293B7"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   </w:t>
            </w:r>
          </w:p>
        </w:tc>
        <w:tc>
          <w:tcPr>
            <w:tcW w:w="624" w:type="pct"/>
            <w:tcBorders>
              <w:top w:val="single" w:sz="4" w:space="0" w:color="auto"/>
              <w:left w:val="nil"/>
              <w:bottom w:val="single" w:sz="4" w:space="0" w:color="auto"/>
              <w:right w:val="nil"/>
            </w:tcBorders>
            <w:vAlign w:val="bottom"/>
            <w:hideMark/>
          </w:tcPr>
          <w:p w14:paraId="1C99A647"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c>
          <w:tcPr>
            <w:tcW w:w="624" w:type="pct"/>
            <w:tcBorders>
              <w:top w:val="single" w:sz="4" w:space="0" w:color="auto"/>
              <w:left w:val="nil"/>
              <w:bottom w:val="single" w:sz="4" w:space="0" w:color="auto"/>
              <w:right w:val="nil"/>
            </w:tcBorders>
            <w:vAlign w:val="bottom"/>
            <w:hideMark/>
          </w:tcPr>
          <w:p w14:paraId="4D8CC09E"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   </w:t>
            </w:r>
          </w:p>
        </w:tc>
        <w:tc>
          <w:tcPr>
            <w:tcW w:w="620" w:type="pct"/>
            <w:tcBorders>
              <w:top w:val="single" w:sz="4" w:space="0" w:color="auto"/>
              <w:left w:val="nil"/>
              <w:bottom w:val="single" w:sz="4" w:space="0" w:color="auto"/>
              <w:right w:val="nil"/>
            </w:tcBorders>
            <w:vAlign w:val="bottom"/>
            <w:hideMark/>
          </w:tcPr>
          <w:p w14:paraId="2BC64A89" w14:textId="77777777" w:rsidR="008D0DAB" w:rsidRPr="0071574A" w:rsidRDefault="008D0DAB" w:rsidP="009B7B2A">
            <w:pPr>
              <w:tabs>
                <w:tab w:val="decimal" w:pos="1101"/>
              </w:tabs>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bl>
    <w:p w14:paraId="62B7B7F5" w14:textId="431816A9" w:rsidR="002D2475" w:rsidRDefault="002D2475" w:rsidP="008D0DAB">
      <w:pPr>
        <w:pStyle w:val="BodyText"/>
        <w:rPr>
          <w:lang w:val="en-AU"/>
        </w:rPr>
      </w:pPr>
    </w:p>
    <w:p w14:paraId="0E2A3341" w14:textId="77777777" w:rsidR="002D2475" w:rsidRDefault="002D2475">
      <w:pPr>
        <w:rPr>
          <w:rFonts w:eastAsia="Arial" w:cs="Arial"/>
          <w:sz w:val="20"/>
          <w:szCs w:val="20"/>
        </w:rPr>
      </w:pPr>
      <w:r>
        <w:br w:type="page"/>
      </w:r>
    </w:p>
    <w:p w14:paraId="3C37C89E" w14:textId="77777777" w:rsidR="008D0DAB" w:rsidRDefault="008D0DAB" w:rsidP="008D0DAB">
      <w:pPr>
        <w:pStyle w:val="BodyText"/>
        <w:rPr>
          <w:lang w:val="en-AU"/>
        </w:rPr>
      </w:pPr>
    </w:p>
    <w:p w14:paraId="3D1910CA" w14:textId="77777777" w:rsidR="008D0DAB" w:rsidRDefault="008D0DAB" w:rsidP="008D0DAB">
      <w:pPr>
        <w:pStyle w:val="Heading7"/>
      </w:pPr>
      <w:r w:rsidRPr="00F65403">
        <w:t>Income tax</w:t>
      </w:r>
    </w:p>
    <w:p w14:paraId="488C9E40" w14:textId="4CCD5AC6" w:rsidR="008D0DAB" w:rsidRPr="00F65403" w:rsidRDefault="008D0DAB" w:rsidP="008D0DAB">
      <w:pPr>
        <w:pStyle w:val="BodyText"/>
        <w:rPr>
          <w:lang w:val="en-AU"/>
        </w:rPr>
      </w:pPr>
      <w:r w:rsidRPr="413EB596">
        <w:rPr>
          <w:lang w:val="en-AU"/>
        </w:rPr>
        <w:t xml:space="preserve">On 17 December 2024, the Group entered into the National Tax Equivalent Regime (NTER), pursuant to section 88(1) of the </w:t>
      </w:r>
      <w:r w:rsidRPr="413EB596">
        <w:rPr>
          <w:i/>
          <w:iCs/>
          <w:lang w:val="en-AU"/>
        </w:rPr>
        <w:t>State Owned Enterprises Act 1992</w:t>
      </w:r>
      <w:r w:rsidRPr="413EB596">
        <w:rPr>
          <w:lang w:val="en-AU"/>
        </w:rPr>
        <w:t xml:space="preserve">, which is administered by the Australian Taxation Office (ATO). The difference between the NTER and the Commonwealth legislation is that the tax liability is paid to the Victorian State Government rather than the Commonwealth Government. </w:t>
      </w:r>
    </w:p>
    <w:p w14:paraId="559FE433" w14:textId="77777777" w:rsidR="008D0DAB" w:rsidRPr="00F65403" w:rsidRDefault="008D0DAB" w:rsidP="008D0DAB">
      <w:pPr>
        <w:pStyle w:val="BodyText"/>
        <w:rPr>
          <w:lang w:val="en-AU"/>
        </w:rPr>
      </w:pPr>
    </w:p>
    <w:p w14:paraId="72026864" w14:textId="77777777" w:rsidR="008D0DAB" w:rsidRPr="00F65403" w:rsidRDefault="008D0DAB" w:rsidP="008D0DAB">
      <w:pPr>
        <w:pStyle w:val="BodyText"/>
        <w:rPr>
          <w:lang w:val="en-AU"/>
        </w:rPr>
      </w:pPr>
      <w:r w:rsidRPr="00F65403">
        <w:rPr>
          <w:lang w:val="en-AU"/>
        </w:rPr>
        <w:t xml:space="preserve">The regime is applied to all open income tax periods and consequently, an income tax return was prepared and lodged for the period from incorporation to 30 June 2024. </w:t>
      </w:r>
    </w:p>
    <w:p w14:paraId="31FB8E36" w14:textId="77777777" w:rsidR="00E318FF" w:rsidRDefault="00E318FF" w:rsidP="008D0DAB">
      <w:pPr>
        <w:pStyle w:val="BodyText"/>
        <w:rPr>
          <w:lang w:val="en-AU"/>
        </w:rPr>
      </w:pPr>
    </w:p>
    <w:p w14:paraId="5284BA6E" w14:textId="77777777" w:rsidR="00E318FF" w:rsidRPr="00404285" w:rsidRDefault="00E318FF" w:rsidP="00E318FF">
      <w:pPr>
        <w:pStyle w:val="Heading8"/>
        <w:tabs>
          <w:tab w:val="clear" w:pos="357"/>
          <w:tab w:val="left" w:pos="567"/>
        </w:tabs>
        <w:ind w:left="284" w:hanging="284"/>
        <w:rPr>
          <w:rFonts w:eastAsia="Arial" w:cs="Arial"/>
          <w:bCs/>
          <w:szCs w:val="20"/>
        </w:rPr>
      </w:pPr>
      <w:proofErr w:type="spellStart"/>
      <w:r w:rsidRPr="00404285">
        <w:rPr>
          <w:rFonts w:eastAsia="Arial" w:cs="Arial"/>
          <w:bCs/>
          <w:szCs w:val="20"/>
        </w:rPr>
        <w:t>i</w:t>
      </w:r>
      <w:proofErr w:type="spellEnd"/>
      <w:r w:rsidRPr="00404285">
        <w:rPr>
          <w:rFonts w:eastAsia="Arial" w:cs="Arial"/>
          <w:bCs/>
          <w:szCs w:val="20"/>
        </w:rPr>
        <w:t>.</w:t>
      </w:r>
      <w:r w:rsidRPr="00404285">
        <w:rPr>
          <w:rFonts w:eastAsia="Arial" w:cs="Arial"/>
          <w:bCs/>
          <w:szCs w:val="20"/>
        </w:rPr>
        <w:tab/>
        <w:t>Accounting policy</w:t>
      </w:r>
    </w:p>
    <w:p w14:paraId="7F763A88" w14:textId="334D40E8" w:rsidR="008D0DAB" w:rsidRPr="00F65403" w:rsidRDefault="008D0DAB" w:rsidP="008D0DAB">
      <w:pPr>
        <w:pStyle w:val="BodyText"/>
        <w:rPr>
          <w:lang w:val="en-AU"/>
        </w:rPr>
      </w:pPr>
      <w:r w:rsidRPr="00F65403">
        <w:rPr>
          <w:lang w:val="en-AU"/>
        </w:rPr>
        <w:t xml:space="preserve">Income tax on the consolidated statement of </w:t>
      </w:r>
      <w:r w:rsidR="00E45FD8">
        <w:rPr>
          <w:lang w:val="en-AU"/>
        </w:rPr>
        <w:t>profit or loss</w:t>
      </w:r>
      <w:r w:rsidRPr="00F65403">
        <w:rPr>
          <w:lang w:val="en-AU"/>
        </w:rPr>
        <w:t xml:space="preserve"> for the year comprises current and deferred tax. Income tax is recognised in the consolidated statement of </w:t>
      </w:r>
      <w:r w:rsidR="000621FC">
        <w:rPr>
          <w:lang w:val="en-AU"/>
        </w:rPr>
        <w:t>profit or loss</w:t>
      </w:r>
      <w:r w:rsidRPr="00F65403">
        <w:rPr>
          <w:lang w:val="en-AU"/>
        </w:rPr>
        <w:t xml:space="preserve"> except to the extent that it relates to items recognised directly in equity.</w:t>
      </w:r>
    </w:p>
    <w:p w14:paraId="75B0630C" w14:textId="77777777" w:rsidR="008D0DAB" w:rsidRPr="00F65403" w:rsidRDefault="008D0DAB" w:rsidP="008D0DAB">
      <w:pPr>
        <w:pStyle w:val="BodyText"/>
        <w:rPr>
          <w:lang w:val="en-AU"/>
        </w:rPr>
      </w:pPr>
    </w:p>
    <w:p w14:paraId="0AD4B614" w14:textId="77777777" w:rsidR="008D0DAB" w:rsidRPr="00F65403" w:rsidRDefault="008D0DAB" w:rsidP="008D0DAB">
      <w:pPr>
        <w:pStyle w:val="BodyText"/>
        <w:rPr>
          <w:lang w:val="en-AU"/>
        </w:rPr>
      </w:pPr>
      <w:r w:rsidRPr="00F65403">
        <w:rPr>
          <w:lang w:val="en-AU"/>
        </w:rPr>
        <w:t>Current tax is the expected tax payable on the taxable income for the year, based on the notional corporate income tax rate of 30%, adjusted by changes in deferred tax assets and liabilities and any adjustment to tax payable in respect of previous years.</w:t>
      </w:r>
    </w:p>
    <w:p w14:paraId="1D59D457" w14:textId="77777777" w:rsidR="008D0DAB" w:rsidRPr="00F65403" w:rsidRDefault="008D0DAB" w:rsidP="008D0DAB">
      <w:pPr>
        <w:pStyle w:val="BodyText"/>
        <w:rPr>
          <w:lang w:val="en-AU"/>
        </w:rPr>
      </w:pPr>
    </w:p>
    <w:p w14:paraId="1A33D47E" w14:textId="77777777" w:rsidR="008D0DAB" w:rsidRPr="00F65403" w:rsidRDefault="008D0DAB" w:rsidP="008D0DAB">
      <w:pPr>
        <w:pStyle w:val="BodyText"/>
        <w:rPr>
          <w:lang w:val="en-AU"/>
        </w:rPr>
      </w:pPr>
      <w:r w:rsidRPr="00F65403">
        <w:rPr>
          <w:lang w:val="en-AU"/>
        </w:rPr>
        <w:t>Deferred tax is providing for temporary differences between the carrying amounts of assets and liabilities for financial reporting purposes and the amounts used for taxation purposes at balance date. Deferred tax assets and liabilities are recognised at the tax rates expected to apply when the assets are recovered or liabilities are settled based on those tax rates which are enacted or substantially enacted at balance date.</w:t>
      </w:r>
    </w:p>
    <w:p w14:paraId="516B92CE" w14:textId="77777777" w:rsidR="008D0DAB" w:rsidRPr="00F65403" w:rsidRDefault="008D0DAB" w:rsidP="008D0DAB">
      <w:pPr>
        <w:pStyle w:val="BodyText"/>
        <w:rPr>
          <w:lang w:val="en-AU"/>
        </w:rPr>
      </w:pPr>
    </w:p>
    <w:p w14:paraId="26EBC90C" w14:textId="77777777" w:rsidR="008D0DAB" w:rsidRPr="00F65403" w:rsidRDefault="008D0DAB" w:rsidP="008D0DAB">
      <w:pPr>
        <w:pStyle w:val="BodyText"/>
        <w:rPr>
          <w:lang w:val="en-AU"/>
        </w:rPr>
      </w:pPr>
      <w:r w:rsidRPr="00F65403">
        <w:rPr>
          <w:lang w:val="en-AU"/>
        </w:rPr>
        <w:t>A deferred tax asset is recognised only to the extent that it is probable that future taxable profits will be available against which the asset can be utilised. Deferred tax assets are reviewed at each reporting date and are reduced to the extent that it is no longer probable that the related tax benefit will be realised. Deferred tax liabilities are reported net of any deferred tax assets.</w:t>
      </w:r>
    </w:p>
    <w:p w14:paraId="3E8C8D87" w14:textId="77777777" w:rsidR="008D0DAB" w:rsidRPr="00F65403" w:rsidRDefault="008D0DAB" w:rsidP="008D0DAB">
      <w:pPr>
        <w:pStyle w:val="BodyText"/>
        <w:rPr>
          <w:lang w:val="en-AU"/>
        </w:rPr>
      </w:pPr>
    </w:p>
    <w:p w14:paraId="311E486A" w14:textId="41B3D4DE" w:rsidR="008D0DAB" w:rsidRPr="00F65403" w:rsidRDefault="008D0DAB" w:rsidP="008D0DAB">
      <w:pPr>
        <w:pStyle w:val="BodyText"/>
        <w:rPr>
          <w:lang w:val="en-AU"/>
        </w:rPr>
      </w:pPr>
      <w:r w:rsidRPr="00F65403">
        <w:rPr>
          <w:lang w:val="en-AU"/>
        </w:rPr>
        <w:t xml:space="preserve">The </w:t>
      </w:r>
      <w:r w:rsidR="00FF5737">
        <w:rPr>
          <w:lang w:val="en-AU"/>
        </w:rPr>
        <w:t xml:space="preserve">company and its subsidiaries </w:t>
      </w:r>
      <w:r w:rsidR="00A07708">
        <w:rPr>
          <w:lang w:val="en-AU"/>
        </w:rPr>
        <w:t>became a party to</w:t>
      </w:r>
      <w:r w:rsidRPr="00F65403">
        <w:rPr>
          <w:lang w:val="en-AU"/>
        </w:rPr>
        <w:t xml:space="preserve"> an income tax consolidated group consisting of SEC Victoria </w:t>
      </w:r>
      <w:r w:rsidR="000621FC">
        <w:rPr>
          <w:lang w:val="en-AU"/>
        </w:rPr>
        <w:t xml:space="preserve">(the company’s parent) </w:t>
      </w:r>
      <w:r w:rsidRPr="00F65403">
        <w:rPr>
          <w:lang w:val="en-AU"/>
        </w:rPr>
        <w:t>and its controlled entities. SEC Victoria is the head entity of the tax consolidated group.</w:t>
      </w:r>
      <w:r w:rsidR="007C2F83">
        <w:rPr>
          <w:lang w:val="en-AU"/>
        </w:rPr>
        <w:t xml:space="preserve"> As a part of the tax consolidated group, </w:t>
      </w:r>
      <w:r w:rsidR="007C2F83" w:rsidRPr="007C2F83">
        <w:rPr>
          <w:lang w:val="en-AU"/>
        </w:rPr>
        <w:t xml:space="preserve">each </w:t>
      </w:r>
      <w:r w:rsidR="007C2F83">
        <w:rPr>
          <w:lang w:val="en-AU"/>
        </w:rPr>
        <w:t>entity</w:t>
      </w:r>
      <w:r w:rsidR="00D86846">
        <w:rPr>
          <w:lang w:val="en-AU"/>
        </w:rPr>
        <w:t xml:space="preserve"> </w:t>
      </w:r>
      <w:r w:rsidR="007C2F83" w:rsidRPr="007C2F83">
        <w:rPr>
          <w:lang w:val="en-AU"/>
        </w:rPr>
        <w:t>account</w:t>
      </w:r>
      <w:r w:rsidR="00D86846">
        <w:rPr>
          <w:lang w:val="en-AU"/>
        </w:rPr>
        <w:t>s</w:t>
      </w:r>
      <w:r w:rsidR="007C2F83" w:rsidRPr="007C2F83">
        <w:rPr>
          <w:lang w:val="en-AU"/>
        </w:rPr>
        <w:t xml:space="preserve"> for their own current and deferred tax amounts. These tax amounts are measured as if each entity in the tax consolidated group continues to be a standalone tax payer in its own right. In addition to its own current and deferred tax amounts the head entity </w:t>
      </w:r>
      <w:r w:rsidR="00D86846">
        <w:rPr>
          <w:lang w:val="en-AU"/>
        </w:rPr>
        <w:t xml:space="preserve">(SEC Victoria) </w:t>
      </w:r>
      <w:r w:rsidR="007C2F83" w:rsidRPr="007C2F83">
        <w:rPr>
          <w:lang w:val="en-AU"/>
        </w:rPr>
        <w:t>also recognises the current tax liabilities (or assets) and the deferred tax assets it has assumed from unused tax losses from controlled entities in the tax consolidated group.</w:t>
      </w:r>
    </w:p>
    <w:p w14:paraId="71CCD236" w14:textId="77777777" w:rsidR="008D0DAB" w:rsidRPr="00F65403" w:rsidRDefault="008D0DAB" w:rsidP="008D0DAB">
      <w:pPr>
        <w:pStyle w:val="BodyText"/>
        <w:rPr>
          <w:highlight w:val="yellow"/>
          <w:lang w:val="en-AU"/>
        </w:rPr>
      </w:pPr>
    </w:p>
    <w:p w14:paraId="1630BCAD" w14:textId="1C40625E" w:rsidR="00B02204" w:rsidRPr="005568AC" w:rsidRDefault="00B02204" w:rsidP="413EB596">
      <w:pPr>
        <w:pStyle w:val="BodyText"/>
        <w:rPr>
          <w:b/>
          <w:bCs/>
          <w:i/>
          <w:iCs/>
          <w:lang w:val="en-AU"/>
        </w:rPr>
      </w:pPr>
      <w:r w:rsidRPr="413EB596">
        <w:rPr>
          <w:b/>
          <w:bCs/>
          <w:i/>
          <w:iCs/>
          <w:lang w:val="en-AU"/>
        </w:rPr>
        <w:t>i</w:t>
      </w:r>
      <w:r w:rsidR="00940569">
        <w:rPr>
          <w:b/>
          <w:bCs/>
          <w:i/>
          <w:iCs/>
          <w:lang w:val="en-AU"/>
        </w:rPr>
        <w:t>i</w:t>
      </w:r>
      <w:r w:rsidRPr="413EB596">
        <w:rPr>
          <w:b/>
          <w:bCs/>
          <w:i/>
          <w:iCs/>
          <w:lang w:val="en-AU"/>
        </w:rPr>
        <w:t xml:space="preserve">.     </w:t>
      </w:r>
      <w:r w:rsidR="00940569">
        <w:rPr>
          <w:b/>
          <w:bCs/>
          <w:i/>
          <w:iCs/>
          <w:lang w:val="en-AU"/>
        </w:rPr>
        <w:t>Components of i</w:t>
      </w:r>
      <w:r w:rsidRPr="413EB596">
        <w:rPr>
          <w:b/>
          <w:bCs/>
          <w:i/>
          <w:iCs/>
          <w:lang w:val="en-AU"/>
        </w:rPr>
        <w:t>ncome tax</w:t>
      </w:r>
      <w:r w:rsidR="00940569">
        <w:rPr>
          <w:b/>
          <w:bCs/>
          <w:i/>
          <w:iCs/>
          <w:lang w:val="en-AU"/>
        </w:rPr>
        <w:t xml:space="preserve"> expense</w:t>
      </w:r>
      <w:r w:rsidRPr="413EB596">
        <w:rPr>
          <w:b/>
          <w:bCs/>
          <w:i/>
          <w:iCs/>
          <w:lang w:val="en-AU"/>
        </w:rPr>
        <w:t xml:space="preserve"> </w:t>
      </w:r>
    </w:p>
    <w:p w14:paraId="60C588BE" w14:textId="26ED7906" w:rsidR="00B02204" w:rsidRDefault="00B02204" w:rsidP="00B02204">
      <w:pPr>
        <w:pStyle w:val="BodyText"/>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B02204" w:rsidRPr="0073009A" w14:paraId="71E44B97" w14:textId="77777777" w:rsidTr="413EB596">
        <w:trPr>
          <w:trHeight w:val="300"/>
        </w:trPr>
        <w:tc>
          <w:tcPr>
            <w:tcW w:w="3525" w:type="pct"/>
            <w:tcBorders>
              <w:top w:val="nil"/>
              <w:left w:val="nil"/>
              <w:bottom w:val="nil"/>
              <w:right w:val="nil"/>
            </w:tcBorders>
            <w:noWrap/>
            <w:vAlign w:val="bottom"/>
            <w:hideMark/>
          </w:tcPr>
          <w:p w14:paraId="151BCD39" w14:textId="77777777" w:rsidR="00B02204" w:rsidRPr="005568AC" w:rsidRDefault="00B02204">
            <w:pPr>
              <w:spacing w:after="0" w:line="240" w:lineRule="auto"/>
              <w:rPr>
                <w:rFonts w:eastAsia="Times New Roman" w:cs="Arial"/>
                <w:b/>
                <w:bCs/>
                <w:sz w:val="20"/>
                <w:szCs w:val="20"/>
                <w:lang w:eastAsia="en-AU"/>
              </w:rPr>
            </w:pPr>
          </w:p>
        </w:tc>
        <w:tc>
          <w:tcPr>
            <w:tcW w:w="738" w:type="pct"/>
            <w:tcBorders>
              <w:top w:val="nil"/>
              <w:left w:val="nil"/>
              <w:bottom w:val="nil"/>
              <w:right w:val="nil"/>
            </w:tcBorders>
            <w:noWrap/>
            <w:vAlign w:val="bottom"/>
            <w:hideMark/>
          </w:tcPr>
          <w:p w14:paraId="669CC245" w14:textId="7F48958C" w:rsidR="00B02204" w:rsidRPr="00F65403" w:rsidRDefault="00940569"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26D5C49C" w14:textId="2AFA2DBA" w:rsidR="00B02204" w:rsidRPr="00F65403" w:rsidRDefault="008C4543"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26 October</w:t>
            </w:r>
            <w:r w:rsidR="00940569">
              <w:rPr>
                <w:rFonts w:eastAsia="Times New Roman" w:cs="Arial"/>
                <w:b/>
                <w:bCs/>
                <w:color w:val="000000" w:themeColor="text1"/>
                <w:sz w:val="20"/>
                <w:szCs w:val="20"/>
                <w:lang w:eastAsia="en-AU"/>
              </w:rPr>
              <w:t xml:space="preserve"> 2023 to 30 June </w:t>
            </w:r>
            <w:r w:rsidR="00940569" w:rsidRPr="413EB596">
              <w:rPr>
                <w:rFonts w:eastAsia="Times New Roman" w:cs="Arial"/>
                <w:b/>
                <w:bCs/>
                <w:color w:val="000000" w:themeColor="text1"/>
                <w:sz w:val="20"/>
                <w:szCs w:val="20"/>
                <w:lang w:eastAsia="en-AU"/>
              </w:rPr>
              <w:t>2024</w:t>
            </w:r>
          </w:p>
        </w:tc>
      </w:tr>
      <w:tr w:rsidR="00B02204" w:rsidRPr="0073009A" w14:paraId="4D6132B2" w14:textId="77777777" w:rsidTr="413EB596">
        <w:trPr>
          <w:trHeight w:val="300"/>
        </w:trPr>
        <w:tc>
          <w:tcPr>
            <w:tcW w:w="3525" w:type="pct"/>
            <w:tcBorders>
              <w:top w:val="nil"/>
              <w:left w:val="nil"/>
              <w:bottom w:val="nil"/>
              <w:right w:val="nil"/>
            </w:tcBorders>
            <w:noWrap/>
            <w:vAlign w:val="bottom"/>
            <w:hideMark/>
          </w:tcPr>
          <w:p w14:paraId="5E34E587" w14:textId="77777777" w:rsidR="00B02204" w:rsidRPr="00F65403" w:rsidRDefault="00B02204"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2E5647AF" w14:textId="77777777" w:rsidR="00B02204" w:rsidRPr="00F65403" w:rsidRDefault="00B02204"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3F08BDAC" w14:textId="77777777" w:rsidR="00B02204" w:rsidRPr="00F65403" w:rsidRDefault="00B02204">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B02204" w:rsidRPr="0073009A" w14:paraId="3B637F06" w14:textId="77777777" w:rsidTr="413EB596">
        <w:trPr>
          <w:trHeight w:val="300"/>
        </w:trPr>
        <w:tc>
          <w:tcPr>
            <w:tcW w:w="3525" w:type="pct"/>
            <w:tcBorders>
              <w:top w:val="nil"/>
              <w:left w:val="nil"/>
              <w:bottom w:val="nil"/>
              <w:right w:val="nil"/>
            </w:tcBorders>
            <w:noWrap/>
            <w:vAlign w:val="bottom"/>
            <w:hideMark/>
          </w:tcPr>
          <w:p w14:paraId="24E2ADE2" w14:textId="77777777" w:rsidR="00B02204" w:rsidRPr="00F65403" w:rsidRDefault="00B02204">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Current tax </w:t>
            </w:r>
          </w:p>
        </w:tc>
        <w:tc>
          <w:tcPr>
            <w:tcW w:w="738" w:type="pct"/>
            <w:tcBorders>
              <w:top w:val="nil"/>
              <w:left w:val="nil"/>
              <w:bottom w:val="nil"/>
              <w:right w:val="nil"/>
            </w:tcBorders>
            <w:noWrap/>
            <w:vAlign w:val="bottom"/>
            <w:hideMark/>
          </w:tcPr>
          <w:p w14:paraId="27357B10" w14:textId="77777777" w:rsidR="00B02204" w:rsidRPr="00F65403" w:rsidRDefault="00B02204">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c>
          <w:tcPr>
            <w:tcW w:w="737" w:type="pct"/>
            <w:tcBorders>
              <w:top w:val="nil"/>
              <w:left w:val="nil"/>
              <w:bottom w:val="nil"/>
              <w:right w:val="nil"/>
            </w:tcBorders>
            <w:noWrap/>
            <w:vAlign w:val="bottom"/>
            <w:hideMark/>
          </w:tcPr>
          <w:p w14:paraId="49BEE4FC" w14:textId="77777777" w:rsidR="00B02204" w:rsidRPr="00F65403" w:rsidRDefault="00B02204">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02204" w:rsidRPr="0073009A" w14:paraId="7B5EB28C" w14:textId="77777777" w:rsidTr="413EB596">
        <w:trPr>
          <w:trHeight w:val="300"/>
        </w:trPr>
        <w:tc>
          <w:tcPr>
            <w:tcW w:w="3525" w:type="pct"/>
            <w:tcBorders>
              <w:top w:val="nil"/>
              <w:left w:val="nil"/>
              <w:bottom w:val="nil"/>
              <w:right w:val="nil"/>
            </w:tcBorders>
            <w:noWrap/>
            <w:vAlign w:val="bottom"/>
            <w:hideMark/>
          </w:tcPr>
          <w:p w14:paraId="730CDD19" w14:textId="77777777" w:rsidR="00B02204" w:rsidRPr="00F65403" w:rsidRDefault="00B02204">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Deferred tax </w:t>
            </w:r>
          </w:p>
        </w:tc>
        <w:tc>
          <w:tcPr>
            <w:tcW w:w="738" w:type="pct"/>
            <w:tcBorders>
              <w:top w:val="nil"/>
              <w:left w:val="nil"/>
              <w:bottom w:val="nil"/>
              <w:right w:val="nil"/>
            </w:tcBorders>
            <w:noWrap/>
            <w:vAlign w:val="bottom"/>
            <w:hideMark/>
          </w:tcPr>
          <w:p w14:paraId="4F8AF2B4" w14:textId="44A2D01D" w:rsidR="00B02204" w:rsidRPr="00F65403" w:rsidRDefault="00F40031">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(41)</w:t>
            </w:r>
          </w:p>
        </w:tc>
        <w:tc>
          <w:tcPr>
            <w:tcW w:w="737" w:type="pct"/>
            <w:tcBorders>
              <w:top w:val="nil"/>
              <w:left w:val="nil"/>
              <w:bottom w:val="nil"/>
              <w:right w:val="nil"/>
            </w:tcBorders>
            <w:noWrap/>
            <w:vAlign w:val="bottom"/>
            <w:hideMark/>
          </w:tcPr>
          <w:p w14:paraId="208DCF84" w14:textId="77777777" w:rsidR="00B02204" w:rsidRPr="00F65403" w:rsidRDefault="00B02204">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02204" w:rsidRPr="0073009A" w14:paraId="5D71A98B" w14:textId="77777777" w:rsidTr="413EB596">
        <w:trPr>
          <w:trHeight w:val="300"/>
        </w:trPr>
        <w:tc>
          <w:tcPr>
            <w:tcW w:w="3525" w:type="pct"/>
            <w:tcBorders>
              <w:top w:val="nil"/>
              <w:left w:val="nil"/>
              <w:bottom w:val="nil"/>
              <w:right w:val="nil"/>
            </w:tcBorders>
            <w:noWrap/>
            <w:vAlign w:val="bottom"/>
            <w:hideMark/>
          </w:tcPr>
          <w:p w14:paraId="186B52CA" w14:textId="25D41256" w:rsidR="00B02204" w:rsidRPr="00F65403" w:rsidRDefault="00B02204"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income tax </w:t>
            </w:r>
            <w:r w:rsidR="00E72470" w:rsidRPr="413EB596">
              <w:rPr>
                <w:rFonts w:eastAsia="Times New Roman" w:cs="Arial"/>
                <w:b/>
                <w:bCs/>
                <w:color w:val="000000" w:themeColor="text1"/>
                <w:sz w:val="20"/>
                <w:szCs w:val="20"/>
                <w:lang w:eastAsia="en-AU"/>
              </w:rPr>
              <w:t>g</w:t>
            </w:r>
            <w:r w:rsidR="00731E40">
              <w:rPr>
                <w:rFonts w:eastAsia="Times New Roman" w:cs="Arial"/>
                <w:b/>
                <w:bCs/>
                <w:color w:val="000000" w:themeColor="text1"/>
                <w:sz w:val="20"/>
                <w:szCs w:val="20"/>
                <w:lang w:eastAsia="en-AU"/>
              </w:rPr>
              <w:t>ain reported in the profit or loss</w:t>
            </w:r>
          </w:p>
        </w:tc>
        <w:tc>
          <w:tcPr>
            <w:tcW w:w="738" w:type="pct"/>
            <w:tcBorders>
              <w:top w:val="single" w:sz="4" w:space="0" w:color="auto"/>
              <w:left w:val="nil"/>
              <w:bottom w:val="single" w:sz="4" w:space="0" w:color="auto"/>
              <w:right w:val="nil"/>
            </w:tcBorders>
            <w:noWrap/>
            <w:vAlign w:val="bottom"/>
            <w:hideMark/>
          </w:tcPr>
          <w:p w14:paraId="6853E10D" w14:textId="26998755" w:rsidR="00B02204" w:rsidRPr="00B24B86" w:rsidRDefault="00F40031">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(41)</w:t>
            </w:r>
          </w:p>
        </w:tc>
        <w:tc>
          <w:tcPr>
            <w:tcW w:w="737" w:type="pct"/>
            <w:tcBorders>
              <w:top w:val="single" w:sz="4" w:space="0" w:color="auto"/>
              <w:left w:val="nil"/>
              <w:bottom w:val="single" w:sz="4" w:space="0" w:color="auto"/>
              <w:right w:val="nil"/>
            </w:tcBorders>
            <w:noWrap/>
            <w:vAlign w:val="bottom"/>
            <w:hideMark/>
          </w:tcPr>
          <w:p w14:paraId="74EDAF79" w14:textId="77777777" w:rsidR="00B02204" w:rsidRPr="00B24B86" w:rsidRDefault="00B02204">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r w:rsidR="002D2475" w:rsidRPr="413EB596" w14:paraId="46E475EE" w14:textId="77777777" w:rsidTr="0075264E">
        <w:trPr>
          <w:trHeight w:val="300"/>
        </w:trPr>
        <w:tc>
          <w:tcPr>
            <w:tcW w:w="3525" w:type="pct"/>
            <w:tcBorders>
              <w:left w:val="nil"/>
              <w:right w:val="nil"/>
            </w:tcBorders>
            <w:noWrap/>
            <w:vAlign w:val="bottom"/>
            <w:hideMark/>
          </w:tcPr>
          <w:p w14:paraId="580CFEFC" w14:textId="77777777" w:rsidR="002D2475" w:rsidRPr="001513B5" w:rsidRDefault="002D2475" w:rsidP="0075264E">
            <w:pPr>
              <w:spacing w:after="0" w:line="240" w:lineRule="auto"/>
              <w:rPr>
                <w:rFonts w:eastAsia="Times New Roman" w:cs="Arial"/>
                <w:i/>
                <w:iCs/>
                <w:color w:val="000000" w:themeColor="text1"/>
                <w:sz w:val="20"/>
                <w:szCs w:val="20"/>
                <w:lang w:eastAsia="en-AU"/>
              </w:rPr>
            </w:pPr>
            <w:r w:rsidRPr="001513B5">
              <w:rPr>
                <w:rFonts w:eastAsia="Times New Roman" w:cs="Arial"/>
                <w:i/>
                <w:iCs/>
                <w:color w:val="000000" w:themeColor="text1"/>
                <w:sz w:val="20"/>
                <w:szCs w:val="20"/>
                <w:lang w:eastAsia="en-AU"/>
              </w:rPr>
              <w:t>Deferred tax expense related to items recognised in OCI during the year</w:t>
            </w:r>
          </w:p>
        </w:tc>
        <w:tc>
          <w:tcPr>
            <w:tcW w:w="738" w:type="pct"/>
            <w:tcBorders>
              <w:left w:val="nil"/>
              <w:right w:val="nil"/>
            </w:tcBorders>
            <w:noWrap/>
            <w:vAlign w:val="bottom"/>
            <w:hideMark/>
          </w:tcPr>
          <w:p w14:paraId="059EDE5F" w14:textId="77777777" w:rsidR="002D2475" w:rsidRPr="413EB596" w:rsidRDefault="002D2475" w:rsidP="0075264E">
            <w:pPr>
              <w:tabs>
                <w:tab w:val="decimal" w:pos="1020"/>
              </w:tabs>
              <w:spacing w:after="0" w:line="240" w:lineRule="auto"/>
              <w:rPr>
                <w:rFonts w:eastAsia="Times New Roman" w:cs="Arial"/>
                <w:b/>
                <w:bCs/>
                <w:color w:val="000000" w:themeColor="text1"/>
                <w:sz w:val="20"/>
                <w:szCs w:val="20"/>
                <w:lang w:eastAsia="en-AU"/>
              </w:rPr>
            </w:pPr>
          </w:p>
        </w:tc>
        <w:tc>
          <w:tcPr>
            <w:tcW w:w="737" w:type="pct"/>
            <w:tcBorders>
              <w:left w:val="nil"/>
              <w:right w:val="nil"/>
            </w:tcBorders>
            <w:noWrap/>
            <w:vAlign w:val="bottom"/>
            <w:hideMark/>
          </w:tcPr>
          <w:p w14:paraId="3AC5874D" w14:textId="77777777" w:rsidR="002D2475" w:rsidRPr="413EB596" w:rsidRDefault="002D2475" w:rsidP="0075264E">
            <w:pPr>
              <w:tabs>
                <w:tab w:val="decimal" w:pos="1020"/>
              </w:tabs>
              <w:spacing w:after="0" w:line="240" w:lineRule="auto"/>
              <w:rPr>
                <w:rFonts w:eastAsia="Times New Roman" w:cs="Arial"/>
                <w:b/>
                <w:bCs/>
                <w:color w:val="000000" w:themeColor="text1"/>
                <w:sz w:val="20"/>
                <w:szCs w:val="20"/>
                <w:lang w:eastAsia="en-AU"/>
              </w:rPr>
            </w:pPr>
          </w:p>
        </w:tc>
      </w:tr>
      <w:tr w:rsidR="002D2475" w:rsidRPr="413EB596" w14:paraId="21186291" w14:textId="77777777" w:rsidTr="0075264E">
        <w:trPr>
          <w:trHeight w:val="300"/>
        </w:trPr>
        <w:tc>
          <w:tcPr>
            <w:tcW w:w="3525" w:type="pct"/>
            <w:tcBorders>
              <w:left w:val="nil"/>
              <w:bottom w:val="nil"/>
              <w:right w:val="nil"/>
            </w:tcBorders>
            <w:noWrap/>
            <w:vAlign w:val="bottom"/>
            <w:hideMark/>
          </w:tcPr>
          <w:p w14:paraId="458D06F3" w14:textId="77777777" w:rsidR="002D2475" w:rsidRPr="001513B5" w:rsidRDefault="002D2475" w:rsidP="0075264E">
            <w:pPr>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Net loss in fair value of cash flow hedges</w:t>
            </w:r>
          </w:p>
        </w:tc>
        <w:tc>
          <w:tcPr>
            <w:tcW w:w="738" w:type="pct"/>
            <w:tcBorders>
              <w:left w:val="nil"/>
              <w:bottom w:val="single" w:sz="4" w:space="0" w:color="auto"/>
              <w:right w:val="nil"/>
            </w:tcBorders>
            <w:noWrap/>
            <w:vAlign w:val="bottom"/>
            <w:hideMark/>
          </w:tcPr>
          <w:p w14:paraId="4E5069CC" w14:textId="77777777" w:rsidR="002D2475" w:rsidRPr="001513B5" w:rsidRDefault="002D2475" w:rsidP="0075264E">
            <w:pPr>
              <w:tabs>
                <w:tab w:val="decimal" w:pos="1020"/>
              </w:tabs>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(226)</w:t>
            </w:r>
          </w:p>
        </w:tc>
        <w:tc>
          <w:tcPr>
            <w:tcW w:w="737" w:type="pct"/>
            <w:tcBorders>
              <w:left w:val="nil"/>
              <w:bottom w:val="single" w:sz="4" w:space="0" w:color="auto"/>
              <w:right w:val="nil"/>
            </w:tcBorders>
            <w:noWrap/>
            <w:vAlign w:val="bottom"/>
            <w:hideMark/>
          </w:tcPr>
          <w:p w14:paraId="7DF7A8EC" w14:textId="77777777" w:rsidR="002D2475" w:rsidRPr="001513B5" w:rsidRDefault="002D2475" w:rsidP="0075264E">
            <w:pPr>
              <w:tabs>
                <w:tab w:val="decimal" w:pos="1020"/>
              </w:tabs>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w:t>
            </w:r>
          </w:p>
        </w:tc>
      </w:tr>
      <w:tr w:rsidR="002D2475" w:rsidRPr="413EB596" w14:paraId="0895DC71" w14:textId="77777777" w:rsidTr="0075264E">
        <w:trPr>
          <w:trHeight w:val="300"/>
        </w:trPr>
        <w:tc>
          <w:tcPr>
            <w:tcW w:w="3525" w:type="pct"/>
            <w:tcBorders>
              <w:top w:val="nil"/>
              <w:left w:val="nil"/>
              <w:bottom w:val="nil"/>
              <w:right w:val="nil"/>
            </w:tcBorders>
            <w:noWrap/>
            <w:vAlign w:val="bottom"/>
            <w:hideMark/>
          </w:tcPr>
          <w:p w14:paraId="3F8A1FD4" w14:textId="77777777" w:rsidR="002D2475" w:rsidRPr="413EB596" w:rsidRDefault="002D2475" w:rsidP="0075264E">
            <w:pPr>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Deferred tax benefit charged to OCI</w:t>
            </w:r>
          </w:p>
        </w:tc>
        <w:tc>
          <w:tcPr>
            <w:tcW w:w="738" w:type="pct"/>
            <w:tcBorders>
              <w:top w:val="single" w:sz="4" w:space="0" w:color="auto"/>
              <w:left w:val="nil"/>
              <w:bottom w:val="single" w:sz="4" w:space="0" w:color="auto"/>
              <w:right w:val="nil"/>
            </w:tcBorders>
            <w:noWrap/>
            <w:vAlign w:val="bottom"/>
            <w:hideMark/>
          </w:tcPr>
          <w:p w14:paraId="30F3E8F9" w14:textId="77777777" w:rsidR="002D2475" w:rsidRPr="413EB596" w:rsidRDefault="002D2475"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(226)</w:t>
            </w:r>
          </w:p>
        </w:tc>
        <w:tc>
          <w:tcPr>
            <w:tcW w:w="737" w:type="pct"/>
            <w:tcBorders>
              <w:top w:val="single" w:sz="4" w:space="0" w:color="auto"/>
              <w:left w:val="nil"/>
              <w:bottom w:val="single" w:sz="4" w:space="0" w:color="auto"/>
              <w:right w:val="nil"/>
            </w:tcBorders>
            <w:noWrap/>
            <w:vAlign w:val="bottom"/>
            <w:hideMark/>
          </w:tcPr>
          <w:p w14:paraId="183D73F2" w14:textId="77777777" w:rsidR="002D2475" w:rsidRPr="413EB596" w:rsidRDefault="002D2475"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p>
        </w:tc>
      </w:tr>
    </w:tbl>
    <w:p w14:paraId="6C822B9C" w14:textId="46C891F0" w:rsidR="00B02204" w:rsidRPr="001513B5" w:rsidRDefault="00B02204" w:rsidP="00B02204">
      <w:pPr>
        <w:rPr>
          <w:b/>
          <w:i/>
        </w:rPr>
      </w:pPr>
      <w:r>
        <w:br/>
      </w:r>
      <w:r w:rsidR="00537932" w:rsidRPr="001513B5">
        <w:rPr>
          <w:rFonts w:eastAsia="Times New Roman" w:cs="Arial"/>
          <w:b/>
          <w:bCs/>
          <w:i/>
          <w:iCs/>
          <w:sz w:val="20"/>
          <w:szCs w:val="20"/>
          <w:lang w:eastAsia="en-AU"/>
        </w:rPr>
        <w:t>iii.</w:t>
      </w:r>
      <w:r w:rsidRPr="001513B5">
        <w:rPr>
          <w:rFonts w:eastAsia="Times New Roman" w:cs="Arial"/>
          <w:b/>
          <w:bCs/>
          <w:i/>
          <w:iCs/>
          <w:sz w:val="20"/>
          <w:szCs w:val="20"/>
          <w:lang w:eastAsia="en-AU"/>
        </w:rPr>
        <w:t xml:space="preserve"> </w:t>
      </w:r>
      <w:r w:rsidR="00537932" w:rsidRPr="001513B5">
        <w:rPr>
          <w:rFonts w:eastAsia="Times New Roman" w:cs="Arial"/>
          <w:b/>
          <w:bCs/>
          <w:i/>
          <w:iCs/>
          <w:sz w:val="20"/>
          <w:szCs w:val="20"/>
          <w:lang w:eastAsia="en-AU"/>
        </w:rPr>
        <w:t xml:space="preserve"> </w:t>
      </w:r>
      <w:r w:rsidRPr="001513B5">
        <w:rPr>
          <w:rFonts w:eastAsia="Times New Roman" w:cs="Arial"/>
          <w:b/>
          <w:i/>
          <w:sz w:val="20"/>
          <w:szCs w:val="20"/>
          <w:lang w:eastAsia="en-AU"/>
        </w:rPr>
        <w:t xml:space="preserve"> Numerical reconciliation of income tax expense to prima facie tax payable</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B02204" w:rsidRPr="0073009A" w14:paraId="722B193E" w14:textId="77777777" w:rsidTr="413EB596">
        <w:trPr>
          <w:trHeight w:val="300"/>
        </w:trPr>
        <w:tc>
          <w:tcPr>
            <w:tcW w:w="3525" w:type="pct"/>
            <w:tcBorders>
              <w:top w:val="nil"/>
              <w:left w:val="nil"/>
              <w:bottom w:val="nil"/>
              <w:right w:val="nil"/>
            </w:tcBorders>
            <w:noWrap/>
            <w:vAlign w:val="bottom"/>
            <w:hideMark/>
          </w:tcPr>
          <w:p w14:paraId="58CFF203" w14:textId="77777777" w:rsidR="00B02204" w:rsidRPr="005568AC" w:rsidRDefault="00B02204">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3C843E1F" w14:textId="755863EC" w:rsidR="00B02204" w:rsidRPr="00F65403" w:rsidRDefault="00537932"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38500DB8" w14:textId="5679AEB7" w:rsidR="00B02204" w:rsidRPr="00F65403" w:rsidRDefault="00537932"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w:t>
            </w:r>
            <w:r w:rsidR="00B82365">
              <w:rPr>
                <w:rFonts w:eastAsia="Times New Roman" w:cs="Arial"/>
                <w:b/>
                <w:bCs/>
                <w:color w:val="000000" w:themeColor="text1"/>
                <w:sz w:val="20"/>
                <w:szCs w:val="20"/>
                <w:lang w:eastAsia="en-AU"/>
              </w:rPr>
              <w:t>6</w:t>
            </w:r>
            <w:r>
              <w:rPr>
                <w:rFonts w:eastAsia="Times New Roman" w:cs="Arial"/>
                <w:b/>
                <w:bCs/>
                <w:color w:val="000000" w:themeColor="text1"/>
                <w:sz w:val="20"/>
                <w:szCs w:val="20"/>
                <w:lang w:eastAsia="en-AU"/>
              </w:rPr>
              <w:t xml:space="preserve"> October 2023 to 30 June </w:t>
            </w:r>
            <w:r w:rsidRPr="413EB596">
              <w:rPr>
                <w:rFonts w:eastAsia="Times New Roman" w:cs="Arial"/>
                <w:b/>
                <w:bCs/>
                <w:color w:val="000000" w:themeColor="text1"/>
                <w:sz w:val="20"/>
                <w:szCs w:val="20"/>
                <w:lang w:eastAsia="en-AU"/>
              </w:rPr>
              <w:t>2024</w:t>
            </w:r>
          </w:p>
        </w:tc>
      </w:tr>
      <w:tr w:rsidR="00B02204" w:rsidRPr="0073009A" w14:paraId="5ACEB42F" w14:textId="77777777" w:rsidTr="413EB596">
        <w:trPr>
          <w:trHeight w:val="300"/>
        </w:trPr>
        <w:tc>
          <w:tcPr>
            <w:tcW w:w="3525" w:type="pct"/>
            <w:tcBorders>
              <w:top w:val="nil"/>
              <w:left w:val="nil"/>
              <w:bottom w:val="nil"/>
              <w:right w:val="nil"/>
            </w:tcBorders>
            <w:noWrap/>
            <w:vAlign w:val="bottom"/>
            <w:hideMark/>
          </w:tcPr>
          <w:p w14:paraId="7A7451B6" w14:textId="77777777" w:rsidR="00B02204" w:rsidRPr="00F65403" w:rsidRDefault="00B02204"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5B6FAC6D" w14:textId="77777777" w:rsidR="00B02204" w:rsidRPr="00F65403" w:rsidRDefault="00B02204"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6636AE6F" w14:textId="77777777" w:rsidR="00B02204" w:rsidRPr="00F65403" w:rsidRDefault="00B02204">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B02204" w:rsidRPr="0073009A" w14:paraId="69F95FF3" w14:textId="77777777" w:rsidTr="413EB596">
        <w:trPr>
          <w:trHeight w:val="300"/>
        </w:trPr>
        <w:tc>
          <w:tcPr>
            <w:tcW w:w="3525" w:type="pct"/>
            <w:tcBorders>
              <w:top w:val="nil"/>
              <w:left w:val="nil"/>
              <w:bottom w:val="nil"/>
              <w:right w:val="nil"/>
            </w:tcBorders>
            <w:noWrap/>
            <w:vAlign w:val="bottom"/>
            <w:hideMark/>
          </w:tcPr>
          <w:p w14:paraId="46E36370" w14:textId="410D3157" w:rsidR="00B02204" w:rsidRPr="00F65403" w:rsidRDefault="00644393">
            <w:pPr>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L</w:t>
            </w:r>
            <w:r w:rsidR="00A91BAB" w:rsidRPr="413EB596">
              <w:rPr>
                <w:rFonts w:eastAsia="Times New Roman" w:cs="Arial"/>
                <w:color w:val="000000" w:themeColor="text1"/>
                <w:sz w:val="20"/>
                <w:szCs w:val="20"/>
                <w:lang w:eastAsia="en-AU"/>
              </w:rPr>
              <w:t>oss</w:t>
            </w:r>
            <w:r w:rsidR="00B02204" w:rsidRPr="413EB596">
              <w:rPr>
                <w:rFonts w:eastAsia="Times New Roman" w:cs="Arial"/>
                <w:color w:val="000000" w:themeColor="text1"/>
                <w:sz w:val="20"/>
                <w:szCs w:val="20"/>
                <w:lang w:eastAsia="en-AU"/>
              </w:rPr>
              <w:t xml:space="preserve"> from continuing operations before income tax expense</w:t>
            </w:r>
          </w:p>
        </w:tc>
        <w:tc>
          <w:tcPr>
            <w:tcW w:w="738" w:type="pct"/>
            <w:tcBorders>
              <w:top w:val="nil"/>
              <w:left w:val="nil"/>
              <w:bottom w:val="nil"/>
              <w:right w:val="nil"/>
            </w:tcBorders>
            <w:noWrap/>
            <w:vAlign w:val="bottom"/>
            <w:hideMark/>
          </w:tcPr>
          <w:p w14:paraId="1C6A9CE7" w14:textId="15308850" w:rsidR="00B02204" w:rsidRPr="00F65403" w:rsidRDefault="00A91BAB">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r w:rsidR="00E72470" w:rsidRPr="413EB596">
              <w:rPr>
                <w:rFonts w:eastAsia="Times New Roman" w:cs="Arial"/>
                <w:color w:val="000000" w:themeColor="text1"/>
                <w:sz w:val="20"/>
                <w:szCs w:val="20"/>
                <w:lang w:eastAsia="en-AU"/>
              </w:rPr>
              <w:t>7,91</w:t>
            </w:r>
            <w:r w:rsidR="00DE3092">
              <w:rPr>
                <w:rFonts w:eastAsia="Times New Roman" w:cs="Arial"/>
                <w:color w:val="000000" w:themeColor="text1"/>
                <w:sz w:val="20"/>
                <w:szCs w:val="20"/>
                <w:lang w:eastAsia="en-AU"/>
              </w:rPr>
              <w:t>4</w:t>
            </w:r>
            <w:r w:rsidRPr="413EB596">
              <w:rPr>
                <w:rFonts w:eastAsia="Times New Roman" w:cs="Arial"/>
                <w:color w:val="000000" w:themeColor="text1"/>
                <w:sz w:val="20"/>
                <w:szCs w:val="20"/>
                <w:lang w:eastAsia="en-AU"/>
              </w:rPr>
              <w:t>)</w:t>
            </w:r>
          </w:p>
        </w:tc>
        <w:tc>
          <w:tcPr>
            <w:tcW w:w="737" w:type="pct"/>
            <w:tcBorders>
              <w:top w:val="nil"/>
              <w:left w:val="nil"/>
              <w:bottom w:val="nil"/>
              <w:right w:val="nil"/>
            </w:tcBorders>
            <w:noWrap/>
            <w:vAlign w:val="bottom"/>
            <w:hideMark/>
          </w:tcPr>
          <w:p w14:paraId="4111FBE5" w14:textId="322AB4A4" w:rsidR="00B02204" w:rsidRPr="00F65403" w:rsidRDefault="00644393">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(5,439)</w:t>
            </w:r>
          </w:p>
        </w:tc>
      </w:tr>
      <w:tr w:rsidR="007C5A41" w:rsidRPr="0073009A" w14:paraId="0B45455C" w14:textId="77777777" w:rsidTr="413EB596">
        <w:trPr>
          <w:trHeight w:val="300"/>
        </w:trPr>
        <w:tc>
          <w:tcPr>
            <w:tcW w:w="3525" w:type="pct"/>
            <w:tcBorders>
              <w:top w:val="nil"/>
              <w:left w:val="nil"/>
              <w:bottom w:val="nil"/>
              <w:right w:val="nil"/>
            </w:tcBorders>
            <w:noWrap/>
            <w:vAlign w:val="bottom"/>
          </w:tcPr>
          <w:p w14:paraId="0317A934" w14:textId="77777777" w:rsidR="007C5A41" w:rsidRDefault="007C5A41">
            <w:pPr>
              <w:spacing w:after="0" w:line="240" w:lineRule="auto"/>
              <w:rPr>
                <w:rFonts w:eastAsia="Times New Roman" w:cs="Arial"/>
                <w:color w:val="000000"/>
                <w:sz w:val="20"/>
                <w:szCs w:val="20"/>
                <w:lang w:eastAsia="en-AU"/>
              </w:rPr>
            </w:pPr>
          </w:p>
        </w:tc>
        <w:tc>
          <w:tcPr>
            <w:tcW w:w="738" w:type="pct"/>
            <w:tcBorders>
              <w:top w:val="nil"/>
              <w:left w:val="nil"/>
              <w:right w:val="nil"/>
            </w:tcBorders>
            <w:noWrap/>
            <w:vAlign w:val="bottom"/>
          </w:tcPr>
          <w:p w14:paraId="3DC2E863" w14:textId="77777777" w:rsidR="007C5A41" w:rsidRDefault="007C5A41">
            <w:pPr>
              <w:tabs>
                <w:tab w:val="decimal" w:pos="1020"/>
              </w:tabs>
              <w:spacing w:after="0" w:line="240" w:lineRule="auto"/>
              <w:rPr>
                <w:rFonts w:eastAsia="Times New Roman" w:cs="Arial"/>
                <w:color w:val="000000"/>
                <w:sz w:val="20"/>
                <w:szCs w:val="20"/>
                <w:lang w:eastAsia="en-AU"/>
              </w:rPr>
            </w:pPr>
          </w:p>
        </w:tc>
        <w:tc>
          <w:tcPr>
            <w:tcW w:w="737" w:type="pct"/>
            <w:tcBorders>
              <w:top w:val="nil"/>
              <w:left w:val="nil"/>
              <w:right w:val="nil"/>
            </w:tcBorders>
            <w:noWrap/>
            <w:vAlign w:val="bottom"/>
          </w:tcPr>
          <w:p w14:paraId="7959F628" w14:textId="77777777" w:rsidR="007C5A41" w:rsidRDefault="007C5A41">
            <w:pPr>
              <w:tabs>
                <w:tab w:val="decimal" w:pos="1020"/>
              </w:tabs>
              <w:spacing w:after="0" w:line="240" w:lineRule="auto"/>
              <w:rPr>
                <w:rFonts w:eastAsia="Times New Roman" w:cs="Arial"/>
                <w:color w:val="000000"/>
                <w:sz w:val="20"/>
                <w:szCs w:val="20"/>
                <w:lang w:eastAsia="en-AU"/>
              </w:rPr>
            </w:pPr>
          </w:p>
        </w:tc>
      </w:tr>
      <w:tr w:rsidR="00B02204" w:rsidRPr="0073009A" w14:paraId="08C27D75" w14:textId="77777777" w:rsidTr="413EB596">
        <w:trPr>
          <w:trHeight w:val="300"/>
        </w:trPr>
        <w:tc>
          <w:tcPr>
            <w:tcW w:w="3525" w:type="pct"/>
            <w:tcBorders>
              <w:top w:val="nil"/>
              <w:left w:val="nil"/>
              <w:bottom w:val="nil"/>
              <w:right w:val="nil"/>
            </w:tcBorders>
            <w:noWrap/>
            <w:vAlign w:val="bottom"/>
            <w:hideMark/>
          </w:tcPr>
          <w:p w14:paraId="1EE2CC5D" w14:textId="29C75F10" w:rsidR="00B02204" w:rsidRPr="00F65403" w:rsidRDefault="00B02204">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at the Australian tax rate of 30% </w:t>
            </w:r>
            <w:r w:rsidR="00644393">
              <w:rPr>
                <w:rFonts w:eastAsia="Times New Roman" w:cs="Arial"/>
                <w:color w:val="000000" w:themeColor="text1"/>
                <w:sz w:val="20"/>
                <w:szCs w:val="20"/>
                <w:lang w:eastAsia="en-AU"/>
              </w:rPr>
              <w:t>(2024: not applicable)</w:t>
            </w:r>
          </w:p>
        </w:tc>
        <w:tc>
          <w:tcPr>
            <w:tcW w:w="738" w:type="pct"/>
            <w:tcBorders>
              <w:top w:val="nil"/>
              <w:left w:val="nil"/>
              <w:right w:val="nil"/>
            </w:tcBorders>
            <w:noWrap/>
            <w:vAlign w:val="bottom"/>
            <w:hideMark/>
          </w:tcPr>
          <w:p w14:paraId="7DC6D284" w14:textId="0CFB2D45" w:rsidR="00B02204" w:rsidRPr="00F65403" w:rsidRDefault="0034323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(2,375)</w:t>
            </w:r>
          </w:p>
        </w:tc>
        <w:tc>
          <w:tcPr>
            <w:tcW w:w="737" w:type="pct"/>
            <w:tcBorders>
              <w:top w:val="nil"/>
              <w:left w:val="nil"/>
              <w:right w:val="nil"/>
            </w:tcBorders>
            <w:noWrap/>
            <w:vAlign w:val="bottom"/>
            <w:hideMark/>
          </w:tcPr>
          <w:p w14:paraId="4F86FDC6" w14:textId="77777777" w:rsidR="00B02204" w:rsidRPr="00F65403" w:rsidRDefault="00B02204">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092F81" w:rsidRPr="0073009A" w14:paraId="790ED634" w14:textId="77777777" w:rsidTr="413EB596">
        <w:trPr>
          <w:trHeight w:val="300"/>
        </w:trPr>
        <w:tc>
          <w:tcPr>
            <w:tcW w:w="3525" w:type="pct"/>
            <w:tcBorders>
              <w:top w:val="nil"/>
              <w:left w:val="nil"/>
              <w:bottom w:val="nil"/>
              <w:right w:val="nil"/>
            </w:tcBorders>
            <w:noWrap/>
            <w:vAlign w:val="bottom"/>
          </w:tcPr>
          <w:p w14:paraId="59C0AE23" w14:textId="3BE8C824" w:rsidR="00092F81" w:rsidRDefault="00092F81">
            <w:pPr>
              <w:spacing w:after="0" w:line="240" w:lineRule="auto"/>
              <w:rPr>
                <w:rFonts w:eastAsia="Times New Roman" w:cs="Arial"/>
                <w:color w:val="000000"/>
                <w:sz w:val="20"/>
                <w:szCs w:val="20"/>
                <w:lang w:eastAsia="en-AU"/>
              </w:rPr>
            </w:pPr>
          </w:p>
        </w:tc>
        <w:tc>
          <w:tcPr>
            <w:tcW w:w="738" w:type="pct"/>
            <w:tcBorders>
              <w:top w:val="nil"/>
              <w:left w:val="nil"/>
              <w:right w:val="nil"/>
            </w:tcBorders>
            <w:noWrap/>
            <w:vAlign w:val="bottom"/>
          </w:tcPr>
          <w:p w14:paraId="4FE547CF" w14:textId="747E7CDF" w:rsidR="00092F81" w:rsidRPr="00F65403" w:rsidRDefault="00092F81">
            <w:pPr>
              <w:tabs>
                <w:tab w:val="decimal" w:pos="1020"/>
              </w:tabs>
              <w:spacing w:after="0" w:line="240" w:lineRule="auto"/>
              <w:rPr>
                <w:rFonts w:eastAsia="Times New Roman" w:cs="Arial"/>
                <w:color w:val="000000"/>
                <w:sz w:val="20"/>
                <w:szCs w:val="20"/>
                <w:lang w:eastAsia="en-AU"/>
              </w:rPr>
            </w:pPr>
          </w:p>
        </w:tc>
        <w:tc>
          <w:tcPr>
            <w:tcW w:w="737" w:type="pct"/>
            <w:tcBorders>
              <w:top w:val="nil"/>
              <w:left w:val="nil"/>
              <w:right w:val="nil"/>
            </w:tcBorders>
            <w:noWrap/>
            <w:vAlign w:val="bottom"/>
          </w:tcPr>
          <w:p w14:paraId="2A00BAE6" w14:textId="218B350A" w:rsidR="00092F81" w:rsidRPr="00F65403" w:rsidRDefault="00092F81">
            <w:pPr>
              <w:tabs>
                <w:tab w:val="decimal" w:pos="1020"/>
              </w:tabs>
              <w:spacing w:after="0" w:line="240" w:lineRule="auto"/>
              <w:rPr>
                <w:rFonts w:eastAsia="Times New Roman" w:cs="Arial"/>
                <w:color w:val="000000"/>
                <w:sz w:val="20"/>
                <w:szCs w:val="20"/>
                <w:lang w:eastAsia="en-AU"/>
              </w:rPr>
            </w:pPr>
          </w:p>
        </w:tc>
      </w:tr>
      <w:tr w:rsidR="00B02204" w:rsidRPr="0073009A" w14:paraId="47E6E4DA" w14:textId="77777777" w:rsidTr="00E326C0">
        <w:trPr>
          <w:trHeight w:val="300"/>
        </w:trPr>
        <w:tc>
          <w:tcPr>
            <w:tcW w:w="3525" w:type="pct"/>
            <w:tcBorders>
              <w:top w:val="nil"/>
              <w:left w:val="nil"/>
              <w:bottom w:val="nil"/>
              <w:right w:val="nil"/>
            </w:tcBorders>
            <w:noWrap/>
            <w:vAlign w:val="bottom"/>
            <w:hideMark/>
          </w:tcPr>
          <w:p w14:paraId="2853B3E4" w14:textId="77777777" w:rsidR="00B02204" w:rsidRPr="00F65403" w:rsidRDefault="00B02204">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effect of amounts which are not deductible (taxable) in calculating taxable income:</w:t>
            </w:r>
          </w:p>
        </w:tc>
        <w:tc>
          <w:tcPr>
            <w:tcW w:w="738" w:type="pct"/>
            <w:tcBorders>
              <w:top w:val="nil"/>
              <w:left w:val="nil"/>
              <w:right w:val="nil"/>
            </w:tcBorders>
            <w:noWrap/>
            <w:vAlign w:val="bottom"/>
            <w:hideMark/>
          </w:tcPr>
          <w:p w14:paraId="2E29091F" w14:textId="77777777" w:rsidR="00B02204" w:rsidRPr="00F65403" w:rsidRDefault="00B02204">
            <w:pPr>
              <w:tabs>
                <w:tab w:val="decimal" w:pos="1020"/>
              </w:tabs>
              <w:spacing w:after="0" w:line="240" w:lineRule="auto"/>
              <w:rPr>
                <w:rFonts w:eastAsia="Times New Roman" w:cs="Arial"/>
                <w:color w:val="000000"/>
                <w:sz w:val="20"/>
                <w:szCs w:val="20"/>
                <w:lang w:eastAsia="en-AU"/>
              </w:rPr>
            </w:pPr>
          </w:p>
        </w:tc>
        <w:tc>
          <w:tcPr>
            <w:tcW w:w="737" w:type="pct"/>
            <w:tcBorders>
              <w:top w:val="nil"/>
              <w:left w:val="nil"/>
              <w:right w:val="nil"/>
            </w:tcBorders>
            <w:noWrap/>
            <w:vAlign w:val="bottom"/>
            <w:hideMark/>
          </w:tcPr>
          <w:p w14:paraId="774FB530" w14:textId="77777777" w:rsidR="00B02204" w:rsidRPr="00F65403" w:rsidRDefault="00B02204">
            <w:pPr>
              <w:tabs>
                <w:tab w:val="decimal" w:pos="1020"/>
              </w:tabs>
              <w:spacing w:after="0" w:line="240" w:lineRule="auto"/>
              <w:rPr>
                <w:rFonts w:eastAsia="Times New Roman" w:cs="Arial"/>
                <w:color w:val="000000"/>
                <w:sz w:val="20"/>
                <w:szCs w:val="20"/>
                <w:lang w:eastAsia="en-AU"/>
              </w:rPr>
            </w:pPr>
          </w:p>
        </w:tc>
      </w:tr>
      <w:tr w:rsidR="001C0B2F" w:rsidRPr="0073009A" w14:paraId="6736F2B5" w14:textId="77777777" w:rsidTr="413EB596">
        <w:trPr>
          <w:trHeight w:val="300"/>
        </w:trPr>
        <w:tc>
          <w:tcPr>
            <w:tcW w:w="3525" w:type="pct"/>
            <w:tcBorders>
              <w:top w:val="nil"/>
              <w:left w:val="nil"/>
              <w:bottom w:val="nil"/>
              <w:right w:val="nil"/>
            </w:tcBorders>
            <w:noWrap/>
            <w:vAlign w:val="bottom"/>
          </w:tcPr>
          <w:p w14:paraId="1A0BDA85" w14:textId="3C81029F" w:rsidR="001C0B2F" w:rsidRDefault="001C0B2F" w:rsidP="001C0B2F">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Share of loss of equity accounted investee not recognised</w:t>
            </w:r>
          </w:p>
        </w:tc>
        <w:tc>
          <w:tcPr>
            <w:tcW w:w="738" w:type="pct"/>
            <w:tcBorders>
              <w:left w:val="nil"/>
              <w:right w:val="nil"/>
            </w:tcBorders>
            <w:noWrap/>
            <w:vAlign w:val="bottom"/>
          </w:tcPr>
          <w:p w14:paraId="53CAE6AC" w14:textId="1727B40F" w:rsidR="001C0B2F"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2,334</w:t>
            </w:r>
          </w:p>
        </w:tc>
        <w:tc>
          <w:tcPr>
            <w:tcW w:w="737" w:type="pct"/>
            <w:tcBorders>
              <w:left w:val="nil"/>
              <w:right w:val="nil"/>
            </w:tcBorders>
            <w:noWrap/>
            <w:vAlign w:val="bottom"/>
          </w:tcPr>
          <w:p w14:paraId="2A0043D4" w14:textId="693359B2" w:rsidR="001C0B2F"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1C0B2F" w:rsidRPr="0073009A" w14:paraId="1FFAE4F3" w14:textId="77777777" w:rsidTr="00E326C0">
        <w:trPr>
          <w:trHeight w:val="300"/>
        </w:trPr>
        <w:tc>
          <w:tcPr>
            <w:tcW w:w="3525" w:type="pct"/>
            <w:tcBorders>
              <w:top w:val="nil"/>
              <w:left w:val="nil"/>
              <w:bottom w:val="nil"/>
              <w:right w:val="nil"/>
            </w:tcBorders>
            <w:noWrap/>
            <w:vAlign w:val="bottom"/>
          </w:tcPr>
          <w:p w14:paraId="081E26B7" w14:textId="307C949D" w:rsidR="001C0B2F" w:rsidRDefault="001C0B2F" w:rsidP="001C0B2F">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Acquisition of SEC Renewable Energy Park - Horsham</w:t>
            </w:r>
          </w:p>
        </w:tc>
        <w:tc>
          <w:tcPr>
            <w:tcW w:w="738" w:type="pct"/>
            <w:tcBorders>
              <w:left w:val="nil"/>
              <w:right w:val="nil"/>
            </w:tcBorders>
            <w:noWrap/>
            <w:vAlign w:val="bottom"/>
          </w:tcPr>
          <w:p w14:paraId="07BFF920" w14:textId="4F4BF558" w:rsidR="001C0B2F"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737" w:type="pct"/>
            <w:tcBorders>
              <w:left w:val="nil"/>
              <w:right w:val="nil"/>
            </w:tcBorders>
            <w:noWrap/>
            <w:vAlign w:val="bottom"/>
          </w:tcPr>
          <w:p w14:paraId="6AC4EE67" w14:textId="325A79B5" w:rsidR="001C0B2F"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1C0B2F" w:rsidRPr="0073009A" w14:paraId="05B7A6A4" w14:textId="77777777" w:rsidTr="00AA3AC5">
        <w:trPr>
          <w:trHeight w:val="300"/>
        </w:trPr>
        <w:tc>
          <w:tcPr>
            <w:tcW w:w="3525" w:type="pct"/>
            <w:tcBorders>
              <w:top w:val="nil"/>
              <w:left w:val="nil"/>
              <w:bottom w:val="nil"/>
              <w:right w:val="nil"/>
            </w:tcBorders>
            <w:noWrap/>
            <w:vAlign w:val="bottom"/>
          </w:tcPr>
          <w:p w14:paraId="7FE6671E" w14:textId="77777777" w:rsidR="001C0B2F" w:rsidRDefault="001C0B2F" w:rsidP="001C0B2F">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Under/(over) from prior years</w:t>
            </w:r>
          </w:p>
        </w:tc>
        <w:tc>
          <w:tcPr>
            <w:tcW w:w="738" w:type="pct"/>
            <w:tcBorders>
              <w:left w:val="nil"/>
              <w:bottom w:val="single" w:sz="4" w:space="0" w:color="auto"/>
              <w:right w:val="nil"/>
            </w:tcBorders>
            <w:noWrap/>
            <w:vAlign w:val="bottom"/>
          </w:tcPr>
          <w:p w14:paraId="450EE7A1" w14:textId="1A935DE8" w:rsidR="001C0B2F"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737" w:type="pct"/>
            <w:tcBorders>
              <w:left w:val="nil"/>
              <w:bottom w:val="single" w:sz="4" w:space="0" w:color="auto"/>
              <w:right w:val="nil"/>
            </w:tcBorders>
            <w:noWrap/>
            <w:vAlign w:val="bottom"/>
          </w:tcPr>
          <w:p w14:paraId="67D8DD88" w14:textId="77777777" w:rsidR="001C0B2F" w:rsidRPr="00F65403" w:rsidRDefault="001C0B2F" w:rsidP="001C0B2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1C0B2F" w:rsidRPr="0073009A" w14:paraId="131EC594" w14:textId="77777777" w:rsidTr="00AA3AC5">
        <w:trPr>
          <w:trHeight w:val="300"/>
        </w:trPr>
        <w:tc>
          <w:tcPr>
            <w:tcW w:w="3525" w:type="pct"/>
            <w:tcBorders>
              <w:top w:val="nil"/>
              <w:left w:val="nil"/>
              <w:bottom w:val="nil"/>
              <w:right w:val="nil"/>
            </w:tcBorders>
            <w:noWrap/>
            <w:vAlign w:val="bottom"/>
            <w:hideMark/>
          </w:tcPr>
          <w:p w14:paraId="71809B32" w14:textId="0087D9A7" w:rsidR="001C0B2F" w:rsidRPr="00F65403" w:rsidRDefault="001C0B2F"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income tax </w:t>
            </w:r>
            <w:r w:rsidR="007A6363">
              <w:rPr>
                <w:rFonts w:eastAsia="Times New Roman" w:cs="Arial"/>
                <w:b/>
                <w:bCs/>
                <w:color w:val="000000" w:themeColor="text1"/>
                <w:sz w:val="20"/>
                <w:szCs w:val="20"/>
                <w:lang w:eastAsia="en-AU"/>
              </w:rPr>
              <w:t>benefit</w:t>
            </w:r>
          </w:p>
        </w:tc>
        <w:tc>
          <w:tcPr>
            <w:tcW w:w="738" w:type="pct"/>
            <w:tcBorders>
              <w:top w:val="single" w:sz="4" w:space="0" w:color="auto"/>
              <w:left w:val="nil"/>
              <w:bottom w:val="single" w:sz="4" w:space="0" w:color="auto"/>
              <w:right w:val="nil"/>
            </w:tcBorders>
            <w:noWrap/>
            <w:vAlign w:val="bottom"/>
            <w:hideMark/>
          </w:tcPr>
          <w:p w14:paraId="6DCEC127" w14:textId="7EF46BCF" w:rsidR="001C0B2F" w:rsidRPr="005568AC" w:rsidRDefault="001C0B2F" w:rsidP="001C0B2F">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(41)</w:t>
            </w:r>
          </w:p>
        </w:tc>
        <w:tc>
          <w:tcPr>
            <w:tcW w:w="737" w:type="pct"/>
            <w:tcBorders>
              <w:top w:val="single" w:sz="4" w:space="0" w:color="auto"/>
              <w:left w:val="nil"/>
              <w:bottom w:val="single" w:sz="4" w:space="0" w:color="auto"/>
              <w:right w:val="nil"/>
            </w:tcBorders>
            <w:noWrap/>
            <w:vAlign w:val="bottom"/>
            <w:hideMark/>
          </w:tcPr>
          <w:p w14:paraId="2FD4D5E7" w14:textId="77777777" w:rsidR="001C0B2F" w:rsidRPr="005568AC" w:rsidRDefault="001C0B2F" w:rsidP="001C0B2F">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bl>
    <w:p w14:paraId="1E8E7D42" w14:textId="3C126A42" w:rsidR="00B02204" w:rsidRPr="001513B5" w:rsidRDefault="00B02204" w:rsidP="00B02204">
      <w:pPr>
        <w:rPr>
          <w:b/>
          <w:i/>
        </w:rPr>
      </w:pPr>
      <w:r>
        <w:br/>
      </w:r>
      <w:r w:rsidR="00860FCE" w:rsidRPr="001513B5">
        <w:rPr>
          <w:rFonts w:eastAsia="Times New Roman" w:cs="Arial"/>
          <w:b/>
          <w:bCs/>
          <w:i/>
          <w:iCs/>
          <w:sz w:val="20"/>
          <w:szCs w:val="20"/>
          <w:lang w:eastAsia="en-AU"/>
        </w:rPr>
        <w:t xml:space="preserve">iv.  </w:t>
      </w:r>
      <w:r w:rsidRPr="001513B5">
        <w:rPr>
          <w:rFonts w:eastAsia="Times New Roman" w:cs="Arial"/>
          <w:b/>
          <w:i/>
          <w:sz w:val="20"/>
          <w:szCs w:val="20"/>
          <w:lang w:eastAsia="en-AU"/>
        </w:rPr>
        <w:t xml:space="preserve"> Deferred tax balances</w:t>
      </w:r>
    </w:p>
    <w:tbl>
      <w:tblPr>
        <w:tblW w:w="5016" w:type="pct"/>
        <w:tblInd w:w="-28" w:type="dxa"/>
        <w:tblLayout w:type="fixed"/>
        <w:tblCellMar>
          <w:top w:w="28" w:type="dxa"/>
          <w:left w:w="28" w:type="dxa"/>
          <w:bottom w:w="28" w:type="dxa"/>
          <w:right w:w="28" w:type="dxa"/>
        </w:tblCellMar>
        <w:tblLook w:val="04A0" w:firstRow="1" w:lastRow="0" w:firstColumn="1" w:lastColumn="0" w:noHBand="0" w:noVBand="1"/>
      </w:tblPr>
      <w:tblGrid>
        <w:gridCol w:w="27"/>
        <w:gridCol w:w="4799"/>
        <w:gridCol w:w="1534"/>
        <w:gridCol w:w="18"/>
        <w:gridCol w:w="1306"/>
        <w:gridCol w:w="1371"/>
      </w:tblGrid>
      <w:tr w:rsidR="00E942A0" w:rsidRPr="0073009A" w14:paraId="67B2308E" w14:textId="77777777" w:rsidTr="00AA3AC5">
        <w:trPr>
          <w:gridBefore w:val="1"/>
          <w:wBefore w:w="15" w:type="pct"/>
          <w:trHeight w:val="300"/>
        </w:trPr>
        <w:tc>
          <w:tcPr>
            <w:tcW w:w="2650" w:type="pct"/>
            <w:tcBorders>
              <w:top w:val="nil"/>
              <w:left w:val="nil"/>
              <w:bottom w:val="nil"/>
              <w:right w:val="nil"/>
            </w:tcBorders>
            <w:noWrap/>
            <w:vAlign w:val="bottom"/>
            <w:hideMark/>
          </w:tcPr>
          <w:p w14:paraId="5B68132F" w14:textId="77777777" w:rsidR="00D150B1" w:rsidRPr="005568AC" w:rsidRDefault="00D150B1">
            <w:pPr>
              <w:spacing w:after="0" w:line="240" w:lineRule="auto"/>
              <w:rPr>
                <w:rFonts w:eastAsia="Times New Roman" w:cs="Arial"/>
                <w:sz w:val="20"/>
                <w:szCs w:val="20"/>
                <w:lang w:eastAsia="en-AU"/>
              </w:rPr>
            </w:pPr>
          </w:p>
        </w:tc>
        <w:tc>
          <w:tcPr>
            <w:tcW w:w="857" w:type="pct"/>
            <w:gridSpan w:val="2"/>
            <w:tcBorders>
              <w:top w:val="nil"/>
              <w:left w:val="nil"/>
              <w:bottom w:val="nil"/>
              <w:right w:val="nil"/>
            </w:tcBorders>
            <w:noWrap/>
            <w:vAlign w:val="bottom"/>
          </w:tcPr>
          <w:p w14:paraId="42B4D37B" w14:textId="2983492F" w:rsidR="00D150B1" w:rsidRPr="00F65403" w:rsidRDefault="00D150B1" w:rsidP="413EB596">
            <w:pPr>
              <w:spacing w:after="0" w:line="240" w:lineRule="auto"/>
              <w:jc w:val="center"/>
              <w:rPr>
                <w:rFonts w:eastAsia="Times New Roman" w:cs="Arial"/>
                <w:b/>
                <w:bCs/>
                <w:color w:val="000000"/>
                <w:sz w:val="20"/>
                <w:szCs w:val="20"/>
                <w:lang w:eastAsia="en-AU"/>
              </w:rPr>
            </w:pPr>
          </w:p>
        </w:tc>
        <w:tc>
          <w:tcPr>
            <w:tcW w:w="721" w:type="pct"/>
            <w:tcBorders>
              <w:top w:val="nil"/>
              <w:left w:val="nil"/>
              <w:bottom w:val="nil"/>
              <w:right w:val="nil"/>
            </w:tcBorders>
            <w:vAlign w:val="bottom"/>
          </w:tcPr>
          <w:p w14:paraId="53D1852B" w14:textId="0A51A874" w:rsidR="00D150B1" w:rsidRPr="00F65403" w:rsidRDefault="00597FAD"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2025</w:t>
            </w:r>
          </w:p>
        </w:tc>
        <w:tc>
          <w:tcPr>
            <w:tcW w:w="757" w:type="pct"/>
            <w:tcBorders>
              <w:top w:val="nil"/>
              <w:left w:val="nil"/>
              <w:bottom w:val="nil"/>
              <w:right w:val="nil"/>
            </w:tcBorders>
            <w:noWrap/>
            <w:vAlign w:val="bottom"/>
            <w:hideMark/>
          </w:tcPr>
          <w:p w14:paraId="2E21F49F" w14:textId="79B830CB" w:rsidR="00D150B1" w:rsidRPr="00F65403" w:rsidRDefault="00597FAD"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2024</w:t>
            </w:r>
          </w:p>
        </w:tc>
      </w:tr>
      <w:tr w:rsidR="0003209D" w:rsidRPr="0073009A" w14:paraId="0CEAE1B3" w14:textId="77777777" w:rsidTr="00AA3AC5">
        <w:trPr>
          <w:gridBefore w:val="1"/>
          <w:wBefore w:w="15" w:type="pct"/>
          <w:trHeight w:val="300"/>
        </w:trPr>
        <w:tc>
          <w:tcPr>
            <w:tcW w:w="2650" w:type="pct"/>
            <w:tcBorders>
              <w:top w:val="nil"/>
              <w:left w:val="nil"/>
              <w:bottom w:val="nil"/>
              <w:right w:val="nil"/>
            </w:tcBorders>
            <w:noWrap/>
            <w:vAlign w:val="bottom"/>
            <w:hideMark/>
          </w:tcPr>
          <w:p w14:paraId="39FDABA7" w14:textId="77777777" w:rsidR="00D150B1" w:rsidRPr="005568AC" w:rsidRDefault="00D150B1" w:rsidP="413EB596">
            <w:pPr>
              <w:spacing w:after="0" w:line="240" w:lineRule="auto"/>
              <w:rPr>
                <w:rFonts w:eastAsia="Times New Roman" w:cs="Arial"/>
                <w:b/>
                <w:bCs/>
                <w:i/>
                <w:iCs/>
                <w:color w:val="000000"/>
                <w:sz w:val="20"/>
                <w:szCs w:val="20"/>
                <w:lang w:eastAsia="en-AU"/>
              </w:rPr>
            </w:pPr>
          </w:p>
        </w:tc>
        <w:tc>
          <w:tcPr>
            <w:tcW w:w="857" w:type="pct"/>
            <w:gridSpan w:val="2"/>
            <w:tcBorders>
              <w:top w:val="nil"/>
              <w:left w:val="nil"/>
              <w:bottom w:val="nil"/>
              <w:right w:val="nil"/>
            </w:tcBorders>
            <w:noWrap/>
            <w:vAlign w:val="bottom"/>
          </w:tcPr>
          <w:p w14:paraId="53AEE701" w14:textId="2A34E6F7" w:rsidR="00D150B1" w:rsidRPr="00F65403" w:rsidRDefault="00D150B1" w:rsidP="413EB596">
            <w:pPr>
              <w:spacing w:after="0" w:line="240" w:lineRule="auto"/>
              <w:jc w:val="center"/>
              <w:rPr>
                <w:rFonts w:eastAsia="Times New Roman" w:cs="Arial"/>
                <w:b/>
                <w:bCs/>
                <w:color w:val="000000"/>
                <w:sz w:val="20"/>
                <w:szCs w:val="20"/>
                <w:lang w:eastAsia="en-AU"/>
              </w:rPr>
            </w:pPr>
          </w:p>
        </w:tc>
        <w:tc>
          <w:tcPr>
            <w:tcW w:w="721" w:type="pct"/>
            <w:tcBorders>
              <w:top w:val="nil"/>
              <w:left w:val="nil"/>
              <w:bottom w:val="nil"/>
              <w:right w:val="nil"/>
            </w:tcBorders>
          </w:tcPr>
          <w:p w14:paraId="1EEB8AF5" w14:textId="52FE6294" w:rsidR="00D150B1" w:rsidRPr="00F65403" w:rsidRDefault="00875339"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57" w:type="pct"/>
            <w:tcBorders>
              <w:top w:val="nil"/>
              <w:left w:val="nil"/>
              <w:bottom w:val="nil"/>
              <w:right w:val="nil"/>
            </w:tcBorders>
            <w:noWrap/>
            <w:vAlign w:val="bottom"/>
            <w:hideMark/>
          </w:tcPr>
          <w:p w14:paraId="77E0FA2F" w14:textId="1A8FEFB4" w:rsidR="00D150B1" w:rsidRPr="00F65403" w:rsidRDefault="00D150B1">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03209D" w:rsidRPr="0073009A" w14:paraId="2D24C9D7" w14:textId="77777777" w:rsidTr="00AA3AC5">
        <w:trPr>
          <w:gridBefore w:val="1"/>
          <w:wBefore w:w="15" w:type="pct"/>
          <w:trHeight w:val="300"/>
        </w:trPr>
        <w:tc>
          <w:tcPr>
            <w:tcW w:w="2650" w:type="pct"/>
            <w:tcBorders>
              <w:top w:val="nil"/>
              <w:left w:val="nil"/>
              <w:bottom w:val="nil"/>
              <w:right w:val="nil"/>
            </w:tcBorders>
            <w:noWrap/>
            <w:vAlign w:val="bottom"/>
          </w:tcPr>
          <w:p w14:paraId="29E156FC" w14:textId="77777777" w:rsidR="00D150B1" w:rsidRDefault="00D150B1">
            <w:pPr>
              <w:spacing w:after="0" w:line="240" w:lineRule="auto"/>
              <w:rPr>
                <w:rFonts w:eastAsia="Times New Roman" w:cs="Arial"/>
                <w:color w:val="000000"/>
                <w:sz w:val="20"/>
                <w:szCs w:val="20"/>
                <w:lang w:eastAsia="en-AU"/>
              </w:rPr>
            </w:pPr>
            <w:r w:rsidRPr="413EB596">
              <w:rPr>
                <w:rFonts w:eastAsia="Times New Roman" w:cs="Arial"/>
                <w:b/>
                <w:bCs/>
                <w:i/>
                <w:iCs/>
                <w:color w:val="000000" w:themeColor="text1"/>
                <w:sz w:val="20"/>
                <w:szCs w:val="20"/>
                <w:lang w:eastAsia="en-AU"/>
              </w:rPr>
              <w:t>Deferred tax assets</w:t>
            </w:r>
          </w:p>
        </w:tc>
        <w:tc>
          <w:tcPr>
            <w:tcW w:w="857" w:type="pct"/>
            <w:gridSpan w:val="2"/>
            <w:tcBorders>
              <w:top w:val="nil"/>
              <w:left w:val="nil"/>
              <w:bottom w:val="nil"/>
              <w:right w:val="nil"/>
            </w:tcBorders>
            <w:noWrap/>
            <w:vAlign w:val="bottom"/>
          </w:tcPr>
          <w:p w14:paraId="44D2DBE9" w14:textId="77777777" w:rsidR="00D150B1" w:rsidRPr="00F65403" w:rsidRDefault="00D150B1">
            <w:pPr>
              <w:tabs>
                <w:tab w:val="decimal" w:pos="1020"/>
              </w:tabs>
              <w:spacing w:after="0" w:line="240" w:lineRule="auto"/>
              <w:rPr>
                <w:rFonts w:eastAsia="Times New Roman" w:cs="Arial"/>
                <w:color w:val="000000"/>
                <w:sz w:val="20"/>
                <w:szCs w:val="20"/>
                <w:lang w:eastAsia="en-AU"/>
              </w:rPr>
            </w:pPr>
          </w:p>
        </w:tc>
        <w:tc>
          <w:tcPr>
            <w:tcW w:w="721" w:type="pct"/>
            <w:tcBorders>
              <w:top w:val="nil"/>
              <w:left w:val="nil"/>
              <w:bottom w:val="nil"/>
              <w:right w:val="nil"/>
            </w:tcBorders>
          </w:tcPr>
          <w:p w14:paraId="2EC6878E" w14:textId="77777777" w:rsidR="00D150B1" w:rsidRPr="00F65403" w:rsidRDefault="00D150B1">
            <w:pPr>
              <w:tabs>
                <w:tab w:val="decimal" w:pos="1020"/>
              </w:tabs>
              <w:spacing w:after="0" w:line="240" w:lineRule="auto"/>
              <w:rPr>
                <w:rFonts w:eastAsia="Times New Roman" w:cs="Arial"/>
                <w:color w:val="000000"/>
                <w:sz w:val="20"/>
                <w:szCs w:val="20"/>
                <w:lang w:eastAsia="en-AU"/>
              </w:rPr>
            </w:pPr>
          </w:p>
        </w:tc>
        <w:tc>
          <w:tcPr>
            <w:tcW w:w="757" w:type="pct"/>
            <w:tcBorders>
              <w:top w:val="nil"/>
              <w:left w:val="nil"/>
              <w:bottom w:val="nil"/>
              <w:right w:val="nil"/>
            </w:tcBorders>
            <w:noWrap/>
            <w:vAlign w:val="bottom"/>
          </w:tcPr>
          <w:p w14:paraId="684B55BB" w14:textId="20C488F3" w:rsidR="00D150B1" w:rsidRPr="00F65403" w:rsidRDefault="00D150B1">
            <w:pPr>
              <w:tabs>
                <w:tab w:val="decimal" w:pos="1020"/>
              </w:tabs>
              <w:spacing w:after="0" w:line="240" w:lineRule="auto"/>
              <w:rPr>
                <w:rFonts w:eastAsia="Times New Roman" w:cs="Arial"/>
                <w:color w:val="000000"/>
                <w:sz w:val="20"/>
                <w:szCs w:val="20"/>
                <w:lang w:eastAsia="en-AU"/>
              </w:rPr>
            </w:pPr>
          </w:p>
        </w:tc>
      </w:tr>
      <w:tr w:rsidR="00982996" w:rsidRPr="0073009A" w14:paraId="54C84FC0" w14:textId="77777777" w:rsidTr="00AA3AC5">
        <w:trPr>
          <w:gridBefore w:val="1"/>
          <w:wBefore w:w="15" w:type="pct"/>
          <w:trHeight w:val="300"/>
        </w:trPr>
        <w:tc>
          <w:tcPr>
            <w:tcW w:w="2650" w:type="pct"/>
            <w:tcBorders>
              <w:top w:val="nil"/>
              <w:left w:val="nil"/>
              <w:bottom w:val="nil"/>
              <w:right w:val="nil"/>
            </w:tcBorders>
            <w:noWrap/>
            <w:vAlign w:val="bottom"/>
          </w:tcPr>
          <w:p w14:paraId="4E1B2DD8" w14:textId="74327583" w:rsidR="000B1DD8" w:rsidRDefault="000B1DD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Lease liabilities</w:t>
            </w:r>
          </w:p>
        </w:tc>
        <w:tc>
          <w:tcPr>
            <w:tcW w:w="857" w:type="pct"/>
            <w:gridSpan w:val="2"/>
            <w:tcBorders>
              <w:top w:val="nil"/>
              <w:left w:val="nil"/>
              <w:right w:val="nil"/>
            </w:tcBorders>
            <w:noWrap/>
            <w:vAlign w:val="bottom"/>
          </w:tcPr>
          <w:p w14:paraId="03BA9548" w14:textId="62AFDD1A" w:rsidR="000B1DD8" w:rsidRDefault="000B1DD8">
            <w:pPr>
              <w:tabs>
                <w:tab w:val="decimal" w:pos="1020"/>
              </w:tabs>
              <w:spacing w:after="0" w:line="240" w:lineRule="auto"/>
              <w:rPr>
                <w:rFonts w:eastAsia="Times New Roman" w:cs="Arial"/>
                <w:color w:val="000000"/>
                <w:sz w:val="20"/>
                <w:szCs w:val="20"/>
                <w:lang w:eastAsia="en-AU"/>
              </w:rPr>
            </w:pPr>
          </w:p>
        </w:tc>
        <w:tc>
          <w:tcPr>
            <w:tcW w:w="721" w:type="pct"/>
            <w:tcBorders>
              <w:top w:val="nil"/>
              <w:left w:val="nil"/>
              <w:right w:val="nil"/>
            </w:tcBorders>
            <w:vAlign w:val="bottom"/>
          </w:tcPr>
          <w:p w14:paraId="4A1CE31B" w14:textId="0FC21F11" w:rsidR="000B1DD8" w:rsidRDefault="00332E6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1,964</w:t>
            </w:r>
          </w:p>
        </w:tc>
        <w:tc>
          <w:tcPr>
            <w:tcW w:w="757" w:type="pct"/>
            <w:tcBorders>
              <w:top w:val="nil"/>
              <w:left w:val="nil"/>
              <w:right w:val="nil"/>
            </w:tcBorders>
            <w:noWrap/>
            <w:vAlign w:val="bottom"/>
          </w:tcPr>
          <w:p w14:paraId="514164E4" w14:textId="252E82E1" w:rsidR="000B1DD8" w:rsidRDefault="00332E6F">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982996" w:rsidRPr="0073009A" w14:paraId="7EC8578C" w14:textId="77777777" w:rsidTr="00AA3AC5">
        <w:trPr>
          <w:gridBefore w:val="1"/>
          <w:wBefore w:w="15" w:type="pct"/>
          <w:trHeight w:val="300"/>
        </w:trPr>
        <w:tc>
          <w:tcPr>
            <w:tcW w:w="2650" w:type="pct"/>
            <w:tcBorders>
              <w:top w:val="nil"/>
              <w:left w:val="nil"/>
              <w:bottom w:val="nil"/>
              <w:right w:val="nil"/>
            </w:tcBorders>
            <w:noWrap/>
            <w:vAlign w:val="bottom"/>
          </w:tcPr>
          <w:p w14:paraId="4763380E" w14:textId="4A672BEF" w:rsidR="000B1DD8" w:rsidRDefault="000B1DD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Other financial liabilities</w:t>
            </w:r>
          </w:p>
        </w:tc>
        <w:tc>
          <w:tcPr>
            <w:tcW w:w="857" w:type="pct"/>
            <w:gridSpan w:val="2"/>
            <w:tcBorders>
              <w:top w:val="nil"/>
              <w:left w:val="nil"/>
              <w:right w:val="nil"/>
            </w:tcBorders>
            <w:noWrap/>
            <w:vAlign w:val="bottom"/>
          </w:tcPr>
          <w:p w14:paraId="446A514B" w14:textId="045FB1F5" w:rsidR="000B1DD8" w:rsidRDefault="000B1DD8">
            <w:pPr>
              <w:tabs>
                <w:tab w:val="decimal" w:pos="1020"/>
              </w:tabs>
              <w:spacing w:after="0" w:line="240" w:lineRule="auto"/>
              <w:rPr>
                <w:rFonts w:eastAsia="Times New Roman" w:cs="Arial"/>
                <w:color w:val="000000"/>
                <w:sz w:val="20"/>
                <w:szCs w:val="20"/>
                <w:lang w:eastAsia="en-AU"/>
              </w:rPr>
            </w:pPr>
          </w:p>
        </w:tc>
        <w:tc>
          <w:tcPr>
            <w:tcW w:w="721" w:type="pct"/>
            <w:tcBorders>
              <w:top w:val="nil"/>
              <w:left w:val="nil"/>
              <w:right w:val="nil"/>
            </w:tcBorders>
            <w:vAlign w:val="bottom"/>
          </w:tcPr>
          <w:p w14:paraId="2BCE82AA" w14:textId="663AAAAA" w:rsidR="000B1DD8" w:rsidRDefault="00332E6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226</w:t>
            </w:r>
          </w:p>
        </w:tc>
        <w:tc>
          <w:tcPr>
            <w:tcW w:w="757" w:type="pct"/>
            <w:tcBorders>
              <w:top w:val="nil"/>
              <w:left w:val="nil"/>
              <w:right w:val="nil"/>
            </w:tcBorders>
            <w:noWrap/>
            <w:vAlign w:val="bottom"/>
          </w:tcPr>
          <w:p w14:paraId="2C777B77" w14:textId="73B23178" w:rsidR="000B1DD8" w:rsidRDefault="00332E6F">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982996" w:rsidRPr="0073009A" w14:paraId="56A09E30" w14:textId="77777777" w:rsidTr="00AA3AC5">
        <w:trPr>
          <w:gridBefore w:val="1"/>
          <w:wBefore w:w="15" w:type="pct"/>
          <w:trHeight w:val="300"/>
        </w:trPr>
        <w:tc>
          <w:tcPr>
            <w:tcW w:w="2650" w:type="pct"/>
            <w:tcBorders>
              <w:top w:val="nil"/>
              <w:left w:val="nil"/>
              <w:bottom w:val="nil"/>
              <w:right w:val="nil"/>
            </w:tcBorders>
            <w:noWrap/>
            <w:vAlign w:val="bottom"/>
            <w:hideMark/>
          </w:tcPr>
          <w:p w14:paraId="076A47C6" w14:textId="77777777" w:rsidR="00D150B1" w:rsidRPr="00F65403" w:rsidRDefault="00D150B1">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Accruals </w:t>
            </w:r>
          </w:p>
        </w:tc>
        <w:tc>
          <w:tcPr>
            <w:tcW w:w="857" w:type="pct"/>
            <w:gridSpan w:val="2"/>
            <w:tcBorders>
              <w:top w:val="nil"/>
              <w:left w:val="nil"/>
              <w:right w:val="nil"/>
            </w:tcBorders>
            <w:noWrap/>
            <w:vAlign w:val="bottom"/>
          </w:tcPr>
          <w:p w14:paraId="13502EC1" w14:textId="1620B026" w:rsidR="00D150B1" w:rsidRPr="00F65403" w:rsidRDefault="00D150B1">
            <w:pPr>
              <w:tabs>
                <w:tab w:val="decimal" w:pos="1020"/>
              </w:tabs>
              <w:spacing w:after="0" w:line="240" w:lineRule="auto"/>
              <w:rPr>
                <w:rFonts w:eastAsia="Times New Roman" w:cs="Arial"/>
                <w:color w:val="000000"/>
                <w:sz w:val="20"/>
                <w:szCs w:val="20"/>
                <w:lang w:eastAsia="en-AU"/>
              </w:rPr>
            </w:pPr>
          </w:p>
        </w:tc>
        <w:tc>
          <w:tcPr>
            <w:tcW w:w="721" w:type="pct"/>
            <w:tcBorders>
              <w:top w:val="nil"/>
              <w:left w:val="nil"/>
              <w:right w:val="nil"/>
            </w:tcBorders>
            <w:vAlign w:val="bottom"/>
          </w:tcPr>
          <w:p w14:paraId="7321000B" w14:textId="7F12567A" w:rsidR="00D150B1" w:rsidRDefault="00332E6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29</w:t>
            </w:r>
          </w:p>
        </w:tc>
        <w:tc>
          <w:tcPr>
            <w:tcW w:w="757" w:type="pct"/>
            <w:tcBorders>
              <w:top w:val="nil"/>
              <w:left w:val="nil"/>
              <w:right w:val="nil"/>
            </w:tcBorders>
            <w:noWrap/>
            <w:vAlign w:val="bottom"/>
          </w:tcPr>
          <w:p w14:paraId="061E61F5" w14:textId="114E48CF" w:rsidR="00D150B1" w:rsidRPr="00F65403" w:rsidRDefault="00332E6F">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982996" w:rsidRPr="0073009A" w14:paraId="712F3046" w14:textId="77777777" w:rsidTr="00AA3AC5">
        <w:trPr>
          <w:gridBefore w:val="1"/>
          <w:wBefore w:w="15" w:type="pct"/>
          <w:trHeight w:val="300"/>
        </w:trPr>
        <w:tc>
          <w:tcPr>
            <w:tcW w:w="2650" w:type="pct"/>
            <w:tcBorders>
              <w:top w:val="nil"/>
              <w:left w:val="nil"/>
              <w:bottom w:val="nil"/>
              <w:right w:val="nil"/>
            </w:tcBorders>
            <w:noWrap/>
            <w:vAlign w:val="bottom"/>
          </w:tcPr>
          <w:p w14:paraId="4B28D7F0" w14:textId="5B0FD9CD" w:rsidR="00E25108" w:rsidRDefault="00E25108">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Property, plant and equipment</w:t>
            </w:r>
          </w:p>
        </w:tc>
        <w:tc>
          <w:tcPr>
            <w:tcW w:w="857" w:type="pct"/>
            <w:gridSpan w:val="2"/>
            <w:tcBorders>
              <w:top w:val="nil"/>
              <w:left w:val="nil"/>
              <w:right w:val="nil"/>
            </w:tcBorders>
            <w:noWrap/>
            <w:vAlign w:val="bottom"/>
          </w:tcPr>
          <w:p w14:paraId="78F0FDB5" w14:textId="034BE912" w:rsidR="00E25108" w:rsidRDefault="00E25108">
            <w:pPr>
              <w:tabs>
                <w:tab w:val="decimal" w:pos="1020"/>
              </w:tabs>
              <w:spacing w:after="0" w:line="240" w:lineRule="auto"/>
              <w:rPr>
                <w:rFonts w:eastAsia="Times New Roman" w:cs="Arial"/>
                <w:color w:val="000000"/>
                <w:sz w:val="20"/>
                <w:szCs w:val="20"/>
                <w:lang w:eastAsia="en-AU"/>
              </w:rPr>
            </w:pPr>
          </w:p>
        </w:tc>
        <w:tc>
          <w:tcPr>
            <w:tcW w:w="721" w:type="pct"/>
            <w:tcBorders>
              <w:top w:val="nil"/>
              <w:left w:val="nil"/>
              <w:right w:val="nil"/>
            </w:tcBorders>
            <w:vAlign w:val="bottom"/>
          </w:tcPr>
          <w:p w14:paraId="0E61A7B8" w14:textId="1239100A" w:rsidR="00E25108" w:rsidRDefault="00332E6F">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34</w:t>
            </w:r>
          </w:p>
        </w:tc>
        <w:tc>
          <w:tcPr>
            <w:tcW w:w="757" w:type="pct"/>
            <w:tcBorders>
              <w:top w:val="nil"/>
              <w:left w:val="nil"/>
              <w:right w:val="nil"/>
            </w:tcBorders>
            <w:noWrap/>
            <w:vAlign w:val="bottom"/>
          </w:tcPr>
          <w:p w14:paraId="536BFF55" w14:textId="32290177" w:rsidR="00E25108" w:rsidRDefault="00332E6F">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p>
        </w:tc>
      </w:tr>
      <w:tr w:rsidR="00E942A0" w:rsidRPr="0073009A" w14:paraId="7BDA153A" w14:textId="77777777" w:rsidTr="00AA3AC5">
        <w:trPr>
          <w:gridBefore w:val="1"/>
          <w:wBefore w:w="15" w:type="pct"/>
          <w:trHeight w:val="300"/>
        </w:trPr>
        <w:tc>
          <w:tcPr>
            <w:tcW w:w="2650" w:type="pct"/>
            <w:tcBorders>
              <w:top w:val="nil"/>
              <w:left w:val="nil"/>
              <w:bottom w:val="nil"/>
              <w:right w:val="nil"/>
            </w:tcBorders>
            <w:noWrap/>
            <w:vAlign w:val="bottom"/>
            <w:hideMark/>
          </w:tcPr>
          <w:p w14:paraId="6AE17B64" w14:textId="77777777" w:rsidR="00D150B1" w:rsidRPr="00F65403" w:rsidRDefault="00D150B1"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w:t>
            </w:r>
          </w:p>
        </w:tc>
        <w:tc>
          <w:tcPr>
            <w:tcW w:w="857" w:type="pct"/>
            <w:gridSpan w:val="2"/>
            <w:tcBorders>
              <w:left w:val="nil"/>
              <w:right w:val="nil"/>
            </w:tcBorders>
            <w:noWrap/>
            <w:vAlign w:val="bottom"/>
          </w:tcPr>
          <w:p w14:paraId="67479101" w14:textId="6A29F4B1" w:rsidR="00D150B1" w:rsidRPr="005568AC" w:rsidRDefault="00D150B1">
            <w:pPr>
              <w:tabs>
                <w:tab w:val="decimal" w:pos="1020"/>
              </w:tabs>
              <w:spacing w:after="0" w:line="240" w:lineRule="auto"/>
              <w:rPr>
                <w:rFonts w:eastAsia="Times New Roman" w:cs="Arial"/>
                <w:b/>
                <w:bCs/>
                <w:color w:val="000000"/>
                <w:sz w:val="20"/>
                <w:szCs w:val="20"/>
                <w:lang w:eastAsia="en-AU"/>
              </w:rPr>
            </w:pPr>
          </w:p>
        </w:tc>
        <w:tc>
          <w:tcPr>
            <w:tcW w:w="721" w:type="pct"/>
            <w:tcBorders>
              <w:top w:val="single" w:sz="4" w:space="0" w:color="auto"/>
              <w:left w:val="nil"/>
              <w:bottom w:val="single" w:sz="4" w:space="0" w:color="auto"/>
              <w:right w:val="nil"/>
            </w:tcBorders>
            <w:vAlign w:val="bottom"/>
          </w:tcPr>
          <w:p w14:paraId="7292E388" w14:textId="669D088F" w:rsidR="00D150B1" w:rsidRPr="005568AC" w:rsidRDefault="00332E6F">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2,253</w:t>
            </w:r>
          </w:p>
        </w:tc>
        <w:tc>
          <w:tcPr>
            <w:tcW w:w="757" w:type="pct"/>
            <w:tcBorders>
              <w:top w:val="single" w:sz="4" w:space="0" w:color="auto"/>
              <w:left w:val="nil"/>
              <w:bottom w:val="single" w:sz="4" w:space="0" w:color="auto"/>
              <w:right w:val="nil"/>
            </w:tcBorders>
            <w:noWrap/>
            <w:vAlign w:val="bottom"/>
            <w:hideMark/>
          </w:tcPr>
          <w:p w14:paraId="3F92BFEF" w14:textId="315E431F" w:rsidR="00D150B1" w:rsidRPr="005568AC" w:rsidRDefault="00332E6F">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w:t>
            </w:r>
          </w:p>
        </w:tc>
      </w:tr>
      <w:tr w:rsidR="00982996" w:rsidRPr="0073009A" w14:paraId="7236E2DE" w14:textId="77777777" w:rsidTr="00AA3AC5">
        <w:trPr>
          <w:gridBefore w:val="1"/>
          <w:wBefore w:w="15" w:type="pct"/>
          <w:trHeight w:val="300"/>
        </w:trPr>
        <w:tc>
          <w:tcPr>
            <w:tcW w:w="2650" w:type="pct"/>
            <w:tcBorders>
              <w:top w:val="nil"/>
              <w:left w:val="nil"/>
              <w:bottom w:val="nil"/>
              <w:right w:val="nil"/>
            </w:tcBorders>
            <w:noWrap/>
            <w:vAlign w:val="bottom"/>
          </w:tcPr>
          <w:p w14:paraId="1DBA9309" w14:textId="77777777" w:rsidR="00875339" w:rsidRPr="00F65403" w:rsidRDefault="00875339" w:rsidP="413EB596">
            <w:pPr>
              <w:spacing w:after="0" w:line="240" w:lineRule="auto"/>
              <w:rPr>
                <w:rFonts w:eastAsia="Times New Roman" w:cs="Arial"/>
                <w:b/>
                <w:bCs/>
                <w:color w:val="000000"/>
                <w:sz w:val="20"/>
                <w:szCs w:val="20"/>
                <w:lang w:eastAsia="en-AU"/>
              </w:rPr>
            </w:pPr>
            <w:r w:rsidRPr="413EB596">
              <w:rPr>
                <w:rFonts w:eastAsia="Times New Roman" w:cs="Arial"/>
                <w:b/>
                <w:bCs/>
                <w:i/>
                <w:iCs/>
                <w:color w:val="000000" w:themeColor="text1"/>
                <w:sz w:val="20"/>
                <w:szCs w:val="20"/>
                <w:lang w:eastAsia="en-AU"/>
              </w:rPr>
              <w:t>Deferred tax liabilities</w:t>
            </w:r>
          </w:p>
        </w:tc>
        <w:tc>
          <w:tcPr>
            <w:tcW w:w="857" w:type="pct"/>
            <w:gridSpan w:val="2"/>
            <w:tcBorders>
              <w:left w:val="nil"/>
              <w:right w:val="nil"/>
            </w:tcBorders>
            <w:noWrap/>
            <w:vAlign w:val="bottom"/>
          </w:tcPr>
          <w:p w14:paraId="19A77519" w14:textId="2DB35E5D" w:rsidR="00875339" w:rsidRDefault="00875339" w:rsidP="00875339">
            <w:pPr>
              <w:tabs>
                <w:tab w:val="decimal" w:pos="1020"/>
              </w:tabs>
              <w:spacing w:after="0" w:line="240" w:lineRule="auto"/>
              <w:rPr>
                <w:rFonts w:eastAsia="Times New Roman" w:cs="Arial"/>
                <w:b/>
                <w:bCs/>
                <w:color w:val="000000"/>
                <w:sz w:val="20"/>
                <w:szCs w:val="20"/>
                <w:lang w:eastAsia="en-AU"/>
              </w:rPr>
            </w:pPr>
          </w:p>
        </w:tc>
        <w:tc>
          <w:tcPr>
            <w:tcW w:w="721" w:type="pct"/>
            <w:tcBorders>
              <w:left w:val="nil"/>
              <w:right w:val="nil"/>
            </w:tcBorders>
            <w:vAlign w:val="bottom"/>
          </w:tcPr>
          <w:p w14:paraId="1E8B5522" w14:textId="1AA2027F" w:rsidR="00875339" w:rsidRPr="005568AC" w:rsidRDefault="00875339" w:rsidP="00875339">
            <w:pPr>
              <w:tabs>
                <w:tab w:val="decimal" w:pos="1020"/>
              </w:tabs>
              <w:spacing w:after="0" w:line="240" w:lineRule="auto"/>
              <w:rPr>
                <w:rFonts w:eastAsia="Times New Roman" w:cs="Arial"/>
                <w:b/>
                <w:bCs/>
                <w:color w:val="000000"/>
                <w:sz w:val="20"/>
                <w:szCs w:val="20"/>
                <w:lang w:eastAsia="en-AU"/>
              </w:rPr>
            </w:pPr>
          </w:p>
        </w:tc>
        <w:tc>
          <w:tcPr>
            <w:tcW w:w="757" w:type="pct"/>
            <w:tcBorders>
              <w:left w:val="nil"/>
              <w:right w:val="nil"/>
            </w:tcBorders>
            <w:noWrap/>
            <w:vAlign w:val="bottom"/>
          </w:tcPr>
          <w:p w14:paraId="4843F5BB" w14:textId="7E40E51A" w:rsidR="00875339" w:rsidRPr="005568AC" w:rsidRDefault="00875339" w:rsidP="00875339">
            <w:pPr>
              <w:tabs>
                <w:tab w:val="decimal" w:pos="1020"/>
              </w:tabs>
              <w:spacing w:after="0" w:line="240" w:lineRule="auto"/>
              <w:rPr>
                <w:rFonts w:eastAsia="Times New Roman" w:cs="Arial"/>
                <w:b/>
                <w:bCs/>
                <w:color w:val="000000"/>
                <w:sz w:val="20"/>
                <w:szCs w:val="20"/>
                <w:lang w:eastAsia="en-AU"/>
              </w:rPr>
            </w:pPr>
          </w:p>
        </w:tc>
      </w:tr>
      <w:tr w:rsidR="00982996" w:rsidRPr="0073009A" w14:paraId="1BF8E5DF" w14:textId="77777777" w:rsidTr="00AA3AC5">
        <w:trPr>
          <w:gridBefore w:val="1"/>
          <w:wBefore w:w="15" w:type="pct"/>
          <w:trHeight w:val="300"/>
        </w:trPr>
        <w:tc>
          <w:tcPr>
            <w:tcW w:w="2650" w:type="pct"/>
            <w:tcBorders>
              <w:top w:val="nil"/>
              <w:left w:val="nil"/>
              <w:bottom w:val="nil"/>
              <w:right w:val="nil"/>
            </w:tcBorders>
            <w:noWrap/>
            <w:vAlign w:val="bottom"/>
          </w:tcPr>
          <w:p w14:paraId="6B9CF21D" w14:textId="1F7685C8" w:rsidR="00875339" w:rsidRDefault="00875339" w:rsidP="00875339">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Trade payables</w:t>
            </w:r>
          </w:p>
        </w:tc>
        <w:tc>
          <w:tcPr>
            <w:tcW w:w="857" w:type="pct"/>
            <w:gridSpan w:val="2"/>
            <w:tcBorders>
              <w:left w:val="nil"/>
              <w:right w:val="nil"/>
            </w:tcBorders>
            <w:noWrap/>
            <w:vAlign w:val="bottom"/>
          </w:tcPr>
          <w:p w14:paraId="7F0143EF" w14:textId="0841C8B1" w:rsidR="00875339" w:rsidRPr="00167FDB" w:rsidRDefault="00875339" w:rsidP="00875339">
            <w:pPr>
              <w:tabs>
                <w:tab w:val="decimal" w:pos="1020"/>
              </w:tabs>
              <w:spacing w:after="0" w:line="240" w:lineRule="auto"/>
              <w:rPr>
                <w:rFonts w:eastAsia="Times New Roman" w:cs="Arial"/>
                <w:color w:val="000000"/>
                <w:sz w:val="20"/>
                <w:szCs w:val="20"/>
                <w:lang w:eastAsia="en-AU"/>
              </w:rPr>
            </w:pPr>
          </w:p>
        </w:tc>
        <w:tc>
          <w:tcPr>
            <w:tcW w:w="721" w:type="pct"/>
            <w:tcBorders>
              <w:left w:val="nil"/>
              <w:right w:val="nil"/>
            </w:tcBorders>
            <w:vAlign w:val="bottom"/>
          </w:tcPr>
          <w:p w14:paraId="5C83FA77" w14:textId="5EBCEC44" w:rsidR="00875339" w:rsidRPr="00E326C0" w:rsidRDefault="00ED3FD8" w:rsidP="00875339">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r w:rsidR="00332E6F" w:rsidRPr="001513B5">
              <w:rPr>
                <w:rFonts w:eastAsia="Times New Roman" w:cs="Arial"/>
                <w:color w:val="000000" w:themeColor="text1"/>
                <w:sz w:val="20"/>
                <w:szCs w:val="20"/>
                <w:lang w:eastAsia="en-AU"/>
              </w:rPr>
              <w:t>110</w:t>
            </w:r>
            <w:r>
              <w:rPr>
                <w:rFonts w:eastAsia="Times New Roman" w:cs="Arial"/>
                <w:color w:val="000000" w:themeColor="text1"/>
                <w:sz w:val="20"/>
                <w:szCs w:val="20"/>
                <w:lang w:eastAsia="en-AU"/>
              </w:rPr>
              <w:t>)</w:t>
            </w:r>
          </w:p>
        </w:tc>
        <w:tc>
          <w:tcPr>
            <w:tcW w:w="757" w:type="pct"/>
            <w:tcBorders>
              <w:left w:val="nil"/>
              <w:right w:val="nil"/>
            </w:tcBorders>
            <w:noWrap/>
            <w:vAlign w:val="bottom"/>
          </w:tcPr>
          <w:p w14:paraId="4E2C7E5F" w14:textId="10C0CEDD" w:rsidR="00875339" w:rsidRPr="001513B5" w:rsidRDefault="00332E6F" w:rsidP="00875339">
            <w:pPr>
              <w:tabs>
                <w:tab w:val="decimal" w:pos="1020"/>
              </w:tabs>
              <w:spacing w:after="0" w:line="240" w:lineRule="auto"/>
              <w:rPr>
                <w:rFonts w:eastAsia="Times New Roman" w:cs="Arial"/>
                <w:color w:val="000000"/>
                <w:sz w:val="20"/>
                <w:szCs w:val="20"/>
                <w:lang w:eastAsia="en-AU"/>
              </w:rPr>
            </w:pPr>
            <w:r w:rsidRPr="001513B5">
              <w:rPr>
                <w:rFonts w:eastAsia="Times New Roman" w:cs="Arial"/>
                <w:color w:val="000000" w:themeColor="text1"/>
                <w:sz w:val="20"/>
                <w:szCs w:val="20"/>
                <w:lang w:eastAsia="en-AU"/>
              </w:rPr>
              <w:t>-</w:t>
            </w:r>
          </w:p>
        </w:tc>
      </w:tr>
      <w:tr w:rsidR="00982996" w:rsidRPr="0073009A" w14:paraId="28130B66" w14:textId="77777777" w:rsidTr="00AA3AC5">
        <w:trPr>
          <w:gridBefore w:val="1"/>
          <w:wBefore w:w="15" w:type="pct"/>
          <w:trHeight w:val="300"/>
        </w:trPr>
        <w:tc>
          <w:tcPr>
            <w:tcW w:w="2650" w:type="pct"/>
            <w:tcBorders>
              <w:top w:val="nil"/>
              <w:left w:val="nil"/>
              <w:bottom w:val="nil"/>
              <w:right w:val="nil"/>
            </w:tcBorders>
            <w:noWrap/>
            <w:vAlign w:val="bottom"/>
          </w:tcPr>
          <w:p w14:paraId="7078B862" w14:textId="43D06F54" w:rsidR="00875339" w:rsidRDefault="00875339" w:rsidP="00875339">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Equity accounted investment</w:t>
            </w:r>
          </w:p>
        </w:tc>
        <w:tc>
          <w:tcPr>
            <w:tcW w:w="857" w:type="pct"/>
            <w:gridSpan w:val="2"/>
            <w:tcBorders>
              <w:left w:val="nil"/>
              <w:right w:val="nil"/>
            </w:tcBorders>
            <w:noWrap/>
            <w:vAlign w:val="bottom"/>
          </w:tcPr>
          <w:p w14:paraId="62467FC9" w14:textId="4FCCA5D0" w:rsidR="00875339" w:rsidRPr="00167FDB" w:rsidRDefault="00875339" w:rsidP="00875339">
            <w:pPr>
              <w:tabs>
                <w:tab w:val="decimal" w:pos="1020"/>
              </w:tabs>
              <w:spacing w:after="0" w:line="240" w:lineRule="auto"/>
              <w:rPr>
                <w:rFonts w:eastAsia="Times New Roman" w:cs="Arial"/>
                <w:color w:val="000000"/>
                <w:sz w:val="20"/>
                <w:szCs w:val="20"/>
                <w:lang w:eastAsia="en-AU"/>
              </w:rPr>
            </w:pPr>
          </w:p>
        </w:tc>
        <w:tc>
          <w:tcPr>
            <w:tcW w:w="721" w:type="pct"/>
            <w:tcBorders>
              <w:left w:val="nil"/>
              <w:right w:val="nil"/>
            </w:tcBorders>
            <w:vAlign w:val="bottom"/>
          </w:tcPr>
          <w:p w14:paraId="52BC0150" w14:textId="7901F8DF" w:rsidR="00875339" w:rsidRPr="00E326C0" w:rsidRDefault="00ED3FD8" w:rsidP="00875339">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r w:rsidR="00332E6F" w:rsidRPr="001513B5">
              <w:rPr>
                <w:rFonts w:eastAsia="Times New Roman" w:cs="Arial"/>
                <w:color w:val="000000" w:themeColor="text1"/>
                <w:sz w:val="20"/>
                <w:szCs w:val="20"/>
                <w:lang w:eastAsia="en-AU"/>
              </w:rPr>
              <w:t>1,917</w:t>
            </w:r>
            <w:r>
              <w:rPr>
                <w:rFonts w:eastAsia="Times New Roman" w:cs="Arial"/>
                <w:color w:val="000000" w:themeColor="text1"/>
                <w:sz w:val="20"/>
                <w:szCs w:val="20"/>
                <w:lang w:eastAsia="en-AU"/>
              </w:rPr>
              <w:t>)</w:t>
            </w:r>
          </w:p>
        </w:tc>
        <w:tc>
          <w:tcPr>
            <w:tcW w:w="757" w:type="pct"/>
            <w:tcBorders>
              <w:left w:val="nil"/>
              <w:right w:val="nil"/>
            </w:tcBorders>
            <w:noWrap/>
            <w:vAlign w:val="bottom"/>
          </w:tcPr>
          <w:p w14:paraId="118B4CEE" w14:textId="5BB57AD2" w:rsidR="00875339" w:rsidRPr="001513B5" w:rsidRDefault="00332E6F" w:rsidP="00875339">
            <w:pPr>
              <w:tabs>
                <w:tab w:val="decimal" w:pos="1020"/>
              </w:tabs>
              <w:spacing w:after="0" w:line="240" w:lineRule="auto"/>
              <w:rPr>
                <w:rFonts w:eastAsia="Times New Roman" w:cs="Arial"/>
                <w:color w:val="000000"/>
                <w:sz w:val="20"/>
                <w:szCs w:val="20"/>
                <w:lang w:eastAsia="en-AU"/>
              </w:rPr>
            </w:pPr>
            <w:r w:rsidRPr="001513B5">
              <w:rPr>
                <w:rFonts w:eastAsia="Times New Roman" w:cs="Arial"/>
                <w:color w:val="000000" w:themeColor="text1"/>
                <w:sz w:val="20"/>
                <w:szCs w:val="20"/>
                <w:lang w:eastAsia="en-AU"/>
              </w:rPr>
              <w:t>-</w:t>
            </w:r>
          </w:p>
        </w:tc>
      </w:tr>
      <w:tr w:rsidR="00982996" w:rsidRPr="0073009A" w14:paraId="4F5DD3BF" w14:textId="77777777" w:rsidTr="00AA3AC5">
        <w:trPr>
          <w:gridBefore w:val="1"/>
          <w:wBefore w:w="15" w:type="pct"/>
          <w:trHeight w:val="300"/>
        </w:trPr>
        <w:tc>
          <w:tcPr>
            <w:tcW w:w="2650" w:type="pct"/>
            <w:tcBorders>
              <w:top w:val="nil"/>
              <w:left w:val="nil"/>
              <w:bottom w:val="nil"/>
              <w:right w:val="nil"/>
            </w:tcBorders>
            <w:noWrap/>
            <w:vAlign w:val="bottom"/>
          </w:tcPr>
          <w:p w14:paraId="65976618" w14:textId="2581417B" w:rsidR="00875339" w:rsidRPr="00F65403" w:rsidRDefault="00875339" w:rsidP="413EB596">
            <w:pPr>
              <w:spacing w:after="0" w:line="240" w:lineRule="auto"/>
              <w:rPr>
                <w:rFonts w:eastAsia="Times New Roman" w:cs="Arial"/>
                <w:b/>
                <w:bCs/>
                <w:color w:val="000000"/>
                <w:sz w:val="20"/>
                <w:szCs w:val="20"/>
                <w:lang w:eastAsia="en-AU"/>
              </w:rPr>
            </w:pPr>
            <w:r w:rsidRPr="413EB596">
              <w:rPr>
                <w:rFonts w:eastAsia="Times New Roman" w:cs="Arial"/>
                <w:color w:val="000000" w:themeColor="text1"/>
                <w:sz w:val="20"/>
                <w:szCs w:val="20"/>
                <w:lang w:eastAsia="en-AU"/>
              </w:rPr>
              <w:t>Property, plant and equipment</w:t>
            </w:r>
          </w:p>
        </w:tc>
        <w:tc>
          <w:tcPr>
            <w:tcW w:w="857" w:type="pct"/>
            <w:gridSpan w:val="2"/>
            <w:tcBorders>
              <w:left w:val="nil"/>
              <w:right w:val="nil"/>
            </w:tcBorders>
            <w:noWrap/>
            <w:vAlign w:val="bottom"/>
          </w:tcPr>
          <w:p w14:paraId="7C348EA4" w14:textId="5C35B536" w:rsidR="00875339" w:rsidRPr="00167FDB" w:rsidRDefault="00875339" w:rsidP="00875339">
            <w:pPr>
              <w:tabs>
                <w:tab w:val="decimal" w:pos="1020"/>
              </w:tabs>
              <w:spacing w:after="0" w:line="240" w:lineRule="auto"/>
              <w:rPr>
                <w:rFonts w:eastAsia="Times New Roman" w:cs="Arial"/>
                <w:color w:val="000000"/>
                <w:sz w:val="20"/>
                <w:szCs w:val="20"/>
                <w:lang w:eastAsia="en-AU"/>
              </w:rPr>
            </w:pPr>
          </w:p>
        </w:tc>
        <w:tc>
          <w:tcPr>
            <w:tcW w:w="721" w:type="pct"/>
            <w:tcBorders>
              <w:left w:val="nil"/>
              <w:right w:val="nil"/>
            </w:tcBorders>
            <w:vAlign w:val="bottom"/>
          </w:tcPr>
          <w:p w14:paraId="4956662E" w14:textId="1375BA2D" w:rsidR="00875339" w:rsidRPr="00E326C0" w:rsidRDefault="00ED3FD8" w:rsidP="00875339">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w:t>
            </w:r>
            <w:r w:rsidR="00332E6F" w:rsidRPr="001513B5">
              <w:rPr>
                <w:rFonts w:eastAsia="Times New Roman" w:cs="Arial"/>
                <w:color w:val="000000" w:themeColor="text1"/>
                <w:sz w:val="20"/>
                <w:szCs w:val="20"/>
                <w:lang w:eastAsia="en-AU"/>
              </w:rPr>
              <w:t>9</w:t>
            </w:r>
            <w:r>
              <w:rPr>
                <w:rFonts w:eastAsia="Times New Roman" w:cs="Arial"/>
                <w:color w:val="000000" w:themeColor="text1"/>
                <w:sz w:val="20"/>
                <w:szCs w:val="20"/>
                <w:lang w:eastAsia="en-AU"/>
              </w:rPr>
              <w:t>)</w:t>
            </w:r>
          </w:p>
        </w:tc>
        <w:tc>
          <w:tcPr>
            <w:tcW w:w="757" w:type="pct"/>
            <w:tcBorders>
              <w:left w:val="nil"/>
              <w:right w:val="nil"/>
            </w:tcBorders>
            <w:noWrap/>
            <w:vAlign w:val="bottom"/>
          </w:tcPr>
          <w:p w14:paraId="07512750" w14:textId="267416DB" w:rsidR="00875339" w:rsidRPr="001513B5" w:rsidRDefault="00332E6F" w:rsidP="00875339">
            <w:pPr>
              <w:tabs>
                <w:tab w:val="decimal" w:pos="1020"/>
              </w:tabs>
              <w:spacing w:after="0" w:line="240" w:lineRule="auto"/>
              <w:rPr>
                <w:rFonts w:eastAsia="Times New Roman" w:cs="Arial"/>
                <w:color w:val="000000"/>
                <w:sz w:val="20"/>
                <w:szCs w:val="20"/>
                <w:lang w:eastAsia="en-AU"/>
              </w:rPr>
            </w:pPr>
            <w:r w:rsidRPr="001513B5">
              <w:rPr>
                <w:rFonts w:eastAsia="Times New Roman" w:cs="Arial"/>
                <w:color w:val="000000" w:themeColor="text1"/>
                <w:sz w:val="20"/>
                <w:szCs w:val="20"/>
                <w:lang w:eastAsia="en-AU"/>
              </w:rPr>
              <w:t>-</w:t>
            </w:r>
          </w:p>
        </w:tc>
      </w:tr>
      <w:tr w:rsidR="00982996" w:rsidRPr="0073009A" w14:paraId="243191FD" w14:textId="77777777" w:rsidTr="00AA3AC5">
        <w:trPr>
          <w:gridBefore w:val="1"/>
          <w:wBefore w:w="15" w:type="pct"/>
          <w:trHeight w:val="300"/>
        </w:trPr>
        <w:tc>
          <w:tcPr>
            <w:tcW w:w="2650" w:type="pct"/>
            <w:tcBorders>
              <w:top w:val="nil"/>
              <w:left w:val="nil"/>
              <w:bottom w:val="nil"/>
              <w:right w:val="nil"/>
            </w:tcBorders>
            <w:noWrap/>
            <w:vAlign w:val="bottom"/>
          </w:tcPr>
          <w:p w14:paraId="5D911C41" w14:textId="77777777" w:rsidR="00875339" w:rsidRPr="00F65403" w:rsidRDefault="00875339"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p>
        </w:tc>
        <w:tc>
          <w:tcPr>
            <w:tcW w:w="857" w:type="pct"/>
            <w:gridSpan w:val="2"/>
            <w:tcBorders>
              <w:left w:val="nil"/>
              <w:right w:val="nil"/>
            </w:tcBorders>
            <w:noWrap/>
            <w:vAlign w:val="bottom"/>
          </w:tcPr>
          <w:p w14:paraId="22F5C999" w14:textId="4E9DA67A" w:rsidR="00875339" w:rsidRDefault="00875339" w:rsidP="00875339">
            <w:pPr>
              <w:tabs>
                <w:tab w:val="decimal" w:pos="1020"/>
              </w:tabs>
              <w:spacing w:after="0" w:line="240" w:lineRule="auto"/>
              <w:rPr>
                <w:rFonts w:eastAsia="Times New Roman" w:cs="Arial"/>
                <w:b/>
                <w:bCs/>
                <w:color w:val="000000"/>
                <w:sz w:val="20"/>
                <w:szCs w:val="20"/>
                <w:lang w:eastAsia="en-AU"/>
              </w:rPr>
            </w:pPr>
          </w:p>
        </w:tc>
        <w:tc>
          <w:tcPr>
            <w:tcW w:w="721" w:type="pct"/>
            <w:tcBorders>
              <w:top w:val="single" w:sz="4" w:space="0" w:color="auto"/>
              <w:left w:val="nil"/>
              <w:bottom w:val="single" w:sz="4" w:space="0" w:color="auto"/>
              <w:right w:val="nil"/>
            </w:tcBorders>
            <w:vAlign w:val="bottom"/>
          </w:tcPr>
          <w:p w14:paraId="70CF7367" w14:textId="110864C6" w:rsidR="00875339" w:rsidRPr="005568AC" w:rsidRDefault="00ED3FD8" w:rsidP="00875339">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w:t>
            </w:r>
            <w:r w:rsidR="00332E6F" w:rsidRPr="413EB596">
              <w:rPr>
                <w:rFonts w:eastAsia="Times New Roman" w:cs="Arial"/>
                <w:b/>
                <w:bCs/>
                <w:color w:val="000000" w:themeColor="text1"/>
                <w:sz w:val="20"/>
                <w:szCs w:val="20"/>
                <w:lang w:eastAsia="en-AU"/>
              </w:rPr>
              <w:t>2,036</w:t>
            </w:r>
            <w:r>
              <w:rPr>
                <w:rFonts w:eastAsia="Times New Roman" w:cs="Arial"/>
                <w:b/>
                <w:bCs/>
                <w:color w:val="000000" w:themeColor="text1"/>
                <w:sz w:val="20"/>
                <w:szCs w:val="20"/>
                <w:lang w:eastAsia="en-AU"/>
              </w:rPr>
              <w:t>)</w:t>
            </w:r>
          </w:p>
        </w:tc>
        <w:tc>
          <w:tcPr>
            <w:tcW w:w="757" w:type="pct"/>
            <w:tcBorders>
              <w:top w:val="single" w:sz="4" w:space="0" w:color="auto"/>
              <w:left w:val="nil"/>
              <w:bottom w:val="single" w:sz="4" w:space="0" w:color="auto"/>
              <w:right w:val="nil"/>
            </w:tcBorders>
            <w:noWrap/>
            <w:vAlign w:val="bottom"/>
          </w:tcPr>
          <w:p w14:paraId="4A43C035" w14:textId="0A0EBA3A" w:rsidR="00875339" w:rsidRPr="005568AC" w:rsidRDefault="00332E6F" w:rsidP="00875339">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w:t>
            </w:r>
          </w:p>
        </w:tc>
      </w:tr>
      <w:tr w:rsidR="009C45DB" w:rsidRPr="0073009A" w14:paraId="1797750B" w14:textId="77777777" w:rsidTr="00AA3AC5">
        <w:trPr>
          <w:gridBefore w:val="1"/>
          <w:wBefore w:w="15" w:type="pct"/>
          <w:trHeight w:val="300"/>
        </w:trPr>
        <w:tc>
          <w:tcPr>
            <w:tcW w:w="2650" w:type="pct"/>
            <w:tcBorders>
              <w:top w:val="nil"/>
              <w:left w:val="nil"/>
              <w:bottom w:val="nil"/>
              <w:right w:val="nil"/>
            </w:tcBorders>
            <w:noWrap/>
            <w:vAlign w:val="bottom"/>
          </w:tcPr>
          <w:p w14:paraId="10BCD564" w14:textId="424D2E3E" w:rsidR="00F45864" w:rsidRDefault="00ED3FD8" w:rsidP="413EB59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Set</w:t>
            </w:r>
            <w:r w:rsidR="009339EB">
              <w:rPr>
                <w:rFonts w:eastAsia="Times New Roman" w:cs="Arial"/>
                <w:b/>
                <w:bCs/>
                <w:color w:val="000000"/>
                <w:sz w:val="20"/>
                <w:szCs w:val="20"/>
                <w:lang w:eastAsia="en-AU"/>
              </w:rPr>
              <w:t>-</w:t>
            </w:r>
            <w:r>
              <w:rPr>
                <w:rFonts w:eastAsia="Times New Roman" w:cs="Arial"/>
                <w:b/>
                <w:bCs/>
                <w:color w:val="000000"/>
                <w:sz w:val="20"/>
                <w:szCs w:val="20"/>
                <w:lang w:eastAsia="en-AU"/>
              </w:rPr>
              <w:t xml:space="preserve">off of deferred tax </w:t>
            </w:r>
            <w:r w:rsidR="00E700E0">
              <w:rPr>
                <w:rFonts w:eastAsia="Times New Roman" w:cs="Arial"/>
                <w:b/>
                <w:bCs/>
                <w:color w:val="000000"/>
                <w:sz w:val="20"/>
                <w:szCs w:val="20"/>
                <w:lang w:eastAsia="en-AU"/>
              </w:rPr>
              <w:t>liabilities</w:t>
            </w:r>
          </w:p>
        </w:tc>
        <w:tc>
          <w:tcPr>
            <w:tcW w:w="857" w:type="pct"/>
            <w:gridSpan w:val="2"/>
            <w:tcBorders>
              <w:left w:val="nil"/>
              <w:right w:val="nil"/>
            </w:tcBorders>
            <w:noWrap/>
            <w:vAlign w:val="bottom"/>
          </w:tcPr>
          <w:p w14:paraId="37531ECF" w14:textId="77777777" w:rsidR="00F45864" w:rsidRDefault="00F45864" w:rsidP="00875339">
            <w:pPr>
              <w:tabs>
                <w:tab w:val="decimal" w:pos="1020"/>
              </w:tabs>
              <w:spacing w:after="0" w:line="240" w:lineRule="auto"/>
              <w:rPr>
                <w:rFonts w:eastAsia="Times New Roman" w:cs="Arial"/>
                <w:b/>
                <w:bCs/>
                <w:color w:val="000000"/>
                <w:sz w:val="20"/>
                <w:szCs w:val="20"/>
                <w:lang w:eastAsia="en-AU"/>
              </w:rPr>
            </w:pPr>
          </w:p>
        </w:tc>
        <w:tc>
          <w:tcPr>
            <w:tcW w:w="721" w:type="pct"/>
            <w:tcBorders>
              <w:top w:val="single" w:sz="4" w:space="0" w:color="auto"/>
              <w:left w:val="nil"/>
              <w:bottom w:val="single" w:sz="4" w:space="0" w:color="auto"/>
              <w:right w:val="nil"/>
            </w:tcBorders>
            <w:vAlign w:val="bottom"/>
          </w:tcPr>
          <w:p w14:paraId="28CDBCE2" w14:textId="25F3C5E9" w:rsidR="00F45864" w:rsidRDefault="00ED3FD8" w:rsidP="00875339">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2,</w:t>
            </w:r>
            <w:r w:rsidR="00E700E0">
              <w:rPr>
                <w:rFonts w:eastAsia="Times New Roman" w:cs="Arial"/>
                <w:b/>
                <w:bCs/>
                <w:color w:val="000000"/>
                <w:sz w:val="20"/>
                <w:szCs w:val="20"/>
                <w:lang w:eastAsia="en-AU"/>
              </w:rPr>
              <w:t>036</w:t>
            </w:r>
          </w:p>
        </w:tc>
        <w:tc>
          <w:tcPr>
            <w:tcW w:w="757" w:type="pct"/>
            <w:tcBorders>
              <w:top w:val="single" w:sz="4" w:space="0" w:color="auto"/>
              <w:left w:val="nil"/>
              <w:bottom w:val="single" w:sz="4" w:space="0" w:color="auto"/>
              <w:right w:val="nil"/>
            </w:tcBorders>
            <w:noWrap/>
            <w:vAlign w:val="bottom"/>
          </w:tcPr>
          <w:p w14:paraId="77D3E8D0" w14:textId="03BB5169" w:rsidR="00F45864" w:rsidRDefault="00ED3FD8" w:rsidP="00875339">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AA3AC5" w:rsidRPr="0073009A" w14:paraId="08E15917" w14:textId="77777777" w:rsidTr="00AA3AC5">
        <w:trPr>
          <w:gridBefore w:val="1"/>
          <w:wBefore w:w="15" w:type="pct"/>
          <w:trHeight w:val="300"/>
        </w:trPr>
        <w:tc>
          <w:tcPr>
            <w:tcW w:w="2650" w:type="pct"/>
            <w:tcBorders>
              <w:top w:val="nil"/>
              <w:left w:val="nil"/>
              <w:bottom w:val="nil"/>
              <w:right w:val="nil"/>
            </w:tcBorders>
            <w:noWrap/>
            <w:vAlign w:val="bottom"/>
          </w:tcPr>
          <w:p w14:paraId="2871D5AE" w14:textId="13FC36C4" w:rsidR="00F45864" w:rsidRDefault="00DE49B1"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Net deferred tax assets</w:t>
            </w:r>
          </w:p>
        </w:tc>
        <w:tc>
          <w:tcPr>
            <w:tcW w:w="857" w:type="pct"/>
            <w:gridSpan w:val="2"/>
            <w:tcBorders>
              <w:left w:val="nil"/>
              <w:right w:val="nil"/>
            </w:tcBorders>
            <w:noWrap/>
            <w:vAlign w:val="bottom"/>
          </w:tcPr>
          <w:p w14:paraId="321F2DE8" w14:textId="77777777" w:rsidR="00F45864" w:rsidRDefault="00F45864" w:rsidP="00875339">
            <w:pPr>
              <w:tabs>
                <w:tab w:val="decimal" w:pos="1020"/>
              </w:tabs>
              <w:spacing w:after="0" w:line="240" w:lineRule="auto"/>
              <w:rPr>
                <w:rFonts w:eastAsia="Times New Roman" w:cs="Arial"/>
                <w:b/>
                <w:bCs/>
                <w:color w:val="000000"/>
                <w:sz w:val="20"/>
                <w:szCs w:val="20"/>
                <w:lang w:eastAsia="en-AU"/>
              </w:rPr>
            </w:pPr>
          </w:p>
        </w:tc>
        <w:tc>
          <w:tcPr>
            <w:tcW w:w="721" w:type="pct"/>
            <w:tcBorders>
              <w:top w:val="single" w:sz="4" w:space="0" w:color="auto"/>
              <w:left w:val="nil"/>
              <w:bottom w:val="double" w:sz="4" w:space="0" w:color="auto"/>
              <w:right w:val="nil"/>
            </w:tcBorders>
            <w:vAlign w:val="bottom"/>
          </w:tcPr>
          <w:p w14:paraId="7DBBFAFC" w14:textId="4E760F3F" w:rsidR="00F45864" w:rsidRDefault="00332E6F" w:rsidP="00875339">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217</w:t>
            </w:r>
          </w:p>
        </w:tc>
        <w:tc>
          <w:tcPr>
            <w:tcW w:w="757" w:type="pct"/>
            <w:tcBorders>
              <w:top w:val="single" w:sz="4" w:space="0" w:color="auto"/>
              <w:left w:val="nil"/>
              <w:bottom w:val="double" w:sz="4" w:space="0" w:color="auto"/>
              <w:right w:val="nil"/>
            </w:tcBorders>
            <w:noWrap/>
            <w:vAlign w:val="bottom"/>
          </w:tcPr>
          <w:p w14:paraId="2F9882DE" w14:textId="720B02AF" w:rsidR="00F45864" w:rsidRDefault="00332E6F" w:rsidP="00875339">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w:t>
            </w:r>
          </w:p>
        </w:tc>
      </w:tr>
      <w:tr w:rsidR="00314543" w14:paraId="6827C072" w14:textId="77777777" w:rsidTr="00D75DDB">
        <w:tblPrEx>
          <w:tblBorders>
            <w:bottom w:val="double" w:sz="4" w:space="0" w:color="auto"/>
          </w:tblBorders>
        </w:tblPrEx>
        <w:tc>
          <w:tcPr>
            <w:tcW w:w="3512" w:type="pct"/>
            <w:gridSpan w:val="3"/>
            <w:tcBorders>
              <w:bottom w:val="nil"/>
            </w:tcBorders>
            <w:noWrap/>
            <w:vAlign w:val="bottom"/>
          </w:tcPr>
          <w:p w14:paraId="1426579D" w14:textId="77777777" w:rsidR="003E2D12" w:rsidRPr="00A50760" w:rsidRDefault="003E2D12">
            <w:pPr>
              <w:spacing w:after="0" w:line="240" w:lineRule="auto"/>
              <w:rPr>
                <w:rFonts w:eastAsia="Times New Roman" w:cs="Arial"/>
                <w:b/>
                <w:bCs/>
                <w:i/>
                <w:iCs/>
                <w:color w:val="000000" w:themeColor="text1"/>
                <w:sz w:val="20"/>
                <w:szCs w:val="20"/>
                <w:lang w:eastAsia="en-AU"/>
              </w:rPr>
            </w:pPr>
          </w:p>
        </w:tc>
        <w:tc>
          <w:tcPr>
            <w:tcW w:w="731" w:type="pct"/>
            <w:gridSpan w:val="2"/>
            <w:tcBorders>
              <w:top w:val="nil"/>
              <w:bottom w:val="nil"/>
            </w:tcBorders>
            <w:vAlign w:val="bottom"/>
          </w:tcPr>
          <w:p w14:paraId="1DFBE34D" w14:textId="77777777" w:rsidR="003E2D12" w:rsidRPr="413EB596" w:rsidRDefault="003E2D12">
            <w:pPr>
              <w:tabs>
                <w:tab w:val="decimal" w:pos="1020"/>
              </w:tabs>
              <w:spacing w:after="0" w:line="240" w:lineRule="auto"/>
              <w:rPr>
                <w:rFonts w:eastAsia="Times New Roman" w:cs="Arial"/>
                <w:b/>
                <w:bCs/>
                <w:color w:val="000000" w:themeColor="text1"/>
                <w:sz w:val="20"/>
                <w:szCs w:val="20"/>
                <w:lang w:eastAsia="en-AU"/>
              </w:rPr>
            </w:pPr>
          </w:p>
        </w:tc>
        <w:tc>
          <w:tcPr>
            <w:tcW w:w="757" w:type="pct"/>
            <w:tcBorders>
              <w:top w:val="nil"/>
              <w:bottom w:val="nil"/>
            </w:tcBorders>
            <w:noWrap/>
            <w:vAlign w:val="bottom"/>
          </w:tcPr>
          <w:p w14:paraId="634BBC77" w14:textId="77777777" w:rsidR="003E2D12" w:rsidRDefault="003E2D12">
            <w:pPr>
              <w:tabs>
                <w:tab w:val="decimal" w:pos="1020"/>
              </w:tabs>
              <w:spacing w:after="0" w:line="240" w:lineRule="auto"/>
              <w:rPr>
                <w:rFonts w:eastAsia="Times New Roman" w:cs="Arial"/>
                <w:b/>
                <w:bCs/>
                <w:color w:val="000000" w:themeColor="text1"/>
                <w:sz w:val="20"/>
                <w:szCs w:val="20"/>
                <w:lang w:eastAsia="en-AU"/>
              </w:rPr>
            </w:pPr>
          </w:p>
        </w:tc>
      </w:tr>
      <w:tr w:rsidR="00D75DDB" w14:paraId="7D7906D0" w14:textId="77777777">
        <w:tblPrEx>
          <w:tblBorders>
            <w:bottom w:val="double" w:sz="4" w:space="0" w:color="auto"/>
          </w:tblBorders>
        </w:tblPrEx>
        <w:tc>
          <w:tcPr>
            <w:tcW w:w="3512" w:type="pct"/>
            <w:gridSpan w:val="3"/>
            <w:noWrap/>
            <w:vAlign w:val="bottom"/>
          </w:tcPr>
          <w:p w14:paraId="73D0E7D1" w14:textId="77777777" w:rsidR="00D75DDB" w:rsidRPr="00A50760" w:rsidRDefault="00D75DDB" w:rsidP="0075264E">
            <w:pPr>
              <w:spacing w:after="0" w:line="240" w:lineRule="auto"/>
              <w:rPr>
                <w:rFonts w:eastAsia="Times New Roman" w:cs="Arial"/>
                <w:b/>
                <w:bCs/>
                <w:i/>
                <w:iCs/>
                <w:color w:val="000000" w:themeColor="text1"/>
                <w:sz w:val="20"/>
                <w:szCs w:val="20"/>
                <w:lang w:eastAsia="en-AU"/>
              </w:rPr>
            </w:pPr>
            <w:r w:rsidRPr="00A50760">
              <w:rPr>
                <w:rFonts w:eastAsia="Times New Roman" w:cs="Arial"/>
                <w:b/>
                <w:bCs/>
                <w:i/>
                <w:iCs/>
                <w:color w:val="000000" w:themeColor="text1"/>
                <w:sz w:val="20"/>
                <w:szCs w:val="20"/>
                <w:lang w:eastAsia="en-AU"/>
              </w:rPr>
              <w:t>Movement in deferred taxes</w:t>
            </w:r>
          </w:p>
        </w:tc>
        <w:tc>
          <w:tcPr>
            <w:tcW w:w="731" w:type="pct"/>
            <w:gridSpan w:val="2"/>
            <w:tcBorders>
              <w:top w:val="nil"/>
              <w:bottom w:val="nil"/>
            </w:tcBorders>
            <w:vAlign w:val="bottom"/>
          </w:tcPr>
          <w:p w14:paraId="305A31F7" w14:textId="77777777" w:rsidR="00D75DDB" w:rsidRPr="413EB596" w:rsidRDefault="00D75DDB" w:rsidP="0075264E">
            <w:pPr>
              <w:tabs>
                <w:tab w:val="decimal" w:pos="1020"/>
              </w:tabs>
              <w:spacing w:after="0" w:line="240" w:lineRule="auto"/>
              <w:rPr>
                <w:rFonts w:eastAsia="Times New Roman" w:cs="Arial"/>
                <w:b/>
                <w:bCs/>
                <w:color w:val="000000" w:themeColor="text1"/>
                <w:sz w:val="20"/>
                <w:szCs w:val="20"/>
                <w:lang w:eastAsia="en-AU"/>
              </w:rPr>
            </w:pPr>
          </w:p>
        </w:tc>
        <w:tc>
          <w:tcPr>
            <w:tcW w:w="757" w:type="pct"/>
            <w:tcBorders>
              <w:top w:val="nil"/>
              <w:bottom w:val="nil"/>
            </w:tcBorders>
            <w:noWrap/>
            <w:vAlign w:val="bottom"/>
          </w:tcPr>
          <w:p w14:paraId="0F3BA015" w14:textId="77777777" w:rsidR="00D75DDB" w:rsidRDefault="00D75DDB" w:rsidP="0075264E">
            <w:pPr>
              <w:tabs>
                <w:tab w:val="decimal" w:pos="1020"/>
              </w:tabs>
              <w:spacing w:after="0" w:line="240" w:lineRule="auto"/>
              <w:rPr>
                <w:rFonts w:eastAsia="Times New Roman" w:cs="Arial"/>
                <w:b/>
                <w:bCs/>
                <w:color w:val="000000" w:themeColor="text1"/>
                <w:sz w:val="20"/>
                <w:szCs w:val="20"/>
                <w:lang w:eastAsia="en-AU"/>
              </w:rPr>
            </w:pPr>
          </w:p>
        </w:tc>
      </w:tr>
      <w:tr w:rsidR="00D75DDB" w:rsidRPr="00A50760" w14:paraId="2071E929" w14:textId="77777777">
        <w:tblPrEx>
          <w:tblBorders>
            <w:bottom w:val="double" w:sz="4" w:space="0" w:color="auto"/>
          </w:tblBorders>
        </w:tblPrEx>
        <w:tc>
          <w:tcPr>
            <w:tcW w:w="3512" w:type="pct"/>
            <w:gridSpan w:val="3"/>
            <w:noWrap/>
            <w:vAlign w:val="bottom"/>
          </w:tcPr>
          <w:p w14:paraId="27075AD1" w14:textId="77777777" w:rsidR="00D75DDB" w:rsidRPr="00A50760" w:rsidRDefault="00D75DDB"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Opening net deferred tax assets/(liabilities)</w:t>
            </w:r>
          </w:p>
        </w:tc>
        <w:tc>
          <w:tcPr>
            <w:tcW w:w="731" w:type="pct"/>
            <w:gridSpan w:val="2"/>
            <w:tcBorders>
              <w:top w:val="nil"/>
              <w:bottom w:val="nil"/>
            </w:tcBorders>
            <w:vAlign w:val="bottom"/>
          </w:tcPr>
          <w:p w14:paraId="6033C423"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c>
          <w:tcPr>
            <w:tcW w:w="757" w:type="pct"/>
            <w:tcBorders>
              <w:top w:val="nil"/>
              <w:bottom w:val="nil"/>
            </w:tcBorders>
            <w:noWrap/>
            <w:vAlign w:val="bottom"/>
          </w:tcPr>
          <w:p w14:paraId="3CF8661B"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D75DDB" w:rsidRPr="00A50760" w14:paraId="2E2E3B90" w14:textId="77777777">
        <w:tblPrEx>
          <w:tblBorders>
            <w:bottom w:val="double" w:sz="4" w:space="0" w:color="auto"/>
          </w:tblBorders>
        </w:tblPrEx>
        <w:tc>
          <w:tcPr>
            <w:tcW w:w="3512" w:type="pct"/>
            <w:gridSpan w:val="3"/>
            <w:noWrap/>
            <w:vAlign w:val="bottom"/>
          </w:tcPr>
          <w:p w14:paraId="4D0A8B15" w14:textId="77777777" w:rsidR="00D75DDB" w:rsidRPr="00A50760" w:rsidRDefault="00D75DDB"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Charged to the statement of profit or loss</w:t>
            </w:r>
          </w:p>
        </w:tc>
        <w:tc>
          <w:tcPr>
            <w:tcW w:w="731" w:type="pct"/>
            <w:gridSpan w:val="2"/>
            <w:tcBorders>
              <w:top w:val="nil"/>
              <w:bottom w:val="nil"/>
            </w:tcBorders>
            <w:vAlign w:val="bottom"/>
          </w:tcPr>
          <w:p w14:paraId="28867F85"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41</w:t>
            </w:r>
          </w:p>
        </w:tc>
        <w:tc>
          <w:tcPr>
            <w:tcW w:w="757" w:type="pct"/>
            <w:tcBorders>
              <w:top w:val="nil"/>
              <w:bottom w:val="nil"/>
            </w:tcBorders>
            <w:noWrap/>
            <w:vAlign w:val="bottom"/>
          </w:tcPr>
          <w:p w14:paraId="4AD6D174"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D75DDB" w:rsidRPr="00A50760" w14:paraId="77316420" w14:textId="77777777">
        <w:tblPrEx>
          <w:tblBorders>
            <w:bottom w:val="double" w:sz="4" w:space="0" w:color="auto"/>
          </w:tblBorders>
        </w:tblPrEx>
        <w:tc>
          <w:tcPr>
            <w:tcW w:w="3512" w:type="pct"/>
            <w:gridSpan w:val="3"/>
            <w:noWrap/>
            <w:vAlign w:val="bottom"/>
          </w:tcPr>
          <w:p w14:paraId="3EAFD6C8" w14:textId="77777777" w:rsidR="00D75DDB" w:rsidRPr="00A50760" w:rsidRDefault="00D75DDB" w:rsidP="0075264E">
            <w:pPr>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Transferred to head of tax consolidated group</w:t>
            </w:r>
          </w:p>
        </w:tc>
        <w:tc>
          <w:tcPr>
            <w:tcW w:w="731" w:type="pct"/>
            <w:gridSpan w:val="2"/>
            <w:tcBorders>
              <w:top w:val="nil"/>
              <w:bottom w:val="nil"/>
            </w:tcBorders>
            <w:vAlign w:val="bottom"/>
          </w:tcPr>
          <w:p w14:paraId="7ACF9DD4" w14:textId="77777777" w:rsidR="00D75DDB" w:rsidRDefault="00D75DDB" w:rsidP="0075264E">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(50)</w:t>
            </w:r>
          </w:p>
        </w:tc>
        <w:tc>
          <w:tcPr>
            <w:tcW w:w="757" w:type="pct"/>
            <w:tcBorders>
              <w:top w:val="nil"/>
              <w:bottom w:val="nil"/>
            </w:tcBorders>
            <w:noWrap/>
            <w:vAlign w:val="bottom"/>
          </w:tcPr>
          <w:p w14:paraId="09E6D2CB"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p>
        </w:tc>
      </w:tr>
      <w:tr w:rsidR="00C85165" w:rsidRPr="00A50760" w14:paraId="5443E175" w14:textId="77777777">
        <w:tblPrEx>
          <w:tblBorders>
            <w:bottom w:val="double" w:sz="4" w:space="0" w:color="auto"/>
          </w:tblBorders>
        </w:tblPrEx>
        <w:tc>
          <w:tcPr>
            <w:tcW w:w="3512" w:type="pct"/>
            <w:gridSpan w:val="3"/>
            <w:noWrap/>
            <w:vAlign w:val="bottom"/>
          </w:tcPr>
          <w:p w14:paraId="3CDB0A2C" w14:textId="77777777" w:rsidR="00D75DDB" w:rsidRPr="00A50760" w:rsidRDefault="00D75DDB" w:rsidP="0075264E">
            <w:pPr>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Charged to equity</w:t>
            </w:r>
          </w:p>
        </w:tc>
        <w:tc>
          <w:tcPr>
            <w:tcW w:w="731" w:type="pct"/>
            <w:gridSpan w:val="2"/>
            <w:tcBorders>
              <w:top w:val="nil"/>
              <w:bottom w:val="single" w:sz="4" w:space="0" w:color="auto"/>
            </w:tcBorders>
            <w:vAlign w:val="bottom"/>
          </w:tcPr>
          <w:p w14:paraId="3A221F37"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226</w:t>
            </w:r>
          </w:p>
        </w:tc>
        <w:tc>
          <w:tcPr>
            <w:tcW w:w="757" w:type="pct"/>
            <w:tcBorders>
              <w:top w:val="nil"/>
              <w:bottom w:val="single" w:sz="4" w:space="0" w:color="auto"/>
            </w:tcBorders>
            <w:noWrap/>
            <w:vAlign w:val="bottom"/>
          </w:tcPr>
          <w:p w14:paraId="4A1443AB" w14:textId="77777777" w:rsidR="00D75DDB" w:rsidRPr="00A50760" w:rsidRDefault="00D75DDB" w:rsidP="0075264E">
            <w:pPr>
              <w:tabs>
                <w:tab w:val="decimal" w:pos="1020"/>
              </w:tabs>
              <w:spacing w:after="0" w:line="240" w:lineRule="auto"/>
              <w:rPr>
                <w:rFonts w:eastAsia="Times New Roman" w:cs="Arial"/>
                <w:color w:val="000000" w:themeColor="text1"/>
                <w:sz w:val="20"/>
                <w:szCs w:val="20"/>
                <w:lang w:eastAsia="en-AU"/>
              </w:rPr>
            </w:pPr>
            <w:r w:rsidRPr="00A50760">
              <w:rPr>
                <w:rFonts w:eastAsia="Times New Roman" w:cs="Arial"/>
                <w:color w:val="000000" w:themeColor="text1"/>
                <w:sz w:val="20"/>
                <w:szCs w:val="20"/>
                <w:lang w:eastAsia="en-AU"/>
              </w:rPr>
              <w:t>-</w:t>
            </w:r>
          </w:p>
        </w:tc>
      </w:tr>
      <w:tr w:rsidR="00C85165" w14:paraId="59084D05" w14:textId="77777777">
        <w:tblPrEx>
          <w:tblBorders>
            <w:bottom w:val="double" w:sz="4" w:space="0" w:color="auto"/>
          </w:tblBorders>
        </w:tblPrEx>
        <w:tc>
          <w:tcPr>
            <w:tcW w:w="3512" w:type="pct"/>
            <w:gridSpan w:val="3"/>
            <w:tcBorders>
              <w:bottom w:val="nil"/>
            </w:tcBorders>
            <w:noWrap/>
            <w:vAlign w:val="bottom"/>
          </w:tcPr>
          <w:p w14:paraId="488D158B" w14:textId="77777777" w:rsidR="00D75DDB" w:rsidRPr="413EB596" w:rsidRDefault="00D75DDB" w:rsidP="0075264E">
            <w:pPr>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Closing net deferred tax assets</w:t>
            </w:r>
          </w:p>
        </w:tc>
        <w:tc>
          <w:tcPr>
            <w:tcW w:w="731" w:type="pct"/>
            <w:gridSpan w:val="2"/>
            <w:tcBorders>
              <w:top w:val="single" w:sz="4" w:space="0" w:color="auto"/>
              <w:bottom w:val="double" w:sz="4" w:space="0" w:color="auto"/>
            </w:tcBorders>
            <w:vAlign w:val="bottom"/>
          </w:tcPr>
          <w:p w14:paraId="6780430B" w14:textId="77777777" w:rsidR="00D75DDB" w:rsidRPr="413EB596" w:rsidRDefault="00D75DDB"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217</w:t>
            </w:r>
          </w:p>
        </w:tc>
        <w:tc>
          <w:tcPr>
            <w:tcW w:w="757" w:type="pct"/>
            <w:tcBorders>
              <w:top w:val="single" w:sz="4" w:space="0" w:color="auto"/>
              <w:bottom w:val="double" w:sz="4" w:space="0" w:color="auto"/>
            </w:tcBorders>
            <w:noWrap/>
            <w:vAlign w:val="bottom"/>
          </w:tcPr>
          <w:p w14:paraId="3E98FD20" w14:textId="77777777" w:rsidR="00D75DDB" w:rsidRDefault="00D75DDB" w:rsidP="0075264E">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p>
        </w:tc>
      </w:tr>
    </w:tbl>
    <w:p w14:paraId="011EDFD1" w14:textId="77777777" w:rsidR="00C26C4D" w:rsidRDefault="00C26C4D" w:rsidP="00C26C4D">
      <w:pPr>
        <w:pStyle w:val="Heading8"/>
        <w:tabs>
          <w:tab w:val="clear" w:pos="357"/>
          <w:tab w:val="left" w:pos="284"/>
        </w:tabs>
        <w:ind w:left="284" w:hanging="284"/>
      </w:pPr>
    </w:p>
    <w:p w14:paraId="40651B03" w14:textId="7191CAD2" w:rsidR="00C26C4D" w:rsidRPr="009D3AA5" w:rsidRDefault="00C26C4D" w:rsidP="00C26C4D">
      <w:pPr>
        <w:pStyle w:val="Heading8"/>
        <w:tabs>
          <w:tab w:val="clear" w:pos="357"/>
          <w:tab w:val="left" w:pos="284"/>
        </w:tabs>
        <w:ind w:left="284" w:hanging="284"/>
        <w:rPr>
          <w:rFonts w:eastAsia="Arial" w:cs="Arial"/>
          <w:szCs w:val="20"/>
        </w:rPr>
      </w:pPr>
      <w:r w:rsidRPr="009D3AA5">
        <w:rPr>
          <w:rFonts w:eastAsia="Arial" w:cs="Arial"/>
          <w:szCs w:val="20"/>
        </w:rPr>
        <w:t>v. Significant judgements</w:t>
      </w:r>
    </w:p>
    <w:p w14:paraId="59A95B4D" w14:textId="1E3C698B" w:rsidR="008D0DAB" w:rsidRPr="00AA3AC5" w:rsidRDefault="00C26C4D" w:rsidP="00AA3AC5">
      <w:pPr>
        <w:pStyle w:val="BodyText"/>
        <w:rPr>
          <w:rFonts w:eastAsiaTheme="majorEastAsia"/>
          <w:szCs w:val="24"/>
        </w:rPr>
      </w:pPr>
      <w:r>
        <w:t>The accounting carrying value of the Group’s investment in MREH is significantly lower than the tax cost base, primarily as a result of the equity accounted share of accumulated losses to date</w:t>
      </w:r>
      <w:r w:rsidR="0099685B">
        <w:t xml:space="preserve">. </w:t>
      </w:r>
      <w:r>
        <w:t>The resulting temporary difference for which a deferred tax asset has not been recognised totals $4,782,000 (2024: nil). Management judgment is that it is not yet probable that the temporary difference will reverse in the foreseeable future.</w:t>
      </w:r>
      <w:r>
        <w:br/>
      </w:r>
    </w:p>
    <w:p w14:paraId="51207236" w14:textId="77777777" w:rsidR="008D0DAB" w:rsidRPr="00F65403" w:rsidRDefault="008D0DAB" w:rsidP="008D0DAB">
      <w:pPr>
        <w:pStyle w:val="Heading7"/>
      </w:pPr>
      <w:r w:rsidRPr="00F65403">
        <w:t>Controlled entities</w:t>
      </w:r>
    </w:p>
    <w:p w14:paraId="64CA6844" w14:textId="77777777" w:rsidR="008D0DAB" w:rsidRPr="00F65403" w:rsidRDefault="008D0DAB" w:rsidP="008D0DAB">
      <w:pPr>
        <w:pStyle w:val="BodyText"/>
        <w:rPr>
          <w:lang w:val="en-AU"/>
        </w:rPr>
      </w:pPr>
      <w:r w:rsidRPr="00F65403">
        <w:rPr>
          <w:lang w:val="en-AU"/>
        </w:rPr>
        <w:t xml:space="preserve">The consolidated financial statements of the Group include: </w:t>
      </w:r>
    </w:p>
    <w:p w14:paraId="440EF310" w14:textId="77777777" w:rsidR="008D0DAB" w:rsidRPr="00F65403" w:rsidRDefault="008D0DAB" w:rsidP="008D0DAB">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1986"/>
        <w:gridCol w:w="2834"/>
        <w:gridCol w:w="1560"/>
        <w:gridCol w:w="1323"/>
        <w:gridCol w:w="1323"/>
      </w:tblGrid>
      <w:tr w:rsidR="008D0DAB" w:rsidRPr="00B46905" w14:paraId="649020D3" w14:textId="77777777" w:rsidTr="413EB596">
        <w:tc>
          <w:tcPr>
            <w:tcW w:w="1100" w:type="pct"/>
            <w:vMerge w:val="restart"/>
            <w:tcBorders>
              <w:top w:val="nil"/>
              <w:left w:val="nil"/>
              <w:right w:val="nil"/>
            </w:tcBorders>
            <w:vAlign w:val="center"/>
            <w:hideMark/>
          </w:tcPr>
          <w:p w14:paraId="0C8F780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sz w:val="20"/>
                <w:szCs w:val="20"/>
                <w:lang w:eastAsia="en-AU"/>
              </w:rPr>
              <w:t>Name of entity</w:t>
            </w:r>
            <w:r w:rsidRPr="00F65403">
              <w:rPr>
                <w:rFonts w:eastAsia="Times New Roman" w:cs="Arial"/>
                <w:color w:val="000000"/>
                <w:sz w:val="20"/>
                <w:szCs w:val="20"/>
                <w:lang w:eastAsia="en-AU"/>
              </w:rPr>
              <w:t> </w:t>
            </w:r>
          </w:p>
        </w:tc>
        <w:tc>
          <w:tcPr>
            <w:tcW w:w="1570" w:type="pct"/>
            <w:vMerge w:val="restart"/>
            <w:tcBorders>
              <w:top w:val="nil"/>
              <w:left w:val="nil"/>
              <w:right w:val="nil"/>
            </w:tcBorders>
            <w:vAlign w:val="center"/>
          </w:tcPr>
          <w:p w14:paraId="76FCFF8E" w14:textId="77777777" w:rsidR="008D0DAB" w:rsidRPr="00F65403" w:rsidRDefault="008D0DAB" w:rsidP="009B7B2A">
            <w:pPr>
              <w:spacing w:after="0" w:line="240" w:lineRule="auto"/>
              <w:rPr>
                <w:rFonts w:eastAsia="Times New Roman" w:cs="Arial"/>
                <w:b/>
                <w:sz w:val="20"/>
                <w:szCs w:val="20"/>
                <w:lang w:eastAsia="en-AU"/>
              </w:rPr>
            </w:pPr>
            <w:r w:rsidRPr="00F65403">
              <w:rPr>
                <w:rFonts w:eastAsia="Times New Roman" w:cs="Arial"/>
                <w:b/>
                <w:sz w:val="20"/>
                <w:szCs w:val="20"/>
                <w:lang w:eastAsia="en-AU"/>
              </w:rPr>
              <w:t>Principal activities</w:t>
            </w:r>
          </w:p>
        </w:tc>
        <w:tc>
          <w:tcPr>
            <w:tcW w:w="864" w:type="pct"/>
            <w:vMerge w:val="restart"/>
            <w:tcBorders>
              <w:top w:val="nil"/>
              <w:left w:val="nil"/>
              <w:right w:val="nil"/>
            </w:tcBorders>
            <w:vAlign w:val="center"/>
            <w:hideMark/>
          </w:tcPr>
          <w:p w14:paraId="62E4E85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Country of incorporation</w:t>
            </w:r>
            <w:r>
              <w:rPr>
                <w:rFonts w:eastAsia="Times New Roman" w:cs="Arial"/>
                <w:b/>
                <w:sz w:val="20"/>
                <w:szCs w:val="20"/>
                <w:lang w:eastAsia="en-AU"/>
              </w:rPr>
              <w:t>*</w:t>
            </w:r>
          </w:p>
        </w:tc>
        <w:tc>
          <w:tcPr>
            <w:tcW w:w="1466" w:type="pct"/>
            <w:gridSpan w:val="2"/>
            <w:tcBorders>
              <w:top w:val="nil"/>
              <w:left w:val="nil"/>
              <w:bottom w:val="nil"/>
              <w:right w:val="nil"/>
            </w:tcBorders>
            <w:vAlign w:val="center"/>
            <w:hideMark/>
          </w:tcPr>
          <w:p w14:paraId="02B13D7A"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Ownership interest</w:t>
            </w:r>
          </w:p>
        </w:tc>
      </w:tr>
      <w:tr w:rsidR="008D0DAB" w:rsidRPr="00B46905" w14:paraId="415EDE43" w14:textId="77777777" w:rsidTr="413EB596">
        <w:tc>
          <w:tcPr>
            <w:tcW w:w="1100" w:type="pct"/>
            <w:vMerge/>
            <w:vAlign w:val="center"/>
          </w:tcPr>
          <w:p w14:paraId="08481EA4" w14:textId="77777777" w:rsidR="008D0DAB" w:rsidRPr="00F65403" w:rsidRDefault="008D0DAB" w:rsidP="009B7B2A">
            <w:pPr>
              <w:spacing w:after="0" w:line="240" w:lineRule="auto"/>
              <w:rPr>
                <w:rFonts w:eastAsia="Times New Roman" w:cs="Arial"/>
                <w:b/>
                <w:sz w:val="20"/>
                <w:szCs w:val="20"/>
                <w:lang w:eastAsia="en-AU"/>
              </w:rPr>
            </w:pPr>
          </w:p>
        </w:tc>
        <w:tc>
          <w:tcPr>
            <w:tcW w:w="1570" w:type="pct"/>
            <w:vMerge/>
          </w:tcPr>
          <w:p w14:paraId="51CC37D8" w14:textId="77777777" w:rsidR="008D0DAB" w:rsidRPr="00F65403" w:rsidRDefault="008D0DAB" w:rsidP="009B7B2A">
            <w:pPr>
              <w:spacing w:after="0" w:line="240" w:lineRule="auto"/>
              <w:jc w:val="center"/>
              <w:rPr>
                <w:rFonts w:eastAsia="Times New Roman" w:cs="Arial"/>
                <w:b/>
                <w:sz w:val="20"/>
                <w:szCs w:val="20"/>
                <w:lang w:eastAsia="en-AU"/>
              </w:rPr>
            </w:pPr>
          </w:p>
        </w:tc>
        <w:tc>
          <w:tcPr>
            <w:tcW w:w="864" w:type="pct"/>
            <w:vMerge/>
            <w:vAlign w:val="center"/>
          </w:tcPr>
          <w:p w14:paraId="22873123" w14:textId="77777777" w:rsidR="008D0DAB" w:rsidRPr="00F65403" w:rsidRDefault="008D0DAB" w:rsidP="009B7B2A">
            <w:pPr>
              <w:spacing w:after="0" w:line="240" w:lineRule="auto"/>
              <w:jc w:val="center"/>
              <w:rPr>
                <w:rFonts w:eastAsia="Times New Roman" w:cs="Arial"/>
                <w:b/>
                <w:sz w:val="20"/>
                <w:szCs w:val="20"/>
                <w:lang w:eastAsia="en-AU"/>
              </w:rPr>
            </w:pPr>
          </w:p>
        </w:tc>
        <w:tc>
          <w:tcPr>
            <w:tcW w:w="733" w:type="pct"/>
            <w:tcBorders>
              <w:top w:val="nil"/>
              <w:left w:val="nil"/>
              <w:bottom w:val="nil"/>
              <w:right w:val="nil"/>
            </w:tcBorders>
            <w:vAlign w:val="center"/>
          </w:tcPr>
          <w:p w14:paraId="3774D31F" w14:textId="77777777" w:rsidR="008D0DAB" w:rsidRPr="00F65403" w:rsidRDefault="008D0DAB" w:rsidP="009B7B2A">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2025</w:t>
            </w:r>
          </w:p>
        </w:tc>
        <w:tc>
          <w:tcPr>
            <w:tcW w:w="733" w:type="pct"/>
            <w:tcBorders>
              <w:top w:val="nil"/>
              <w:left w:val="nil"/>
              <w:bottom w:val="nil"/>
              <w:right w:val="nil"/>
            </w:tcBorders>
            <w:vAlign w:val="center"/>
          </w:tcPr>
          <w:p w14:paraId="17D42A13" w14:textId="77777777" w:rsidR="008D0DAB" w:rsidRPr="00F65403" w:rsidDel="007751AA" w:rsidRDefault="008D0DAB" w:rsidP="009B7B2A">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2024</w:t>
            </w:r>
          </w:p>
        </w:tc>
      </w:tr>
      <w:tr w:rsidR="008D0DAB" w:rsidRPr="00B46905" w14:paraId="0AA470AB" w14:textId="77777777" w:rsidTr="413EB596">
        <w:tc>
          <w:tcPr>
            <w:tcW w:w="1100" w:type="pct"/>
            <w:tcBorders>
              <w:top w:val="nil"/>
              <w:left w:val="nil"/>
              <w:bottom w:val="nil"/>
              <w:right w:val="nil"/>
            </w:tcBorders>
            <w:hideMark/>
          </w:tcPr>
          <w:p w14:paraId="6F81957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Horsham Solar Farm 7 Hold Co Pty Ltd</w:t>
            </w:r>
          </w:p>
        </w:tc>
        <w:tc>
          <w:tcPr>
            <w:tcW w:w="1570" w:type="pct"/>
            <w:tcBorders>
              <w:top w:val="nil"/>
              <w:left w:val="nil"/>
              <w:bottom w:val="nil"/>
              <w:right w:val="nil"/>
            </w:tcBorders>
          </w:tcPr>
          <w:p w14:paraId="5950E4DA"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Holding company </w:t>
            </w:r>
          </w:p>
        </w:tc>
        <w:tc>
          <w:tcPr>
            <w:tcW w:w="864" w:type="pct"/>
            <w:tcBorders>
              <w:top w:val="nil"/>
              <w:left w:val="nil"/>
              <w:bottom w:val="nil"/>
              <w:right w:val="nil"/>
            </w:tcBorders>
            <w:hideMark/>
          </w:tcPr>
          <w:p w14:paraId="0F68768F"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35990CFD"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4B9412DC"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8D0DAB" w:rsidRPr="00B46905" w14:paraId="62A14345" w14:textId="77777777" w:rsidTr="413EB596">
        <w:tc>
          <w:tcPr>
            <w:tcW w:w="1100" w:type="pct"/>
            <w:tcBorders>
              <w:top w:val="nil"/>
              <w:left w:val="nil"/>
              <w:bottom w:val="nil"/>
              <w:right w:val="nil"/>
            </w:tcBorders>
            <w:hideMark/>
          </w:tcPr>
          <w:p w14:paraId="6183156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ESCO Solar Farm 7 Pty Ltd</w:t>
            </w:r>
          </w:p>
        </w:tc>
        <w:tc>
          <w:tcPr>
            <w:tcW w:w="1570" w:type="pct"/>
            <w:tcBorders>
              <w:top w:val="nil"/>
              <w:left w:val="nil"/>
              <w:bottom w:val="nil"/>
              <w:right w:val="nil"/>
            </w:tcBorders>
          </w:tcPr>
          <w:p w14:paraId="7CD9F779"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cs="Arial"/>
                <w:sz w:val="20"/>
                <w:szCs w:val="20"/>
              </w:rPr>
              <w:t>Trustee for the ESCO Solar Farm 7 trust</w:t>
            </w:r>
          </w:p>
        </w:tc>
        <w:tc>
          <w:tcPr>
            <w:tcW w:w="864" w:type="pct"/>
            <w:tcBorders>
              <w:top w:val="nil"/>
              <w:left w:val="nil"/>
              <w:bottom w:val="nil"/>
              <w:right w:val="nil"/>
            </w:tcBorders>
            <w:hideMark/>
          </w:tcPr>
          <w:p w14:paraId="50F7C6FB"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hideMark/>
          </w:tcPr>
          <w:p w14:paraId="4C9965EC"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33E7E74D"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8D0DAB" w:rsidRPr="00B46905" w14:paraId="053139C7" w14:textId="77777777" w:rsidTr="413EB596">
        <w:tc>
          <w:tcPr>
            <w:tcW w:w="1100" w:type="pct"/>
            <w:tcBorders>
              <w:top w:val="nil"/>
              <w:left w:val="nil"/>
              <w:bottom w:val="nil"/>
              <w:right w:val="nil"/>
            </w:tcBorders>
          </w:tcPr>
          <w:p w14:paraId="5F9EA726" w14:textId="2B72D595" w:rsidR="008D0DAB" w:rsidRPr="00F65403" w:rsidRDefault="008D0DAB" w:rsidP="009B7B2A">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ESCO Solar Farm 7 Trust</w:t>
            </w:r>
          </w:p>
        </w:tc>
        <w:tc>
          <w:tcPr>
            <w:tcW w:w="1570" w:type="pct"/>
            <w:tcBorders>
              <w:top w:val="nil"/>
              <w:left w:val="nil"/>
              <w:bottom w:val="nil"/>
              <w:right w:val="nil"/>
            </w:tcBorders>
          </w:tcPr>
          <w:p w14:paraId="647F4B06" w14:textId="3F4D268E"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Construction and operation of SEC Renewable Energy Park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Horsham</w:t>
            </w:r>
          </w:p>
        </w:tc>
        <w:tc>
          <w:tcPr>
            <w:tcW w:w="864" w:type="pct"/>
            <w:tcBorders>
              <w:top w:val="nil"/>
              <w:left w:val="nil"/>
              <w:bottom w:val="nil"/>
              <w:right w:val="nil"/>
            </w:tcBorders>
          </w:tcPr>
          <w:p w14:paraId="026E0671"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Australia</w:t>
            </w:r>
          </w:p>
        </w:tc>
        <w:tc>
          <w:tcPr>
            <w:tcW w:w="733" w:type="pct"/>
            <w:tcBorders>
              <w:top w:val="nil"/>
              <w:left w:val="nil"/>
              <w:bottom w:val="nil"/>
              <w:right w:val="nil"/>
            </w:tcBorders>
          </w:tcPr>
          <w:p w14:paraId="51F9C7AF"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100%</w:t>
            </w:r>
          </w:p>
        </w:tc>
        <w:tc>
          <w:tcPr>
            <w:tcW w:w="733" w:type="pct"/>
            <w:tcBorders>
              <w:top w:val="nil"/>
              <w:left w:val="nil"/>
              <w:bottom w:val="nil"/>
              <w:right w:val="nil"/>
            </w:tcBorders>
          </w:tcPr>
          <w:p w14:paraId="766E6BF9"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w:t>
            </w:r>
          </w:p>
        </w:tc>
      </w:tr>
    </w:tbl>
    <w:p w14:paraId="4C8246C2" w14:textId="77777777" w:rsidR="008D0DAB" w:rsidRPr="00F65403" w:rsidRDefault="008D0DAB" w:rsidP="008D0DAB">
      <w:pPr>
        <w:pStyle w:val="BodyText"/>
        <w:rPr>
          <w:lang w:val="en-AU"/>
        </w:rPr>
      </w:pPr>
      <w:r>
        <w:rPr>
          <w:lang w:val="en-AU"/>
        </w:rPr>
        <w:br/>
        <w:t xml:space="preserve">* </w:t>
      </w:r>
      <w:r w:rsidRPr="00F65403">
        <w:rPr>
          <w:lang w:val="en-AU"/>
        </w:rPr>
        <w:t>The country of incorporation is also the principal place of business.</w:t>
      </w:r>
    </w:p>
    <w:p w14:paraId="3CE1548C" w14:textId="77777777" w:rsidR="008D0DAB" w:rsidRPr="00F65403" w:rsidRDefault="008D0DAB" w:rsidP="008D0DAB">
      <w:pPr>
        <w:pStyle w:val="BodyText"/>
        <w:rPr>
          <w:lang w:val="en-AU"/>
        </w:rPr>
      </w:pPr>
    </w:p>
    <w:p w14:paraId="2B75510F" w14:textId="77777777" w:rsidR="008D0DAB" w:rsidRPr="00F65403" w:rsidRDefault="008D0DAB" w:rsidP="008D0DAB">
      <w:pPr>
        <w:pStyle w:val="Heading8"/>
      </w:pPr>
      <w:proofErr w:type="spellStart"/>
      <w:r>
        <w:t>i</w:t>
      </w:r>
      <w:proofErr w:type="spellEnd"/>
      <w:r>
        <w:t>.</w:t>
      </w:r>
      <w:r>
        <w:tab/>
        <w:t>Principles of consolidation</w:t>
      </w:r>
    </w:p>
    <w:p w14:paraId="4EB369E4" w14:textId="77777777" w:rsidR="008D0DAB" w:rsidRPr="00F65403" w:rsidRDefault="008D0DAB" w:rsidP="008D0DAB">
      <w:pPr>
        <w:pStyle w:val="BodyText"/>
        <w:rPr>
          <w:lang w:val="en-AU"/>
        </w:rPr>
      </w:pPr>
      <w:r w:rsidRPr="00F65403">
        <w:rPr>
          <w:lang w:val="en-AU"/>
        </w:rPr>
        <w:t xml:space="preserve">Subsidiaries are all entities over which the Group has control. The Group controls an entity where the Group is exposed to, or has rights to, variable returns from its involvement with the entity and has the ability to affect those returns through its power to direct the activities of the entity. Subsidiaries are fully consolidated from the date on which control is transferred to the Group. They are deconsolidated from the date that control ceases.  </w:t>
      </w:r>
    </w:p>
    <w:p w14:paraId="53F22791" w14:textId="77777777" w:rsidR="008D0DAB" w:rsidRPr="00F65403" w:rsidRDefault="008D0DAB" w:rsidP="008D0DAB">
      <w:pPr>
        <w:pStyle w:val="BodyText"/>
        <w:rPr>
          <w:lang w:val="en-AU"/>
        </w:rPr>
      </w:pPr>
    </w:p>
    <w:p w14:paraId="0BE4DA6B" w14:textId="77777777" w:rsidR="008D0DAB" w:rsidRPr="00F65403" w:rsidRDefault="008D0DAB" w:rsidP="008D0DAB">
      <w:pPr>
        <w:pStyle w:val="BodyText"/>
        <w:rPr>
          <w:lang w:val="en-AU"/>
        </w:rPr>
      </w:pPr>
      <w:r w:rsidRPr="00F65403">
        <w:rPr>
          <w:lang w:val="en-AU"/>
        </w:rPr>
        <w:t>Inter-company transactions, balances and unrealised gains on transactions between group companies are eliminated. Unrealised losses are also eliminated unless the transaction provides evidence of an impairment of the transferred asset. Accounting policies of subsidiaries have been changed where necessary to ensure consistency with the policies adopted by the Group.</w:t>
      </w:r>
    </w:p>
    <w:p w14:paraId="659BEE32" w14:textId="36910D72" w:rsidR="00D75DDB" w:rsidRDefault="00D75DDB">
      <w:pPr>
        <w:rPr>
          <w:rFonts w:eastAsia="Arial" w:cs="Arial"/>
          <w:sz w:val="20"/>
          <w:szCs w:val="20"/>
        </w:rPr>
      </w:pPr>
      <w:r>
        <w:br w:type="page"/>
      </w:r>
    </w:p>
    <w:p w14:paraId="75BD979E" w14:textId="77777777" w:rsidR="008D0DAB" w:rsidRPr="00F65403" w:rsidRDefault="008D0DAB" w:rsidP="008D0DAB">
      <w:pPr>
        <w:pStyle w:val="BodyText"/>
        <w:rPr>
          <w:lang w:val="en-AU"/>
        </w:rPr>
      </w:pPr>
    </w:p>
    <w:p w14:paraId="2A0DDE44" w14:textId="77777777" w:rsidR="008D0DAB" w:rsidRPr="00F65403" w:rsidRDefault="008D0DAB" w:rsidP="008D0DAB">
      <w:pPr>
        <w:pStyle w:val="Heading7"/>
      </w:pPr>
      <w:r w:rsidRPr="00F65403">
        <w:t>Parent entity information</w:t>
      </w:r>
    </w:p>
    <w:tbl>
      <w:tblPr>
        <w:tblW w:w="5000" w:type="pct"/>
        <w:tblCellMar>
          <w:top w:w="28" w:type="dxa"/>
          <w:left w:w="28" w:type="dxa"/>
          <w:bottom w:w="28" w:type="dxa"/>
          <w:right w:w="28" w:type="dxa"/>
        </w:tblCellMar>
        <w:tblLook w:val="04A0" w:firstRow="1" w:lastRow="0" w:firstColumn="1" w:lastColumn="0" w:noHBand="0" w:noVBand="1"/>
      </w:tblPr>
      <w:tblGrid>
        <w:gridCol w:w="6011"/>
        <w:gridCol w:w="1524"/>
        <w:gridCol w:w="1491"/>
      </w:tblGrid>
      <w:tr w:rsidR="008D0DAB" w:rsidRPr="00CA725E" w14:paraId="7A783353" w14:textId="77777777" w:rsidTr="413EB596">
        <w:tc>
          <w:tcPr>
            <w:tcW w:w="3330" w:type="pct"/>
            <w:tcBorders>
              <w:top w:val="nil"/>
              <w:left w:val="nil"/>
              <w:bottom w:val="nil"/>
              <w:right w:val="nil"/>
            </w:tcBorders>
            <w:noWrap/>
            <w:vAlign w:val="bottom"/>
            <w:hideMark/>
          </w:tcPr>
          <w:p w14:paraId="711491F8" w14:textId="77777777" w:rsidR="008D0DAB" w:rsidRPr="00F65403" w:rsidRDefault="008D0DAB" w:rsidP="009B7B2A">
            <w:pPr>
              <w:spacing w:after="0" w:line="240" w:lineRule="auto"/>
              <w:rPr>
                <w:rFonts w:eastAsia="Times New Roman" w:cs="Arial"/>
                <w:sz w:val="20"/>
                <w:szCs w:val="20"/>
                <w:lang w:eastAsia="en-AU"/>
              </w:rPr>
            </w:pPr>
          </w:p>
        </w:tc>
        <w:tc>
          <w:tcPr>
            <w:tcW w:w="844" w:type="pct"/>
            <w:tcBorders>
              <w:top w:val="nil"/>
              <w:left w:val="nil"/>
              <w:bottom w:val="nil"/>
              <w:right w:val="nil"/>
            </w:tcBorders>
            <w:vAlign w:val="center"/>
            <w:hideMark/>
          </w:tcPr>
          <w:p w14:paraId="3D30CAEF"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826" w:type="pct"/>
            <w:tcBorders>
              <w:top w:val="nil"/>
              <w:left w:val="nil"/>
              <w:bottom w:val="nil"/>
              <w:right w:val="nil"/>
            </w:tcBorders>
            <w:vAlign w:val="center"/>
            <w:hideMark/>
          </w:tcPr>
          <w:p w14:paraId="13E605C6"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CA725E" w14:paraId="69B7C4C1" w14:textId="77777777" w:rsidTr="413EB596">
        <w:tc>
          <w:tcPr>
            <w:tcW w:w="3330" w:type="pct"/>
            <w:tcBorders>
              <w:top w:val="nil"/>
              <w:left w:val="nil"/>
              <w:bottom w:val="nil"/>
              <w:right w:val="nil"/>
            </w:tcBorders>
            <w:vAlign w:val="center"/>
            <w:hideMark/>
          </w:tcPr>
          <w:p w14:paraId="7055F268" w14:textId="77777777" w:rsidR="008D0DAB" w:rsidRPr="00F65403" w:rsidRDefault="008D0DAB" w:rsidP="009B7B2A">
            <w:pPr>
              <w:spacing w:after="0" w:line="240" w:lineRule="auto"/>
              <w:rPr>
                <w:rFonts w:eastAsia="Times New Roman" w:cs="Arial"/>
                <w:i/>
                <w:color w:val="000000"/>
                <w:sz w:val="20"/>
                <w:szCs w:val="20"/>
                <w:lang w:eastAsia="en-AU"/>
              </w:rPr>
            </w:pPr>
          </w:p>
        </w:tc>
        <w:tc>
          <w:tcPr>
            <w:tcW w:w="844" w:type="pct"/>
            <w:tcBorders>
              <w:top w:val="nil"/>
              <w:left w:val="nil"/>
              <w:bottom w:val="nil"/>
              <w:right w:val="nil"/>
            </w:tcBorders>
            <w:hideMark/>
          </w:tcPr>
          <w:p w14:paraId="2C417858"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826" w:type="pct"/>
            <w:tcBorders>
              <w:top w:val="nil"/>
              <w:left w:val="nil"/>
              <w:bottom w:val="nil"/>
              <w:right w:val="nil"/>
            </w:tcBorders>
            <w:hideMark/>
          </w:tcPr>
          <w:p w14:paraId="66B2857C"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CA725E" w14:paraId="4242FB02" w14:textId="77777777" w:rsidTr="413EB596">
        <w:tc>
          <w:tcPr>
            <w:tcW w:w="3330" w:type="pct"/>
            <w:tcBorders>
              <w:top w:val="nil"/>
              <w:left w:val="nil"/>
              <w:bottom w:val="nil"/>
              <w:right w:val="nil"/>
            </w:tcBorders>
            <w:vAlign w:val="center"/>
          </w:tcPr>
          <w:p w14:paraId="4A0410B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i/>
                <w:color w:val="000000"/>
                <w:sz w:val="20"/>
                <w:szCs w:val="20"/>
                <w:lang w:eastAsia="en-AU"/>
              </w:rPr>
              <w:t>Financial position</w:t>
            </w:r>
          </w:p>
        </w:tc>
        <w:tc>
          <w:tcPr>
            <w:tcW w:w="844" w:type="pct"/>
            <w:tcBorders>
              <w:top w:val="nil"/>
              <w:left w:val="nil"/>
              <w:bottom w:val="nil"/>
              <w:right w:val="nil"/>
            </w:tcBorders>
            <w:vAlign w:val="center"/>
          </w:tcPr>
          <w:p w14:paraId="1902B000" w14:textId="77777777" w:rsidR="008D0DAB" w:rsidRPr="00F65403" w:rsidRDefault="008D0DAB" w:rsidP="009B7B2A">
            <w:pPr>
              <w:spacing w:after="0" w:line="240" w:lineRule="auto"/>
              <w:rPr>
                <w:rFonts w:eastAsia="Times New Roman" w:cs="Arial"/>
                <w:color w:val="000000"/>
                <w:sz w:val="20"/>
                <w:szCs w:val="20"/>
                <w:lang w:eastAsia="en-AU"/>
              </w:rPr>
            </w:pPr>
          </w:p>
        </w:tc>
        <w:tc>
          <w:tcPr>
            <w:tcW w:w="826" w:type="pct"/>
            <w:tcBorders>
              <w:top w:val="nil"/>
              <w:left w:val="nil"/>
              <w:bottom w:val="nil"/>
              <w:right w:val="nil"/>
            </w:tcBorders>
            <w:vAlign w:val="center"/>
          </w:tcPr>
          <w:p w14:paraId="1726B037" w14:textId="77777777" w:rsidR="008D0DAB" w:rsidRPr="00F65403" w:rsidRDefault="008D0DAB" w:rsidP="009B7B2A">
            <w:pPr>
              <w:spacing w:after="0" w:line="240" w:lineRule="auto"/>
              <w:jc w:val="right"/>
              <w:rPr>
                <w:rFonts w:eastAsia="Times New Roman" w:cs="Arial"/>
                <w:color w:val="000000"/>
                <w:sz w:val="20"/>
                <w:szCs w:val="20"/>
                <w:lang w:eastAsia="en-AU"/>
              </w:rPr>
            </w:pPr>
          </w:p>
        </w:tc>
      </w:tr>
      <w:tr w:rsidR="008D0DAB" w:rsidRPr="00CA725E" w14:paraId="5703530B" w14:textId="77777777" w:rsidTr="413EB596">
        <w:tc>
          <w:tcPr>
            <w:tcW w:w="3330" w:type="pct"/>
            <w:tcBorders>
              <w:top w:val="nil"/>
              <w:left w:val="nil"/>
              <w:bottom w:val="nil"/>
              <w:right w:val="nil"/>
            </w:tcBorders>
            <w:vAlign w:val="center"/>
            <w:hideMark/>
          </w:tcPr>
          <w:p w14:paraId="1EA44B1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Current assets</w:t>
            </w:r>
          </w:p>
        </w:tc>
        <w:tc>
          <w:tcPr>
            <w:tcW w:w="844" w:type="pct"/>
            <w:tcBorders>
              <w:top w:val="nil"/>
              <w:left w:val="nil"/>
              <w:bottom w:val="nil"/>
              <w:right w:val="nil"/>
            </w:tcBorders>
            <w:vAlign w:val="center"/>
            <w:hideMark/>
          </w:tcPr>
          <w:p w14:paraId="1FE0FF75" w14:textId="6F787F15" w:rsidR="008D0DAB" w:rsidRPr="00C1358F" w:rsidRDefault="00F83BA5" w:rsidP="009B7B2A">
            <w:pPr>
              <w:spacing w:after="0" w:line="240" w:lineRule="auto"/>
              <w:jc w:val="right"/>
              <w:rPr>
                <w:rFonts w:eastAsia="Times New Roman" w:cs="Arial"/>
                <w:color w:val="000000"/>
                <w:sz w:val="20"/>
                <w:szCs w:val="20"/>
                <w:highlight w:val="yellow"/>
                <w:lang w:eastAsia="en-AU"/>
              </w:rPr>
            </w:pPr>
            <w:r>
              <w:rPr>
                <w:rFonts w:cs="Arial"/>
                <w:color w:val="000000" w:themeColor="text1"/>
                <w:sz w:val="20"/>
                <w:szCs w:val="20"/>
              </w:rPr>
              <w:t>9</w:t>
            </w:r>
          </w:p>
        </w:tc>
        <w:tc>
          <w:tcPr>
            <w:tcW w:w="826" w:type="pct"/>
            <w:tcBorders>
              <w:top w:val="nil"/>
              <w:left w:val="nil"/>
              <w:bottom w:val="nil"/>
              <w:right w:val="nil"/>
            </w:tcBorders>
            <w:vAlign w:val="center"/>
            <w:hideMark/>
          </w:tcPr>
          <w:p w14:paraId="15B4E008" w14:textId="77777777" w:rsidR="008D0DAB" w:rsidRPr="00C54994" w:rsidRDefault="008D0DAB" w:rsidP="009B7B2A">
            <w:pPr>
              <w:spacing w:after="0" w:line="240" w:lineRule="auto"/>
              <w:jc w:val="right"/>
              <w:rPr>
                <w:rFonts w:eastAsia="Times New Roman" w:cs="Arial"/>
                <w:color w:val="000000"/>
                <w:sz w:val="20"/>
                <w:szCs w:val="20"/>
                <w:lang w:eastAsia="en-AU"/>
              </w:rPr>
            </w:pPr>
            <w:r>
              <w:rPr>
                <w:rFonts w:cs="Arial"/>
                <w:color w:val="000000" w:themeColor="text1"/>
                <w:sz w:val="20"/>
                <w:szCs w:val="20"/>
              </w:rPr>
              <w:t>-</w:t>
            </w:r>
          </w:p>
        </w:tc>
      </w:tr>
      <w:tr w:rsidR="008D0DAB" w:rsidRPr="00CA725E" w14:paraId="08C06012" w14:textId="77777777" w:rsidTr="413EB596">
        <w:trPr>
          <w:trHeight w:val="300"/>
        </w:trPr>
        <w:tc>
          <w:tcPr>
            <w:tcW w:w="3330" w:type="pct"/>
            <w:tcBorders>
              <w:top w:val="nil"/>
              <w:left w:val="nil"/>
              <w:bottom w:val="nil"/>
              <w:right w:val="nil"/>
            </w:tcBorders>
            <w:vAlign w:val="center"/>
            <w:hideMark/>
          </w:tcPr>
          <w:p w14:paraId="3595B96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Non-current assets</w:t>
            </w:r>
          </w:p>
        </w:tc>
        <w:tc>
          <w:tcPr>
            <w:tcW w:w="844" w:type="pct"/>
            <w:tcBorders>
              <w:top w:val="nil"/>
              <w:left w:val="nil"/>
              <w:bottom w:val="single" w:sz="4" w:space="0" w:color="auto"/>
              <w:right w:val="nil"/>
            </w:tcBorders>
            <w:vAlign w:val="center"/>
          </w:tcPr>
          <w:p w14:paraId="4BF71157" w14:textId="7CB02D2E" w:rsidR="008D0DAB" w:rsidRPr="00C1358F" w:rsidRDefault="008D0DAB" w:rsidP="009B7B2A">
            <w:pPr>
              <w:spacing w:after="0" w:line="240" w:lineRule="auto"/>
              <w:jc w:val="right"/>
              <w:rPr>
                <w:rFonts w:eastAsia="Times New Roman" w:cs="Arial"/>
                <w:color w:val="000000"/>
                <w:sz w:val="20"/>
                <w:szCs w:val="20"/>
                <w:highlight w:val="yellow"/>
                <w:lang w:eastAsia="en-AU"/>
              </w:rPr>
            </w:pPr>
            <w:r>
              <w:rPr>
                <w:rFonts w:cs="Arial"/>
                <w:color w:val="000000" w:themeColor="text1"/>
                <w:sz w:val="20"/>
                <w:szCs w:val="20"/>
              </w:rPr>
              <w:t>190,</w:t>
            </w:r>
            <w:r w:rsidR="00F83BA5">
              <w:rPr>
                <w:rFonts w:cs="Arial"/>
                <w:color w:val="000000" w:themeColor="text1"/>
                <w:sz w:val="20"/>
                <w:szCs w:val="20"/>
              </w:rPr>
              <w:t>515</w:t>
            </w:r>
          </w:p>
        </w:tc>
        <w:tc>
          <w:tcPr>
            <w:tcW w:w="826" w:type="pct"/>
            <w:tcBorders>
              <w:top w:val="nil"/>
              <w:left w:val="nil"/>
              <w:bottom w:val="single" w:sz="4" w:space="0" w:color="auto"/>
              <w:right w:val="nil"/>
            </w:tcBorders>
            <w:vAlign w:val="center"/>
          </w:tcPr>
          <w:p w14:paraId="60611DC8" w14:textId="77777777" w:rsidR="008D0DAB" w:rsidRPr="00C54994" w:rsidRDefault="008D0DAB" w:rsidP="009B7B2A">
            <w:pPr>
              <w:spacing w:after="0" w:line="240" w:lineRule="auto"/>
              <w:jc w:val="right"/>
              <w:rPr>
                <w:rFonts w:eastAsia="Times New Roman" w:cs="Arial"/>
                <w:color w:val="000000"/>
                <w:sz w:val="20"/>
                <w:szCs w:val="20"/>
                <w:lang w:eastAsia="en-AU"/>
              </w:rPr>
            </w:pPr>
            <w:r>
              <w:rPr>
                <w:rFonts w:cs="Arial"/>
                <w:color w:val="000000" w:themeColor="text1"/>
                <w:sz w:val="20"/>
                <w:szCs w:val="20"/>
              </w:rPr>
              <w:t>64,913</w:t>
            </w:r>
          </w:p>
        </w:tc>
      </w:tr>
      <w:tr w:rsidR="008D0DAB" w:rsidRPr="00CA725E" w14:paraId="55E26BE4" w14:textId="77777777" w:rsidTr="413EB596">
        <w:trPr>
          <w:trHeight w:val="300"/>
        </w:trPr>
        <w:tc>
          <w:tcPr>
            <w:tcW w:w="3330" w:type="pct"/>
            <w:tcBorders>
              <w:top w:val="nil"/>
              <w:left w:val="nil"/>
              <w:bottom w:val="nil"/>
              <w:right w:val="nil"/>
            </w:tcBorders>
            <w:vAlign w:val="center"/>
            <w:hideMark/>
          </w:tcPr>
          <w:p w14:paraId="573240E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assets</w:t>
            </w:r>
          </w:p>
        </w:tc>
        <w:tc>
          <w:tcPr>
            <w:tcW w:w="844" w:type="pct"/>
            <w:tcBorders>
              <w:top w:val="nil"/>
              <w:left w:val="nil"/>
              <w:bottom w:val="single" w:sz="4" w:space="0" w:color="auto"/>
              <w:right w:val="nil"/>
            </w:tcBorders>
            <w:vAlign w:val="center"/>
          </w:tcPr>
          <w:p w14:paraId="3DF161EB" w14:textId="0DC234ED" w:rsidR="008D0DAB" w:rsidRPr="00C1358F" w:rsidRDefault="008D0DAB" w:rsidP="009B7B2A">
            <w:pPr>
              <w:spacing w:after="0" w:line="240" w:lineRule="auto"/>
              <w:jc w:val="right"/>
              <w:rPr>
                <w:rFonts w:eastAsia="Times New Roman" w:cs="Arial"/>
                <w:b/>
                <w:bCs/>
                <w:color w:val="000000"/>
                <w:sz w:val="20"/>
                <w:szCs w:val="20"/>
                <w:highlight w:val="yellow"/>
                <w:lang w:eastAsia="en-AU"/>
              </w:rPr>
            </w:pPr>
            <w:r>
              <w:rPr>
                <w:rFonts w:cs="Arial"/>
                <w:b/>
                <w:bCs/>
                <w:color w:val="000000" w:themeColor="text1"/>
                <w:sz w:val="20"/>
                <w:szCs w:val="20"/>
              </w:rPr>
              <w:t>190,</w:t>
            </w:r>
            <w:r w:rsidR="005C3AAF">
              <w:rPr>
                <w:rFonts w:cs="Arial"/>
                <w:b/>
                <w:bCs/>
                <w:color w:val="000000" w:themeColor="text1"/>
                <w:sz w:val="20"/>
                <w:szCs w:val="20"/>
              </w:rPr>
              <w:t>524</w:t>
            </w:r>
          </w:p>
        </w:tc>
        <w:tc>
          <w:tcPr>
            <w:tcW w:w="826" w:type="pct"/>
            <w:tcBorders>
              <w:top w:val="nil"/>
              <w:left w:val="nil"/>
              <w:bottom w:val="single" w:sz="4" w:space="0" w:color="auto"/>
              <w:right w:val="nil"/>
            </w:tcBorders>
            <w:vAlign w:val="center"/>
          </w:tcPr>
          <w:p w14:paraId="70465972" w14:textId="77777777" w:rsidR="008D0DAB" w:rsidRPr="00F65403" w:rsidRDefault="008D0DAB" w:rsidP="009B7B2A">
            <w:pPr>
              <w:spacing w:after="0" w:line="240" w:lineRule="auto"/>
              <w:jc w:val="right"/>
              <w:rPr>
                <w:rFonts w:eastAsia="Times New Roman" w:cs="Arial"/>
                <w:b/>
                <w:bCs/>
                <w:color w:val="000000"/>
                <w:sz w:val="20"/>
                <w:szCs w:val="20"/>
                <w:lang w:eastAsia="en-AU"/>
              </w:rPr>
            </w:pPr>
            <w:r>
              <w:rPr>
                <w:rFonts w:cs="Arial"/>
                <w:b/>
                <w:bCs/>
                <w:color w:val="000000" w:themeColor="text1"/>
                <w:sz w:val="20"/>
                <w:szCs w:val="20"/>
              </w:rPr>
              <w:t>64,913</w:t>
            </w:r>
          </w:p>
        </w:tc>
      </w:tr>
      <w:tr w:rsidR="008D0DAB" w:rsidRPr="00CA725E" w14:paraId="3A8138F7" w14:textId="77777777" w:rsidTr="413EB596">
        <w:tc>
          <w:tcPr>
            <w:tcW w:w="3330" w:type="pct"/>
            <w:tcBorders>
              <w:top w:val="nil"/>
              <w:left w:val="nil"/>
              <w:bottom w:val="nil"/>
              <w:right w:val="nil"/>
            </w:tcBorders>
            <w:vAlign w:val="center"/>
            <w:hideMark/>
          </w:tcPr>
          <w:p w14:paraId="6A51DEDF"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Current liabilities</w:t>
            </w:r>
          </w:p>
        </w:tc>
        <w:tc>
          <w:tcPr>
            <w:tcW w:w="844" w:type="pct"/>
            <w:tcBorders>
              <w:top w:val="nil"/>
              <w:left w:val="nil"/>
              <w:bottom w:val="nil"/>
              <w:right w:val="nil"/>
            </w:tcBorders>
            <w:vAlign w:val="center"/>
            <w:hideMark/>
          </w:tcPr>
          <w:p w14:paraId="61DFF111" w14:textId="0DCCFA85" w:rsidR="008D0DAB" w:rsidRPr="00C54994" w:rsidRDefault="009339EB" w:rsidP="009B7B2A">
            <w:pPr>
              <w:spacing w:after="0" w:line="240" w:lineRule="auto"/>
              <w:jc w:val="right"/>
              <w:rPr>
                <w:rFonts w:eastAsia="Times New Roman" w:cs="Arial"/>
                <w:color w:val="000000"/>
                <w:sz w:val="20"/>
                <w:szCs w:val="20"/>
                <w:lang w:eastAsia="en-AU"/>
              </w:rPr>
            </w:pPr>
            <w:r>
              <w:rPr>
                <w:rFonts w:eastAsia="Times New Roman" w:cs="Arial"/>
                <w:color w:val="000000" w:themeColor="text1"/>
                <w:sz w:val="20"/>
                <w:szCs w:val="20"/>
                <w:lang w:eastAsia="en-AU"/>
              </w:rPr>
              <w:t>6</w:t>
            </w:r>
            <w:r w:rsidR="008D0DAB">
              <w:rPr>
                <w:rFonts w:eastAsia="Times New Roman" w:cs="Arial"/>
                <w:color w:val="000000" w:themeColor="text1"/>
                <w:sz w:val="20"/>
                <w:szCs w:val="20"/>
                <w:lang w:eastAsia="en-AU"/>
              </w:rPr>
              <w:t>,033</w:t>
            </w:r>
          </w:p>
        </w:tc>
        <w:tc>
          <w:tcPr>
            <w:tcW w:w="826" w:type="pct"/>
            <w:tcBorders>
              <w:top w:val="nil"/>
              <w:left w:val="nil"/>
              <w:bottom w:val="nil"/>
              <w:right w:val="nil"/>
            </w:tcBorders>
            <w:vAlign w:val="center"/>
            <w:hideMark/>
          </w:tcPr>
          <w:p w14:paraId="67301422"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73,125</w:t>
            </w:r>
          </w:p>
        </w:tc>
      </w:tr>
      <w:tr w:rsidR="008D0DAB" w:rsidRPr="00CA725E" w14:paraId="4C7E646E" w14:textId="77777777" w:rsidTr="413EB596">
        <w:tc>
          <w:tcPr>
            <w:tcW w:w="3330" w:type="pct"/>
            <w:tcBorders>
              <w:top w:val="nil"/>
              <w:left w:val="nil"/>
              <w:bottom w:val="nil"/>
              <w:right w:val="nil"/>
            </w:tcBorders>
            <w:vAlign w:val="center"/>
            <w:hideMark/>
          </w:tcPr>
          <w:p w14:paraId="0A7322B1"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Non-current liabilities</w:t>
            </w:r>
          </w:p>
        </w:tc>
        <w:tc>
          <w:tcPr>
            <w:tcW w:w="844" w:type="pct"/>
            <w:tcBorders>
              <w:top w:val="nil"/>
              <w:left w:val="nil"/>
              <w:bottom w:val="nil"/>
              <w:right w:val="nil"/>
            </w:tcBorders>
            <w:vAlign w:val="center"/>
            <w:hideMark/>
          </w:tcPr>
          <w:p w14:paraId="7E06944C" w14:textId="0BB36722" w:rsidR="008D0DAB" w:rsidRPr="00C54994" w:rsidRDefault="009339EB" w:rsidP="009B7B2A">
            <w:pPr>
              <w:spacing w:after="0" w:line="240" w:lineRule="auto"/>
              <w:jc w:val="right"/>
              <w:rPr>
                <w:rFonts w:eastAsia="Times New Roman" w:cs="Arial"/>
                <w:color w:val="000000"/>
                <w:sz w:val="20"/>
                <w:szCs w:val="20"/>
                <w:lang w:eastAsia="en-AU"/>
              </w:rPr>
            </w:pPr>
            <w:r>
              <w:rPr>
                <w:rFonts w:eastAsia="Times New Roman" w:cs="Arial"/>
                <w:color w:val="000000" w:themeColor="text1"/>
                <w:sz w:val="20"/>
                <w:szCs w:val="20"/>
                <w:lang w:eastAsia="en-AU"/>
              </w:rPr>
              <w:t>200</w:t>
            </w:r>
            <w:r w:rsidR="008D0DAB" w:rsidRPr="413EB596">
              <w:rPr>
                <w:rFonts w:eastAsia="Times New Roman" w:cs="Arial"/>
                <w:color w:val="000000" w:themeColor="text1"/>
                <w:sz w:val="20"/>
                <w:szCs w:val="20"/>
                <w:lang w:eastAsia="en-AU"/>
              </w:rPr>
              <w:t>,</w:t>
            </w:r>
            <w:r w:rsidR="005C3AAF" w:rsidRPr="413EB596">
              <w:rPr>
                <w:rFonts w:eastAsia="Times New Roman" w:cs="Arial"/>
                <w:color w:val="000000" w:themeColor="text1"/>
                <w:sz w:val="20"/>
                <w:szCs w:val="20"/>
                <w:lang w:eastAsia="en-AU"/>
              </w:rPr>
              <w:t>4</w:t>
            </w:r>
            <w:r w:rsidR="005C3AAF">
              <w:rPr>
                <w:rFonts w:eastAsia="Times New Roman" w:cs="Arial"/>
                <w:color w:val="000000" w:themeColor="text1"/>
                <w:sz w:val="20"/>
                <w:szCs w:val="20"/>
                <w:lang w:eastAsia="en-AU"/>
              </w:rPr>
              <w:t>75</w:t>
            </w:r>
          </w:p>
        </w:tc>
        <w:tc>
          <w:tcPr>
            <w:tcW w:w="826" w:type="pct"/>
            <w:tcBorders>
              <w:top w:val="nil"/>
              <w:left w:val="nil"/>
              <w:bottom w:val="nil"/>
              <w:right w:val="nil"/>
            </w:tcBorders>
            <w:vAlign w:val="center"/>
            <w:hideMark/>
          </w:tcPr>
          <w:p w14:paraId="5D742A0F"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CA725E" w14:paraId="111E3F22" w14:textId="77777777" w:rsidTr="413EB596">
        <w:tc>
          <w:tcPr>
            <w:tcW w:w="3330" w:type="pct"/>
            <w:tcBorders>
              <w:top w:val="nil"/>
              <w:left w:val="nil"/>
              <w:bottom w:val="nil"/>
              <w:right w:val="nil"/>
            </w:tcBorders>
            <w:vAlign w:val="center"/>
            <w:hideMark/>
          </w:tcPr>
          <w:p w14:paraId="27DFA7C7"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liabilities</w:t>
            </w:r>
          </w:p>
        </w:tc>
        <w:tc>
          <w:tcPr>
            <w:tcW w:w="844" w:type="pct"/>
            <w:tcBorders>
              <w:top w:val="single" w:sz="4" w:space="0" w:color="auto"/>
              <w:left w:val="nil"/>
              <w:bottom w:val="single" w:sz="4" w:space="0" w:color="auto"/>
              <w:right w:val="nil"/>
            </w:tcBorders>
            <w:vAlign w:val="center"/>
            <w:hideMark/>
          </w:tcPr>
          <w:p w14:paraId="4A3452A3" w14:textId="1DA42898" w:rsidR="008D0DAB" w:rsidRPr="00C54994"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206,</w:t>
            </w:r>
            <w:r w:rsidR="005C3AAF" w:rsidRPr="413EB596">
              <w:rPr>
                <w:rFonts w:eastAsia="Times New Roman" w:cs="Arial"/>
                <w:b/>
                <w:bCs/>
                <w:color w:val="000000" w:themeColor="text1"/>
                <w:sz w:val="20"/>
                <w:szCs w:val="20"/>
                <w:lang w:eastAsia="en-AU"/>
              </w:rPr>
              <w:t>5</w:t>
            </w:r>
            <w:r w:rsidR="005C3AAF">
              <w:rPr>
                <w:rFonts w:eastAsia="Times New Roman" w:cs="Arial"/>
                <w:b/>
                <w:bCs/>
                <w:color w:val="000000" w:themeColor="text1"/>
                <w:sz w:val="20"/>
                <w:szCs w:val="20"/>
                <w:lang w:eastAsia="en-AU"/>
              </w:rPr>
              <w:t>08</w:t>
            </w:r>
          </w:p>
        </w:tc>
        <w:tc>
          <w:tcPr>
            <w:tcW w:w="826" w:type="pct"/>
            <w:tcBorders>
              <w:top w:val="single" w:sz="4" w:space="0" w:color="auto"/>
              <w:left w:val="nil"/>
              <w:bottom w:val="single" w:sz="4" w:space="0" w:color="auto"/>
              <w:right w:val="nil"/>
            </w:tcBorders>
            <w:vAlign w:val="center"/>
            <w:hideMark/>
          </w:tcPr>
          <w:p w14:paraId="54530CC8" w14:textId="77777777" w:rsidR="008D0DAB" w:rsidRPr="00F65403" w:rsidRDefault="008D0DAB" w:rsidP="009B7B2A">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73,125</w:t>
            </w:r>
          </w:p>
        </w:tc>
      </w:tr>
      <w:tr w:rsidR="008D0DAB" w:rsidRPr="00CA725E" w14:paraId="7588214C" w14:textId="77777777" w:rsidTr="413EB596">
        <w:tc>
          <w:tcPr>
            <w:tcW w:w="3330" w:type="pct"/>
            <w:tcBorders>
              <w:top w:val="nil"/>
              <w:left w:val="nil"/>
              <w:bottom w:val="nil"/>
              <w:right w:val="nil"/>
            </w:tcBorders>
            <w:vAlign w:val="center"/>
            <w:hideMark/>
          </w:tcPr>
          <w:p w14:paraId="5068B319" w14:textId="7C883A45"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Net </w:t>
            </w:r>
            <w:r w:rsidR="00675FA9">
              <w:rPr>
                <w:rFonts w:eastAsia="Times New Roman" w:cs="Arial"/>
                <w:b/>
                <w:color w:val="000000"/>
                <w:sz w:val="20"/>
                <w:szCs w:val="20"/>
                <w:lang w:eastAsia="en-AU"/>
              </w:rPr>
              <w:t>liabilities</w:t>
            </w:r>
          </w:p>
        </w:tc>
        <w:tc>
          <w:tcPr>
            <w:tcW w:w="844" w:type="pct"/>
            <w:tcBorders>
              <w:top w:val="nil"/>
              <w:left w:val="nil"/>
              <w:bottom w:val="single" w:sz="4" w:space="0" w:color="auto"/>
              <w:right w:val="nil"/>
            </w:tcBorders>
            <w:vAlign w:val="center"/>
            <w:hideMark/>
          </w:tcPr>
          <w:p w14:paraId="5BABA551" w14:textId="0CFF1C68" w:rsidR="008D0DAB" w:rsidRPr="00C54994"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w:t>
            </w:r>
            <w:r w:rsidR="005C3AAF">
              <w:rPr>
                <w:rFonts w:eastAsia="Times New Roman" w:cs="Arial"/>
                <w:b/>
                <w:bCs/>
                <w:color w:val="000000" w:themeColor="text1"/>
                <w:sz w:val="20"/>
                <w:szCs w:val="20"/>
                <w:lang w:eastAsia="en-AU"/>
              </w:rPr>
              <w:t>5,984</w:t>
            </w:r>
            <w:r w:rsidRPr="413EB596">
              <w:rPr>
                <w:rFonts w:eastAsia="Times New Roman" w:cs="Arial"/>
                <w:b/>
                <w:bCs/>
                <w:color w:val="000000" w:themeColor="text1"/>
                <w:sz w:val="20"/>
                <w:szCs w:val="20"/>
                <w:lang w:eastAsia="en-AU"/>
              </w:rPr>
              <w:t>)</w:t>
            </w:r>
          </w:p>
        </w:tc>
        <w:tc>
          <w:tcPr>
            <w:tcW w:w="826" w:type="pct"/>
            <w:tcBorders>
              <w:top w:val="nil"/>
              <w:left w:val="nil"/>
              <w:bottom w:val="single" w:sz="4" w:space="0" w:color="auto"/>
              <w:right w:val="nil"/>
            </w:tcBorders>
            <w:vAlign w:val="center"/>
            <w:hideMark/>
          </w:tcPr>
          <w:p w14:paraId="62F1E918" w14:textId="77777777" w:rsidR="008D0DAB" w:rsidRPr="00F65403" w:rsidRDefault="008D0DAB" w:rsidP="009B7B2A">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(8,212)</w:t>
            </w:r>
          </w:p>
        </w:tc>
      </w:tr>
      <w:tr w:rsidR="008D0DAB" w:rsidRPr="00CA725E" w14:paraId="54F7887E" w14:textId="77777777" w:rsidTr="413EB596">
        <w:tc>
          <w:tcPr>
            <w:tcW w:w="3330" w:type="pct"/>
            <w:tcBorders>
              <w:top w:val="nil"/>
              <w:left w:val="nil"/>
              <w:bottom w:val="nil"/>
              <w:right w:val="nil"/>
            </w:tcBorders>
            <w:vAlign w:val="center"/>
            <w:hideMark/>
          </w:tcPr>
          <w:p w14:paraId="027249D0"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844" w:type="pct"/>
            <w:tcBorders>
              <w:top w:val="nil"/>
              <w:left w:val="nil"/>
              <w:bottom w:val="nil"/>
              <w:right w:val="nil"/>
            </w:tcBorders>
            <w:vAlign w:val="center"/>
            <w:hideMark/>
          </w:tcPr>
          <w:p w14:paraId="758664EF" w14:textId="77777777" w:rsidR="008D0DAB" w:rsidRPr="00C54994" w:rsidRDefault="008D0DAB" w:rsidP="009B7B2A">
            <w:pPr>
              <w:spacing w:after="0" w:line="240" w:lineRule="auto"/>
              <w:rPr>
                <w:rFonts w:eastAsia="Times New Roman" w:cs="Arial"/>
                <w:sz w:val="20"/>
                <w:szCs w:val="20"/>
                <w:lang w:eastAsia="en-AU"/>
              </w:rPr>
            </w:pPr>
          </w:p>
        </w:tc>
        <w:tc>
          <w:tcPr>
            <w:tcW w:w="826" w:type="pct"/>
            <w:tcBorders>
              <w:top w:val="nil"/>
              <w:left w:val="nil"/>
              <w:bottom w:val="nil"/>
              <w:right w:val="nil"/>
            </w:tcBorders>
            <w:vAlign w:val="center"/>
            <w:hideMark/>
          </w:tcPr>
          <w:p w14:paraId="3FDB23C1" w14:textId="77777777" w:rsidR="008D0DAB" w:rsidRPr="00F65403" w:rsidRDefault="008D0DAB" w:rsidP="009B7B2A">
            <w:pPr>
              <w:spacing w:after="0" w:line="240" w:lineRule="auto"/>
              <w:jc w:val="right"/>
              <w:rPr>
                <w:rFonts w:eastAsia="Times New Roman" w:cs="Arial"/>
                <w:sz w:val="20"/>
                <w:szCs w:val="20"/>
                <w:lang w:eastAsia="en-AU"/>
              </w:rPr>
            </w:pPr>
          </w:p>
        </w:tc>
      </w:tr>
      <w:tr w:rsidR="008D0DAB" w:rsidRPr="00CA725E" w14:paraId="06E90CBB" w14:textId="77777777" w:rsidTr="413EB596">
        <w:tc>
          <w:tcPr>
            <w:tcW w:w="3330" w:type="pct"/>
            <w:tcBorders>
              <w:top w:val="nil"/>
              <w:left w:val="nil"/>
              <w:bottom w:val="nil"/>
              <w:right w:val="nil"/>
            </w:tcBorders>
            <w:vAlign w:val="center"/>
            <w:hideMark/>
          </w:tcPr>
          <w:p w14:paraId="373C1A66"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Reserves</w:t>
            </w:r>
          </w:p>
        </w:tc>
        <w:tc>
          <w:tcPr>
            <w:tcW w:w="844" w:type="pct"/>
            <w:tcBorders>
              <w:top w:val="nil"/>
              <w:left w:val="nil"/>
              <w:bottom w:val="nil"/>
              <w:right w:val="nil"/>
            </w:tcBorders>
            <w:vAlign w:val="center"/>
            <w:hideMark/>
          </w:tcPr>
          <w:p w14:paraId="17CD7F9E" w14:textId="77777777" w:rsidR="008D0DAB" w:rsidRPr="00C54994"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(2,753)</w:t>
            </w:r>
            <w:r w:rsidRPr="00C54994">
              <w:rPr>
                <w:rFonts w:eastAsia="Times New Roman" w:cs="Arial"/>
                <w:color w:val="000000"/>
                <w:sz w:val="20"/>
                <w:szCs w:val="20"/>
                <w:lang w:eastAsia="en-AU"/>
              </w:rPr>
              <w:t xml:space="preserve">   </w:t>
            </w:r>
          </w:p>
        </w:tc>
        <w:tc>
          <w:tcPr>
            <w:tcW w:w="826" w:type="pct"/>
            <w:tcBorders>
              <w:top w:val="nil"/>
              <w:left w:val="nil"/>
              <w:bottom w:val="nil"/>
              <w:right w:val="nil"/>
            </w:tcBorders>
            <w:vAlign w:val="center"/>
            <w:hideMark/>
          </w:tcPr>
          <w:p w14:paraId="41A58B98"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(2,773)</w:t>
            </w:r>
          </w:p>
        </w:tc>
      </w:tr>
      <w:tr w:rsidR="008D0DAB" w:rsidRPr="00CA725E" w14:paraId="53D476E4" w14:textId="77777777" w:rsidTr="413EB596">
        <w:tc>
          <w:tcPr>
            <w:tcW w:w="3330" w:type="pct"/>
            <w:tcBorders>
              <w:top w:val="nil"/>
              <w:left w:val="nil"/>
              <w:bottom w:val="nil"/>
              <w:right w:val="nil"/>
            </w:tcBorders>
            <w:vAlign w:val="center"/>
            <w:hideMark/>
          </w:tcPr>
          <w:p w14:paraId="359A127D" w14:textId="11306EBE" w:rsidR="008D0DAB" w:rsidRPr="00F65403" w:rsidRDefault="009339E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Accumulated losses</w:t>
            </w:r>
          </w:p>
        </w:tc>
        <w:tc>
          <w:tcPr>
            <w:tcW w:w="844" w:type="pct"/>
            <w:tcBorders>
              <w:top w:val="nil"/>
              <w:left w:val="nil"/>
              <w:bottom w:val="nil"/>
              <w:right w:val="nil"/>
            </w:tcBorders>
            <w:noWrap/>
            <w:vAlign w:val="bottom"/>
            <w:hideMark/>
          </w:tcPr>
          <w:p w14:paraId="72C413DB" w14:textId="31F16D04" w:rsidR="008D0DAB" w:rsidRPr="00C54994" w:rsidRDefault="008D0DAB" w:rsidP="009B7B2A">
            <w:pPr>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(13,</w:t>
            </w:r>
            <w:r w:rsidR="005C3AAF" w:rsidRPr="413EB596">
              <w:rPr>
                <w:rFonts w:eastAsia="Times New Roman" w:cs="Arial"/>
                <w:color w:val="000000" w:themeColor="text1"/>
                <w:sz w:val="20"/>
                <w:szCs w:val="20"/>
                <w:lang w:eastAsia="en-AU"/>
              </w:rPr>
              <w:t>2</w:t>
            </w:r>
            <w:r w:rsidR="005C3AAF">
              <w:rPr>
                <w:rFonts w:eastAsia="Times New Roman" w:cs="Arial"/>
                <w:color w:val="000000" w:themeColor="text1"/>
                <w:sz w:val="20"/>
                <w:szCs w:val="20"/>
                <w:lang w:eastAsia="en-AU"/>
              </w:rPr>
              <w:t>31</w:t>
            </w:r>
            <w:r w:rsidRPr="413EB596">
              <w:rPr>
                <w:rFonts w:eastAsia="Times New Roman" w:cs="Arial"/>
                <w:color w:val="000000" w:themeColor="text1"/>
                <w:sz w:val="20"/>
                <w:szCs w:val="20"/>
                <w:lang w:eastAsia="en-AU"/>
              </w:rPr>
              <w:t>)</w:t>
            </w:r>
          </w:p>
        </w:tc>
        <w:tc>
          <w:tcPr>
            <w:tcW w:w="826" w:type="pct"/>
            <w:tcBorders>
              <w:top w:val="nil"/>
              <w:left w:val="nil"/>
              <w:bottom w:val="nil"/>
              <w:right w:val="nil"/>
            </w:tcBorders>
            <w:noWrap/>
            <w:vAlign w:val="bottom"/>
            <w:hideMark/>
          </w:tcPr>
          <w:p w14:paraId="673ABF94"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w:t>
            </w:r>
            <w:r>
              <w:rPr>
                <w:rFonts w:eastAsia="Times New Roman" w:cs="Arial"/>
                <w:color w:val="000000"/>
                <w:sz w:val="20"/>
                <w:szCs w:val="20"/>
                <w:lang w:eastAsia="en-AU"/>
              </w:rPr>
              <w:t>5,439</w:t>
            </w:r>
            <w:r w:rsidRPr="00F65403">
              <w:rPr>
                <w:rFonts w:eastAsia="Times New Roman" w:cs="Arial"/>
                <w:color w:val="000000"/>
                <w:sz w:val="20"/>
                <w:szCs w:val="20"/>
                <w:lang w:eastAsia="en-AU"/>
              </w:rPr>
              <w:t>)</w:t>
            </w:r>
          </w:p>
        </w:tc>
      </w:tr>
      <w:tr w:rsidR="008D0DAB" w:rsidRPr="00CA725E" w14:paraId="6F8DACC1" w14:textId="77777777" w:rsidTr="413EB596">
        <w:tc>
          <w:tcPr>
            <w:tcW w:w="3330" w:type="pct"/>
            <w:tcBorders>
              <w:top w:val="nil"/>
              <w:left w:val="nil"/>
              <w:bottom w:val="nil"/>
              <w:right w:val="nil"/>
            </w:tcBorders>
            <w:vAlign w:val="center"/>
            <w:hideMark/>
          </w:tcPr>
          <w:p w14:paraId="18E1F8C6"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equity</w:t>
            </w:r>
          </w:p>
        </w:tc>
        <w:tc>
          <w:tcPr>
            <w:tcW w:w="844" w:type="pct"/>
            <w:tcBorders>
              <w:top w:val="single" w:sz="4" w:space="0" w:color="auto"/>
              <w:left w:val="nil"/>
              <w:bottom w:val="single" w:sz="4" w:space="0" w:color="auto"/>
              <w:right w:val="nil"/>
            </w:tcBorders>
            <w:vAlign w:val="center"/>
            <w:hideMark/>
          </w:tcPr>
          <w:p w14:paraId="301185A5" w14:textId="461B9F96" w:rsidR="008D0DAB" w:rsidRPr="00C54994" w:rsidRDefault="005C3AAF"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w:t>
            </w:r>
            <w:r>
              <w:rPr>
                <w:rFonts w:eastAsia="Times New Roman" w:cs="Arial"/>
                <w:b/>
                <w:bCs/>
                <w:color w:val="000000" w:themeColor="text1"/>
                <w:sz w:val="20"/>
                <w:szCs w:val="20"/>
                <w:lang w:eastAsia="en-AU"/>
              </w:rPr>
              <w:t>5,984</w:t>
            </w:r>
            <w:r w:rsidRPr="413EB596">
              <w:rPr>
                <w:rFonts w:eastAsia="Times New Roman" w:cs="Arial"/>
                <w:b/>
                <w:bCs/>
                <w:color w:val="000000" w:themeColor="text1"/>
                <w:sz w:val="20"/>
                <w:szCs w:val="20"/>
                <w:lang w:eastAsia="en-AU"/>
              </w:rPr>
              <w:t>)</w:t>
            </w:r>
          </w:p>
        </w:tc>
        <w:tc>
          <w:tcPr>
            <w:tcW w:w="826" w:type="pct"/>
            <w:tcBorders>
              <w:top w:val="single" w:sz="4" w:space="0" w:color="auto"/>
              <w:left w:val="nil"/>
              <w:bottom w:val="single" w:sz="4" w:space="0" w:color="auto"/>
              <w:right w:val="nil"/>
            </w:tcBorders>
            <w:vAlign w:val="center"/>
            <w:hideMark/>
          </w:tcPr>
          <w:p w14:paraId="2B40C9E2" w14:textId="77777777" w:rsidR="008D0DAB" w:rsidRPr="00F65403" w:rsidRDefault="008D0DAB" w:rsidP="009B7B2A">
            <w:pPr>
              <w:spacing w:after="0" w:line="240" w:lineRule="auto"/>
              <w:jc w:val="right"/>
              <w:rPr>
                <w:rFonts w:eastAsia="Times New Roman" w:cs="Arial"/>
                <w:b/>
                <w:bCs/>
                <w:color w:val="000000"/>
                <w:sz w:val="20"/>
                <w:szCs w:val="20"/>
                <w:lang w:eastAsia="en-AU"/>
              </w:rPr>
            </w:pPr>
            <w:r>
              <w:rPr>
                <w:rFonts w:eastAsia="Times New Roman" w:cs="Arial"/>
                <w:b/>
                <w:bCs/>
                <w:color w:val="000000" w:themeColor="text1"/>
                <w:sz w:val="20"/>
                <w:szCs w:val="20"/>
                <w:lang w:eastAsia="en-AU"/>
              </w:rPr>
              <w:t>(8,212)</w:t>
            </w:r>
          </w:p>
        </w:tc>
      </w:tr>
    </w:tbl>
    <w:p w14:paraId="29295729" w14:textId="77777777" w:rsidR="008D0DAB" w:rsidRPr="00F65403" w:rsidRDefault="008D0DAB" w:rsidP="008D0DAB"/>
    <w:tbl>
      <w:tblPr>
        <w:tblW w:w="5000" w:type="pct"/>
        <w:tblLayout w:type="fixed"/>
        <w:tblCellMar>
          <w:top w:w="28" w:type="dxa"/>
          <w:left w:w="28" w:type="dxa"/>
          <w:bottom w:w="28" w:type="dxa"/>
          <w:right w:w="28" w:type="dxa"/>
        </w:tblCellMar>
        <w:tblLook w:val="04A0" w:firstRow="1" w:lastRow="0" w:firstColumn="1" w:lastColumn="0" w:noHBand="0" w:noVBand="1"/>
      </w:tblPr>
      <w:tblGrid>
        <w:gridCol w:w="6242"/>
        <w:gridCol w:w="1392"/>
        <w:gridCol w:w="1392"/>
      </w:tblGrid>
      <w:tr w:rsidR="008D0DAB" w:rsidRPr="00F65403" w14:paraId="477308CF" w14:textId="77777777" w:rsidTr="413EB596">
        <w:tc>
          <w:tcPr>
            <w:tcW w:w="3458" w:type="pct"/>
            <w:tcBorders>
              <w:top w:val="nil"/>
              <w:left w:val="nil"/>
              <w:bottom w:val="nil"/>
              <w:right w:val="nil"/>
            </w:tcBorders>
            <w:noWrap/>
            <w:vAlign w:val="bottom"/>
          </w:tcPr>
          <w:p w14:paraId="32017ADD"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tcPr>
          <w:p w14:paraId="7DD3483F" w14:textId="77777777" w:rsidR="008D0DAB" w:rsidRPr="00F65403" w:rsidRDefault="008D0DAB" w:rsidP="009B7B2A">
            <w:pPr>
              <w:spacing w:after="0" w:line="240" w:lineRule="auto"/>
              <w:jc w:val="center"/>
              <w:rPr>
                <w:rFonts w:eastAsia="Times New Roman" w:cs="Arial"/>
                <w:sz w:val="20"/>
                <w:szCs w:val="20"/>
                <w:lang w:eastAsia="en-AU"/>
              </w:rPr>
            </w:pPr>
            <w:r w:rsidRPr="00F65403">
              <w:rPr>
                <w:rFonts w:eastAsia="Times New Roman" w:cs="Arial"/>
                <w:b/>
                <w:color w:val="000000"/>
                <w:sz w:val="20"/>
                <w:szCs w:val="20"/>
                <w:lang w:eastAsia="en-AU"/>
              </w:rPr>
              <w:t>Year ended 30 June 2025</w:t>
            </w:r>
          </w:p>
        </w:tc>
        <w:tc>
          <w:tcPr>
            <w:tcW w:w="771" w:type="pct"/>
            <w:tcBorders>
              <w:top w:val="nil"/>
              <w:left w:val="nil"/>
              <w:bottom w:val="nil"/>
              <w:right w:val="nil"/>
            </w:tcBorders>
            <w:noWrap/>
            <w:vAlign w:val="center"/>
          </w:tcPr>
          <w:p w14:paraId="2D87A288" w14:textId="0A15244D" w:rsidR="008D0DAB" w:rsidRPr="00F65403" w:rsidRDefault="008C4543" w:rsidP="009B7B2A">
            <w:pPr>
              <w:spacing w:after="0" w:line="240" w:lineRule="auto"/>
              <w:jc w:val="center"/>
              <w:rPr>
                <w:rFonts w:eastAsia="Times New Roman" w:cs="Arial"/>
                <w:sz w:val="20"/>
                <w:szCs w:val="20"/>
                <w:lang w:eastAsia="en-AU"/>
              </w:rPr>
            </w:pPr>
            <w:r>
              <w:rPr>
                <w:rFonts w:eastAsia="Times New Roman" w:cs="Arial"/>
                <w:b/>
                <w:color w:val="000000"/>
                <w:sz w:val="20"/>
                <w:szCs w:val="20"/>
                <w:lang w:eastAsia="en-AU"/>
              </w:rPr>
              <w:t>26 October</w:t>
            </w:r>
            <w:r w:rsidR="008D0DAB" w:rsidRPr="00F65403">
              <w:rPr>
                <w:rFonts w:eastAsia="Times New Roman" w:cs="Arial"/>
                <w:b/>
                <w:color w:val="000000"/>
                <w:sz w:val="20"/>
                <w:szCs w:val="20"/>
                <w:lang w:eastAsia="en-AU"/>
              </w:rPr>
              <w:t xml:space="preserve"> 2023 to 30 June 2024</w:t>
            </w:r>
          </w:p>
        </w:tc>
      </w:tr>
      <w:tr w:rsidR="008D0DAB" w:rsidRPr="00CA725E" w14:paraId="25E95908" w14:textId="77777777" w:rsidTr="413EB596">
        <w:tc>
          <w:tcPr>
            <w:tcW w:w="3458" w:type="pct"/>
            <w:tcBorders>
              <w:top w:val="nil"/>
              <w:left w:val="nil"/>
              <w:bottom w:val="nil"/>
              <w:right w:val="nil"/>
            </w:tcBorders>
            <w:noWrap/>
            <w:vAlign w:val="bottom"/>
            <w:hideMark/>
          </w:tcPr>
          <w:p w14:paraId="2325B907"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71" w:type="pct"/>
            <w:tcBorders>
              <w:top w:val="nil"/>
              <w:left w:val="nil"/>
              <w:bottom w:val="nil"/>
              <w:right w:val="nil"/>
            </w:tcBorders>
            <w:noWrap/>
            <w:vAlign w:val="center"/>
            <w:hideMark/>
          </w:tcPr>
          <w:p w14:paraId="7938147C" w14:textId="77777777" w:rsidR="008D0DAB" w:rsidRPr="00F65403" w:rsidRDefault="008D0DAB" w:rsidP="009B7B2A">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$000's</w:t>
            </w:r>
          </w:p>
        </w:tc>
        <w:tc>
          <w:tcPr>
            <w:tcW w:w="771" w:type="pct"/>
            <w:tcBorders>
              <w:top w:val="nil"/>
              <w:left w:val="nil"/>
              <w:bottom w:val="nil"/>
              <w:right w:val="nil"/>
            </w:tcBorders>
            <w:noWrap/>
            <w:vAlign w:val="center"/>
            <w:hideMark/>
          </w:tcPr>
          <w:p w14:paraId="7776DC2B" w14:textId="77777777" w:rsidR="008D0DAB" w:rsidRPr="00F65403" w:rsidRDefault="008D0DAB" w:rsidP="009B7B2A">
            <w:pPr>
              <w:spacing w:after="0" w:line="240" w:lineRule="auto"/>
              <w:jc w:val="center"/>
              <w:rPr>
                <w:rFonts w:eastAsia="Times New Roman" w:cs="Arial"/>
                <w:sz w:val="20"/>
                <w:szCs w:val="20"/>
                <w:lang w:eastAsia="en-AU"/>
              </w:rPr>
            </w:pPr>
            <w:r w:rsidRPr="00F65403">
              <w:rPr>
                <w:rFonts w:eastAsia="Times New Roman" w:cs="Arial"/>
                <w:b/>
                <w:bCs/>
                <w:color w:val="000000"/>
                <w:sz w:val="20"/>
                <w:szCs w:val="20"/>
                <w:lang w:eastAsia="en-AU"/>
              </w:rPr>
              <w:t>$000's</w:t>
            </w:r>
          </w:p>
        </w:tc>
      </w:tr>
      <w:tr w:rsidR="008D0DAB" w:rsidRPr="00CA725E" w14:paraId="3F90459F" w14:textId="77777777" w:rsidTr="413EB596">
        <w:tc>
          <w:tcPr>
            <w:tcW w:w="3458" w:type="pct"/>
            <w:tcBorders>
              <w:top w:val="nil"/>
              <w:left w:val="nil"/>
              <w:bottom w:val="nil"/>
              <w:right w:val="nil"/>
            </w:tcBorders>
            <w:vAlign w:val="center"/>
            <w:hideMark/>
          </w:tcPr>
          <w:p w14:paraId="040941AE" w14:textId="77777777" w:rsidR="008D0DAB" w:rsidRPr="00F65403" w:rsidRDefault="008D0DAB" w:rsidP="009B7B2A">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performance</w:t>
            </w:r>
          </w:p>
        </w:tc>
        <w:tc>
          <w:tcPr>
            <w:tcW w:w="771" w:type="pct"/>
            <w:tcBorders>
              <w:top w:val="nil"/>
              <w:left w:val="nil"/>
              <w:bottom w:val="nil"/>
              <w:right w:val="nil"/>
            </w:tcBorders>
            <w:vAlign w:val="center"/>
            <w:hideMark/>
          </w:tcPr>
          <w:p w14:paraId="72296568" w14:textId="77777777" w:rsidR="008D0DAB" w:rsidRPr="00F65403" w:rsidRDefault="008D0DAB" w:rsidP="009B7B2A">
            <w:pPr>
              <w:spacing w:after="0" w:line="240" w:lineRule="auto"/>
              <w:rPr>
                <w:rFonts w:eastAsia="Times New Roman" w:cs="Arial"/>
                <w:i/>
                <w:color w:val="000000"/>
                <w:sz w:val="20"/>
                <w:szCs w:val="20"/>
                <w:lang w:eastAsia="en-AU"/>
              </w:rPr>
            </w:pPr>
          </w:p>
        </w:tc>
        <w:tc>
          <w:tcPr>
            <w:tcW w:w="771" w:type="pct"/>
            <w:tcBorders>
              <w:top w:val="nil"/>
              <w:left w:val="nil"/>
              <w:bottom w:val="nil"/>
              <w:right w:val="nil"/>
            </w:tcBorders>
            <w:vAlign w:val="center"/>
            <w:hideMark/>
          </w:tcPr>
          <w:p w14:paraId="392445A3" w14:textId="77777777" w:rsidR="008D0DAB" w:rsidRPr="00F65403" w:rsidRDefault="008D0DAB" w:rsidP="009B7B2A">
            <w:pPr>
              <w:spacing w:after="0" w:line="240" w:lineRule="auto"/>
              <w:jc w:val="right"/>
              <w:rPr>
                <w:rFonts w:eastAsia="Times New Roman" w:cs="Arial"/>
                <w:sz w:val="20"/>
                <w:szCs w:val="20"/>
                <w:lang w:eastAsia="en-AU"/>
              </w:rPr>
            </w:pPr>
          </w:p>
        </w:tc>
      </w:tr>
      <w:tr w:rsidR="008D0DAB" w:rsidRPr="00CA725E" w14:paraId="12CADF5C" w14:textId="77777777" w:rsidTr="413EB596">
        <w:tc>
          <w:tcPr>
            <w:tcW w:w="3458" w:type="pct"/>
            <w:tcBorders>
              <w:top w:val="nil"/>
              <w:left w:val="nil"/>
              <w:bottom w:val="nil"/>
              <w:right w:val="nil"/>
            </w:tcBorders>
            <w:vAlign w:val="center"/>
            <w:hideMark/>
          </w:tcPr>
          <w:p w14:paraId="1CCBC293" w14:textId="6EFF10BF" w:rsidR="008D0DAB" w:rsidRPr="00F65403" w:rsidRDefault="009339E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w:t>
            </w:r>
            <w:r w:rsidR="008D0DAB" w:rsidRPr="00F65403">
              <w:rPr>
                <w:rFonts w:eastAsia="Times New Roman" w:cs="Arial"/>
                <w:color w:val="000000"/>
                <w:sz w:val="20"/>
                <w:szCs w:val="20"/>
                <w:lang w:eastAsia="en-AU"/>
              </w:rPr>
              <w:t>oss for the period</w:t>
            </w:r>
          </w:p>
        </w:tc>
        <w:tc>
          <w:tcPr>
            <w:tcW w:w="771" w:type="pct"/>
            <w:tcBorders>
              <w:top w:val="nil"/>
              <w:left w:val="nil"/>
              <w:bottom w:val="nil"/>
              <w:right w:val="nil"/>
            </w:tcBorders>
            <w:noWrap/>
            <w:vAlign w:val="bottom"/>
            <w:hideMark/>
          </w:tcPr>
          <w:p w14:paraId="4FF444C3" w14:textId="2CC60CFE" w:rsidR="008D0DAB" w:rsidRPr="00F65403" w:rsidRDefault="008D0DAB" w:rsidP="009B7B2A">
            <w:pPr>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(7,</w:t>
            </w:r>
            <w:r w:rsidR="005C3AAF">
              <w:rPr>
                <w:rFonts w:eastAsia="Times New Roman" w:cs="Arial"/>
                <w:color w:val="000000" w:themeColor="text1"/>
                <w:sz w:val="20"/>
                <w:szCs w:val="20"/>
                <w:lang w:eastAsia="en-AU"/>
              </w:rPr>
              <w:t>792</w:t>
            </w:r>
            <w:r w:rsidRPr="413EB596">
              <w:rPr>
                <w:rFonts w:eastAsia="Times New Roman" w:cs="Arial"/>
                <w:color w:val="000000" w:themeColor="text1"/>
                <w:sz w:val="20"/>
                <w:szCs w:val="20"/>
                <w:lang w:eastAsia="en-AU"/>
              </w:rPr>
              <w:t>)</w:t>
            </w:r>
          </w:p>
        </w:tc>
        <w:tc>
          <w:tcPr>
            <w:tcW w:w="771" w:type="pct"/>
            <w:tcBorders>
              <w:top w:val="nil"/>
              <w:left w:val="nil"/>
              <w:bottom w:val="nil"/>
              <w:right w:val="nil"/>
            </w:tcBorders>
            <w:noWrap/>
            <w:vAlign w:val="bottom"/>
            <w:hideMark/>
          </w:tcPr>
          <w:p w14:paraId="68FED1FE"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w:t>
            </w:r>
            <w:r>
              <w:rPr>
                <w:rFonts w:eastAsia="Times New Roman" w:cs="Arial"/>
                <w:color w:val="000000"/>
                <w:sz w:val="20"/>
                <w:szCs w:val="20"/>
                <w:lang w:eastAsia="en-AU"/>
              </w:rPr>
              <w:t>5,439</w:t>
            </w:r>
            <w:r w:rsidRPr="00F65403">
              <w:rPr>
                <w:rFonts w:eastAsia="Times New Roman" w:cs="Arial"/>
                <w:color w:val="000000"/>
                <w:sz w:val="20"/>
                <w:szCs w:val="20"/>
                <w:lang w:eastAsia="en-AU"/>
              </w:rPr>
              <w:t>)</w:t>
            </w:r>
          </w:p>
        </w:tc>
      </w:tr>
      <w:tr w:rsidR="008D0DAB" w:rsidRPr="00CA725E" w14:paraId="17B722F7" w14:textId="77777777" w:rsidTr="413EB596">
        <w:tc>
          <w:tcPr>
            <w:tcW w:w="3458" w:type="pct"/>
            <w:tcBorders>
              <w:top w:val="nil"/>
              <w:left w:val="nil"/>
              <w:bottom w:val="nil"/>
              <w:right w:val="nil"/>
            </w:tcBorders>
            <w:vAlign w:val="center"/>
            <w:hideMark/>
          </w:tcPr>
          <w:p w14:paraId="0BE776FC" w14:textId="11B36619"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comprehensive income</w:t>
            </w:r>
            <w:r w:rsidR="00675FA9">
              <w:rPr>
                <w:rFonts w:eastAsia="Times New Roman" w:cs="Arial"/>
                <w:color w:val="000000"/>
                <w:sz w:val="20"/>
                <w:szCs w:val="20"/>
                <w:lang w:eastAsia="en-AU"/>
              </w:rPr>
              <w:t>/(loss)</w:t>
            </w:r>
          </w:p>
        </w:tc>
        <w:tc>
          <w:tcPr>
            <w:tcW w:w="771" w:type="pct"/>
            <w:tcBorders>
              <w:top w:val="nil"/>
              <w:left w:val="nil"/>
              <w:bottom w:val="nil"/>
              <w:right w:val="nil"/>
            </w:tcBorders>
            <w:vAlign w:val="center"/>
            <w:hideMark/>
          </w:tcPr>
          <w:p w14:paraId="49CC5B9E"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20</w:t>
            </w:r>
            <w:r w:rsidRPr="00F65403">
              <w:rPr>
                <w:rFonts w:eastAsia="Times New Roman" w:cs="Arial"/>
                <w:color w:val="000000"/>
                <w:sz w:val="20"/>
                <w:szCs w:val="20"/>
                <w:lang w:eastAsia="en-AU"/>
              </w:rPr>
              <w:t xml:space="preserve">   </w:t>
            </w:r>
          </w:p>
        </w:tc>
        <w:tc>
          <w:tcPr>
            <w:tcW w:w="771" w:type="pct"/>
            <w:tcBorders>
              <w:top w:val="nil"/>
              <w:left w:val="nil"/>
              <w:bottom w:val="nil"/>
              <w:right w:val="nil"/>
            </w:tcBorders>
            <w:vAlign w:val="center"/>
            <w:hideMark/>
          </w:tcPr>
          <w:p w14:paraId="3FE38D79"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(2,773)</w:t>
            </w:r>
            <w:r w:rsidRPr="00F65403">
              <w:rPr>
                <w:rFonts w:eastAsia="Times New Roman" w:cs="Arial"/>
                <w:color w:val="000000"/>
                <w:sz w:val="20"/>
                <w:szCs w:val="20"/>
                <w:lang w:eastAsia="en-AU"/>
              </w:rPr>
              <w:t xml:space="preserve">   </w:t>
            </w:r>
          </w:p>
        </w:tc>
      </w:tr>
      <w:tr w:rsidR="008D0DAB" w:rsidRPr="00CA725E" w14:paraId="291C436D" w14:textId="77777777" w:rsidTr="413EB596">
        <w:tc>
          <w:tcPr>
            <w:tcW w:w="3458" w:type="pct"/>
            <w:tcBorders>
              <w:top w:val="nil"/>
              <w:left w:val="nil"/>
              <w:bottom w:val="nil"/>
              <w:right w:val="nil"/>
            </w:tcBorders>
            <w:vAlign w:val="center"/>
            <w:hideMark/>
          </w:tcPr>
          <w:p w14:paraId="67C5268F" w14:textId="0B8B2A0F"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comprehensive loss for the period</w:t>
            </w:r>
          </w:p>
        </w:tc>
        <w:tc>
          <w:tcPr>
            <w:tcW w:w="771" w:type="pct"/>
            <w:tcBorders>
              <w:top w:val="single" w:sz="4" w:space="0" w:color="auto"/>
              <w:left w:val="nil"/>
              <w:bottom w:val="single" w:sz="4" w:space="0" w:color="auto"/>
              <w:right w:val="nil"/>
            </w:tcBorders>
            <w:noWrap/>
            <w:vAlign w:val="bottom"/>
            <w:hideMark/>
          </w:tcPr>
          <w:p w14:paraId="11652B12" w14:textId="44ED3B66" w:rsidR="008D0DAB" w:rsidRPr="00F65403"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(7,</w:t>
            </w:r>
            <w:r w:rsidR="005C3AAF">
              <w:rPr>
                <w:rFonts w:eastAsia="Times New Roman" w:cs="Arial"/>
                <w:b/>
                <w:bCs/>
                <w:color w:val="000000" w:themeColor="text1"/>
                <w:sz w:val="20"/>
                <w:szCs w:val="20"/>
                <w:lang w:eastAsia="en-AU"/>
              </w:rPr>
              <w:t>772</w:t>
            </w:r>
            <w:r w:rsidRPr="413EB596">
              <w:rPr>
                <w:rFonts w:eastAsia="Times New Roman" w:cs="Arial"/>
                <w:b/>
                <w:bCs/>
                <w:color w:val="000000" w:themeColor="text1"/>
                <w:sz w:val="20"/>
                <w:szCs w:val="20"/>
                <w:lang w:eastAsia="en-AU"/>
              </w:rPr>
              <w:t>)</w:t>
            </w:r>
          </w:p>
        </w:tc>
        <w:tc>
          <w:tcPr>
            <w:tcW w:w="771" w:type="pct"/>
            <w:tcBorders>
              <w:top w:val="single" w:sz="4" w:space="0" w:color="auto"/>
              <w:left w:val="nil"/>
              <w:bottom w:val="single" w:sz="4" w:space="0" w:color="auto"/>
              <w:right w:val="nil"/>
            </w:tcBorders>
            <w:noWrap/>
            <w:vAlign w:val="bottom"/>
            <w:hideMark/>
          </w:tcPr>
          <w:p w14:paraId="71321353"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w:t>
            </w:r>
            <w:r>
              <w:rPr>
                <w:rFonts w:eastAsia="Times New Roman" w:cs="Arial"/>
                <w:b/>
                <w:color w:val="000000"/>
                <w:sz w:val="20"/>
                <w:szCs w:val="20"/>
                <w:lang w:eastAsia="en-AU"/>
              </w:rPr>
              <w:t>8,212</w:t>
            </w:r>
            <w:r w:rsidRPr="00F65403">
              <w:rPr>
                <w:rFonts w:eastAsia="Times New Roman" w:cs="Arial"/>
                <w:b/>
                <w:color w:val="000000"/>
                <w:sz w:val="20"/>
                <w:szCs w:val="20"/>
                <w:lang w:eastAsia="en-AU"/>
              </w:rPr>
              <w:t>)</w:t>
            </w:r>
          </w:p>
        </w:tc>
      </w:tr>
    </w:tbl>
    <w:p w14:paraId="3C537235" w14:textId="77777777" w:rsidR="008D0DAB" w:rsidRPr="00F65403" w:rsidRDefault="008D0DAB" w:rsidP="008D0DAB">
      <w:pPr>
        <w:pStyle w:val="BodyText"/>
        <w:rPr>
          <w:lang w:val="en-AU"/>
        </w:rPr>
      </w:pPr>
    </w:p>
    <w:p w14:paraId="68512B46" w14:textId="77777777" w:rsidR="008D0DAB" w:rsidRPr="00F65403" w:rsidRDefault="008D0DAB" w:rsidP="008D0DAB">
      <w:pPr>
        <w:pStyle w:val="Heading8"/>
      </w:pPr>
      <w:proofErr w:type="spellStart"/>
      <w:r>
        <w:t>i</w:t>
      </w:r>
      <w:proofErr w:type="spellEnd"/>
      <w:r>
        <w:t>.</w:t>
      </w:r>
      <w:r>
        <w:tab/>
        <w:t xml:space="preserve">Guarantees entered into by the parent entity in relation to the debts of its subsidiaries </w:t>
      </w:r>
    </w:p>
    <w:p w14:paraId="0CF61C56" w14:textId="77777777" w:rsidR="008D0DAB" w:rsidRPr="00F65403" w:rsidRDefault="008D0DAB" w:rsidP="008D0DAB">
      <w:pPr>
        <w:pStyle w:val="BodyText"/>
        <w:rPr>
          <w:lang w:val="en-AU"/>
        </w:rPr>
      </w:pPr>
      <w:r w:rsidRPr="00F65403">
        <w:rPr>
          <w:lang w:val="en-AU"/>
        </w:rPr>
        <w:t xml:space="preserve">The Parent Entity has not guaranteed any debts of its subsidiaries (2024: Nil) </w:t>
      </w:r>
    </w:p>
    <w:p w14:paraId="58A9C50A" w14:textId="77777777" w:rsidR="008D0DAB" w:rsidRPr="00F65403" w:rsidRDefault="008D0DAB" w:rsidP="008D0DAB">
      <w:pPr>
        <w:pStyle w:val="BodyText"/>
        <w:rPr>
          <w:lang w:val="en-AU"/>
        </w:rPr>
      </w:pPr>
    </w:p>
    <w:p w14:paraId="03F8FA83" w14:textId="77777777" w:rsidR="008D0DAB" w:rsidRPr="00F65403" w:rsidRDefault="008D0DAB" w:rsidP="008D0DAB">
      <w:pPr>
        <w:pStyle w:val="Heading8"/>
      </w:pPr>
      <w:r>
        <w:t>ii.</w:t>
      </w:r>
      <w:r>
        <w:tab/>
        <w:t xml:space="preserve">Contingent liabilities </w:t>
      </w:r>
    </w:p>
    <w:p w14:paraId="01AF19F5" w14:textId="77777777" w:rsidR="008D0DAB" w:rsidRPr="00F65403" w:rsidRDefault="008D0DAB" w:rsidP="008D0DAB">
      <w:pPr>
        <w:pStyle w:val="BodyText"/>
        <w:rPr>
          <w:lang w:val="en-AU"/>
        </w:rPr>
      </w:pPr>
      <w:r w:rsidRPr="00F65403">
        <w:rPr>
          <w:lang w:val="en-AU"/>
        </w:rPr>
        <w:t xml:space="preserve">There are no contingent liabilities of the Parent Entity at 30 June 2025 (2024: Nil). </w:t>
      </w:r>
    </w:p>
    <w:p w14:paraId="35837F7B" w14:textId="77777777" w:rsidR="008D0DAB" w:rsidRPr="00F65403" w:rsidRDefault="008D0DAB" w:rsidP="008D0DAB">
      <w:pPr>
        <w:pStyle w:val="BodyText"/>
        <w:rPr>
          <w:lang w:val="en-AU"/>
        </w:rPr>
      </w:pPr>
    </w:p>
    <w:p w14:paraId="10BE635C" w14:textId="77777777" w:rsidR="008D0DAB" w:rsidRPr="00F65403" w:rsidRDefault="008D0DAB" w:rsidP="008D0DAB">
      <w:pPr>
        <w:pStyle w:val="Heading8"/>
      </w:pPr>
      <w:r>
        <w:t>iii.</w:t>
      </w:r>
      <w:r>
        <w:tab/>
        <w:t xml:space="preserve">Capital expenditure commitments </w:t>
      </w:r>
    </w:p>
    <w:p w14:paraId="72F68A73" w14:textId="77777777" w:rsidR="008D0DAB" w:rsidRDefault="008D0DAB" w:rsidP="008D0DAB">
      <w:pPr>
        <w:pStyle w:val="BodyText"/>
        <w:rPr>
          <w:lang w:val="en-AU"/>
        </w:rPr>
      </w:pPr>
      <w:r>
        <w:rPr>
          <w:lang w:val="en-AU"/>
        </w:rPr>
        <w:t>T</w:t>
      </w:r>
      <w:r w:rsidRPr="00F65403">
        <w:rPr>
          <w:lang w:val="en-AU"/>
        </w:rPr>
        <w:t xml:space="preserve">he Parent Entity had </w:t>
      </w:r>
      <w:r>
        <w:rPr>
          <w:lang w:val="en-AU"/>
        </w:rPr>
        <w:t>the below</w:t>
      </w:r>
      <w:r w:rsidRPr="00F65403">
        <w:rPr>
          <w:lang w:val="en-AU"/>
        </w:rPr>
        <w:t xml:space="preserve"> commitments for the acquisition of property, plant and equipment</w:t>
      </w:r>
      <w:r>
        <w:rPr>
          <w:lang w:val="en-AU"/>
        </w:rPr>
        <w:t>:</w:t>
      </w:r>
      <w:r>
        <w:rPr>
          <w:lang w:val="en-AU"/>
        </w:rPr>
        <w:br/>
      </w:r>
    </w:p>
    <w:tbl>
      <w:tblPr>
        <w:tblW w:w="4976" w:type="pct"/>
        <w:tblCellMar>
          <w:top w:w="28" w:type="dxa"/>
          <w:left w:w="28" w:type="dxa"/>
          <w:bottom w:w="28" w:type="dxa"/>
          <w:right w:w="28" w:type="dxa"/>
        </w:tblCellMar>
        <w:tblLook w:val="04A0" w:firstRow="1" w:lastRow="0" w:firstColumn="1" w:lastColumn="0" w:noHBand="0" w:noVBand="1"/>
      </w:tblPr>
      <w:tblGrid>
        <w:gridCol w:w="3709"/>
        <w:gridCol w:w="1310"/>
        <w:gridCol w:w="1360"/>
        <w:gridCol w:w="1391"/>
        <w:gridCol w:w="1213"/>
      </w:tblGrid>
      <w:tr w:rsidR="008D0DAB" w:rsidRPr="00144B2B" w14:paraId="63E04FC5" w14:textId="77777777" w:rsidTr="00AA3AC5">
        <w:tc>
          <w:tcPr>
            <w:tcW w:w="2065" w:type="pct"/>
            <w:tcBorders>
              <w:top w:val="nil"/>
              <w:left w:val="nil"/>
              <w:bottom w:val="nil"/>
              <w:right w:val="nil"/>
            </w:tcBorders>
            <w:vAlign w:val="bottom"/>
            <w:hideMark/>
          </w:tcPr>
          <w:p w14:paraId="772A494C" w14:textId="77777777" w:rsidR="008D0DAB" w:rsidRPr="00F65403" w:rsidRDefault="008D0DAB" w:rsidP="009B7B2A">
            <w:pPr>
              <w:spacing w:after="0" w:line="240" w:lineRule="auto"/>
              <w:rPr>
                <w:rFonts w:eastAsia="Times New Roman" w:cs="Arial"/>
                <w:b/>
                <w:color w:val="000000"/>
                <w:sz w:val="20"/>
                <w:szCs w:val="20"/>
                <w:lang w:eastAsia="en-AU"/>
              </w:rPr>
            </w:pPr>
          </w:p>
        </w:tc>
        <w:tc>
          <w:tcPr>
            <w:tcW w:w="729" w:type="pct"/>
            <w:tcBorders>
              <w:top w:val="nil"/>
              <w:left w:val="nil"/>
              <w:bottom w:val="nil"/>
              <w:right w:val="nil"/>
            </w:tcBorders>
          </w:tcPr>
          <w:p w14:paraId="2C4ADBA0"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757" w:type="pct"/>
            <w:tcBorders>
              <w:top w:val="nil"/>
              <w:left w:val="nil"/>
              <w:bottom w:val="nil"/>
              <w:right w:val="nil"/>
            </w:tcBorders>
          </w:tcPr>
          <w:p w14:paraId="4ED85C12"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774" w:type="pct"/>
            <w:tcBorders>
              <w:top w:val="nil"/>
              <w:left w:val="nil"/>
              <w:bottom w:val="nil"/>
              <w:right w:val="nil"/>
            </w:tcBorders>
            <w:hideMark/>
          </w:tcPr>
          <w:p w14:paraId="5D50FB4C"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75" w:type="pct"/>
            <w:tcBorders>
              <w:top w:val="nil"/>
              <w:left w:val="nil"/>
              <w:bottom w:val="nil"/>
              <w:right w:val="nil"/>
            </w:tcBorders>
            <w:hideMark/>
          </w:tcPr>
          <w:p w14:paraId="06C58DDF"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144B2B" w14:paraId="3E68D38B" w14:textId="77777777" w:rsidTr="00AA3AC5">
        <w:tc>
          <w:tcPr>
            <w:tcW w:w="2065" w:type="pct"/>
            <w:tcBorders>
              <w:top w:val="nil"/>
              <w:left w:val="nil"/>
              <w:bottom w:val="nil"/>
              <w:right w:val="nil"/>
            </w:tcBorders>
            <w:vAlign w:val="center"/>
          </w:tcPr>
          <w:p w14:paraId="2F611567" w14:textId="77777777" w:rsidR="008D0DAB" w:rsidRPr="00F65403" w:rsidRDefault="008D0DAB" w:rsidP="009B7B2A">
            <w:pPr>
              <w:spacing w:after="0" w:line="240" w:lineRule="auto"/>
              <w:rPr>
                <w:rFonts w:eastAsia="Times New Roman" w:cs="Arial"/>
                <w:color w:val="000000"/>
                <w:sz w:val="20"/>
                <w:szCs w:val="20"/>
                <w:lang w:eastAsia="en-AU"/>
              </w:rPr>
            </w:pPr>
          </w:p>
        </w:tc>
        <w:tc>
          <w:tcPr>
            <w:tcW w:w="729" w:type="pct"/>
            <w:tcBorders>
              <w:top w:val="nil"/>
              <w:left w:val="nil"/>
              <w:bottom w:val="nil"/>
              <w:right w:val="nil"/>
            </w:tcBorders>
            <w:vAlign w:val="bottom"/>
          </w:tcPr>
          <w:p w14:paraId="3A7EEC48"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57" w:type="pct"/>
            <w:tcBorders>
              <w:top w:val="nil"/>
              <w:left w:val="nil"/>
              <w:bottom w:val="nil"/>
              <w:right w:val="nil"/>
            </w:tcBorders>
            <w:vAlign w:val="bottom"/>
          </w:tcPr>
          <w:p w14:paraId="323B5428"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74" w:type="pct"/>
            <w:tcBorders>
              <w:top w:val="nil"/>
              <w:left w:val="nil"/>
              <w:bottom w:val="nil"/>
              <w:right w:val="nil"/>
            </w:tcBorders>
          </w:tcPr>
          <w:p w14:paraId="29185FBE"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675" w:type="pct"/>
            <w:tcBorders>
              <w:top w:val="nil"/>
              <w:left w:val="nil"/>
              <w:bottom w:val="nil"/>
              <w:right w:val="nil"/>
            </w:tcBorders>
          </w:tcPr>
          <w:p w14:paraId="271DD45E"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8D0DAB" w:rsidRPr="00144B2B" w14:paraId="3AAE28D1" w14:textId="77777777" w:rsidTr="00AA3AC5">
        <w:tc>
          <w:tcPr>
            <w:tcW w:w="2065" w:type="pct"/>
            <w:tcBorders>
              <w:top w:val="nil"/>
              <w:left w:val="nil"/>
              <w:bottom w:val="nil"/>
              <w:right w:val="nil"/>
            </w:tcBorders>
            <w:vAlign w:val="center"/>
            <w:hideMark/>
          </w:tcPr>
          <w:p w14:paraId="56885A94"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Joint venture commitments</w:t>
            </w:r>
            <w:r>
              <w:rPr>
                <w:rFonts w:eastAsia="Times New Roman" w:cs="Arial"/>
                <w:color w:val="000000"/>
                <w:sz w:val="20"/>
                <w:szCs w:val="20"/>
                <w:vertAlign w:val="superscript"/>
                <w:lang w:eastAsia="en-AU"/>
              </w:rPr>
              <w:t>1</w:t>
            </w:r>
          </w:p>
        </w:tc>
        <w:tc>
          <w:tcPr>
            <w:tcW w:w="729" w:type="pct"/>
            <w:tcBorders>
              <w:top w:val="nil"/>
              <w:left w:val="nil"/>
              <w:bottom w:val="nil"/>
              <w:right w:val="nil"/>
            </w:tcBorders>
            <w:vAlign w:val="bottom"/>
          </w:tcPr>
          <w:p w14:paraId="4807CCDC"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57" w:type="pct"/>
            <w:tcBorders>
              <w:top w:val="nil"/>
              <w:left w:val="nil"/>
              <w:bottom w:val="nil"/>
              <w:right w:val="nil"/>
            </w:tcBorders>
            <w:vAlign w:val="bottom"/>
          </w:tcPr>
          <w:p w14:paraId="6E4AFFBE"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74" w:type="pct"/>
            <w:tcBorders>
              <w:top w:val="nil"/>
              <w:left w:val="nil"/>
              <w:bottom w:val="single" w:sz="4" w:space="0" w:color="auto"/>
              <w:right w:val="nil"/>
            </w:tcBorders>
            <w:vAlign w:val="bottom"/>
          </w:tcPr>
          <w:p w14:paraId="4E420479"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52,309</w:t>
            </w:r>
          </w:p>
        </w:tc>
        <w:tc>
          <w:tcPr>
            <w:tcW w:w="675" w:type="pct"/>
            <w:tcBorders>
              <w:top w:val="nil"/>
              <w:left w:val="nil"/>
              <w:bottom w:val="single" w:sz="4" w:space="0" w:color="auto"/>
              <w:right w:val="nil"/>
            </w:tcBorders>
            <w:vAlign w:val="bottom"/>
          </w:tcPr>
          <w:p w14:paraId="55B277E3"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171,905</w:t>
            </w:r>
          </w:p>
        </w:tc>
      </w:tr>
      <w:tr w:rsidR="008D0DAB" w:rsidRPr="00144B2B" w14:paraId="2EB040D6" w14:textId="77777777" w:rsidTr="00AA3AC5">
        <w:tc>
          <w:tcPr>
            <w:tcW w:w="2065" w:type="pct"/>
            <w:tcBorders>
              <w:top w:val="nil"/>
              <w:left w:val="nil"/>
              <w:bottom w:val="nil"/>
              <w:right w:val="nil"/>
            </w:tcBorders>
            <w:vAlign w:val="center"/>
            <w:hideMark/>
          </w:tcPr>
          <w:p w14:paraId="46609C3D"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commitments </w:t>
            </w:r>
          </w:p>
        </w:tc>
        <w:tc>
          <w:tcPr>
            <w:tcW w:w="729" w:type="pct"/>
            <w:tcBorders>
              <w:top w:val="nil"/>
              <w:left w:val="nil"/>
              <w:right w:val="nil"/>
            </w:tcBorders>
            <w:vAlign w:val="bottom"/>
          </w:tcPr>
          <w:p w14:paraId="0356A07D"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p>
        </w:tc>
        <w:tc>
          <w:tcPr>
            <w:tcW w:w="757" w:type="pct"/>
            <w:tcBorders>
              <w:top w:val="nil"/>
              <w:left w:val="nil"/>
              <w:right w:val="nil"/>
            </w:tcBorders>
            <w:vAlign w:val="bottom"/>
          </w:tcPr>
          <w:p w14:paraId="2D578419"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p>
        </w:tc>
        <w:tc>
          <w:tcPr>
            <w:tcW w:w="774" w:type="pct"/>
            <w:tcBorders>
              <w:top w:val="single" w:sz="4" w:space="0" w:color="auto"/>
              <w:left w:val="nil"/>
              <w:bottom w:val="single" w:sz="4" w:space="0" w:color="auto"/>
              <w:right w:val="nil"/>
            </w:tcBorders>
            <w:vAlign w:val="bottom"/>
          </w:tcPr>
          <w:p w14:paraId="11737EC3" w14:textId="74D92B42" w:rsidR="008D0DAB" w:rsidRPr="00F65403" w:rsidRDefault="00C92CCF"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themeColor="text1"/>
                <w:sz w:val="20"/>
                <w:szCs w:val="20"/>
                <w:lang w:eastAsia="en-AU"/>
              </w:rPr>
              <w:t>52,309</w:t>
            </w:r>
          </w:p>
        </w:tc>
        <w:tc>
          <w:tcPr>
            <w:tcW w:w="675" w:type="pct"/>
            <w:tcBorders>
              <w:top w:val="single" w:sz="4" w:space="0" w:color="auto"/>
              <w:left w:val="nil"/>
              <w:bottom w:val="single" w:sz="4" w:space="0" w:color="auto"/>
              <w:right w:val="nil"/>
            </w:tcBorders>
            <w:vAlign w:val="bottom"/>
          </w:tcPr>
          <w:p w14:paraId="16D2C3DA" w14:textId="72F80C58" w:rsidR="008D0DAB" w:rsidRPr="00F65403" w:rsidRDefault="008D0DAB" w:rsidP="009B7B2A">
            <w:pPr>
              <w:tabs>
                <w:tab w:val="decimal" w:pos="964"/>
              </w:tabs>
              <w:spacing w:after="0" w:line="240" w:lineRule="auto"/>
              <w:rPr>
                <w:rFonts w:eastAsia="Times New Roman" w:cs="Arial"/>
                <w:b/>
                <w:color w:val="000000" w:themeColor="text1"/>
                <w:sz w:val="20"/>
                <w:szCs w:val="20"/>
                <w:lang w:eastAsia="en-AU"/>
              </w:rPr>
            </w:pPr>
            <w:r w:rsidRPr="400E41D5">
              <w:rPr>
                <w:rFonts w:eastAsia="Times New Roman" w:cs="Arial"/>
                <w:b/>
                <w:bCs/>
                <w:color w:val="000000" w:themeColor="text1"/>
                <w:sz w:val="20"/>
                <w:szCs w:val="20"/>
                <w:lang w:eastAsia="en-AU"/>
              </w:rPr>
              <w:t>171,905</w:t>
            </w:r>
          </w:p>
        </w:tc>
      </w:tr>
    </w:tbl>
    <w:p w14:paraId="3AB425E3" w14:textId="77777777" w:rsidR="008D0DAB" w:rsidRPr="00F65403" w:rsidRDefault="008D0DAB" w:rsidP="008D0DAB">
      <w:pPr>
        <w:pStyle w:val="BodyText"/>
        <w:rPr>
          <w:lang w:val="en-AU"/>
        </w:rPr>
      </w:pPr>
    </w:p>
    <w:p w14:paraId="2C1E4EA2" w14:textId="77777777" w:rsidR="008D0DAB" w:rsidRPr="005E0E12" w:rsidRDefault="008D0DAB" w:rsidP="008D0DAB">
      <w:pPr>
        <w:pStyle w:val="BodyText"/>
        <w:rPr>
          <w:lang w:val="en-AU"/>
        </w:rPr>
      </w:pPr>
      <w:r>
        <w:rPr>
          <w:rFonts w:eastAsia="Times New Roman"/>
          <w:color w:val="000000"/>
          <w:vertAlign w:val="superscript"/>
          <w:lang w:eastAsia="en-AU"/>
        </w:rPr>
        <w:t xml:space="preserve">1 </w:t>
      </w:r>
      <w:r w:rsidRPr="002B2044">
        <w:rPr>
          <w:lang w:val="en-AU"/>
        </w:rPr>
        <w:t>In November 2023, SEC Victoria’s subsidiary SEC Infrastructure entered into contracts to invest $245 million in the 600-megawatt Melbourne Renewable Energy Hub (MREH) in partnership with Equis Development Pty Ltd. As at 30 June 2025</w:t>
      </w:r>
      <w:r w:rsidRPr="005E0E12">
        <w:rPr>
          <w:lang w:val="en-AU"/>
        </w:rPr>
        <w:t>, there is $52.3 million (30 June 2024: $171.5 million) remaining on this commitment and includes amounts to cover SEC’s share of capital commitments made jointly with other investors described in Note 1</w:t>
      </w:r>
      <w:r w:rsidRPr="005F0249">
        <w:rPr>
          <w:lang w:val="en-AU"/>
        </w:rPr>
        <w:t>4</w:t>
      </w:r>
      <w:r w:rsidRPr="005E0E12">
        <w:rPr>
          <w:lang w:val="en-AU"/>
        </w:rPr>
        <w:t xml:space="preserve"> iii. </w:t>
      </w:r>
    </w:p>
    <w:p w14:paraId="21BB562D" w14:textId="678C3397" w:rsidR="00D75DDB" w:rsidRDefault="00D75DDB">
      <w:pPr>
        <w:rPr>
          <w:rFonts w:eastAsia="Arial" w:cs="Arial"/>
          <w:sz w:val="20"/>
          <w:szCs w:val="20"/>
        </w:rPr>
      </w:pPr>
      <w:r>
        <w:br w:type="page"/>
      </w:r>
    </w:p>
    <w:p w14:paraId="08A40598" w14:textId="77777777" w:rsidR="008D0DAB" w:rsidRPr="00F65403" w:rsidRDefault="008D0DAB" w:rsidP="008D0DAB">
      <w:pPr>
        <w:pStyle w:val="BodyText"/>
        <w:rPr>
          <w:lang w:val="en-AU"/>
        </w:rPr>
      </w:pPr>
    </w:p>
    <w:p w14:paraId="2AE5AE1A" w14:textId="4A5D6A74" w:rsidR="008D0DAB" w:rsidRPr="00F65403" w:rsidRDefault="008D0DAB" w:rsidP="008D0DAB">
      <w:pPr>
        <w:pStyle w:val="Heading7"/>
      </w:pPr>
      <w:r w:rsidRPr="00F65403">
        <w:t xml:space="preserve">Acquisition of SEC Renewable Energy Park </w:t>
      </w:r>
      <w:r w:rsidR="00104757">
        <w:t>-</w:t>
      </w:r>
      <w:r w:rsidRPr="00F65403">
        <w:t xml:space="preserve"> Horsham </w:t>
      </w:r>
    </w:p>
    <w:p w14:paraId="4854E64C" w14:textId="61A9E1F1" w:rsidR="008D0DAB" w:rsidRPr="00F65403" w:rsidRDefault="008D0DAB" w:rsidP="008D0DAB">
      <w:pPr>
        <w:pStyle w:val="BodyText"/>
        <w:rPr>
          <w:lang w:val="en-AU"/>
        </w:rPr>
      </w:pPr>
      <w:r w:rsidRPr="00F65403">
        <w:rPr>
          <w:lang w:val="en-AU"/>
        </w:rPr>
        <w:t xml:space="preserve">On 5 September 2024, the Group acquired 100% of the issued shares Horsham Solar Farm 7 </w:t>
      </w:r>
      <w:proofErr w:type="spellStart"/>
      <w:r w:rsidRPr="00F65403">
        <w:rPr>
          <w:lang w:val="en-AU"/>
        </w:rPr>
        <w:t>HoldCo</w:t>
      </w:r>
      <w:proofErr w:type="spellEnd"/>
      <w:r w:rsidRPr="00F65403">
        <w:rPr>
          <w:lang w:val="en-AU"/>
        </w:rPr>
        <w:t xml:space="preserve"> Pty Ltd and its controlled entities (Horsham) from OX2 Holding Overseas AB (OX2) for cash consideration. This transaction resulted in SEC acquiring development rights to construct and operate a solar farm and associated battery energy storage system to be known as SEC Renewable Energy Park </w:t>
      </w:r>
      <w:r w:rsidR="00104757">
        <w:rPr>
          <w:lang w:val="en-AU"/>
        </w:rPr>
        <w:t>-</w:t>
      </w:r>
      <w:r w:rsidRPr="00F65403">
        <w:rPr>
          <w:lang w:val="en-AU"/>
        </w:rPr>
        <w:t xml:space="preserve"> Horsham.</w:t>
      </w:r>
    </w:p>
    <w:p w14:paraId="7C13DD0E" w14:textId="77777777" w:rsidR="008D0DAB" w:rsidRPr="00F65403" w:rsidRDefault="008D0DAB" w:rsidP="008D0DAB">
      <w:pPr>
        <w:pStyle w:val="BodyText"/>
        <w:rPr>
          <w:lang w:val="en-AU"/>
        </w:rPr>
      </w:pPr>
    </w:p>
    <w:p w14:paraId="21144E0F" w14:textId="77777777" w:rsidR="008D0DAB" w:rsidRPr="00F65403" w:rsidRDefault="008D0DAB" w:rsidP="008D0DAB">
      <w:pPr>
        <w:pStyle w:val="BodyText"/>
        <w:rPr>
          <w:lang w:val="en-AU"/>
        </w:rPr>
      </w:pPr>
      <w:r w:rsidRPr="00F65403">
        <w:rPr>
          <w:lang w:val="en-AU"/>
        </w:rPr>
        <w:t>The acquisition of Horsham was not accounted for as a business combination because the set of activities acquired did not meet the definition of a business. Where an acquisition does not meet the definition of a business, the transaction is accounted for as an asset acquisition. Identifiable assets acquired and any labilities assumed in the acquisition are measured at their relative fair values on acquisition. Costs directly attributable to the acquisition are capitalised.</w:t>
      </w:r>
    </w:p>
    <w:p w14:paraId="2303658D" w14:textId="77777777" w:rsidR="008D0DAB" w:rsidRPr="00F65403" w:rsidRDefault="008D0DAB" w:rsidP="008D0DAB">
      <w:pPr>
        <w:pStyle w:val="BodyText"/>
        <w:rPr>
          <w:lang w:val="en-AU"/>
        </w:rPr>
      </w:pPr>
    </w:p>
    <w:p w14:paraId="545B8C5E" w14:textId="77777777" w:rsidR="008D0DAB" w:rsidRPr="00F65403" w:rsidRDefault="008D0DAB" w:rsidP="008D0DAB">
      <w:pPr>
        <w:pStyle w:val="BodyText"/>
        <w:rPr>
          <w:lang w:val="en-AU"/>
        </w:rPr>
      </w:pPr>
      <w:r w:rsidRPr="00F65403">
        <w:rPr>
          <w:lang w:val="en-AU"/>
        </w:rPr>
        <w:t>Details of the purchase consideration and purchase price allocation to identifiable assets acquired are as follows:</w:t>
      </w:r>
    </w:p>
    <w:p w14:paraId="5724CA30" w14:textId="77777777" w:rsidR="008D0DAB" w:rsidRPr="00F65403" w:rsidRDefault="008D0DAB" w:rsidP="008D0DAB">
      <w:pPr>
        <w:pStyle w:val="BodyText"/>
        <w:rPr>
          <w:lang w:val="en-AU"/>
        </w:rPr>
      </w:pPr>
    </w:p>
    <w:tbl>
      <w:tblPr>
        <w:tblW w:w="4952" w:type="pct"/>
        <w:tblLayout w:type="fixed"/>
        <w:tblCellMar>
          <w:top w:w="28" w:type="dxa"/>
          <w:left w:w="28" w:type="dxa"/>
          <w:bottom w:w="28" w:type="dxa"/>
          <w:right w:w="28" w:type="dxa"/>
        </w:tblCellMar>
        <w:tblLook w:val="04A0" w:firstRow="1" w:lastRow="0" w:firstColumn="1" w:lastColumn="0" w:noHBand="0" w:noVBand="1"/>
      </w:tblPr>
      <w:tblGrid>
        <w:gridCol w:w="7230"/>
        <w:gridCol w:w="708"/>
        <w:gridCol w:w="1001"/>
      </w:tblGrid>
      <w:tr w:rsidR="008D0DAB" w:rsidRPr="00A15857" w14:paraId="2A7D7265" w14:textId="77777777" w:rsidTr="413EB596">
        <w:trPr>
          <w:trHeight w:val="300"/>
        </w:trPr>
        <w:tc>
          <w:tcPr>
            <w:tcW w:w="4044" w:type="pct"/>
            <w:tcBorders>
              <w:top w:val="nil"/>
              <w:left w:val="nil"/>
              <w:bottom w:val="nil"/>
              <w:right w:val="nil"/>
            </w:tcBorders>
            <w:hideMark/>
          </w:tcPr>
          <w:p w14:paraId="396D7DB0" w14:textId="77777777" w:rsidR="008D0DAB" w:rsidRPr="00F65403" w:rsidRDefault="008D0DAB" w:rsidP="009B7B2A">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387B9225" w14:textId="77777777" w:rsidR="008D0DAB" w:rsidRPr="00F65403" w:rsidRDefault="008D0DAB" w:rsidP="009B7B2A">
            <w:pPr>
              <w:spacing w:after="0" w:line="240" w:lineRule="auto"/>
              <w:jc w:val="center"/>
              <w:rPr>
                <w:rFonts w:eastAsia="Times New Roman" w:cs="Arial"/>
                <w:b/>
                <w:sz w:val="20"/>
                <w:szCs w:val="20"/>
                <w:lang w:eastAsia="en-AU"/>
              </w:rPr>
            </w:pPr>
          </w:p>
        </w:tc>
        <w:tc>
          <w:tcPr>
            <w:tcW w:w="560" w:type="pct"/>
            <w:tcBorders>
              <w:top w:val="nil"/>
              <w:left w:val="nil"/>
              <w:bottom w:val="nil"/>
              <w:right w:val="nil"/>
            </w:tcBorders>
            <w:hideMark/>
          </w:tcPr>
          <w:p w14:paraId="77A25AAC" w14:textId="77777777" w:rsidR="008D0DAB" w:rsidRPr="00F65403" w:rsidRDefault="008D0DAB" w:rsidP="009B7B2A">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2025</w:t>
            </w:r>
          </w:p>
        </w:tc>
      </w:tr>
      <w:tr w:rsidR="008D0DAB" w:rsidRPr="00A15857" w14:paraId="10D84B98" w14:textId="77777777" w:rsidTr="413EB596">
        <w:trPr>
          <w:trHeight w:val="300"/>
        </w:trPr>
        <w:tc>
          <w:tcPr>
            <w:tcW w:w="4044" w:type="pct"/>
            <w:tcBorders>
              <w:top w:val="nil"/>
              <w:left w:val="nil"/>
              <w:bottom w:val="nil"/>
              <w:right w:val="nil"/>
            </w:tcBorders>
            <w:noWrap/>
            <w:vAlign w:val="center"/>
            <w:hideMark/>
          </w:tcPr>
          <w:p w14:paraId="299A548D" w14:textId="77777777" w:rsidR="008D0DAB" w:rsidRPr="00F65403" w:rsidRDefault="008D0DAB" w:rsidP="009B7B2A">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20AA601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Note</w:t>
            </w:r>
          </w:p>
        </w:tc>
        <w:tc>
          <w:tcPr>
            <w:tcW w:w="560" w:type="pct"/>
            <w:tcBorders>
              <w:top w:val="nil"/>
              <w:left w:val="nil"/>
              <w:bottom w:val="nil"/>
              <w:right w:val="nil"/>
            </w:tcBorders>
            <w:noWrap/>
            <w:hideMark/>
          </w:tcPr>
          <w:p w14:paraId="43362FE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A15857" w14:paraId="3CD700DD" w14:textId="77777777" w:rsidTr="413EB596">
        <w:trPr>
          <w:trHeight w:val="300"/>
        </w:trPr>
        <w:tc>
          <w:tcPr>
            <w:tcW w:w="4044" w:type="pct"/>
            <w:tcBorders>
              <w:top w:val="nil"/>
              <w:left w:val="nil"/>
              <w:bottom w:val="nil"/>
              <w:right w:val="nil"/>
            </w:tcBorders>
            <w:noWrap/>
            <w:vAlign w:val="center"/>
            <w:hideMark/>
          </w:tcPr>
          <w:p w14:paraId="24D8907B"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Cash consideration to acquire Horsham</w:t>
            </w:r>
          </w:p>
        </w:tc>
        <w:tc>
          <w:tcPr>
            <w:tcW w:w="396" w:type="pct"/>
            <w:tcBorders>
              <w:top w:val="nil"/>
              <w:left w:val="nil"/>
              <w:bottom w:val="nil"/>
              <w:right w:val="nil"/>
            </w:tcBorders>
          </w:tcPr>
          <w:p w14:paraId="232B72FC" w14:textId="77777777" w:rsidR="008D0DAB" w:rsidRPr="00F65403" w:rsidRDefault="008D0DAB" w:rsidP="009B7B2A">
            <w:pPr>
              <w:spacing w:after="0" w:line="240" w:lineRule="auto"/>
              <w:jc w:val="center"/>
              <w:rPr>
                <w:rFonts w:eastAsia="Times New Roman" w:cs="Arial"/>
                <w:color w:val="000000"/>
                <w:sz w:val="20"/>
                <w:szCs w:val="20"/>
                <w:lang w:eastAsia="en-AU"/>
              </w:rPr>
            </w:pPr>
          </w:p>
        </w:tc>
        <w:tc>
          <w:tcPr>
            <w:tcW w:w="560" w:type="pct"/>
            <w:tcBorders>
              <w:top w:val="nil"/>
              <w:left w:val="nil"/>
              <w:right w:val="nil"/>
            </w:tcBorders>
            <w:noWrap/>
            <w:vAlign w:val="bottom"/>
            <w:hideMark/>
          </w:tcPr>
          <w:p w14:paraId="54E6FF25"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5,000</w:t>
            </w:r>
          </w:p>
        </w:tc>
      </w:tr>
      <w:tr w:rsidR="008D0DAB" w:rsidRPr="00A15857" w14:paraId="2D03BFF3" w14:textId="77777777" w:rsidTr="413EB596">
        <w:trPr>
          <w:trHeight w:val="300"/>
        </w:trPr>
        <w:tc>
          <w:tcPr>
            <w:tcW w:w="4044" w:type="pct"/>
            <w:tcBorders>
              <w:top w:val="nil"/>
              <w:left w:val="nil"/>
              <w:bottom w:val="nil"/>
              <w:right w:val="nil"/>
            </w:tcBorders>
            <w:noWrap/>
            <w:vAlign w:val="center"/>
          </w:tcPr>
          <w:p w14:paraId="1F48F0A2"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Deferred consideration</w:t>
            </w:r>
          </w:p>
        </w:tc>
        <w:tc>
          <w:tcPr>
            <w:tcW w:w="396" w:type="pct"/>
            <w:tcBorders>
              <w:top w:val="nil"/>
              <w:left w:val="nil"/>
              <w:right w:val="nil"/>
            </w:tcBorders>
          </w:tcPr>
          <w:p w14:paraId="4C44423B" w14:textId="77777777" w:rsidR="008D0DAB" w:rsidRPr="00F65403"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6</w:t>
            </w:r>
          </w:p>
        </w:tc>
        <w:tc>
          <w:tcPr>
            <w:tcW w:w="560" w:type="pct"/>
            <w:tcBorders>
              <w:top w:val="nil"/>
              <w:left w:val="nil"/>
              <w:right w:val="nil"/>
            </w:tcBorders>
            <w:noWrap/>
            <w:vAlign w:val="bottom"/>
          </w:tcPr>
          <w:p w14:paraId="71ADA0EE"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8,000</w:t>
            </w:r>
          </w:p>
        </w:tc>
      </w:tr>
      <w:tr w:rsidR="008D0DAB" w:rsidRPr="00A15857" w14:paraId="4D5EDBB8" w14:textId="77777777" w:rsidTr="00E326C0">
        <w:trPr>
          <w:trHeight w:val="300"/>
        </w:trPr>
        <w:tc>
          <w:tcPr>
            <w:tcW w:w="4044" w:type="pct"/>
            <w:tcBorders>
              <w:top w:val="nil"/>
              <w:left w:val="nil"/>
              <w:bottom w:val="nil"/>
              <w:right w:val="nil"/>
            </w:tcBorders>
            <w:noWrap/>
            <w:vAlign w:val="center"/>
            <w:hideMark/>
          </w:tcPr>
          <w:p w14:paraId="03E79FED"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Directly attributable transaction costs capitalised</w:t>
            </w:r>
          </w:p>
        </w:tc>
        <w:tc>
          <w:tcPr>
            <w:tcW w:w="396" w:type="pct"/>
            <w:tcBorders>
              <w:top w:val="nil"/>
              <w:left w:val="nil"/>
              <w:right w:val="nil"/>
            </w:tcBorders>
          </w:tcPr>
          <w:p w14:paraId="67EF07FC" w14:textId="77777777" w:rsidR="008D0DAB" w:rsidRPr="00F65403" w:rsidRDefault="008D0DAB" w:rsidP="009B7B2A">
            <w:pPr>
              <w:spacing w:after="0" w:line="240" w:lineRule="auto"/>
              <w:jc w:val="center"/>
              <w:rPr>
                <w:rFonts w:eastAsia="Times New Roman" w:cs="Arial"/>
                <w:color w:val="000000"/>
                <w:sz w:val="20"/>
                <w:szCs w:val="20"/>
                <w:lang w:eastAsia="en-AU"/>
              </w:rPr>
            </w:pPr>
          </w:p>
        </w:tc>
        <w:tc>
          <w:tcPr>
            <w:tcW w:w="560" w:type="pct"/>
            <w:tcBorders>
              <w:left w:val="nil"/>
              <w:bottom w:val="single" w:sz="4" w:space="0" w:color="auto"/>
              <w:right w:val="nil"/>
            </w:tcBorders>
            <w:noWrap/>
            <w:vAlign w:val="bottom"/>
            <w:hideMark/>
          </w:tcPr>
          <w:p w14:paraId="581233EC" w14:textId="77777777" w:rsidR="008D0DAB" w:rsidRPr="00F65403" w:rsidRDefault="008D0DAB" w:rsidP="009B7B2A">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749</w:t>
            </w:r>
            <w:r w:rsidRPr="00F65403">
              <w:rPr>
                <w:rFonts w:eastAsia="Times New Roman" w:cs="Arial"/>
                <w:color w:val="000000"/>
                <w:sz w:val="20"/>
                <w:szCs w:val="20"/>
                <w:lang w:eastAsia="en-AU"/>
              </w:rPr>
              <w:t xml:space="preserve"> </w:t>
            </w:r>
          </w:p>
        </w:tc>
      </w:tr>
      <w:tr w:rsidR="008D0DAB" w:rsidRPr="00A15857" w14:paraId="5FA24C3F" w14:textId="77777777" w:rsidTr="00E326C0">
        <w:trPr>
          <w:trHeight w:val="300"/>
        </w:trPr>
        <w:tc>
          <w:tcPr>
            <w:tcW w:w="4044" w:type="pct"/>
            <w:tcBorders>
              <w:top w:val="nil"/>
              <w:left w:val="nil"/>
              <w:bottom w:val="nil"/>
              <w:right w:val="nil"/>
            </w:tcBorders>
            <w:noWrap/>
            <w:vAlign w:val="center"/>
            <w:hideMark/>
          </w:tcPr>
          <w:p w14:paraId="4B200CC4"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Total</w:t>
            </w:r>
          </w:p>
        </w:tc>
        <w:tc>
          <w:tcPr>
            <w:tcW w:w="396" w:type="pct"/>
            <w:tcBorders>
              <w:top w:val="nil"/>
              <w:left w:val="nil"/>
              <w:bottom w:val="nil"/>
              <w:right w:val="nil"/>
            </w:tcBorders>
          </w:tcPr>
          <w:p w14:paraId="27969CC3"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560" w:type="pct"/>
            <w:tcBorders>
              <w:top w:val="single" w:sz="4" w:space="0" w:color="auto"/>
              <w:left w:val="nil"/>
              <w:bottom w:val="single" w:sz="4" w:space="0" w:color="auto"/>
              <w:right w:val="nil"/>
            </w:tcBorders>
            <w:noWrap/>
            <w:vAlign w:val="bottom"/>
            <w:hideMark/>
          </w:tcPr>
          <w:p w14:paraId="5808AB59" w14:textId="77777777" w:rsidR="008D0DAB" w:rsidRPr="00F65403" w:rsidRDefault="008D0DAB" w:rsidP="009B7B2A">
            <w:pPr>
              <w:tabs>
                <w:tab w:val="decimal" w:pos="95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13,749</w:t>
            </w:r>
            <w:r w:rsidRPr="00F65403">
              <w:rPr>
                <w:rFonts w:eastAsia="Times New Roman" w:cs="Arial"/>
                <w:b/>
                <w:color w:val="000000"/>
                <w:sz w:val="20"/>
                <w:szCs w:val="20"/>
                <w:lang w:eastAsia="en-AU"/>
              </w:rPr>
              <w:t xml:space="preserve"> </w:t>
            </w:r>
          </w:p>
        </w:tc>
      </w:tr>
      <w:tr w:rsidR="008D0DAB" w:rsidRPr="00A15857" w14:paraId="1AB695F9" w14:textId="77777777" w:rsidTr="00E326C0">
        <w:trPr>
          <w:trHeight w:val="300"/>
        </w:trPr>
        <w:tc>
          <w:tcPr>
            <w:tcW w:w="4044" w:type="pct"/>
            <w:tcBorders>
              <w:top w:val="nil"/>
              <w:left w:val="nil"/>
              <w:bottom w:val="nil"/>
              <w:right w:val="nil"/>
            </w:tcBorders>
            <w:noWrap/>
            <w:vAlign w:val="center"/>
            <w:hideMark/>
          </w:tcPr>
          <w:p w14:paraId="705401B3" w14:textId="77777777" w:rsidR="008D0DAB" w:rsidRPr="00F65403" w:rsidRDefault="008D0DAB" w:rsidP="009B7B2A">
            <w:pPr>
              <w:spacing w:after="0" w:line="240" w:lineRule="auto"/>
              <w:rPr>
                <w:rFonts w:eastAsia="Times New Roman" w:cs="Arial"/>
                <w:sz w:val="20"/>
                <w:szCs w:val="20"/>
                <w:lang w:eastAsia="en-AU"/>
              </w:rPr>
            </w:pPr>
          </w:p>
        </w:tc>
        <w:tc>
          <w:tcPr>
            <w:tcW w:w="396" w:type="pct"/>
            <w:tcBorders>
              <w:top w:val="nil"/>
              <w:left w:val="nil"/>
              <w:bottom w:val="nil"/>
              <w:right w:val="nil"/>
            </w:tcBorders>
          </w:tcPr>
          <w:p w14:paraId="61D210AF" w14:textId="77777777" w:rsidR="008D0DAB" w:rsidRPr="00F65403" w:rsidRDefault="008D0DAB" w:rsidP="009B7B2A">
            <w:pPr>
              <w:spacing w:after="0" w:line="240" w:lineRule="auto"/>
              <w:jc w:val="center"/>
              <w:rPr>
                <w:rFonts w:eastAsia="Times New Roman" w:cs="Arial"/>
                <w:sz w:val="20"/>
                <w:szCs w:val="20"/>
                <w:lang w:eastAsia="en-AU"/>
              </w:rPr>
            </w:pPr>
          </w:p>
        </w:tc>
        <w:tc>
          <w:tcPr>
            <w:tcW w:w="560" w:type="pct"/>
            <w:tcBorders>
              <w:top w:val="single" w:sz="4" w:space="0" w:color="auto"/>
              <w:left w:val="nil"/>
              <w:bottom w:val="nil"/>
              <w:right w:val="nil"/>
            </w:tcBorders>
            <w:noWrap/>
            <w:vAlign w:val="bottom"/>
            <w:hideMark/>
          </w:tcPr>
          <w:p w14:paraId="52D6EFB3" w14:textId="77777777" w:rsidR="008D0DAB" w:rsidRPr="00F65403" w:rsidRDefault="008D0DAB" w:rsidP="009B7B2A">
            <w:pPr>
              <w:tabs>
                <w:tab w:val="decimal" w:pos="958"/>
              </w:tabs>
              <w:spacing w:after="0" w:line="240" w:lineRule="auto"/>
              <w:rPr>
                <w:rFonts w:eastAsia="Times New Roman" w:cs="Arial"/>
                <w:sz w:val="20"/>
                <w:szCs w:val="20"/>
                <w:lang w:eastAsia="en-AU"/>
              </w:rPr>
            </w:pPr>
          </w:p>
        </w:tc>
      </w:tr>
      <w:tr w:rsidR="008D0DAB" w:rsidRPr="00A15857" w14:paraId="3ADD32CB" w14:textId="77777777" w:rsidTr="00E326C0">
        <w:trPr>
          <w:trHeight w:val="300"/>
        </w:trPr>
        <w:tc>
          <w:tcPr>
            <w:tcW w:w="4044" w:type="pct"/>
            <w:tcBorders>
              <w:top w:val="nil"/>
              <w:left w:val="nil"/>
              <w:bottom w:val="nil"/>
              <w:right w:val="nil"/>
            </w:tcBorders>
            <w:noWrap/>
            <w:vAlign w:val="center"/>
            <w:hideMark/>
          </w:tcPr>
          <w:p w14:paraId="69A4332B"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Recognised as a</w:t>
            </w:r>
            <w:r w:rsidRPr="00F65403">
              <w:rPr>
                <w:rFonts w:eastAsia="Times New Roman" w:cs="Arial"/>
                <w:color w:val="000000"/>
                <w:sz w:val="20"/>
                <w:szCs w:val="20"/>
                <w:lang w:eastAsia="en-AU"/>
              </w:rPr>
              <w:t>ssets under construction</w:t>
            </w:r>
          </w:p>
        </w:tc>
        <w:tc>
          <w:tcPr>
            <w:tcW w:w="396" w:type="pct"/>
            <w:tcBorders>
              <w:top w:val="nil"/>
              <w:left w:val="nil"/>
              <w:right w:val="nil"/>
            </w:tcBorders>
          </w:tcPr>
          <w:p w14:paraId="5B4BDDEC" w14:textId="77777777" w:rsidR="008D0DAB" w:rsidRPr="00F65403" w:rsidRDefault="008D0DAB" w:rsidP="009B7B2A">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w:t>
            </w:r>
          </w:p>
        </w:tc>
        <w:tc>
          <w:tcPr>
            <w:tcW w:w="560" w:type="pct"/>
            <w:tcBorders>
              <w:top w:val="nil"/>
              <w:left w:val="nil"/>
              <w:bottom w:val="single" w:sz="4" w:space="0" w:color="auto"/>
              <w:right w:val="nil"/>
            </w:tcBorders>
            <w:noWrap/>
            <w:vAlign w:val="bottom"/>
            <w:hideMark/>
          </w:tcPr>
          <w:p w14:paraId="088D96C2" w14:textId="77777777" w:rsidR="008D0DAB" w:rsidRPr="00664D75" w:rsidRDefault="008D0DAB" w:rsidP="009B7B2A">
            <w:pPr>
              <w:tabs>
                <w:tab w:val="decimal" w:pos="958"/>
              </w:tabs>
              <w:spacing w:after="0" w:line="240" w:lineRule="auto"/>
              <w:rPr>
                <w:rFonts w:eastAsia="Times New Roman" w:cs="Arial"/>
                <w:bCs/>
                <w:color w:val="000000"/>
                <w:sz w:val="20"/>
                <w:szCs w:val="20"/>
                <w:lang w:eastAsia="en-AU"/>
              </w:rPr>
            </w:pPr>
            <w:r w:rsidRPr="00D15AF6">
              <w:rPr>
                <w:rFonts w:eastAsia="Times New Roman" w:cs="Arial"/>
                <w:color w:val="000000"/>
                <w:sz w:val="20"/>
                <w:szCs w:val="20"/>
                <w:lang w:eastAsia="en-AU"/>
              </w:rPr>
              <w:t xml:space="preserve">13,749 </w:t>
            </w:r>
          </w:p>
        </w:tc>
      </w:tr>
      <w:tr w:rsidR="008D0DAB" w:rsidRPr="00A15857" w14:paraId="1FEF4D67" w14:textId="77777777" w:rsidTr="00E326C0">
        <w:trPr>
          <w:trHeight w:val="300"/>
        </w:trPr>
        <w:tc>
          <w:tcPr>
            <w:tcW w:w="4044" w:type="pct"/>
            <w:tcBorders>
              <w:top w:val="nil"/>
              <w:left w:val="nil"/>
              <w:bottom w:val="nil"/>
              <w:right w:val="nil"/>
            </w:tcBorders>
            <w:noWrap/>
            <w:vAlign w:val="center"/>
            <w:hideMark/>
          </w:tcPr>
          <w:p w14:paraId="52F276ED"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Total assets acquired</w:t>
            </w:r>
          </w:p>
        </w:tc>
        <w:tc>
          <w:tcPr>
            <w:tcW w:w="396" w:type="pct"/>
            <w:tcBorders>
              <w:top w:val="nil"/>
              <w:left w:val="nil"/>
              <w:bottom w:val="nil"/>
              <w:right w:val="nil"/>
            </w:tcBorders>
          </w:tcPr>
          <w:p w14:paraId="3AC9527E"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560" w:type="pct"/>
            <w:tcBorders>
              <w:top w:val="single" w:sz="4" w:space="0" w:color="auto"/>
              <w:left w:val="nil"/>
              <w:bottom w:val="single" w:sz="4" w:space="0" w:color="auto"/>
              <w:right w:val="nil"/>
            </w:tcBorders>
            <w:noWrap/>
            <w:vAlign w:val="bottom"/>
            <w:hideMark/>
          </w:tcPr>
          <w:p w14:paraId="586E70EE" w14:textId="77777777" w:rsidR="008D0DAB" w:rsidRPr="00F65403" w:rsidRDefault="008D0DAB" w:rsidP="009B7B2A">
            <w:pPr>
              <w:tabs>
                <w:tab w:val="decimal" w:pos="958"/>
              </w:tabs>
              <w:spacing w:after="0" w:line="240" w:lineRule="auto"/>
              <w:rPr>
                <w:rFonts w:eastAsia="Times New Roman" w:cs="Arial"/>
                <w:b/>
                <w:color w:val="000000"/>
                <w:sz w:val="20"/>
                <w:szCs w:val="20"/>
                <w:lang w:eastAsia="en-AU"/>
              </w:rPr>
            </w:pPr>
            <w:r w:rsidRPr="00655641">
              <w:rPr>
                <w:rFonts w:eastAsia="Times New Roman" w:cs="Arial"/>
                <w:b/>
                <w:color w:val="000000"/>
                <w:sz w:val="20"/>
                <w:szCs w:val="20"/>
                <w:lang w:eastAsia="en-AU"/>
              </w:rPr>
              <w:t xml:space="preserve">13,749 </w:t>
            </w:r>
          </w:p>
        </w:tc>
      </w:tr>
    </w:tbl>
    <w:p w14:paraId="3A793452" w14:textId="59238747" w:rsidR="008D0DAB" w:rsidRDefault="008D0DAB" w:rsidP="008D0DAB">
      <w:pPr>
        <w:pStyle w:val="BodyText"/>
        <w:rPr>
          <w:rStyle w:val="Heading7Char"/>
        </w:rPr>
      </w:pPr>
      <w:r>
        <w:br/>
      </w:r>
      <w:r w:rsidRPr="6E213460">
        <w:rPr>
          <w:lang w:val="en-AU"/>
        </w:rPr>
        <w:t>Deferred consideration is payable on key project milestones achieved including solar energisation, battery energy storage system (</w:t>
      </w:r>
      <w:r>
        <w:t>BESS</w:t>
      </w:r>
      <w:r w:rsidRPr="6E213460">
        <w:rPr>
          <w:lang w:val="en-AU"/>
        </w:rPr>
        <w:t xml:space="preserve">) energisation and commercial operations date. </w:t>
      </w:r>
    </w:p>
    <w:p w14:paraId="7F21A7C9" w14:textId="3895D6FB" w:rsidR="6E213460" w:rsidRDefault="6E213460" w:rsidP="6E213460">
      <w:pPr>
        <w:pStyle w:val="BodyText"/>
        <w:rPr>
          <w:lang w:val="en-AU"/>
        </w:rPr>
      </w:pPr>
    </w:p>
    <w:p w14:paraId="56D907B4" w14:textId="77777777" w:rsidR="008D0DAB" w:rsidRPr="00F65403" w:rsidRDefault="008D0DAB" w:rsidP="008D0DAB">
      <w:pPr>
        <w:pStyle w:val="Heading7"/>
        <w:rPr>
          <w:rStyle w:val="Heading7Char"/>
          <w:b/>
        </w:rPr>
      </w:pPr>
      <w:r w:rsidRPr="00F65403">
        <w:rPr>
          <w:rStyle w:val="Heading7Char"/>
          <w:b/>
        </w:rPr>
        <w:t>Interests in equity accounted investees</w:t>
      </w:r>
    </w:p>
    <w:p w14:paraId="5F095D07" w14:textId="77777777" w:rsidR="008D0DAB" w:rsidRPr="00F65403" w:rsidRDefault="008D0DAB" w:rsidP="008D0DAB">
      <w:pPr>
        <w:pStyle w:val="BodyText"/>
        <w:rPr>
          <w:lang w:val="en-AU"/>
        </w:rPr>
      </w:pPr>
      <w:r w:rsidRPr="00F65403">
        <w:rPr>
          <w:lang w:val="en-AU"/>
        </w:rPr>
        <w:t xml:space="preserve">Set out below are the associates and joint ventures which are material to the Group at 30 June 2025. </w:t>
      </w:r>
    </w:p>
    <w:p w14:paraId="0542D12E" w14:textId="77777777" w:rsidR="008D0DAB" w:rsidRPr="00F65403" w:rsidRDefault="008D0DAB" w:rsidP="008D0DAB">
      <w:pPr>
        <w:pStyle w:val="BodyText"/>
        <w:rPr>
          <w:lang w:val="en-AU"/>
        </w:rPr>
      </w:pPr>
    </w:p>
    <w:p w14:paraId="6F5F79F2" w14:textId="77777777" w:rsidR="008D0DAB" w:rsidRPr="00F65403" w:rsidRDefault="008D0DAB" w:rsidP="008D0DAB">
      <w:pPr>
        <w:pStyle w:val="BodyText"/>
        <w:rPr>
          <w:lang w:val="en-AU"/>
        </w:rPr>
      </w:pPr>
      <w:r w:rsidRPr="00F65403">
        <w:rPr>
          <w:lang w:val="en-AU"/>
        </w:rPr>
        <w:t>All entities are incorporated and operate in Australia. Ownership interest remains unchanged from 30 June 2024.</w:t>
      </w:r>
    </w:p>
    <w:p w14:paraId="3CD62782" w14:textId="77777777" w:rsidR="008D0DAB" w:rsidRPr="00F65403" w:rsidRDefault="008D0DAB" w:rsidP="008D0DAB">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73"/>
        <w:gridCol w:w="1090"/>
        <w:gridCol w:w="996"/>
        <w:gridCol w:w="1190"/>
        <w:gridCol w:w="767"/>
        <w:gridCol w:w="1105"/>
        <w:gridCol w:w="1105"/>
      </w:tblGrid>
      <w:tr w:rsidR="008D0DAB" w:rsidRPr="00172070" w14:paraId="760110AC" w14:textId="77777777" w:rsidTr="009B7B2A">
        <w:tc>
          <w:tcPr>
            <w:tcW w:w="1536" w:type="pct"/>
            <w:tcBorders>
              <w:top w:val="nil"/>
              <w:bottom w:val="nil"/>
            </w:tcBorders>
            <w:vAlign w:val="bottom"/>
          </w:tcPr>
          <w:p w14:paraId="7EB683F5" w14:textId="77777777" w:rsidR="008D0DAB" w:rsidRPr="00F65403" w:rsidRDefault="008D0DAB" w:rsidP="009B7B2A">
            <w:pPr>
              <w:jc w:val="center"/>
              <w:rPr>
                <w:rFonts w:eastAsia="Times New Roman" w:cs="Arial"/>
                <w:b/>
                <w:color w:val="000000"/>
                <w:sz w:val="20"/>
                <w:szCs w:val="20"/>
                <w:lang w:eastAsia="en-AU"/>
              </w:rPr>
            </w:pPr>
          </w:p>
        </w:tc>
        <w:tc>
          <w:tcPr>
            <w:tcW w:w="604" w:type="pct"/>
            <w:tcBorders>
              <w:top w:val="nil"/>
              <w:bottom w:val="nil"/>
            </w:tcBorders>
            <w:vAlign w:val="bottom"/>
          </w:tcPr>
          <w:p w14:paraId="3AF15720" w14:textId="77777777" w:rsidR="008D0DAB" w:rsidRPr="00F65403" w:rsidRDefault="008D0DAB" w:rsidP="009B7B2A">
            <w:pPr>
              <w:jc w:val="center"/>
              <w:rPr>
                <w:rFonts w:eastAsia="Times New Roman" w:cs="Arial"/>
                <w:b/>
                <w:color w:val="000000"/>
                <w:sz w:val="20"/>
                <w:szCs w:val="20"/>
                <w:lang w:eastAsia="en-AU"/>
              </w:rPr>
            </w:pPr>
          </w:p>
        </w:tc>
        <w:tc>
          <w:tcPr>
            <w:tcW w:w="552" w:type="pct"/>
            <w:tcBorders>
              <w:top w:val="nil"/>
              <w:bottom w:val="nil"/>
            </w:tcBorders>
          </w:tcPr>
          <w:p w14:paraId="57A829AF" w14:textId="77777777" w:rsidR="008D0DAB" w:rsidRPr="00F65403" w:rsidRDefault="008D0DAB" w:rsidP="009B7B2A">
            <w:pPr>
              <w:jc w:val="center"/>
              <w:rPr>
                <w:rFonts w:eastAsia="Times New Roman" w:cs="Arial"/>
                <w:b/>
                <w:color w:val="000000"/>
                <w:sz w:val="20"/>
                <w:szCs w:val="20"/>
                <w:lang w:eastAsia="en-AU"/>
              </w:rPr>
            </w:pPr>
          </w:p>
        </w:tc>
        <w:tc>
          <w:tcPr>
            <w:tcW w:w="659" w:type="pct"/>
            <w:tcBorders>
              <w:top w:val="nil"/>
              <w:bottom w:val="nil"/>
            </w:tcBorders>
            <w:vAlign w:val="bottom"/>
          </w:tcPr>
          <w:p w14:paraId="69540E37" w14:textId="77777777" w:rsidR="008D0DAB" w:rsidRPr="00F65403" w:rsidRDefault="008D0DAB" w:rsidP="009B7B2A">
            <w:pPr>
              <w:jc w:val="center"/>
              <w:rPr>
                <w:rFonts w:eastAsia="Times New Roman" w:cs="Arial"/>
                <w:b/>
                <w:color w:val="000000"/>
                <w:sz w:val="20"/>
                <w:szCs w:val="20"/>
                <w:lang w:eastAsia="en-AU"/>
              </w:rPr>
            </w:pPr>
          </w:p>
        </w:tc>
        <w:tc>
          <w:tcPr>
            <w:tcW w:w="425" w:type="pct"/>
            <w:tcBorders>
              <w:top w:val="nil"/>
              <w:bottom w:val="nil"/>
            </w:tcBorders>
            <w:vAlign w:val="bottom"/>
          </w:tcPr>
          <w:p w14:paraId="58B2468B" w14:textId="77777777" w:rsidR="008D0DAB" w:rsidRPr="00F65403" w:rsidRDefault="008D0DAB" w:rsidP="009B7B2A">
            <w:pPr>
              <w:jc w:val="center"/>
              <w:rPr>
                <w:rFonts w:eastAsia="Times New Roman" w:cs="Arial"/>
                <w:b/>
                <w:color w:val="000000"/>
                <w:sz w:val="20"/>
                <w:szCs w:val="20"/>
                <w:lang w:eastAsia="en-AU"/>
              </w:rPr>
            </w:pPr>
          </w:p>
        </w:tc>
        <w:tc>
          <w:tcPr>
            <w:tcW w:w="1224" w:type="pct"/>
            <w:gridSpan w:val="2"/>
            <w:tcBorders>
              <w:top w:val="nil"/>
              <w:bottom w:val="nil"/>
            </w:tcBorders>
            <w:vAlign w:val="bottom"/>
          </w:tcPr>
          <w:p w14:paraId="4A493848"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r>
      <w:tr w:rsidR="008D0DAB" w:rsidRPr="0009330D" w14:paraId="3043882D" w14:textId="77777777" w:rsidTr="009B7B2A">
        <w:tc>
          <w:tcPr>
            <w:tcW w:w="1536" w:type="pct"/>
            <w:tcBorders>
              <w:top w:val="nil"/>
              <w:bottom w:val="single" w:sz="4" w:space="0" w:color="auto"/>
            </w:tcBorders>
            <w:vAlign w:val="bottom"/>
          </w:tcPr>
          <w:p w14:paraId="21E9939E" w14:textId="77777777" w:rsidR="008D0DAB" w:rsidRPr="00F65403" w:rsidRDefault="008D0DAB" w:rsidP="00AA3AC5">
            <w:pPr>
              <w:rPr>
                <w:rFonts w:eastAsia="Times New Roman" w:cs="Arial"/>
                <w:b/>
                <w:color w:val="000000"/>
                <w:sz w:val="20"/>
                <w:szCs w:val="20"/>
                <w:lang w:eastAsia="en-AU"/>
              </w:rPr>
            </w:pPr>
            <w:r w:rsidRPr="00F65403">
              <w:rPr>
                <w:rFonts w:eastAsia="Times New Roman" w:cs="Arial"/>
                <w:b/>
                <w:color w:val="000000"/>
                <w:sz w:val="20"/>
                <w:szCs w:val="20"/>
                <w:lang w:eastAsia="en-AU"/>
              </w:rPr>
              <w:t>Name of entity</w:t>
            </w:r>
          </w:p>
        </w:tc>
        <w:tc>
          <w:tcPr>
            <w:tcW w:w="604" w:type="pct"/>
            <w:tcBorders>
              <w:top w:val="nil"/>
              <w:bottom w:val="single" w:sz="4" w:space="0" w:color="auto"/>
            </w:tcBorders>
            <w:vAlign w:val="bottom"/>
          </w:tcPr>
          <w:p w14:paraId="18D0D510"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Ownership interest</w:t>
            </w:r>
          </w:p>
        </w:tc>
        <w:tc>
          <w:tcPr>
            <w:tcW w:w="552" w:type="pct"/>
            <w:tcBorders>
              <w:top w:val="nil"/>
              <w:bottom w:val="single" w:sz="4" w:space="0" w:color="auto"/>
            </w:tcBorders>
          </w:tcPr>
          <w:p w14:paraId="1E8A974A" w14:textId="77777777" w:rsidR="008D0DAB" w:rsidRPr="00F65403" w:rsidRDefault="008D0DAB" w:rsidP="009B7B2A">
            <w:pPr>
              <w:jc w:val="center"/>
              <w:rPr>
                <w:rFonts w:eastAsia="Times New Roman" w:cs="Arial"/>
                <w:b/>
                <w:color w:val="000000"/>
                <w:sz w:val="20"/>
                <w:szCs w:val="20"/>
                <w:lang w:eastAsia="en-AU"/>
              </w:rPr>
            </w:pPr>
            <w:r>
              <w:rPr>
                <w:rFonts w:eastAsia="Times New Roman" w:cs="Arial"/>
                <w:b/>
                <w:color w:val="000000"/>
                <w:sz w:val="20"/>
                <w:szCs w:val="20"/>
                <w:lang w:eastAsia="en-AU"/>
              </w:rPr>
              <w:t>Voting rights</w:t>
            </w:r>
          </w:p>
        </w:tc>
        <w:tc>
          <w:tcPr>
            <w:tcW w:w="659" w:type="pct"/>
            <w:tcBorders>
              <w:top w:val="nil"/>
              <w:bottom w:val="single" w:sz="4" w:space="0" w:color="auto"/>
            </w:tcBorders>
            <w:vAlign w:val="bottom"/>
          </w:tcPr>
          <w:p w14:paraId="45DAA881"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Nature of relationship</w:t>
            </w:r>
          </w:p>
        </w:tc>
        <w:tc>
          <w:tcPr>
            <w:tcW w:w="425" w:type="pct"/>
            <w:tcBorders>
              <w:top w:val="nil"/>
              <w:bottom w:val="single" w:sz="4" w:space="0" w:color="auto"/>
            </w:tcBorders>
            <w:vAlign w:val="bottom"/>
          </w:tcPr>
          <w:p w14:paraId="707F46A9"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Method</w:t>
            </w:r>
          </w:p>
        </w:tc>
        <w:tc>
          <w:tcPr>
            <w:tcW w:w="612" w:type="pct"/>
            <w:tcBorders>
              <w:top w:val="nil"/>
              <w:bottom w:val="single" w:sz="4" w:space="0" w:color="auto"/>
            </w:tcBorders>
            <w:vAlign w:val="bottom"/>
          </w:tcPr>
          <w:p w14:paraId="5DC6AD84"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12" w:type="pct"/>
            <w:tcBorders>
              <w:top w:val="nil"/>
              <w:bottom w:val="single" w:sz="4" w:space="0" w:color="auto"/>
            </w:tcBorders>
            <w:vAlign w:val="bottom"/>
          </w:tcPr>
          <w:p w14:paraId="29FB7EFD"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172070" w14:paraId="68DF8C6B" w14:textId="77777777" w:rsidTr="009B7B2A">
        <w:tc>
          <w:tcPr>
            <w:tcW w:w="1536" w:type="pct"/>
            <w:tcBorders>
              <w:top w:val="single" w:sz="4" w:space="0" w:color="auto"/>
              <w:bottom w:val="nil"/>
            </w:tcBorders>
            <w:vAlign w:val="bottom"/>
          </w:tcPr>
          <w:p w14:paraId="29CBFF24" w14:textId="77777777" w:rsidR="008D0DAB" w:rsidRPr="00F65403" w:rsidRDefault="008D0DAB" w:rsidP="009B7B2A">
            <w:pPr>
              <w:jc w:val="center"/>
              <w:rPr>
                <w:rFonts w:eastAsia="Times New Roman" w:cs="Arial"/>
                <w:b/>
                <w:color w:val="000000"/>
                <w:sz w:val="20"/>
                <w:szCs w:val="20"/>
                <w:lang w:eastAsia="en-AU"/>
              </w:rPr>
            </w:pPr>
          </w:p>
        </w:tc>
        <w:tc>
          <w:tcPr>
            <w:tcW w:w="604" w:type="pct"/>
            <w:tcBorders>
              <w:top w:val="single" w:sz="4" w:space="0" w:color="auto"/>
              <w:bottom w:val="nil"/>
            </w:tcBorders>
            <w:vAlign w:val="bottom"/>
          </w:tcPr>
          <w:p w14:paraId="1207C4EC"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552" w:type="pct"/>
            <w:tcBorders>
              <w:top w:val="single" w:sz="4" w:space="0" w:color="auto"/>
              <w:bottom w:val="nil"/>
            </w:tcBorders>
          </w:tcPr>
          <w:p w14:paraId="4F1A5817" w14:textId="77777777" w:rsidR="008D0DAB" w:rsidRPr="00F65403" w:rsidRDefault="008D0DAB" w:rsidP="009B7B2A">
            <w:pPr>
              <w:jc w:val="center"/>
              <w:rPr>
                <w:rFonts w:eastAsia="Times New Roman" w:cs="Arial"/>
                <w:b/>
                <w:color w:val="000000"/>
                <w:sz w:val="20"/>
                <w:szCs w:val="20"/>
                <w:lang w:eastAsia="en-AU"/>
              </w:rPr>
            </w:pPr>
            <w:r>
              <w:rPr>
                <w:rFonts w:eastAsia="Times New Roman" w:cs="Arial"/>
                <w:b/>
                <w:color w:val="000000"/>
                <w:sz w:val="20"/>
                <w:szCs w:val="20"/>
                <w:lang w:eastAsia="en-AU"/>
              </w:rPr>
              <w:t>%</w:t>
            </w:r>
          </w:p>
        </w:tc>
        <w:tc>
          <w:tcPr>
            <w:tcW w:w="659" w:type="pct"/>
            <w:tcBorders>
              <w:top w:val="single" w:sz="4" w:space="0" w:color="auto"/>
              <w:bottom w:val="nil"/>
            </w:tcBorders>
            <w:vAlign w:val="bottom"/>
          </w:tcPr>
          <w:p w14:paraId="40B259B3" w14:textId="77777777" w:rsidR="008D0DAB" w:rsidRPr="00F65403" w:rsidRDefault="008D0DAB" w:rsidP="009B7B2A">
            <w:pPr>
              <w:jc w:val="center"/>
              <w:rPr>
                <w:rFonts w:eastAsia="Times New Roman" w:cs="Arial"/>
                <w:b/>
                <w:color w:val="000000"/>
                <w:sz w:val="20"/>
                <w:szCs w:val="20"/>
                <w:lang w:eastAsia="en-AU"/>
              </w:rPr>
            </w:pPr>
          </w:p>
        </w:tc>
        <w:tc>
          <w:tcPr>
            <w:tcW w:w="425" w:type="pct"/>
            <w:tcBorders>
              <w:top w:val="single" w:sz="4" w:space="0" w:color="auto"/>
              <w:bottom w:val="nil"/>
            </w:tcBorders>
            <w:vAlign w:val="bottom"/>
          </w:tcPr>
          <w:p w14:paraId="1527FEB9" w14:textId="77777777" w:rsidR="008D0DAB" w:rsidRPr="00F65403" w:rsidRDefault="008D0DAB" w:rsidP="009B7B2A">
            <w:pPr>
              <w:jc w:val="center"/>
              <w:rPr>
                <w:rFonts w:eastAsia="Times New Roman" w:cs="Arial"/>
                <w:b/>
                <w:color w:val="000000"/>
                <w:sz w:val="20"/>
                <w:szCs w:val="20"/>
                <w:lang w:eastAsia="en-AU"/>
              </w:rPr>
            </w:pPr>
          </w:p>
        </w:tc>
        <w:tc>
          <w:tcPr>
            <w:tcW w:w="612" w:type="pct"/>
            <w:tcBorders>
              <w:top w:val="single" w:sz="4" w:space="0" w:color="auto"/>
              <w:bottom w:val="nil"/>
            </w:tcBorders>
            <w:vAlign w:val="bottom"/>
          </w:tcPr>
          <w:p w14:paraId="3A63B8C1"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12" w:type="pct"/>
            <w:tcBorders>
              <w:top w:val="single" w:sz="4" w:space="0" w:color="auto"/>
              <w:bottom w:val="nil"/>
            </w:tcBorders>
            <w:vAlign w:val="bottom"/>
          </w:tcPr>
          <w:p w14:paraId="1EB38AC6" w14:textId="77777777" w:rsidR="008D0DAB" w:rsidRPr="00F65403" w:rsidRDefault="008D0DAB" w:rsidP="009B7B2A">
            <w:pPr>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09330D" w14:paraId="10E37B85" w14:textId="77777777" w:rsidTr="009B7B2A">
        <w:tc>
          <w:tcPr>
            <w:tcW w:w="1536" w:type="pct"/>
            <w:tcBorders>
              <w:top w:val="nil"/>
              <w:bottom w:val="nil"/>
            </w:tcBorders>
          </w:tcPr>
          <w:p w14:paraId="631AD171" w14:textId="77777777" w:rsidR="008D0DAB" w:rsidRPr="00F65403" w:rsidRDefault="008D0DAB" w:rsidP="009B7B2A">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A1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4" w:type="pct"/>
            <w:tcBorders>
              <w:top w:val="nil"/>
              <w:bottom w:val="nil"/>
            </w:tcBorders>
          </w:tcPr>
          <w:p w14:paraId="16E1BD76"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30</w:t>
            </w:r>
          </w:p>
        </w:tc>
        <w:tc>
          <w:tcPr>
            <w:tcW w:w="552" w:type="pct"/>
            <w:tcBorders>
              <w:top w:val="nil"/>
              <w:bottom w:val="nil"/>
            </w:tcBorders>
          </w:tcPr>
          <w:p w14:paraId="6D2E1070" w14:textId="77777777" w:rsidR="008D0DAB" w:rsidRPr="00F65403" w:rsidRDefault="008D0DAB" w:rsidP="009B7B2A">
            <w:pPr>
              <w:jc w:val="center"/>
              <w:rPr>
                <w:rFonts w:eastAsia="Times New Roman" w:cs="Arial"/>
                <w:color w:val="000000"/>
                <w:sz w:val="20"/>
                <w:szCs w:val="20"/>
                <w:lang w:eastAsia="en-AU"/>
              </w:rPr>
            </w:pPr>
            <w:r>
              <w:rPr>
                <w:rFonts w:eastAsia="Times New Roman" w:cs="Arial"/>
                <w:color w:val="000000"/>
                <w:sz w:val="20"/>
                <w:szCs w:val="20"/>
                <w:lang w:eastAsia="en-AU"/>
              </w:rPr>
              <w:t>30</w:t>
            </w:r>
          </w:p>
        </w:tc>
        <w:tc>
          <w:tcPr>
            <w:tcW w:w="659" w:type="pct"/>
            <w:tcBorders>
              <w:top w:val="nil"/>
              <w:bottom w:val="nil"/>
            </w:tcBorders>
          </w:tcPr>
          <w:p w14:paraId="1B3977D9"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425" w:type="pct"/>
            <w:tcBorders>
              <w:top w:val="nil"/>
              <w:bottom w:val="nil"/>
            </w:tcBorders>
          </w:tcPr>
          <w:p w14:paraId="06B78DB0"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612" w:type="pct"/>
            <w:tcBorders>
              <w:top w:val="nil"/>
              <w:bottom w:val="nil"/>
            </w:tcBorders>
            <w:vAlign w:val="bottom"/>
          </w:tcPr>
          <w:p w14:paraId="4AC341D9"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71,066</w:t>
            </w:r>
          </w:p>
        </w:tc>
        <w:tc>
          <w:tcPr>
            <w:tcW w:w="612" w:type="pct"/>
            <w:tcBorders>
              <w:top w:val="nil"/>
              <w:bottom w:val="nil"/>
            </w:tcBorders>
            <w:vAlign w:val="bottom"/>
          </w:tcPr>
          <w:p w14:paraId="3FC2026A"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29,659</w:t>
            </w:r>
          </w:p>
        </w:tc>
      </w:tr>
      <w:tr w:rsidR="008D0DAB" w:rsidRPr="0009330D" w14:paraId="6C1CD101" w14:textId="77777777" w:rsidTr="009B7B2A">
        <w:tc>
          <w:tcPr>
            <w:tcW w:w="1536" w:type="pct"/>
            <w:tcBorders>
              <w:top w:val="nil"/>
              <w:bottom w:val="nil"/>
            </w:tcBorders>
          </w:tcPr>
          <w:p w14:paraId="02065D16" w14:textId="77777777" w:rsidR="008D0DAB" w:rsidRPr="00F65403" w:rsidRDefault="008D0DAB" w:rsidP="009B7B2A">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A2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4" w:type="pct"/>
            <w:tcBorders>
              <w:top w:val="nil"/>
              <w:bottom w:val="nil"/>
            </w:tcBorders>
          </w:tcPr>
          <w:p w14:paraId="492DB835"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30</w:t>
            </w:r>
          </w:p>
        </w:tc>
        <w:tc>
          <w:tcPr>
            <w:tcW w:w="552" w:type="pct"/>
            <w:tcBorders>
              <w:top w:val="nil"/>
              <w:bottom w:val="nil"/>
            </w:tcBorders>
          </w:tcPr>
          <w:p w14:paraId="7A00B154" w14:textId="77777777" w:rsidR="008D0DAB" w:rsidRPr="00F65403" w:rsidRDefault="008D0DAB" w:rsidP="009B7B2A">
            <w:pPr>
              <w:jc w:val="center"/>
              <w:rPr>
                <w:rFonts w:eastAsia="Times New Roman" w:cs="Arial"/>
                <w:color w:val="000000"/>
                <w:sz w:val="20"/>
                <w:szCs w:val="20"/>
                <w:lang w:eastAsia="en-AU"/>
              </w:rPr>
            </w:pPr>
            <w:r>
              <w:rPr>
                <w:rFonts w:eastAsia="Times New Roman" w:cs="Arial"/>
                <w:color w:val="000000"/>
                <w:sz w:val="20"/>
                <w:szCs w:val="20"/>
                <w:lang w:eastAsia="en-AU"/>
              </w:rPr>
              <w:t>30</w:t>
            </w:r>
          </w:p>
        </w:tc>
        <w:tc>
          <w:tcPr>
            <w:tcW w:w="659" w:type="pct"/>
            <w:tcBorders>
              <w:top w:val="nil"/>
              <w:bottom w:val="nil"/>
            </w:tcBorders>
          </w:tcPr>
          <w:p w14:paraId="079FDFD3"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425" w:type="pct"/>
            <w:tcBorders>
              <w:top w:val="nil"/>
              <w:bottom w:val="nil"/>
            </w:tcBorders>
          </w:tcPr>
          <w:p w14:paraId="1B5A6251"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612" w:type="pct"/>
            <w:tcBorders>
              <w:top w:val="nil"/>
              <w:bottom w:val="nil"/>
            </w:tcBorders>
            <w:vAlign w:val="bottom"/>
          </w:tcPr>
          <w:p w14:paraId="757A8DE5"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67,112</w:t>
            </w:r>
          </w:p>
        </w:tc>
        <w:tc>
          <w:tcPr>
            <w:tcW w:w="612" w:type="pct"/>
            <w:tcBorders>
              <w:top w:val="nil"/>
              <w:bottom w:val="nil"/>
            </w:tcBorders>
            <w:vAlign w:val="bottom"/>
          </w:tcPr>
          <w:p w14:paraId="79A28D8A"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24,857</w:t>
            </w:r>
          </w:p>
        </w:tc>
      </w:tr>
      <w:tr w:rsidR="008D0DAB" w:rsidRPr="0009330D" w14:paraId="104FBED7" w14:textId="77777777" w:rsidTr="009B7B2A">
        <w:tc>
          <w:tcPr>
            <w:tcW w:w="1536" w:type="pct"/>
            <w:tcBorders>
              <w:top w:val="nil"/>
              <w:bottom w:val="nil"/>
            </w:tcBorders>
          </w:tcPr>
          <w:p w14:paraId="288B0688" w14:textId="77777777" w:rsidR="008D0DAB" w:rsidRPr="00F65403" w:rsidRDefault="008D0DAB" w:rsidP="009B7B2A">
            <w:pPr>
              <w:rPr>
                <w:rFonts w:eastAsia="Times New Roman" w:cs="Arial"/>
                <w:color w:val="000000"/>
                <w:sz w:val="20"/>
                <w:szCs w:val="20"/>
                <w:lang w:eastAsia="en-AU"/>
              </w:rPr>
            </w:pPr>
            <w:r w:rsidRPr="00F65403">
              <w:rPr>
                <w:rFonts w:eastAsia="Times New Roman" w:cs="Arial"/>
                <w:color w:val="000000"/>
                <w:sz w:val="20"/>
                <w:szCs w:val="20"/>
                <w:lang w:eastAsia="en-AU"/>
              </w:rPr>
              <w:t xml:space="preserve">Equis Energy (Australia) Projects (MREH A3 </w:t>
            </w:r>
            <w:proofErr w:type="spellStart"/>
            <w:r w:rsidRPr="00F65403">
              <w:rPr>
                <w:rFonts w:eastAsia="Times New Roman" w:cs="Arial"/>
                <w:color w:val="000000"/>
                <w:sz w:val="20"/>
                <w:szCs w:val="20"/>
                <w:lang w:eastAsia="en-AU"/>
              </w:rPr>
              <w:t>HoldCo</w:t>
            </w:r>
            <w:proofErr w:type="spellEnd"/>
            <w:r w:rsidRPr="00F65403">
              <w:rPr>
                <w:rFonts w:eastAsia="Times New Roman" w:cs="Arial"/>
                <w:color w:val="000000"/>
                <w:sz w:val="20"/>
                <w:szCs w:val="20"/>
                <w:lang w:eastAsia="en-AU"/>
              </w:rPr>
              <w:t>) Pty Ltd </w:t>
            </w:r>
          </w:p>
        </w:tc>
        <w:tc>
          <w:tcPr>
            <w:tcW w:w="604" w:type="pct"/>
            <w:tcBorders>
              <w:top w:val="nil"/>
              <w:bottom w:val="nil"/>
            </w:tcBorders>
          </w:tcPr>
          <w:p w14:paraId="788649EC"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4</w:t>
            </w:r>
            <w:r>
              <w:rPr>
                <w:rFonts w:eastAsia="Times New Roman" w:cs="Arial"/>
                <w:color w:val="000000"/>
                <w:sz w:val="20"/>
                <w:szCs w:val="20"/>
                <w:lang w:eastAsia="en-AU"/>
              </w:rPr>
              <w:t>7</w:t>
            </w:r>
          </w:p>
        </w:tc>
        <w:tc>
          <w:tcPr>
            <w:tcW w:w="552" w:type="pct"/>
            <w:tcBorders>
              <w:top w:val="nil"/>
              <w:bottom w:val="nil"/>
            </w:tcBorders>
          </w:tcPr>
          <w:p w14:paraId="52CEDD9E" w14:textId="77777777" w:rsidR="008D0DAB" w:rsidRPr="00F65403" w:rsidRDefault="008D0DAB" w:rsidP="009B7B2A">
            <w:pPr>
              <w:jc w:val="center"/>
              <w:rPr>
                <w:rFonts w:eastAsia="Times New Roman" w:cs="Arial"/>
                <w:color w:val="000000"/>
                <w:sz w:val="20"/>
                <w:szCs w:val="20"/>
                <w:lang w:eastAsia="en-AU"/>
              </w:rPr>
            </w:pPr>
            <w:r>
              <w:rPr>
                <w:rFonts w:eastAsia="Times New Roman" w:cs="Arial"/>
                <w:color w:val="000000"/>
                <w:sz w:val="20"/>
                <w:szCs w:val="20"/>
                <w:lang w:eastAsia="en-AU"/>
              </w:rPr>
              <w:t>49</w:t>
            </w:r>
          </w:p>
        </w:tc>
        <w:tc>
          <w:tcPr>
            <w:tcW w:w="659" w:type="pct"/>
            <w:tcBorders>
              <w:top w:val="nil"/>
              <w:bottom w:val="nil"/>
            </w:tcBorders>
          </w:tcPr>
          <w:p w14:paraId="6518CC0A"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Joint venture</w:t>
            </w:r>
          </w:p>
        </w:tc>
        <w:tc>
          <w:tcPr>
            <w:tcW w:w="425" w:type="pct"/>
            <w:tcBorders>
              <w:top w:val="nil"/>
              <w:bottom w:val="nil"/>
            </w:tcBorders>
          </w:tcPr>
          <w:p w14:paraId="03588D14" w14:textId="77777777" w:rsidR="008D0DAB" w:rsidRPr="00F65403" w:rsidRDefault="008D0DAB" w:rsidP="009B7B2A">
            <w:pPr>
              <w:jc w:val="center"/>
              <w:rPr>
                <w:rFonts w:eastAsia="Times New Roman" w:cs="Arial"/>
                <w:color w:val="000000"/>
                <w:sz w:val="20"/>
                <w:szCs w:val="20"/>
                <w:lang w:eastAsia="en-AU"/>
              </w:rPr>
            </w:pPr>
            <w:r w:rsidRPr="00F65403">
              <w:rPr>
                <w:rFonts w:eastAsia="Times New Roman" w:cs="Arial"/>
                <w:color w:val="000000"/>
                <w:sz w:val="20"/>
                <w:szCs w:val="20"/>
                <w:lang w:eastAsia="en-AU"/>
              </w:rPr>
              <w:t>Equity</w:t>
            </w:r>
          </w:p>
        </w:tc>
        <w:tc>
          <w:tcPr>
            <w:tcW w:w="612" w:type="pct"/>
            <w:tcBorders>
              <w:top w:val="nil"/>
              <w:bottom w:val="single" w:sz="4" w:space="0" w:color="auto"/>
            </w:tcBorders>
            <w:vAlign w:val="bottom"/>
          </w:tcPr>
          <w:p w14:paraId="7728EBE3"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38,578</w:t>
            </w:r>
          </w:p>
        </w:tc>
        <w:tc>
          <w:tcPr>
            <w:tcW w:w="612" w:type="pct"/>
            <w:tcBorders>
              <w:top w:val="nil"/>
              <w:bottom w:val="single" w:sz="4" w:space="0" w:color="auto"/>
            </w:tcBorders>
            <w:vAlign w:val="bottom"/>
          </w:tcPr>
          <w:p w14:paraId="77EE696F" w14:textId="77777777" w:rsidR="008D0DAB" w:rsidRPr="00F65403" w:rsidRDefault="008D0DAB" w:rsidP="009B7B2A">
            <w:pPr>
              <w:tabs>
                <w:tab w:val="decimal" w:pos="958"/>
              </w:tabs>
              <w:rPr>
                <w:rFonts w:eastAsia="Times New Roman" w:cs="Arial"/>
                <w:color w:val="000000"/>
                <w:sz w:val="20"/>
                <w:szCs w:val="20"/>
                <w:lang w:eastAsia="en-AU"/>
              </w:rPr>
            </w:pPr>
            <w:r>
              <w:rPr>
                <w:rFonts w:eastAsia="Times New Roman" w:cs="Arial"/>
                <w:color w:val="000000"/>
                <w:sz w:val="20"/>
                <w:szCs w:val="20"/>
                <w:lang w:eastAsia="en-AU"/>
              </w:rPr>
              <w:t>10,398</w:t>
            </w:r>
          </w:p>
        </w:tc>
      </w:tr>
      <w:tr w:rsidR="0031125F" w:rsidRPr="0009330D" w14:paraId="2ACB5735" w14:textId="77777777" w:rsidTr="0031125F">
        <w:tc>
          <w:tcPr>
            <w:tcW w:w="3776" w:type="pct"/>
            <w:gridSpan w:val="5"/>
            <w:tcBorders>
              <w:top w:val="nil"/>
            </w:tcBorders>
          </w:tcPr>
          <w:p w14:paraId="139AC56D" w14:textId="77777777" w:rsidR="0031125F" w:rsidRPr="00F65403" w:rsidRDefault="0031125F" w:rsidP="009B7B2A">
            <w:pPr>
              <w:rPr>
                <w:rFonts w:eastAsia="Times New Roman" w:cs="Arial"/>
                <w:b/>
                <w:color w:val="000000"/>
                <w:sz w:val="20"/>
                <w:szCs w:val="20"/>
                <w:lang w:eastAsia="en-AU"/>
              </w:rPr>
            </w:pPr>
            <w:r w:rsidRPr="00F65403">
              <w:rPr>
                <w:rFonts w:eastAsia="Times New Roman" w:cs="Arial"/>
                <w:b/>
                <w:color w:val="000000"/>
                <w:sz w:val="20"/>
                <w:szCs w:val="20"/>
                <w:lang w:eastAsia="en-AU"/>
              </w:rPr>
              <w:t>Total equity-accounted investments </w:t>
            </w:r>
          </w:p>
        </w:tc>
        <w:tc>
          <w:tcPr>
            <w:tcW w:w="612" w:type="pct"/>
            <w:tcBorders>
              <w:top w:val="single" w:sz="4" w:space="0" w:color="auto"/>
              <w:bottom w:val="single" w:sz="4" w:space="0" w:color="auto"/>
            </w:tcBorders>
            <w:vAlign w:val="bottom"/>
          </w:tcPr>
          <w:p w14:paraId="3394AB9C" w14:textId="77777777" w:rsidR="0031125F" w:rsidRPr="00F65403" w:rsidRDefault="0031125F" w:rsidP="009B7B2A">
            <w:pPr>
              <w:tabs>
                <w:tab w:val="decimal" w:pos="958"/>
              </w:tabs>
              <w:rPr>
                <w:rFonts w:eastAsia="Times New Roman" w:cs="Arial"/>
                <w:b/>
                <w:color w:val="000000"/>
                <w:sz w:val="20"/>
                <w:szCs w:val="20"/>
                <w:lang w:eastAsia="en-AU"/>
              </w:rPr>
            </w:pPr>
            <w:r>
              <w:rPr>
                <w:rFonts w:eastAsia="Times New Roman" w:cs="Arial"/>
                <w:b/>
                <w:color w:val="000000"/>
                <w:sz w:val="20"/>
                <w:szCs w:val="20"/>
                <w:lang w:eastAsia="en-AU"/>
              </w:rPr>
              <w:t>176,756</w:t>
            </w:r>
          </w:p>
        </w:tc>
        <w:tc>
          <w:tcPr>
            <w:tcW w:w="612" w:type="pct"/>
            <w:tcBorders>
              <w:top w:val="single" w:sz="4" w:space="0" w:color="auto"/>
              <w:bottom w:val="single" w:sz="4" w:space="0" w:color="auto"/>
            </w:tcBorders>
            <w:vAlign w:val="bottom"/>
          </w:tcPr>
          <w:p w14:paraId="69883E4F" w14:textId="77777777" w:rsidR="0031125F" w:rsidRPr="00F65403" w:rsidRDefault="0031125F" w:rsidP="009B7B2A">
            <w:pPr>
              <w:tabs>
                <w:tab w:val="decimal" w:pos="958"/>
              </w:tabs>
              <w:rPr>
                <w:rFonts w:eastAsia="Times New Roman" w:cs="Arial"/>
                <w:b/>
                <w:color w:val="000000"/>
                <w:sz w:val="20"/>
                <w:szCs w:val="20"/>
                <w:lang w:eastAsia="en-AU"/>
              </w:rPr>
            </w:pPr>
            <w:r w:rsidRPr="00F65403">
              <w:rPr>
                <w:rFonts w:eastAsia="Times New Roman" w:cs="Arial"/>
                <w:b/>
                <w:color w:val="000000"/>
                <w:sz w:val="20"/>
                <w:szCs w:val="20"/>
                <w:lang w:eastAsia="en-AU"/>
              </w:rPr>
              <w:t>64,913</w:t>
            </w:r>
          </w:p>
        </w:tc>
      </w:tr>
    </w:tbl>
    <w:p w14:paraId="55DD656B" w14:textId="77777777" w:rsidR="008D0DAB" w:rsidRPr="00F65403" w:rsidRDefault="008D0DAB" w:rsidP="008D0DAB">
      <w:pPr>
        <w:pStyle w:val="BodyText"/>
        <w:rPr>
          <w:lang w:val="en-AU"/>
        </w:rPr>
      </w:pPr>
    </w:p>
    <w:p w14:paraId="2988998E" w14:textId="77777777" w:rsidR="008D0DAB" w:rsidRPr="00F65403" w:rsidRDefault="008D0DAB" w:rsidP="008D0DAB">
      <w:pPr>
        <w:pStyle w:val="BodyText"/>
        <w:rPr>
          <w:lang w:val="en-AU"/>
        </w:rPr>
      </w:pPr>
      <w:r w:rsidRPr="00F65403">
        <w:rPr>
          <w:lang w:val="en-AU"/>
        </w:rPr>
        <w:t>In November 2023, the Group committed to invest $245 million in the Melbourne Renewable Energy Hub (MREH) project being developed near Melton, Victoria by Equis Australia. Its value in the financial report is represented by the cash calls injected into the project to support construction, offset by any gain</w:t>
      </w:r>
      <w:r>
        <w:rPr>
          <w:lang w:val="en-AU"/>
        </w:rPr>
        <w:t xml:space="preserve"> or </w:t>
      </w:r>
      <w:r w:rsidRPr="00F65403">
        <w:rPr>
          <w:lang w:val="en-AU"/>
        </w:rPr>
        <w:t xml:space="preserve">loss incurred by the investee. </w:t>
      </w:r>
    </w:p>
    <w:p w14:paraId="7877B4B3" w14:textId="77777777" w:rsidR="008D0DAB" w:rsidRPr="00F65403" w:rsidRDefault="008D0DAB" w:rsidP="008D0DAB">
      <w:pPr>
        <w:pStyle w:val="BodyText"/>
        <w:rPr>
          <w:lang w:val="en-AU"/>
        </w:rPr>
      </w:pPr>
    </w:p>
    <w:p w14:paraId="235C283F" w14:textId="77777777" w:rsidR="008D0DAB" w:rsidRPr="00F65403" w:rsidRDefault="008D0DAB" w:rsidP="008D0DAB">
      <w:pPr>
        <w:pStyle w:val="Heading8"/>
      </w:pPr>
      <w:proofErr w:type="spellStart"/>
      <w:r>
        <w:t>i</w:t>
      </w:r>
      <w:proofErr w:type="spellEnd"/>
      <w:r>
        <w:t>.</w:t>
      </w:r>
      <w:r>
        <w:tab/>
        <w:t>Principles of equity accounting</w:t>
      </w:r>
    </w:p>
    <w:p w14:paraId="2180BE0C" w14:textId="77777777" w:rsidR="008D0DAB" w:rsidRPr="00F65403" w:rsidRDefault="008D0DAB" w:rsidP="008D0DAB">
      <w:pPr>
        <w:pStyle w:val="Heading9"/>
      </w:pPr>
      <w:r w:rsidRPr="00F65403">
        <w:t xml:space="preserve">Joint arrangements </w:t>
      </w:r>
    </w:p>
    <w:p w14:paraId="63079EEF" w14:textId="77777777" w:rsidR="008D0DAB" w:rsidRPr="00F65403" w:rsidRDefault="008D0DAB" w:rsidP="008D0DAB">
      <w:pPr>
        <w:pStyle w:val="BodyText"/>
        <w:rPr>
          <w:lang w:val="en-AU"/>
        </w:rPr>
      </w:pPr>
      <w:r w:rsidRPr="00F65403">
        <w:rPr>
          <w:lang w:val="en-AU"/>
        </w:rPr>
        <w:t xml:space="preserve">Under AASB 11 </w:t>
      </w:r>
      <w:r w:rsidRPr="00AA3AC5">
        <w:rPr>
          <w:i/>
          <w:iCs/>
          <w:lang w:val="en-AU"/>
        </w:rPr>
        <w:t>Joint Arrangements</w:t>
      </w:r>
      <w:r w:rsidRPr="00F65403">
        <w:rPr>
          <w:lang w:val="en-AU"/>
        </w:rPr>
        <w:t xml:space="preserve"> investments in joint arrangements are classified as either joint operations or joint ventures. The classification depends on the contractual rights and obligations of each investor, rather than the legal structure of the joint arrangement. The Group has interests in joint ventures, which are accounted for using the equity method, after initially being recognised at cost in the consolidated statement of financial position.</w:t>
      </w:r>
    </w:p>
    <w:p w14:paraId="36692917" w14:textId="77777777" w:rsidR="008D0DAB" w:rsidRPr="00F65403" w:rsidRDefault="008D0DAB" w:rsidP="008D0DAB">
      <w:pPr>
        <w:pStyle w:val="BodyText"/>
        <w:rPr>
          <w:lang w:val="en-AU"/>
        </w:rPr>
      </w:pPr>
    </w:p>
    <w:p w14:paraId="7B5A3144" w14:textId="77777777" w:rsidR="008D0DAB" w:rsidRPr="00F65403" w:rsidRDefault="008D0DAB" w:rsidP="008D0DAB">
      <w:pPr>
        <w:pStyle w:val="Heading9"/>
      </w:pPr>
      <w:r w:rsidRPr="00F65403">
        <w:rPr>
          <w:rStyle w:val="Heading8Char"/>
          <w:b w:val="0"/>
          <w:i/>
        </w:rPr>
        <w:t xml:space="preserve">Equity method </w:t>
      </w:r>
    </w:p>
    <w:p w14:paraId="4E20FCB5" w14:textId="77777777" w:rsidR="008D0DAB" w:rsidRPr="00F65403" w:rsidRDefault="008D0DAB" w:rsidP="008D0DAB">
      <w:pPr>
        <w:pStyle w:val="BodyText"/>
        <w:rPr>
          <w:lang w:val="en-AU"/>
        </w:rPr>
      </w:pPr>
      <w:r w:rsidRPr="00F65403">
        <w:rPr>
          <w:lang w:val="en-AU"/>
        </w:rPr>
        <w:t xml:space="preserve">Under the equity method of accounting, the investments are initially recognised at cost and adjusted thereafter to recognise the Group’s share of the post-acquisition profits or losses of the investee in profit or loss, and the Group’s share of movements in other comprehensive income of the investee in other comprehensive income. Dividends received or receivable from associates and joint ventures are recognised as a reduction in the carrying amount of the investment. </w:t>
      </w:r>
    </w:p>
    <w:p w14:paraId="628B8118" w14:textId="77777777" w:rsidR="008D0DAB" w:rsidRPr="00F65403" w:rsidRDefault="008D0DAB" w:rsidP="008D0DAB">
      <w:pPr>
        <w:pStyle w:val="BodyText"/>
        <w:rPr>
          <w:lang w:val="en-AU"/>
        </w:rPr>
      </w:pPr>
    </w:p>
    <w:p w14:paraId="1CE471A7" w14:textId="2FA72D17" w:rsidR="008D0DAB" w:rsidRPr="00F65403" w:rsidRDefault="008D0DAB" w:rsidP="008D0DAB">
      <w:pPr>
        <w:pStyle w:val="BodyText"/>
        <w:rPr>
          <w:lang w:val="en-AU"/>
        </w:rPr>
      </w:pPr>
      <w:r w:rsidRPr="00F65403">
        <w:rPr>
          <w:lang w:val="en-AU"/>
        </w:rPr>
        <w:t xml:space="preserve">Where the Group’s share of losses in an equity-accounted investment equals or exceeds its interest in the entity, including any other unsecured long-term receivables, the </w:t>
      </w:r>
      <w:r w:rsidR="00950023">
        <w:rPr>
          <w:lang w:val="en-AU"/>
        </w:rPr>
        <w:t>G</w:t>
      </w:r>
      <w:r w:rsidRPr="00F65403">
        <w:rPr>
          <w:lang w:val="en-AU"/>
        </w:rPr>
        <w:t xml:space="preserve">roup does not recognise further losses, unless it has incurred obligations or made payments on behalf of the other entity. </w:t>
      </w:r>
    </w:p>
    <w:p w14:paraId="02E8D7C8" w14:textId="77777777" w:rsidR="008D0DAB" w:rsidRPr="00F65403" w:rsidRDefault="008D0DAB" w:rsidP="008D0DAB">
      <w:pPr>
        <w:pStyle w:val="BodyText"/>
        <w:rPr>
          <w:lang w:val="en-AU"/>
        </w:rPr>
      </w:pPr>
    </w:p>
    <w:p w14:paraId="39AACB67" w14:textId="77777777" w:rsidR="008D0DAB" w:rsidRPr="00F65403" w:rsidRDefault="008D0DAB" w:rsidP="008D0DAB">
      <w:pPr>
        <w:pStyle w:val="BodyText"/>
        <w:rPr>
          <w:lang w:val="en-AU"/>
        </w:rPr>
      </w:pPr>
      <w:r w:rsidRPr="00F65403">
        <w:rPr>
          <w:lang w:val="en-AU"/>
        </w:rPr>
        <w:t xml:space="preserve">Unrealised gains on transactions between the Group and its associates and joint ventures are eliminated to the extent of the Group’s interest in these entities. Unrealised losses are also eliminated unless the transaction provides evidence of an impairment of the asset transferred. Accounting policies of equity-accounted investees have been changed where necessary to ensure consistency with the policies adopted by the Group. </w:t>
      </w:r>
    </w:p>
    <w:p w14:paraId="684A0DA7" w14:textId="77777777" w:rsidR="008D0DAB" w:rsidRPr="00F65403" w:rsidRDefault="008D0DAB" w:rsidP="008D0DAB">
      <w:pPr>
        <w:pStyle w:val="BodyText"/>
        <w:rPr>
          <w:lang w:val="en-AU"/>
        </w:rPr>
      </w:pPr>
    </w:p>
    <w:p w14:paraId="7BFAAB56" w14:textId="77777777" w:rsidR="008D0DAB" w:rsidRPr="00F65403" w:rsidRDefault="008D0DAB" w:rsidP="008D0DAB">
      <w:pPr>
        <w:pStyle w:val="BodyText"/>
        <w:rPr>
          <w:lang w:val="en-AU"/>
        </w:rPr>
      </w:pPr>
      <w:r w:rsidRPr="00F65403">
        <w:rPr>
          <w:lang w:val="en-AU"/>
        </w:rPr>
        <w:t>The carrying amount of equity-accounted investments is tested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of disposal and value in use. Prior impairment charges are reviewed for possible reversal of the impairment at the end of each reporting period.</w:t>
      </w:r>
    </w:p>
    <w:p w14:paraId="5A8C031E" w14:textId="77777777" w:rsidR="008D0DAB" w:rsidRPr="00F65403" w:rsidRDefault="008D0DAB" w:rsidP="008D0DAB">
      <w:pPr>
        <w:pStyle w:val="BodyText"/>
        <w:rPr>
          <w:lang w:val="en-AU"/>
        </w:rPr>
      </w:pPr>
    </w:p>
    <w:p w14:paraId="48607FEC" w14:textId="77777777" w:rsidR="008D0DAB" w:rsidRPr="00F65403" w:rsidRDefault="008D0DAB" w:rsidP="008D0DAB">
      <w:pPr>
        <w:pStyle w:val="Heading8"/>
      </w:pPr>
      <w:r>
        <w:t>ii.</w:t>
      </w:r>
      <w:r>
        <w:tab/>
        <w:t>Significant judgement</w:t>
      </w:r>
    </w:p>
    <w:p w14:paraId="39185B66" w14:textId="6831DC47" w:rsidR="008D0DAB" w:rsidRDefault="008D0DAB" w:rsidP="008D0DAB">
      <w:pPr>
        <w:pStyle w:val="BodyText"/>
        <w:rPr>
          <w:lang w:val="en-AU"/>
        </w:rPr>
      </w:pPr>
      <w:r w:rsidRPr="00F65403">
        <w:rPr>
          <w:lang w:val="en-AU"/>
        </w:rPr>
        <w:t>The investment agreements in relation to MREH require unanimous consent from both parties for relevant activities that impact returns such as decisions on entering funding arrangements, material acquisition or disposal of assets, approving any transactions outside approved business plan and approving the business plan. Based on these factors, joint control has been assessed, and the arrangements are accounted for as a joint venture, even though the Group holds less than 50% ownership interest.</w:t>
      </w:r>
    </w:p>
    <w:p w14:paraId="767729A6" w14:textId="77777777" w:rsidR="008D0DAB" w:rsidRDefault="008D0DAB" w:rsidP="008D0DAB">
      <w:pPr>
        <w:pStyle w:val="BodyText"/>
        <w:rPr>
          <w:lang w:val="en-AU"/>
        </w:rPr>
      </w:pPr>
    </w:p>
    <w:p w14:paraId="5485BE17" w14:textId="62516301" w:rsidR="008D0DAB" w:rsidRPr="00F65403" w:rsidRDefault="008D0DAB" w:rsidP="008D0DAB">
      <w:pPr>
        <w:pStyle w:val="BodyText"/>
        <w:rPr>
          <w:lang w:val="en-AU"/>
        </w:rPr>
      </w:pPr>
      <w:r w:rsidRPr="7DAF2182">
        <w:rPr>
          <w:lang w:val="en-AU"/>
        </w:rPr>
        <w:t>A Revenue Support Agreement (RSA) was executed between SEC Energy and Equis to support the MREH A1 and A2 batteries. While both counterparties recognise the RSA as a derivative, there is a difference in the valuation methodology used by each party. SEC has adjusted the accounting valuation of the RSA in the summary financial information of A1 and A2 to align to SEC’s valuation before recognising its equity accounted share of profit or loss in accordance with equity accounting principles.</w:t>
      </w:r>
    </w:p>
    <w:p w14:paraId="29DA4AB4" w14:textId="5CB06D25" w:rsidR="00E60120" w:rsidRDefault="00E60120">
      <w:pPr>
        <w:rPr>
          <w:rFonts w:eastAsia="Arial" w:cs="Arial"/>
          <w:sz w:val="20"/>
          <w:szCs w:val="20"/>
        </w:rPr>
      </w:pPr>
      <w:r>
        <w:br w:type="page"/>
      </w:r>
    </w:p>
    <w:p w14:paraId="7758143C" w14:textId="77777777" w:rsidR="008D0DAB" w:rsidRPr="00F65403" w:rsidRDefault="008D0DAB" w:rsidP="008D0DAB">
      <w:pPr>
        <w:pStyle w:val="BodyText"/>
        <w:rPr>
          <w:lang w:val="en-AU"/>
        </w:rPr>
      </w:pPr>
    </w:p>
    <w:p w14:paraId="3670A6C5" w14:textId="77777777" w:rsidR="008D0DAB" w:rsidRPr="00326F17" w:rsidRDefault="008D0DAB" w:rsidP="008D0DAB">
      <w:pPr>
        <w:pStyle w:val="Heading8"/>
        <w:rPr>
          <w:b w:val="0"/>
          <w:i w:val="0"/>
          <w:iCs w:val="0"/>
        </w:rPr>
      </w:pPr>
      <w:r w:rsidRPr="00326F17">
        <w:rPr>
          <w:rStyle w:val="Heading8Char"/>
          <w:b/>
          <w:i/>
          <w:iCs/>
        </w:rPr>
        <w:t>iii. Commitments and contingent liabilities in respect of joint ventures</w:t>
      </w:r>
      <w:r w:rsidRPr="00326F17">
        <w:rPr>
          <w:b w:val="0"/>
          <w:i w:val="0"/>
          <w:iCs w:val="0"/>
        </w:rPr>
        <w:br/>
      </w:r>
    </w:p>
    <w:tbl>
      <w:tblPr>
        <w:tblW w:w="5000" w:type="pct"/>
        <w:tblCellMar>
          <w:top w:w="28" w:type="dxa"/>
          <w:left w:w="28" w:type="dxa"/>
          <w:bottom w:w="28" w:type="dxa"/>
          <w:right w:w="28" w:type="dxa"/>
        </w:tblCellMar>
        <w:tblLook w:val="04A0" w:firstRow="1" w:lastRow="0" w:firstColumn="1" w:lastColumn="0" w:noHBand="0" w:noVBand="1"/>
      </w:tblPr>
      <w:tblGrid>
        <w:gridCol w:w="2664"/>
        <w:gridCol w:w="1060"/>
        <w:gridCol w:w="1060"/>
        <w:gridCol w:w="1060"/>
        <w:gridCol w:w="1061"/>
        <w:gridCol w:w="1060"/>
        <w:gridCol w:w="1061"/>
      </w:tblGrid>
      <w:tr w:rsidR="008D0DAB" w:rsidRPr="00556894" w14:paraId="1CCC9FAF" w14:textId="77777777" w:rsidTr="009B7B2A">
        <w:tc>
          <w:tcPr>
            <w:tcW w:w="1476" w:type="pct"/>
            <w:tcBorders>
              <w:top w:val="nil"/>
              <w:left w:val="nil"/>
              <w:bottom w:val="nil"/>
              <w:right w:val="nil"/>
            </w:tcBorders>
            <w:noWrap/>
            <w:vAlign w:val="bottom"/>
            <w:hideMark/>
          </w:tcPr>
          <w:p w14:paraId="1ABAA311" w14:textId="77777777" w:rsidR="008D0DAB" w:rsidRPr="00F65403" w:rsidRDefault="008D0DAB" w:rsidP="009B7B2A">
            <w:pPr>
              <w:spacing w:after="0" w:line="240" w:lineRule="auto"/>
              <w:rPr>
                <w:rFonts w:eastAsia="Times New Roman" w:cs="Arial"/>
                <w:sz w:val="20"/>
                <w:szCs w:val="20"/>
                <w:lang w:eastAsia="en-AU"/>
              </w:rPr>
            </w:pPr>
          </w:p>
        </w:tc>
        <w:tc>
          <w:tcPr>
            <w:tcW w:w="1174" w:type="pct"/>
            <w:gridSpan w:val="2"/>
            <w:tcBorders>
              <w:top w:val="nil"/>
              <w:left w:val="nil"/>
              <w:bottom w:val="nil"/>
              <w:right w:val="nil"/>
            </w:tcBorders>
            <w:noWrap/>
            <w:vAlign w:val="bottom"/>
            <w:hideMark/>
          </w:tcPr>
          <w:p w14:paraId="050E924E"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A1</w:t>
            </w:r>
          </w:p>
        </w:tc>
        <w:tc>
          <w:tcPr>
            <w:tcW w:w="1175" w:type="pct"/>
            <w:gridSpan w:val="2"/>
            <w:tcBorders>
              <w:top w:val="nil"/>
              <w:left w:val="nil"/>
              <w:bottom w:val="nil"/>
              <w:right w:val="nil"/>
            </w:tcBorders>
            <w:vAlign w:val="bottom"/>
            <w:hideMark/>
          </w:tcPr>
          <w:p w14:paraId="1B0F669F"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A2</w:t>
            </w:r>
          </w:p>
        </w:tc>
        <w:tc>
          <w:tcPr>
            <w:tcW w:w="1175" w:type="pct"/>
            <w:gridSpan w:val="2"/>
            <w:tcBorders>
              <w:top w:val="nil"/>
              <w:left w:val="nil"/>
              <w:bottom w:val="nil"/>
              <w:right w:val="nil"/>
            </w:tcBorders>
            <w:vAlign w:val="bottom"/>
            <w:hideMark/>
          </w:tcPr>
          <w:p w14:paraId="38E0A2A6"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A3</w:t>
            </w:r>
          </w:p>
        </w:tc>
      </w:tr>
      <w:tr w:rsidR="008D0DAB" w:rsidRPr="00556894" w14:paraId="021F115C" w14:textId="77777777" w:rsidTr="009B7B2A">
        <w:tc>
          <w:tcPr>
            <w:tcW w:w="1476" w:type="pct"/>
            <w:tcBorders>
              <w:top w:val="nil"/>
              <w:left w:val="nil"/>
              <w:bottom w:val="nil"/>
              <w:right w:val="nil"/>
            </w:tcBorders>
            <w:noWrap/>
            <w:vAlign w:val="bottom"/>
            <w:hideMark/>
          </w:tcPr>
          <w:p w14:paraId="7116CD32"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587" w:type="pct"/>
            <w:tcBorders>
              <w:top w:val="nil"/>
              <w:left w:val="nil"/>
              <w:bottom w:val="nil"/>
              <w:right w:val="nil"/>
            </w:tcBorders>
            <w:noWrap/>
            <w:hideMark/>
          </w:tcPr>
          <w:p w14:paraId="12CAE217"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587" w:type="pct"/>
            <w:tcBorders>
              <w:top w:val="nil"/>
              <w:left w:val="nil"/>
              <w:bottom w:val="nil"/>
              <w:right w:val="nil"/>
            </w:tcBorders>
            <w:noWrap/>
            <w:hideMark/>
          </w:tcPr>
          <w:p w14:paraId="0C5047A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587" w:type="pct"/>
            <w:tcBorders>
              <w:top w:val="nil"/>
              <w:left w:val="nil"/>
              <w:bottom w:val="nil"/>
              <w:right w:val="nil"/>
            </w:tcBorders>
            <w:hideMark/>
          </w:tcPr>
          <w:p w14:paraId="7ED89299"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587" w:type="pct"/>
            <w:tcBorders>
              <w:top w:val="nil"/>
              <w:left w:val="nil"/>
              <w:bottom w:val="nil"/>
              <w:right w:val="nil"/>
            </w:tcBorders>
            <w:hideMark/>
          </w:tcPr>
          <w:p w14:paraId="557CF0B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587" w:type="pct"/>
            <w:tcBorders>
              <w:top w:val="nil"/>
              <w:left w:val="nil"/>
              <w:bottom w:val="nil"/>
              <w:right w:val="nil"/>
            </w:tcBorders>
            <w:hideMark/>
          </w:tcPr>
          <w:p w14:paraId="352C77E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588" w:type="pct"/>
            <w:tcBorders>
              <w:top w:val="nil"/>
              <w:left w:val="nil"/>
              <w:bottom w:val="nil"/>
              <w:right w:val="nil"/>
            </w:tcBorders>
            <w:noWrap/>
            <w:hideMark/>
          </w:tcPr>
          <w:p w14:paraId="06017CD8"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556894" w14:paraId="7FF4A1C0" w14:textId="77777777" w:rsidTr="009B7B2A">
        <w:tc>
          <w:tcPr>
            <w:tcW w:w="1476" w:type="pct"/>
            <w:tcBorders>
              <w:top w:val="nil"/>
              <w:left w:val="nil"/>
              <w:bottom w:val="nil"/>
              <w:right w:val="nil"/>
            </w:tcBorders>
            <w:noWrap/>
            <w:vAlign w:val="bottom"/>
            <w:hideMark/>
          </w:tcPr>
          <w:p w14:paraId="7CE9B44F"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587" w:type="pct"/>
            <w:tcBorders>
              <w:top w:val="nil"/>
              <w:left w:val="nil"/>
              <w:bottom w:val="nil"/>
              <w:right w:val="nil"/>
            </w:tcBorders>
            <w:noWrap/>
            <w:hideMark/>
          </w:tcPr>
          <w:p w14:paraId="2CB73C4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7" w:type="pct"/>
            <w:tcBorders>
              <w:top w:val="nil"/>
              <w:left w:val="nil"/>
              <w:bottom w:val="nil"/>
              <w:right w:val="nil"/>
            </w:tcBorders>
            <w:noWrap/>
            <w:hideMark/>
          </w:tcPr>
          <w:p w14:paraId="0C8F564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7" w:type="pct"/>
            <w:tcBorders>
              <w:top w:val="nil"/>
              <w:left w:val="nil"/>
              <w:bottom w:val="nil"/>
              <w:right w:val="nil"/>
            </w:tcBorders>
            <w:noWrap/>
            <w:hideMark/>
          </w:tcPr>
          <w:p w14:paraId="71ED4192"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7" w:type="pct"/>
            <w:tcBorders>
              <w:top w:val="nil"/>
              <w:left w:val="nil"/>
              <w:bottom w:val="nil"/>
              <w:right w:val="nil"/>
            </w:tcBorders>
            <w:noWrap/>
            <w:hideMark/>
          </w:tcPr>
          <w:p w14:paraId="35F97A32"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7" w:type="pct"/>
            <w:tcBorders>
              <w:top w:val="nil"/>
              <w:left w:val="nil"/>
              <w:bottom w:val="nil"/>
              <w:right w:val="nil"/>
            </w:tcBorders>
            <w:noWrap/>
            <w:hideMark/>
          </w:tcPr>
          <w:p w14:paraId="3ED1A94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588" w:type="pct"/>
            <w:tcBorders>
              <w:top w:val="nil"/>
              <w:left w:val="nil"/>
              <w:bottom w:val="nil"/>
              <w:right w:val="nil"/>
            </w:tcBorders>
            <w:noWrap/>
            <w:hideMark/>
          </w:tcPr>
          <w:p w14:paraId="0C56FB5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556894" w14:paraId="3E0D4EB3" w14:textId="77777777" w:rsidTr="009B7B2A">
        <w:tc>
          <w:tcPr>
            <w:tcW w:w="1476" w:type="pct"/>
            <w:tcBorders>
              <w:top w:val="nil"/>
              <w:left w:val="nil"/>
              <w:bottom w:val="nil"/>
              <w:right w:val="nil"/>
            </w:tcBorders>
            <w:vAlign w:val="bottom"/>
            <w:hideMark/>
          </w:tcPr>
          <w:p w14:paraId="66EE3397"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Commitment for construction of battery energy storage system (BESS) infrastructure </w:t>
            </w:r>
          </w:p>
        </w:tc>
        <w:tc>
          <w:tcPr>
            <w:tcW w:w="587" w:type="pct"/>
            <w:tcBorders>
              <w:top w:val="nil"/>
              <w:left w:val="nil"/>
              <w:bottom w:val="nil"/>
              <w:right w:val="nil"/>
            </w:tcBorders>
            <w:noWrap/>
            <w:vAlign w:val="bottom"/>
            <w:hideMark/>
          </w:tcPr>
          <w:p w14:paraId="5B3E16F9"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38,731</w:t>
            </w:r>
          </w:p>
        </w:tc>
        <w:tc>
          <w:tcPr>
            <w:tcW w:w="587" w:type="pct"/>
            <w:tcBorders>
              <w:top w:val="nil"/>
              <w:left w:val="nil"/>
              <w:bottom w:val="nil"/>
              <w:right w:val="nil"/>
            </w:tcBorders>
            <w:noWrap/>
            <w:vAlign w:val="bottom"/>
            <w:hideMark/>
          </w:tcPr>
          <w:p w14:paraId="7804369B"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130,411</w:t>
            </w:r>
          </w:p>
        </w:tc>
        <w:tc>
          <w:tcPr>
            <w:tcW w:w="587" w:type="pct"/>
            <w:tcBorders>
              <w:top w:val="nil"/>
              <w:left w:val="nil"/>
              <w:bottom w:val="nil"/>
              <w:right w:val="nil"/>
            </w:tcBorders>
            <w:noWrap/>
            <w:vAlign w:val="bottom"/>
            <w:hideMark/>
          </w:tcPr>
          <w:p w14:paraId="54AFC494"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41,351</w:t>
            </w:r>
          </w:p>
        </w:tc>
        <w:tc>
          <w:tcPr>
            <w:tcW w:w="587" w:type="pct"/>
            <w:tcBorders>
              <w:top w:val="nil"/>
              <w:left w:val="nil"/>
              <w:bottom w:val="nil"/>
              <w:right w:val="nil"/>
            </w:tcBorders>
            <w:noWrap/>
            <w:vAlign w:val="bottom"/>
            <w:hideMark/>
          </w:tcPr>
          <w:p w14:paraId="76154DBC"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183,833</w:t>
            </w:r>
          </w:p>
        </w:tc>
        <w:tc>
          <w:tcPr>
            <w:tcW w:w="587" w:type="pct"/>
            <w:tcBorders>
              <w:top w:val="nil"/>
              <w:left w:val="nil"/>
              <w:bottom w:val="nil"/>
              <w:right w:val="nil"/>
            </w:tcBorders>
            <w:noWrap/>
            <w:vAlign w:val="bottom"/>
            <w:hideMark/>
          </w:tcPr>
          <w:p w14:paraId="2A541BAF"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78,267</w:t>
            </w:r>
          </w:p>
        </w:tc>
        <w:tc>
          <w:tcPr>
            <w:tcW w:w="588" w:type="pct"/>
            <w:tcBorders>
              <w:top w:val="nil"/>
              <w:left w:val="nil"/>
              <w:bottom w:val="nil"/>
              <w:right w:val="nil"/>
            </w:tcBorders>
            <w:noWrap/>
            <w:vAlign w:val="bottom"/>
            <w:hideMark/>
          </w:tcPr>
          <w:p w14:paraId="77B6E21C" w14:textId="77777777" w:rsidR="008D0DAB" w:rsidRPr="00F65403" w:rsidRDefault="008D0DAB" w:rsidP="009B7B2A">
            <w:pPr>
              <w:tabs>
                <w:tab w:val="decimal" w:pos="87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295,710</w:t>
            </w:r>
          </w:p>
        </w:tc>
      </w:tr>
    </w:tbl>
    <w:p w14:paraId="1F90ECB1" w14:textId="77777777" w:rsidR="008D0DAB" w:rsidRPr="00F65403" w:rsidRDefault="008D0DAB" w:rsidP="008D0DAB">
      <w:pPr>
        <w:pStyle w:val="BodyText"/>
        <w:rPr>
          <w:lang w:val="en-AU"/>
        </w:rPr>
      </w:pPr>
    </w:p>
    <w:p w14:paraId="15D4F69B" w14:textId="77777777" w:rsidR="008D0DAB" w:rsidRPr="00F65403" w:rsidRDefault="008D0DAB" w:rsidP="008D0DAB">
      <w:pPr>
        <w:pStyle w:val="BodyText"/>
        <w:rPr>
          <w:lang w:val="en-AU"/>
        </w:rPr>
      </w:pPr>
      <w:r w:rsidRPr="73EA7D12">
        <w:rPr>
          <w:lang w:val="en-AU"/>
        </w:rPr>
        <w:t xml:space="preserve">MREH A3 is the counterparty to </w:t>
      </w:r>
      <w:r>
        <w:rPr>
          <w:lang w:val="en-AU"/>
        </w:rPr>
        <w:t>a</w:t>
      </w:r>
      <w:r w:rsidRPr="73EA7D12">
        <w:rPr>
          <w:lang w:val="en-AU"/>
        </w:rPr>
        <w:t xml:space="preserve"> lease</w:t>
      </w:r>
      <w:r>
        <w:rPr>
          <w:lang w:val="en-AU"/>
        </w:rPr>
        <w:t xml:space="preserve"> with a related party SEC Energy Pty Ltd</w:t>
      </w:r>
      <w:r w:rsidRPr="73EA7D12">
        <w:rPr>
          <w:lang w:val="en-AU"/>
        </w:rPr>
        <w:t xml:space="preserve"> will be derecognising the associated fixed asset on its balance sheet on commencement of the lease. </w:t>
      </w:r>
    </w:p>
    <w:p w14:paraId="2605438B" w14:textId="77777777" w:rsidR="008D0DAB" w:rsidRPr="00F65403" w:rsidRDefault="008D0DAB" w:rsidP="008D0DAB">
      <w:pPr>
        <w:pStyle w:val="BodyText"/>
        <w:rPr>
          <w:lang w:val="en-AU"/>
        </w:rPr>
      </w:pPr>
    </w:p>
    <w:p w14:paraId="32FCFDEB" w14:textId="662416BD" w:rsidR="008D0DAB" w:rsidRPr="00F65403" w:rsidRDefault="008D0DAB" w:rsidP="008D0DAB">
      <w:pPr>
        <w:pStyle w:val="BodyText"/>
        <w:rPr>
          <w:lang w:val="en-AU"/>
        </w:rPr>
      </w:pPr>
      <w:r w:rsidRPr="00C1358F">
        <w:rPr>
          <w:lang w:val="en-AU"/>
        </w:rPr>
        <w:t>The joint ventures had no other</w:t>
      </w:r>
      <w:r w:rsidR="00024848">
        <w:rPr>
          <w:lang w:val="en-AU"/>
        </w:rPr>
        <w:t xml:space="preserve"> capital</w:t>
      </w:r>
      <w:r w:rsidRPr="00C1358F">
        <w:rPr>
          <w:lang w:val="en-AU"/>
        </w:rPr>
        <w:t xml:space="preserve"> commitments or contingent liabilities at 30 June 2025</w:t>
      </w:r>
      <w:r w:rsidRPr="00F65403">
        <w:rPr>
          <w:lang w:val="en-AU"/>
        </w:rPr>
        <w:t xml:space="preserve"> (30 June 2024: Nil).</w:t>
      </w:r>
    </w:p>
    <w:p w14:paraId="2EA5F2B8" w14:textId="77777777" w:rsidR="008D0DAB" w:rsidRPr="00F65403" w:rsidRDefault="008D0DAB" w:rsidP="008D0DAB">
      <w:pPr>
        <w:pStyle w:val="BodyText"/>
        <w:rPr>
          <w:rStyle w:val="Heading8Char"/>
          <w:rFonts w:cs="Arial"/>
          <w:sz w:val="24"/>
          <w:szCs w:val="24"/>
          <w:lang w:val="en-AU"/>
        </w:rPr>
      </w:pPr>
    </w:p>
    <w:p w14:paraId="2F5D4839" w14:textId="77777777" w:rsidR="008D0DAB" w:rsidRPr="00F65403" w:rsidRDefault="008D0DAB" w:rsidP="008D0DAB">
      <w:pPr>
        <w:pStyle w:val="Heading8"/>
        <w:rPr>
          <w:rStyle w:val="Heading8Char"/>
          <w:b/>
          <w:bCs/>
          <w:i/>
          <w:iCs/>
        </w:rPr>
      </w:pPr>
      <w:r w:rsidRPr="33D5A590">
        <w:rPr>
          <w:rStyle w:val="Heading8Char"/>
          <w:b/>
          <w:bCs/>
          <w:i/>
          <w:iCs/>
        </w:rPr>
        <w:t>i</w:t>
      </w:r>
      <w:r>
        <w:rPr>
          <w:rStyle w:val="Heading8Char"/>
          <w:b/>
          <w:bCs/>
          <w:i/>
          <w:iCs/>
        </w:rPr>
        <w:t>v</w:t>
      </w:r>
      <w:r w:rsidRPr="33D5A590">
        <w:rPr>
          <w:rStyle w:val="Heading8Char"/>
          <w:b/>
          <w:bCs/>
          <w:i/>
          <w:iCs/>
        </w:rPr>
        <w:t>.</w:t>
      </w:r>
      <w:r>
        <w:tab/>
      </w:r>
      <w:r w:rsidRPr="33D5A590">
        <w:rPr>
          <w:rStyle w:val="Heading8Char"/>
          <w:b/>
          <w:bCs/>
          <w:i/>
          <w:iCs/>
        </w:rPr>
        <w:t>Summary of financial information of joint ventures</w:t>
      </w:r>
    </w:p>
    <w:p w14:paraId="28A88235" w14:textId="77777777" w:rsidR="008D0DAB" w:rsidRPr="00F65403" w:rsidRDefault="008D0DAB" w:rsidP="008D0DAB">
      <w:pPr>
        <w:pStyle w:val="BodyText"/>
        <w:rPr>
          <w:lang w:val="en-AU"/>
        </w:rPr>
      </w:pPr>
      <w:r w:rsidRPr="00F65403">
        <w:rPr>
          <w:lang w:val="en-AU"/>
        </w:rPr>
        <w:t>Summarised financial information of the joint ventures, based on its financial statements are set out below:</w:t>
      </w:r>
    </w:p>
    <w:tbl>
      <w:tblPr>
        <w:tblW w:w="5075" w:type="pct"/>
        <w:tblCellMar>
          <w:top w:w="28" w:type="dxa"/>
          <w:left w:w="28" w:type="dxa"/>
          <w:bottom w:w="28" w:type="dxa"/>
          <w:right w:w="28" w:type="dxa"/>
        </w:tblCellMar>
        <w:tblLook w:val="04A0" w:firstRow="1" w:lastRow="0" w:firstColumn="1" w:lastColumn="0" w:noHBand="0" w:noVBand="1"/>
      </w:tblPr>
      <w:tblGrid>
        <w:gridCol w:w="2595"/>
        <w:gridCol w:w="1094"/>
        <w:gridCol w:w="1264"/>
        <w:gridCol w:w="1143"/>
        <w:gridCol w:w="189"/>
        <w:gridCol w:w="1185"/>
        <w:gridCol w:w="733"/>
        <w:gridCol w:w="958"/>
      </w:tblGrid>
      <w:tr w:rsidR="00CD0301" w:rsidRPr="0036312D" w14:paraId="54A4D199" w14:textId="77777777" w:rsidTr="413EB596">
        <w:trPr>
          <w:trHeight w:val="300"/>
        </w:trPr>
        <w:tc>
          <w:tcPr>
            <w:tcW w:w="1416" w:type="pct"/>
            <w:tcBorders>
              <w:top w:val="nil"/>
              <w:left w:val="nil"/>
              <w:bottom w:val="nil"/>
              <w:right w:val="nil"/>
            </w:tcBorders>
            <w:vAlign w:val="center"/>
            <w:hideMark/>
          </w:tcPr>
          <w:p w14:paraId="6397FA60" w14:textId="77777777" w:rsidR="008D0DAB" w:rsidRPr="00F65403" w:rsidRDefault="008D0DAB" w:rsidP="009B7B2A">
            <w:pPr>
              <w:spacing w:after="0" w:line="240" w:lineRule="auto"/>
              <w:rPr>
                <w:rFonts w:eastAsia="Times New Roman" w:cs="Arial"/>
                <w:sz w:val="20"/>
                <w:szCs w:val="20"/>
                <w:lang w:eastAsia="en-AU"/>
              </w:rPr>
            </w:pPr>
          </w:p>
        </w:tc>
        <w:tc>
          <w:tcPr>
            <w:tcW w:w="1911" w:type="pct"/>
            <w:gridSpan w:val="3"/>
            <w:tcBorders>
              <w:top w:val="nil"/>
              <w:left w:val="nil"/>
              <w:bottom w:val="nil"/>
              <w:right w:val="nil"/>
            </w:tcBorders>
            <w:vAlign w:val="center"/>
            <w:hideMark/>
          </w:tcPr>
          <w:p w14:paraId="586D2DE2"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103" w:type="pct"/>
            <w:tcBorders>
              <w:top w:val="nil"/>
              <w:left w:val="nil"/>
              <w:bottom w:val="nil"/>
              <w:right w:val="nil"/>
            </w:tcBorders>
            <w:vAlign w:val="center"/>
            <w:hideMark/>
          </w:tcPr>
          <w:p w14:paraId="6F861E5A"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570" w:type="pct"/>
            <w:gridSpan w:val="3"/>
            <w:tcBorders>
              <w:top w:val="nil"/>
              <w:left w:val="nil"/>
              <w:bottom w:val="nil"/>
              <w:right w:val="nil"/>
            </w:tcBorders>
            <w:vAlign w:val="center"/>
            <w:hideMark/>
          </w:tcPr>
          <w:p w14:paraId="0747481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CD0301" w:rsidRPr="0036312D" w14:paraId="35061C51" w14:textId="77777777" w:rsidTr="413EB596">
        <w:trPr>
          <w:trHeight w:val="300"/>
        </w:trPr>
        <w:tc>
          <w:tcPr>
            <w:tcW w:w="1416" w:type="pct"/>
            <w:tcBorders>
              <w:top w:val="nil"/>
              <w:left w:val="nil"/>
              <w:bottom w:val="nil"/>
              <w:right w:val="nil"/>
            </w:tcBorders>
            <w:vAlign w:val="center"/>
            <w:hideMark/>
          </w:tcPr>
          <w:p w14:paraId="5209CC79"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911" w:type="pct"/>
            <w:gridSpan w:val="3"/>
            <w:tcBorders>
              <w:top w:val="nil"/>
              <w:left w:val="nil"/>
              <w:bottom w:val="nil"/>
              <w:right w:val="nil"/>
            </w:tcBorders>
            <w:hideMark/>
          </w:tcPr>
          <w:p w14:paraId="5CF61B6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03" w:type="pct"/>
            <w:tcBorders>
              <w:top w:val="nil"/>
              <w:left w:val="nil"/>
              <w:bottom w:val="nil"/>
              <w:right w:val="nil"/>
            </w:tcBorders>
            <w:vAlign w:val="center"/>
            <w:hideMark/>
          </w:tcPr>
          <w:p w14:paraId="6885B892"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1570" w:type="pct"/>
            <w:gridSpan w:val="3"/>
            <w:tcBorders>
              <w:top w:val="nil"/>
              <w:left w:val="nil"/>
              <w:bottom w:val="nil"/>
              <w:right w:val="nil"/>
            </w:tcBorders>
            <w:hideMark/>
          </w:tcPr>
          <w:p w14:paraId="6D06B2CC"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CD0301" w:rsidRPr="0036312D" w14:paraId="19CB38BE" w14:textId="77777777" w:rsidTr="00E326C0">
        <w:trPr>
          <w:trHeight w:val="300"/>
        </w:trPr>
        <w:tc>
          <w:tcPr>
            <w:tcW w:w="1416" w:type="pct"/>
            <w:tcBorders>
              <w:top w:val="nil"/>
              <w:left w:val="nil"/>
              <w:bottom w:val="nil"/>
              <w:right w:val="nil"/>
            </w:tcBorders>
            <w:vAlign w:val="center"/>
            <w:hideMark/>
          </w:tcPr>
          <w:p w14:paraId="467931F5"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597" w:type="pct"/>
            <w:tcBorders>
              <w:top w:val="nil"/>
              <w:left w:val="nil"/>
              <w:bottom w:val="nil"/>
              <w:right w:val="nil"/>
            </w:tcBorders>
            <w:hideMark/>
          </w:tcPr>
          <w:p w14:paraId="327E5860"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A1</w:t>
            </w:r>
          </w:p>
        </w:tc>
        <w:tc>
          <w:tcPr>
            <w:tcW w:w="690" w:type="pct"/>
            <w:tcBorders>
              <w:top w:val="nil"/>
              <w:left w:val="nil"/>
              <w:bottom w:val="nil"/>
              <w:right w:val="nil"/>
            </w:tcBorders>
            <w:hideMark/>
          </w:tcPr>
          <w:p w14:paraId="34112295"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A2</w:t>
            </w:r>
          </w:p>
        </w:tc>
        <w:tc>
          <w:tcPr>
            <w:tcW w:w="624" w:type="pct"/>
            <w:tcBorders>
              <w:top w:val="nil"/>
              <w:left w:val="nil"/>
              <w:bottom w:val="nil"/>
              <w:right w:val="nil"/>
            </w:tcBorders>
            <w:hideMark/>
          </w:tcPr>
          <w:p w14:paraId="1068817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A3</w:t>
            </w:r>
          </w:p>
        </w:tc>
        <w:tc>
          <w:tcPr>
            <w:tcW w:w="103" w:type="pct"/>
            <w:tcBorders>
              <w:top w:val="nil"/>
              <w:left w:val="nil"/>
              <w:bottom w:val="nil"/>
              <w:right w:val="nil"/>
            </w:tcBorders>
            <w:hideMark/>
          </w:tcPr>
          <w:p w14:paraId="143AF205"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647" w:type="pct"/>
            <w:tcBorders>
              <w:top w:val="nil"/>
              <w:left w:val="nil"/>
              <w:bottom w:val="nil"/>
              <w:right w:val="nil"/>
            </w:tcBorders>
            <w:hideMark/>
          </w:tcPr>
          <w:p w14:paraId="34636A1B"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A1</w:t>
            </w:r>
          </w:p>
        </w:tc>
        <w:tc>
          <w:tcPr>
            <w:tcW w:w="400" w:type="pct"/>
            <w:tcBorders>
              <w:top w:val="nil"/>
              <w:left w:val="nil"/>
              <w:bottom w:val="nil"/>
              <w:right w:val="nil"/>
            </w:tcBorders>
            <w:hideMark/>
          </w:tcPr>
          <w:p w14:paraId="64EA61CD"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A2</w:t>
            </w:r>
          </w:p>
        </w:tc>
        <w:tc>
          <w:tcPr>
            <w:tcW w:w="523" w:type="pct"/>
            <w:tcBorders>
              <w:top w:val="nil"/>
              <w:left w:val="nil"/>
              <w:bottom w:val="nil"/>
              <w:right w:val="nil"/>
            </w:tcBorders>
            <w:hideMark/>
          </w:tcPr>
          <w:p w14:paraId="0EB6E71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MREH A3</w:t>
            </w:r>
          </w:p>
        </w:tc>
      </w:tr>
      <w:tr w:rsidR="00CD0301" w:rsidRPr="0036312D" w14:paraId="46D51D2E" w14:textId="77777777" w:rsidTr="00E326C0">
        <w:trPr>
          <w:trHeight w:val="300"/>
        </w:trPr>
        <w:tc>
          <w:tcPr>
            <w:tcW w:w="1416" w:type="pct"/>
            <w:tcBorders>
              <w:top w:val="nil"/>
              <w:left w:val="nil"/>
              <w:bottom w:val="nil"/>
              <w:right w:val="nil"/>
            </w:tcBorders>
            <w:vAlign w:val="center"/>
            <w:hideMark/>
          </w:tcPr>
          <w:p w14:paraId="244C8207"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 </w:t>
            </w:r>
          </w:p>
        </w:tc>
        <w:tc>
          <w:tcPr>
            <w:tcW w:w="597" w:type="pct"/>
            <w:tcBorders>
              <w:top w:val="nil"/>
              <w:left w:val="nil"/>
              <w:bottom w:val="nil"/>
              <w:right w:val="nil"/>
            </w:tcBorders>
            <w:vAlign w:val="bottom"/>
            <w:hideMark/>
          </w:tcPr>
          <w:p w14:paraId="26251871"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19,213</w:t>
            </w:r>
          </w:p>
        </w:tc>
        <w:tc>
          <w:tcPr>
            <w:tcW w:w="690" w:type="pct"/>
            <w:tcBorders>
              <w:top w:val="nil"/>
              <w:left w:val="nil"/>
              <w:bottom w:val="nil"/>
              <w:right w:val="nil"/>
            </w:tcBorders>
            <w:vAlign w:val="bottom"/>
            <w:hideMark/>
          </w:tcPr>
          <w:p w14:paraId="78276EFB"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8,976</w:t>
            </w:r>
          </w:p>
        </w:tc>
        <w:tc>
          <w:tcPr>
            <w:tcW w:w="624" w:type="pct"/>
            <w:tcBorders>
              <w:top w:val="nil"/>
              <w:left w:val="nil"/>
              <w:bottom w:val="nil"/>
              <w:right w:val="nil"/>
            </w:tcBorders>
            <w:vAlign w:val="bottom"/>
            <w:hideMark/>
          </w:tcPr>
          <w:p w14:paraId="1BD97B69"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9,995</w:t>
            </w:r>
          </w:p>
        </w:tc>
        <w:tc>
          <w:tcPr>
            <w:tcW w:w="103" w:type="pct"/>
            <w:tcBorders>
              <w:top w:val="nil"/>
              <w:left w:val="nil"/>
              <w:bottom w:val="nil"/>
              <w:right w:val="nil"/>
            </w:tcBorders>
            <w:vAlign w:val="bottom"/>
            <w:hideMark/>
          </w:tcPr>
          <w:p w14:paraId="0160381A" w14:textId="77777777" w:rsidR="008D0DAB" w:rsidRPr="00F65403" w:rsidRDefault="008D0DAB" w:rsidP="009B7B2A">
            <w:pPr>
              <w:spacing w:after="0" w:line="240" w:lineRule="auto"/>
              <w:jc w:val="right"/>
              <w:rPr>
                <w:rFonts w:eastAsia="Times New Roman" w:cs="Arial"/>
                <w:color w:val="000000"/>
                <w:sz w:val="20"/>
                <w:szCs w:val="20"/>
                <w:lang w:eastAsia="en-AU"/>
              </w:rPr>
            </w:pPr>
          </w:p>
        </w:tc>
        <w:tc>
          <w:tcPr>
            <w:tcW w:w="647" w:type="pct"/>
            <w:tcBorders>
              <w:top w:val="nil"/>
              <w:left w:val="nil"/>
              <w:bottom w:val="nil"/>
              <w:right w:val="nil"/>
            </w:tcBorders>
            <w:vAlign w:val="bottom"/>
            <w:hideMark/>
          </w:tcPr>
          <w:p w14:paraId="6354DF76"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23,556 </w:t>
            </w:r>
          </w:p>
        </w:tc>
        <w:tc>
          <w:tcPr>
            <w:tcW w:w="400" w:type="pct"/>
            <w:tcBorders>
              <w:top w:val="nil"/>
              <w:left w:val="nil"/>
              <w:bottom w:val="nil"/>
              <w:right w:val="nil"/>
            </w:tcBorders>
            <w:vAlign w:val="bottom"/>
            <w:hideMark/>
          </w:tcPr>
          <w:p w14:paraId="4A0D9D8A"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11,057 </w:t>
            </w:r>
          </w:p>
        </w:tc>
        <w:tc>
          <w:tcPr>
            <w:tcW w:w="523" w:type="pct"/>
            <w:tcBorders>
              <w:top w:val="nil"/>
              <w:left w:val="nil"/>
              <w:bottom w:val="nil"/>
              <w:right w:val="nil"/>
            </w:tcBorders>
            <w:vAlign w:val="bottom"/>
            <w:hideMark/>
          </w:tcPr>
          <w:p w14:paraId="07619D1D"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1,050 </w:t>
            </w:r>
          </w:p>
        </w:tc>
      </w:tr>
      <w:tr w:rsidR="00CD0301" w:rsidRPr="0036312D" w14:paraId="26C2D2A8" w14:textId="77777777" w:rsidTr="00E326C0">
        <w:trPr>
          <w:trHeight w:val="300"/>
        </w:trPr>
        <w:tc>
          <w:tcPr>
            <w:tcW w:w="1416" w:type="pct"/>
            <w:tcBorders>
              <w:top w:val="nil"/>
              <w:left w:val="nil"/>
              <w:bottom w:val="nil"/>
              <w:right w:val="nil"/>
            </w:tcBorders>
            <w:vAlign w:val="center"/>
            <w:hideMark/>
          </w:tcPr>
          <w:p w14:paraId="78CD37A9"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Other current assets </w:t>
            </w:r>
          </w:p>
        </w:tc>
        <w:tc>
          <w:tcPr>
            <w:tcW w:w="597" w:type="pct"/>
            <w:tcBorders>
              <w:top w:val="nil"/>
              <w:left w:val="nil"/>
              <w:bottom w:val="single" w:sz="4" w:space="0" w:color="auto"/>
              <w:right w:val="nil"/>
            </w:tcBorders>
            <w:vAlign w:val="bottom"/>
            <w:hideMark/>
          </w:tcPr>
          <w:p w14:paraId="73DD594F"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12,414</w:t>
            </w:r>
          </w:p>
        </w:tc>
        <w:tc>
          <w:tcPr>
            <w:tcW w:w="690" w:type="pct"/>
            <w:tcBorders>
              <w:top w:val="nil"/>
              <w:left w:val="nil"/>
              <w:bottom w:val="single" w:sz="4" w:space="0" w:color="auto"/>
              <w:right w:val="nil"/>
            </w:tcBorders>
            <w:vAlign w:val="bottom"/>
            <w:hideMark/>
          </w:tcPr>
          <w:p w14:paraId="0DB822EA"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1,037</w:t>
            </w:r>
          </w:p>
        </w:tc>
        <w:tc>
          <w:tcPr>
            <w:tcW w:w="624" w:type="pct"/>
            <w:tcBorders>
              <w:top w:val="nil"/>
              <w:left w:val="nil"/>
              <w:bottom w:val="single" w:sz="4" w:space="0" w:color="auto"/>
              <w:right w:val="nil"/>
            </w:tcBorders>
            <w:vAlign w:val="bottom"/>
            <w:hideMark/>
          </w:tcPr>
          <w:p w14:paraId="6C201E2E" w14:textId="77777777" w:rsidR="008D0DAB" w:rsidRPr="00F65403"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799</w:t>
            </w:r>
          </w:p>
        </w:tc>
        <w:tc>
          <w:tcPr>
            <w:tcW w:w="103" w:type="pct"/>
            <w:tcBorders>
              <w:top w:val="nil"/>
              <w:left w:val="nil"/>
              <w:bottom w:val="nil"/>
              <w:right w:val="nil"/>
            </w:tcBorders>
            <w:vAlign w:val="bottom"/>
            <w:hideMark/>
          </w:tcPr>
          <w:p w14:paraId="2732CD3D" w14:textId="77777777" w:rsidR="008D0DAB" w:rsidRPr="00F65403" w:rsidRDefault="008D0DAB" w:rsidP="009B7B2A">
            <w:pPr>
              <w:spacing w:after="0" w:line="240" w:lineRule="auto"/>
              <w:jc w:val="right"/>
              <w:rPr>
                <w:rFonts w:eastAsia="Times New Roman" w:cs="Arial"/>
                <w:color w:val="000000"/>
                <w:sz w:val="20"/>
                <w:szCs w:val="20"/>
                <w:lang w:eastAsia="en-AU"/>
              </w:rPr>
            </w:pPr>
          </w:p>
        </w:tc>
        <w:tc>
          <w:tcPr>
            <w:tcW w:w="647" w:type="pct"/>
            <w:tcBorders>
              <w:top w:val="nil"/>
              <w:left w:val="nil"/>
              <w:bottom w:val="single" w:sz="4" w:space="0" w:color="auto"/>
              <w:right w:val="nil"/>
            </w:tcBorders>
            <w:vAlign w:val="bottom"/>
            <w:hideMark/>
          </w:tcPr>
          <w:p w14:paraId="62F860D2"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13,512 </w:t>
            </w:r>
          </w:p>
        </w:tc>
        <w:tc>
          <w:tcPr>
            <w:tcW w:w="400" w:type="pct"/>
            <w:tcBorders>
              <w:top w:val="nil"/>
              <w:left w:val="nil"/>
              <w:bottom w:val="single" w:sz="4" w:space="0" w:color="auto"/>
              <w:right w:val="nil"/>
            </w:tcBorders>
            <w:vAlign w:val="bottom"/>
            <w:hideMark/>
          </w:tcPr>
          <w:p w14:paraId="6DA732F3"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4,007 </w:t>
            </w:r>
          </w:p>
        </w:tc>
        <w:tc>
          <w:tcPr>
            <w:tcW w:w="523" w:type="pct"/>
            <w:tcBorders>
              <w:top w:val="nil"/>
              <w:left w:val="nil"/>
              <w:bottom w:val="single" w:sz="4" w:space="0" w:color="auto"/>
              <w:right w:val="nil"/>
            </w:tcBorders>
            <w:vAlign w:val="bottom"/>
            <w:hideMark/>
          </w:tcPr>
          <w:p w14:paraId="425A8C3D"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3,550 </w:t>
            </w:r>
          </w:p>
        </w:tc>
      </w:tr>
      <w:tr w:rsidR="00CD0301" w:rsidRPr="0036312D" w14:paraId="708E8028" w14:textId="77777777" w:rsidTr="00E326C0">
        <w:trPr>
          <w:trHeight w:val="300"/>
        </w:trPr>
        <w:tc>
          <w:tcPr>
            <w:tcW w:w="1416" w:type="pct"/>
            <w:tcBorders>
              <w:top w:val="nil"/>
              <w:left w:val="nil"/>
              <w:bottom w:val="nil"/>
              <w:right w:val="nil"/>
            </w:tcBorders>
            <w:vAlign w:val="center"/>
            <w:hideMark/>
          </w:tcPr>
          <w:p w14:paraId="1B185059"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current assets</w:t>
            </w:r>
            <w:r w:rsidRPr="00F65403">
              <w:rPr>
                <w:rFonts w:eastAsia="Times New Roman" w:cs="Arial"/>
                <w:color w:val="000000"/>
                <w:sz w:val="20"/>
                <w:szCs w:val="20"/>
                <w:lang w:eastAsia="en-AU"/>
              </w:rPr>
              <w:t> </w:t>
            </w:r>
          </w:p>
        </w:tc>
        <w:tc>
          <w:tcPr>
            <w:tcW w:w="597" w:type="pct"/>
            <w:tcBorders>
              <w:top w:val="single" w:sz="4" w:space="0" w:color="auto"/>
              <w:left w:val="nil"/>
              <w:bottom w:val="single" w:sz="4" w:space="0" w:color="auto"/>
              <w:right w:val="nil"/>
            </w:tcBorders>
            <w:vAlign w:val="bottom"/>
            <w:hideMark/>
          </w:tcPr>
          <w:p w14:paraId="0ECF2D98"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31,627</w:t>
            </w:r>
          </w:p>
        </w:tc>
        <w:tc>
          <w:tcPr>
            <w:tcW w:w="690" w:type="pct"/>
            <w:tcBorders>
              <w:top w:val="single" w:sz="4" w:space="0" w:color="auto"/>
              <w:left w:val="nil"/>
              <w:bottom w:val="single" w:sz="4" w:space="0" w:color="auto"/>
              <w:right w:val="nil"/>
            </w:tcBorders>
            <w:vAlign w:val="bottom"/>
            <w:hideMark/>
          </w:tcPr>
          <w:p w14:paraId="3D14C9BB"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10,013</w:t>
            </w:r>
          </w:p>
        </w:tc>
        <w:tc>
          <w:tcPr>
            <w:tcW w:w="624" w:type="pct"/>
            <w:tcBorders>
              <w:top w:val="single" w:sz="4" w:space="0" w:color="auto"/>
              <w:left w:val="nil"/>
              <w:bottom w:val="single" w:sz="4" w:space="0" w:color="auto"/>
              <w:right w:val="nil"/>
            </w:tcBorders>
            <w:vAlign w:val="bottom"/>
            <w:hideMark/>
          </w:tcPr>
          <w:p w14:paraId="618BD689"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10,794</w:t>
            </w:r>
          </w:p>
        </w:tc>
        <w:tc>
          <w:tcPr>
            <w:tcW w:w="103" w:type="pct"/>
            <w:tcBorders>
              <w:top w:val="nil"/>
              <w:left w:val="nil"/>
              <w:bottom w:val="nil"/>
              <w:right w:val="nil"/>
            </w:tcBorders>
            <w:vAlign w:val="bottom"/>
            <w:hideMark/>
          </w:tcPr>
          <w:p w14:paraId="4CB22A2C"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single" w:sz="4" w:space="0" w:color="auto"/>
              <w:left w:val="nil"/>
              <w:bottom w:val="single" w:sz="4" w:space="0" w:color="auto"/>
              <w:right w:val="nil"/>
            </w:tcBorders>
            <w:vAlign w:val="bottom"/>
            <w:hideMark/>
          </w:tcPr>
          <w:p w14:paraId="6A08C31B"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37,068</w:t>
            </w:r>
            <w:r w:rsidRPr="00F65403">
              <w:rPr>
                <w:rFonts w:eastAsia="Times New Roman" w:cs="Arial"/>
                <w:color w:val="000000"/>
                <w:sz w:val="20"/>
                <w:szCs w:val="20"/>
                <w:lang w:eastAsia="en-AU"/>
              </w:rPr>
              <w:t> </w:t>
            </w:r>
          </w:p>
        </w:tc>
        <w:tc>
          <w:tcPr>
            <w:tcW w:w="400" w:type="pct"/>
            <w:tcBorders>
              <w:top w:val="single" w:sz="4" w:space="0" w:color="auto"/>
              <w:left w:val="nil"/>
              <w:bottom w:val="single" w:sz="4" w:space="0" w:color="auto"/>
              <w:right w:val="nil"/>
            </w:tcBorders>
            <w:vAlign w:val="bottom"/>
            <w:hideMark/>
          </w:tcPr>
          <w:p w14:paraId="6D31DCF0"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15,065</w:t>
            </w:r>
            <w:r w:rsidRPr="00F65403">
              <w:rPr>
                <w:rFonts w:eastAsia="Times New Roman" w:cs="Arial"/>
                <w:color w:val="000000"/>
                <w:sz w:val="20"/>
                <w:szCs w:val="20"/>
                <w:lang w:eastAsia="en-AU"/>
              </w:rPr>
              <w:t> </w:t>
            </w:r>
          </w:p>
        </w:tc>
        <w:tc>
          <w:tcPr>
            <w:tcW w:w="523" w:type="pct"/>
            <w:tcBorders>
              <w:top w:val="single" w:sz="4" w:space="0" w:color="auto"/>
              <w:left w:val="nil"/>
              <w:bottom w:val="single" w:sz="4" w:space="0" w:color="auto"/>
              <w:right w:val="nil"/>
            </w:tcBorders>
            <w:vAlign w:val="bottom"/>
            <w:hideMark/>
          </w:tcPr>
          <w:p w14:paraId="2CF5E63D"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4,600</w:t>
            </w:r>
            <w:r w:rsidRPr="00F65403">
              <w:rPr>
                <w:rFonts w:eastAsia="Times New Roman" w:cs="Arial"/>
                <w:color w:val="000000"/>
                <w:sz w:val="20"/>
                <w:szCs w:val="20"/>
                <w:lang w:eastAsia="en-AU"/>
              </w:rPr>
              <w:t> </w:t>
            </w:r>
          </w:p>
        </w:tc>
      </w:tr>
      <w:tr w:rsidR="00CD0301" w:rsidRPr="0036312D" w14:paraId="29307D90" w14:textId="77777777" w:rsidTr="00E326C0">
        <w:trPr>
          <w:trHeight w:val="300"/>
        </w:trPr>
        <w:tc>
          <w:tcPr>
            <w:tcW w:w="1416" w:type="pct"/>
            <w:tcBorders>
              <w:top w:val="nil"/>
              <w:left w:val="nil"/>
              <w:bottom w:val="nil"/>
              <w:right w:val="nil"/>
            </w:tcBorders>
            <w:vAlign w:val="center"/>
            <w:hideMark/>
          </w:tcPr>
          <w:p w14:paraId="25D7821B"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non-current assets</w:t>
            </w:r>
            <w:r w:rsidRPr="00F65403">
              <w:rPr>
                <w:rFonts w:eastAsia="Times New Roman" w:cs="Arial"/>
                <w:color w:val="000000"/>
                <w:sz w:val="20"/>
                <w:szCs w:val="20"/>
                <w:lang w:eastAsia="en-AU"/>
              </w:rPr>
              <w:t> </w:t>
            </w:r>
          </w:p>
        </w:tc>
        <w:tc>
          <w:tcPr>
            <w:tcW w:w="597" w:type="pct"/>
            <w:tcBorders>
              <w:top w:val="single" w:sz="4" w:space="0" w:color="auto"/>
              <w:left w:val="nil"/>
              <w:bottom w:val="single" w:sz="4" w:space="0" w:color="auto"/>
              <w:right w:val="nil"/>
            </w:tcBorders>
            <w:vAlign w:val="bottom"/>
            <w:hideMark/>
          </w:tcPr>
          <w:p w14:paraId="57A71E26"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258,146</w:t>
            </w:r>
          </w:p>
        </w:tc>
        <w:tc>
          <w:tcPr>
            <w:tcW w:w="690" w:type="pct"/>
            <w:tcBorders>
              <w:top w:val="single" w:sz="4" w:space="0" w:color="auto"/>
              <w:left w:val="nil"/>
              <w:bottom w:val="single" w:sz="4" w:space="0" w:color="auto"/>
              <w:right w:val="nil"/>
            </w:tcBorders>
            <w:vAlign w:val="bottom"/>
            <w:hideMark/>
          </w:tcPr>
          <w:p w14:paraId="413C7790"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254,229</w:t>
            </w:r>
          </w:p>
        </w:tc>
        <w:tc>
          <w:tcPr>
            <w:tcW w:w="624" w:type="pct"/>
            <w:tcBorders>
              <w:top w:val="single" w:sz="4" w:space="0" w:color="auto"/>
              <w:left w:val="nil"/>
              <w:bottom w:val="single" w:sz="4" w:space="0" w:color="auto"/>
              <w:right w:val="nil"/>
            </w:tcBorders>
            <w:vAlign w:val="bottom"/>
            <w:hideMark/>
          </w:tcPr>
          <w:p w14:paraId="47C3AE65" w14:textId="3DD21D1B" w:rsidR="008D0DAB" w:rsidRPr="00EE6DFD" w:rsidRDefault="00C94AC4"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370</w:t>
            </w:r>
            <w:r w:rsidR="008D0DAB" w:rsidRPr="413EB596">
              <w:rPr>
                <w:rFonts w:eastAsia="Times New Roman" w:cs="Arial"/>
                <w:b/>
                <w:bCs/>
                <w:color w:val="000000" w:themeColor="text1"/>
                <w:sz w:val="20"/>
                <w:szCs w:val="20"/>
                <w:lang w:eastAsia="en-AU"/>
              </w:rPr>
              <w:t>,</w:t>
            </w:r>
            <w:r w:rsidR="00CD0301" w:rsidRPr="413EB596">
              <w:rPr>
                <w:rFonts w:eastAsia="Times New Roman" w:cs="Arial"/>
                <w:b/>
                <w:bCs/>
                <w:color w:val="000000" w:themeColor="text1"/>
                <w:sz w:val="20"/>
                <w:szCs w:val="20"/>
                <w:lang w:eastAsia="en-AU"/>
              </w:rPr>
              <w:t>038</w:t>
            </w:r>
          </w:p>
        </w:tc>
        <w:tc>
          <w:tcPr>
            <w:tcW w:w="103" w:type="pct"/>
            <w:tcBorders>
              <w:top w:val="nil"/>
              <w:left w:val="nil"/>
              <w:bottom w:val="nil"/>
              <w:right w:val="nil"/>
            </w:tcBorders>
            <w:vAlign w:val="bottom"/>
            <w:hideMark/>
          </w:tcPr>
          <w:p w14:paraId="390645CA"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single" w:sz="4" w:space="0" w:color="auto"/>
              <w:left w:val="nil"/>
              <w:bottom w:val="single" w:sz="4" w:space="0" w:color="auto"/>
              <w:right w:val="nil"/>
            </w:tcBorders>
            <w:vAlign w:val="bottom"/>
            <w:hideMark/>
          </w:tcPr>
          <w:p w14:paraId="40B01BD7"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149,458</w:t>
            </w:r>
            <w:r w:rsidRPr="00F65403">
              <w:rPr>
                <w:rFonts w:eastAsia="Times New Roman" w:cs="Arial"/>
                <w:color w:val="000000"/>
                <w:sz w:val="20"/>
                <w:szCs w:val="20"/>
                <w:lang w:eastAsia="en-AU"/>
              </w:rPr>
              <w:t> </w:t>
            </w:r>
          </w:p>
        </w:tc>
        <w:tc>
          <w:tcPr>
            <w:tcW w:w="400" w:type="pct"/>
            <w:tcBorders>
              <w:top w:val="single" w:sz="4" w:space="0" w:color="auto"/>
              <w:left w:val="nil"/>
              <w:bottom w:val="single" w:sz="4" w:space="0" w:color="auto"/>
              <w:right w:val="nil"/>
            </w:tcBorders>
            <w:vAlign w:val="bottom"/>
            <w:hideMark/>
          </w:tcPr>
          <w:p w14:paraId="3F28EF8E"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95,499</w:t>
            </w:r>
            <w:r w:rsidRPr="00F65403">
              <w:rPr>
                <w:rFonts w:eastAsia="Times New Roman" w:cs="Arial"/>
                <w:color w:val="000000"/>
                <w:sz w:val="20"/>
                <w:szCs w:val="20"/>
                <w:lang w:eastAsia="en-AU"/>
              </w:rPr>
              <w:t> </w:t>
            </w:r>
          </w:p>
        </w:tc>
        <w:tc>
          <w:tcPr>
            <w:tcW w:w="523" w:type="pct"/>
            <w:tcBorders>
              <w:top w:val="single" w:sz="4" w:space="0" w:color="auto"/>
              <w:left w:val="nil"/>
              <w:bottom w:val="single" w:sz="4" w:space="0" w:color="auto"/>
              <w:right w:val="nil"/>
            </w:tcBorders>
            <w:vAlign w:val="bottom"/>
            <w:hideMark/>
          </w:tcPr>
          <w:p w14:paraId="207AFC5F"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127,900</w:t>
            </w:r>
            <w:r w:rsidRPr="00F65403">
              <w:rPr>
                <w:rFonts w:eastAsia="Times New Roman" w:cs="Arial"/>
                <w:color w:val="000000"/>
                <w:sz w:val="20"/>
                <w:szCs w:val="20"/>
                <w:lang w:eastAsia="en-AU"/>
              </w:rPr>
              <w:t> </w:t>
            </w:r>
          </w:p>
        </w:tc>
      </w:tr>
      <w:tr w:rsidR="00CD0301" w:rsidRPr="0036312D" w14:paraId="74762019" w14:textId="77777777" w:rsidTr="00E326C0">
        <w:trPr>
          <w:trHeight w:val="300"/>
        </w:trPr>
        <w:tc>
          <w:tcPr>
            <w:tcW w:w="1416" w:type="pct"/>
            <w:tcBorders>
              <w:top w:val="nil"/>
              <w:left w:val="nil"/>
              <w:bottom w:val="nil"/>
              <w:right w:val="nil"/>
            </w:tcBorders>
            <w:vAlign w:val="center"/>
            <w:hideMark/>
          </w:tcPr>
          <w:p w14:paraId="444DC7DE"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597" w:type="pct"/>
            <w:tcBorders>
              <w:top w:val="single" w:sz="4" w:space="0" w:color="auto"/>
              <w:left w:val="nil"/>
              <w:bottom w:val="nil"/>
              <w:right w:val="nil"/>
            </w:tcBorders>
            <w:vAlign w:val="bottom"/>
            <w:hideMark/>
          </w:tcPr>
          <w:p w14:paraId="76F95F38" w14:textId="77777777" w:rsidR="008D0DAB" w:rsidRPr="00D253DB" w:rsidRDefault="008D0DAB" w:rsidP="009B7B2A">
            <w:pPr>
              <w:spacing w:after="0" w:line="240" w:lineRule="auto"/>
              <w:jc w:val="right"/>
              <w:rPr>
                <w:rFonts w:eastAsia="Times New Roman" w:cs="Arial"/>
                <w:color w:val="000000"/>
                <w:sz w:val="20"/>
                <w:szCs w:val="20"/>
                <w:lang w:eastAsia="en-AU"/>
              </w:rPr>
            </w:pPr>
          </w:p>
        </w:tc>
        <w:tc>
          <w:tcPr>
            <w:tcW w:w="690" w:type="pct"/>
            <w:tcBorders>
              <w:top w:val="single" w:sz="4" w:space="0" w:color="auto"/>
              <w:left w:val="nil"/>
              <w:bottom w:val="nil"/>
              <w:right w:val="nil"/>
            </w:tcBorders>
            <w:vAlign w:val="bottom"/>
            <w:hideMark/>
          </w:tcPr>
          <w:p w14:paraId="57C6E3CC" w14:textId="77777777" w:rsidR="008D0DAB" w:rsidRPr="00D253DB" w:rsidRDefault="008D0DAB" w:rsidP="009B7B2A">
            <w:pPr>
              <w:spacing w:after="0" w:line="240" w:lineRule="auto"/>
              <w:jc w:val="right"/>
              <w:rPr>
                <w:rFonts w:eastAsia="Times New Roman" w:cs="Arial"/>
                <w:color w:val="000000"/>
                <w:sz w:val="20"/>
                <w:szCs w:val="20"/>
                <w:lang w:eastAsia="en-AU"/>
              </w:rPr>
            </w:pPr>
          </w:p>
        </w:tc>
        <w:tc>
          <w:tcPr>
            <w:tcW w:w="624" w:type="pct"/>
            <w:tcBorders>
              <w:top w:val="single" w:sz="4" w:space="0" w:color="auto"/>
              <w:left w:val="nil"/>
              <w:bottom w:val="nil"/>
              <w:right w:val="nil"/>
            </w:tcBorders>
            <w:vAlign w:val="bottom"/>
            <w:hideMark/>
          </w:tcPr>
          <w:p w14:paraId="041DFE14" w14:textId="77777777" w:rsidR="008D0DAB" w:rsidRPr="00D253DB" w:rsidRDefault="008D0DAB" w:rsidP="009B7B2A">
            <w:pPr>
              <w:spacing w:after="0" w:line="240" w:lineRule="auto"/>
              <w:jc w:val="right"/>
              <w:rPr>
                <w:rFonts w:eastAsia="Times New Roman" w:cs="Arial"/>
                <w:color w:val="000000"/>
                <w:sz w:val="20"/>
                <w:szCs w:val="20"/>
                <w:lang w:eastAsia="en-AU"/>
              </w:rPr>
            </w:pPr>
          </w:p>
        </w:tc>
        <w:tc>
          <w:tcPr>
            <w:tcW w:w="103" w:type="pct"/>
            <w:tcBorders>
              <w:top w:val="nil"/>
              <w:left w:val="nil"/>
              <w:bottom w:val="nil"/>
              <w:right w:val="nil"/>
            </w:tcBorders>
            <w:vAlign w:val="bottom"/>
            <w:hideMark/>
          </w:tcPr>
          <w:p w14:paraId="0DA8E723" w14:textId="77777777" w:rsidR="008D0DAB" w:rsidRPr="00F65403" w:rsidRDefault="008D0DAB" w:rsidP="009B7B2A">
            <w:pPr>
              <w:spacing w:after="0" w:line="240" w:lineRule="auto"/>
              <w:jc w:val="right"/>
              <w:rPr>
                <w:rFonts w:eastAsia="Times New Roman" w:cs="Arial"/>
                <w:sz w:val="20"/>
                <w:szCs w:val="20"/>
                <w:lang w:eastAsia="en-AU"/>
              </w:rPr>
            </w:pPr>
          </w:p>
        </w:tc>
        <w:tc>
          <w:tcPr>
            <w:tcW w:w="647" w:type="pct"/>
            <w:tcBorders>
              <w:top w:val="single" w:sz="4" w:space="0" w:color="auto"/>
              <w:left w:val="nil"/>
              <w:bottom w:val="nil"/>
              <w:right w:val="nil"/>
            </w:tcBorders>
            <w:vAlign w:val="bottom"/>
            <w:hideMark/>
          </w:tcPr>
          <w:p w14:paraId="23B7E117" w14:textId="77777777" w:rsidR="008D0DAB" w:rsidRPr="00F65403" w:rsidRDefault="008D0DAB" w:rsidP="009B7B2A">
            <w:pPr>
              <w:spacing w:after="0" w:line="240" w:lineRule="auto"/>
              <w:jc w:val="right"/>
              <w:rPr>
                <w:rFonts w:eastAsia="Times New Roman" w:cs="Arial"/>
                <w:sz w:val="20"/>
                <w:szCs w:val="20"/>
                <w:lang w:eastAsia="en-AU"/>
              </w:rPr>
            </w:pPr>
          </w:p>
        </w:tc>
        <w:tc>
          <w:tcPr>
            <w:tcW w:w="400" w:type="pct"/>
            <w:tcBorders>
              <w:top w:val="single" w:sz="4" w:space="0" w:color="auto"/>
              <w:left w:val="nil"/>
              <w:bottom w:val="nil"/>
              <w:right w:val="nil"/>
            </w:tcBorders>
            <w:vAlign w:val="bottom"/>
            <w:hideMark/>
          </w:tcPr>
          <w:p w14:paraId="6042EBBF" w14:textId="77777777" w:rsidR="008D0DAB" w:rsidRPr="00F65403" w:rsidRDefault="008D0DAB" w:rsidP="009B7B2A">
            <w:pPr>
              <w:spacing w:after="0" w:line="240" w:lineRule="auto"/>
              <w:jc w:val="right"/>
              <w:rPr>
                <w:rFonts w:eastAsia="Times New Roman" w:cs="Arial"/>
                <w:sz w:val="20"/>
                <w:szCs w:val="20"/>
                <w:lang w:eastAsia="en-AU"/>
              </w:rPr>
            </w:pPr>
          </w:p>
        </w:tc>
        <w:tc>
          <w:tcPr>
            <w:tcW w:w="523" w:type="pct"/>
            <w:tcBorders>
              <w:top w:val="single" w:sz="4" w:space="0" w:color="auto"/>
              <w:left w:val="nil"/>
              <w:bottom w:val="nil"/>
              <w:right w:val="nil"/>
            </w:tcBorders>
            <w:vAlign w:val="bottom"/>
            <w:hideMark/>
          </w:tcPr>
          <w:p w14:paraId="025AE7AA" w14:textId="77777777" w:rsidR="008D0DAB" w:rsidRPr="00F65403" w:rsidRDefault="008D0DAB" w:rsidP="009B7B2A">
            <w:pPr>
              <w:spacing w:after="0" w:line="240" w:lineRule="auto"/>
              <w:jc w:val="right"/>
              <w:rPr>
                <w:rFonts w:eastAsia="Times New Roman" w:cs="Arial"/>
                <w:sz w:val="20"/>
                <w:szCs w:val="20"/>
                <w:lang w:eastAsia="en-AU"/>
              </w:rPr>
            </w:pPr>
          </w:p>
        </w:tc>
      </w:tr>
      <w:tr w:rsidR="00CD0301" w:rsidRPr="0036312D" w14:paraId="3A2E0A58" w14:textId="77777777" w:rsidTr="00E326C0">
        <w:trPr>
          <w:trHeight w:val="300"/>
        </w:trPr>
        <w:tc>
          <w:tcPr>
            <w:tcW w:w="1416" w:type="pct"/>
            <w:tcBorders>
              <w:top w:val="nil"/>
              <w:left w:val="nil"/>
              <w:bottom w:val="nil"/>
              <w:right w:val="nil"/>
            </w:tcBorders>
            <w:vAlign w:val="center"/>
            <w:hideMark/>
          </w:tcPr>
          <w:p w14:paraId="72BA59E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Financial liabilities excluding trade payables </w:t>
            </w:r>
          </w:p>
        </w:tc>
        <w:tc>
          <w:tcPr>
            <w:tcW w:w="597" w:type="pct"/>
            <w:tcBorders>
              <w:top w:val="nil"/>
              <w:left w:val="nil"/>
              <w:bottom w:val="nil"/>
              <w:right w:val="nil"/>
            </w:tcBorders>
            <w:vAlign w:val="bottom"/>
          </w:tcPr>
          <w:p w14:paraId="72176581"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690" w:type="pct"/>
            <w:tcBorders>
              <w:top w:val="nil"/>
              <w:left w:val="nil"/>
              <w:bottom w:val="nil"/>
              <w:right w:val="nil"/>
            </w:tcBorders>
            <w:vAlign w:val="bottom"/>
          </w:tcPr>
          <w:p w14:paraId="069DF270"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624" w:type="pct"/>
            <w:tcBorders>
              <w:top w:val="nil"/>
              <w:left w:val="nil"/>
              <w:bottom w:val="nil"/>
              <w:right w:val="nil"/>
            </w:tcBorders>
            <w:vAlign w:val="bottom"/>
          </w:tcPr>
          <w:p w14:paraId="746A6DCE" w14:textId="77777777" w:rsidR="008D0DAB" w:rsidRPr="00F65403" w:rsidRDefault="008D0DAB" w:rsidP="009B7B2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103" w:type="pct"/>
            <w:tcBorders>
              <w:top w:val="nil"/>
              <w:left w:val="nil"/>
              <w:bottom w:val="nil"/>
              <w:right w:val="nil"/>
            </w:tcBorders>
            <w:vAlign w:val="bottom"/>
            <w:hideMark/>
          </w:tcPr>
          <w:p w14:paraId="32035DBD" w14:textId="77777777" w:rsidR="008D0DAB" w:rsidRPr="00F65403" w:rsidRDefault="008D0DAB" w:rsidP="009B7B2A">
            <w:pPr>
              <w:spacing w:after="0" w:line="240" w:lineRule="auto"/>
              <w:jc w:val="right"/>
              <w:rPr>
                <w:rFonts w:eastAsia="Times New Roman" w:cs="Arial"/>
                <w:color w:val="000000"/>
                <w:sz w:val="20"/>
                <w:szCs w:val="20"/>
                <w:lang w:eastAsia="en-AU"/>
              </w:rPr>
            </w:pPr>
          </w:p>
        </w:tc>
        <w:tc>
          <w:tcPr>
            <w:tcW w:w="647" w:type="pct"/>
            <w:tcBorders>
              <w:top w:val="nil"/>
              <w:left w:val="nil"/>
              <w:bottom w:val="nil"/>
              <w:right w:val="nil"/>
            </w:tcBorders>
            <w:vAlign w:val="bottom"/>
            <w:hideMark/>
          </w:tcPr>
          <w:p w14:paraId="462FF6B3"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17 </w:t>
            </w:r>
          </w:p>
        </w:tc>
        <w:tc>
          <w:tcPr>
            <w:tcW w:w="400" w:type="pct"/>
            <w:tcBorders>
              <w:top w:val="nil"/>
              <w:left w:val="nil"/>
              <w:bottom w:val="nil"/>
              <w:right w:val="nil"/>
            </w:tcBorders>
            <w:vAlign w:val="bottom"/>
            <w:hideMark/>
          </w:tcPr>
          <w:p w14:paraId="3917FF1A"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17 </w:t>
            </w:r>
          </w:p>
        </w:tc>
        <w:tc>
          <w:tcPr>
            <w:tcW w:w="523" w:type="pct"/>
            <w:tcBorders>
              <w:top w:val="nil"/>
              <w:left w:val="nil"/>
              <w:bottom w:val="nil"/>
              <w:right w:val="nil"/>
            </w:tcBorders>
            <w:vAlign w:val="bottom"/>
            <w:hideMark/>
          </w:tcPr>
          <w:p w14:paraId="68A26C9F" w14:textId="77777777" w:rsidR="008D0DAB" w:rsidRPr="00F65403" w:rsidRDefault="008D0DAB" w:rsidP="009B7B2A">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478 </w:t>
            </w:r>
          </w:p>
        </w:tc>
      </w:tr>
      <w:tr w:rsidR="00CD0301" w:rsidRPr="0036312D" w14:paraId="5EF52388" w14:textId="77777777" w:rsidTr="00E326C0">
        <w:trPr>
          <w:trHeight w:val="300"/>
        </w:trPr>
        <w:tc>
          <w:tcPr>
            <w:tcW w:w="1416" w:type="pct"/>
            <w:tcBorders>
              <w:top w:val="nil"/>
              <w:left w:val="nil"/>
              <w:bottom w:val="nil"/>
              <w:right w:val="nil"/>
            </w:tcBorders>
            <w:vAlign w:val="center"/>
            <w:hideMark/>
          </w:tcPr>
          <w:p w14:paraId="134FB21B" w14:textId="77777777" w:rsidR="008D0DAB" w:rsidRPr="0051699C" w:rsidRDefault="008D0DAB" w:rsidP="009B7B2A">
            <w:pPr>
              <w:spacing w:after="0" w:line="240" w:lineRule="auto"/>
              <w:rPr>
                <w:rFonts w:eastAsia="Times New Roman" w:cs="Arial"/>
                <w:bCs/>
                <w:color w:val="000000"/>
                <w:sz w:val="20"/>
                <w:szCs w:val="20"/>
                <w:lang w:eastAsia="en-AU"/>
              </w:rPr>
            </w:pPr>
            <w:r w:rsidRPr="0051699C">
              <w:rPr>
                <w:rFonts w:eastAsia="Times New Roman" w:cs="Arial"/>
                <w:bCs/>
                <w:color w:val="000000"/>
                <w:sz w:val="20"/>
                <w:szCs w:val="20"/>
                <w:lang w:eastAsia="en-AU"/>
              </w:rPr>
              <w:t>Other current liabilities </w:t>
            </w:r>
          </w:p>
        </w:tc>
        <w:tc>
          <w:tcPr>
            <w:tcW w:w="597" w:type="pct"/>
            <w:tcBorders>
              <w:top w:val="nil"/>
              <w:left w:val="nil"/>
              <w:bottom w:val="single" w:sz="4" w:space="0" w:color="auto"/>
              <w:right w:val="nil"/>
            </w:tcBorders>
            <w:vAlign w:val="bottom"/>
            <w:hideMark/>
          </w:tcPr>
          <w:p w14:paraId="73706B01"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15,450</w:t>
            </w:r>
          </w:p>
        </w:tc>
        <w:tc>
          <w:tcPr>
            <w:tcW w:w="690" w:type="pct"/>
            <w:tcBorders>
              <w:top w:val="nil"/>
              <w:left w:val="nil"/>
              <w:bottom w:val="single" w:sz="4" w:space="0" w:color="auto"/>
              <w:right w:val="nil"/>
            </w:tcBorders>
            <w:vAlign w:val="bottom"/>
            <w:hideMark/>
          </w:tcPr>
          <w:p w14:paraId="3AC60438"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5,603</w:t>
            </w:r>
          </w:p>
        </w:tc>
        <w:tc>
          <w:tcPr>
            <w:tcW w:w="624" w:type="pct"/>
            <w:tcBorders>
              <w:top w:val="nil"/>
              <w:left w:val="nil"/>
              <w:bottom w:val="single" w:sz="4" w:space="0" w:color="auto"/>
              <w:right w:val="nil"/>
            </w:tcBorders>
            <w:vAlign w:val="bottom"/>
            <w:hideMark/>
          </w:tcPr>
          <w:p w14:paraId="599C9FC0"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5,443</w:t>
            </w:r>
          </w:p>
        </w:tc>
        <w:tc>
          <w:tcPr>
            <w:tcW w:w="103" w:type="pct"/>
            <w:tcBorders>
              <w:top w:val="nil"/>
              <w:left w:val="nil"/>
              <w:bottom w:val="nil"/>
              <w:right w:val="nil"/>
            </w:tcBorders>
            <w:vAlign w:val="bottom"/>
            <w:hideMark/>
          </w:tcPr>
          <w:p w14:paraId="68A9668F" w14:textId="77777777" w:rsidR="008D0DAB" w:rsidRPr="0051699C" w:rsidRDefault="008D0DAB" w:rsidP="009B7B2A">
            <w:pPr>
              <w:spacing w:after="0" w:line="240" w:lineRule="auto"/>
              <w:jc w:val="right"/>
              <w:rPr>
                <w:rFonts w:eastAsia="Times New Roman" w:cs="Arial"/>
                <w:bCs/>
                <w:color w:val="000000"/>
                <w:sz w:val="20"/>
                <w:szCs w:val="20"/>
                <w:lang w:eastAsia="en-AU"/>
              </w:rPr>
            </w:pPr>
          </w:p>
        </w:tc>
        <w:tc>
          <w:tcPr>
            <w:tcW w:w="647" w:type="pct"/>
            <w:tcBorders>
              <w:top w:val="nil"/>
              <w:left w:val="nil"/>
              <w:bottom w:val="single" w:sz="4" w:space="0" w:color="auto"/>
              <w:right w:val="nil"/>
            </w:tcBorders>
            <w:vAlign w:val="bottom"/>
            <w:hideMark/>
          </w:tcPr>
          <w:p w14:paraId="45D065AC" w14:textId="77777777" w:rsidR="008D0DAB" w:rsidRPr="0051699C" w:rsidRDefault="008D0DAB" w:rsidP="009B7B2A">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67,071 </w:t>
            </w:r>
          </w:p>
        </w:tc>
        <w:tc>
          <w:tcPr>
            <w:tcW w:w="400" w:type="pct"/>
            <w:tcBorders>
              <w:top w:val="nil"/>
              <w:left w:val="nil"/>
              <w:bottom w:val="single" w:sz="4" w:space="0" w:color="auto"/>
              <w:right w:val="nil"/>
            </w:tcBorders>
            <w:vAlign w:val="bottom"/>
            <w:hideMark/>
          </w:tcPr>
          <w:p w14:paraId="66D95CA3" w14:textId="77777777" w:rsidR="008D0DAB" w:rsidRPr="0051699C" w:rsidRDefault="008D0DAB" w:rsidP="009B7B2A">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7,438 </w:t>
            </w:r>
          </w:p>
        </w:tc>
        <w:tc>
          <w:tcPr>
            <w:tcW w:w="523" w:type="pct"/>
            <w:tcBorders>
              <w:top w:val="nil"/>
              <w:left w:val="nil"/>
              <w:bottom w:val="single" w:sz="4" w:space="0" w:color="auto"/>
              <w:right w:val="nil"/>
            </w:tcBorders>
            <w:vAlign w:val="bottom"/>
            <w:hideMark/>
          </w:tcPr>
          <w:p w14:paraId="3BC3BB4C" w14:textId="77777777" w:rsidR="008D0DAB" w:rsidRPr="0051699C" w:rsidRDefault="008D0DAB" w:rsidP="009B7B2A">
            <w:pPr>
              <w:spacing w:after="0" w:line="240" w:lineRule="auto"/>
              <w:jc w:val="right"/>
              <w:rPr>
                <w:rFonts w:eastAsia="Times New Roman" w:cs="Arial"/>
                <w:bCs/>
                <w:color w:val="000000"/>
                <w:sz w:val="20"/>
                <w:szCs w:val="20"/>
                <w:lang w:eastAsia="en-AU"/>
              </w:rPr>
            </w:pPr>
            <w:r w:rsidRPr="0051699C">
              <w:rPr>
                <w:rFonts w:eastAsia="Times New Roman" w:cs="Arial"/>
                <w:bCs/>
                <w:color w:val="000000"/>
                <w:sz w:val="20"/>
                <w:szCs w:val="20"/>
                <w:lang w:eastAsia="en-AU"/>
              </w:rPr>
              <w:t>5,890 </w:t>
            </w:r>
          </w:p>
        </w:tc>
      </w:tr>
      <w:tr w:rsidR="00CD0301" w:rsidRPr="0036312D" w14:paraId="4367C490" w14:textId="77777777" w:rsidTr="00E326C0">
        <w:trPr>
          <w:trHeight w:val="300"/>
        </w:trPr>
        <w:tc>
          <w:tcPr>
            <w:tcW w:w="1416" w:type="pct"/>
            <w:tcBorders>
              <w:top w:val="nil"/>
              <w:left w:val="nil"/>
              <w:bottom w:val="nil"/>
              <w:right w:val="nil"/>
            </w:tcBorders>
            <w:vAlign w:val="center"/>
            <w:hideMark/>
          </w:tcPr>
          <w:p w14:paraId="7D60F8D6"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current liabilities</w:t>
            </w:r>
            <w:r w:rsidRPr="00F65403">
              <w:rPr>
                <w:rFonts w:eastAsia="Times New Roman" w:cs="Arial"/>
                <w:color w:val="000000"/>
                <w:sz w:val="20"/>
                <w:szCs w:val="20"/>
                <w:lang w:eastAsia="en-AU"/>
              </w:rPr>
              <w:t> </w:t>
            </w:r>
          </w:p>
        </w:tc>
        <w:tc>
          <w:tcPr>
            <w:tcW w:w="597" w:type="pct"/>
            <w:tcBorders>
              <w:top w:val="single" w:sz="4" w:space="0" w:color="auto"/>
              <w:left w:val="nil"/>
              <w:bottom w:val="single" w:sz="4" w:space="0" w:color="auto"/>
              <w:right w:val="nil"/>
            </w:tcBorders>
            <w:vAlign w:val="bottom"/>
            <w:hideMark/>
          </w:tcPr>
          <w:p w14:paraId="0C37212E"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15,450</w:t>
            </w:r>
          </w:p>
        </w:tc>
        <w:tc>
          <w:tcPr>
            <w:tcW w:w="690" w:type="pct"/>
            <w:tcBorders>
              <w:top w:val="single" w:sz="4" w:space="0" w:color="auto"/>
              <w:left w:val="nil"/>
              <w:bottom w:val="single" w:sz="4" w:space="0" w:color="auto"/>
              <w:right w:val="nil"/>
            </w:tcBorders>
            <w:vAlign w:val="bottom"/>
            <w:hideMark/>
          </w:tcPr>
          <w:p w14:paraId="3A00A9DE"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5,603</w:t>
            </w:r>
          </w:p>
        </w:tc>
        <w:tc>
          <w:tcPr>
            <w:tcW w:w="624" w:type="pct"/>
            <w:tcBorders>
              <w:top w:val="single" w:sz="4" w:space="0" w:color="auto"/>
              <w:left w:val="nil"/>
              <w:bottom w:val="single" w:sz="4" w:space="0" w:color="auto"/>
              <w:right w:val="nil"/>
            </w:tcBorders>
            <w:vAlign w:val="bottom"/>
            <w:hideMark/>
          </w:tcPr>
          <w:p w14:paraId="4681806A" w14:textId="77777777" w:rsidR="008D0DAB" w:rsidRPr="00EE6DFD" w:rsidRDefault="008D0DAB" w:rsidP="009B7B2A">
            <w:pPr>
              <w:spacing w:after="0" w:line="240" w:lineRule="auto"/>
              <w:jc w:val="right"/>
              <w:rPr>
                <w:rFonts w:eastAsia="Times New Roman" w:cs="Arial"/>
                <w:b/>
                <w:bCs/>
                <w:color w:val="000000"/>
                <w:sz w:val="20"/>
                <w:szCs w:val="20"/>
                <w:lang w:eastAsia="en-AU"/>
              </w:rPr>
            </w:pPr>
            <w:r w:rsidRPr="00EE6DFD">
              <w:rPr>
                <w:rFonts w:eastAsia="Times New Roman" w:cs="Arial"/>
                <w:b/>
                <w:bCs/>
                <w:color w:val="000000"/>
                <w:sz w:val="20"/>
                <w:szCs w:val="20"/>
                <w:lang w:eastAsia="en-AU"/>
              </w:rPr>
              <w:t>5,443</w:t>
            </w:r>
          </w:p>
        </w:tc>
        <w:tc>
          <w:tcPr>
            <w:tcW w:w="103" w:type="pct"/>
            <w:tcBorders>
              <w:top w:val="nil"/>
              <w:left w:val="nil"/>
              <w:right w:val="nil"/>
            </w:tcBorders>
            <w:vAlign w:val="bottom"/>
            <w:hideMark/>
          </w:tcPr>
          <w:p w14:paraId="71284962"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single" w:sz="4" w:space="0" w:color="auto"/>
              <w:left w:val="nil"/>
              <w:bottom w:val="single" w:sz="4" w:space="0" w:color="auto"/>
              <w:right w:val="nil"/>
            </w:tcBorders>
            <w:vAlign w:val="bottom"/>
            <w:hideMark/>
          </w:tcPr>
          <w:p w14:paraId="31941D81"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67,088</w:t>
            </w:r>
            <w:r w:rsidRPr="00F65403">
              <w:rPr>
                <w:rFonts w:eastAsia="Times New Roman" w:cs="Arial"/>
                <w:color w:val="000000"/>
                <w:sz w:val="20"/>
                <w:szCs w:val="20"/>
                <w:lang w:eastAsia="en-AU"/>
              </w:rPr>
              <w:t> </w:t>
            </w:r>
          </w:p>
        </w:tc>
        <w:tc>
          <w:tcPr>
            <w:tcW w:w="400" w:type="pct"/>
            <w:tcBorders>
              <w:top w:val="single" w:sz="4" w:space="0" w:color="auto"/>
              <w:left w:val="nil"/>
              <w:bottom w:val="single" w:sz="4" w:space="0" w:color="auto"/>
              <w:right w:val="nil"/>
            </w:tcBorders>
            <w:vAlign w:val="bottom"/>
            <w:hideMark/>
          </w:tcPr>
          <w:p w14:paraId="1A3C9CBB"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7,455</w:t>
            </w:r>
            <w:r w:rsidRPr="00F65403">
              <w:rPr>
                <w:rFonts w:eastAsia="Times New Roman" w:cs="Arial"/>
                <w:color w:val="000000"/>
                <w:sz w:val="20"/>
                <w:szCs w:val="20"/>
                <w:lang w:eastAsia="en-AU"/>
              </w:rPr>
              <w:t> </w:t>
            </w:r>
          </w:p>
        </w:tc>
        <w:tc>
          <w:tcPr>
            <w:tcW w:w="523" w:type="pct"/>
            <w:tcBorders>
              <w:top w:val="single" w:sz="4" w:space="0" w:color="auto"/>
              <w:left w:val="nil"/>
              <w:bottom w:val="single" w:sz="4" w:space="0" w:color="auto"/>
              <w:right w:val="nil"/>
            </w:tcBorders>
            <w:vAlign w:val="bottom"/>
            <w:hideMark/>
          </w:tcPr>
          <w:p w14:paraId="2255749F"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6,368</w:t>
            </w:r>
            <w:r w:rsidRPr="00F65403">
              <w:rPr>
                <w:rFonts w:eastAsia="Times New Roman" w:cs="Arial"/>
                <w:color w:val="000000"/>
                <w:sz w:val="20"/>
                <w:szCs w:val="20"/>
                <w:lang w:eastAsia="en-AU"/>
              </w:rPr>
              <w:t> </w:t>
            </w:r>
          </w:p>
        </w:tc>
      </w:tr>
      <w:tr w:rsidR="00CD0301" w:rsidRPr="0036312D" w14:paraId="6452910A" w14:textId="77777777" w:rsidTr="00E326C0">
        <w:trPr>
          <w:trHeight w:val="300"/>
        </w:trPr>
        <w:tc>
          <w:tcPr>
            <w:tcW w:w="1416" w:type="pct"/>
            <w:tcBorders>
              <w:top w:val="nil"/>
              <w:left w:val="nil"/>
              <w:bottom w:val="nil"/>
              <w:right w:val="nil"/>
            </w:tcBorders>
            <w:vAlign w:val="center"/>
          </w:tcPr>
          <w:p w14:paraId="7EECA91E" w14:textId="77777777" w:rsidR="008D0DAB" w:rsidRPr="00477EEA" w:rsidRDefault="008D0DAB" w:rsidP="009B7B2A">
            <w:pPr>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Non-current f</w:t>
            </w:r>
            <w:r w:rsidRPr="00477EEA">
              <w:rPr>
                <w:rFonts w:eastAsia="Times New Roman" w:cs="Arial"/>
                <w:bCs/>
                <w:color w:val="000000"/>
                <w:sz w:val="20"/>
                <w:szCs w:val="20"/>
                <w:lang w:eastAsia="en-AU"/>
              </w:rPr>
              <w:t>inancial liabilities excluding trade payables</w:t>
            </w:r>
          </w:p>
        </w:tc>
        <w:tc>
          <w:tcPr>
            <w:tcW w:w="597" w:type="pct"/>
            <w:tcBorders>
              <w:top w:val="single" w:sz="4" w:space="0" w:color="auto"/>
              <w:left w:val="nil"/>
              <w:bottom w:val="nil"/>
              <w:right w:val="nil"/>
            </w:tcBorders>
            <w:vAlign w:val="bottom"/>
          </w:tcPr>
          <w:p w14:paraId="5820D7D0"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31,485</w:t>
            </w:r>
          </w:p>
        </w:tc>
        <w:tc>
          <w:tcPr>
            <w:tcW w:w="690" w:type="pct"/>
            <w:tcBorders>
              <w:top w:val="single" w:sz="4" w:space="0" w:color="auto"/>
              <w:left w:val="nil"/>
              <w:bottom w:val="nil"/>
              <w:right w:val="nil"/>
            </w:tcBorders>
            <w:vAlign w:val="bottom"/>
          </w:tcPr>
          <w:p w14:paraId="7F042066"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31,486</w:t>
            </w:r>
          </w:p>
        </w:tc>
        <w:tc>
          <w:tcPr>
            <w:tcW w:w="624" w:type="pct"/>
            <w:tcBorders>
              <w:top w:val="single" w:sz="4" w:space="0" w:color="auto"/>
              <w:left w:val="nil"/>
              <w:bottom w:val="nil"/>
              <w:right w:val="nil"/>
            </w:tcBorders>
            <w:vAlign w:val="bottom"/>
          </w:tcPr>
          <w:p w14:paraId="5C5BE117"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17,790</w:t>
            </w:r>
          </w:p>
        </w:tc>
        <w:tc>
          <w:tcPr>
            <w:tcW w:w="103" w:type="pct"/>
            <w:tcBorders>
              <w:top w:val="nil"/>
              <w:left w:val="nil"/>
              <w:bottom w:val="nil"/>
              <w:right w:val="nil"/>
            </w:tcBorders>
            <w:vAlign w:val="bottom"/>
          </w:tcPr>
          <w:p w14:paraId="4BD708E5"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single" w:sz="4" w:space="0" w:color="auto"/>
              <w:left w:val="nil"/>
              <w:bottom w:val="nil"/>
              <w:right w:val="nil"/>
            </w:tcBorders>
            <w:vAlign w:val="bottom"/>
          </w:tcPr>
          <w:p w14:paraId="137D155B"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c>
          <w:tcPr>
            <w:tcW w:w="400" w:type="pct"/>
            <w:tcBorders>
              <w:top w:val="single" w:sz="4" w:space="0" w:color="auto"/>
              <w:left w:val="nil"/>
              <w:bottom w:val="nil"/>
              <w:right w:val="nil"/>
            </w:tcBorders>
            <w:vAlign w:val="bottom"/>
          </w:tcPr>
          <w:p w14:paraId="40A90792"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c>
          <w:tcPr>
            <w:tcW w:w="523" w:type="pct"/>
            <w:tcBorders>
              <w:top w:val="single" w:sz="4" w:space="0" w:color="auto"/>
              <w:left w:val="nil"/>
              <w:bottom w:val="nil"/>
              <w:right w:val="nil"/>
            </w:tcBorders>
            <w:vAlign w:val="bottom"/>
          </w:tcPr>
          <w:p w14:paraId="2F9438C4"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w:t>
            </w:r>
          </w:p>
        </w:tc>
      </w:tr>
      <w:tr w:rsidR="00CD0301" w:rsidRPr="0036312D" w14:paraId="2DDF4F74" w14:textId="77777777" w:rsidTr="00E326C0">
        <w:trPr>
          <w:trHeight w:val="300"/>
        </w:trPr>
        <w:tc>
          <w:tcPr>
            <w:tcW w:w="1416" w:type="pct"/>
            <w:tcBorders>
              <w:top w:val="nil"/>
              <w:left w:val="nil"/>
              <w:bottom w:val="nil"/>
              <w:right w:val="nil"/>
            </w:tcBorders>
            <w:vAlign w:val="center"/>
          </w:tcPr>
          <w:p w14:paraId="4E9324AB" w14:textId="77777777" w:rsidR="008D0DAB" w:rsidRPr="0050744C" w:rsidRDefault="008D0DAB" w:rsidP="009B7B2A">
            <w:pPr>
              <w:spacing w:after="0" w:line="240" w:lineRule="auto"/>
              <w:rPr>
                <w:rFonts w:eastAsia="Times New Roman" w:cs="Arial"/>
                <w:bCs/>
                <w:color w:val="000000"/>
                <w:sz w:val="20"/>
                <w:szCs w:val="20"/>
                <w:lang w:eastAsia="en-AU"/>
              </w:rPr>
            </w:pPr>
            <w:r w:rsidRPr="0050744C">
              <w:rPr>
                <w:rFonts w:eastAsia="Times New Roman" w:cs="Arial"/>
                <w:bCs/>
                <w:color w:val="000000"/>
                <w:sz w:val="20"/>
                <w:szCs w:val="20"/>
                <w:lang w:eastAsia="en-AU"/>
              </w:rPr>
              <w:t>Other non-current liabilities</w:t>
            </w:r>
          </w:p>
        </w:tc>
        <w:tc>
          <w:tcPr>
            <w:tcW w:w="597" w:type="pct"/>
            <w:tcBorders>
              <w:top w:val="nil"/>
              <w:left w:val="nil"/>
              <w:bottom w:val="single" w:sz="4" w:space="0" w:color="auto"/>
              <w:right w:val="nil"/>
            </w:tcBorders>
            <w:vAlign w:val="bottom"/>
          </w:tcPr>
          <w:p w14:paraId="7DF28D82"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5,951</w:t>
            </w:r>
          </w:p>
        </w:tc>
        <w:tc>
          <w:tcPr>
            <w:tcW w:w="690" w:type="pct"/>
            <w:tcBorders>
              <w:top w:val="nil"/>
              <w:left w:val="nil"/>
              <w:bottom w:val="single" w:sz="4" w:space="0" w:color="auto"/>
              <w:right w:val="nil"/>
            </w:tcBorders>
            <w:vAlign w:val="bottom"/>
          </w:tcPr>
          <w:p w14:paraId="5D2BA8D0"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3,445</w:t>
            </w:r>
          </w:p>
        </w:tc>
        <w:tc>
          <w:tcPr>
            <w:tcW w:w="624" w:type="pct"/>
            <w:tcBorders>
              <w:top w:val="nil"/>
              <w:left w:val="nil"/>
              <w:bottom w:val="single" w:sz="4" w:space="0" w:color="auto"/>
              <w:right w:val="nil"/>
            </w:tcBorders>
            <w:vAlign w:val="bottom"/>
          </w:tcPr>
          <w:p w14:paraId="6EF825AD" w14:textId="77777777" w:rsidR="008D0DAB" w:rsidRPr="00D253DB" w:rsidRDefault="008D0DAB" w:rsidP="009B7B2A">
            <w:pPr>
              <w:spacing w:after="0" w:line="240" w:lineRule="auto"/>
              <w:jc w:val="right"/>
              <w:rPr>
                <w:rFonts w:eastAsia="Times New Roman" w:cs="Arial"/>
                <w:color w:val="000000"/>
                <w:sz w:val="20"/>
                <w:szCs w:val="20"/>
                <w:lang w:eastAsia="en-AU"/>
              </w:rPr>
            </w:pPr>
            <w:r w:rsidRPr="00D253DB">
              <w:rPr>
                <w:rFonts w:eastAsia="Times New Roman" w:cs="Arial"/>
                <w:color w:val="000000"/>
                <w:sz w:val="20"/>
                <w:szCs w:val="20"/>
                <w:lang w:eastAsia="en-AU"/>
              </w:rPr>
              <w:t>298,575</w:t>
            </w:r>
          </w:p>
        </w:tc>
        <w:tc>
          <w:tcPr>
            <w:tcW w:w="103" w:type="pct"/>
            <w:tcBorders>
              <w:top w:val="nil"/>
              <w:left w:val="nil"/>
              <w:right w:val="nil"/>
            </w:tcBorders>
            <w:vAlign w:val="bottom"/>
          </w:tcPr>
          <w:p w14:paraId="40CA5030"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nil"/>
              <w:left w:val="nil"/>
              <w:bottom w:val="single" w:sz="4" w:space="0" w:color="auto"/>
              <w:right w:val="nil"/>
            </w:tcBorders>
            <w:vAlign w:val="bottom"/>
          </w:tcPr>
          <w:p w14:paraId="2C732279"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20,573 </w:t>
            </w:r>
          </w:p>
        </w:tc>
        <w:tc>
          <w:tcPr>
            <w:tcW w:w="400" w:type="pct"/>
            <w:tcBorders>
              <w:top w:val="nil"/>
              <w:left w:val="nil"/>
              <w:bottom w:val="single" w:sz="4" w:space="0" w:color="auto"/>
              <w:right w:val="nil"/>
            </w:tcBorders>
            <w:vAlign w:val="bottom"/>
          </w:tcPr>
          <w:p w14:paraId="57FE380C"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20,251 </w:t>
            </w:r>
          </w:p>
        </w:tc>
        <w:tc>
          <w:tcPr>
            <w:tcW w:w="523" w:type="pct"/>
            <w:tcBorders>
              <w:top w:val="nil"/>
              <w:left w:val="nil"/>
              <w:bottom w:val="single" w:sz="4" w:space="0" w:color="auto"/>
              <w:right w:val="nil"/>
            </w:tcBorders>
            <w:vAlign w:val="bottom"/>
          </w:tcPr>
          <w:p w14:paraId="4EB9181F" w14:textId="77777777" w:rsidR="008D0DAB" w:rsidRPr="00510ACC" w:rsidRDefault="008D0DAB" w:rsidP="009B7B2A">
            <w:pPr>
              <w:spacing w:after="0" w:line="240" w:lineRule="auto"/>
              <w:jc w:val="right"/>
              <w:rPr>
                <w:rFonts w:eastAsia="Times New Roman" w:cs="Arial"/>
                <w:color w:val="000000"/>
                <w:sz w:val="20"/>
                <w:szCs w:val="20"/>
                <w:lang w:eastAsia="en-AU"/>
              </w:rPr>
            </w:pPr>
            <w:r w:rsidRPr="00510ACC">
              <w:rPr>
                <w:rFonts w:eastAsia="Times New Roman" w:cs="Arial"/>
                <w:color w:val="000000"/>
                <w:sz w:val="20"/>
                <w:szCs w:val="20"/>
                <w:lang w:eastAsia="en-AU"/>
              </w:rPr>
              <w:t xml:space="preserve">106,923 </w:t>
            </w:r>
          </w:p>
        </w:tc>
      </w:tr>
      <w:tr w:rsidR="00CD0301" w:rsidRPr="0036312D" w14:paraId="21E771EE" w14:textId="77777777" w:rsidTr="00E326C0">
        <w:trPr>
          <w:trHeight w:val="300"/>
        </w:trPr>
        <w:tc>
          <w:tcPr>
            <w:tcW w:w="1416" w:type="pct"/>
            <w:tcBorders>
              <w:top w:val="nil"/>
              <w:left w:val="nil"/>
              <w:bottom w:val="nil"/>
              <w:right w:val="nil"/>
            </w:tcBorders>
            <w:vAlign w:val="center"/>
            <w:hideMark/>
          </w:tcPr>
          <w:p w14:paraId="6AF7E815"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non-current liabilities</w:t>
            </w:r>
            <w:r w:rsidRPr="00F65403">
              <w:rPr>
                <w:rFonts w:eastAsia="Times New Roman" w:cs="Arial"/>
                <w:color w:val="000000"/>
                <w:sz w:val="20"/>
                <w:szCs w:val="20"/>
                <w:lang w:eastAsia="en-AU"/>
              </w:rPr>
              <w:t> </w:t>
            </w:r>
          </w:p>
        </w:tc>
        <w:tc>
          <w:tcPr>
            <w:tcW w:w="597" w:type="pct"/>
            <w:tcBorders>
              <w:top w:val="single" w:sz="4" w:space="0" w:color="auto"/>
              <w:left w:val="nil"/>
              <w:bottom w:val="single" w:sz="4" w:space="0" w:color="auto"/>
              <w:right w:val="nil"/>
            </w:tcBorders>
            <w:vAlign w:val="bottom"/>
            <w:hideMark/>
          </w:tcPr>
          <w:p w14:paraId="438F70C1"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37,436</w:t>
            </w:r>
          </w:p>
        </w:tc>
        <w:tc>
          <w:tcPr>
            <w:tcW w:w="690" w:type="pct"/>
            <w:tcBorders>
              <w:top w:val="single" w:sz="4" w:space="0" w:color="auto"/>
              <w:left w:val="nil"/>
              <w:bottom w:val="single" w:sz="4" w:space="0" w:color="auto"/>
              <w:right w:val="nil"/>
            </w:tcBorders>
            <w:vAlign w:val="bottom"/>
            <w:hideMark/>
          </w:tcPr>
          <w:p w14:paraId="70E57127"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34,931</w:t>
            </w:r>
          </w:p>
        </w:tc>
        <w:tc>
          <w:tcPr>
            <w:tcW w:w="624" w:type="pct"/>
            <w:tcBorders>
              <w:top w:val="single" w:sz="4" w:space="0" w:color="auto"/>
              <w:left w:val="nil"/>
              <w:bottom w:val="single" w:sz="4" w:space="0" w:color="auto"/>
              <w:right w:val="nil"/>
            </w:tcBorders>
            <w:vAlign w:val="bottom"/>
            <w:hideMark/>
          </w:tcPr>
          <w:p w14:paraId="2D32EB97"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316,365</w:t>
            </w:r>
          </w:p>
        </w:tc>
        <w:tc>
          <w:tcPr>
            <w:tcW w:w="103" w:type="pct"/>
            <w:tcBorders>
              <w:left w:val="nil"/>
              <w:right w:val="nil"/>
            </w:tcBorders>
            <w:vAlign w:val="bottom"/>
            <w:hideMark/>
          </w:tcPr>
          <w:p w14:paraId="1584D49A" w14:textId="77777777" w:rsidR="008D0DAB" w:rsidRPr="00F460F2" w:rsidRDefault="008D0DAB" w:rsidP="009B7B2A">
            <w:pPr>
              <w:spacing w:after="0" w:line="240" w:lineRule="auto"/>
              <w:jc w:val="right"/>
              <w:rPr>
                <w:rFonts w:eastAsia="Times New Roman" w:cs="Arial"/>
                <w:b/>
                <w:bCs/>
                <w:color w:val="000000"/>
                <w:sz w:val="20"/>
                <w:szCs w:val="20"/>
                <w:lang w:eastAsia="en-AU"/>
              </w:rPr>
            </w:pPr>
          </w:p>
        </w:tc>
        <w:tc>
          <w:tcPr>
            <w:tcW w:w="647" w:type="pct"/>
            <w:tcBorders>
              <w:top w:val="single" w:sz="4" w:space="0" w:color="auto"/>
              <w:left w:val="nil"/>
              <w:bottom w:val="single" w:sz="4" w:space="0" w:color="auto"/>
              <w:right w:val="nil"/>
            </w:tcBorders>
            <w:vAlign w:val="bottom"/>
            <w:hideMark/>
          </w:tcPr>
          <w:p w14:paraId="23DCDC22"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20,573 </w:t>
            </w:r>
          </w:p>
        </w:tc>
        <w:tc>
          <w:tcPr>
            <w:tcW w:w="400" w:type="pct"/>
            <w:tcBorders>
              <w:top w:val="single" w:sz="4" w:space="0" w:color="auto"/>
              <w:left w:val="nil"/>
              <w:bottom w:val="single" w:sz="4" w:space="0" w:color="auto"/>
              <w:right w:val="nil"/>
            </w:tcBorders>
            <w:vAlign w:val="bottom"/>
            <w:hideMark/>
          </w:tcPr>
          <w:p w14:paraId="6AF5C310"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20,251 </w:t>
            </w:r>
          </w:p>
        </w:tc>
        <w:tc>
          <w:tcPr>
            <w:tcW w:w="523" w:type="pct"/>
            <w:tcBorders>
              <w:top w:val="single" w:sz="4" w:space="0" w:color="auto"/>
              <w:left w:val="nil"/>
              <w:bottom w:val="single" w:sz="4" w:space="0" w:color="auto"/>
              <w:right w:val="nil"/>
            </w:tcBorders>
            <w:vAlign w:val="bottom"/>
            <w:hideMark/>
          </w:tcPr>
          <w:p w14:paraId="71493E49" w14:textId="77777777" w:rsidR="008D0DAB" w:rsidRPr="00E326C0" w:rsidRDefault="008D0DAB" w:rsidP="009B7B2A">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106,923 </w:t>
            </w:r>
          </w:p>
        </w:tc>
      </w:tr>
      <w:tr w:rsidR="00CD0301" w:rsidRPr="0036312D" w14:paraId="70C506A7" w14:textId="77777777" w:rsidTr="00E326C0">
        <w:trPr>
          <w:trHeight w:val="300"/>
        </w:trPr>
        <w:tc>
          <w:tcPr>
            <w:tcW w:w="1416" w:type="pct"/>
            <w:tcBorders>
              <w:top w:val="nil"/>
              <w:left w:val="nil"/>
              <w:bottom w:val="nil"/>
              <w:right w:val="nil"/>
            </w:tcBorders>
            <w:vAlign w:val="center"/>
            <w:hideMark/>
          </w:tcPr>
          <w:p w14:paraId="470A713B"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597" w:type="pct"/>
            <w:tcBorders>
              <w:top w:val="single" w:sz="4" w:space="0" w:color="auto"/>
              <w:left w:val="nil"/>
              <w:bottom w:val="single" w:sz="4" w:space="0" w:color="auto"/>
              <w:right w:val="nil"/>
            </w:tcBorders>
            <w:vAlign w:val="bottom"/>
            <w:hideMark/>
          </w:tcPr>
          <w:p w14:paraId="76A6BFFE" w14:textId="77777777" w:rsidR="008D0DAB" w:rsidRPr="00F65403" w:rsidRDefault="008D0DAB" w:rsidP="009B7B2A">
            <w:pPr>
              <w:spacing w:after="0" w:line="240" w:lineRule="auto"/>
              <w:jc w:val="right"/>
              <w:rPr>
                <w:rFonts w:eastAsia="Times New Roman" w:cs="Arial"/>
                <w:sz w:val="20"/>
                <w:szCs w:val="20"/>
                <w:lang w:eastAsia="en-AU"/>
              </w:rPr>
            </w:pPr>
          </w:p>
        </w:tc>
        <w:tc>
          <w:tcPr>
            <w:tcW w:w="690" w:type="pct"/>
            <w:tcBorders>
              <w:top w:val="single" w:sz="4" w:space="0" w:color="auto"/>
              <w:left w:val="nil"/>
              <w:bottom w:val="single" w:sz="4" w:space="0" w:color="auto"/>
              <w:right w:val="nil"/>
            </w:tcBorders>
            <w:vAlign w:val="bottom"/>
            <w:hideMark/>
          </w:tcPr>
          <w:p w14:paraId="76207220" w14:textId="77777777" w:rsidR="008D0DAB" w:rsidRPr="00F65403" w:rsidRDefault="008D0DAB" w:rsidP="009B7B2A">
            <w:pPr>
              <w:spacing w:after="0" w:line="240" w:lineRule="auto"/>
              <w:jc w:val="right"/>
              <w:rPr>
                <w:rFonts w:eastAsia="Times New Roman" w:cs="Arial"/>
                <w:sz w:val="20"/>
                <w:szCs w:val="20"/>
                <w:lang w:eastAsia="en-AU"/>
              </w:rPr>
            </w:pPr>
          </w:p>
        </w:tc>
        <w:tc>
          <w:tcPr>
            <w:tcW w:w="624" w:type="pct"/>
            <w:tcBorders>
              <w:top w:val="single" w:sz="4" w:space="0" w:color="auto"/>
              <w:left w:val="nil"/>
              <w:bottom w:val="single" w:sz="4" w:space="0" w:color="auto"/>
              <w:right w:val="nil"/>
            </w:tcBorders>
            <w:vAlign w:val="bottom"/>
            <w:hideMark/>
          </w:tcPr>
          <w:p w14:paraId="55C72365" w14:textId="77777777" w:rsidR="008D0DAB" w:rsidRPr="00F65403" w:rsidRDefault="008D0DAB" w:rsidP="009B7B2A">
            <w:pPr>
              <w:spacing w:after="0" w:line="240" w:lineRule="auto"/>
              <w:jc w:val="right"/>
              <w:rPr>
                <w:rFonts w:eastAsia="Times New Roman" w:cs="Arial"/>
                <w:sz w:val="20"/>
                <w:szCs w:val="20"/>
                <w:lang w:eastAsia="en-AU"/>
              </w:rPr>
            </w:pPr>
          </w:p>
        </w:tc>
        <w:tc>
          <w:tcPr>
            <w:tcW w:w="103" w:type="pct"/>
            <w:tcBorders>
              <w:left w:val="nil"/>
              <w:bottom w:val="nil"/>
              <w:right w:val="nil"/>
            </w:tcBorders>
            <w:vAlign w:val="bottom"/>
            <w:hideMark/>
          </w:tcPr>
          <w:p w14:paraId="53A5B793" w14:textId="77777777" w:rsidR="008D0DAB" w:rsidRPr="00F65403" w:rsidRDefault="008D0DAB" w:rsidP="009B7B2A">
            <w:pPr>
              <w:spacing w:after="0" w:line="240" w:lineRule="auto"/>
              <w:jc w:val="right"/>
              <w:rPr>
                <w:rFonts w:eastAsia="Times New Roman" w:cs="Arial"/>
                <w:sz w:val="20"/>
                <w:szCs w:val="20"/>
                <w:lang w:eastAsia="en-AU"/>
              </w:rPr>
            </w:pPr>
          </w:p>
        </w:tc>
        <w:tc>
          <w:tcPr>
            <w:tcW w:w="647" w:type="pct"/>
            <w:tcBorders>
              <w:top w:val="single" w:sz="4" w:space="0" w:color="auto"/>
              <w:left w:val="nil"/>
              <w:bottom w:val="single" w:sz="4" w:space="0" w:color="auto"/>
              <w:right w:val="nil"/>
            </w:tcBorders>
            <w:vAlign w:val="bottom"/>
            <w:hideMark/>
          </w:tcPr>
          <w:p w14:paraId="17807319" w14:textId="77777777" w:rsidR="008D0DAB" w:rsidRPr="00F65403" w:rsidRDefault="008D0DAB" w:rsidP="009B7B2A">
            <w:pPr>
              <w:spacing w:after="0" w:line="240" w:lineRule="auto"/>
              <w:jc w:val="right"/>
              <w:rPr>
                <w:rFonts w:eastAsia="Times New Roman" w:cs="Arial"/>
                <w:sz w:val="20"/>
                <w:szCs w:val="20"/>
                <w:lang w:eastAsia="en-AU"/>
              </w:rPr>
            </w:pPr>
          </w:p>
        </w:tc>
        <w:tc>
          <w:tcPr>
            <w:tcW w:w="400" w:type="pct"/>
            <w:tcBorders>
              <w:top w:val="single" w:sz="4" w:space="0" w:color="auto"/>
              <w:left w:val="nil"/>
              <w:bottom w:val="single" w:sz="4" w:space="0" w:color="auto"/>
              <w:right w:val="nil"/>
            </w:tcBorders>
            <w:vAlign w:val="bottom"/>
            <w:hideMark/>
          </w:tcPr>
          <w:p w14:paraId="35CC40C0" w14:textId="77777777" w:rsidR="008D0DAB" w:rsidRPr="00F65403" w:rsidRDefault="008D0DAB" w:rsidP="009B7B2A">
            <w:pPr>
              <w:spacing w:after="0" w:line="240" w:lineRule="auto"/>
              <w:jc w:val="right"/>
              <w:rPr>
                <w:rFonts w:eastAsia="Times New Roman" w:cs="Arial"/>
                <w:sz w:val="20"/>
                <w:szCs w:val="20"/>
                <w:lang w:eastAsia="en-AU"/>
              </w:rPr>
            </w:pPr>
          </w:p>
        </w:tc>
        <w:tc>
          <w:tcPr>
            <w:tcW w:w="523" w:type="pct"/>
            <w:tcBorders>
              <w:top w:val="single" w:sz="4" w:space="0" w:color="auto"/>
              <w:left w:val="nil"/>
              <w:bottom w:val="single" w:sz="4" w:space="0" w:color="auto"/>
              <w:right w:val="nil"/>
            </w:tcBorders>
            <w:vAlign w:val="bottom"/>
            <w:hideMark/>
          </w:tcPr>
          <w:p w14:paraId="77DCE834" w14:textId="77777777" w:rsidR="008D0DAB" w:rsidRPr="00F65403" w:rsidRDefault="008D0DAB" w:rsidP="009B7B2A">
            <w:pPr>
              <w:spacing w:after="0" w:line="240" w:lineRule="auto"/>
              <w:jc w:val="right"/>
              <w:rPr>
                <w:rFonts w:eastAsia="Times New Roman" w:cs="Arial"/>
                <w:sz w:val="20"/>
                <w:szCs w:val="20"/>
                <w:lang w:eastAsia="en-AU"/>
              </w:rPr>
            </w:pPr>
          </w:p>
        </w:tc>
      </w:tr>
      <w:tr w:rsidR="00CD0301" w:rsidRPr="0036312D" w14:paraId="609CE332" w14:textId="77777777" w:rsidTr="00E326C0">
        <w:trPr>
          <w:trHeight w:val="300"/>
        </w:trPr>
        <w:tc>
          <w:tcPr>
            <w:tcW w:w="1416" w:type="pct"/>
            <w:tcBorders>
              <w:top w:val="nil"/>
              <w:left w:val="nil"/>
              <w:bottom w:val="nil"/>
              <w:right w:val="nil"/>
            </w:tcBorders>
            <w:vAlign w:val="center"/>
            <w:hideMark/>
          </w:tcPr>
          <w:p w14:paraId="519D26EF"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assets</w:t>
            </w:r>
            <w:r w:rsidRPr="00F65403">
              <w:rPr>
                <w:rFonts w:eastAsia="Times New Roman" w:cs="Arial"/>
                <w:color w:val="000000"/>
                <w:sz w:val="20"/>
                <w:szCs w:val="20"/>
                <w:lang w:eastAsia="en-AU"/>
              </w:rPr>
              <w:t> </w:t>
            </w:r>
          </w:p>
        </w:tc>
        <w:tc>
          <w:tcPr>
            <w:tcW w:w="597" w:type="pct"/>
            <w:tcBorders>
              <w:top w:val="single" w:sz="4" w:space="0" w:color="auto"/>
              <w:left w:val="nil"/>
              <w:bottom w:val="single" w:sz="4" w:space="0" w:color="auto"/>
              <w:right w:val="nil"/>
            </w:tcBorders>
            <w:vAlign w:val="bottom"/>
            <w:hideMark/>
          </w:tcPr>
          <w:p w14:paraId="14EB78D1"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7E56B1">
              <w:rPr>
                <w:rFonts w:eastAsia="Times New Roman" w:cs="Arial"/>
                <w:b/>
                <w:color w:val="000000"/>
                <w:sz w:val="20"/>
                <w:szCs w:val="20"/>
                <w:lang w:eastAsia="en-AU"/>
              </w:rPr>
              <w:t>236,887</w:t>
            </w:r>
          </w:p>
        </w:tc>
        <w:tc>
          <w:tcPr>
            <w:tcW w:w="690" w:type="pct"/>
            <w:tcBorders>
              <w:top w:val="single" w:sz="4" w:space="0" w:color="auto"/>
              <w:left w:val="nil"/>
              <w:bottom w:val="single" w:sz="4" w:space="0" w:color="auto"/>
              <w:right w:val="nil"/>
            </w:tcBorders>
            <w:vAlign w:val="bottom"/>
            <w:hideMark/>
          </w:tcPr>
          <w:p w14:paraId="2886A32C"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7E56B1">
              <w:rPr>
                <w:rFonts w:eastAsia="Times New Roman" w:cs="Arial"/>
                <w:b/>
                <w:color w:val="000000"/>
                <w:sz w:val="20"/>
                <w:szCs w:val="20"/>
                <w:lang w:eastAsia="en-AU"/>
              </w:rPr>
              <w:t>223,708</w:t>
            </w:r>
          </w:p>
        </w:tc>
        <w:tc>
          <w:tcPr>
            <w:tcW w:w="624" w:type="pct"/>
            <w:tcBorders>
              <w:top w:val="single" w:sz="4" w:space="0" w:color="auto"/>
              <w:left w:val="nil"/>
              <w:bottom w:val="single" w:sz="4" w:space="0" w:color="auto"/>
              <w:right w:val="nil"/>
            </w:tcBorders>
            <w:vAlign w:val="bottom"/>
            <w:hideMark/>
          </w:tcPr>
          <w:p w14:paraId="502EA022" w14:textId="3B79934A" w:rsidR="008D0DAB" w:rsidRPr="00F65403" w:rsidRDefault="00CD0301" w:rsidP="413EB596">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59,</w:t>
            </w:r>
            <w:r w:rsidR="0050547B" w:rsidRPr="413EB596">
              <w:rPr>
                <w:rFonts w:eastAsia="Times New Roman" w:cs="Arial"/>
                <w:b/>
                <w:bCs/>
                <w:color w:val="000000" w:themeColor="text1"/>
                <w:sz w:val="20"/>
                <w:szCs w:val="20"/>
                <w:lang w:eastAsia="en-AU"/>
              </w:rPr>
              <w:t>02</w:t>
            </w:r>
            <w:r w:rsidR="00811F63">
              <w:rPr>
                <w:rFonts w:eastAsia="Times New Roman" w:cs="Arial"/>
                <w:b/>
                <w:bCs/>
                <w:color w:val="000000" w:themeColor="text1"/>
                <w:sz w:val="20"/>
                <w:szCs w:val="20"/>
                <w:lang w:eastAsia="en-AU"/>
              </w:rPr>
              <w:t>4</w:t>
            </w:r>
          </w:p>
        </w:tc>
        <w:tc>
          <w:tcPr>
            <w:tcW w:w="103" w:type="pct"/>
            <w:tcBorders>
              <w:top w:val="nil"/>
              <w:left w:val="nil"/>
              <w:bottom w:val="nil"/>
              <w:right w:val="nil"/>
            </w:tcBorders>
            <w:vAlign w:val="bottom"/>
            <w:hideMark/>
          </w:tcPr>
          <w:p w14:paraId="27C20754"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647" w:type="pct"/>
            <w:tcBorders>
              <w:top w:val="single" w:sz="4" w:space="0" w:color="auto"/>
              <w:left w:val="nil"/>
              <w:bottom w:val="single" w:sz="4" w:space="0" w:color="auto"/>
              <w:right w:val="nil"/>
            </w:tcBorders>
            <w:vAlign w:val="bottom"/>
            <w:hideMark/>
          </w:tcPr>
          <w:p w14:paraId="599FE639"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98,864</w:t>
            </w:r>
            <w:r w:rsidRPr="00F65403">
              <w:rPr>
                <w:rFonts w:eastAsia="Times New Roman" w:cs="Arial"/>
                <w:color w:val="000000"/>
                <w:sz w:val="20"/>
                <w:szCs w:val="20"/>
                <w:lang w:eastAsia="en-AU"/>
              </w:rPr>
              <w:t> </w:t>
            </w:r>
          </w:p>
        </w:tc>
        <w:tc>
          <w:tcPr>
            <w:tcW w:w="400" w:type="pct"/>
            <w:tcBorders>
              <w:top w:val="single" w:sz="4" w:space="0" w:color="auto"/>
              <w:left w:val="nil"/>
              <w:bottom w:val="single" w:sz="4" w:space="0" w:color="auto"/>
              <w:right w:val="nil"/>
            </w:tcBorders>
            <w:vAlign w:val="bottom"/>
            <w:hideMark/>
          </w:tcPr>
          <w:p w14:paraId="66500833"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82,857</w:t>
            </w:r>
            <w:r w:rsidRPr="00F65403">
              <w:rPr>
                <w:rFonts w:eastAsia="Times New Roman" w:cs="Arial"/>
                <w:color w:val="000000"/>
                <w:sz w:val="20"/>
                <w:szCs w:val="20"/>
                <w:lang w:eastAsia="en-AU"/>
              </w:rPr>
              <w:t> </w:t>
            </w:r>
          </w:p>
        </w:tc>
        <w:tc>
          <w:tcPr>
            <w:tcW w:w="523" w:type="pct"/>
            <w:tcBorders>
              <w:top w:val="single" w:sz="4" w:space="0" w:color="auto"/>
              <w:left w:val="nil"/>
              <w:bottom w:val="single" w:sz="4" w:space="0" w:color="auto"/>
              <w:right w:val="nil"/>
            </w:tcBorders>
            <w:vAlign w:val="bottom"/>
            <w:hideMark/>
          </w:tcPr>
          <w:p w14:paraId="27577128" w14:textId="77777777" w:rsidR="008D0DAB" w:rsidRPr="00F65403" w:rsidRDefault="008D0DAB" w:rsidP="009B7B2A">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19,209</w:t>
            </w:r>
            <w:r w:rsidRPr="00F65403">
              <w:rPr>
                <w:rFonts w:eastAsia="Times New Roman" w:cs="Arial"/>
                <w:color w:val="000000"/>
                <w:sz w:val="20"/>
                <w:szCs w:val="20"/>
                <w:lang w:eastAsia="en-AU"/>
              </w:rPr>
              <w:t> </w:t>
            </w:r>
          </w:p>
        </w:tc>
      </w:tr>
      <w:tr w:rsidR="00CD0301" w:rsidRPr="0036312D" w14:paraId="099B5818" w14:textId="77777777" w:rsidTr="413EB596">
        <w:tc>
          <w:tcPr>
            <w:tcW w:w="1416" w:type="pct"/>
            <w:tcBorders>
              <w:top w:val="nil"/>
              <w:left w:val="nil"/>
              <w:bottom w:val="nil"/>
              <w:right w:val="nil"/>
            </w:tcBorders>
            <w:vAlign w:val="center"/>
            <w:hideMark/>
          </w:tcPr>
          <w:p w14:paraId="7DC4E2EE"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597" w:type="pct"/>
            <w:tcBorders>
              <w:top w:val="single" w:sz="4" w:space="0" w:color="auto"/>
              <w:left w:val="nil"/>
              <w:right w:val="nil"/>
            </w:tcBorders>
            <w:vAlign w:val="bottom"/>
            <w:hideMark/>
          </w:tcPr>
          <w:p w14:paraId="0542C8A3" w14:textId="77777777" w:rsidR="008D0DAB" w:rsidRPr="00F65403" w:rsidRDefault="008D0DAB" w:rsidP="009B7B2A">
            <w:pPr>
              <w:spacing w:after="0" w:line="240" w:lineRule="auto"/>
              <w:jc w:val="right"/>
              <w:rPr>
                <w:rFonts w:eastAsia="Times New Roman" w:cs="Arial"/>
                <w:sz w:val="20"/>
                <w:szCs w:val="20"/>
                <w:lang w:eastAsia="en-AU"/>
              </w:rPr>
            </w:pPr>
          </w:p>
        </w:tc>
        <w:tc>
          <w:tcPr>
            <w:tcW w:w="690" w:type="pct"/>
            <w:tcBorders>
              <w:top w:val="single" w:sz="4" w:space="0" w:color="auto"/>
              <w:left w:val="nil"/>
              <w:right w:val="nil"/>
            </w:tcBorders>
            <w:vAlign w:val="bottom"/>
            <w:hideMark/>
          </w:tcPr>
          <w:p w14:paraId="6E17D893" w14:textId="77777777" w:rsidR="008D0DAB" w:rsidRPr="00F65403" w:rsidRDefault="008D0DAB" w:rsidP="009B7B2A">
            <w:pPr>
              <w:spacing w:after="0" w:line="240" w:lineRule="auto"/>
              <w:jc w:val="right"/>
              <w:rPr>
                <w:rFonts w:eastAsia="Times New Roman" w:cs="Arial"/>
                <w:sz w:val="20"/>
                <w:szCs w:val="20"/>
                <w:lang w:eastAsia="en-AU"/>
              </w:rPr>
            </w:pPr>
          </w:p>
        </w:tc>
        <w:tc>
          <w:tcPr>
            <w:tcW w:w="624" w:type="pct"/>
            <w:tcBorders>
              <w:top w:val="single" w:sz="4" w:space="0" w:color="auto"/>
              <w:left w:val="nil"/>
              <w:right w:val="nil"/>
            </w:tcBorders>
            <w:vAlign w:val="bottom"/>
            <w:hideMark/>
          </w:tcPr>
          <w:p w14:paraId="23DC648F" w14:textId="77777777" w:rsidR="008D0DAB" w:rsidRPr="00F65403" w:rsidRDefault="008D0DAB" w:rsidP="009B7B2A">
            <w:pPr>
              <w:spacing w:after="0" w:line="240" w:lineRule="auto"/>
              <w:jc w:val="right"/>
              <w:rPr>
                <w:rFonts w:eastAsia="Times New Roman" w:cs="Arial"/>
                <w:sz w:val="20"/>
                <w:szCs w:val="20"/>
                <w:lang w:eastAsia="en-AU"/>
              </w:rPr>
            </w:pPr>
          </w:p>
        </w:tc>
        <w:tc>
          <w:tcPr>
            <w:tcW w:w="103" w:type="pct"/>
            <w:tcBorders>
              <w:top w:val="nil"/>
              <w:left w:val="nil"/>
              <w:right w:val="nil"/>
            </w:tcBorders>
            <w:vAlign w:val="bottom"/>
            <w:hideMark/>
          </w:tcPr>
          <w:p w14:paraId="590A7DD1" w14:textId="77777777" w:rsidR="008D0DAB" w:rsidRPr="00F65403" w:rsidRDefault="008D0DAB" w:rsidP="009B7B2A">
            <w:pPr>
              <w:spacing w:after="0" w:line="240" w:lineRule="auto"/>
              <w:jc w:val="right"/>
              <w:rPr>
                <w:rFonts w:eastAsia="Times New Roman" w:cs="Arial"/>
                <w:sz w:val="20"/>
                <w:szCs w:val="20"/>
                <w:lang w:eastAsia="en-AU"/>
              </w:rPr>
            </w:pPr>
          </w:p>
        </w:tc>
        <w:tc>
          <w:tcPr>
            <w:tcW w:w="647" w:type="pct"/>
            <w:tcBorders>
              <w:top w:val="single" w:sz="4" w:space="0" w:color="auto"/>
              <w:left w:val="nil"/>
              <w:right w:val="nil"/>
            </w:tcBorders>
            <w:vAlign w:val="bottom"/>
            <w:hideMark/>
          </w:tcPr>
          <w:p w14:paraId="028999CA" w14:textId="77777777" w:rsidR="008D0DAB" w:rsidRPr="00F65403" w:rsidRDefault="008D0DAB" w:rsidP="009B7B2A">
            <w:pPr>
              <w:spacing w:after="0" w:line="240" w:lineRule="auto"/>
              <w:jc w:val="right"/>
              <w:rPr>
                <w:rFonts w:eastAsia="Times New Roman" w:cs="Arial"/>
                <w:sz w:val="20"/>
                <w:szCs w:val="20"/>
                <w:lang w:eastAsia="en-AU"/>
              </w:rPr>
            </w:pPr>
          </w:p>
        </w:tc>
        <w:tc>
          <w:tcPr>
            <w:tcW w:w="400" w:type="pct"/>
            <w:tcBorders>
              <w:top w:val="single" w:sz="4" w:space="0" w:color="auto"/>
              <w:left w:val="nil"/>
              <w:right w:val="nil"/>
            </w:tcBorders>
            <w:vAlign w:val="bottom"/>
            <w:hideMark/>
          </w:tcPr>
          <w:p w14:paraId="73DD8C35" w14:textId="77777777" w:rsidR="008D0DAB" w:rsidRPr="00F65403" w:rsidRDefault="008D0DAB" w:rsidP="009B7B2A">
            <w:pPr>
              <w:spacing w:after="0" w:line="240" w:lineRule="auto"/>
              <w:jc w:val="right"/>
              <w:rPr>
                <w:rFonts w:eastAsia="Times New Roman" w:cs="Arial"/>
                <w:sz w:val="20"/>
                <w:szCs w:val="20"/>
                <w:lang w:eastAsia="en-AU"/>
              </w:rPr>
            </w:pPr>
          </w:p>
        </w:tc>
        <w:tc>
          <w:tcPr>
            <w:tcW w:w="523" w:type="pct"/>
            <w:tcBorders>
              <w:top w:val="single" w:sz="4" w:space="0" w:color="auto"/>
              <w:left w:val="nil"/>
              <w:right w:val="nil"/>
            </w:tcBorders>
            <w:vAlign w:val="bottom"/>
            <w:hideMark/>
          </w:tcPr>
          <w:p w14:paraId="1558C572" w14:textId="77777777" w:rsidR="008D0DAB" w:rsidRPr="00F65403" w:rsidRDefault="008D0DAB" w:rsidP="009B7B2A">
            <w:pPr>
              <w:spacing w:after="0" w:line="240" w:lineRule="auto"/>
              <w:jc w:val="right"/>
              <w:rPr>
                <w:rFonts w:eastAsia="Times New Roman" w:cs="Arial"/>
                <w:sz w:val="20"/>
                <w:szCs w:val="20"/>
                <w:lang w:eastAsia="en-AU"/>
              </w:rPr>
            </w:pPr>
          </w:p>
        </w:tc>
      </w:tr>
      <w:tr w:rsidR="00CD0301" w:rsidRPr="0036312D" w14:paraId="4B896D98" w14:textId="77777777" w:rsidTr="413EB596">
        <w:tc>
          <w:tcPr>
            <w:tcW w:w="1416" w:type="pct"/>
            <w:tcBorders>
              <w:top w:val="nil"/>
              <w:left w:val="nil"/>
              <w:bottom w:val="nil"/>
              <w:right w:val="nil"/>
            </w:tcBorders>
            <w:vAlign w:val="center"/>
            <w:hideMark/>
          </w:tcPr>
          <w:p w14:paraId="278F549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Group’s ownership interest (%) </w:t>
            </w:r>
          </w:p>
        </w:tc>
        <w:tc>
          <w:tcPr>
            <w:tcW w:w="597" w:type="pct"/>
            <w:tcBorders>
              <w:top w:val="nil"/>
              <w:left w:val="nil"/>
              <w:right w:val="nil"/>
            </w:tcBorders>
            <w:vAlign w:val="bottom"/>
            <w:hideMark/>
          </w:tcPr>
          <w:p w14:paraId="40AD8784"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690" w:type="pct"/>
            <w:tcBorders>
              <w:top w:val="nil"/>
              <w:left w:val="nil"/>
              <w:right w:val="nil"/>
            </w:tcBorders>
            <w:vAlign w:val="bottom"/>
            <w:hideMark/>
          </w:tcPr>
          <w:p w14:paraId="5C34982F"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624" w:type="pct"/>
            <w:tcBorders>
              <w:top w:val="nil"/>
              <w:left w:val="nil"/>
              <w:right w:val="nil"/>
            </w:tcBorders>
            <w:vAlign w:val="bottom"/>
            <w:hideMark/>
          </w:tcPr>
          <w:p w14:paraId="68BF3CFB"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4</w:t>
            </w:r>
            <w:r>
              <w:rPr>
                <w:rFonts w:eastAsia="Times New Roman" w:cs="Arial"/>
                <w:sz w:val="20"/>
                <w:szCs w:val="20"/>
                <w:lang w:eastAsia="en-AU"/>
              </w:rPr>
              <w:t>7</w:t>
            </w:r>
            <w:r w:rsidRPr="00F65403">
              <w:rPr>
                <w:rFonts w:eastAsia="Times New Roman" w:cs="Arial"/>
                <w:sz w:val="20"/>
                <w:szCs w:val="20"/>
                <w:lang w:eastAsia="en-AU"/>
              </w:rPr>
              <w:t>% </w:t>
            </w:r>
          </w:p>
        </w:tc>
        <w:tc>
          <w:tcPr>
            <w:tcW w:w="103" w:type="pct"/>
            <w:tcBorders>
              <w:top w:val="nil"/>
              <w:left w:val="nil"/>
              <w:right w:val="nil"/>
            </w:tcBorders>
            <w:vAlign w:val="bottom"/>
            <w:hideMark/>
          </w:tcPr>
          <w:p w14:paraId="0B935755" w14:textId="77777777" w:rsidR="008D0DAB" w:rsidRPr="00F65403" w:rsidRDefault="008D0DAB" w:rsidP="009B7B2A">
            <w:pPr>
              <w:spacing w:after="0" w:line="240" w:lineRule="auto"/>
              <w:jc w:val="right"/>
              <w:rPr>
                <w:rFonts w:eastAsia="Times New Roman" w:cs="Arial"/>
                <w:sz w:val="20"/>
                <w:szCs w:val="20"/>
                <w:lang w:eastAsia="en-AU"/>
              </w:rPr>
            </w:pPr>
          </w:p>
        </w:tc>
        <w:tc>
          <w:tcPr>
            <w:tcW w:w="647" w:type="pct"/>
            <w:tcBorders>
              <w:top w:val="nil"/>
              <w:left w:val="nil"/>
              <w:right w:val="nil"/>
            </w:tcBorders>
            <w:vAlign w:val="bottom"/>
            <w:hideMark/>
          </w:tcPr>
          <w:p w14:paraId="2E8A0BCE"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400" w:type="pct"/>
            <w:tcBorders>
              <w:top w:val="nil"/>
              <w:left w:val="nil"/>
              <w:right w:val="nil"/>
            </w:tcBorders>
            <w:vAlign w:val="bottom"/>
            <w:hideMark/>
          </w:tcPr>
          <w:p w14:paraId="00F3B2F5"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30% </w:t>
            </w:r>
          </w:p>
        </w:tc>
        <w:tc>
          <w:tcPr>
            <w:tcW w:w="523" w:type="pct"/>
            <w:tcBorders>
              <w:top w:val="nil"/>
              <w:left w:val="nil"/>
              <w:right w:val="nil"/>
            </w:tcBorders>
            <w:vAlign w:val="bottom"/>
            <w:hideMark/>
          </w:tcPr>
          <w:p w14:paraId="202521AB" w14:textId="77777777" w:rsidR="008D0DAB" w:rsidRPr="00F65403" w:rsidRDefault="008D0DAB" w:rsidP="009B7B2A">
            <w:pPr>
              <w:spacing w:after="0" w:line="240" w:lineRule="auto"/>
              <w:jc w:val="right"/>
              <w:rPr>
                <w:rFonts w:eastAsia="Times New Roman" w:cs="Arial"/>
                <w:sz w:val="20"/>
                <w:szCs w:val="20"/>
                <w:lang w:eastAsia="en-AU"/>
              </w:rPr>
            </w:pPr>
            <w:r w:rsidRPr="00F65403">
              <w:rPr>
                <w:rFonts w:eastAsia="Times New Roman" w:cs="Arial"/>
                <w:sz w:val="20"/>
                <w:szCs w:val="20"/>
                <w:lang w:eastAsia="en-AU"/>
              </w:rPr>
              <w:t>4</w:t>
            </w:r>
            <w:r>
              <w:rPr>
                <w:rFonts w:eastAsia="Times New Roman" w:cs="Arial"/>
                <w:sz w:val="20"/>
                <w:szCs w:val="20"/>
                <w:lang w:eastAsia="en-AU"/>
              </w:rPr>
              <w:t>7</w:t>
            </w:r>
            <w:r w:rsidRPr="00F65403">
              <w:rPr>
                <w:rFonts w:eastAsia="Times New Roman" w:cs="Arial"/>
                <w:sz w:val="20"/>
                <w:szCs w:val="20"/>
                <w:lang w:eastAsia="en-AU"/>
              </w:rPr>
              <w:t>% </w:t>
            </w:r>
          </w:p>
        </w:tc>
      </w:tr>
      <w:tr w:rsidR="00CD0301" w:rsidRPr="0036312D" w14:paraId="1603CFAA" w14:textId="77777777" w:rsidTr="413EB596">
        <w:trPr>
          <w:trHeight w:val="300"/>
        </w:trPr>
        <w:tc>
          <w:tcPr>
            <w:tcW w:w="1416" w:type="pct"/>
            <w:tcBorders>
              <w:top w:val="nil"/>
              <w:left w:val="nil"/>
              <w:bottom w:val="nil"/>
              <w:right w:val="nil"/>
            </w:tcBorders>
            <w:vAlign w:val="center"/>
          </w:tcPr>
          <w:p w14:paraId="12A57436" w14:textId="62809BCC" w:rsidR="0011061C" w:rsidRPr="0075478D" w:rsidRDefault="0011061C" w:rsidP="009B7B2A">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Goodwill</w:t>
            </w:r>
          </w:p>
        </w:tc>
        <w:tc>
          <w:tcPr>
            <w:tcW w:w="597" w:type="pct"/>
            <w:tcBorders>
              <w:left w:val="nil"/>
              <w:bottom w:val="single" w:sz="4" w:space="0" w:color="auto"/>
              <w:right w:val="nil"/>
            </w:tcBorders>
            <w:vAlign w:val="bottom"/>
          </w:tcPr>
          <w:p w14:paraId="7067F54F" w14:textId="0BF5A9E3"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690" w:type="pct"/>
            <w:tcBorders>
              <w:left w:val="nil"/>
              <w:bottom w:val="single" w:sz="4" w:space="0" w:color="auto"/>
              <w:right w:val="nil"/>
            </w:tcBorders>
            <w:vAlign w:val="bottom"/>
          </w:tcPr>
          <w:p w14:paraId="5F3AD2A8" w14:textId="2BF0C74E"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624" w:type="pct"/>
            <w:tcBorders>
              <w:left w:val="nil"/>
              <w:bottom w:val="single" w:sz="4" w:space="0" w:color="auto"/>
              <w:right w:val="nil"/>
            </w:tcBorders>
            <w:vAlign w:val="bottom"/>
          </w:tcPr>
          <w:p w14:paraId="6EB053B7" w14:textId="43D59260"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11,0</w:t>
            </w:r>
            <w:r w:rsidR="0075478D" w:rsidRPr="413EB596">
              <w:rPr>
                <w:rFonts w:eastAsia="Times New Roman" w:cs="Arial"/>
                <w:sz w:val="20"/>
                <w:szCs w:val="20"/>
                <w:lang w:eastAsia="en-AU"/>
              </w:rPr>
              <w:t>58</w:t>
            </w:r>
          </w:p>
        </w:tc>
        <w:tc>
          <w:tcPr>
            <w:tcW w:w="103" w:type="pct"/>
            <w:tcBorders>
              <w:left w:val="nil"/>
              <w:right w:val="nil"/>
            </w:tcBorders>
            <w:vAlign w:val="bottom"/>
          </w:tcPr>
          <w:p w14:paraId="7D8887C4" w14:textId="77777777" w:rsidR="0011061C" w:rsidRPr="0075478D" w:rsidRDefault="0011061C" w:rsidP="009B7B2A">
            <w:pPr>
              <w:spacing w:after="0" w:line="240" w:lineRule="auto"/>
              <w:jc w:val="right"/>
              <w:rPr>
                <w:rFonts w:eastAsia="Times New Roman" w:cs="Arial"/>
                <w:sz w:val="20"/>
                <w:szCs w:val="20"/>
                <w:lang w:eastAsia="en-AU"/>
              </w:rPr>
            </w:pPr>
          </w:p>
        </w:tc>
        <w:tc>
          <w:tcPr>
            <w:tcW w:w="647" w:type="pct"/>
            <w:tcBorders>
              <w:left w:val="nil"/>
              <w:bottom w:val="single" w:sz="4" w:space="0" w:color="auto"/>
              <w:right w:val="nil"/>
            </w:tcBorders>
            <w:vAlign w:val="bottom"/>
          </w:tcPr>
          <w:p w14:paraId="79CD66CE" w14:textId="77249F4F"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400" w:type="pct"/>
            <w:tcBorders>
              <w:left w:val="nil"/>
              <w:bottom w:val="single" w:sz="4" w:space="0" w:color="auto"/>
              <w:right w:val="nil"/>
            </w:tcBorders>
            <w:vAlign w:val="bottom"/>
          </w:tcPr>
          <w:p w14:paraId="57EDEFBC" w14:textId="096C9AA7"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c>
          <w:tcPr>
            <w:tcW w:w="523" w:type="pct"/>
            <w:tcBorders>
              <w:left w:val="nil"/>
              <w:bottom w:val="single" w:sz="4" w:space="0" w:color="auto"/>
              <w:right w:val="nil"/>
            </w:tcBorders>
            <w:vAlign w:val="bottom"/>
          </w:tcPr>
          <w:p w14:paraId="5E12E5B9" w14:textId="538FA0B7" w:rsidR="0011061C" w:rsidRPr="0075478D" w:rsidRDefault="0050547B" w:rsidP="009B7B2A">
            <w:pPr>
              <w:spacing w:after="0" w:line="240" w:lineRule="auto"/>
              <w:jc w:val="right"/>
              <w:rPr>
                <w:rFonts w:eastAsia="Times New Roman" w:cs="Arial"/>
                <w:sz w:val="20"/>
                <w:szCs w:val="20"/>
                <w:lang w:eastAsia="en-AU"/>
              </w:rPr>
            </w:pPr>
            <w:r w:rsidRPr="413EB596">
              <w:rPr>
                <w:rFonts w:eastAsia="Times New Roman" w:cs="Arial"/>
                <w:sz w:val="20"/>
                <w:szCs w:val="20"/>
                <w:lang w:eastAsia="en-AU"/>
              </w:rPr>
              <w:t>-</w:t>
            </w:r>
          </w:p>
        </w:tc>
      </w:tr>
      <w:tr w:rsidR="00CD0301" w:rsidRPr="0036312D" w14:paraId="48DA43CB" w14:textId="77777777" w:rsidTr="00E326C0">
        <w:trPr>
          <w:trHeight w:val="300"/>
        </w:trPr>
        <w:tc>
          <w:tcPr>
            <w:tcW w:w="1416" w:type="pct"/>
            <w:tcBorders>
              <w:top w:val="nil"/>
              <w:left w:val="nil"/>
              <w:bottom w:val="nil"/>
              <w:right w:val="nil"/>
            </w:tcBorders>
            <w:vAlign w:val="center"/>
            <w:hideMark/>
          </w:tcPr>
          <w:p w14:paraId="723E48B4"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Group’s carrying amount</w:t>
            </w:r>
          </w:p>
        </w:tc>
        <w:tc>
          <w:tcPr>
            <w:tcW w:w="597" w:type="pct"/>
            <w:tcBorders>
              <w:top w:val="single" w:sz="4" w:space="0" w:color="auto"/>
              <w:left w:val="nil"/>
              <w:bottom w:val="single" w:sz="4" w:space="0" w:color="auto"/>
              <w:right w:val="nil"/>
            </w:tcBorders>
            <w:vAlign w:val="bottom"/>
            <w:hideMark/>
          </w:tcPr>
          <w:p w14:paraId="5A7819E0" w14:textId="77777777" w:rsidR="008D0DAB" w:rsidRPr="00F65403" w:rsidRDefault="008D0DAB" w:rsidP="009B7B2A">
            <w:pPr>
              <w:spacing w:after="0" w:line="240" w:lineRule="auto"/>
              <w:jc w:val="right"/>
              <w:rPr>
                <w:rFonts w:eastAsia="Times New Roman" w:cs="Arial"/>
                <w:b/>
                <w:sz w:val="20"/>
                <w:szCs w:val="20"/>
                <w:lang w:eastAsia="en-AU"/>
              </w:rPr>
            </w:pPr>
            <w:r>
              <w:rPr>
                <w:rFonts w:eastAsia="Times New Roman" w:cs="Arial"/>
                <w:b/>
                <w:sz w:val="20"/>
                <w:szCs w:val="20"/>
                <w:lang w:eastAsia="en-AU"/>
              </w:rPr>
              <w:t>71,066</w:t>
            </w:r>
            <w:r w:rsidRPr="00F65403">
              <w:rPr>
                <w:rFonts w:eastAsia="Times New Roman" w:cs="Arial"/>
                <w:sz w:val="20"/>
                <w:szCs w:val="20"/>
                <w:lang w:eastAsia="en-AU"/>
              </w:rPr>
              <w:t> </w:t>
            </w:r>
          </w:p>
        </w:tc>
        <w:tc>
          <w:tcPr>
            <w:tcW w:w="690" w:type="pct"/>
            <w:tcBorders>
              <w:top w:val="single" w:sz="4" w:space="0" w:color="auto"/>
              <w:left w:val="nil"/>
              <w:bottom w:val="single" w:sz="4" w:space="0" w:color="auto"/>
              <w:right w:val="nil"/>
            </w:tcBorders>
            <w:vAlign w:val="bottom"/>
            <w:hideMark/>
          </w:tcPr>
          <w:p w14:paraId="4C858336" w14:textId="77777777" w:rsidR="008D0DAB" w:rsidRPr="00F65403" w:rsidRDefault="008D0DAB" w:rsidP="009B7B2A">
            <w:pPr>
              <w:spacing w:after="0" w:line="240" w:lineRule="auto"/>
              <w:jc w:val="right"/>
              <w:rPr>
                <w:rFonts w:eastAsia="Times New Roman" w:cs="Arial"/>
                <w:b/>
                <w:sz w:val="20"/>
                <w:szCs w:val="20"/>
                <w:lang w:eastAsia="en-AU"/>
              </w:rPr>
            </w:pPr>
            <w:r>
              <w:rPr>
                <w:rFonts w:eastAsia="Times New Roman" w:cs="Arial"/>
                <w:b/>
                <w:sz w:val="20"/>
                <w:szCs w:val="20"/>
                <w:lang w:eastAsia="en-AU"/>
              </w:rPr>
              <w:t>67,112</w:t>
            </w:r>
            <w:r w:rsidRPr="00F65403">
              <w:rPr>
                <w:rFonts w:eastAsia="Times New Roman" w:cs="Arial"/>
                <w:sz w:val="20"/>
                <w:szCs w:val="20"/>
                <w:lang w:eastAsia="en-AU"/>
              </w:rPr>
              <w:t> </w:t>
            </w:r>
          </w:p>
        </w:tc>
        <w:tc>
          <w:tcPr>
            <w:tcW w:w="624" w:type="pct"/>
            <w:tcBorders>
              <w:top w:val="single" w:sz="4" w:space="0" w:color="auto"/>
              <w:left w:val="nil"/>
              <w:bottom w:val="single" w:sz="4" w:space="0" w:color="auto"/>
              <w:right w:val="nil"/>
            </w:tcBorders>
            <w:vAlign w:val="bottom"/>
            <w:hideMark/>
          </w:tcPr>
          <w:p w14:paraId="39078A7B" w14:textId="77777777" w:rsidR="008D0DAB" w:rsidRPr="00F65403" w:rsidRDefault="008D0DAB" w:rsidP="009B7B2A">
            <w:pPr>
              <w:spacing w:after="0" w:line="240" w:lineRule="auto"/>
              <w:jc w:val="right"/>
              <w:rPr>
                <w:rFonts w:eastAsia="Times New Roman" w:cs="Arial"/>
                <w:b/>
                <w:sz w:val="20"/>
                <w:szCs w:val="20"/>
                <w:lang w:eastAsia="en-AU"/>
              </w:rPr>
            </w:pPr>
            <w:r w:rsidRPr="00190152">
              <w:rPr>
                <w:rFonts w:eastAsia="Times New Roman" w:cs="Arial"/>
                <w:b/>
                <w:sz w:val="20"/>
                <w:szCs w:val="20"/>
                <w:lang w:eastAsia="en-AU"/>
              </w:rPr>
              <w:t>38,578</w:t>
            </w:r>
          </w:p>
        </w:tc>
        <w:tc>
          <w:tcPr>
            <w:tcW w:w="103" w:type="pct"/>
            <w:tcBorders>
              <w:left w:val="nil"/>
              <w:bottom w:val="nil"/>
              <w:right w:val="nil"/>
            </w:tcBorders>
            <w:vAlign w:val="bottom"/>
            <w:hideMark/>
          </w:tcPr>
          <w:p w14:paraId="71585EAE" w14:textId="77777777" w:rsidR="008D0DAB" w:rsidRPr="00F65403" w:rsidRDefault="008D0DAB" w:rsidP="009B7B2A">
            <w:pPr>
              <w:spacing w:after="0" w:line="240" w:lineRule="auto"/>
              <w:jc w:val="right"/>
              <w:rPr>
                <w:rFonts w:eastAsia="Times New Roman" w:cs="Arial"/>
                <w:b/>
                <w:sz w:val="20"/>
                <w:szCs w:val="20"/>
                <w:lang w:eastAsia="en-AU"/>
              </w:rPr>
            </w:pPr>
          </w:p>
        </w:tc>
        <w:tc>
          <w:tcPr>
            <w:tcW w:w="647" w:type="pct"/>
            <w:tcBorders>
              <w:top w:val="single" w:sz="4" w:space="0" w:color="auto"/>
              <w:left w:val="nil"/>
              <w:bottom w:val="single" w:sz="4" w:space="0" w:color="auto"/>
              <w:right w:val="nil"/>
            </w:tcBorders>
            <w:vAlign w:val="bottom"/>
            <w:hideMark/>
          </w:tcPr>
          <w:p w14:paraId="66353CC8" w14:textId="77777777" w:rsidR="008D0DAB" w:rsidRPr="00F65403" w:rsidRDefault="008D0DAB" w:rsidP="009B7B2A">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29,659</w:t>
            </w:r>
            <w:r w:rsidRPr="00F65403">
              <w:rPr>
                <w:rFonts w:eastAsia="Times New Roman" w:cs="Arial"/>
                <w:sz w:val="20"/>
                <w:szCs w:val="20"/>
                <w:lang w:eastAsia="en-AU"/>
              </w:rPr>
              <w:t> </w:t>
            </w:r>
          </w:p>
        </w:tc>
        <w:tc>
          <w:tcPr>
            <w:tcW w:w="400" w:type="pct"/>
            <w:tcBorders>
              <w:top w:val="single" w:sz="4" w:space="0" w:color="auto"/>
              <w:left w:val="nil"/>
              <w:bottom w:val="single" w:sz="4" w:space="0" w:color="auto"/>
              <w:right w:val="nil"/>
            </w:tcBorders>
            <w:vAlign w:val="bottom"/>
            <w:hideMark/>
          </w:tcPr>
          <w:p w14:paraId="2369C35D" w14:textId="77777777" w:rsidR="008D0DAB" w:rsidRPr="00F65403" w:rsidRDefault="008D0DAB" w:rsidP="009B7B2A">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24,857</w:t>
            </w:r>
            <w:r w:rsidRPr="00F65403">
              <w:rPr>
                <w:rFonts w:eastAsia="Times New Roman" w:cs="Arial"/>
                <w:sz w:val="20"/>
                <w:szCs w:val="20"/>
                <w:lang w:eastAsia="en-AU"/>
              </w:rPr>
              <w:t> </w:t>
            </w:r>
          </w:p>
        </w:tc>
        <w:tc>
          <w:tcPr>
            <w:tcW w:w="523" w:type="pct"/>
            <w:tcBorders>
              <w:top w:val="single" w:sz="4" w:space="0" w:color="auto"/>
              <w:left w:val="nil"/>
              <w:bottom w:val="single" w:sz="4" w:space="0" w:color="auto"/>
              <w:right w:val="nil"/>
            </w:tcBorders>
            <w:vAlign w:val="bottom"/>
            <w:hideMark/>
          </w:tcPr>
          <w:p w14:paraId="2B78802F" w14:textId="77777777" w:rsidR="008D0DAB" w:rsidRPr="00F65403" w:rsidRDefault="008D0DAB" w:rsidP="009B7B2A">
            <w:pPr>
              <w:spacing w:after="0" w:line="240" w:lineRule="auto"/>
              <w:jc w:val="right"/>
              <w:rPr>
                <w:rFonts w:eastAsia="Times New Roman" w:cs="Arial"/>
                <w:b/>
                <w:sz w:val="20"/>
                <w:szCs w:val="20"/>
                <w:lang w:eastAsia="en-AU"/>
              </w:rPr>
            </w:pPr>
            <w:r w:rsidRPr="00F65403">
              <w:rPr>
                <w:rFonts w:eastAsia="Times New Roman" w:cs="Arial"/>
                <w:b/>
                <w:sz w:val="20"/>
                <w:szCs w:val="20"/>
                <w:lang w:eastAsia="en-AU"/>
              </w:rPr>
              <w:t>10,398</w:t>
            </w:r>
            <w:r w:rsidRPr="00F65403">
              <w:rPr>
                <w:rFonts w:eastAsia="Times New Roman" w:cs="Arial"/>
                <w:sz w:val="20"/>
                <w:szCs w:val="20"/>
                <w:lang w:eastAsia="en-AU"/>
              </w:rPr>
              <w:t> </w:t>
            </w:r>
          </w:p>
        </w:tc>
      </w:tr>
      <w:tr w:rsidR="00CD0301" w:rsidRPr="0036312D" w14:paraId="1DD040F6" w14:textId="77777777" w:rsidTr="00E326C0">
        <w:trPr>
          <w:trHeight w:val="300"/>
        </w:trPr>
        <w:tc>
          <w:tcPr>
            <w:tcW w:w="1416" w:type="pct"/>
            <w:tcBorders>
              <w:top w:val="nil"/>
              <w:left w:val="nil"/>
              <w:bottom w:val="nil"/>
              <w:right w:val="nil"/>
            </w:tcBorders>
            <w:vAlign w:val="center"/>
            <w:hideMark/>
          </w:tcPr>
          <w:p w14:paraId="7867AFD7" w14:textId="77777777" w:rsidR="008D0DAB" w:rsidRPr="00F65403" w:rsidRDefault="008D0DAB" w:rsidP="009B7B2A">
            <w:pPr>
              <w:spacing w:after="0" w:line="240" w:lineRule="auto"/>
              <w:jc w:val="right"/>
              <w:rPr>
                <w:rFonts w:eastAsia="Times New Roman" w:cs="Arial"/>
                <w:b/>
                <w:sz w:val="20"/>
                <w:szCs w:val="20"/>
                <w:lang w:eastAsia="en-AU"/>
              </w:rPr>
            </w:pPr>
          </w:p>
        </w:tc>
        <w:tc>
          <w:tcPr>
            <w:tcW w:w="597" w:type="pct"/>
            <w:tcBorders>
              <w:top w:val="single" w:sz="4" w:space="0" w:color="auto"/>
              <w:left w:val="nil"/>
              <w:bottom w:val="nil"/>
              <w:right w:val="nil"/>
            </w:tcBorders>
            <w:vAlign w:val="bottom"/>
            <w:hideMark/>
          </w:tcPr>
          <w:p w14:paraId="3CD1B6EE" w14:textId="77777777" w:rsidR="008D0DAB" w:rsidRPr="00F65403" w:rsidRDefault="008D0DAB" w:rsidP="009B7B2A">
            <w:pPr>
              <w:spacing w:after="0" w:line="240" w:lineRule="auto"/>
              <w:jc w:val="right"/>
              <w:rPr>
                <w:rFonts w:eastAsia="Times New Roman" w:cs="Arial"/>
                <w:sz w:val="20"/>
                <w:szCs w:val="20"/>
                <w:lang w:eastAsia="en-AU"/>
              </w:rPr>
            </w:pPr>
          </w:p>
        </w:tc>
        <w:tc>
          <w:tcPr>
            <w:tcW w:w="690" w:type="pct"/>
            <w:tcBorders>
              <w:top w:val="single" w:sz="4" w:space="0" w:color="auto"/>
              <w:left w:val="nil"/>
              <w:bottom w:val="nil"/>
              <w:right w:val="nil"/>
            </w:tcBorders>
            <w:vAlign w:val="bottom"/>
            <w:hideMark/>
          </w:tcPr>
          <w:p w14:paraId="54638A9F" w14:textId="77777777" w:rsidR="008D0DAB" w:rsidRPr="00F65403" w:rsidRDefault="008D0DAB" w:rsidP="009B7B2A">
            <w:pPr>
              <w:spacing w:after="0" w:line="240" w:lineRule="auto"/>
              <w:jc w:val="right"/>
              <w:rPr>
                <w:rFonts w:eastAsia="Times New Roman" w:cs="Arial"/>
                <w:sz w:val="20"/>
                <w:szCs w:val="20"/>
                <w:lang w:eastAsia="en-AU"/>
              </w:rPr>
            </w:pPr>
          </w:p>
        </w:tc>
        <w:tc>
          <w:tcPr>
            <w:tcW w:w="624" w:type="pct"/>
            <w:tcBorders>
              <w:top w:val="single" w:sz="4" w:space="0" w:color="auto"/>
              <w:left w:val="nil"/>
              <w:bottom w:val="nil"/>
              <w:right w:val="nil"/>
            </w:tcBorders>
            <w:vAlign w:val="bottom"/>
            <w:hideMark/>
          </w:tcPr>
          <w:p w14:paraId="09C9DE84" w14:textId="77777777" w:rsidR="008D0DAB" w:rsidRPr="00F65403" w:rsidRDefault="008D0DAB" w:rsidP="009B7B2A">
            <w:pPr>
              <w:spacing w:after="0" w:line="240" w:lineRule="auto"/>
              <w:jc w:val="right"/>
              <w:rPr>
                <w:rFonts w:eastAsia="Times New Roman" w:cs="Arial"/>
                <w:sz w:val="20"/>
                <w:szCs w:val="20"/>
                <w:lang w:eastAsia="en-AU"/>
              </w:rPr>
            </w:pPr>
          </w:p>
        </w:tc>
        <w:tc>
          <w:tcPr>
            <w:tcW w:w="103" w:type="pct"/>
            <w:tcBorders>
              <w:top w:val="nil"/>
              <w:left w:val="nil"/>
              <w:bottom w:val="nil"/>
              <w:right w:val="nil"/>
            </w:tcBorders>
            <w:vAlign w:val="bottom"/>
            <w:hideMark/>
          </w:tcPr>
          <w:p w14:paraId="206A1EE2" w14:textId="77777777" w:rsidR="008D0DAB" w:rsidRPr="00F65403" w:rsidRDefault="008D0DAB" w:rsidP="009B7B2A">
            <w:pPr>
              <w:spacing w:after="0" w:line="240" w:lineRule="auto"/>
              <w:jc w:val="right"/>
              <w:rPr>
                <w:rFonts w:eastAsia="Times New Roman" w:cs="Arial"/>
                <w:sz w:val="20"/>
                <w:szCs w:val="20"/>
                <w:lang w:eastAsia="en-AU"/>
              </w:rPr>
            </w:pPr>
          </w:p>
        </w:tc>
        <w:tc>
          <w:tcPr>
            <w:tcW w:w="647" w:type="pct"/>
            <w:tcBorders>
              <w:top w:val="single" w:sz="4" w:space="0" w:color="auto"/>
              <w:left w:val="nil"/>
              <w:bottom w:val="nil"/>
              <w:right w:val="nil"/>
            </w:tcBorders>
            <w:vAlign w:val="bottom"/>
            <w:hideMark/>
          </w:tcPr>
          <w:p w14:paraId="222F8F08" w14:textId="77777777" w:rsidR="008D0DAB" w:rsidRPr="00F65403" w:rsidRDefault="008D0DAB" w:rsidP="009B7B2A">
            <w:pPr>
              <w:spacing w:after="0" w:line="240" w:lineRule="auto"/>
              <w:jc w:val="right"/>
              <w:rPr>
                <w:rFonts w:eastAsia="Times New Roman" w:cs="Arial"/>
                <w:sz w:val="20"/>
                <w:szCs w:val="20"/>
                <w:lang w:eastAsia="en-AU"/>
              </w:rPr>
            </w:pPr>
          </w:p>
        </w:tc>
        <w:tc>
          <w:tcPr>
            <w:tcW w:w="400" w:type="pct"/>
            <w:tcBorders>
              <w:top w:val="single" w:sz="4" w:space="0" w:color="auto"/>
              <w:left w:val="nil"/>
              <w:bottom w:val="nil"/>
              <w:right w:val="nil"/>
            </w:tcBorders>
            <w:vAlign w:val="bottom"/>
            <w:hideMark/>
          </w:tcPr>
          <w:p w14:paraId="158EF1F6" w14:textId="77777777" w:rsidR="008D0DAB" w:rsidRPr="00F65403" w:rsidRDefault="008D0DAB" w:rsidP="009B7B2A">
            <w:pPr>
              <w:spacing w:after="0" w:line="240" w:lineRule="auto"/>
              <w:jc w:val="right"/>
              <w:rPr>
                <w:rFonts w:eastAsia="Times New Roman" w:cs="Arial"/>
                <w:sz w:val="20"/>
                <w:szCs w:val="20"/>
                <w:lang w:eastAsia="en-AU"/>
              </w:rPr>
            </w:pPr>
          </w:p>
        </w:tc>
        <w:tc>
          <w:tcPr>
            <w:tcW w:w="523" w:type="pct"/>
            <w:tcBorders>
              <w:top w:val="single" w:sz="4" w:space="0" w:color="auto"/>
              <w:left w:val="nil"/>
              <w:bottom w:val="nil"/>
              <w:right w:val="nil"/>
            </w:tcBorders>
            <w:vAlign w:val="bottom"/>
            <w:hideMark/>
          </w:tcPr>
          <w:p w14:paraId="27E52BDB" w14:textId="77777777" w:rsidR="008D0DAB" w:rsidRPr="00F65403" w:rsidRDefault="008D0DAB" w:rsidP="009B7B2A">
            <w:pPr>
              <w:spacing w:after="0" w:line="240" w:lineRule="auto"/>
              <w:jc w:val="right"/>
              <w:rPr>
                <w:rFonts w:eastAsia="Times New Roman" w:cs="Arial"/>
                <w:sz w:val="20"/>
                <w:szCs w:val="20"/>
                <w:lang w:eastAsia="en-AU"/>
              </w:rPr>
            </w:pPr>
          </w:p>
        </w:tc>
      </w:tr>
    </w:tbl>
    <w:p w14:paraId="5958CD05" w14:textId="543450F1" w:rsidR="00E60120" w:rsidRDefault="00E60120" w:rsidP="008D0DAB">
      <w:pPr>
        <w:pStyle w:val="BodyText"/>
        <w:rPr>
          <w:lang w:val="en-AU"/>
        </w:rPr>
      </w:pPr>
    </w:p>
    <w:p w14:paraId="7612079D" w14:textId="77777777" w:rsidR="00E60120" w:rsidRDefault="00E60120">
      <w:pPr>
        <w:rPr>
          <w:rFonts w:eastAsia="Arial" w:cs="Arial"/>
          <w:sz w:val="20"/>
          <w:szCs w:val="20"/>
        </w:rPr>
      </w:pPr>
      <w:r>
        <w:br w:type="page"/>
      </w:r>
    </w:p>
    <w:p w14:paraId="42C9D670" w14:textId="77777777" w:rsidR="008D0DAB" w:rsidRPr="00F65403" w:rsidRDefault="008D0DAB" w:rsidP="008D0DAB">
      <w:pPr>
        <w:pStyle w:val="BodyText"/>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685"/>
        <w:gridCol w:w="1108"/>
        <w:gridCol w:w="1005"/>
        <w:gridCol w:w="991"/>
        <w:gridCol w:w="76"/>
        <w:gridCol w:w="1052"/>
        <w:gridCol w:w="984"/>
        <w:gridCol w:w="1125"/>
      </w:tblGrid>
      <w:tr w:rsidR="008D0DAB" w:rsidRPr="00E25A4F" w14:paraId="2C6498BF" w14:textId="77777777" w:rsidTr="00AA3AC5">
        <w:trPr>
          <w:trHeight w:val="300"/>
        </w:trPr>
        <w:tc>
          <w:tcPr>
            <w:tcW w:w="1487" w:type="pct"/>
            <w:tcBorders>
              <w:top w:val="nil"/>
              <w:left w:val="nil"/>
              <w:bottom w:val="nil"/>
              <w:right w:val="nil"/>
            </w:tcBorders>
            <w:vAlign w:val="center"/>
          </w:tcPr>
          <w:p w14:paraId="3EBE26BD" w14:textId="77777777" w:rsidR="008D0DAB" w:rsidRPr="00F65403" w:rsidRDefault="008D0DAB" w:rsidP="009B7B2A">
            <w:pPr>
              <w:spacing w:after="0" w:line="240" w:lineRule="auto"/>
              <w:rPr>
                <w:rFonts w:eastAsia="Times New Roman" w:cs="Arial"/>
                <w:color w:val="000000"/>
                <w:sz w:val="20"/>
                <w:szCs w:val="20"/>
                <w:lang w:eastAsia="en-AU"/>
              </w:rPr>
            </w:pPr>
          </w:p>
        </w:tc>
        <w:tc>
          <w:tcPr>
            <w:tcW w:w="1719" w:type="pct"/>
            <w:gridSpan w:val="3"/>
            <w:tcBorders>
              <w:top w:val="nil"/>
              <w:left w:val="nil"/>
              <w:bottom w:val="nil"/>
              <w:right w:val="nil"/>
            </w:tcBorders>
            <w:vAlign w:val="bottom"/>
          </w:tcPr>
          <w:p w14:paraId="1FE0E60C"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Year ended 30 June 2025</w:t>
            </w:r>
          </w:p>
        </w:tc>
        <w:tc>
          <w:tcPr>
            <w:tcW w:w="42" w:type="pct"/>
            <w:tcBorders>
              <w:top w:val="nil"/>
              <w:left w:val="nil"/>
              <w:bottom w:val="nil"/>
              <w:right w:val="nil"/>
            </w:tcBorders>
            <w:vAlign w:val="bottom"/>
          </w:tcPr>
          <w:p w14:paraId="11E6157B" w14:textId="77777777" w:rsidR="008D0DAB" w:rsidRPr="00F65403" w:rsidRDefault="008D0DAB" w:rsidP="009B7B2A">
            <w:pPr>
              <w:spacing w:after="0" w:line="240" w:lineRule="auto"/>
              <w:jc w:val="right"/>
              <w:rPr>
                <w:rFonts w:eastAsia="Times New Roman" w:cs="Arial"/>
                <w:color w:val="000000"/>
                <w:sz w:val="20"/>
                <w:szCs w:val="20"/>
                <w:lang w:eastAsia="en-AU"/>
              </w:rPr>
            </w:pPr>
          </w:p>
        </w:tc>
        <w:tc>
          <w:tcPr>
            <w:tcW w:w="1751" w:type="pct"/>
            <w:gridSpan w:val="3"/>
            <w:tcBorders>
              <w:top w:val="nil"/>
              <w:left w:val="nil"/>
              <w:bottom w:val="nil"/>
              <w:right w:val="nil"/>
            </w:tcBorders>
            <w:vAlign w:val="bottom"/>
          </w:tcPr>
          <w:p w14:paraId="42D2CF39" w14:textId="42144B3F"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2</w:t>
            </w:r>
            <w:r w:rsidR="00811F63">
              <w:rPr>
                <w:rFonts w:eastAsia="Times New Roman" w:cs="Arial"/>
                <w:b/>
                <w:color w:val="000000"/>
                <w:sz w:val="20"/>
                <w:szCs w:val="20"/>
                <w:lang w:eastAsia="en-AU"/>
              </w:rPr>
              <w:t>6</w:t>
            </w:r>
            <w:r w:rsidRPr="00F65403">
              <w:rPr>
                <w:rFonts w:eastAsia="Times New Roman" w:cs="Arial"/>
                <w:b/>
                <w:color w:val="000000"/>
                <w:sz w:val="20"/>
                <w:szCs w:val="20"/>
                <w:lang w:eastAsia="en-AU"/>
              </w:rPr>
              <w:t xml:space="preserve"> October 2023 to 30 June 2024</w:t>
            </w:r>
          </w:p>
        </w:tc>
      </w:tr>
      <w:tr w:rsidR="008D0DAB" w:rsidRPr="00E25A4F" w14:paraId="69534031" w14:textId="77777777" w:rsidTr="00AA3AC5">
        <w:trPr>
          <w:trHeight w:val="300"/>
        </w:trPr>
        <w:tc>
          <w:tcPr>
            <w:tcW w:w="1487" w:type="pct"/>
            <w:tcBorders>
              <w:top w:val="nil"/>
              <w:left w:val="nil"/>
              <w:bottom w:val="nil"/>
              <w:right w:val="nil"/>
            </w:tcBorders>
            <w:vAlign w:val="center"/>
          </w:tcPr>
          <w:p w14:paraId="2A44A577" w14:textId="77777777" w:rsidR="008D0DAB" w:rsidRPr="00F65403" w:rsidRDefault="008D0DAB" w:rsidP="009B7B2A">
            <w:pPr>
              <w:spacing w:after="0" w:line="240" w:lineRule="auto"/>
              <w:rPr>
                <w:rFonts w:eastAsia="Times New Roman" w:cs="Arial"/>
                <w:color w:val="000000"/>
                <w:sz w:val="20"/>
                <w:szCs w:val="20"/>
                <w:lang w:eastAsia="en-AU"/>
              </w:rPr>
            </w:pPr>
          </w:p>
        </w:tc>
        <w:tc>
          <w:tcPr>
            <w:tcW w:w="1719" w:type="pct"/>
            <w:gridSpan w:val="3"/>
            <w:tcBorders>
              <w:top w:val="nil"/>
              <w:left w:val="nil"/>
              <w:bottom w:val="nil"/>
              <w:right w:val="nil"/>
            </w:tcBorders>
          </w:tcPr>
          <w:p w14:paraId="268C840C"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42" w:type="pct"/>
            <w:tcBorders>
              <w:top w:val="nil"/>
              <w:left w:val="nil"/>
              <w:bottom w:val="nil"/>
              <w:right w:val="nil"/>
            </w:tcBorders>
            <w:vAlign w:val="bottom"/>
          </w:tcPr>
          <w:p w14:paraId="77B29493" w14:textId="77777777" w:rsidR="008D0DAB" w:rsidRPr="00F65403" w:rsidRDefault="008D0DAB" w:rsidP="009B7B2A">
            <w:pPr>
              <w:spacing w:after="0" w:line="240" w:lineRule="auto"/>
              <w:jc w:val="right"/>
              <w:rPr>
                <w:rFonts w:eastAsia="Times New Roman" w:cs="Arial"/>
                <w:color w:val="000000"/>
                <w:sz w:val="20"/>
                <w:szCs w:val="20"/>
                <w:lang w:eastAsia="en-AU"/>
              </w:rPr>
            </w:pPr>
          </w:p>
        </w:tc>
        <w:tc>
          <w:tcPr>
            <w:tcW w:w="1751" w:type="pct"/>
            <w:gridSpan w:val="3"/>
            <w:tcBorders>
              <w:top w:val="nil"/>
              <w:left w:val="nil"/>
              <w:bottom w:val="nil"/>
              <w:right w:val="nil"/>
            </w:tcBorders>
          </w:tcPr>
          <w:p w14:paraId="18FAD1E7"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8D0DAB" w:rsidRPr="00E25A4F" w14:paraId="5C81EF67" w14:textId="77777777" w:rsidTr="00AA3AC5">
        <w:trPr>
          <w:trHeight w:val="300"/>
        </w:trPr>
        <w:tc>
          <w:tcPr>
            <w:tcW w:w="1487" w:type="pct"/>
            <w:tcBorders>
              <w:top w:val="nil"/>
              <w:left w:val="nil"/>
              <w:bottom w:val="nil"/>
              <w:right w:val="nil"/>
            </w:tcBorders>
            <w:vAlign w:val="center"/>
          </w:tcPr>
          <w:p w14:paraId="39D27743" w14:textId="77777777" w:rsidR="008D0DAB" w:rsidRPr="00F65403" w:rsidRDefault="008D0DAB" w:rsidP="009B7B2A">
            <w:pPr>
              <w:spacing w:after="0" w:line="240" w:lineRule="auto"/>
              <w:rPr>
                <w:rFonts w:eastAsia="Times New Roman" w:cs="Arial"/>
                <w:color w:val="000000"/>
                <w:sz w:val="20"/>
                <w:szCs w:val="20"/>
                <w:lang w:eastAsia="en-AU"/>
              </w:rPr>
            </w:pPr>
          </w:p>
        </w:tc>
        <w:tc>
          <w:tcPr>
            <w:tcW w:w="614" w:type="pct"/>
            <w:tcBorders>
              <w:top w:val="nil"/>
              <w:left w:val="nil"/>
              <w:bottom w:val="nil"/>
              <w:right w:val="nil"/>
            </w:tcBorders>
          </w:tcPr>
          <w:p w14:paraId="5A36088D"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A1</w:t>
            </w:r>
          </w:p>
        </w:tc>
        <w:tc>
          <w:tcPr>
            <w:tcW w:w="557" w:type="pct"/>
            <w:tcBorders>
              <w:top w:val="nil"/>
              <w:left w:val="nil"/>
              <w:bottom w:val="nil"/>
              <w:right w:val="nil"/>
            </w:tcBorders>
          </w:tcPr>
          <w:p w14:paraId="65F2E070"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A2</w:t>
            </w:r>
          </w:p>
        </w:tc>
        <w:tc>
          <w:tcPr>
            <w:tcW w:w="549" w:type="pct"/>
            <w:tcBorders>
              <w:top w:val="nil"/>
              <w:left w:val="nil"/>
              <w:bottom w:val="nil"/>
              <w:right w:val="nil"/>
            </w:tcBorders>
          </w:tcPr>
          <w:p w14:paraId="31991303"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A3</w:t>
            </w:r>
          </w:p>
        </w:tc>
        <w:tc>
          <w:tcPr>
            <w:tcW w:w="42" w:type="pct"/>
            <w:tcBorders>
              <w:top w:val="nil"/>
              <w:left w:val="nil"/>
              <w:bottom w:val="nil"/>
              <w:right w:val="nil"/>
            </w:tcBorders>
          </w:tcPr>
          <w:p w14:paraId="587B2A43" w14:textId="77777777" w:rsidR="008D0DAB" w:rsidRPr="00F65403" w:rsidRDefault="008D0DAB" w:rsidP="009B7B2A">
            <w:pPr>
              <w:spacing w:after="0" w:line="240" w:lineRule="auto"/>
              <w:jc w:val="center"/>
              <w:rPr>
                <w:rFonts w:eastAsia="Times New Roman" w:cs="Arial"/>
                <w:color w:val="000000"/>
                <w:sz w:val="20"/>
                <w:szCs w:val="20"/>
                <w:lang w:eastAsia="en-AU"/>
              </w:rPr>
            </w:pPr>
          </w:p>
        </w:tc>
        <w:tc>
          <w:tcPr>
            <w:tcW w:w="583" w:type="pct"/>
            <w:tcBorders>
              <w:top w:val="nil"/>
              <w:left w:val="nil"/>
              <w:bottom w:val="nil"/>
              <w:right w:val="nil"/>
            </w:tcBorders>
          </w:tcPr>
          <w:p w14:paraId="081133D2"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A1</w:t>
            </w:r>
          </w:p>
        </w:tc>
        <w:tc>
          <w:tcPr>
            <w:tcW w:w="545" w:type="pct"/>
            <w:tcBorders>
              <w:top w:val="nil"/>
              <w:left w:val="nil"/>
              <w:bottom w:val="nil"/>
              <w:right w:val="nil"/>
            </w:tcBorders>
          </w:tcPr>
          <w:p w14:paraId="16FDACD9"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A2</w:t>
            </w:r>
          </w:p>
        </w:tc>
        <w:tc>
          <w:tcPr>
            <w:tcW w:w="623" w:type="pct"/>
            <w:tcBorders>
              <w:top w:val="nil"/>
              <w:left w:val="nil"/>
              <w:bottom w:val="nil"/>
              <w:right w:val="nil"/>
            </w:tcBorders>
          </w:tcPr>
          <w:p w14:paraId="1CDCC518" w14:textId="77777777" w:rsidR="008D0DAB" w:rsidRPr="00F65403" w:rsidRDefault="008D0DAB" w:rsidP="009B7B2A">
            <w:pPr>
              <w:spacing w:after="0" w:line="240" w:lineRule="auto"/>
              <w:jc w:val="center"/>
              <w:rPr>
                <w:rFonts w:eastAsia="Times New Roman" w:cs="Arial"/>
                <w:color w:val="000000"/>
                <w:sz w:val="20"/>
                <w:szCs w:val="20"/>
                <w:lang w:eastAsia="en-AU"/>
              </w:rPr>
            </w:pPr>
            <w:r w:rsidRPr="00F65403">
              <w:rPr>
                <w:rFonts w:eastAsia="Times New Roman" w:cs="Arial"/>
                <w:b/>
                <w:color w:val="000000"/>
                <w:sz w:val="20"/>
                <w:szCs w:val="20"/>
                <w:lang w:eastAsia="en-AU"/>
              </w:rPr>
              <w:t>MREH A3</w:t>
            </w:r>
          </w:p>
        </w:tc>
      </w:tr>
      <w:tr w:rsidR="008D0DAB" w:rsidRPr="0036312D" w14:paraId="07261D9E" w14:textId="77777777" w:rsidTr="00AA3AC5">
        <w:trPr>
          <w:trHeight w:val="300"/>
        </w:trPr>
        <w:tc>
          <w:tcPr>
            <w:tcW w:w="1487" w:type="pct"/>
            <w:tcBorders>
              <w:top w:val="nil"/>
              <w:left w:val="nil"/>
              <w:bottom w:val="nil"/>
              <w:right w:val="nil"/>
            </w:tcBorders>
            <w:vAlign w:val="center"/>
            <w:hideMark/>
          </w:tcPr>
          <w:p w14:paraId="7FCA1968"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Total revenue and other income </w:t>
            </w:r>
          </w:p>
        </w:tc>
        <w:tc>
          <w:tcPr>
            <w:tcW w:w="614" w:type="pct"/>
            <w:tcBorders>
              <w:top w:val="nil"/>
              <w:left w:val="nil"/>
              <w:bottom w:val="nil"/>
              <w:right w:val="nil"/>
            </w:tcBorders>
            <w:vAlign w:val="bottom"/>
            <w:hideMark/>
          </w:tcPr>
          <w:p w14:paraId="073DA691"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20,101</w:t>
            </w:r>
          </w:p>
        </w:tc>
        <w:tc>
          <w:tcPr>
            <w:tcW w:w="557" w:type="pct"/>
            <w:tcBorders>
              <w:top w:val="nil"/>
              <w:left w:val="nil"/>
              <w:bottom w:val="nil"/>
              <w:right w:val="nil"/>
            </w:tcBorders>
            <w:vAlign w:val="bottom"/>
            <w:hideMark/>
          </w:tcPr>
          <w:p w14:paraId="632BBED9"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549" w:type="pct"/>
            <w:tcBorders>
              <w:top w:val="nil"/>
              <w:left w:val="nil"/>
              <w:bottom w:val="nil"/>
              <w:right w:val="nil"/>
            </w:tcBorders>
            <w:vAlign w:val="bottom"/>
            <w:hideMark/>
          </w:tcPr>
          <w:p w14:paraId="20457130"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42" w:type="pct"/>
            <w:tcBorders>
              <w:top w:val="nil"/>
              <w:left w:val="nil"/>
              <w:bottom w:val="nil"/>
              <w:right w:val="nil"/>
            </w:tcBorders>
            <w:vAlign w:val="bottom"/>
            <w:hideMark/>
          </w:tcPr>
          <w:p w14:paraId="2313F690"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4FE6A7A9"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10,147 </w:t>
            </w:r>
          </w:p>
        </w:tc>
        <w:tc>
          <w:tcPr>
            <w:tcW w:w="545" w:type="pct"/>
            <w:tcBorders>
              <w:top w:val="nil"/>
              <w:left w:val="nil"/>
              <w:bottom w:val="nil"/>
              <w:right w:val="nil"/>
            </w:tcBorders>
            <w:vAlign w:val="bottom"/>
            <w:hideMark/>
          </w:tcPr>
          <w:p w14:paraId="5EBAE4D2"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8 </w:t>
            </w:r>
          </w:p>
        </w:tc>
        <w:tc>
          <w:tcPr>
            <w:tcW w:w="623" w:type="pct"/>
            <w:tcBorders>
              <w:top w:val="nil"/>
              <w:left w:val="nil"/>
              <w:bottom w:val="nil"/>
              <w:right w:val="nil"/>
            </w:tcBorders>
            <w:vAlign w:val="bottom"/>
            <w:hideMark/>
          </w:tcPr>
          <w:p w14:paraId="42E931BE"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16 </w:t>
            </w:r>
          </w:p>
        </w:tc>
      </w:tr>
      <w:tr w:rsidR="008D0DAB" w:rsidRPr="0036312D" w14:paraId="1FF29669" w14:textId="77777777" w:rsidTr="00AA3AC5">
        <w:trPr>
          <w:trHeight w:val="300"/>
        </w:trPr>
        <w:tc>
          <w:tcPr>
            <w:tcW w:w="1487" w:type="pct"/>
            <w:tcBorders>
              <w:top w:val="nil"/>
              <w:left w:val="nil"/>
              <w:bottom w:val="nil"/>
              <w:right w:val="nil"/>
            </w:tcBorders>
            <w:vAlign w:val="bottom"/>
            <w:hideMark/>
          </w:tcPr>
          <w:p w14:paraId="121EF835" w14:textId="77777777" w:rsidR="008D0DAB" w:rsidRPr="00F65403" w:rsidRDefault="008D0DAB" w:rsidP="007044C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Operating expenses </w:t>
            </w:r>
          </w:p>
        </w:tc>
        <w:tc>
          <w:tcPr>
            <w:tcW w:w="614" w:type="pct"/>
            <w:tcBorders>
              <w:top w:val="nil"/>
              <w:left w:val="nil"/>
              <w:bottom w:val="nil"/>
              <w:right w:val="nil"/>
            </w:tcBorders>
            <w:vAlign w:val="bottom"/>
            <w:hideMark/>
          </w:tcPr>
          <w:p w14:paraId="4924BDEE"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(21,913)</w:t>
            </w:r>
          </w:p>
        </w:tc>
        <w:tc>
          <w:tcPr>
            <w:tcW w:w="557" w:type="pct"/>
            <w:tcBorders>
              <w:top w:val="nil"/>
              <w:left w:val="nil"/>
              <w:bottom w:val="nil"/>
              <w:right w:val="nil"/>
            </w:tcBorders>
            <w:vAlign w:val="bottom"/>
            <w:hideMark/>
          </w:tcPr>
          <w:p w14:paraId="2197218A"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(1,716)</w:t>
            </w:r>
          </w:p>
        </w:tc>
        <w:tc>
          <w:tcPr>
            <w:tcW w:w="549" w:type="pct"/>
            <w:tcBorders>
              <w:top w:val="nil"/>
              <w:left w:val="nil"/>
              <w:bottom w:val="nil"/>
              <w:right w:val="nil"/>
            </w:tcBorders>
            <w:vAlign w:val="bottom"/>
            <w:hideMark/>
          </w:tcPr>
          <w:p w14:paraId="3DEE68F3"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(1,697)</w:t>
            </w:r>
          </w:p>
        </w:tc>
        <w:tc>
          <w:tcPr>
            <w:tcW w:w="42" w:type="pct"/>
            <w:tcBorders>
              <w:top w:val="nil"/>
              <w:left w:val="nil"/>
              <w:bottom w:val="nil"/>
              <w:right w:val="nil"/>
            </w:tcBorders>
            <w:vAlign w:val="bottom"/>
            <w:hideMark/>
          </w:tcPr>
          <w:p w14:paraId="7E3D067E"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062F1646"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(10,849) </w:t>
            </w:r>
          </w:p>
        </w:tc>
        <w:tc>
          <w:tcPr>
            <w:tcW w:w="545" w:type="pct"/>
            <w:tcBorders>
              <w:top w:val="nil"/>
              <w:left w:val="nil"/>
              <w:bottom w:val="nil"/>
              <w:right w:val="nil"/>
            </w:tcBorders>
            <w:vAlign w:val="bottom"/>
            <w:hideMark/>
          </w:tcPr>
          <w:p w14:paraId="577630B4"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(703) </w:t>
            </w:r>
          </w:p>
        </w:tc>
        <w:tc>
          <w:tcPr>
            <w:tcW w:w="623" w:type="pct"/>
            <w:tcBorders>
              <w:top w:val="nil"/>
              <w:left w:val="nil"/>
              <w:bottom w:val="nil"/>
              <w:right w:val="nil"/>
            </w:tcBorders>
            <w:vAlign w:val="bottom"/>
            <w:hideMark/>
          </w:tcPr>
          <w:p w14:paraId="6C3748D9"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(1,420) </w:t>
            </w:r>
          </w:p>
        </w:tc>
      </w:tr>
      <w:tr w:rsidR="008D0DAB" w:rsidRPr="0036312D" w14:paraId="608ED84B" w14:textId="77777777" w:rsidTr="00AA3AC5">
        <w:trPr>
          <w:trHeight w:val="300"/>
        </w:trPr>
        <w:tc>
          <w:tcPr>
            <w:tcW w:w="1487" w:type="pct"/>
            <w:tcBorders>
              <w:top w:val="nil"/>
              <w:left w:val="nil"/>
              <w:bottom w:val="nil"/>
              <w:right w:val="nil"/>
            </w:tcBorders>
            <w:vAlign w:val="center"/>
            <w:hideMark/>
          </w:tcPr>
          <w:p w14:paraId="3880EB13"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Share of gain/(loss) on associate </w:t>
            </w:r>
          </w:p>
        </w:tc>
        <w:tc>
          <w:tcPr>
            <w:tcW w:w="614" w:type="pct"/>
            <w:tcBorders>
              <w:top w:val="nil"/>
              <w:left w:val="nil"/>
              <w:bottom w:val="nil"/>
              <w:right w:val="nil"/>
            </w:tcBorders>
            <w:vAlign w:val="bottom"/>
            <w:hideMark/>
          </w:tcPr>
          <w:p w14:paraId="44C702D5"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557" w:type="pct"/>
            <w:tcBorders>
              <w:top w:val="nil"/>
              <w:left w:val="nil"/>
              <w:bottom w:val="nil"/>
              <w:right w:val="nil"/>
            </w:tcBorders>
            <w:vAlign w:val="bottom"/>
            <w:hideMark/>
          </w:tcPr>
          <w:p w14:paraId="21C4716F"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549" w:type="pct"/>
            <w:tcBorders>
              <w:top w:val="nil"/>
              <w:left w:val="nil"/>
              <w:bottom w:val="nil"/>
              <w:right w:val="nil"/>
            </w:tcBorders>
            <w:vAlign w:val="bottom"/>
            <w:hideMark/>
          </w:tcPr>
          <w:p w14:paraId="084070D1"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(299)</w:t>
            </w:r>
          </w:p>
        </w:tc>
        <w:tc>
          <w:tcPr>
            <w:tcW w:w="42" w:type="pct"/>
            <w:tcBorders>
              <w:top w:val="nil"/>
              <w:left w:val="nil"/>
              <w:bottom w:val="nil"/>
              <w:right w:val="nil"/>
            </w:tcBorders>
            <w:vAlign w:val="bottom"/>
            <w:hideMark/>
          </w:tcPr>
          <w:p w14:paraId="2B34ABF6"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1EB5D263"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c>
          <w:tcPr>
            <w:tcW w:w="545" w:type="pct"/>
            <w:tcBorders>
              <w:top w:val="nil"/>
              <w:left w:val="nil"/>
              <w:bottom w:val="nil"/>
              <w:right w:val="nil"/>
            </w:tcBorders>
            <w:vAlign w:val="bottom"/>
            <w:hideMark/>
          </w:tcPr>
          <w:p w14:paraId="4054E786"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c>
          <w:tcPr>
            <w:tcW w:w="623" w:type="pct"/>
            <w:tcBorders>
              <w:top w:val="nil"/>
              <w:left w:val="nil"/>
              <w:bottom w:val="nil"/>
              <w:right w:val="nil"/>
            </w:tcBorders>
            <w:vAlign w:val="bottom"/>
            <w:hideMark/>
          </w:tcPr>
          <w:p w14:paraId="1442C511"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(236) </w:t>
            </w:r>
          </w:p>
        </w:tc>
      </w:tr>
      <w:tr w:rsidR="008D0DAB" w:rsidRPr="0036312D" w14:paraId="1D8A5C87" w14:textId="77777777" w:rsidTr="00AA3AC5">
        <w:trPr>
          <w:trHeight w:val="300"/>
        </w:trPr>
        <w:tc>
          <w:tcPr>
            <w:tcW w:w="1487" w:type="pct"/>
            <w:tcBorders>
              <w:top w:val="nil"/>
              <w:left w:val="nil"/>
              <w:bottom w:val="nil"/>
              <w:right w:val="nil"/>
            </w:tcBorders>
            <w:vAlign w:val="bottom"/>
            <w:hideMark/>
          </w:tcPr>
          <w:p w14:paraId="630C9B26"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Gain/(loss) on fair value of financial instruments </w:t>
            </w:r>
          </w:p>
        </w:tc>
        <w:tc>
          <w:tcPr>
            <w:tcW w:w="614" w:type="pct"/>
            <w:tcBorders>
              <w:top w:val="nil"/>
              <w:left w:val="nil"/>
              <w:bottom w:val="nil"/>
              <w:right w:val="nil"/>
            </w:tcBorders>
            <w:vAlign w:val="bottom"/>
            <w:hideMark/>
          </w:tcPr>
          <w:p w14:paraId="75A8DBD7"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(15,342)</w:t>
            </w:r>
          </w:p>
        </w:tc>
        <w:tc>
          <w:tcPr>
            <w:tcW w:w="557" w:type="pct"/>
            <w:tcBorders>
              <w:top w:val="nil"/>
              <w:left w:val="nil"/>
              <w:bottom w:val="nil"/>
              <w:right w:val="nil"/>
            </w:tcBorders>
            <w:vAlign w:val="bottom"/>
            <w:hideMark/>
          </w:tcPr>
          <w:p w14:paraId="6A06BB8B"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(15,342)</w:t>
            </w:r>
          </w:p>
        </w:tc>
        <w:tc>
          <w:tcPr>
            <w:tcW w:w="549" w:type="pct"/>
            <w:tcBorders>
              <w:top w:val="nil"/>
              <w:left w:val="nil"/>
              <w:bottom w:val="nil"/>
              <w:right w:val="nil"/>
            </w:tcBorders>
            <w:vAlign w:val="bottom"/>
            <w:hideMark/>
          </w:tcPr>
          <w:p w14:paraId="1F55A7D4"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w:t>
            </w:r>
          </w:p>
        </w:tc>
        <w:tc>
          <w:tcPr>
            <w:tcW w:w="42" w:type="pct"/>
            <w:tcBorders>
              <w:top w:val="nil"/>
              <w:left w:val="nil"/>
              <w:bottom w:val="nil"/>
              <w:right w:val="nil"/>
            </w:tcBorders>
            <w:vAlign w:val="bottom"/>
            <w:hideMark/>
          </w:tcPr>
          <w:p w14:paraId="34142BCF"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04E17C18"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(6,915) </w:t>
            </w:r>
          </w:p>
        </w:tc>
        <w:tc>
          <w:tcPr>
            <w:tcW w:w="545" w:type="pct"/>
            <w:tcBorders>
              <w:top w:val="nil"/>
              <w:left w:val="nil"/>
              <w:bottom w:val="nil"/>
              <w:right w:val="nil"/>
            </w:tcBorders>
            <w:vAlign w:val="bottom"/>
            <w:hideMark/>
          </w:tcPr>
          <w:p w14:paraId="59625AAA"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(6,915) </w:t>
            </w:r>
          </w:p>
        </w:tc>
        <w:tc>
          <w:tcPr>
            <w:tcW w:w="623" w:type="pct"/>
            <w:tcBorders>
              <w:top w:val="nil"/>
              <w:left w:val="nil"/>
              <w:bottom w:val="nil"/>
              <w:right w:val="nil"/>
            </w:tcBorders>
            <w:vAlign w:val="bottom"/>
            <w:hideMark/>
          </w:tcPr>
          <w:p w14:paraId="2D3D2392"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r>
      <w:tr w:rsidR="008D0DAB" w:rsidRPr="0036312D" w14:paraId="4910C3EB" w14:textId="77777777" w:rsidTr="00AA3AC5">
        <w:trPr>
          <w:trHeight w:val="300"/>
        </w:trPr>
        <w:tc>
          <w:tcPr>
            <w:tcW w:w="1487" w:type="pct"/>
            <w:tcBorders>
              <w:top w:val="nil"/>
              <w:left w:val="nil"/>
              <w:bottom w:val="nil"/>
              <w:right w:val="nil"/>
            </w:tcBorders>
            <w:vAlign w:val="center"/>
            <w:hideMark/>
          </w:tcPr>
          <w:p w14:paraId="600C5B4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Depreciation and amortisation </w:t>
            </w:r>
          </w:p>
        </w:tc>
        <w:tc>
          <w:tcPr>
            <w:tcW w:w="614" w:type="pct"/>
            <w:tcBorders>
              <w:top w:val="nil"/>
              <w:left w:val="nil"/>
              <w:bottom w:val="nil"/>
              <w:right w:val="nil"/>
            </w:tcBorders>
            <w:vAlign w:val="bottom"/>
            <w:hideMark/>
          </w:tcPr>
          <w:p w14:paraId="551630B2"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557" w:type="pct"/>
            <w:tcBorders>
              <w:top w:val="nil"/>
              <w:left w:val="nil"/>
              <w:bottom w:val="nil"/>
              <w:right w:val="nil"/>
            </w:tcBorders>
            <w:vAlign w:val="bottom"/>
            <w:hideMark/>
          </w:tcPr>
          <w:p w14:paraId="4F56F335"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549" w:type="pct"/>
            <w:tcBorders>
              <w:top w:val="nil"/>
              <w:left w:val="nil"/>
              <w:bottom w:val="nil"/>
              <w:right w:val="nil"/>
            </w:tcBorders>
            <w:vAlign w:val="bottom"/>
            <w:hideMark/>
          </w:tcPr>
          <w:p w14:paraId="55BD0A39"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(500)</w:t>
            </w:r>
          </w:p>
        </w:tc>
        <w:tc>
          <w:tcPr>
            <w:tcW w:w="42" w:type="pct"/>
            <w:tcBorders>
              <w:top w:val="nil"/>
              <w:left w:val="nil"/>
              <w:bottom w:val="nil"/>
              <w:right w:val="nil"/>
            </w:tcBorders>
            <w:vAlign w:val="bottom"/>
            <w:hideMark/>
          </w:tcPr>
          <w:p w14:paraId="503E21F8"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7AAA0B32"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c>
          <w:tcPr>
            <w:tcW w:w="545" w:type="pct"/>
            <w:tcBorders>
              <w:top w:val="nil"/>
              <w:left w:val="nil"/>
              <w:bottom w:val="nil"/>
              <w:right w:val="nil"/>
            </w:tcBorders>
            <w:vAlign w:val="bottom"/>
            <w:hideMark/>
          </w:tcPr>
          <w:p w14:paraId="687C70C7"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c>
          <w:tcPr>
            <w:tcW w:w="623" w:type="pct"/>
            <w:tcBorders>
              <w:top w:val="nil"/>
              <w:left w:val="nil"/>
              <w:bottom w:val="nil"/>
              <w:right w:val="nil"/>
            </w:tcBorders>
            <w:vAlign w:val="bottom"/>
            <w:hideMark/>
          </w:tcPr>
          <w:p w14:paraId="08FF66A0"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(160) </w:t>
            </w:r>
          </w:p>
        </w:tc>
      </w:tr>
      <w:tr w:rsidR="008D0DAB" w:rsidRPr="0036312D" w14:paraId="641BE783" w14:textId="77777777" w:rsidTr="00AA3AC5">
        <w:trPr>
          <w:trHeight w:val="300"/>
        </w:trPr>
        <w:tc>
          <w:tcPr>
            <w:tcW w:w="1487" w:type="pct"/>
            <w:tcBorders>
              <w:top w:val="nil"/>
              <w:left w:val="nil"/>
              <w:bottom w:val="nil"/>
              <w:right w:val="nil"/>
            </w:tcBorders>
            <w:vAlign w:val="center"/>
            <w:hideMark/>
          </w:tcPr>
          <w:p w14:paraId="2338E644"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income </w:t>
            </w:r>
          </w:p>
        </w:tc>
        <w:tc>
          <w:tcPr>
            <w:tcW w:w="614" w:type="pct"/>
            <w:tcBorders>
              <w:top w:val="nil"/>
              <w:left w:val="nil"/>
              <w:bottom w:val="nil"/>
              <w:right w:val="nil"/>
            </w:tcBorders>
            <w:vAlign w:val="bottom"/>
            <w:hideMark/>
          </w:tcPr>
          <w:p w14:paraId="58E674A6"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1,004</w:t>
            </w:r>
          </w:p>
        </w:tc>
        <w:tc>
          <w:tcPr>
            <w:tcW w:w="557" w:type="pct"/>
            <w:tcBorders>
              <w:top w:val="nil"/>
              <w:left w:val="nil"/>
              <w:bottom w:val="nil"/>
              <w:right w:val="nil"/>
            </w:tcBorders>
            <w:vAlign w:val="bottom"/>
            <w:hideMark/>
          </w:tcPr>
          <w:p w14:paraId="1C15FC1E"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905</w:t>
            </w:r>
          </w:p>
        </w:tc>
        <w:tc>
          <w:tcPr>
            <w:tcW w:w="549" w:type="pct"/>
            <w:tcBorders>
              <w:top w:val="nil"/>
              <w:left w:val="nil"/>
              <w:bottom w:val="nil"/>
              <w:right w:val="nil"/>
            </w:tcBorders>
            <w:vAlign w:val="bottom"/>
            <w:hideMark/>
          </w:tcPr>
          <w:p w14:paraId="1275CF63"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676</w:t>
            </w:r>
          </w:p>
        </w:tc>
        <w:tc>
          <w:tcPr>
            <w:tcW w:w="42" w:type="pct"/>
            <w:tcBorders>
              <w:top w:val="nil"/>
              <w:left w:val="nil"/>
              <w:bottom w:val="nil"/>
              <w:right w:val="nil"/>
            </w:tcBorders>
            <w:vAlign w:val="bottom"/>
            <w:hideMark/>
          </w:tcPr>
          <w:p w14:paraId="4CA1BD30"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73E3CB6D"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394 </w:t>
            </w:r>
          </w:p>
        </w:tc>
        <w:tc>
          <w:tcPr>
            <w:tcW w:w="545" w:type="pct"/>
            <w:tcBorders>
              <w:top w:val="nil"/>
              <w:left w:val="nil"/>
              <w:bottom w:val="nil"/>
              <w:right w:val="nil"/>
            </w:tcBorders>
            <w:vAlign w:val="bottom"/>
            <w:hideMark/>
          </w:tcPr>
          <w:p w14:paraId="05001182"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395 </w:t>
            </w:r>
          </w:p>
        </w:tc>
        <w:tc>
          <w:tcPr>
            <w:tcW w:w="623" w:type="pct"/>
            <w:tcBorders>
              <w:top w:val="nil"/>
              <w:left w:val="nil"/>
              <w:bottom w:val="nil"/>
              <w:right w:val="nil"/>
            </w:tcBorders>
            <w:vAlign w:val="bottom"/>
            <w:hideMark/>
          </w:tcPr>
          <w:p w14:paraId="6EAC53E8"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290 </w:t>
            </w:r>
          </w:p>
        </w:tc>
      </w:tr>
      <w:tr w:rsidR="008D0DAB" w:rsidRPr="0036312D" w14:paraId="3F1E669F" w14:textId="77777777" w:rsidTr="00AA3AC5">
        <w:trPr>
          <w:trHeight w:val="300"/>
        </w:trPr>
        <w:tc>
          <w:tcPr>
            <w:tcW w:w="1487" w:type="pct"/>
            <w:tcBorders>
              <w:top w:val="nil"/>
              <w:left w:val="nil"/>
              <w:bottom w:val="nil"/>
              <w:right w:val="nil"/>
            </w:tcBorders>
            <w:vAlign w:val="center"/>
            <w:hideMark/>
          </w:tcPr>
          <w:p w14:paraId="1D8D6CBA"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Interest expense </w:t>
            </w:r>
          </w:p>
        </w:tc>
        <w:tc>
          <w:tcPr>
            <w:tcW w:w="614" w:type="pct"/>
            <w:tcBorders>
              <w:top w:val="nil"/>
              <w:left w:val="nil"/>
              <w:right w:val="nil"/>
            </w:tcBorders>
            <w:vAlign w:val="bottom"/>
            <w:hideMark/>
          </w:tcPr>
          <w:p w14:paraId="5590D0C5"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557" w:type="pct"/>
            <w:tcBorders>
              <w:top w:val="nil"/>
              <w:left w:val="nil"/>
              <w:right w:val="nil"/>
            </w:tcBorders>
            <w:vAlign w:val="bottom"/>
            <w:hideMark/>
          </w:tcPr>
          <w:p w14:paraId="2FA5EE0F"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549" w:type="pct"/>
            <w:tcBorders>
              <w:top w:val="nil"/>
              <w:left w:val="nil"/>
              <w:right w:val="nil"/>
            </w:tcBorders>
            <w:vAlign w:val="bottom"/>
            <w:hideMark/>
          </w:tcPr>
          <w:p w14:paraId="0BAA7CC9"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(408)</w:t>
            </w:r>
          </w:p>
        </w:tc>
        <w:tc>
          <w:tcPr>
            <w:tcW w:w="42" w:type="pct"/>
            <w:tcBorders>
              <w:top w:val="nil"/>
              <w:left w:val="nil"/>
              <w:bottom w:val="nil"/>
              <w:right w:val="nil"/>
            </w:tcBorders>
            <w:vAlign w:val="bottom"/>
            <w:hideMark/>
          </w:tcPr>
          <w:p w14:paraId="2681DB80"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right w:val="nil"/>
            </w:tcBorders>
            <w:vAlign w:val="bottom"/>
            <w:hideMark/>
          </w:tcPr>
          <w:p w14:paraId="5ECE84FB"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c>
          <w:tcPr>
            <w:tcW w:w="545" w:type="pct"/>
            <w:tcBorders>
              <w:top w:val="nil"/>
              <w:left w:val="nil"/>
              <w:right w:val="nil"/>
            </w:tcBorders>
            <w:vAlign w:val="bottom"/>
            <w:hideMark/>
          </w:tcPr>
          <w:p w14:paraId="33D075F7"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c>
          <w:tcPr>
            <w:tcW w:w="623" w:type="pct"/>
            <w:tcBorders>
              <w:top w:val="nil"/>
              <w:left w:val="nil"/>
              <w:right w:val="nil"/>
            </w:tcBorders>
            <w:vAlign w:val="bottom"/>
            <w:hideMark/>
          </w:tcPr>
          <w:p w14:paraId="5F4A43F8"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(131) </w:t>
            </w:r>
          </w:p>
        </w:tc>
      </w:tr>
      <w:tr w:rsidR="008D0DAB" w:rsidRPr="0036312D" w14:paraId="390514E9" w14:textId="77777777" w:rsidTr="00AA3AC5">
        <w:trPr>
          <w:trHeight w:val="300"/>
        </w:trPr>
        <w:tc>
          <w:tcPr>
            <w:tcW w:w="1487" w:type="pct"/>
            <w:tcBorders>
              <w:top w:val="nil"/>
              <w:left w:val="nil"/>
              <w:bottom w:val="nil"/>
              <w:right w:val="nil"/>
            </w:tcBorders>
            <w:vAlign w:val="center"/>
            <w:hideMark/>
          </w:tcPr>
          <w:p w14:paraId="0C53C053"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Income tax (expense)/benefit </w:t>
            </w:r>
          </w:p>
        </w:tc>
        <w:tc>
          <w:tcPr>
            <w:tcW w:w="614" w:type="pct"/>
            <w:tcBorders>
              <w:top w:val="nil"/>
              <w:left w:val="nil"/>
              <w:bottom w:val="single" w:sz="4" w:space="0" w:color="auto"/>
              <w:right w:val="nil"/>
            </w:tcBorders>
            <w:vAlign w:val="bottom"/>
            <w:hideMark/>
          </w:tcPr>
          <w:p w14:paraId="0405EC79"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2,632</w:t>
            </w:r>
          </w:p>
        </w:tc>
        <w:tc>
          <w:tcPr>
            <w:tcW w:w="557" w:type="pct"/>
            <w:tcBorders>
              <w:top w:val="nil"/>
              <w:left w:val="nil"/>
              <w:bottom w:val="single" w:sz="4" w:space="0" w:color="auto"/>
              <w:right w:val="nil"/>
            </w:tcBorders>
            <w:vAlign w:val="bottom"/>
            <w:hideMark/>
          </w:tcPr>
          <w:p w14:paraId="724D99E6"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4,806</w:t>
            </w:r>
          </w:p>
        </w:tc>
        <w:tc>
          <w:tcPr>
            <w:tcW w:w="549" w:type="pct"/>
            <w:tcBorders>
              <w:top w:val="nil"/>
              <w:left w:val="nil"/>
              <w:bottom w:val="single" w:sz="4" w:space="0" w:color="auto"/>
              <w:right w:val="nil"/>
            </w:tcBorders>
            <w:vAlign w:val="bottom"/>
            <w:hideMark/>
          </w:tcPr>
          <w:p w14:paraId="2615F262"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cs="Arial"/>
                <w:color w:val="000000" w:themeColor="text1"/>
                <w:sz w:val="20"/>
                <w:szCs w:val="20"/>
              </w:rPr>
              <w:t>221</w:t>
            </w:r>
          </w:p>
        </w:tc>
        <w:tc>
          <w:tcPr>
            <w:tcW w:w="42" w:type="pct"/>
            <w:tcBorders>
              <w:top w:val="nil"/>
              <w:left w:val="nil"/>
              <w:bottom w:val="nil"/>
              <w:right w:val="nil"/>
            </w:tcBorders>
            <w:vAlign w:val="bottom"/>
            <w:hideMark/>
          </w:tcPr>
          <w:p w14:paraId="33006DBF"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single" w:sz="4" w:space="0" w:color="auto"/>
              <w:right w:val="nil"/>
            </w:tcBorders>
            <w:vAlign w:val="bottom"/>
            <w:hideMark/>
          </w:tcPr>
          <w:p w14:paraId="327F118D"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(192) </w:t>
            </w:r>
          </w:p>
        </w:tc>
        <w:tc>
          <w:tcPr>
            <w:tcW w:w="545" w:type="pct"/>
            <w:tcBorders>
              <w:top w:val="nil"/>
              <w:left w:val="nil"/>
              <w:bottom w:val="single" w:sz="4" w:space="0" w:color="auto"/>
              <w:right w:val="nil"/>
            </w:tcBorders>
            <w:vAlign w:val="bottom"/>
            <w:hideMark/>
          </w:tcPr>
          <w:p w14:paraId="4FD12DE8"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127 </w:t>
            </w:r>
          </w:p>
        </w:tc>
        <w:tc>
          <w:tcPr>
            <w:tcW w:w="623" w:type="pct"/>
            <w:tcBorders>
              <w:top w:val="nil"/>
              <w:left w:val="nil"/>
              <w:bottom w:val="single" w:sz="4" w:space="0" w:color="auto"/>
              <w:right w:val="nil"/>
            </w:tcBorders>
            <w:vAlign w:val="bottom"/>
            <w:hideMark/>
          </w:tcPr>
          <w:p w14:paraId="26DAF566"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129 </w:t>
            </w:r>
          </w:p>
        </w:tc>
      </w:tr>
      <w:tr w:rsidR="008D0DAB" w:rsidRPr="0036312D" w14:paraId="020A3BAB" w14:textId="77777777" w:rsidTr="00AA3AC5">
        <w:trPr>
          <w:trHeight w:val="300"/>
        </w:trPr>
        <w:tc>
          <w:tcPr>
            <w:tcW w:w="1487" w:type="pct"/>
            <w:tcBorders>
              <w:top w:val="nil"/>
              <w:left w:val="nil"/>
              <w:bottom w:val="nil"/>
              <w:right w:val="nil"/>
            </w:tcBorders>
            <w:vAlign w:val="center"/>
            <w:hideMark/>
          </w:tcPr>
          <w:p w14:paraId="12FFF3BB" w14:textId="161B79E4"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loss</w:t>
            </w:r>
            <w:r w:rsidR="007044CB">
              <w:rPr>
                <w:rFonts w:eastAsia="Times New Roman" w:cs="Arial"/>
                <w:b/>
                <w:color w:val="000000"/>
                <w:sz w:val="20"/>
                <w:szCs w:val="20"/>
                <w:lang w:eastAsia="en-AU"/>
              </w:rPr>
              <w:t xml:space="preserve"> for the period</w:t>
            </w:r>
            <w:r w:rsidRPr="00F65403">
              <w:rPr>
                <w:rFonts w:eastAsia="Times New Roman" w:cs="Arial"/>
                <w:color w:val="000000"/>
                <w:sz w:val="20"/>
                <w:szCs w:val="20"/>
                <w:lang w:eastAsia="en-AU"/>
              </w:rPr>
              <w:t> </w:t>
            </w:r>
          </w:p>
        </w:tc>
        <w:tc>
          <w:tcPr>
            <w:tcW w:w="614" w:type="pct"/>
            <w:tcBorders>
              <w:top w:val="single" w:sz="4" w:space="0" w:color="auto"/>
              <w:left w:val="nil"/>
              <w:bottom w:val="nil"/>
              <w:right w:val="nil"/>
            </w:tcBorders>
            <w:vAlign w:val="bottom"/>
            <w:hideMark/>
          </w:tcPr>
          <w:p w14:paraId="0036128C" w14:textId="77777777" w:rsidR="008D0DAB" w:rsidRPr="006D1A42" w:rsidRDefault="008D0DAB" w:rsidP="007044CB">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(14,725)</w:t>
            </w:r>
          </w:p>
        </w:tc>
        <w:tc>
          <w:tcPr>
            <w:tcW w:w="557" w:type="pct"/>
            <w:tcBorders>
              <w:top w:val="single" w:sz="4" w:space="0" w:color="auto"/>
              <w:left w:val="nil"/>
              <w:bottom w:val="nil"/>
              <w:right w:val="nil"/>
            </w:tcBorders>
            <w:vAlign w:val="bottom"/>
            <w:hideMark/>
          </w:tcPr>
          <w:p w14:paraId="35722E85" w14:textId="77777777" w:rsidR="008D0DAB" w:rsidRPr="006D1A42" w:rsidRDefault="008D0DAB" w:rsidP="007044CB">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(12,554)</w:t>
            </w:r>
          </w:p>
        </w:tc>
        <w:tc>
          <w:tcPr>
            <w:tcW w:w="549" w:type="pct"/>
            <w:tcBorders>
              <w:top w:val="single" w:sz="4" w:space="0" w:color="auto"/>
              <w:left w:val="nil"/>
              <w:bottom w:val="nil"/>
              <w:right w:val="nil"/>
            </w:tcBorders>
            <w:vAlign w:val="bottom"/>
            <w:hideMark/>
          </w:tcPr>
          <w:p w14:paraId="786F7DDB" w14:textId="77777777" w:rsidR="008D0DAB" w:rsidRPr="006D1A42" w:rsidRDefault="008D0DAB" w:rsidP="007044CB">
            <w:pPr>
              <w:spacing w:after="0" w:line="240" w:lineRule="auto"/>
              <w:jc w:val="right"/>
              <w:rPr>
                <w:rFonts w:eastAsia="Times New Roman" w:cs="Arial"/>
                <w:b/>
                <w:bCs/>
                <w:color w:val="000000"/>
                <w:sz w:val="20"/>
                <w:szCs w:val="20"/>
                <w:lang w:eastAsia="en-AU"/>
              </w:rPr>
            </w:pPr>
            <w:r w:rsidRPr="49BCD735">
              <w:rPr>
                <w:rFonts w:cs="Arial"/>
                <w:b/>
                <w:bCs/>
                <w:color w:val="000000" w:themeColor="text1"/>
                <w:sz w:val="20"/>
                <w:szCs w:val="20"/>
              </w:rPr>
              <w:t>(2,007)</w:t>
            </w:r>
          </w:p>
        </w:tc>
        <w:tc>
          <w:tcPr>
            <w:tcW w:w="42" w:type="pct"/>
            <w:tcBorders>
              <w:top w:val="nil"/>
              <w:left w:val="nil"/>
              <w:bottom w:val="nil"/>
              <w:right w:val="nil"/>
            </w:tcBorders>
            <w:vAlign w:val="bottom"/>
            <w:hideMark/>
          </w:tcPr>
          <w:p w14:paraId="683C251B" w14:textId="77777777" w:rsidR="008D0DAB" w:rsidRPr="00F65403" w:rsidRDefault="008D0DAB" w:rsidP="007044CB">
            <w:pPr>
              <w:spacing w:after="0" w:line="240" w:lineRule="auto"/>
              <w:jc w:val="right"/>
              <w:rPr>
                <w:rFonts w:eastAsia="Times New Roman" w:cs="Arial"/>
                <w:b/>
                <w:color w:val="000000"/>
                <w:sz w:val="20"/>
                <w:szCs w:val="20"/>
                <w:lang w:eastAsia="en-AU"/>
              </w:rPr>
            </w:pPr>
          </w:p>
        </w:tc>
        <w:tc>
          <w:tcPr>
            <w:tcW w:w="583" w:type="pct"/>
            <w:tcBorders>
              <w:top w:val="single" w:sz="4" w:space="0" w:color="auto"/>
              <w:left w:val="nil"/>
              <w:bottom w:val="nil"/>
              <w:right w:val="nil"/>
            </w:tcBorders>
            <w:vAlign w:val="bottom"/>
            <w:hideMark/>
          </w:tcPr>
          <w:p w14:paraId="66686209"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(7,942)</w:t>
            </w:r>
            <w:r w:rsidRPr="00F65403">
              <w:rPr>
                <w:rFonts w:eastAsia="Times New Roman" w:cs="Arial"/>
                <w:color w:val="000000"/>
                <w:sz w:val="20"/>
                <w:szCs w:val="20"/>
                <w:lang w:eastAsia="en-AU"/>
              </w:rPr>
              <w:t> </w:t>
            </w:r>
          </w:p>
        </w:tc>
        <w:tc>
          <w:tcPr>
            <w:tcW w:w="545" w:type="pct"/>
            <w:tcBorders>
              <w:top w:val="single" w:sz="4" w:space="0" w:color="auto"/>
              <w:left w:val="nil"/>
              <w:bottom w:val="nil"/>
              <w:right w:val="nil"/>
            </w:tcBorders>
            <w:vAlign w:val="bottom"/>
            <w:hideMark/>
          </w:tcPr>
          <w:p w14:paraId="4D85DC52"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(7,615)</w:t>
            </w:r>
            <w:r w:rsidRPr="00F65403">
              <w:rPr>
                <w:rFonts w:eastAsia="Times New Roman" w:cs="Arial"/>
                <w:color w:val="000000"/>
                <w:sz w:val="20"/>
                <w:szCs w:val="20"/>
                <w:lang w:eastAsia="en-AU"/>
              </w:rPr>
              <w:t> </w:t>
            </w:r>
          </w:p>
        </w:tc>
        <w:tc>
          <w:tcPr>
            <w:tcW w:w="623" w:type="pct"/>
            <w:tcBorders>
              <w:top w:val="single" w:sz="4" w:space="0" w:color="auto"/>
              <w:left w:val="nil"/>
              <w:bottom w:val="nil"/>
              <w:right w:val="nil"/>
            </w:tcBorders>
            <w:vAlign w:val="bottom"/>
            <w:hideMark/>
          </w:tcPr>
          <w:p w14:paraId="23620298"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(1,511)</w:t>
            </w:r>
            <w:r w:rsidRPr="00F65403">
              <w:rPr>
                <w:rFonts w:eastAsia="Times New Roman" w:cs="Arial"/>
                <w:color w:val="000000"/>
                <w:sz w:val="20"/>
                <w:szCs w:val="20"/>
                <w:lang w:eastAsia="en-AU"/>
              </w:rPr>
              <w:t> </w:t>
            </w:r>
          </w:p>
        </w:tc>
      </w:tr>
      <w:tr w:rsidR="008D0DAB" w:rsidRPr="0036312D" w14:paraId="2C6F565A" w14:textId="77777777" w:rsidTr="00AA3AC5">
        <w:trPr>
          <w:trHeight w:val="300"/>
        </w:trPr>
        <w:tc>
          <w:tcPr>
            <w:tcW w:w="1487" w:type="pct"/>
            <w:tcBorders>
              <w:top w:val="nil"/>
              <w:left w:val="nil"/>
              <w:bottom w:val="nil"/>
              <w:right w:val="nil"/>
            </w:tcBorders>
            <w:vAlign w:val="center"/>
            <w:hideMark/>
          </w:tcPr>
          <w:p w14:paraId="393D418C" w14:textId="68ECA21F"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Other comprehensive </w:t>
            </w:r>
            <w:r w:rsidR="007044CB">
              <w:rPr>
                <w:rFonts w:eastAsia="Times New Roman" w:cs="Arial"/>
                <w:color w:val="000000"/>
                <w:sz w:val="20"/>
                <w:szCs w:val="20"/>
                <w:lang w:eastAsia="en-AU"/>
              </w:rPr>
              <w:t>loss</w:t>
            </w:r>
          </w:p>
        </w:tc>
        <w:tc>
          <w:tcPr>
            <w:tcW w:w="614" w:type="pct"/>
            <w:tcBorders>
              <w:top w:val="nil"/>
              <w:left w:val="nil"/>
              <w:bottom w:val="single" w:sz="4" w:space="0" w:color="auto"/>
              <w:right w:val="nil"/>
            </w:tcBorders>
            <w:vAlign w:val="bottom"/>
            <w:hideMark/>
          </w:tcPr>
          <w:p w14:paraId="7E086B53"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57" w:type="pct"/>
            <w:tcBorders>
              <w:top w:val="nil"/>
              <w:left w:val="nil"/>
              <w:bottom w:val="single" w:sz="4" w:space="0" w:color="auto"/>
              <w:right w:val="nil"/>
            </w:tcBorders>
            <w:vAlign w:val="bottom"/>
            <w:hideMark/>
          </w:tcPr>
          <w:p w14:paraId="240A5CB2"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49" w:type="pct"/>
            <w:tcBorders>
              <w:top w:val="nil"/>
              <w:left w:val="nil"/>
              <w:bottom w:val="single" w:sz="4" w:space="0" w:color="auto"/>
              <w:right w:val="nil"/>
            </w:tcBorders>
            <w:vAlign w:val="bottom"/>
            <w:hideMark/>
          </w:tcPr>
          <w:p w14:paraId="3C92D0C9" w14:textId="77777777" w:rsidR="008D0DAB" w:rsidRPr="00F65403" w:rsidRDefault="008D0DAB" w:rsidP="007044CB">
            <w:pPr>
              <w:spacing w:after="0" w:line="240" w:lineRule="auto"/>
              <w:jc w:val="right"/>
              <w:rPr>
                <w:rFonts w:eastAsia="Times New Roman" w:cs="Arial"/>
                <w:color w:val="000000"/>
                <w:sz w:val="20"/>
                <w:szCs w:val="20"/>
                <w:lang w:eastAsia="en-AU"/>
              </w:rPr>
            </w:pPr>
            <w:r w:rsidRPr="49BCD735">
              <w:rPr>
                <w:rFonts w:eastAsia="Times New Roman" w:cs="Arial"/>
                <w:color w:val="000000" w:themeColor="text1"/>
                <w:sz w:val="20"/>
                <w:szCs w:val="20"/>
                <w:lang w:eastAsia="en-AU"/>
              </w:rPr>
              <w:t>(7,761) </w:t>
            </w:r>
          </w:p>
        </w:tc>
        <w:tc>
          <w:tcPr>
            <w:tcW w:w="42" w:type="pct"/>
            <w:tcBorders>
              <w:top w:val="nil"/>
              <w:left w:val="nil"/>
              <w:bottom w:val="nil"/>
              <w:right w:val="nil"/>
            </w:tcBorders>
            <w:vAlign w:val="bottom"/>
            <w:hideMark/>
          </w:tcPr>
          <w:p w14:paraId="67608ABB" w14:textId="77777777" w:rsidR="008D0DAB" w:rsidRPr="00F65403" w:rsidRDefault="008D0DAB" w:rsidP="007044CB">
            <w:pPr>
              <w:spacing w:after="0" w:line="240" w:lineRule="auto"/>
              <w:jc w:val="right"/>
              <w:rPr>
                <w:rFonts w:eastAsia="Times New Roman" w:cs="Arial"/>
                <w:color w:val="000000"/>
                <w:sz w:val="20"/>
                <w:szCs w:val="20"/>
                <w:lang w:eastAsia="en-AU"/>
              </w:rPr>
            </w:pPr>
          </w:p>
        </w:tc>
        <w:tc>
          <w:tcPr>
            <w:tcW w:w="583" w:type="pct"/>
            <w:tcBorders>
              <w:top w:val="nil"/>
              <w:left w:val="nil"/>
              <w:bottom w:val="nil"/>
              <w:right w:val="nil"/>
            </w:tcBorders>
            <w:vAlign w:val="bottom"/>
            <w:hideMark/>
          </w:tcPr>
          <w:p w14:paraId="7DB70E5B"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545" w:type="pct"/>
            <w:tcBorders>
              <w:top w:val="nil"/>
              <w:left w:val="nil"/>
              <w:bottom w:val="nil"/>
              <w:right w:val="nil"/>
            </w:tcBorders>
            <w:vAlign w:val="bottom"/>
            <w:hideMark/>
          </w:tcPr>
          <w:p w14:paraId="72AEC4DF"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 </w:t>
            </w:r>
          </w:p>
        </w:tc>
        <w:tc>
          <w:tcPr>
            <w:tcW w:w="623" w:type="pct"/>
            <w:tcBorders>
              <w:top w:val="nil"/>
              <w:left w:val="nil"/>
              <w:bottom w:val="nil"/>
              <w:right w:val="nil"/>
            </w:tcBorders>
            <w:vAlign w:val="bottom"/>
            <w:hideMark/>
          </w:tcPr>
          <w:p w14:paraId="35C39D1E" w14:textId="77777777" w:rsidR="008D0DAB" w:rsidRPr="00F65403" w:rsidRDefault="008D0DAB" w:rsidP="007044CB">
            <w:pPr>
              <w:spacing w:after="0" w:line="240" w:lineRule="auto"/>
              <w:jc w:val="right"/>
              <w:rPr>
                <w:rFonts w:eastAsia="Times New Roman" w:cs="Arial"/>
                <w:color w:val="000000"/>
                <w:sz w:val="20"/>
                <w:szCs w:val="20"/>
                <w:lang w:eastAsia="en-AU"/>
              </w:rPr>
            </w:pPr>
            <w:r w:rsidRPr="00F65403">
              <w:rPr>
                <w:rFonts w:eastAsia="Times New Roman" w:cs="Arial"/>
                <w:color w:val="000000"/>
                <w:sz w:val="20"/>
                <w:szCs w:val="20"/>
                <w:lang w:eastAsia="en-AU"/>
              </w:rPr>
              <w:t>(5,659) </w:t>
            </w:r>
          </w:p>
        </w:tc>
      </w:tr>
      <w:tr w:rsidR="008D0DAB" w:rsidRPr="0036312D" w14:paraId="4DE6DDC6" w14:textId="77777777" w:rsidTr="00AA3AC5">
        <w:trPr>
          <w:trHeight w:val="300"/>
        </w:trPr>
        <w:tc>
          <w:tcPr>
            <w:tcW w:w="1487" w:type="pct"/>
            <w:tcBorders>
              <w:top w:val="nil"/>
              <w:left w:val="nil"/>
              <w:bottom w:val="nil"/>
              <w:right w:val="nil"/>
            </w:tcBorders>
            <w:vAlign w:val="center"/>
            <w:hideMark/>
          </w:tcPr>
          <w:p w14:paraId="465074FD" w14:textId="4C6D2518"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comprehensive los</w:t>
            </w:r>
            <w:r w:rsidR="007044CB">
              <w:rPr>
                <w:rFonts w:eastAsia="Times New Roman" w:cs="Arial"/>
                <w:b/>
                <w:color w:val="000000"/>
                <w:sz w:val="20"/>
                <w:szCs w:val="20"/>
                <w:lang w:eastAsia="en-AU"/>
              </w:rPr>
              <w:t>s</w:t>
            </w:r>
          </w:p>
        </w:tc>
        <w:tc>
          <w:tcPr>
            <w:tcW w:w="614" w:type="pct"/>
            <w:tcBorders>
              <w:top w:val="single" w:sz="4" w:space="0" w:color="auto"/>
              <w:left w:val="nil"/>
              <w:bottom w:val="double" w:sz="4" w:space="0" w:color="auto"/>
              <w:right w:val="nil"/>
            </w:tcBorders>
            <w:vAlign w:val="bottom"/>
            <w:hideMark/>
          </w:tcPr>
          <w:p w14:paraId="17A4F3E4" w14:textId="77777777" w:rsidR="008D0DAB" w:rsidRPr="00F65403" w:rsidRDefault="008D0DAB" w:rsidP="007044CB">
            <w:pPr>
              <w:spacing w:after="0" w:line="240" w:lineRule="auto"/>
              <w:jc w:val="right"/>
              <w:rPr>
                <w:rFonts w:eastAsia="Times New Roman" w:cs="Arial"/>
                <w:b/>
                <w:bCs/>
                <w:sz w:val="20"/>
                <w:szCs w:val="20"/>
                <w:lang w:eastAsia="en-AU"/>
              </w:rPr>
            </w:pPr>
            <w:r w:rsidRPr="49BCD735">
              <w:rPr>
                <w:rFonts w:cs="Arial"/>
                <w:b/>
                <w:bCs/>
                <w:color w:val="000000" w:themeColor="text1"/>
                <w:sz w:val="20"/>
                <w:szCs w:val="20"/>
              </w:rPr>
              <w:t>(14,725)</w:t>
            </w:r>
          </w:p>
        </w:tc>
        <w:tc>
          <w:tcPr>
            <w:tcW w:w="557" w:type="pct"/>
            <w:tcBorders>
              <w:top w:val="single" w:sz="4" w:space="0" w:color="auto"/>
              <w:left w:val="nil"/>
              <w:bottom w:val="double" w:sz="4" w:space="0" w:color="auto"/>
              <w:right w:val="nil"/>
            </w:tcBorders>
            <w:vAlign w:val="bottom"/>
            <w:hideMark/>
          </w:tcPr>
          <w:p w14:paraId="2E2D2D79" w14:textId="77777777" w:rsidR="008D0DAB" w:rsidRPr="00F65403" w:rsidRDefault="008D0DAB" w:rsidP="007044CB">
            <w:pPr>
              <w:spacing w:after="0" w:line="240" w:lineRule="auto"/>
              <w:jc w:val="right"/>
              <w:rPr>
                <w:rFonts w:eastAsia="Times New Roman" w:cs="Arial"/>
                <w:b/>
                <w:bCs/>
                <w:sz w:val="20"/>
                <w:szCs w:val="20"/>
                <w:lang w:eastAsia="en-AU"/>
              </w:rPr>
            </w:pPr>
            <w:r w:rsidRPr="49BCD735">
              <w:rPr>
                <w:rFonts w:cs="Arial"/>
                <w:b/>
                <w:bCs/>
                <w:color w:val="000000" w:themeColor="text1"/>
                <w:sz w:val="20"/>
                <w:szCs w:val="20"/>
              </w:rPr>
              <w:t>(12,554)</w:t>
            </w:r>
          </w:p>
        </w:tc>
        <w:tc>
          <w:tcPr>
            <w:tcW w:w="549" w:type="pct"/>
            <w:tcBorders>
              <w:top w:val="single" w:sz="4" w:space="0" w:color="auto"/>
              <w:left w:val="nil"/>
              <w:bottom w:val="double" w:sz="4" w:space="0" w:color="auto"/>
              <w:right w:val="nil"/>
            </w:tcBorders>
            <w:vAlign w:val="bottom"/>
            <w:hideMark/>
          </w:tcPr>
          <w:p w14:paraId="163644EA" w14:textId="77777777" w:rsidR="008D0DAB" w:rsidRPr="00F65403" w:rsidRDefault="008D0DAB" w:rsidP="007044CB">
            <w:pPr>
              <w:spacing w:after="0" w:line="240" w:lineRule="auto"/>
              <w:jc w:val="right"/>
              <w:rPr>
                <w:rFonts w:eastAsia="Times New Roman" w:cs="Arial"/>
                <w:b/>
                <w:bCs/>
                <w:sz w:val="20"/>
                <w:szCs w:val="20"/>
                <w:lang w:eastAsia="en-AU"/>
              </w:rPr>
            </w:pPr>
            <w:r w:rsidRPr="49BCD735">
              <w:rPr>
                <w:rFonts w:cs="Arial"/>
                <w:b/>
                <w:bCs/>
                <w:color w:val="000000" w:themeColor="text1"/>
                <w:sz w:val="20"/>
                <w:szCs w:val="20"/>
              </w:rPr>
              <w:t>(9,768)</w:t>
            </w:r>
          </w:p>
        </w:tc>
        <w:tc>
          <w:tcPr>
            <w:tcW w:w="42" w:type="pct"/>
            <w:tcBorders>
              <w:top w:val="nil"/>
              <w:left w:val="nil"/>
              <w:bottom w:val="nil"/>
              <w:right w:val="nil"/>
            </w:tcBorders>
            <w:vAlign w:val="bottom"/>
            <w:hideMark/>
          </w:tcPr>
          <w:p w14:paraId="3AFE8333" w14:textId="77777777" w:rsidR="008D0DAB" w:rsidRPr="00F65403" w:rsidRDefault="008D0DAB" w:rsidP="007044CB">
            <w:pPr>
              <w:spacing w:after="0" w:line="240" w:lineRule="auto"/>
              <w:jc w:val="right"/>
              <w:rPr>
                <w:rFonts w:eastAsia="Times New Roman" w:cs="Arial"/>
                <w:b/>
                <w:color w:val="000000"/>
                <w:sz w:val="20"/>
                <w:szCs w:val="20"/>
                <w:lang w:eastAsia="en-AU"/>
              </w:rPr>
            </w:pPr>
          </w:p>
        </w:tc>
        <w:tc>
          <w:tcPr>
            <w:tcW w:w="583" w:type="pct"/>
            <w:tcBorders>
              <w:top w:val="single" w:sz="4" w:space="0" w:color="auto"/>
              <w:left w:val="nil"/>
              <w:bottom w:val="double" w:sz="6" w:space="0" w:color="auto"/>
              <w:right w:val="nil"/>
            </w:tcBorders>
            <w:vAlign w:val="bottom"/>
            <w:hideMark/>
          </w:tcPr>
          <w:p w14:paraId="50FC0C39"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(7,942)</w:t>
            </w:r>
            <w:r w:rsidRPr="00F65403">
              <w:rPr>
                <w:rFonts w:eastAsia="Times New Roman" w:cs="Arial"/>
                <w:color w:val="000000"/>
                <w:sz w:val="20"/>
                <w:szCs w:val="20"/>
                <w:lang w:eastAsia="en-AU"/>
              </w:rPr>
              <w:t> </w:t>
            </w:r>
          </w:p>
        </w:tc>
        <w:tc>
          <w:tcPr>
            <w:tcW w:w="545" w:type="pct"/>
            <w:tcBorders>
              <w:top w:val="single" w:sz="4" w:space="0" w:color="auto"/>
              <w:left w:val="nil"/>
              <w:bottom w:val="double" w:sz="6" w:space="0" w:color="auto"/>
              <w:right w:val="nil"/>
            </w:tcBorders>
            <w:vAlign w:val="bottom"/>
            <w:hideMark/>
          </w:tcPr>
          <w:p w14:paraId="706DD898"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(7,615)</w:t>
            </w:r>
            <w:r w:rsidRPr="00F65403">
              <w:rPr>
                <w:rFonts w:eastAsia="Times New Roman" w:cs="Arial"/>
                <w:color w:val="000000"/>
                <w:sz w:val="20"/>
                <w:szCs w:val="20"/>
                <w:lang w:eastAsia="en-AU"/>
              </w:rPr>
              <w:t> </w:t>
            </w:r>
          </w:p>
        </w:tc>
        <w:tc>
          <w:tcPr>
            <w:tcW w:w="623" w:type="pct"/>
            <w:tcBorders>
              <w:top w:val="single" w:sz="4" w:space="0" w:color="auto"/>
              <w:left w:val="nil"/>
              <w:bottom w:val="double" w:sz="6" w:space="0" w:color="auto"/>
              <w:right w:val="nil"/>
            </w:tcBorders>
            <w:vAlign w:val="bottom"/>
            <w:hideMark/>
          </w:tcPr>
          <w:p w14:paraId="411B4305" w14:textId="77777777" w:rsidR="008D0DAB" w:rsidRPr="00F65403" w:rsidRDefault="008D0DAB" w:rsidP="007044CB">
            <w:pPr>
              <w:spacing w:after="0" w:line="240" w:lineRule="auto"/>
              <w:jc w:val="right"/>
              <w:rPr>
                <w:rFonts w:eastAsia="Times New Roman" w:cs="Arial"/>
                <w:b/>
                <w:color w:val="000000"/>
                <w:sz w:val="20"/>
                <w:szCs w:val="20"/>
                <w:lang w:eastAsia="en-AU"/>
              </w:rPr>
            </w:pPr>
            <w:r w:rsidRPr="00F65403">
              <w:rPr>
                <w:rFonts w:eastAsia="Times New Roman" w:cs="Arial"/>
                <w:b/>
                <w:color w:val="000000"/>
                <w:sz w:val="20"/>
                <w:szCs w:val="20"/>
                <w:lang w:eastAsia="en-AU"/>
              </w:rPr>
              <w:t>(7,171)</w:t>
            </w:r>
            <w:r w:rsidRPr="00F65403">
              <w:rPr>
                <w:rFonts w:eastAsia="Times New Roman" w:cs="Arial"/>
                <w:color w:val="000000"/>
                <w:sz w:val="20"/>
                <w:szCs w:val="20"/>
                <w:lang w:eastAsia="en-AU"/>
              </w:rPr>
              <w:t> </w:t>
            </w:r>
          </w:p>
        </w:tc>
      </w:tr>
    </w:tbl>
    <w:p w14:paraId="2CD6CF4B" w14:textId="77777777" w:rsidR="008D0DAB" w:rsidRPr="00F65403" w:rsidRDefault="008D0DAB" w:rsidP="008D0DAB">
      <w:pPr>
        <w:pStyle w:val="BodyText"/>
        <w:rPr>
          <w:lang w:val="en-AU"/>
        </w:rPr>
      </w:pPr>
    </w:p>
    <w:p w14:paraId="47DB4C55" w14:textId="1234EF40" w:rsidR="008D0DAB" w:rsidRDefault="008D0DAB" w:rsidP="008D0DAB">
      <w:pPr>
        <w:rPr>
          <w:rFonts w:eastAsiaTheme="majorEastAsia" w:cstheme="majorBidi"/>
          <w:b/>
          <w:sz w:val="20"/>
        </w:rPr>
      </w:pPr>
    </w:p>
    <w:p w14:paraId="430C3BC9" w14:textId="77777777" w:rsidR="008D0DAB" w:rsidRPr="00F65403" w:rsidRDefault="008D0DAB" w:rsidP="008D0DAB">
      <w:pPr>
        <w:pStyle w:val="Heading7"/>
      </w:pPr>
      <w:r w:rsidRPr="00F65403">
        <w:t>Commitments for expenditure</w:t>
      </w:r>
    </w:p>
    <w:p w14:paraId="475E5EDE" w14:textId="77777777" w:rsidR="008D0DAB" w:rsidRPr="00F65403" w:rsidRDefault="008D0DAB" w:rsidP="008D0DAB">
      <w:pPr>
        <w:pStyle w:val="BodyText"/>
        <w:rPr>
          <w:lang w:val="en-AU"/>
        </w:rPr>
      </w:pPr>
      <w:r w:rsidRPr="00932401">
        <w:rPr>
          <w:lang w:val="en-AU"/>
        </w:rPr>
        <w:t>Detailed below are the Group’s contractual commitments that are not recognised as liabilities as there is no present obligation.</w:t>
      </w:r>
      <w:r>
        <w:rPr>
          <w:lang w:val="en-AU"/>
        </w:rPr>
        <w:br/>
      </w:r>
    </w:p>
    <w:tbl>
      <w:tblPr>
        <w:tblW w:w="5000" w:type="pct"/>
        <w:tblCellMar>
          <w:top w:w="28" w:type="dxa"/>
          <w:left w:w="28" w:type="dxa"/>
          <w:bottom w:w="28" w:type="dxa"/>
          <w:right w:w="28" w:type="dxa"/>
        </w:tblCellMar>
        <w:tblLook w:val="04A0" w:firstRow="1" w:lastRow="0" w:firstColumn="1" w:lastColumn="0" w:noHBand="0" w:noVBand="1"/>
      </w:tblPr>
      <w:tblGrid>
        <w:gridCol w:w="3726"/>
        <w:gridCol w:w="1325"/>
        <w:gridCol w:w="1325"/>
        <w:gridCol w:w="1325"/>
        <w:gridCol w:w="1325"/>
      </w:tblGrid>
      <w:tr w:rsidR="008D0DAB" w:rsidRPr="00144B2B" w14:paraId="6BFFDA31" w14:textId="77777777" w:rsidTr="009B7B2A">
        <w:tc>
          <w:tcPr>
            <w:tcW w:w="2064" w:type="pct"/>
            <w:tcBorders>
              <w:top w:val="nil"/>
              <w:left w:val="nil"/>
              <w:bottom w:val="nil"/>
              <w:right w:val="nil"/>
            </w:tcBorders>
            <w:vAlign w:val="bottom"/>
            <w:hideMark/>
          </w:tcPr>
          <w:p w14:paraId="0A6A441E" w14:textId="77777777" w:rsidR="008D0DAB" w:rsidRPr="00F65403" w:rsidRDefault="008D0DAB" w:rsidP="009B7B2A">
            <w:pPr>
              <w:spacing w:after="0" w:line="240" w:lineRule="auto"/>
              <w:rPr>
                <w:rFonts w:eastAsia="Times New Roman" w:cs="Arial"/>
                <w:b/>
                <w:color w:val="000000"/>
                <w:sz w:val="20"/>
                <w:szCs w:val="20"/>
                <w:lang w:eastAsia="en-AU"/>
              </w:rPr>
            </w:pPr>
          </w:p>
        </w:tc>
        <w:tc>
          <w:tcPr>
            <w:tcW w:w="734" w:type="pct"/>
            <w:tcBorders>
              <w:top w:val="nil"/>
              <w:left w:val="nil"/>
              <w:bottom w:val="nil"/>
              <w:right w:val="nil"/>
            </w:tcBorders>
          </w:tcPr>
          <w:p w14:paraId="29C3E1BB"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734" w:type="pct"/>
            <w:tcBorders>
              <w:top w:val="nil"/>
              <w:left w:val="nil"/>
              <w:bottom w:val="nil"/>
              <w:right w:val="nil"/>
            </w:tcBorders>
          </w:tcPr>
          <w:p w14:paraId="5AB78A90" w14:textId="77777777" w:rsidR="008D0DAB" w:rsidRPr="00F65403" w:rsidRDefault="008D0DAB" w:rsidP="009B7B2A">
            <w:pPr>
              <w:spacing w:after="0" w:line="240" w:lineRule="auto"/>
              <w:jc w:val="center"/>
              <w:rPr>
                <w:rFonts w:eastAsia="Times New Roman" w:cs="Arial"/>
                <w:b/>
                <w:color w:val="000000"/>
                <w:sz w:val="20"/>
                <w:szCs w:val="20"/>
                <w:lang w:eastAsia="en-AU"/>
              </w:rPr>
            </w:pPr>
          </w:p>
        </w:tc>
        <w:tc>
          <w:tcPr>
            <w:tcW w:w="734" w:type="pct"/>
            <w:tcBorders>
              <w:top w:val="nil"/>
              <w:left w:val="nil"/>
              <w:bottom w:val="nil"/>
              <w:right w:val="nil"/>
            </w:tcBorders>
            <w:hideMark/>
          </w:tcPr>
          <w:p w14:paraId="4E4BA907"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34" w:type="pct"/>
            <w:tcBorders>
              <w:top w:val="nil"/>
              <w:left w:val="nil"/>
              <w:bottom w:val="nil"/>
              <w:right w:val="nil"/>
            </w:tcBorders>
            <w:hideMark/>
          </w:tcPr>
          <w:p w14:paraId="47A04EE7"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8D0DAB" w:rsidRPr="00144B2B" w14:paraId="5C3A59D4" w14:textId="77777777" w:rsidTr="009B7B2A">
        <w:tc>
          <w:tcPr>
            <w:tcW w:w="2064" w:type="pct"/>
            <w:tcBorders>
              <w:top w:val="nil"/>
              <w:left w:val="nil"/>
              <w:bottom w:val="nil"/>
              <w:right w:val="nil"/>
            </w:tcBorders>
            <w:vAlign w:val="center"/>
          </w:tcPr>
          <w:p w14:paraId="516287AE" w14:textId="77777777" w:rsidR="008D0DAB" w:rsidRPr="00F65403" w:rsidRDefault="008D0DAB" w:rsidP="009B7B2A">
            <w:pPr>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4BFBFE0B"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1D4DD20D"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tcPr>
          <w:p w14:paraId="4D7FFF55"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c>
          <w:tcPr>
            <w:tcW w:w="734" w:type="pct"/>
            <w:tcBorders>
              <w:top w:val="nil"/>
              <w:left w:val="nil"/>
              <w:bottom w:val="nil"/>
              <w:right w:val="nil"/>
            </w:tcBorders>
          </w:tcPr>
          <w:p w14:paraId="42734C13"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$000's</w:t>
            </w:r>
          </w:p>
        </w:tc>
      </w:tr>
      <w:tr w:rsidR="008D0DAB" w:rsidRPr="00144B2B" w14:paraId="09A6A7F6" w14:textId="77777777" w:rsidTr="009B7B2A">
        <w:tc>
          <w:tcPr>
            <w:tcW w:w="2064" w:type="pct"/>
            <w:tcBorders>
              <w:top w:val="nil"/>
              <w:left w:val="nil"/>
              <w:bottom w:val="nil"/>
              <w:right w:val="nil"/>
            </w:tcBorders>
            <w:vAlign w:val="center"/>
            <w:hideMark/>
          </w:tcPr>
          <w:p w14:paraId="45950D8E"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Capital commitments</w:t>
            </w:r>
            <w:r w:rsidRPr="002D4799">
              <w:rPr>
                <w:rFonts w:eastAsia="Times New Roman" w:cs="Arial"/>
                <w:color w:val="000000"/>
                <w:sz w:val="20"/>
                <w:szCs w:val="20"/>
                <w:vertAlign w:val="superscript"/>
                <w:lang w:eastAsia="en-AU"/>
              </w:rPr>
              <w:t>1</w:t>
            </w:r>
          </w:p>
        </w:tc>
        <w:tc>
          <w:tcPr>
            <w:tcW w:w="734" w:type="pct"/>
            <w:tcBorders>
              <w:top w:val="nil"/>
              <w:left w:val="nil"/>
              <w:bottom w:val="nil"/>
              <w:right w:val="nil"/>
            </w:tcBorders>
            <w:vAlign w:val="bottom"/>
          </w:tcPr>
          <w:p w14:paraId="0235DDE0"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678D9352"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right w:val="nil"/>
            </w:tcBorders>
            <w:vAlign w:val="bottom"/>
          </w:tcPr>
          <w:p w14:paraId="3D598C6E"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212,159</w:t>
            </w:r>
          </w:p>
        </w:tc>
        <w:tc>
          <w:tcPr>
            <w:tcW w:w="734" w:type="pct"/>
            <w:tcBorders>
              <w:top w:val="nil"/>
              <w:left w:val="nil"/>
              <w:right w:val="nil"/>
            </w:tcBorders>
            <w:vAlign w:val="bottom"/>
          </w:tcPr>
          <w:p w14:paraId="2F6D2810"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144B2B" w14:paraId="0DCDB639" w14:textId="77777777" w:rsidTr="009B7B2A">
        <w:tc>
          <w:tcPr>
            <w:tcW w:w="2064" w:type="pct"/>
            <w:tcBorders>
              <w:top w:val="nil"/>
              <w:left w:val="nil"/>
              <w:bottom w:val="nil"/>
              <w:right w:val="nil"/>
            </w:tcBorders>
            <w:vAlign w:val="center"/>
            <w:hideMark/>
          </w:tcPr>
          <w:p w14:paraId="59863A0B"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Joint venture commitments</w:t>
            </w:r>
            <w:r>
              <w:rPr>
                <w:rFonts w:eastAsia="Times New Roman" w:cs="Arial"/>
                <w:color w:val="000000"/>
                <w:sz w:val="20"/>
                <w:szCs w:val="20"/>
                <w:vertAlign w:val="superscript"/>
                <w:lang w:eastAsia="en-AU"/>
              </w:rPr>
              <w:t>2</w:t>
            </w:r>
          </w:p>
        </w:tc>
        <w:tc>
          <w:tcPr>
            <w:tcW w:w="734" w:type="pct"/>
            <w:tcBorders>
              <w:top w:val="nil"/>
              <w:left w:val="nil"/>
              <w:bottom w:val="nil"/>
              <w:right w:val="nil"/>
            </w:tcBorders>
            <w:vAlign w:val="bottom"/>
          </w:tcPr>
          <w:p w14:paraId="0D6DA23F"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nil"/>
              <w:right w:val="nil"/>
            </w:tcBorders>
            <w:vAlign w:val="bottom"/>
          </w:tcPr>
          <w:p w14:paraId="41F61418"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34" w:type="pct"/>
            <w:tcBorders>
              <w:top w:val="nil"/>
              <w:left w:val="nil"/>
              <w:bottom w:val="single" w:sz="4" w:space="0" w:color="auto"/>
              <w:right w:val="nil"/>
            </w:tcBorders>
            <w:vAlign w:val="bottom"/>
          </w:tcPr>
          <w:p w14:paraId="186DA1F5"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52,309</w:t>
            </w:r>
          </w:p>
        </w:tc>
        <w:tc>
          <w:tcPr>
            <w:tcW w:w="734" w:type="pct"/>
            <w:tcBorders>
              <w:top w:val="nil"/>
              <w:left w:val="nil"/>
              <w:bottom w:val="single" w:sz="4" w:space="0" w:color="auto"/>
              <w:right w:val="nil"/>
            </w:tcBorders>
            <w:vAlign w:val="bottom"/>
          </w:tcPr>
          <w:p w14:paraId="40EAE130"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171,905</w:t>
            </w:r>
          </w:p>
        </w:tc>
      </w:tr>
      <w:tr w:rsidR="008D0DAB" w:rsidRPr="00144B2B" w14:paraId="79FF61F4" w14:textId="77777777" w:rsidTr="009B7B2A">
        <w:tc>
          <w:tcPr>
            <w:tcW w:w="2064" w:type="pct"/>
            <w:tcBorders>
              <w:top w:val="nil"/>
              <w:left w:val="nil"/>
              <w:bottom w:val="nil"/>
              <w:right w:val="nil"/>
            </w:tcBorders>
            <w:vAlign w:val="center"/>
            <w:hideMark/>
          </w:tcPr>
          <w:p w14:paraId="27D45CA2"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commitments </w:t>
            </w:r>
          </w:p>
        </w:tc>
        <w:tc>
          <w:tcPr>
            <w:tcW w:w="734" w:type="pct"/>
            <w:tcBorders>
              <w:top w:val="nil"/>
              <w:left w:val="nil"/>
              <w:right w:val="nil"/>
            </w:tcBorders>
            <w:vAlign w:val="bottom"/>
          </w:tcPr>
          <w:p w14:paraId="18F287F9"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p>
        </w:tc>
        <w:tc>
          <w:tcPr>
            <w:tcW w:w="734" w:type="pct"/>
            <w:tcBorders>
              <w:top w:val="nil"/>
              <w:left w:val="nil"/>
              <w:right w:val="nil"/>
            </w:tcBorders>
            <w:vAlign w:val="bottom"/>
          </w:tcPr>
          <w:p w14:paraId="2B571C1F"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p>
        </w:tc>
        <w:tc>
          <w:tcPr>
            <w:tcW w:w="734" w:type="pct"/>
            <w:tcBorders>
              <w:top w:val="single" w:sz="4" w:space="0" w:color="auto"/>
              <w:left w:val="nil"/>
              <w:bottom w:val="single" w:sz="4" w:space="0" w:color="auto"/>
              <w:right w:val="nil"/>
            </w:tcBorders>
            <w:vAlign w:val="bottom"/>
          </w:tcPr>
          <w:p w14:paraId="47DEA1BC" w14:textId="13CB2273"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264,</w:t>
            </w:r>
            <w:r w:rsidR="00437667">
              <w:rPr>
                <w:rFonts w:eastAsia="Times New Roman" w:cs="Arial"/>
                <w:b/>
                <w:color w:val="000000"/>
                <w:sz w:val="20"/>
                <w:szCs w:val="20"/>
                <w:lang w:eastAsia="en-AU"/>
              </w:rPr>
              <w:t>468</w:t>
            </w:r>
          </w:p>
        </w:tc>
        <w:tc>
          <w:tcPr>
            <w:tcW w:w="734" w:type="pct"/>
            <w:tcBorders>
              <w:top w:val="single" w:sz="4" w:space="0" w:color="auto"/>
              <w:left w:val="nil"/>
              <w:bottom w:val="single" w:sz="4" w:space="0" w:color="auto"/>
              <w:right w:val="nil"/>
            </w:tcBorders>
            <w:vAlign w:val="bottom"/>
          </w:tcPr>
          <w:p w14:paraId="42EF8648"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171,905</w:t>
            </w:r>
          </w:p>
        </w:tc>
      </w:tr>
    </w:tbl>
    <w:p w14:paraId="555DB9C3" w14:textId="77777777" w:rsidR="008D0DAB" w:rsidRPr="00F65403" w:rsidRDefault="008D0DAB" w:rsidP="008D0DAB">
      <w:pPr>
        <w:pStyle w:val="BodyText"/>
        <w:rPr>
          <w:lang w:val="en-AU"/>
        </w:rPr>
      </w:pPr>
    </w:p>
    <w:p w14:paraId="07AC4BE1" w14:textId="7866CAE7" w:rsidR="008D0DAB" w:rsidRDefault="008D0DAB" w:rsidP="008D0DAB">
      <w:pPr>
        <w:pStyle w:val="BodyText"/>
        <w:rPr>
          <w:lang w:val="en-AU"/>
        </w:rPr>
      </w:pPr>
      <w:r>
        <w:rPr>
          <w:rFonts w:eastAsia="Times New Roman"/>
          <w:color w:val="000000"/>
          <w:vertAlign w:val="superscript"/>
          <w:lang w:eastAsia="en-AU"/>
        </w:rPr>
        <w:t xml:space="preserve">1 </w:t>
      </w:r>
      <w:r>
        <w:rPr>
          <w:lang w:val="en-AU"/>
        </w:rPr>
        <w:t>Capital commitments relate to the construction of Horsham Renewable Energy Park.</w:t>
      </w:r>
      <w:r w:rsidR="001B5F09">
        <w:rPr>
          <w:lang w:val="en-AU"/>
        </w:rPr>
        <w:t xml:space="preserve"> </w:t>
      </w:r>
      <w:r w:rsidR="001B5F09" w:rsidRPr="001B5F09">
        <w:rPr>
          <w:lang w:val="en-AU"/>
        </w:rPr>
        <w:t>Estimated payments for construction are $124,688,000 within one year and $87,471,000 within two to five years.</w:t>
      </w:r>
    </w:p>
    <w:p w14:paraId="77E7A8A3" w14:textId="77777777" w:rsidR="008D0DAB" w:rsidRDefault="008D0DAB" w:rsidP="008D0DAB">
      <w:pPr>
        <w:pStyle w:val="BodyText"/>
        <w:rPr>
          <w:rFonts w:eastAsia="Times New Roman"/>
          <w:color w:val="000000"/>
          <w:vertAlign w:val="superscript"/>
          <w:lang w:eastAsia="en-AU"/>
        </w:rPr>
      </w:pPr>
    </w:p>
    <w:p w14:paraId="0D3D745F" w14:textId="77777777" w:rsidR="008D0DAB" w:rsidRPr="005E0E12" w:rsidRDefault="008D0DAB" w:rsidP="008D0DAB">
      <w:pPr>
        <w:pStyle w:val="BodyText"/>
        <w:rPr>
          <w:lang w:val="en-AU"/>
        </w:rPr>
      </w:pPr>
      <w:r>
        <w:rPr>
          <w:rFonts w:eastAsia="Times New Roman"/>
          <w:color w:val="000000"/>
          <w:vertAlign w:val="superscript"/>
          <w:lang w:eastAsia="en-AU"/>
        </w:rPr>
        <w:t xml:space="preserve">2 </w:t>
      </w:r>
      <w:r w:rsidRPr="002B2044">
        <w:rPr>
          <w:lang w:val="en-AU"/>
        </w:rPr>
        <w:t>In November 2023, SEC Victoria’s subsidiary SEC Infrastructure entered into contracts to invest $245 million in the 600-megawatt Melbourne Renewable Energy Hub (MREH) in partnership with Equis Development Pty Ltd. As at 30 June 2025</w:t>
      </w:r>
      <w:r w:rsidRPr="005E0E12">
        <w:rPr>
          <w:lang w:val="en-AU"/>
        </w:rPr>
        <w:t>, there is $52.3 million (30 June 2024: $171.5 million) remaining on this commitment and includes amounts to cover SEC’s share of capital commitments made jointly with other investors described in Note 1</w:t>
      </w:r>
      <w:r w:rsidRPr="00C1358F">
        <w:rPr>
          <w:lang w:val="en-AU"/>
        </w:rPr>
        <w:t>4</w:t>
      </w:r>
      <w:r w:rsidRPr="005E0E12">
        <w:rPr>
          <w:lang w:val="en-AU"/>
        </w:rPr>
        <w:t xml:space="preserve"> iii. </w:t>
      </w:r>
    </w:p>
    <w:p w14:paraId="07185C2D" w14:textId="77777777" w:rsidR="008D0DAB" w:rsidRPr="00F65403" w:rsidRDefault="008D0DAB" w:rsidP="008D0DAB">
      <w:pPr>
        <w:pStyle w:val="BodyText"/>
        <w:rPr>
          <w:lang w:val="en-AU"/>
        </w:rPr>
      </w:pPr>
    </w:p>
    <w:p w14:paraId="44C3D249" w14:textId="77777777" w:rsidR="008D0DAB" w:rsidRPr="00F65403" w:rsidRDefault="008D0DAB" w:rsidP="008D0DAB">
      <w:pPr>
        <w:pStyle w:val="Heading7"/>
      </w:pPr>
      <w:r w:rsidRPr="00F65403">
        <w:t>Subsequent events</w:t>
      </w:r>
    </w:p>
    <w:p w14:paraId="276725BE" w14:textId="72F55218" w:rsidR="008D0DAB" w:rsidRDefault="001B5F09" w:rsidP="008D0DAB">
      <w:pPr>
        <w:pStyle w:val="BodyText"/>
        <w:rPr>
          <w:lang w:val="en-AU"/>
        </w:rPr>
      </w:pPr>
      <w:r w:rsidRPr="00AA3AC5">
        <w:rPr>
          <w:lang w:val="en-AU"/>
        </w:rPr>
        <w:t>N</w:t>
      </w:r>
      <w:r w:rsidR="008D0DAB" w:rsidRPr="00AA3AC5">
        <w:rPr>
          <w:lang w:val="en-AU"/>
        </w:rPr>
        <w:t>o item, transaction</w:t>
      </w:r>
      <w:r w:rsidR="008D0DAB" w:rsidRPr="004A1D36">
        <w:rPr>
          <w:lang w:val="en-AU"/>
        </w:rPr>
        <w:t xml:space="preserve"> or event of a material nature has arisen since 30 June 2025 that would significantly affect the operations</w:t>
      </w:r>
      <w:r w:rsidR="008D0DAB" w:rsidRPr="00F65403">
        <w:rPr>
          <w:lang w:val="en-AU"/>
        </w:rPr>
        <w:t xml:space="preserve"> of the Group, the results of those operations, or the state of affairs of the Group, in future financial periods.</w:t>
      </w:r>
    </w:p>
    <w:p w14:paraId="3B1FC117" w14:textId="183804E5" w:rsidR="004A1D36" w:rsidRDefault="004A1D36">
      <w:pPr>
        <w:rPr>
          <w:rFonts w:eastAsia="Arial" w:cs="Arial"/>
          <w:sz w:val="20"/>
          <w:szCs w:val="20"/>
        </w:rPr>
      </w:pPr>
      <w:r>
        <w:br w:type="page"/>
      </w:r>
    </w:p>
    <w:p w14:paraId="54E1F31D" w14:textId="77777777" w:rsidR="008D0DAB" w:rsidRPr="00F65403" w:rsidRDefault="008D0DAB" w:rsidP="008D0DAB">
      <w:pPr>
        <w:pStyle w:val="BodyText"/>
        <w:rPr>
          <w:lang w:val="en-AU"/>
        </w:rPr>
      </w:pPr>
    </w:p>
    <w:p w14:paraId="7B387360" w14:textId="77777777" w:rsidR="008D0DAB" w:rsidRPr="00F65403" w:rsidRDefault="008D0DAB" w:rsidP="008D0DAB">
      <w:pPr>
        <w:pStyle w:val="Heading7"/>
      </w:pPr>
      <w:bookmarkStart w:id="560" w:name="_Ref208418810"/>
      <w:r w:rsidRPr="00F65403">
        <w:t>Responsible persons</w:t>
      </w:r>
      <w:bookmarkEnd w:id="560"/>
    </w:p>
    <w:p w14:paraId="3FAF33E5" w14:textId="77777777" w:rsidR="008D0DAB" w:rsidRPr="00F65403" w:rsidRDefault="008D0DAB" w:rsidP="008D0DAB">
      <w:pPr>
        <w:pStyle w:val="BodyText"/>
        <w:rPr>
          <w:lang w:val="en-AU"/>
        </w:rPr>
      </w:pPr>
      <w:r w:rsidRPr="00F65403">
        <w:rPr>
          <w:lang w:val="en-AU"/>
        </w:rPr>
        <w:t>In accordance with the Ministerial Directions issued by the Assistant Treasurer under the FMA, the following disclosures are made about responsible persons for the reporting period.</w:t>
      </w:r>
    </w:p>
    <w:p w14:paraId="3F66A225" w14:textId="77777777" w:rsidR="008D0DAB" w:rsidRPr="00F65403" w:rsidRDefault="008D0DAB" w:rsidP="008D0DAB">
      <w:pPr>
        <w:pStyle w:val="BodyText"/>
        <w:rPr>
          <w:lang w:val="en-AU"/>
        </w:rPr>
      </w:pPr>
    </w:p>
    <w:p w14:paraId="5F6749FE" w14:textId="77777777" w:rsidR="008D0DAB" w:rsidRPr="00F65403" w:rsidRDefault="008D0DAB" w:rsidP="008D0DAB">
      <w:pPr>
        <w:pStyle w:val="BodyText"/>
        <w:rPr>
          <w:lang w:val="en-AU"/>
        </w:rPr>
      </w:pPr>
      <w:r w:rsidRPr="00F65403">
        <w:rPr>
          <w:lang w:val="en-AU"/>
        </w:rPr>
        <w:t>The names of persons who were responsible persons at any time during the period are as follows:</w:t>
      </w:r>
    </w:p>
    <w:p w14:paraId="188E8C56" w14:textId="77777777" w:rsidR="008D0DAB" w:rsidRPr="00F65403" w:rsidRDefault="008D0DAB" w:rsidP="008D0DAB">
      <w:pPr>
        <w:pStyle w:val="BodyText"/>
        <w:rPr>
          <w:lang w:val="en-AU"/>
        </w:rPr>
      </w:pPr>
    </w:p>
    <w:tbl>
      <w:tblPr>
        <w:tblW w:w="8761" w:type="dxa"/>
        <w:tblCellMar>
          <w:top w:w="28" w:type="dxa"/>
          <w:left w:w="28" w:type="dxa"/>
          <w:bottom w:w="28" w:type="dxa"/>
          <w:right w:w="28" w:type="dxa"/>
        </w:tblCellMar>
        <w:tblLook w:val="04A0" w:firstRow="1" w:lastRow="0" w:firstColumn="1" w:lastColumn="0" w:noHBand="0" w:noVBand="1"/>
      </w:tblPr>
      <w:tblGrid>
        <w:gridCol w:w="2100"/>
        <w:gridCol w:w="6661"/>
      </w:tblGrid>
      <w:tr w:rsidR="008D0DAB" w:rsidRPr="00027D53" w14:paraId="0EED3E40" w14:textId="77777777" w:rsidTr="009B7B2A">
        <w:tc>
          <w:tcPr>
            <w:tcW w:w="2100" w:type="dxa"/>
            <w:tcBorders>
              <w:top w:val="nil"/>
              <w:left w:val="nil"/>
              <w:bottom w:val="nil"/>
              <w:right w:val="nil"/>
            </w:tcBorders>
            <w:noWrap/>
            <w:vAlign w:val="bottom"/>
            <w:hideMark/>
          </w:tcPr>
          <w:p w14:paraId="2FAA8AC5"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Position</w:t>
            </w:r>
          </w:p>
        </w:tc>
        <w:tc>
          <w:tcPr>
            <w:tcW w:w="6661" w:type="dxa"/>
            <w:tcBorders>
              <w:top w:val="nil"/>
              <w:left w:val="nil"/>
              <w:bottom w:val="nil"/>
              <w:right w:val="nil"/>
            </w:tcBorders>
            <w:noWrap/>
            <w:vAlign w:val="bottom"/>
            <w:hideMark/>
          </w:tcPr>
          <w:p w14:paraId="3C9A8501"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Responsible Person</w:t>
            </w:r>
          </w:p>
        </w:tc>
      </w:tr>
      <w:tr w:rsidR="008D0DAB" w:rsidRPr="00027D53" w14:paraId="23B12E51" w14:textId="77777777" w:rsidTr="009B7B2A">
        <w:tc>
          <w:tcPr>
            <w:tcW w:w="2100" w:type="dxa"/>
            <w:tcBorders>
              <w:top w:val="nil"/>
              <w:left w:val="nil"/>
              <w:bottom w:val="nil"/>
              <w:right w:val="nil"/>
            </w:tcBorders>
            <w:noWrap/>
            <w:hideMark/>
          </w:tcPr>
          <w:p w14:paraId="3E79CA48"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Responsible Minister</w:t>
            </w:r>
          </w:p>
        </w:tc>
        <w:tc>
          <w:tcPr>
            <w:tcW w:w="6661" w:type="dxa"/>
            <w:tcBorders>
              <w:top w:val="nil"/>
              <w:left w:val="nil"/>
              <w:bottom w:val="nil"/>
              <w:right w:val="nil"/>
            </w:tcBorders>
            <w:noWrap/>
            <w:hideMark/>
          </w:tcPr>
          <w:p w14:paraId="61520C5D"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The Hon. Lily D’Ambrosio MP, Minister for the State Electricity Commission </w:t>
            </w:r>
          </w:p>
        </w:tc>
      </w:tr>
      <w:tr w:rsidR="008D0DAB" w:rsidRPr="00027D53" w14:paraId="6F7C4F3E" w14:textId="77777777" w:rsidTr="009B7B2A">
        <w:tc>
          <w:tcPr>
            <w:tcW w:w="2100" w:type="dxa"/>
            <w:tcBorders>
              <w:top w:val="nil"/>
              <w:left w:val="nil"/>
              <w:bottom w:val="nil"/>
              <w:right w:val="nil"/>
            </w:tcBorders>
            <w:noWrap/>
            <w:hideMark/>
          </w:tcPr>
          <w:p w14:paraId="5F4AADCB"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Accountable Officer</w:t>
            </w:r>
          </w:p>
        </w:tc>
        <w:tc>
          <w:tcPr>
            <w:tcW w:w="6661" w:type="dxa"/>
            <w:tcBorders>
              <w:top w:val="nil"/>
              <w:left w:val="nil"/>
              <w:bottom w:val="nil"/>
              <w:right w:val="nil"/>
            </w:tcBorders>
            <w:noWrap/>
            <w:hideMark/>
          </w:tcPr>
          <w:p w14:paraId="4EFA32D1"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Christopher Francis Miller </w:t>
            </w:r>
          </w:p>
        </w:tc>
      </w:tr>
      <w:tr w:rsidR="008D0DAB" w:rsidRPr="00027D53" w14:paraId="683BA6A8" w14:textId="77777777" w:rsidTr="009B7B2A">
        <w:tc>
          <w:tcPr>
            <w:tcW w:w="2100" w:type="dxa"/>
            <w:tcBorders>
              <w:top w:val="nil"/>
              <w:left w:val="nil"/>
              <w:bottom w:val="nil"/>
              <w:right w:val="nil"/>
            </w:tcBorders>
            <w:noWrap/>
            <w:hideMark/>
          </w:tcPr>
          <w:p w14:paraId="0EF8FD21"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Chairperson</w:t>
            </w:r>
          </w:p>
        </w:tc>
        <w:tc>
          <w:tcPr>
            <w:tcW w:w="6661" w:type="dxa"/>
            <w:tcBorders>
              <w:top w:val="nil"/>
              <w:left w:val="nil"/>
              <w:bottom w:val="nil"/>
              <w:right w:val="nil"/>
            </w:tcBorders>
            <w:noWrap/>
            <w:hideMark/>
          </w:tcPr>
          <w:p w14:paraId="01139B5B"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Simon Corbell </w:t>
            </w:r>
          </w:p>
        </w:tc>
      </w:tr>
      <w:tr w:rsidR="008D0DAB" w:rsidRPr="00027D53" w14:paraId="07C5FE89" w14:textId="77777777" w:rsidTr="009B7B2A">
        <w:tc>
          <w:tcPr>
            <w:tcW w:w="2100" w:type="dxa"/>
            <w:tcBorders>
              <w:top w:val="nil"/>
              <w:left w:val="nil"/>
              <w:bottom w:val="nil"/>
              <w:right w:val="nil"/>
            </w:tcBorders>
            <w:noWrap/>
            <w:hideMark/>
          </w:tcPr>
          <w:p w14:paraId="53756880"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Board Members</w:t>
            </w:r>
          </w:p>
        </w:tc>
        <w:tc>
          <w:tcPr>
            <w:tcW w:w="6661" w:type="dxa"/>
            <w:tcBorders>
              <w:top w:val="nil"/>
              <w:left w:val="nil"/>
              <w:bottom w:val="nil"/>
              <w:right w:val="nil"/>
            </w:tcBorders>
            <w:noWrap/>
            <w:vAlign w:val="center"/>
            <w:hideMark/>
          </w:tcPr>
          <w:p w14:paraId="5A36EA43"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Joycelyn Morton</w:t>
            </w:r>
          </w:p>
        </w:tc>
      </w:tr>
      <w:tr w:rsidR="008D0DAB" w:rsidRPr="00027D53" w14:paraId="28AA7C66" w14:textId="77777777" w:rsidTr="009B7B2A">
        <w:tc>
          <w:tcPr>
            <w:tcW w:w="2100" w:type="dxa"/>
            <w:tcBorders>
              <w:top w:val="nil"/>
              <w:left w:val="nil"/>
              <w:bottom w:val="nil"/>
              <w:right w:val="nil"/>
            </w:tcBorders>
            <w:noWrap/>
            <w:vAlign w:val="bottom"/>
            <w:hideMark/>
          </w:tcPr>
          <w:p w14:paraId="51C27A5A" w14:textId="77777777" w:rsidR="008D0DAB" w:rsidRPr="00F65403" w:rsidRDefault="008D0DAB" w:rsidP="009B7B2A">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2CDCAB75"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Damien Barnes</w:t>
            </w:r>
          </w:p>
        </w:tc>
      </w:tr>
      <w:tr w:rsidR="008D0DAB" w:rsidRPr="00027D53" w14:paraId="3869D4F0" w14:textId="77777777" w:rsidTr="009B7B2A">
        <w:tc>
          <w:tcPr>
            <w:tcW w:w="2100" w:type="dxa"/>
            <w:tcBorders>
              <w:top w:val="nil"/>
              <w:left w:val="nil"/>
              <w:bottom w:val="nil"/>
              <w:right w:val="nil"/>
            </w:tcBorders>
            <w:noWrap/>
            <w:vAlign w:val="bottom"/>
            <w:hideMark/>
          </w:tcPr>
          <w:p w14:paraId="2F73272D" w14:textId="77777777" w:rsidR="008D0DAB" w:rsidRPr="00F65403" w:rsidRDefault="008D0DAB" w:rsidP="009B7B2A">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6FB2C62E"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Joanne Benvenuti</w:t>
            </w:r>
          </w:p>
        </w:tc>
      </w:tr>
      <w:tr w:rsidR="008D0DAB" w:rsidRPr="00027D53" w14:paraId="217C736E" w14:textId="77777777" w:rsidTr="009B7B2A">
        <w:tc>
          <w:tcPr>
            <w:tcW w:w="2100" w:type="dxa"/>
            <w:tcBorders>
              <w:top w:val="nil"/>
              <w:left w:val="nil"/>
              <w:bottom w:val="nil"/>
              <w:right w:val="nil"/>
            </w:tcBorders>
            <w:noWrap/>
            <w:vAlign w:val="bottom"/>
            <w:hideMark/>
          </w:tcPr>
          <w:p w14:paraId="4F1AC956" w14:textId="77777777" w:rsidR="008D0DAB" w:rsidRPr="00F65403" w:rsidRDefault="008D0DAB" w:rsidP="009B7B2A">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51AAD364" w14:textId="00111A2D"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Sharan Burrow (appointed 1 October 2024)</w:t>
            </w:r>
          </w:p>
        </w:tc>
      </w:tr>
      <w:tr w:rsidR="008D0DAB" w:rsidRPr="00027D53" w14:paraId="41158B15" w14:textId="77777777" w:rsidTr="009B7B2A">
        <w:tc>
          <w:tcPr>
            <w:tcW w:w="2100" w:type="dxa"/>
            <w:tcBorders>
              <w:top w:val="nil"/>
              <w:left w:val="nil"/>
              <w:bottom w:val="nil"/>
              <w:right w:val="nil"/>
            </w:tcBorders>
            <w:noWrap/>
            <w:vAlign w:val="bottom"/>
            <w:hideMark/>
          </w:tcPr>
          <w:p w14:paraId="3E64FD1B" w14:textId="77777777" w:rsidR="008D0DAB" w:rsidRPr="00F65403" w:rsidRDefault="008D0DAB" w:rsidP="009B7B2A">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434ECCD9"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Cameron Garnsworthy (appointed 1 October 2024)</w:t>
            </w:r>
          </w:p>
        </w:tc>
      </w:tr>
      <w:tr w:rsidR="008D0DAB" w:rsidRPr="00027D53" w14:paraId="617B9D5D" w14:textId="77777777" w:rsidTr="009B7B2A">
        <w:tc>
          <w:tcPr>
            <w:tcW w:w="2100" w:type="dxa"/>
            <w:tcBorders>
              <w:top w:val="nil"/>
              <w:left w:val="nil"/>
              <w:bottom w:val="nil"/>
              <w:right w:val="nil"/>
            </w:tcBorders>
            <w:noWrap/>
            <w:vAlign w:val="bottom"/>
            <w:hideMark/>
          </w:tcPr>
          <w:p w14:paraId="72856DD5" w14:textId="77777777" w:rsidR="008D0DAB" w:rsidRPr="00F65403" w:rsidRDefault="008D0DAB" w:rsidP="009B7B2A">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03D36FFB" w14:textId="77777777" w:rsidR="008D0DAB" w:rsidRPr="00F65403" w:rsidRDefault="008D0DAB" w:rsidP="009B7B2A">
            <w:pPr>
              <w:spacing w:after="0" w:line="240" w:lineRule="auto"/>
              <w:rPr>
                <w:rFonts w:eastAsia="Times New Roman" w:cs="Arial"/>
                <w:sz w:val="20"/>
                <w:szCs w:val="20"/>
                <w:lang w:eastAsia="en-AU"/>
              </w:rPr>
            </w:pPr>
            <w:r w:rsidRPr="00F65403">
              <w:rPr>
                <w:rFonts w:eastAsia="Times New Roman" w:cs="Arial"/>
                <w:sz w:val="20"/>
                <w:szCs w:val="20"/>
                <w:lang w:eastAsia="en-AU"/>
              </w:rPr>
              <w:t>Anna Skarbek</w:t>
            </w:r>
          </w:p>
        </w:tc>
      </w:tr>
    </w:tbl>
    <w:p w14:paraId="5E50E6EE" w14:textId="77777777" w:rsidR="008D0DAB" w:rsidRDefault="008D0DAB" w:rsidP="008D0DAB">
      <w:pPr>
        <w:pStyle w:val="BodyText"/>
        <w:rPr>
          <w:lang w:val="en-AU"/>
        </w:rPr>
      </w:pPr>
    </w:p>
    <w:p w14:paraId="60B812BF" w14:textId="77777777" w:rsidR="008D0DAB" w:rsidRPr="00F65403" w:rsidRDefault="008D0DAB" w:rsidP="008D0DAB">
      <w:pPr>
        <w:pStyle w:val="Heading8"/>
      </w:pPr>
      <w:proofErr w:type="spellStart"/>
      <w:r>
        <w:t>i</w:t>
      </w:r>
      <w:proofErr w:type="spellEnd"/>
      <w:r>
        <w:t>.</w:t>
      </w:r>
      <w:r>
        <w:tab/>
        <w:t>Remuneration of responsible persons</w:t>
      </w:r>
    </w:p>
    <w:p w14:paraId="69F73FAC" w14:textId="7D7EC14A" w:rsidR="008D0DAB" w:rsidRPr="00F65403" w:rsidRDefault="008D0DAB" w:rsidP="008D0DAB">
      <w:pPr>
        <w:pStyle w:val="BodyText"/>
        <w:rPr>
          <w:lang w:val="en-AU"/>
        </w:rPr>
      </w:pPr>
      <w:r w:rsidRPr="76FD273D">
        <w:rPr>
          <w:lang w:val="en-AU"/>
        </w:rPr>
        <w:t>Remuneration received or receivable by each director of the Board in connection with the management of the Company during the reporting period</w:t>
      </w:r>
      <w:r w:rsidRPr="00B91C38">
        <w:t xml:space="preserve"> </w:t>
      </w:r>
      <w:r w:rsidRPr="76FD273D">
        <w:rPr>
          <w:lang w:val="en-AU"/>
        </w:rPr>
        <w:t xml:space="preserve">is </w:t>
      </w:r>
      <w:r w:rsidR="00AA0F31">
        <w:rPr>
          <w:lang w:val="en-AU"/>
        </w:rPr>
        <w:t xml:space="preserve">paid for and </w:t>
      </w:r>
      <w:r w:rsidR="00B91C38" w:rsidRPr="00B91C38">
        <w:rPr>
          <w:lang w:val="en-AU"/>
        </w:rPr>
        <w:t>recorded in the statement of profit or loss of the Group’s ultimate parent, SEC Victoria Pty Ltd.</w:t>
      </w:r>
    </w:p>
    <w:p w14:paraId="0C5BD7CD" w14:textId="1B0BD065" w:rsidR="008D0DAB" w:rsidRPr="00F65403" w:rsidRDefault="0080161C" w:rsidP="00E945C0">
      <w:pPr>
        <w:pStyle w:val="BodyText"/>
      </w:pPr>
      <w:r>
        <w:rPr>
          <w:lang w:val="en-AU"/>
        </w:rPr>
        <w:br/>
      </w:r>
      <w:r w:rsidR="008D0DAB" w:rsidRPr="00E945C0">
        <w:rPr>
          <w:rFonts w:eastAsiaTheme="majorEastAsia" w:cstheme="majorBidi"/>
          <w:b/>
          <w:i/>
          <w:iCs/>
          <w:color w:val="272727" w:themeColor="text1" w:themeTint="D8"/>
        </w:rPr>
        <w:t>ii.</w:t>
      </w:r>
      <w:r w:rsidR="008D0DAB" w:rsidRPr="00E945C0">
        <w:rPr>
          <w:rFonts w:eastAsiaTheme="majorEastAsia" w:cstheme="majorBidi"/>
          <w:b/>
          <w:i/>
          <w:iCs/>
          <w:color w:val="272727" w:themeColor="text1" w:themeTint="D8"/>
        </w:rPr>
        <w:tab/>
        <w:t>Remuneration of Accountable Officer</w:t>
      </w:r>
    </w:p>
    <w:p w14:paraId="255322E1" w14:textId="47750C8C" w:rsidR="00B91C38" w:rsidRPr="00C1358F" w:rsidRDefault="008D0DAB" w:rsidP="00B91C38">
      <w:pPr>
        <w:pStyle w:val="BodyText"/>
        <w:rPr>
          <w:lang w:val="en-AU"/>
        </w:rPr>
      </w:pPr>
      <w:r w:rsidRPr="76FD273D">
        <w:rPr>
          <w:lang w:val="en-AU"/>
        </w:rPr>
        <w:t>The Accountable Officer (CEO) was formally appointed by the Board on 12 August 2024. Prior to this date, remuneration was paid for by the Department of Energy, Environment and Climate Action (DEECA), as an interim Accountable Officer and as such the remuneration costs incurred up to this date are reflected in DEECA’s annual report.</w:t>
      </w:r>
      <w:r w:rsidR="00B91C38" w:rsidRPr="00B91C38">
        <w:rPr>
          <w:lang w:val="en-AU"/>
        </w:rPr>
        <w:t xml:space="preserve"> </w:t>
      </w:r>
      <w:r w:rsidR="00B91C38" w:rsidRPr="00C1358F">
        <w:rPr>
          <w:lang w:val="en-AU"/>
        </w:rPr>
        <w:t xml:space="preserve">The remuneration from 12 August 2024 onwards for the Accountable Officer was </w:t>
      </w:r>
      <w:r w:rsidR="00D42670">
        <w:rPr>
          <w:lang w:val="en-AU"/>
        </w:rPr>
        <w:t xml:space="preserve">paid for and </w:t>
      </w:r>
      <w:r w:rsidR="00B91C38" w:rsidRPr="00C1358F">
        <w:rPr>
          <w:lang w:val="en-AU"/>
        </w:rPr>
        <w:t xml:space="preserve">recorded in the statement of profit or loss of the </w:t>
      </w:r>
      <w:r w:rsidR="00B91C38">
        <w:rPr>
          <w:lang w:val="en-AU"/>
        </w:rPr>
        <w:t>Group</w:t>
      </w:r>
      <w:r w:rsidR="00B91C38" w:rsidRPr="00C1358F">
        <w:rPr>
          <w:lang w:val="en-AU"/>
        </w:rPr>
        <w:t>’s parent, SEC Victoria Pty Ltd.</w:t>
      </w:r>
    </w:p>
    <w:p w14:paraId="169790D4" w14:textId="77777777" w:rsidR="008D0DAB" w:rsidRPr="00F65403" w:rsidRDefault="008D0DAB" w:rsidP="008D0DAB">
      <w:pPr>
        <w:pStyle w:val="BodyText"/>
        <w:rPr>
          <w:sz w:val="24"/>
          <w:szCs w:val="24"/>
          <w:lang w:val="en-AU"/>
        </w:rPr>
      </w:pPr>
    </w:p>
    <w:p w14:paraId="4F9BC98A" w14:textId="77777777" w:rsidR="008D0DAB" w:rsidRPr="00F65403" w:rsidRDefault="008D0DAB" w:rsidP="008D0DAB">
      <w:pPr>
        <w:pStyle w:val="Heading8"/>
      </w:pPr>
      <w:r>
        <w:t>iii.</w:t>
      </w:r>
      <w:r>
        <w:tab/>
        <w:t>Remuneration of responsible Minister</w:t>
      </w:r>
    </w:p>
    <w:p w14:paraId="268F99A3" w14:textId="77777777" w:rsidR="008D0DAB" w:rsidRPr="00F65403" w:rsidRDefault="008D0DAB" w:rsidP="008D0DAB">
      <w:pPr>
        <w:pStyle w:val="BodyText"/>
        <w:rPr>
          <w:lang w:val="en-AU"/>
        </w:rPr>
      </w:pPr>
      <w:r w:rsidRPr="00F65403">
        <w:rPr>
          <w:lang w:val="en-AU"/>
        </w:rPr>
        <w:t xml:space="preserve">The Responsible Minister did not receive any remuneration from the </w:t>
      </w:r>
      <w:r>
        <w:rPr>
          <w:lang w:val="en-AU"/>
        </w:rPr>
        <w:t>Group</w:t>
      </w:r>
      <w:r w:rsidRPr="00F65403">
        <w:rPr>
          <w:lang w:val="en-AU"/>
        </w:rPr>
        <w:t xml:space="preserve">. The Ministers’ remuneration and allowances are set in accordance with the </w:t>
      </w:r>
      <w:r w:rsidRPr="00096EF7">
        <w:rPr>
          <w:i/>
          <w:lang w:val="en-AU"/>
        </w:rPr>
        <w:t>Parliamentary Salaries and Superannuation Act 1968</w:t>
      </w:r>
      <w:r w:rsidRPr="00F65403">
        <w:rPr>
          <w:lang w:val="en-AU"/>
        </w:rPr>
        <w:t xml:space="preserve"> and reported in the State’s Annual Financial Report.</w:t>
      </w:r>
    </w:p>
    <w:p w14:paraId="7DB98BD7" w14:textId="77777777" w:rsidR="008D0DAB" w:rsidRPr="00F65403" w:rsidRDefault="008D0DAB" w:rsidP="008D0DAB">
      <w:pPr>
        <w:pStyle w:val="BodyText"/>
        <w:rPr>
          <w:lang w:val="en-AU"/>
        </w:rPr>
      </w:pPr>
    </w:p>
    <w:p w14:paraId="6EE0F8E6" w14:textId="77777777" w:rsidR="008D0DAB" w:rsidRPr="00F65403" w:rsidRDefault="008D0DAB" w:rsidP="008D0DAB">
      <w:pPr>
        <w:pStyle w:val="Heading7"/>
      </w:pPr>
      <w:r w:rsidRPr="00F65403">
        <w:t>Related parties</w:t>
      </w:r>
    </w:p>
    <w:p w14:paraId="47B976E1" w14:textId="77777777" w:rsidR="008D0DAB" w:rsidRDefault="008D0DAB" w:rsidP="008D0DAB">
      <w:pPr>
        <w:pStyle w:val="BodyText"/>
        <w:rPr>
          <w:lang w:val="en-AU"/>
        </w:rPr>
      </w:pPr>
      <w:r w:rsidRPr="00F65403">
        <w:rPr>
          <w:lang w:val="en-AU"/>
        </w:rPr>
        <w:t xml:space="preserve">The related parties of the </w:t>
      </w:r>
      <w:r>
        <w:rPr>
          <w:lang w:val="en-AU"/>
        </w:rPr>
        <w:t>Group</w:t>
      </w:r>
      <w:r w:rsidRPr="00F65403">
        <w:rPr>
          <w:lang w:val="en-AU"/>
        </w:rPr>
        <w:t xml:space="preserve"> include: </w:t>
      </w:r>
    </w:p>
    <w:p w14:paraId="31128229" w14:textId="77777777" w:rsidR="008D0DAB" w:rsidRPr="00F65403" w:rsidRDefault="008D0DAB" w:rsidP="008D0DAB">
      <w:pPr>
        <w:pStyle w:val="BodyText"/>
        <w:rPr>
          <w:lang w:val="en-AU"/>
        </w:rPr>
      </w:pPr>
    </w:p>
    <w:p w14:paraId="2E18325E" w14:textId="77777777" w:rsidR="008D0DAB" w:rsidRPr="00F65403" w:rsidRDefault="008D0DAB" w:rsidP="008D0DAB">
      <w:pPr>
        <w:pStyle w:val="ListBullet"/>
        <w:rPr>
          <w:lang w:val="en-AU"/>
        </w:rPr>
      </w:pPr>
      <w:r w:rsidRPr="00F65403">
        <w:rPr>
          <w:lang w:val="en-AU"/>
        </w:rPr>
        <w:t xml:space="preserve">all key management personnel and their close family members and personal business interests (controlled entities, joint ventures and entities they have significant influence over) </w:t>
      </w:r>
    </w:p>
    <w:p w14:paraId="715100F5" w14:textId="77777777" w:rsidR="008D0DAB" w:rsidRPr="00F65403" w:rsidRDefault="008D0DAB" w:rsidP="008D0DAB">
      <w:pPr>
        <w:pStyle w:val="ListBullet"/>
        <w:rPr>
          <w:lang w:val="en-AU"/>
        </w:rPr>
      </w:pPr>
      <w:r w:rsidRPr="00F65403">
        <w:rPr>
          <w:lang w:val="en-AU"/>
        </w:rPr>
        <w:t xml:space="preserve">all cabinet ministers and their close family members; and </w:t>
      </w:r>
    </w:p>
    <w:p w14:paraId="4B9EBBC7" w14:textId="77777777" w:rsidR="008D0DAB" w:rsidRPr="00F65403" w:rsidRDefault="008D0DAB" w:rsidP="008D0DAB">
      <w:pPr>
        <w:pStyle w:val="ListBullet"/>
        <w:rPr>
          <w:lang w:val="en-AU"/>
        </w:rPr>
      </w:pPr>
      <w:r w:rsidRPr="00F65403">
        <w:rPr>
          <w:lang w:val="en-AU"/>
        </w:rPr>
        <w:t xml:space="preserve">all departments and public sector entities that are controlled and consolidated into the whole of state consolidated financial statements. </w:t>
      </w:r>
    </w:p>
    <w:p w14:paraId="2396960A" w14:textId="77777777" w:rsidR="008D0DAB" w:rsidRPr="00F65403" w:rsidRDefault="008D0DAB" w:rsidP="008D0DAB">
      <w:pPr>
        <w:pStyle w:val="BodyText"/>
        <w:rPr>
          <w:lang w:val="en-AU"/>
        </w:rPr>
      </w:pPr>
    </w:p>
    <w:p w14:paraId="02BAC411" w14:textId="21930E89" w:rsidR="00240614" w:rsidRDefault="008D0DAB">
      <w:pPr>
        <w:pStyle w:val="BodyText"/>
        <w:rPr>
          <w:lang w:val="en-AU"/>
        </w:rPr>
      </w:pPr>
      <w:r w:rsidRPr="00F65403">
        <w:rPr>
          <w:lang w:val="en-AU"/>
        </w:rPr>
        <w:t xml:space="preserve">For information pertaining to related party transactions of ministers, the register of members’ interests is publicly available from: </w:t>
      </w:r>
      <w:hyperlink r:id="rId19" w:history="1">
        <w:r w:rsidRPr="00CC2A74">
          <w:rPr>
            <w:rStyle w:val="Hyperlink"/>
            <w:lang w:val="en-AU"/>
          </w:rPr>
          <w:t>https://www.parliament.vic.gov.au</w:t>
        </w:r>
      </w:hyperlink>
      <w:r>
        <w:rPr>
          <w:lang w:val="en-AU"/>
        </w:rPr>
        <w:t xml:space="preserve"> within the Tabled documents database</w:t>
      </w:r>
      <w:r w:rsidRPr="00F65403">
        <w:rPr>
          <w:lang w:val="en-AU"/>
        </w:rPr>
        <w:t>.</w:t>
      </w:r>
      <w:r w:rsidR="00E60120">
        <w:rPr>
          <w:lang w:val="en-AU"/>
        </w:rPr>
        <w:br/>
      </w:r>
    </w:p>
    <w:p w14:paraId="21A15BF6" w14:textId="77777777" w:rsidR="00240614" w:rsidRDefault="00240614">
      <w:pPr>
        <w:rPr>
          <w:rFonts w:eastAsia="Arial" w:cs="Arial"/>
          <w:sz w:val="20"/>
          <w:szCs w:val="20"/>
        </w:rPr>
      </w:pPr>
      <w:r>
        <w:br w:type="page"/>
      </w:r>
    </w:p>
    <w:p w14:paraId="5200766C" w14:textId="6CA783B8" w:rsidR="008D0DAB" w:rsidRDefault="008D0DAB" w:rsidP="00AA3AC5">
      <w:pPr>
        <w:pStyle w:val="BodyText"/>
        <w:rPr>
          <w:rFonts w:eastAsiaTheme="majorEastAsia" w:cstheme="majorBidi"/>
          <w:color w:val="272727" w:themeColor="text1" w:themeTint="D8"/>
        </w:rPr>
      </w:pPr>
    </w:p>
    <w:p w14:paraId="76CBFA8E" w14:textId="77777777" w:rsidR="008D0DAB" w:rsidRDefault="008D0DAB" w:rsidP="008D0DAB">
      <w:pPr>
        <w:pStyle w:val="Heading8"/>
        <w:spacing w:after="120"/>
      </w:pPr>
      <w:proofErr w:type="spellStart"/>
      <w:r>
        <w:t>i</w:t>
      </w:r>
      <w:proofErr w:type="spellEnd"/>
      <w:r>
        <w:t>.</w:t>
      </w:r>
      <w:r>
        <w:tab/>
        <w:t>Key management personnel remuneration</w:t>
      </w:r>
    </w:p>
    <w:p w14:paraId="0A580AF5" w14:textId="7B0FE324" w:rsidR="008D0DAB" w:rsidRDefault="008D0DAB" w:rsidP="008D0DAB">
      <w:pPr>
        <w:pStyle w:val="BodyText"/>
      </w:pPr>
      <w:r>
        <w:t xml:space="preserve">Key management personnel are those people who have authority and responsibility for planning, directing and controlling the activities of the Group, directly or indirectly. </w:t>
      </w:r>
      <w:r w:rsidR="00606F94" w:rsidRPr="00606F94">
        <w:t xml:space="preserve">The remuneration, including the superannuation guarantee contribution, received or receivable by key management personnel of the Company was </w:t>
      </w:r>
      <w:r w:rsidR="00AC1A51">
        <w:t xml:space="preserve">paid for and </w:t>
      </w:r>
      <w:r w:rsidR="00606F94" w:rsidRPr="00606F94">
        <w:t>recorded in the statement of profit or loss of the Company’s parent, SEC Victoria Pty Ltd.</w:t>
      </w:r>
    </w:p>
    <w:p w14:paraId="6EA905BC" w14:textId="77777777" w:rsidR="008D0DAB" w:rsidRDefault="008D0DAB" w:rsidP="008D0DAB">
      <w:pPr>
        <w:pStyle w:val="BodyText"/>
      </w:pPr>
    </w:p>
    <w:p w14:paraId="5DA69BFA" w14:textId="77777777" w:rsidR="008D0DAB" w:rsidRPr="00F65403" w:rsidRDefault="008D0DAB" w:rsidP="008D0DAB">
      <w:pPr>
        <w:pStyle w:val="Heading8"/>
      </w:pPr>
      <w:r>
        <w:t>ii.</w:t>
      </w:r>
      <w:r>
        <w:tab/>
        <w:t xml:space="preserve">Transactions and balances with other related parties </w:t>
      </w:r>
    </w:p>
    <w:p w14:paraId="5BBABA8F" w14:textId="77777777" w:rsidR="008D0DAB" w:rsidRPr="00F65403" w:rsidRDefault="008D0DAB" w:rsidP="008D0DAB">
      <w:pPr>
        <w:pStyle w:val="BodyText"/>
        <w:rPr>
          <w:lang w:val="en-AU"/>
        </w:rPr>
      </w:pPr>
      <w:r w:rsidRPr="76FD273D">
        <w:rPr>
          <w:lang w:val="en-AU"/>
        </w:rPr>
        <w:t xml:space="preserve">The Company’s employment policies and procedures have been created to support the application of the Code of Conduct Victorian Public Sector Employees, and employees are required to comply with the public sector values under </w:t>
      </w:r>
      <w:r w:rsidRPr="00C1358F">
        <w:rPr>
          <w:i/>
          <w:iCs/>
          <w:lang w:val="en-AU"/>
        </w:rPr>
        <w:t>Public Administration Act 2004</w:t>
      </w:r>
      <w:r w:rsidRPr="76FD273D">
        <w:rPr>
          <w:lang w:val="en-AU"/>
        </w:rPr>
        <w:t xml:space="preserve"> (Vic). Procurement processes are based on terms and conditions consistent with the Victorian Government Procurement Board requirements.</w:t>
      </w:r>
    </w:p>
    <w:p w14:paraId="2593D9A4" w14:textId="77777777" w:rsidR="008D0DAB" w:rsidRPr="00F65403" w:rsidRDefault="008D0DAB" w:rsidP="008D0DAB">
      <w:pPr>
        <w:pStyle w:val="BodyText"/>
        <w:rPr>
          <w:lang w:val="en-AU"/>
        </w:rPr>
      </w:pPr>
    </w:p>
    <w:p w14:paraId="34112C50" w14:textId="77777777" w:rsidR="008D0DAB" w:rsidRPr="00F65403" w:rsidRDefault="008D0DAB" w:rsidP="008D0DAB">
      <w:pPr>
        <w:pStyle w:val="BodyText"/>
        <w:rPr>
          <w:lang w:val="en-AU"/>
        </w:rPr>
      </w:pPr>
      <w:r w:rsidRPr="00F65403">
        <w:rPr>
          <w:lang w:val="en-AU"/>
        </w:rPr>
        <w:t>Any transactions or issues that involve related parties are dealt with on normal commercial terms and conditions and without reference to the key management personnel concerned. All income and expense transactions exclude GST.</w:t>
      </w:r>
    </w:p>
    <w:p w14:paraId="4BA7B3E0" w14:textId="77777777" w:rsidR="008D0DAB" w:rsidRDefault="008D0DAB" w:rsidP="008D0DAB">
      <w:pPr>
        <w:pStyle w:val="BodyText"/>
        <w:rPr>
          <w:lang w:val="en-AU"/>
        </w:rPr>
      </w:pPr>
    </w:p>
    <w:p w14:paraId="7BAC6732" w14:textId="77777777" w:rsidR="008D0DAB" w:rsidRDefault="008D0DAB" w:rsidP="008D0DAB">
      <w:pPr>
        <w:pStyle w:val="Heading8"/>
      </w:pPr>
      <w:r>
        <w:t>iii.</w:t>
      </w:r>
      <w:r>
        <w:tab/>
        <w:t>Transactions with companies in the SEC Victoria Group</w:t>
      </w:r>
    </w:p>
    <w:p w14:paraId="38270735" w14:textId="71750ACC" w:rsidR="008D0DAB" w:rsidRDefault="008D0DAB" w:rsidP="007E4CD3">
      <w:pPr>
        <w:rPr>
          <w:b/>
          <w:i/>
        </w:rPr>
      </w:pPr>
      <w:r w:rsidRPr="007E4CD3">
        <w:rPr>
          <w:sz w:val="20"/>
          <w:szCs w:val="18"/>
        </w:rPr>
        <w:t xml:space="preserve">The Group’s ultimate parent, SEC Victoria Pty Ltd, paid for </w:t>
      </w:r>
      <w:r w:rsidR="00760528">
        <w:rPr>
          <w:sz w:val="20"/>
          <w:szCs w:val="18"/>
        </w:rPr>
        <w:t xml:space="preserve">the </w:t>
      </w:r>
      <w:r w:rsidRPr="007E4CD3">
        <w:rPr>
          <w:sz w:val="20"/>
          <w:szCs w:val="18"/>
        </w:rPr>
        <w:t>following transactions</w:t>
      </w:r>
      <w:r w:rsidR="00305796">
        <w:rPr>
          <w:sz w:val="20"/>
          <w:szCs w:val="18"/>
        </w:rPr>
        <w:t xml:space="preserve"> on behalf of the Group</w:t>
      </w:r>
      <w:r w:rsidR="00760528">
        <w:rPr>
          <w:sz w:val="20"/>
          <w:szCs w:val="18"/>
        </w:rPr>
        <w:t xml:space="preserve"> </w:t>
      </w:r>
      <w:r w:rsidR="00320E4E">
        <w:rPr>
          <w:sz w:val="20"/>
          <w:szCs w:val="18"/>
        </w:rPr>
        <w:t xml:space="preserve">during the year. Total amounts </w:t>
      </w:r>
      <w:r w:rsidR="00646027">
        <w:rPr>
          <w:sz w:val="20"/>
          <w:szCs w:val="18"/>
        </w:rPr>
        <w:t xml:space="preserve">payable to SEC Victoria Pty Ltd </w:t>
      </w:r>
      <w:r w:rsidR="004F0AB9">
        <w:rPr>
          <w:sz w:val="20"/>
          <w:szCs w:val="18"/>
        </w:rPr>
        <w:t xml:space="preserve">at 30 June 2025 </w:t>
      </w:r>
      <w:r w:rsidR="00646027">
        <w:rPr>
          <w:sz w:val="20"/>
          <w:szCs w:val="18"/>
        </w:rPr>
        <w:t>are</w:t>
      </w:r>
      <w:r w:rsidR="004F0AB9">
        <w:rPr>
          <w:sz w:val="20"/>
          <w:szCs w:val="18"/>
        </w:rPr>
        <w:t xml:space="preserve"> disclosed in note 5. Payables.</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98"/>
        <w:gridCol w:w="1314"/>
        <w:gridCol w:w="1314"/>
      </w:tblGrid>
      <w:tr w:rsidR="008D0DAB" w:rsidRPr="00F65403" w14:paraId="60C06047" w14:textId="77777777" w:rsidTr="009B7B2A">
        <w:tc>
          <w:tcPr>
            <w:tcW w:w="3544" w:type="pct"/>
            <w:tcBorders>
              <w:top w:val="nil"/>
              <w:left w:val="nil"/>
              <w:bottom w:val="nil"/>
              <w:right w:val="nil"/>
            </w:tcBorders>
            <w:noWrap/>
            <w:vAlign w:val="bottom"/>
            <w:hideMark/>
          </w:tcPr>
          <w:p w14:paraId="4C4C40BD" w14:textId="77777777" w:rsidR="008D0DAB" w:rsidRPr="00F65403" w:rsidRDefault="008D0DAB" w:rsidP="009B7B2A">
            <w:pPr>
              <w:spacing w:after="0" w:line="240" w:lineRule="auto"/>
              <w:rPr>
                <w:rFonts w:eastAsia="Times New Roman" w:cs="Arial"/>
                <w:sz w:val="20"/>
                <w:szCs w:val="20"/>
                <w:lang w:eastAsia="en-AU"/>
              </w:rPr>
            </w:pPr>
          </w:p>
        </w:tc>
        <w:tc>
          <w:tcPr>
            <w:tcW w:w="728" w:type="pct"/>
            <w:tcBorders>
              <w:top w:val="nil"/>
              <w:left w:val="nil"/>
              <w:bottom w:val="nil"/>
              <w:right w:val="nil"/>
            </w:tcBorders>
            <w:vAlign w:val="bottom"/>
            <w:hideMark/>
          </w:tcPr>
          <w:p w14:paraId="245C6D40"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28" w:type="pct"/>
            <w:tcBorders>
              <w:top w:val="nil"/>
              <w:left w:val="nil"/>
              <w:bottom w:val="nil"/>
              <w:right w:val="nil"/>
            </w:tcBorders>
            <w:noWrap/>
            <w:vAlign w:val="bottom"/>
            <w:hideMark/>
          </w:tcPr>
          <w:p w14:paraId="08D7FAE2" w14:textId="322C361C" w:rsidR="008D0DAB" w:rsidRPr="00F65403" w:rsidRDefault="008C4543"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26 October</w:t>
            </w:r>
            <w:r w:rsidR="008D0DAB">
              <w:rPr>
                <w:rFonts w:eastAsia="Times New Roman" w:cs="Arial"/>
                <w:b/>
                <w:color w:val="000000"/>
                <w:sz w:val="20"/>
                <w:szCs w:val="20"/>
                <w:lang w:eastAsia="en-AU"/>
              </w:rPr>
              <w:t xml:space="preserve"> 2023 to 30 June 2024</w:t>
            </w:r>
          </w:p>
        </w:tc>
      </w:tr>
      <w:tr w:rsidR="008D0DAB" w:rsidRPr="00F65403" w14:paraId="7E512249" w14:textId="77777777" w:rsidTr="009B7B2A">
        <w:tc>
          <w:tcPr>
            <w:tcW w:w="3544" w:type="pct"/>
            <w:tcBorders>
              <w:top w:val="nil"/>
              <w:left w:val="nil"/>
              <w:bottom w:val="nil"/>
              <w:right w:val="nil"/>
            </w:tcBorders>
            <w:noWrap/>
            <w:vAlign w:val="bottom"/>
            <w:hideMark/>
          </w:tcPr>
          <w:p w14:paraId="4F3A7C21"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28" w:type="pct"/>
            <w:tcBorders>
              <w:top w:val="nil"/>
              <w:left w:val="nil"/>
              <w:bottom w:val="nil"/>
              <w:right w:val="nil"/>
            </w:tcBorders>
            <w:noWrap/>
            <w:vAlign w:val="bottom"/>
            <w:hideMark/>
          </w:tcPr>
          <w:p w14:paraId="11B8CCE4"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8" w:type="pct"/>
            <w:tcBorders>
              <w:top w:val="nil"/>
              <w:left w:val="nil"/>
              <w:bottom w:val="nil"/>
              <w:right w:val="nil"/>
            </w:tcBorders>
            <w:noWrap/>
            <w:vAlign w:val="bottom"/>
            <w:hideMark/>
          </w:tcPr>
          <w:p w14:paraId="79990491" w14:textId="77777777"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8D0DAB" w:rsidRPr="00F65403" w14:paraId="671D7FA4" w14:textId="77777777" w:rsidTr="009B7B2A">
        <w:tc>
          <w:tcPr>
            <w:tcW w:w="3544" w:type="pct"/>
            <w:tcBorders>
              <w:top w:val="nil"/>
              <w:left w:val="nil"/>
              <w:bottom w:val="nil"/>
              <w:right w:val="nil"/>
            </w:tcBorders>
            <w:vAlign w:val="bottom"/>
            <w:hideMark/>
          </w:tcPr>
          <w:p w14:paraId="099D5537"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Investment in the joint venture</w:t>
            </w:r>
          </w:p>
        </w:tc>
        <w:tc>
          <w:tcPr>
            <w:tcW w:w="728" w:type="pct"/>
            <w:tcBorders>
              <w:top w:val="nil"/>
              <w:left w:val="nil"/>
              <w:bottom w:val="nil"/>
              <w:right w:val="nil"/>
            </w:tcBorders>
            <w:vAlign w:val="bottom"/>
            <w:hideMark/>
          </w:tcPr>
          <w:p w14:paraId="73DADAD8"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119,600</w:t>
            </w:r>
          </w:p>
        </w:tc>
        <w:tc>
          <w:tcPr>
            <w:tcW w:w="728" w:type="pct"/>
            <w:tcBorders>
              <w:top w:val="nil"/>
              <w:left w:val="nil"/>
              <w:bottom w:val="nil"/>
              <w:right w:val="nil"/>
            </w:tcBorders>
            <w:vAlign w:val="bottom"/>
            <w:hideMark/>
          </w:tcPr>
          <w:p w14:paraId="2E0A95B1" w14:textId="77777777" w:rsidR="008D0DAB" w:rsidRPr="00F65403" w:rsidRDefault="008D0DAB" w:rsidP="009B7B2A">
            <w:pPr>
              <w:tabs>
                <w:tab w:val="decimal" w:pos="964"/>
              </w:tabs>
              <w:spacing w:after="0" w:line="240" w:lineRule="auto"/>
              <w:rPr>
                <w:rFonts w:eastAsia="Times New Roman" w:cs="Arial"/>
                <w:sz w:val="20"/>
                <w:szCs w:val="20"/>
                <w:lang w:eastAsia="en-AU"/>
              </w:rPr>
            </w:pPr>
            <w:r>
              <w:rPr>
                <w:rFonts w:eastAsia="Times New Roman" w:cs="Arial"/>
                <w:sz w:val="20"/>
                <w:szCs w:val="20"/>
                <w:lang w:eastAsia="en-AU"/>
              </w:rPr>
              <w:t>73,095</w:t>
            </w:r>
          </w:p>
        </w:tc>
      </w:tr>
      <w:tr w:rsidR="008D0DAB" w:rsidRPr="00F65403" w14:paraId="40524594" w14:textId="77777777" w:rsidTr="001513B5">
        <w:tc>
          <w:tcPr>
            <w:tcW w:w="3544" w:type="pct"/>
            <w:tcBorders>
              <w:top w:val="nil"/>
              <w:left w:val="nil"/>
              <w:bottom w:val="nil"/>
              <w:right w:val="nil"/>
            </w:tcBorders>
            <w:vAlign w:val="bottom"/>
          </w:tcPr>
          <w:p w14:paraId="71B69655" w14:textId="77777777" w:rsidR="008D0DAB"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Construction of Renewable Energy Park - Horsham</w:t>
            </w:r>
          </w:p>
        </w:tc>
        <w:tc>
          <w:tcPr>
            <w:tcW w:w="728" w:type="pct"/>
            <w:tcBorders>
              <w:top w:val="nil"/>
              <w:left w:val="nil"/>
              <w:right w:val="nil"/>
            </w:tcBorders>
            <w:noWrap/>
            <w:vAlign w:val="bottom"/>
          </w:tcPr>
          <w:p w14:paraId="04B24055" w14:textId="77777777" w:rsidR="008D0DAB"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63,932</w:t>
            </w:r>
          </w:p>
        </w:tc>
        <w:tc>
          <w:tcPr>
            <w:tcW w:w="728" w:type="pct"/>
            <w:tcBorders>
              <w:top w:val="nil"/>
              <w:left w:val="nil"/>
              <w:right w:val="nil"/>
            </w:tcBorders>
            <w:noWrap/>
            <w:vAlign w:val="bottom"/>
          </w:tcPr>
          <w:p w14:paraId="455A9D53" w14:textId="77777777" w:rsidR="008D0DAB"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8D0DAB" w:rsidRPr="00F65403" w14:paraId="4F37AB04" w14:textId="77777777" w:rsidTr="001513B5">
        <w:tc>
          <w:tcPr>
            <w:tcW w:w="3544" w:type="pct"/>
            <w:tcBorders>
              <w:top w:val="nil"/>
              <w:left w:val="nil"/>
              <w:bottom w:val="nil"/>
              <w:right w:val="nil"/>
            </w:tcBorders>
            <w:vAlign w:val="bottom"/>
            <w:hideMark/>
          </w:tcPr>
          <w:p w14:paraId="2F442319" w14:textId="77777777" w:rsidR="008D0DAB" w:rsidRPr="00F65403" w:rsidRDefault="008D0DAB" w:rsidP="009B7B2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Acquisition of Renewable Energy Park - Horsham</w:t>
            </w:r>
            <w:r w:rsidRPr="00F65403">
              <w:rPr>
                <w:rFonts w:eastAsia="Times New Roman" w:cs="Arial"/>
                <w:color w:val="000000"/>
                <w:sz w:val="20"/>
                <w:szCs w:val="20"/>
                <w:lang w:eastAsia="en-AU"/>
              </w:rPr>
              <w:t xml:space="preserve"> </w:t>
            </w:r>
          </w:p>
        </w:tc>
        <w:tc>
          <w:tcPr>
            <w:tcW w:w="728" w:type="pct"/>
            <w:tcBorders>
              <w:top w:val="nil"/>
              <w:left w:val="nil"/>
              <w:right w:val="nil"/>
            </w:tcBorders>
            <w:noWrap/>
            <w:vAlign w:val="bottom"/>
            <w:hideMark/>
          </w:tcPr>
          <w:p w14:paraId="640331DF" w14:textId="6E1D9BBC"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w:t>
            </w:r>
            <w:r w:rsidR="0039211A">
              <w:rPr>
                <w:rFonts w:eastAsia="Times New Roman" w:cs="Arial"/>
                <w:color w:val="000000"/>
                <w:sz w:val="20"/>
                <w:szCs w:val="20"/>
                <w:lang w:eastAsia="en-AU"/>
              </w:rPr>
              <w:t>749</w:t>
            </w:r>
          </w:p>
        </w:tc>
        <w:tc>
          <w:tcPr>
            <w:tcW w:w="728" w:type="pct"/>
            <w:tcBorders>
              <w:top w:val="nil"/>
              <w:left w:val="nil"/>
              <w:right w:val="nil"/>
            </w:tcBorders>
            <w:noWrap/>
            <w:vAlign w:val="bottom"/>
            <w:hideMark/>
          </w:tcPr>
          <w:p w14:paraId="699D3644"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39211A" w:rsidRPr="00F65403" w14:paraId="47EAA9B0" w14:textId="77777777" w:rsidTr="001513B5">
        <w:tc>
          <w:tcPr>
            <w:tcW w:w="3544" w:type="pct"/>
            <w:tcBorders>
              <w:top w:val="nil"/>
              <w:left w:val="nil"/>
              <w:bottom w:val="nil"/>
              <w:right w:val="nil"/>
            </w:tcBorders>
            <w:noWrap/>
            <w:vAlign w:val="bottom"/>
          </w:tcPr>
          <w:p w14:paraId="19ADF178" w14:textId="59976415" w:rsidR="0039211A" w:rsidRPr="001513B5" w:rsidRDefault="009A4EFC" w:rsidP="009B7B2A">
            <w:pPr>
              <w:spacing w:after="0" w:line="240" w:lineRule="auto"/>
              <w:rPr>
                <w:rFonts w:eastAsia="Times New Roman" w:cs="Arial"/>
                <w:bCs/>
                <w:color w:val="000000"/>
                <w:sz w:val="20"/>
                <w:szCs w:val="20"/>
                <w:lang w:eastAsia="en-AU"/>
              </w:rPr>
            </w:pPr>
            <w:r w:rsidRPr="001513B5">
              <w:rPr>
                <w:rFonts w:eastAsia="Times New Roman" w:cs="Arial"/>
                <w:bCs/>
                <w:color w:val="000000"/>
                <w:sz w:val="20"/>
                <w:szCs w:val="20"/>
                <w:lang w:eastAsia="en-AU"/>
              </w:rPr>
              <w:t>Operating expenditure</w:t>
            </w:r>
          </w:p>
        </w:tc>
        <w:tc>
          <w:tcPr>
            <w:tcW w:w="728" w:type="pct"/>
            <w:tcBorders>
              <w:left w:val="nil"/>
              <w:bottom w:val="single" w:sz="4" w:space="0" w:color="auto"/>
              <w:right w:val="nil"/>
            </w:tcBorders>
            <w:noWrap/>
            <w:vAlign w:val="bottom"/>
          </w:tcPr>
          <w:p w14:paraId="41154AAE" w14:textId="59386B29" w:rsidR="0039211A" w:rsidRPr="001513B5" w:rsidRDefault="009A4EFC" w:rsidP="009B7B2A">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3</w:t>
            </w:r>
            <w:r w:rsidR="00037711">
              <w:rPr>
                <w:rFonts w:eastAsia="Times New Roman" w:cs="Arial"/>
                <w:bCs/>
                <w:color w:val="000000"/>
                <w:sz w:val="20"/>
                <w:szCs w:val="20"/>
                <w:lang w:eastAsia="en-AU"/>
              </w:rPr>
              <w:t>1</w:t>
            </w:r>
          </w:p>
        </w:tc>
        <w:tc>
          <w:tcPr>
            <w:tcW w:w="728" w:type="pct"/>
            <w:tcBorders>
              <w:left w:val="nil"/>
              <w:bottom w:val="single" w:sz="4" w:space="0" w:color="auto"/>
              <w:right w:val="nil"/>
            </w:tcBorders>
            <w:noWrap/>
            <w:vAlign w:val="bottom"/>
          </w:tcPr>
          <w:p w14:paraId="68DED6FD" w14:textId="372543D7" w:rsidR="0039211A" w:rsidRPr="001513B5" w:rsidRDefault="00760528" w:rsidP="009B7B2A">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w:t>
            </w:r>
          </w:p>
        </w:tc>
      </w:tr>
      <w:tr w:rsidR="008D0DAB" w:rsidRPr="00F65403" w14:paraId="6B30985A" w14:textId="77777777" w:rsidTr="001513B5">
        <w:tc>
          <w:tcPr>
            <w:tcW w:w="3544" w:type="pct"/>
            <w:tcBorders>
              <w:top w:val="nil"/>
              <w:left w:val="nil"/>
              <w:bottom w:val="nil"/>
              <w:right w:val="nil"/>
            </w:tcBorders>
            <w:noWrap/>
            <w:vAlign w:val="bottom"/>
            <w:hideMark/>
          </w:tcPr>
          <w:p w14:paraId="25A889E7"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28" w:type="pct"/>
            <w:tcBorders>
              <w:top w:val="single" w:sz="4" w:space="0" w:color="auto"/>
              <w:left w:val="nil"/>
              <w:bottom w:val="single" w:sz="4" w:space="0" w:color="auto"/>
              <w:right w:val="nil"/>
            </w:tcBorders>
            <w:noWrap/>
            <w:vAlign w:val="bottom"/>
            <w:hideMark/>
          </w:tcPr>
          <w:p w14:paraId="4DBF2767" w14:textId="00EC5FC8" w:rsidR="008D0DAB" w:rsidRPr="00F65403" w:rsidRDefault="00037711"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189,312</w:t>
            </w:r>
          </w:p>
        </w:tc>
        <w:tc>
          <w:tcPr>
            <w:tcW w:w="728" w:type="pct"/>
            <w:tcBorders>
              <w:top w:val="single" w:sz="4" w:space="0" w:color="auto"/>
              <w:left w:val="nil"/>
              <w:bottom w:val="single" w:sz="4" w:space="0" w:color="auto"/>
              <w:right w:val="nil"/>
            </w:tcBorders>
            <w:noWrap/>
            <w:vAlign w:val="bottom"/>
            <w:hideMark/>
          </w:tcPr>
          <w:p w14:paraId="39577502" w14:textId="77777777"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73,095</w:t>
            </w:r>
          </w:p>
        </w:tc>
      </w:tr>
    </w:tbl>
    <w:p w14:paraId="4251B19A" w14:textId="72B83FBB" w:rsidR="00E60120" w:rsidRDefault="00E60120" w:rsidP="008D0DAB">
      <w:pPr>
        <w:pStyle w:val="BodyText"/>
        <w:rPr>
          <w:lang w:val="en-AU"/>
        </w:rPr>
      </w:pPr>
    </w:p>
    <w:p w14:paraId="531732FE" w14:textId="77777777" w:rsidR="008D0DAB" w:rsidRPr="00F65403" w:rsidRDefault="008D0DAB" w:rsidP="008D0DAB">
      <w:pPr>
        <w:pStyle w:val="Heading7"/>
      </w:pPr>
      <w:r w:rsidRPr="00F65403">
        <w:t>Auditors’ remuneration</w:t>
      </w:r>
    </w:p>
    <w:p w14:paraId="3C0C1024" w14:textId="77777777" w:rsidR="008D0DAB" w:rsidRPr="00F65403" w:rsidRDefault="008D0DAB" w:rsidP="008D0DAB">
      <w:pPr>
        <w:pStyle w:val="BodyText"/>
        <w:rPr>
          <w:lang w:val="en-AU"/>
        </w:rPr>
      </w:pPr>
      <w:r w:rsidRPr="00F65403">
        <w:rPr>
          <w:lang w:val="en-AU"/>
        </w:rPr>
        <w:t>During the year, the following fees were paid or payable for services provided by the auditor of the parent entity:</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98"/>
        <w:gridCol w:w="1314"/>
        <w:gridCol w:w="1314"/>
      </w:tblGrid>
      <w:tr w:rsidR="008D0DAB" w:rsidRPr="0073009A" w14:paraId="6D1BCED0" w14:textId="77777777" w:rsidTr="009B7B2A">
        <w:tc>
          <w:tcPr>
            <w:tcW w:w="3544" w:type="pct"/>
            <w:tcBorders>
              <w:top w:val="nil"/>
              <w:left w:val="nil"/>
              <w:bottom w:val="nil"/>
              <w:right w:val="nil"/>
            </w:tcBorders>
            <w:noWrap/>
            <w:vAlign w:val="bottom"/>
            <w:hideMark/>
          </w:tcPr>
          <w:p w14:paraId="35D41510" w14:textId="77777777" w:rsidR="008D0DAB" w:rsidRPr="00F65403" w:rsidRDefault="008D0DAB" w:rsidP="009B7B2A">
            <w:pPr>
              <w:spacing w:after="0" w:line="240" w:lineRule="auto"/>
              <w:rPr>
                <w:rFonts w:eastAsia="Times New Roman" w:cs="Arial"/>
                <w:sz w:val="20"/>
                <w:szCs w:val="20"/>
                <w:lang w:eastAsia="en-AU"/>
              </w:rPr>
            </w:pPr>
          </w:p>
        </w:tc>
        <w:tc>
          <w:tcPr>
            <w:tcW w:w="728" w:type="pct"/>
            <w:tcBorders>
              <w:top w:val="nil"/>
              <w:left w:val="nil"/>
              <w:bottom w:val="nil"/>
              <w:right w:val="nil"/>
            </w:tcBorders>
            <w:vAlign w:val="bottom"/>
            <w:hideMark/>
          </w:tcPr>
          <w:p w14:paraId="2438D471" w14:textId="77777777" w:rsidR="008D0DAB" w:rsidRPr="00F65403" w:rsidRDefault="008D0DAB"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28" w:type="pct"/>
            <w:tcBorders>
              <w:top w:val="nil"/>
              <w:left w:val="nil"/>
              <w:bottom w:val="nil"/>
              <w:right w:val="nil"/>
            </w:tcBorders>
            <w:noWrap/>
            <w:vAlign w:val="bottom"/>
            <w:hideMark/>
          </w:tcPr>
          <w:p w14:paraId="333AAD6C" w14:textId="7546AFEB" w:rsidR="008D0DAB" w:rsidRPr="00F65403" w:rsidRDefault="008C4543" w:rsidP="009B7B2A">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26 October</w:t>
            </w:r>
            <w:r w:rsidR="008D0DAB">
              <w:rPr>
                <w:rFonts w:eastAsia="Times New Roman" w:cs="Arial"/>
                <w:b/>
                <w:color w:val="000000"/>
                <w:sz w:val="20"/>
                <w:szCs w:val="20"/>
                <w:lang w:eastAsia="en-AU"/>
              </w:rPr>
              <w:t xml:space="preserve"> 2023 to 30 June 2024</w:t>
            </w:r>
          </w:p>
        </w:tc>
      </w:tr>
      <w:tr w:rsidR="008D0DAB" w:rsidRPr="0073009A" w14:paraId="46BBB945" w14:textId="77777777" w:rsidTr="009B7B2A">
        <w:tc>
          <w:tcPr>
            <w:tcW w:w="3544" w:type="pct"/>
            <w:tcBorders>
              <w:top w:val="nil"/>
              <w:left w:val="nil"/>
              <w:bottom w:val="nil"/>
              <w:right w:val="nil"/>
            </w:tcBorders>
            <w:noWrap/>
            <w:vAlign w:val="bottom"/>
            <w:hideMark/>
          </w:tcPr>
          <w:p w14:paraId="5EDA05CF" w14:textId="77777777" w:rsidR="008D0DAB" w:rsidRPr="00F65403" w:rsidRDefault="008D0DAB" w:rsidP="009B7B2A">
            <w:pPr>
              <w:spacing w:after="0" w:line="240" w:lineRule="auto"/>
              <w:jc w:val="right"/>
              <w:rPr>
                <w:rFonts w:eastAsia="Times New Roman" w:cs="Arial"/>
                <w:b/>
                <w:color w:val="000000"/>
                <w:sz w:val="20"/>
                <w:szCs w:val="20"/>
                <w:lang w:eastAsia="en-AU"/>
              </w:rPr>
            </w:pPr>
          </w:p>
        </w:tc>
        <w:tc>
          <w:tcPr>
            <w:tcW w:w="728" w:type="pct"/>
            <w:tcBorders>
              <w:top w:val="nil"/>
              <w:left w:val="nil"/>
              <w:bottom w:val="nil"/>
              <w:right w:val="nil"/>
            </w:tcBorders>
            <w:noWrap/>
            <w:vAlign w:val="bottom"/>
            <w:hideMark/>
          </w:tcPr>
          <w:p w14:paraId="6D1DC6F7" w14:textId="07231F1A"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28" w:type="pct"/>
            <w:tcBorders>
              <w:top w:val="nil"/>
              <w:left w:val="nil"/>
              <w:bottom w:val="nil"/>
              <w:right w:val="nil"/>
            </w:tcBorders>
            <w:noWrap/>
            <w:vAlign w:val="bottom"/>
            <w:hideMark/>
          </w:tcPr>
          <w:p w14:paraId="2A66D9BC" w14:textId="696CD8B3" w:rsidR="008D0DAB" w:rsidRPr="00F65403" w:rsidRDefault="008D0DAB" w:rsidP="009B7B2A">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r>
      <w:tr w:rsidR="008D0DAB" w:rsidRPr="0073009A" w14:paraId="7EC1087C" w14:textId="77777777" w:rsidTr="009B7B2A">
        <w:tc>
          <w:tcPr>
            <w:tcW w:w="3544" w:type="pct"/>
            <w:tcBorders>
              <w:top w:val="nil"/>
              <w:left w:val="nil"/>
              <w:bottom w:val="nil"/>
              <w:right w:val="nil"/>
            </w:tcBorders>
            <w:vAlign w:val="bottom"/>
            <w:hideMark/>
          </w:tcPr>
          <w:p w14:paraId="2ABF59D8" w14:textId="77777777" w:rsidR="008D0DAB" w:rsidRPr="00F65403" w:rsidRDefault="008D0DAB" w:rsidP="009B7B2A">
            <w:pPr>
              <w:spacing w:after="0" w:line="240" w:lineRule="auto"/>
              <w:rPr>
                <w:rFonts w:eastAsia="Times New Roman" w:cs="Arial"/>
                <w:color w:val="000000"/>
                <w:sz w:val="20"/>
                <w:szCs w:val="20"/>
                <w:lang w:eastAsia="en-AU"/>
              </w:rPr>
            </w:pPr>
          </w:p>
        </w:tc>
        <w:tc>
          <w:tcPr>
            <w:tcW w:w="728" w:type="pct"/>
            <w:tcBorders>
              <w:top w:val="nil"/>
              <w:left w:val="nil"/>
              <w:bottom w:val="nil"/>
              <w:right w:val="nil"/>
            </w:tcBorders>
            <w:vAlign w:val="bottom"/>
            <w:hideMark/>
          </w:tcPr>
          <w:p w14:paraId="09E67BC7" w14:textId="77777777" w:rsidR="008D0DAB" w:rsidRPr="00F65403" w:rsidRDefault="008D0DAB" w:rsidP="009B7B2A">
            <w:pPr>
              <w:tabs>
                <w:tab w:val="decimal" w:pos="964"/>
              </w:tabs>
              <w:spacing w:after="0" w:line="240" w:lineRule="auto"/>
              <w:rPr>
                <w:rFonts w:eastAsia="Times New Roman" w:cs="Arial"/>
                <w:color w:val="000000"/>
                <w:sz w:val="20"/>
                <w:szCs w:val="20"/>
                <w:lang w:eastAsia="en-AU"/>
              </w:rPr>
            </w:pPr>
          </w:p>
        </w:tc>
        <w:tc>
          <w:tcPr>
            <w:tcW w:w="728" w:type="pct"/>
            <w:tcBorders>
              <w:top w:val="nil"/>
              <w:left w:val="nil"/>
              <w:bottom w:val="nil"/>
              <w:right w:val="nil"/>
            </w:tcBorders>
            <w:vAlign w:val="bottom"/>
            <w:hideMark/>
          </w:tcPr>
          <w:p w14:paraId="6A273FA2" w14:textId="77777777" w:rsidR="008D0DAB" w:rsidRPr="00F65403" w:rsidRDefault="008D0DAB" w:rsidP="009B7B2A">
            <w:pPr>
              <w:tabs>
                <w:tab w:val="decimal" w:pos="964"/>
              </w:tabs>
              <w:spacing w:after="0" w:line="240" w:lineRule="auto"/>
              <w:rPr>
                <w:rFonts w:eastAsia="Times New Roman" w:cs="Arial"/>
                <w:sz w:val="20"/>
                <w:szCs w:val="20"/>
                <w:lang w:eastAsia="en-AU"/>
              </w:rPr>
            </w:pPr>
          </w:p>
        </w:tc>
      </w:tr>
      <w:tr w:rsidR="008D0DAB" w:rsidRPr="0073009A" w14:paraId="2FC7349A" w14:textId="77777777" w:rsidTr="009B7B2A">
        <w:tc>
          <w:tcPr>
            <w:tcW w:w="3544" w:type="pct"/>
            <w:tcBorders>
              <w:top w:val="nil"/>
              <w:left w:val="nil"/>
              <w:bottom w:val="nil"/>
              <w:right w:val="nil"/>
            </w:tcBorders>
            <w:vAlign w:val="bottom"/>
            <w:hideMark/>
          </w:tcPr>
          <w:p w14:paraId="4E6F66B2" w14:textId="77777777" w:rsidR="008D0DAB" w:rsidRPr="00F65403" w:rsidRDefault="008D0DAB" w:rsidP="009B7B2A">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Auditing the statutory financial report of the Group </w:t>
            </w:r>
          </w:p>
        </w:tc>
        <w:tc>
          <w:tcPr>
            <w:tcW w:w="728" w:type="pct"/>
            <w:tcBorders>
              <w:top w:val="nil"/>
              <w:left w:val="nil"/>
              <w:bottom w:val="nil"/>
              <w:right w:val="nil"/>
            </w:tcBorders>
            <w:noWrap/>
            <w:vAlign w:val="bottom"/>
            <w:hideMark/>
          </w:tcPr>
          <w:p w14:paraId="22C39900" w14:textId="60183856"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32</w:t>
            </w:r>
            <w:r w:rsidR="00045420">
              <w:rPr>
                <w:rFonts w:eastAsia="Times New Roman" w:cs="Arial"/>
                <w:color w:val="000000"/>
                <w:sz w:val="20"/>
                <w:szCs w:val="20"/>
                <w:lang w:eastAsia="en-AU"/>
              </w:rPr>
              <w:t>,000</w:t>
            </w:r>
          </w:p>
        </w:tc>
        <w:tc>
          <w:tcPr>
            <w:tcW w:w="728" w:type="pct"/>
            <w:tcBorders>
              <w:top w:val="nil"/>
              <w:left w:val="nil"/>
              <w:bottom w:val="nil"/>
              <w:right w:val="nil"/>
            </w:tcBorders>
            <w:noWrap/>
            <w:vAlign w:val="bottom"/>
            <w:hideMark/>
          </w:tcPr>
          <w:p w14:paraId="44D162C7" w14:textId="2C3DE48E" w:rsidR="008D0DAB" w:rsidRPr="00F65403" w:rsidRDefault="008D0DAB" w:rsidP="009B7B2A">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r w:rsidR="00045420">
              <w:rPr>
                <w:rFonts w:eastAsia="Times New Roman" w:cs="Arial"/>
                <w:color w:val="000000"/>
                <w:sz w:val="20"/>
                <w:szCs w:val="20"/>
                <w:lang w:eastAsia="en-AU"/>
              </w:rPr>
              <w:t>,000</w:t>
            </w:r>
          </w:p>
        </w:tc>
      </w:tr>
      <w:tr w:rsidR="008D0DAB" w:rsidRPr="0073009A" w14:paraId="4577621C" w14:textId="77777777" w:rsidTr="009B7B2A">
        <w:tc>
          <w:tcPr>
            <w:tcW w:w="3544" w:type="pct"/>
            <w:tcBorders>
              <w:top w:val="nil"/>
              <w:left w:val="nil"/>
              <w:bottom w:val="nil"/>
              <w:right w:val="nil"/>
            </w:tcBorders>
            <w:noWrap/>
            <w:vAlign w:val="bottom"/>
            <w:hideMark/>
          </w:tcPr>
          <w:p w14:paraId="0839B64A" w14:textId="77777777" w:rsidR="008D0DAB" w:rsidRPr="00F65403" w:rsidRDefault="008D0DAB" w:rsidP="009B7B2A">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28" w:type="pct"/>
            <w:tcBorders>
              <w:top w:val="single" w:sz="4" w:space="0" w:color="auto"/>
              <w:left w:val="nil"/>
              <w:bottom w:val="single" w:sz="4" w:space="0" w:color="auto"/>
              <w:right w:val="nil"/>
            </w:tcBorders>
            <w:noWrap/>
            <w:vAlign w:val="bottom"/>
            <w:hideMark/>
          </w:tcPr>
          <w:p w14:paraId="2912ED28" w14:textId="147C1956"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32</w:t>
            </w:r>
            <w:r w:rsidR="00045420">
              <w:rPr>
                <w:rFonts w:eastAsia="Times New Roman" w:cs="Arial"/>
                <w:b/>
                <w:color w:val="000000"/>
                <w:sz w:val="20"/>
                <w:szCs w:val="20"/>
                <w:lang w:eastAsia="en-AU"/>
              </w:rPr>
              <w:t>,000</w:t>
            </w:r>
          </w:p>
        </w:tc>
        <w:tc>
          <w:tcPr>
            <w:tcW w:w="728" w:type="pct"/>
            <w:tcBorders>
              <w:top w:val="single" w:sz="4" w:space="0" w:color="auto"/>
              <w:left w:val="nil"/>
              <w:bottom w:val="single" w:sz="4" w:space="0" w:color="auto"/>
              <w:right w:val="nil"/>
            </w:tcBorders>
            <w:noWrap/>
            <w:vAlign w:val="bottom"/>
            <w:hideMark/>
          </w:tcPr>
          <w:p w14:paraId="5620DAD1" w14:textId="2F7B343D" w:rsidR="008D0DAB" w:rsidRPr="00F65403" w:rsidRDefault="008D0DAB" w:rsidP="009B7B2A">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30</w:t>
            </w:r>
            <w:r w:rsidR="00045420">
              <w:rPr>
                <w:rFonts w:eastAsia="Times New Roman" w:cs="Arial"/>
                <w:b/>
                <w:color w:val="000000"/>
                <w:sz w:val="20"/>
                <w:szCs w:val="20"/>
                <w:lang w:eastAsia="en-AU"/>
              </w:rPr>
              <w:t>,000</w:t>
            </w:r>
          </w:p>
        </w:tc>
      </w:tr>
    </w:tbl>
    <w:p w14:paraId="0FFBB261" w14:textId="77777777" w:rsidR="008D0DAB" w:rsidRPr="00F65403" w:rsidRDefault="008D0DAB" w:rsidP="008D0DAB">
      <w:pPr>
        <w:pStyle w:val="BodyText"/>
        <w:rPr>
          <w:lang w:val="en-AU"/>
        </w:rPr>
      </w:pPr>
    </w:p>
    <w:p w14:paraId="45F6DD6C" w14:textId="77777777" w:rsidR="008D0DAB" w:rsidRPr="00F65403" w:rsidRDefault="008D0DAB" w:rsidP="008D0DAB">
      <w:pPr>
        <w:pStyle w:val="BodyText"/>
        <w:rPr>
          <w:lang w:val="en-AU"/>
        </w:rPr>
      </w:pPr>
      <w:r w:rsidRPr="00F65403">
        <w:rPr>
          <w:lang w:val="en-AU"/>
        </w:rPr>
        <w:br w:type="page"/>
      </w:r>
    </w:p>
    <w:p w14:paraId="2A995C31" w14:textId="77777777" w:rsidR="008D0DAB" w:rsidRPr="00B94E93" w:rsidRDefault="008D0DAB" w:rsidP="00B254AC">
      <w:pPr>
        <w:pStyle w:val="Heading1"/>
      </w:pPr>
      <w:bookmarkStart w:id="561" w:name="_Toc209080416"/>
      <w:bookmarkStart w:id="562" w:name="_Toc209703986"/>
      <w:bookmarkStart w:id="563" w:name="_Toc209704039"/>
      <w:bookmarkStart w:id="564" w:name="_Toc209704092"/>
      <w:r>
        <w:t>Directors’ declaration</w:t>
      </w:r>
      <w:bookmarkEnd w:id="561"/>
      <w:bookmarkEnd w:id="562"/>
      <w:bookmarkEnd w:id="563"/>
      <w:bookmarkEnd w:id="564"/>
      <w:r>
        <w:t xml:space="preserve"> </w:t>
      </w:r>
    </w:p>
    <w:p w14:paraId="5872831D" w14:textId="77777777" w:rsidR="008D0DAB" w:rsidRDefault="008D0DAB" w:rsidP="008D0DAB">
      <w:pPr>
        <w:jc w:val="center"/>
      </w:pPr>
    </w:p>
    <w:p w14:paraId="3C1CDC08" w14:textId="2BFCFA81" w:rsidR="008D0DAB" w:rsidRDefault="008D0DAB" w:rsidP="008D0DAB">
      <w:r>
        <w:t xml:space="preserve">In the </w:t>
      </w:r>
      <w:r w:rsidR="4AB3A30D">
        <w:t>D</w:t>
      </w:r>
      <w:r>
        <w:t xml:space="preserve">irectors’ opinion: </w:t>
      </w:r>
    </w:p>
    <w:p w14:paraId="3A31F958" w14:textId="7196B065" w:rsidR="008D0DAB" w:rsidRDefault="008D0DAB" w:rsidP="008D0DAB">
      <w:r>
        <w:t xml:space="preserve">1. The financial statements and notes </w:t>
      </w:r>
      <w:r w:rsidR="001B5F09">
        <w:t xml:space="preserve">of SEC Infrastructure Pty Ltd and its controlled entities </w:t>
      </w:r>
      <w:r>
        <w:t xml:space="preserve">are in accordance with the </w:t>
      </w:r>
      <w:r w:rsidRPr="00920CA6">
        <w:rPr>
          <w:i/>
          <w:iCs/>
        </w:rPr>
        <w:t>Corporations Act 2001</w:t>
      </w:r>
      <w:r>
        <w:t>, including:</w:t>
      </w:r>
    </w:p>
    <w:p w14:paraId="2A378807" w14:textId="6706F3C7" w:rsidR="008D0DAB" w:rsidRDefault="008D0DAB" w:rsidP="008D0DAB">
      <w:r>
        <w:t>a. giving a true and fair view of the consolidated entity’s financial position as at 30 June 2025 and of its performance for the year then ended</w:t>
      </w:r>
    </w:p>
    <w:p w14:paraId="2F6A2CF7" w14:textId="5F9C7BB5" w:rsidR="008D0DAB" w:rsidRDefault="008D0DAB" w:rsidP="008D0DAB">
      <w:r>
        <w:t xml:space="preserve">b. complying with the Australian Accounting Standards (including the Australian Standards of Interpretations), the </w:t>
      </w:r>
      <w:r w:rsidRPr="6659D88E">
        <w:rPr>
          <w:i/>
          <w:iCs/>
        </w:rPr>
        <w:t>Corporations Regulations 2001</w:t>
      </w:r>
      <w:r>
        <w:t xml:space="preserve"> and other mandatory professional reporting requirements.</w:t>
      </w:r>
    </w:p>
    <w:p w14:paraId="174BD0F5" w14:textId="1A91EE82" w:rsidR="008D0DAB" w:rsidRDefault="008D0DAB" w:rsidP="008D0DAB">
      <w:r>
        <w:t>2. There are reasonable grounds to believe that the Company will be able to pay its debts as and when they become due and payable.</w:t>
      </w:r>
    </w:p>
    <w:p w14:paraId="529BF695" w14:textId="77777777" w:rsidR="008D0DAB" w:rsidRDefault="008D0DAB" w:rsidP="008D0DAB">
      <w:r>
        <w:t>3. At the time of signing, we are not aware of any circumstance which would make any particulars included in the annual financial report misleading or inaccurate.</w:t>
      </w:r>
    </w:p>
    <w:p w14:paraId="444F9915" w14:textId="77777777" w:rsidR="008D0DAB" w:rsidRDefault="008D0DAB" w:rsidP="008D0DAB">
      <w:r>
        <w:t xml:space="preserve">Signed in accordance with a resolution of directors made pursuant to section 295(5)(a) of the </w:t>
      </w:r>
      <w:r w:rsidRPr="00BD07C1">
        <w:rPr>
          <w:i/>
          <w:iCs/>
        </w:rPr>
        <w:t>Corporations Act 2001</w:t>
      </w:r>
      <w:r>
        <w:t xml:space="preserve">. </w:t>
      </w:r>
    </w:p>
    <w:p w14:paraId="3CB08422" w14:textId="77777777" w:rsidR="008D0DAB" w:rsidRDefault="008D0DAB" w:rsidP="008D0DAB"/>
    <w:p w14:paraId="5AC9ED75" w14:textId="77777777" w:rsidR="008D0DAB" w:rsidRDefault="008D0DAB" w:rsidP="008D0DAB"/>
    <w:p w14:paraId="0FA78AEE" w14:textId="77777777" w:rsidR="008D0DAB" w:rsidRDefault="008D0DAB" w:rsidP="008D0DAB">
      <w:r>
        <w:t>Simon Corbell</w:t>
      </w:r>
    </w:p>
    <w:p w14:paraId="298995BE" w14:textId="77777777" w:rsidR="008D0DAB" w:rsidRDefault="008D0DAB" w:rsidP="008D0DAB">
      <w:r>
        <w:t>Chair, SEC</w:t>
      </w:r>
    </w:p>
    <w:p w14:paraId="1E42663A" w14:textId="754A4030" w:rsidR="008D0DAB" w:rsidRDefault="00C67980" w:rsidP="008D0DAB">
      <w:r w:rsidRPr="00AA3AC5">
        <w:t xml:space="preserve">6 </w:t>
      </w:r>
      <w:r w:rsidR="008D0DAB" w:rsidRPr="00AA3AC5">
        <w:t>October 2025</w:t>
      </w:r>
    </w:p>
    <w:p w14:paraId="74588E7E" w14:textId="77777777" w:rsidR="008D0DAB" w:rsidRPr="00F65403" w:rsidRDefault="008D0DAB" w:rsidP="008D0DAB">
      <w:pPr>
        <w:rPr>
          <w:rFonts w:eastAsia="Arial" w:cs="Arial"/>
          <w:color w:val="39004E"/>
          <w:w w:val="105"/>
          <w:szCs w:val="24"/>
        </w:rPr>
      </w:pPr>
      <w:r>
        <w:br w:type="page"/>
      </w:r>
    </w:p>
    <w:p w14:paraId="045F664C" w14:textId="282FAFDE" w:rsidR="008D0DAB" w:rsidRDefault="008D0DAB" w:rsidP="00B254AC">
      <w:pPr>
        <w:pStyle w:val="Heading1"/>
        <w:rPr>
          <w:sz w:val="24"/>
          <w:szCs w:val="24"/>
        </w:rPr>
      </w:pPr>
      <w:bookmarkStart w:id="565" w:name="_Ref208418790"/>
      <w:bookmarkStart w:id="566" w:name="_Ref208418796"/>
      <w:bookmarkStart w:id="567" w:name="_Ref208418801"/>
      <w:bookmarkStart w:id="568" w:name="_Toc209080417"/>
      <w:bookmarkStart w:id="569" w:name="_Toc209703987"/>
      <w:bookmarkStart w:id="570" w:name="_Toc209704040"/>
      <w:bookmarkStart w:id="571" w:name="_Toc209704093"/>
      <w:r w:rsidRPr="701665F7">
        <w:t xml:space="preserve">Declaration by </w:t>
      </w:r>
      <w:r w:rsidR="001F1BF5">
        <w:t>Board Chair</w:t>
      </w:r>
      <w:r w:rsidRPr="701665F7">
        <w:t>, Chief Executive Officer and Chief Financial Officer</w:t>
      </w:r>
      <w:bookmarkEnd w:id="565"/>
      <w:bookmarkEnd w:id="566"/>
      <w:bookmarkEnd w:id="567"/>
      <w:bookmarkEnd w:id="568"/>
      <w:bookmarkEnd w:id="569"/>
      <w:bookmarkEnd w:id="570"/>
      <w:bookmarkEnd w:id="571"/>
    </w:p>
    <w:p w14:paraId="5AE42216" w14:textId="77777777" w:rsidR="008D0DAB" w:rsidRDefault="008D0DAB" w:rsidP="008D0DAB">
      <w:pPr>
        <w:rPr>
          <w:rFonts w:cs="Arial"/>
        </w:rPr>
      </w:pPr>
    </w:p>
    <w:p w14:paraId="7CFC93D5" w14:textId="3C8D6AAC" w:rsidR="008D0DAB" w:rsidRDefault="001B5F09" w:rsidP="008D0DAB">
      <w:pPr>
        <w:rPr>
          <w:rFonts w:cs="Arial"/>
        </w:rPr>
      </w:pPr>
      <w:r>
        <w:rPr>
          <w:rFonts w:cs="Arial"/>
        </w:rPr>
        <w:t>For SEC Infrastructure Pty Ltd</w:t>
      </w:r>
      <w:r w:rsidR="000C431F">
        <w:rPr>
          <w:rFonts w:cs="Arial"/>
        </w:rPr>
        <w:t xml:space="preserve"> and its controlled entities</w:t>
      </w:r>
      <w:r>
        <w:rPr>
          <w:rFonts w:cs="Arial"/>
        </w:rPr>
        <w:t>, w</w:t>
      </w:r>
      <w:r w:rsidR="008D0DAB" w:rsidRPr="701665F7">
        <w:rPr>
          <w:rFonts w:cs="Arial"/>
        </w:rPr>
        <w:t>e jointly certify that:</w:t>
      </w:r>
    </w:p>
    <w:p w14:paraId="00C05D86" w14:textId="77777777" w:rsidR="008D0DAB" w:rsidRPr="00414045" w:rsidRDefault="008D0DAB" w:rsidP="008D0DAB">
      <w:pPr>
        <w:pStyle w:val="ListParagraph"/>
        <w:numPr>
          <w:ilvl w:val="0"/>
          <w:numId w:val="49"/>
        </w:numPr>
        <w:rPr>
          <w:rFonts w:cs="Arial"/>
        </w:rPr>
      </w:pPr>
      <w:r w:rsidRPr="701665F7">
        <w:rPr>
          <w:rFonts w:cs="Arial"/>
        </w:rPr>
        <w:t>the consolidated financial statements present fairly the financial transactions during the reporting period and the financial position at the end of that period; and</w:t>
      </w:r>
    </w:p>
    <w:p w14:paraId="6ED09CFE" w14:textId="77777777" w:rsidR="008D0DAB" w:rsidRDefault="008D0DAB" w:rsidP="008D0DAB">
      <w:pPr>
        <w:pStyle w:val="ListParagraph"/>
        <w:numPr>
          <w:ilvl w:val="0"/>
          <w:numId w:val="49"/>
        </w:numPr>
        <w:rPr>
          <w:rFonts w:cs="Arial"/>
        </w:rPr>
      </w:pPr>
      <w:r w:rsidRPr="701665F7">
        <w:rPr>
          <w:rFonts w:cs="Arial"/>
        </w:rPr>
        <w:t xml:space="preserve">the consolidated financial statements have been prepared in accordance with  Direction 5.2 of the Standing Directions of the Assistant Treasurer under the </w:t>
      </w:r>
      <w:r w:rsidRPr="701665F7">
        <w:rPr>
          <w:rFonts w:cs="Arial"/>
          <w:i/>
        </w:rPr>
        <w:t>Financial Management Act 1994</w:t>
      </w:r>
      <w:r w:rsidRPr="701665F7">
        <w:rPr>
          <w:rFonts w:cs="Arial"/>
        </w:rPr>
        <w:t>, applicable Financial Reporting Directions, Australian Accounting Standards including Interpretations, and other mandatory professional reporting requirements.</w:t>
      </w:r>
    </w:p>
    <w:p w14:paraId="5423A8C5" w14:textId="77777777" w:rsidR="008D0DAB" w:rsidRDefault="008D0DAB" w:rsidP="008D0DAB">
      <w:pPr>
        <w:rPr>
          <w:rFonts w:cs="Arial"/>
        </w:rPr>
      </w:pPr>
    </w:p>
    <w:p w14:paraId="770E738A" w14:textId="77777777" w:rsidR="008D0DAB" w:rsidRDefault="008D0DAB" w:rsidP="008D0DAB">
      <w:pPr>
        <w:rPr>
          <w:rFonts w:cs="Arial"/>
        </w:rPr>
      </w:pPr>
    </w:p>
    <w:tbl>
      <w:tblPr>
        <w:tblW w:w="9016" w:type="dxa"/>
        <w:tblLook w:val="04A0" w:firstRow="1" w:lastRow="0" w:firstColumn="1" w:lastColumn="0" w:noHBand="0" w:noVBand="1"/>
      </w:tblPr>
      <w:tblGrid>
        <w:gridCol w:w="2410"/>
        <w:gridCol w:w="1134"/>
        <w:gridCol w:w="2165"/>
        <w:gridCol w:w="1095"/>
        <w:gridCol w:w="2212"/>
      </w:tblGrid>
      <w:tr w:rsidR="008D0DAB" w:rsidRPr="00850154" w14:paraId="647E83B2" w14:textId="77777777" w:rsidTr="009B7B2A">
        <w:trPr>
          <w:trHeight w:val="264"/>
        </w:trPr>
        <w:tc>
          <w:tcPr>
            <w:tcW w:w="2410" w:type="dxa"/>
            <w:tcBorders>
              <w:top w:val="nil"/>
              <w:left w:val="nil"/>
              <w:bottom w:val="nil"/>
              <w:right w:val="nil"/>
            </w:tcBorders>
            <w:noWrap/>
            <w:vAlign w:val="bottom"/>
            <w:hideMark/>
          </w:tcPr>
          <w:p w14:paraId="00737D82" w14:textId="77777777" w:rsidR="008D0DAB" w:rsidRPr="00850154" w:rsidRDefault="008D0DAB" w:rsidP="009B7B2A">
            <w:pPr>
              <w:spacing w:after="0" w:line="240" w:lineRule="auto"/>
              <w:rPr>
                <w:rFonts w:eastAsia="Times New Roman" w:cs="Arial"/>
                <w:color w:val="000000"/>
                <w:szCs w:val="24"/>
                <w:lang w:eastAsia="en-AU"/>
              </w:rPr>
            </w:pPr>
            <w:r w:rsidRPr="00850154">
              <w:rPr>
                <w:rFonts w:eastAsia="Times New Roman" w:cs="Arial"/>
                <w:color w:val="000000"/>
                <w:szCs w:val="24"/>
                <w:lang w:eastAsia="en-AU"/>
              </w:rPr>
              <w:t>Simon Corbell</w:t>
            </w:r>
          </w:p>
        </w:tc>
        <w:tc>
          <w:tcPr>
            <w:tcW w:w="1134" w:type="dxa"/>
            <w:tcBorders>
              <w:top w:val="nil"/>
              <w:left w:val="nil"/>
              <w:bottom w:val="nil"/>
              <w:right w:val="nil"/>
            </w:tcBorders>
            <w:noWrap/>
            <w:vAlign w:val="bottom"/>
            <w:hideMark/>
          </w:tcPr>
          <w:p w14:paraId="69A287D1" w14:textId="77777777" w:rsidR="008D0DAB" w:rsidRPr="00850154" w:rsidRDefault="008D0DAB" w:rsidP="009B7B2A">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1B41417C" w14:textId="77777777" w:rsidR="008D0DAB" w:rsidRPr="00850154" w:rsidRDefault="008D0DAB" w:rsidP="009B7B2A">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Christopher Miller</w:t>
            </w:r>
          </w:p>
        </w:tc>
        <w:tc>
          <w:tcPr>
            <w:tcW w:w="1095" w:type="dxa"/>
            <w:tcBorders>
              <w:top w:val="nil"/>
              <w:left w:val="nil"/>
              <w:bottom w:val="nil"/>
              <w:right w:val="nil"/>
            </w:tcBorders>
            <w:noWrap/>
            <w:vAlign w:val="bottom"/>
            <w:hideMark/>
          </w:tcPr>
          <w:p w14:paraId="3179E7D9" w14:textId="77777777" w:rsidR="008D0DAB" w:rsidRPr="00850154" w:rsidRDefault="008D0DAB" w:rsidP="009B7B2A">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2CC03358" w14:textId="77777777" w:rsidR="008D0DAB" w:rsidRPr="00850154" w:rsidRDefault="008D0DAB" w:rsidP="009B7B2A">
            <w:pPr>
              <w:spacing w:after="0" w:line="240" w:lineRule="auto"/>
              <w:rPr>
                <w:rFonts w:eastAsia="Times New Roman" w:cs="Arial"/>
                <w:color w:val="000000"/>
                <w:szCs w:val="24"/>
                <w:lang w:eastAsia="en-AU"/>
              </w:rPr>
            </w:pPr>
            <w:r w:rsidRPr="00850154">
              <w:rPr>
                <w:rFonts w:eastAsia="Times New Roman" w:cs="Arial"/>
                <w:color w:val="000000"/>
                <w:szCs w:val="24"/>
                <w:lang w:eastAsia="en-AU"/>
              </w:rPr>
              <w:t>Elisha Civil</w:t>
            </w:r>
          </w:p>
        </w:tc>
      </w:tr>
      <w:tr w:rsidR="008D0DAB" w:rsidRPr="00850154" w14:paraId="5E330181" w14:textId="77777777" w:rsidTr="009B7B2A">
        <w:trPr>
          <w:trHeight w:val="264"/>
        </w:trPr>
        <w:tc>
          <w:tcPr>
            <w:tcW w:w="2410" w:type="dxa"/>
            <w:tcBorders>
              <w:top w:val="nil"/>
              <w:left w:val="nil"/>
              <w:bottom w:val="nil"/>
              <w:right w:val="nil"/>
            </w:tcBorders>
            <w:noWrap/>
            <w:hideMark/>
          </w:tcPr>
          <w:p w14:paraId="648F1D80" w14:textId="7D0C1C92" w:rsidR="008D0DAB" w:rsidRPr="00850154" w:rsidRDefault="001F1BF5" w:rsidP="009B7B2A">
            <w:pPr>
              <w:spacing w:after="0" w:line="240" w:lineRule="auto"/>
              <w:rPr>
                <w:rFonts w:eastAsia="Times New Roman" w:cs="Arial"/>
                <w:color w:val="000000"/>
                <w:szCs w:val="24"/>
                <w:lang w:eastAsia="en-AU"/>
              </w:rPr>
            </w:pPr>
            <w:r>
              <w:rPr>
                <w:rFonts w:eastAsia="Times New Roman" w:cs="Arial"/>
                <w:color w:val="000000"/>
                <w:szCs w:val="24"/>
                <w:lang w:eastAsia="en-AU"/>
              </w:rPr>
              <w:t>Board Chair</w:t>
            </w:r>
          </w:p>
        </w:tc>
        <w:tc>
          <w:tcPr>
            <w:tcW w:w="1134" w:type="dxa"/>
            <w:tcBorders>
              <w:top w:val="nil"/>
              <w:left w:val="nil"/>
              <w:bottom w:val="nil"/>
              <w:right w:val="nil"/>
            </w:tcBorders>
            <w:noWrap/>
            <w:vAlign w:val="bottom"/>
            <w:hideMark/>
          </w:tcPr>
          <w:p w14:paraId="616BAF89" w14:textId="77777777" w:rsidR="008D0DAB" w:rsidRPr="00850154" w:rsidRDefault="008D0DAB" w:rsidP="009B7B2A">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7B39F428" w14:textId="77777777" w:rsidR="008D0DAB" w:rsidRPr="00850154" w:rsidRDefault="008D0DAB" w:rsidP="009B7B2A">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Executive Officer</w:t>
            </w:r>
          </w:p>
        </w:tc>
        <w:tc>
          <w:tcPr>
            <w:tcW w:w="1095" w:type="dxa"/>
            <w:tcBorders>
              <w:top w:val="nil"/>
              <w:left w:val="nil"/>
              <w:bottom w:val="nil"/>
              <w:right w:val="nil"/>
            </w:tcBorders>
            <w:noWrap/>
            <w:vAlign w:val="bottom"/>
            <w:hideMark/>
          </w:tcPr>
          <w:p w14:paraId="7958971E" w14:textId="77777777" w:rsidR="008D0DAB" w:rsidRPr="00850154" w:rsidRDefault="008D0DAB" w:rsidP="009B7B2A">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56AA4C03" w14:textId="77777777" w:rsidR="008D0DAB" w:rsidRPr="00850154" w:rsidRDefault="008D0DAB" w:rsidP="009B7B2A">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Financial Officer</w:t>
            </w:r>
          </w:p>
        </w:tc>
      </w:tr>
    </w:tbl>
    <w:p w14:paraId="65CD99B6" w14:textId="77777777" w:rsidR="008D0DAB" w:rsidRPr="00850154" w:rsidRDefault="008D0DAB" w:rsidP="008D0DAB">
      <w:pPr>
        <w:rPr>
          <w:rFonts w:cs="Arial"/>
        </w:rPr>
      </w:pPr>
    </w:p>
    <w:p w14:paraId="1B8ED1E2" w14:textId="50288937" w:rsidR="008D0DAB" w:rsidRDefault="000C431F" w:rsidP="008D0DAB">
      <w:pPr>
        <w:rPr>
          <w:rFonts w:eastAsiaTheme="majorEastAsia" w:cstheme="majorBidi"/>
          <w:sz w:val="40"/>
          <w:szCs w:val="40"/>
        </w:rPr>
      </w:pPr>
      <w:r>
        <w:t>6 October 2025</w:t>
      </w:r>
      <w:r w:rsidR="008D0DAB">
        <w:br w:type="page"/>
      </w:r>
    </w:p>
    <w:p w14:paraId="51167AC1" w14:textId="77777777" w:rsidR="008D0DAB" w:rsidRPr="00926008" w:rsidRDefault="008D0DAB" w:rsidP="00B254AC">
      <w:pPr>
        <w:pStyle w:val="Heading1"/>
      </w:pPr>
      <w:bookmarkStart w:id="572" w:name="_Toc209080418"/>
      <w:bookmarkStart w:id="573" w:name="_Toc209703988"/>
      <w:bookmarkStart w:id="574" w:name="_Toc209704041"/>
      <w:bookmarkStart w:id="575" w:name="_Toc209704094"/>
      <w:r>
        <w:t>Corporate compliance</w:t>
      </w:r>
      <w:bookmarkEnd w:id="572"/>
      <w:bookmarkEnd w:id="573"/>
      <w:bookmarkEnd w:id="574"/>
      <w:bookmarkEnd w:id="575"/>
    </w:p>
    <w:p w14:paraId="66702C08" w14:textId="77777777" w:rsidR="008D0DAB" w:rsidRPr="00907CB5" w:rsidRDefault="008D0DAB" w:rsidP="008D0DAB">
      <w:pPr>
        <w:pStyle w:val="Heading2"/>
        <w:rPr>
          <w:sz w:val="28"/>
          <w:szCs w:val="28"/>
        </w:rPr>
      </w:pPr>
      <w:bookmarkStart w:id="576" w:name="_Ref208418240"/>
      <w:r w:rsidRPr="00907CB5">
        <w:rPr>
          <w:sz w:val="28"/>
          <w:szCs w:val="28"/>
        </w:rPr>
        <w:t>Local Jobs First</w:t>
      </w:r>
      <w:bookmarkEnd w:id="576"/>
    </w:p>
    <w:p w14:paraId="78561AA6" w14:textId="77777777" w:rsidR="008D0DAB" w:rsidRPr="005253A6" w:rsidRDefault="008D0DAB" w:rsidP="008D0DAB">
      <w:pPr>
        <w:tabs>
          <w:tab w:val="left" w:pos="993"/>
        </w:tabs>
        <w:rPr>
          <w:rFonts w:cs="Arial"/>
        </w:rPr>
      </w:pPr>
      <w:r w:rsidRPr="005253A6">
        <w:rPr>
          <w:rFonts w:cs="Arial"/>
        </w:rPr>
        <w:t xml:space="preserve">The </w:t>
      </w:r>
      <w:r w:rsidRPr="00AA3AC5">
        <w:rPr>
          <w:rFonts w:cs="Arial"/>
          <w:i/>
          <w:iCs/>
        </w:rPr>
        <w:t>Local Jobs First Act 2003</w:t>
      </w:r>
      <w:r w:rsidRPr="005253A6">
        <w:rPr>
          <w:rFonts w:cs="Arial"/>
        </w:rPr>
        <w:t xml:space="preserve"> brings together the Victorian Industry Participation Policy (VIPP) and Major Project Skills Guarantee (MPSG) policies. </w:t>
      </w:r>
    </w:p>
    <w:p w14:paraId="1A495A27" w14:textId="33B6C620" w:rsidR="008D0DAB" w:rsidRPr="005253A6" w:rsidRDefault="008D0DAB" w:rsidP="008D0DAB">
      <w:pPr>
        <w:tabs>
          <w:tab w:val="left" w:pos="993"/>
        </w:tabs>
        <w:rPr>
          <w:rFonts w:cs="Arial"/>
        </w:rPr>
      </w:pPr>
      <w:r w:rsidRPr="005253A6">
        <w:rPr>
          <w:rFonts w:cs="Arial"/>
        </w:rPr>
        <w:t>It aims to support small and medium-sized enterprises, requires the inclusion of apprentices and trainees on large government construction projects</w:t>
      </w:r>
      <w:r w:rsidRPr="001569E0">
        <w:rPr>
          <w:rFonts w:cs="Arial"/>
        </w:rPr>
        <w:t xml:space="preserve">, and ensure compliance and accountability from government agencies. </w:t>
      </w:r>
      <w:r w:rsidR="00FE7B58" w:rsidRPr="001569E0">
        <w:rPr>
          <w:rFonts w:cs="Arial"/>
        </w:rPr>
        <w:t xml:space="preserve">Please refer to page </w:t>
      </w:r>
      <w:r w:rsidR="00FE7B58" w:rsidRPr="00AA3AC5">
        <w:rPr>
          <w:rFonts w:cs="Arial"/>
        </w:rPr>
        <w:fldChar w:fldCharType="begin"/>
      </w:r>
      <w:r w:rsidR="00FE7B58" w:rsidRPr="00AA3AC5">
        <w:rPr>
          <w:rFonts w:cs="Arial"/>
        </w:rPr>
        <w:instrText xml:space="preserve"> PAGEREF _Ref209699596 \h </w:instrText>
      </w:r>
      <w:r w:rsidR="00FE7B58" w:rsidRPr="00AA3AC5">
        <w:rPr>
          <w:rFonts w:cs="Arial"/>
        </w:rPr>
      </w:r>
      <w:r w:rsidR="00FE7B58" w:rsidRPr="00AA3AC5">
        <w:rPr>
          <w:rFonts w:cs="Arial"/>
        </w:rPr>
        <w:fldChar w:fldCharType="separate"/>
      </w:r>
      <w:r w:rsidR="00BC7653">
        <w:rPr>
          <w:rFonts w:cs="Arial"/>
          <w:noProof/>
        </w:rPr>
        <w:t>88</w:t>
      </w:r>
      <w:r w:rsidR="00FE7B58" w:rsidRPr="00AA3AC5">
        <w:rPr>
          <w:rFonts w:cs="Arial"/>
        </w:rPr>
        <w:fldChar w:fldCharType="end"/>
      </w:r>
      <w:r w:rsidR="00FE7B58" w:rsidRPr="001569E0">
        <w:rPr>
          <w:rFonts w:cs="Arial"/>
        </w:rPr>
        <w:t xml:space="preserve"> of SEC Victoria's corporate compliance section for details on local jobs first activity during the year.</w:t>
      </w:r>
    </w:p>
    <w:p w14:paraId="0B1449C9" w14:textId="77777777" w:rsidR="008D0DAB" w:rsidRPr="00907CB5" w:rsidRDefault="008D0DAB" w:rsidP="008D0DAB">
      <w:pPr>
        <w:pStyle w:val="Heading2"/>
        <w:rPr>
          <w:sz w:val="28"/>
          <w:szCs w:val="28"/>
        </w:rPr>
      </w:pPr>
      <w:r w:rsidRPr="00907CB5">
        <w:rPr>
          <w:sz w:val="28"/>
          <w:szCs w:val="28"/>
        </w:rPr>
        <w:t>Social procurement</w:t>
      </w:r>
    </w:p>
    <w:p w14:paraId="245F5FAA" w14:textId="53870FF8" w:rsidR="008D0DAB" w:rsidRPr="00EA4854" w:rsidRDefault="008D0DAB" w:rsidP="008D0DAB">
      <w:pPr>
        <w:rPr>
          <w:rFonts w:cs="Arial"/>
        </w:rPr>
      </w:pPr>
      <w:r w:rsidRPr="00F65403">
        <w:t xml:space="preserve">Victoria’s Social Procurement Framework (SPF) establishes requirements that apply to </w:t>
      </w:r>
      <w:r w:rsidRPr="00EA4854">
        <w:t>Victorian Government departments and agencies when they procure goods, services and construction. Under the framework, SEC is committed to ensuring procurement decisions help generate social value</w:t>
      </w:r>
      <w:r>
        <w:t xml:space="preserve"> and this is performed at a consolidated level being led by the Company’s Parent, SEC Victoria Pty Ltd. Please refer to page </w:t>
      </w:r>
      <w:r w:rsidR="0080161C">
        <w:rPr>
          <w:highlight w:val="yellow"/>
        </w:rPr>
        <w:fldChar w:fldCharType="begin"/>
      </w:r>
      <w:r w:rsidR="0080161C">
        <w:instrText xml:space="preserve"> PAGEREF _Ref208418401 \h </w:instrText>
      </w:r>
      <w:r w:rsidR="0080161C">
        <w:rPr>
          <w:highlight w:val="yellow"/>
        </w:rPr>
      </w:r>
      <w:r w:rsidR="0080161C">
        <w:rPr>
          <w:highlight w:val="yellow"/>
        </w:rPr>
        <w:fldChar w:fldCharType="separate"/>
      </w:r>
      <w:r w:rsidR="00BC7653">
        <w:rPr>
          <w:noProof/>
        </w:rPr>
        <w:t>88</w:t>
      </w:r>
      <w:r w:rsidR="0080161C">
        <w:rPr>
          <w:highlight w:val="yellow"/>
        </w:rPr>
        <w:fldChar w:fldCharType="end"/>
      </w:r>
      <w:r>
        <w:t xml:space="preserve"> of SEC Victoria’s corporate compliance section for further detail.</w:t>
      </w:r>
    </w:p>
    <w:p w14:paraId="79E5C6B5" w14:textId="77777777" w:rsidR="008D0DAB" w:rsidRPr="00907CB5" w:rsidRDefault="008D0DAB" w:rsidP="008D0DAB">
      <w:pPr>
        <w:pStyle w:val="Heading2"/>
        <w:rPr>
          <w:sz w:val="28"/>
          <w:szCs w:val="28"/>
        </w:rPr>
      </w:pPr>
      <w:r w:rsidRPr="00907CB5">
        <w:rPr>
          <w:sz w:val="28"/>
          <w:szCs w:val="28"/>
        </w:rPr>
        <w:t>Asset management accountability framework (AMAF)</w:t>
      </w:r>
    </w:p>
    <w:p w14:paraId="7F0518AB" w14:textId="77777777" w:rsidR="008D0DAB" w:rsidRPr="00F65403" w:rsidRDefault="008D0DAB" w:rsidP="008D0DAB">
      <w:pPr>
        <w:tabs>
          <w:tab w:val="left" w:pos="993"/>
        </w:tabs>
        <w:rPr>
          <w:rFonts w:cs="Arial"/>
        </w:rPr>
      </w:pPr>
      <w:r w:rsidRPr="00B96E2A">
        <w:rPr>
          <w:rFonts w:cs="Arial"/>
        </w:rPr>
        <w:t xml:space="preserve">The AMAF assists Victorian Public Sector agencies manage their asset portfolios and includes both mandatory asset management requirements as well as general guidance. Mandatory requirements include developing asset management strategies, governance frameworks, performance standards and processes to regularly monitor and improve asset management. The AMAF applies to non-current assets (physical and intangible) but not financial assets. </w:t>
      </w:r>
      <w:r w:rsidRPr="00FF6C20">
        <w:rPr>
          <w:rFonts w:cs="Arial"/>
        </w:rPr>
        <w:t xml:space="preserve">For the period to 30 June 2025, the </w:t>
      </w:r>
      <w:r>
        <w:rPr>
          <w:rFonts w:cs="Arial"/>
        </w:rPr>
        <w:t>Company</w:t>
      </w:r>
      <w:r w:rsidRPr="00FF6C20">
        <w:rPr>
          <w:rFonts w:cs="Arial"/>
        </w:rPr>
        <w:t xml:space="preserve"> did not have any such assets</w:t>
      </w:r>
      <w:r>
        <w:rPr>
          <w:rFonts w:cs="Arial"/>
        </w:rPr>
        <w:t xml:space="preserve"> (2024: nil)</w:t>
      </w:r>
      <w:r w:rsidRPr="00FF6C20">
        <w:rPr>
          <w:rFonts w:cs="Arial"/>
        </w:rPr>
        <w:t>.</w:t>
      </w:r>
    </w:p>
    <w:p w14:paraId="01904F56" w14:textId="77777777" w:rsidR="008D0DAB" w:rsidRPr="00907CB5" w:rsidRDefault="008D0DAB" w:rsidP="008D0DAB">
      <w:pPr>
        <w:pStyle w:val="Heading2"/>
        <w:rPr>
          <w:sz w:val="28"/>
          <w:szCs w:val="28"/>
        </w:rPr>
      </w:pPr>
      <w:bookmarkStart w:id="577" w:name="_Ref208418716"/>
      <w:r w:rsidRPr="00907CB5">
        <w:rPr>
          <w:sz w:val="28"/>
          <w:szCs w:val="28"/>
        </w:rPr>
        <w:t>Government advertising expenditure</w:t>
      </w:r>
      <w:bookmarkEnd w:id="577"/>
    </w:p>
    <w:p w14:paraId="1840496C" w14:textId="77777777" w:rsidR="008D0DAB" w:rsidRDefault="008D0DAB" w:rsidP="008D0DAB">
      <w:pPr>
        <w:pStyle w:val="Heading2"/>
        <w:rPr>
          <w:rFonts w:eastAsiaTheme="minorHAnsi" w:cstheme="minorBidi"/>
          <w:sz w:val="24"/>
          <w:szCs w:val="22"/>
        </w:rPr>
      </w:pPr>
      <w:r w:rsidRPr="00CE1B39">
        <w:rPr>
          <w:rFonts w:eastAsiaTheme="minorHAnsi" w:cstheme="minorBidi"/>
          <w:sz w:val="24"/>
          <w:szCs w:val="22"/>
        </w:rPr>
        <w:t xml:space="preserve">The Company did not undertake any government advertising campaigns with total media spend of $100,000 or greater, exclusive of GST during the reporting period. </w:t>
      </w:r>
    </w:p>
    <w:p w14:paraId="754D6A08" w14:textId="77777777" w:rsidR="008D0DAB" w:rsidRPr="00907CB5" w:rsidRDefault="008D0DAB" w:rsidP="008D0DAB">
      <w:pPr>
        <w:pStyle w:val="Heading2"/>
        <w:rPr>
          <w:sz w:val="28"/>
          <w:szCs w:val="28"/>
        </w:rPr>
      </w:pPr>
      <w:bookmarkStart w:id="578" w:name="_Ref208418705"/>
      <w:r w:rsidRPr="00907CB5">
        <w:rPr>
          <w:sz w:val="28"/>
          <w:szCs w:val="28"/>
        </w:rPr>
        <w:t>Consultancy expenditure</w:t>
      </w:r>
      <w:bookmarkEnd w:id="578"/>
    </w:p>
    <w:p w14:paraId="35E9AA48" w14:textId="77777777" w:rsidR="008D0DAB" w:rsidRDefault="008D0DAB" w:rsidP="008D0DAB">
      <w:pPr>
        <w:tabs>
          <w:tab w:val="left" w:pos="993"/>
        </w:tabs>
        <w:rPr>
          <w:rFonts w:cs="Arial"/>
        </w:rPr>
      </w:pPr>
      <w:r w:rsidRPr="49BCD735">
        <w:rPr>
          <w:rFonts w:cs="Arial"/>
        </w:rPr>
        <w:t xml:space="preserve">In the reporting period, </w:t>
      </w:r>
      <w:r>
        <w:rPr>
          <w:rFonts w:cs="Arial"/>
        </w:rPr>
        <w:t xml:space="preserve">the Company had no consultancy arrangements where the total fees paid or payable were $10,000 or greater, </w:t>
      </w:r>
      <w:r w:rsidRPr="49BCD735">
        <w:rPr>
          <w:rFonts w:cs="Arial"/>
        </w:rPr>
        <w:t xml:space="preserve">excluding GST. </w:t>
      </w:r>
    </w:p>
    <w:p w14:paraId="603667A4" w14:textId="77777777" w:rsidR="008D0DAB" w:rsidRPr="00907CB5" w:rsidRDefault="008D0DAB" w:rsidP="008D0DAB">
      <w:pPr>
        <w:pStyle w:val="Heading2"/>
        <w:rPr>
          <w:sz w:val="28"/>
          <w:szCs w:val="28"/>
        </w:rPr>
      </w:pPr>
      <w:bookmarkStart w:id="579" w:name="_Ref208418720"/>
      <w:r w:rsidRPr="00907CB5">
        <w:rPr>
          <w:sz w:val="28"/>
          <w:szCs w:val="28"/>
        </w:rPr>
        <w:t>Information and communication technology (ICT) expenditure</w:t>
      </w:r>
      <w:bookmarkEnd w:id="579"/>
    </w:p>
    <w:p w14:paraId="2232F677" w14:textId="77777777" w:rsidR="008D0DAB" w:rsidRDefault="008D0DAB" w:rsidP="008D0DAB">
      <w:pPr>
        <w:tabs>
          <w:tab w:val="left" w:pos="993"/>
        </w:tabs>
        <w:rPr>
          <w:rFonts w:cs="Arial"/>
        </w:rPr>
      </w:pPr>
      <w:r w:rsidRPr="49BCD735">
        <w:rPr>
          <w:rFonts w:cs="Arial"/>
        </w:rPr>
        <w:t>Business as usual expenditure relates to ongoing activities to operate and maintain current information and communication technology capacity. Non-business as usual expenditure relates to extending and enhancing the Company’s current capability. It is the sum of operational expenditure and capital expenditure.</w:t>
      </w:r>
    </w:p>
    <w:p w14:paraId="1825FEB0" w14:textId="7152BBC8" w:rsidR="008D0DAB" w:rsidRPr="00B96E2A" w:rsidRDefault="008D0DAB" w:rsidP="008D0DAB">
      <w:pPr>
        <w:tabs>
          <w:tab w:val="left" w:pos="993"/>
        </w:tabs>
        <w:rPr>
          <w:rFonts w:cs="Arial"/>
        </w:rPr>
      </w:pPr>
      <w:r w:rsidRPr="49BCD735">
        <w:rPr>
          <w:rFonts w:cs="Arial"/>
        </w:rPr>
        <w:t xml:space="preserve">For the reporting period, </w:t>
      </w:r>
      <w:r>
        <w:rPr>
          <w:rFonts w:cs="Arial"/>
        </w:rPr>
        <w:t>the Company</w:t>
      </w:r>
      <w:r w:rsidRPr="49BCD735">
        <w:rPr>
          <w:rFonts w:cs="Arial"/>
        </w:rPr>
        <w:t xml:space="preserve"> had a total information and communication technology spend of $</w:t>
      </w:r>
      <w:r w:rsidR="00FF4BE0">
        <w:rPr>
          <w:rFonts w:cs="Arial"/>
        </w:rPr>
        <w:t>nil</w:t>
      </w:r>
      <w:r w:rsidR="004C5880">
        <w:rPr>
          <w:rFonts w:cs="Arial"/>
        </w:rPr>
        <w:t xml:space="preserve"> (2024: nil)</w:t>
      </w:r>
      <w:r w:rsidRPr="49BCD735">
        <w:rPr>
          <w:rFonts w:cs="Arial"/>
        </w:rPr>
        <w:t xml:space="preserve">. </w:t>
      </w:r>
    </w:p>
    <w:p w14:paraId="04A8560C" w14:textId="77777777" w:rsidR="008D0DAB" w:rsidRPr="00907CB5" w:rsidRDefault="008D0DAB" w:rsidP="008D0DAB">
      <w:pPr>
        <w:pStyle w:val="Heading2"/>
        <w:rPr>
          <w:sz w:val="28"/>
          <w:szCs w:val="28"/>
        </w:rPr>
      </w:pPr>
      <w:bookmarkStart w:id="580" w:name="_Ref208418728"/>
      <w:r w:rsidRPr="00907CB5">
        <w:rPr>
          <w:sz w:val="28"/>
          <w:szCs w:val="28"/>
        </w:rPr>
        <w:t>Procurement complaints</w:t>
      </w:r>
      <w:bookmarkEnd w:id="580"/>
    </w:p>
    <w:p w14:paraId="48F9AF00" w14:textId="77777777" w:rsidR="008D0DAB" w:rsidRPr="00F65403" w:rsidRDefault="008D0DAB" w:rsidP="008D0DAB">
      <w:pPr>
        <w:tabs>
          <w:tab w:val="left" w:pos="993"/>
        </w:tabs>
        <w:rPr>
          <w:rFonts w:cs="Arial"/>
        </w:rPr>
      </w:pPr>
      <w:r w:rsidRPr="00B96E2A">
        <w:rPr>
          <w:rFonts w:cs="Arial"/>
        </w:rPr>
        <w:t>There have been no complaints received in relation to the procurement of goods and services during the period</w:t>
      </w:r>
      <w:r>
        <w:rPr>
          <w:rFonts w:cs="Arial"/>
        </w:rPr>
        <w:t xml:space="preserve"> (2024: nil)</w:t>
      </w:r>
      <w:r w:rsidRPr="00B96E2A">
        <w:rPr>
          <w:rFonts w:cs="Arial"/>
        </w:rPr>
        <w:t>.</w:t>
      </w:r>
    </w:p>
    <w:p w14:paraId="2DBB6606" w14:textId="77777777" w:rsidR="008D0DAB" w:rsidRPr="00907CB5" w:rsidRDefault="008D0DAB" w:rsidP="008D0DAB">
      <w:pPr>
        <w:pStyle w:val="Heading2"/>
        <w:rPr>
          <w:sz w:val="28"/>
          <w:szCs w:val="28"/>
        </w:rPr>
      </w:pPr>
      <w:bookmarkStart w:id="581" w:name="_Ref208418724"/>
      <w:r w:rsidRPr="00907CB5">
        <w:rPr>
          <w:sz w:val="28"/>
          <w:szCs w:val="28"/>
        </w:rPr>
        <w:t>Emergency procurement</w:t>
      </w:r>
      <w:bookmarkEnd w:id="581"/>
    </w:p>
    <w:p w14:paraId="0945B18D" w14:textId="77777777" w:rsidR="008D0DAB" w:rsidRPr="00F65403" w:rsidRDefault="008D0DAB" w:rsidP="008D0DAB">
      <w:pPr>
        <w:tabs>
          <w:tab w:val="left" w:pos="993"/>
        </w:tabs>
        <w:rPr>
          <w:rFonts w:eastAsiaTheme="majorEastAsia" w:cstheme="majorBidi"/>
          <w:sz w:val="32"/>
          <w:szCs w:val="32"/>
        </w:rPr>
      </w:pPr>
      <w:r w:rsidRPr="49BCD735">
        <w:rPr>
          <w:rFonts w:cs="Arial"/>
        </w:rPr>
        <w:t>There have been no instances of emergency procurement during the period (2024: nil).</w:t>
      </w:r>
    </w:p>
    <w:p w14:paraId="51B918A2" w14:textId="77777777" w:rsidR="008D0DAB" w:rsidRPr="00907CB5" w:rsidRDefault="008D0DAB" w:rsidP="008D0DAB">
      <w:pPr>
        <w:pStyle w:val="Heading2"/>
        <w:rPr>
          <w:sz w:val="28"/>
          <w:szCs w:val="28"/>
        </w:rPr>
      </w:pPr>
      <w:bookmarkStart w:id="582" w:name="_Ref208418693"/>
      <w:r w:rsidRPr="00907CB5">
        <w:rPr>
          <w:sz w:val="28"/>
          <w:szCs w:val="28"/>
        </w:rPr>
        <w:t>Compliance with the National Competition Policy and the Competitive Neutrality Policy</w:t>
      </w:r>
      <w:bookmarkEnd w:id="582"/>
    </w:p>
    <w:p w14:paraId="44F2D159" w14:textId="77777777" w:rsidR="008D0DAB" w:rsidRPr="00F65403" w:rsidRDefault="008D0DAB" w:rsidP="008D0DAB">
      <w:pPr>
        <w:tabs>
          <w:tab w:val="left" w:pos="993"/>
        </w:tabs>
        <w:rPr>
          <w:rFonts w:cs="Arial"/>
        </w:rPr>
      </w:pPr>
      <w:r>
        <w:rPr>
          <w:rFonts w:cs="Arial"/>
        </w:rPr>
        <w:t xml:space="preserve">SEC Infrastructure </w:t>
      </w:r>
      <w:r w:rsidRPr="00B96E2A">
        <w:rPr>
          <w:rFonts w:cs="Arial"/>
        </w:rPr>
        <w:t>operates in accordance with the requirements of the National Competition Policy and the Competitive Neutrality Policy Victoria.</w:t>
      </w:r>
      <w:r>
        <w:rPr>
          <w:rFonts w:cs="Arial"/>
        </w:rPr>
        <w:t xml:space="preserve"> </w:t>
      </w:r>
      <w:r w:rsidRPr="00B96E2A">
        <w:rPr>
          <w:rFonts w:cs="Arial"/>
        </w:rPr>
        <w:t xml:space="preserve">Competitive neutrality generally requires that government owned businesses competing, or potentially competing, with the private sector, do not enjoy any net competitive advantage </w:t>
      </w:r>
      <w:r w:rsidRPr="08BB6BF9">
        <w:rPr>
          <w:rFonts w:cs="Arial"/>
        </w:rPr>
        <w:t>by</w:t>
      </w:r>
      <w:r>
        <w:rPr>
          <w:rFonts w:cs="Arial"/>
        </w:rPr>
        <w:t xml:space="preserve"> virtue of</w:t>
      </w:r>
      <w:r w:rsidRPr="00B96E2A">
        <w:rPr>
          <w:rFonts w:cs="Arial"/>
        </w:rPr>
        <w:t xml:space="preserve"> their government ownership. In certain instances, Victoria’s Competitive Neutrality Policy can require the application of measures to achieve competitive neutrality.</w:t>
      </w:r>
    </w:p>
    <w:p w14:paraId="32561CA6" w14:textId="77777777" w:rsidR="008D0DAB" w:rsidRPr="00907CB5" w:rsidRDefault="008D0DAB" w:rsidP="008D0DAB">
      <w:pPr>
        <w:pStyle w:val="Heading2"/>
        <w:rPr>
          <w:sz w:val="28"/>
          <w:szCs w:val="28"/>
        </w:rPr>
      </w:pPr>
      <w:bookmarkStart w:id="583" w:name="_Ref208418677"/>
      <w:r w:rsidRPr="00907CB5">
        <w:rPr>
          <w:sz w:val="28"/>
          <w:szCs w:val="28"/>
        </w:rPr>
        <w:t>Freedom of Information</w:t>
      </w:r>
      <w:bookmarkEnd w:id="583"/>
    </w:p>
    <w:p w14:paraId="2C95D390" w14:textId="77777777" w:rsidR="008D0DAB" w:rsidRPr="00B96E2A" w:rsidRDefault="008D0DAB" w:rsidP="008D0DAB">
      <w:pPr>
        <w:tabs>
          <w:tab w:val="left" w:pos="993"/>
        </w:tabs>
        <w:rPr>
          <w:rFonts w:cs="Arial"/>
        </w:rPr>
      </w:pPr>
      <w:r w:rsidRPr="00B96E2A">
        <w:rPr>
          <w:rFonts w:cs="Arial"/>
        </w:rPr>
        <w:t xml:space="preserve">The </w:t>
      </w:r>
      <w:r w:rsidRPr="005944F3">
        <w:rPr>
          <w:rFonts w:cs="Arial"/>
          <w:i/>
        </w:rPr>
        <w:t>Freedom of Information Act 1982</w:t>
      </w:r>
      <w:r w:rsidRPr="00B96E2A">
        <w:rPr>
          <w:rFonts w:cs="Arial"/>
        </w:rPr>
        <w:t xml:space="preserve"> is not applicable to </w:t>
      </w:r>
      <w:r>
        <w:rPr>
          <w:rFonts w:cs="Arial"/>
        </w:rPr>
        <w:t>SEC Infrastructure Pty Ltd</w:t>
      </w:r>
      <w:r w:rsidRPr="00B96E2A">
        <w:rPr>
          <w:rFonts w:cs="Arial"/>
        </w:rPr>
        <w:t>, and there are no reporting requirements associated with this Act.</w:t>
      </w:r>
    </w:p>
    <w:p w14:paraId="0AE20B31" w14:textId="77777777" w:rsidR="008D0DAB" w:rsidRPr="00907CB5" w:rsidRDefault="008D0DAB" w:rsidP="008D0DAB">
      <w:pPr>
        <w:pStyle w:val="Heading2"/>
        <w:rPr>
          <w:sz w:val="28"/>
          <w:szCs w:val="28"/>
        </w:rPr>
      </w:pPr>
      <w:bookmarkStart w:id="584" w:name="_Ref208418698"/>
      <w:r w:rsidRPr="00907CB5">
        <w:rPr>
          <w:sz w:val="28"/>
          <w:szCs w:val="28"/>
        </w:rPr>
        <w:t xml:space="preserve">Compliance with the </w:t>
      </w:r>
      <w:r w:rsidRPr="00907CB5">
        <w:rPr>
          <w:i/>
          <w:iCs/>
          <w:sz w:val="28"/>
          <w:szCs w:val="28"/>
        </w:rPr>
        <w:t>Public Interest Disclosure Act 2012</w:t>
      </w:r>
      <w:bookmarkEnd w:id="584"/>
    </w:p>
    <w:p w14:paraId="1CD3FC0B" w14:textId="77777777" w:rsidR="008D0DAB" w:rsidRDefault="008D0DAB" w:rsidP="008D0DAB">
      <w:pPr>
        <w:tabs>
          <w:tab w:val="left" w:pos="993"/>
        </w:tabs>
        <w:rPr>
          <w:rFonts w:cs="Arial"/>
        </w:rPr>
      </w:pPr>
      <w:r>
        <w:rPr>
          <w:rFonts w:cs="Arial"/>
        </w:rPr>
        <w:t xml:space="preserve">SEC Infrastructure </w:t>
      </w:r>
      <w:r w:rsidRPr="00B96E2A">
        <w:rPr>
          <w:rFonts w:cs="Arial"/>
        </w:rPr>
        <w:t xml:space="preserve">does not tolerate improper conduct by employees, nor taking of detrimental action against those who come forward to disclose such conduct. </w:t>
      </w:r>
    </w:p>
    <w:p w14:paraId="0B78F00A" w14:textId="77777777" w:rsidR="008D0DAB" w:rsidRPr="00F65403" w:rsidRDefault="008D0DAB" w:rsidP="008D0DAB">
      <w:pPr>
        <w:tabs>
          <w:tab w:val="left" w:pos="993"/>
        </w:tabs>
        <w:rPr>
          <w:rFonts w:cs="Arial"/>
        </w:rPr>
      </w:pPr>
      <w:r>
        <w:rPr>
          <w:rFonts w:cs="Arial"/>
        </w:rPr>
        <w:t>SEC Infrastructure’s</w:t>
      </w:r>
      <w:r w:rsidRPr="00B96E2A">
        <w:rPr>
          <w:rFonts w:cs="Arial"/>
        </w:rPr>
        <w:t xml:space="preserve"> Public Interest Disclosure Policy outlines our commitment to ensuring transparency and accountability in our administrative and management practices and supports the making of disclosures that reveal corrupt conduct, conduct involving a substantial mismanagement of public resources, or conduct involving a substantial risk to the public health and safety or the environment.</w:t>
      </w:r>
    </w:p>
    <w:p w14:paraId="399D7265" w14:textId="77777777" w:rsidR="008D0DAB" w:rsidRPr="00907CB5" w:rsidRDefault="008D0DAB" w:rsidP="008D0DAB">
      <w:pPr>
        <w:pStyle w:val="Heading2"/>
        <w:rPr>
          <w:sz w:val="28"/>
          <w:szCs w:val="28"/>
        </w:rPr>
      </w:pPr>
      <w:r w:rsidRPr="00907CB5">
        <w:rPr>
          <w:sz w:val="28"/>
          <w:szCs w:val="28"/>
        </w:rPr>
        <w:t>Reporting procedures</w:t>
      </w:r>
    </w:p>
    <w:p w14:paraId="683A6076" w14:textId="77777777" w:rsidR="008D0DAB" w:rsidRPr="00B96E2A" w:rsidRDefault="008D0DAB" w:rsidP="008D0DAB">
      <w:pPr>
        <w:tabs>
          <w:tab w:val="left" w:pos="993"/>
        </w:tabs>
        <w:rPr>
          <w:rFonts w:cs="Arial"/>
        </w:rPr>
      </w:pPr>
      <w:r w:rsidRPr="00B96E2A">
        <w:rPr>
          <w:rFonts w:cs="Arial"/>
        </w:rPr>
        <w:t xml:space="preserve">Disclosures of improper conduct or detrimental action by </w:t>
      </w:r>
      <w:r>
        <w:rPr>
          <w:rFonts w:cs="Arial"/>
        </w:rPr>
        <w:t xml:space="preserve">SEC Infrastructure </w:t>
      </w:r>
      <w:r w:rsidRPr="00B96E2A">
        <w:rPr>
          <w:rFonts w:cs="Arial"/>
        </w:rPr>
        <w:t>or any of its employees and/or officers may be made directly to:</w:t>
      </w:r>
    </w:p>
    <w:p w14:paraId="22936B8E" w14:textId="77777777" w:rsidR="008D0DAB" w:rsidRPr="00F65403" w:rsidRDefault="008D0DAB" w:rsidP="008D0DAB">
      <w:pPr>
        <w:tabs>
          <w:tab w:val="left" w:pos="993"/>
        </w:tabs>
        <w:rPr>
          <w:rFonts w:cs="Arial"/>
        </w:rPr>
      </w:pPr>
      <w:r w:rsidRPr="00B96E2A">
        <w:rPr>
          <w:rFonts w:cs="Arial"/>
        </w:rPr>
        <w:t xml:space="preserve">The Independent Broad-based Anti-corruption Commission </w:t>
      </w:r>
      <w:r>
        <w:rPr>
          <w:rFonts w:cs="Arial"/>
        </w:rPr>
        <w:br/>
      </w:r>
      <w:r w:rsidRPr="00B96E2A">
        <w:rPr>
          <w:rFonts w:cs="Arial"/>
        </w:rPr>
        <w:t>Phone: 1300 735 135</w:t>
      </w:r>
      <w:r>
        <w:rPr>
          <w:rFonts w:cs="Arial"/>
        </w:rPr>
        <w:br/>
      </w:r>
      <w:r w:rsidRPr="00F96FA2">
        <w:rPr>
          <w:rFonts w:cs="Arial"/>
        </w:rPr>
        <w:t>Email:</w:t>
      </w:r>
      <w:r w:rsidRPr="00B94E93">
        <w:rPr>
          <w:rFonts w:cs="Arial"/>
        </w:rPr>
        <w:t xml:space="preserve"> </w:t>
      </w:r>
      <w:hyperlink r:id="rId20">
        <w:r w:rsidRPr="00B94E93">
          <w:rPr>
            <w:rFonts w:cs="Arial"/>
          </w:rPr>
          <w:t>info@ibac.vic.gov.au</w:t>
        </w:r>
      </w:hyperlink>
    </w:p>
    <w:p w14:paraId="0C91F484" w14:textId="77777777" w:rsidR="008D0DAB" w:rsidRPr="00907CB5" w:rsidRDefault="008D0DAB" w:rsidP="008D0DAB">
      <w:pPr>
        <w:pStyle w:val="Heading2"/>
        <w:rPr>
          <w:sz w:val="28"/>
          <w:szCs w:val="28"/>
        </w:rPr>
      </w:pPr>
      <w:bookmarkStart w:id="585" w:name="_Ref208418735"/>
      <w:r w:rsidRPr="00907CB5">
        <w:rPr>
          <w:sz w:val="28"/>
          <w:szCs w:val="28"/>
        </w:rPr>
        <w:t>Environmental Reporting</w:t>
      </w:r>
      <w:bookmarkEnd w:id="585"/>
    </w:p>
    <w:p w14:paraId="565E1BD5" w14:textId="7D3174AD" w:rsidR="008D0DAB" w:rsidRPr="00F65403" w:rsidRDefault="00240D81" w:rsidP="008D0DAB">
      <w:pPr>
        <w:tabs>
          <w:tab w:val="left" w:pos="993"/>
        </w:tabs>
        <w:rPr>
          <w:rFonts w:cs="Arial"/>
        </w:rPr>
      </w:pPr>
      <w:r w:rsidRPr="00240D81">
        <w:rPr>
          <w:rFonts w:cs="Arial"/>
        </w:rPr>
        <w:t xml:space="preserve">SEC </w:t>
      </w:r>
      <w:r w:rsidR="0010037B">
        <w:rPr>
          <w:rFonts w:cs="Arial"/>
        </w:rPr>
        <w:t>Infrastructure</w:t>
      </w:r>
      <w:r w:rsidR="0010037B" w:rsidRPr="00240D81">
        <w:rPr>
          <w:rFonts w:cs="Arial"/>
        </w:rPr>
        <w:t>’s</w:t>
      </w:r>
      <w:r w:rsidRPr="00240D81">
        <w:rPr>
          <w:rFonts w:cs="Arial"/>
        </w:rPr>
        <w:t xml:space="preserve"> accommodation was paid for by SEC Victoria. Refer to SEC Victoria’s corporate compliance statement for further detail. </w:t>
      </w:r>
    </w:p>
    <w:p w14:paraId="735E96D6" w14:textId="21A1834E" w:rsidR="008D0DAB" w:rsidRPr="00F65403" w:rsidRDefault="008D0DAB" w:rsidP="008D0DAB">
      <w:pPr>
        <w:tabs>
          <w:tab w:val="left" w:pos="993"/>
        </w:tabs>
        <w:rPr>
          <w:rFonts w:cs="Arial"/>
        </w:rPr>
      </w:pPr>
      <w:r>
        <w:rPr>
          <w:rFonts w:cs="Arial"/>
        </w:rPr>
        <w:t>SEC Infrastructure</w:t>
      </w:r>
      <w:r w:rsidRPr="00B96E2A">
        <w:rPr>
          <w:rFonts w:cs="Arial"/>
        </w:rPr>
        <w:t xml:space="preserve"> is committed to proactively contributing to a sustainable environment and continues to minimise its office-based environmental impact through:</w:t>
      </w:r>
    </w:p>
    <w:p w14:paraId="0ECD957E" w14:textId="256FC1D3" w:rsidR="008D0DAB" w:rsidRPr="005944F3" w:rsidRDefault="008D0DAB" w:rsidP="008D0DAB">
      <w:pPr>
        <w:pStyle w:val="Bullet"/>
        <w:rPr>
          <w:rFonts w:cs="Arial"/>
        </w:rPr>
      </w:pPr>
      <w:r w:rsidRPr="005944F3">
        <w:rPr>
          <w:rFonts w:cs="Arial"/>
        </w:rPr>
        <w:t>separating office waste into organic, commingled recyclable and landfill streams</w:t>
      </w:r>
    </w:p>
    <w:p w14:paraId="7FECBF16" w14:textId="77E8A4BD" w:rsidR="008D0DAB" w:rsidRPr="005944F3" w:rsidRDefault="008D0DAB" w:rsidP="008D0DAB">
      <w:pPr>
        <w:pStyle w:val="Bullet"/>
        <w:rPr>
          <w:rFonts w:cs="Arial"/>
        </w:rPr>
      </w:pPr>
      <w:r w:rsidRPr="005944F3">
        <w:rPr>
          <w:rFonts w:cs="Arial"/>
        </w:rPr>
        <w:t>reducing paper and printer toner use with the widespread adoption by staff of laptops, tablets, smartphones, and other digital devices.</w:t>
      </w:r>
    </w:p>
    <w:p w14:paraId="386BB7AA" w14:textId="77777777" w:rsidR="008D0DAB" w:rsidRPr="00907CB5" w:rsidRDefault="008D0DAB" w:rsidP="008D0DAB">
      <w:pPr>
        <w:pStyle w:val="Heading2"/>
        <w:rPr>
          <w:i/>
          <w:sz w:val="28"/>
          <w:szCs w:val="28"/>
        </w:rPr>
      </w:pPr>
      <w:bookmarkStart w:id="586" w:name="_Ref208418686"/>
      <w:r w:rsidRPr="00907CB5">
        <w:rPr>
          <w:sz w:val="28"/>
          <w:szCs w:val="28"/>
        </w:rPr>
        <w:t xml:space="preserve">Compliance with the </w:t>
      </w:r>
      <w:r w:rsidRPr="00907CB5">
        <w:rPr>
          <w:i/>
          <w:sz w:val="28"/>
          <w:szCs w:val="28"/>
        </w:rPr>
        <w:t>Building Act 1993</w:t>
      </w:r>
      <w:bookmarkEnd w:id="586"/>
    </w:p>
    <w:p w14:paraId="1771B43A" w14:textId="77777777" w:rsidR="008D0DAB" w:rsidRPr="00B96E2A" w:rsidRDefault="008D0DAB" w:rsidP="008D0DAB">
      <w:pPr>
        <w:tabs>
          <w:tab w:val="left" w:pos="993"/>
        </w:tabs>
        <w:rPr>
          <w:rFonts w:cs="Arial"/>
        </w:rPr>
      </w:pPr>
      <w:r>
        <w:rPr>
          <w:rFonts w:cs="Arial"/>
        </w:rPr>
        <w:t>SEC Infrastructure</w:t>
      </w:r>
      <w:r w:rsidRPr="00B96E2A">
        <w:rPr>
          <w:rFonts w:cs="Arial"/>
        </w:rPr>
        <w:t xml:space="preserve"> does not own or control any government buildings and is consequently exempt from notifying its compliance with the building and maintenance provisions of the </w:t>
      </w:r>
      <w:r w:rsidRPr="00B96E2A">
        <w:rPr>
          <w:rFonts w:cs="Arial"/>
          <w:i/>
        </w:rPr>
        <w:t>Building Act 1993</w:t>
      </w:r>
      <w:r w:rsidRPr="00B96E2A">
        <w:rPr>
          <w:rFonts w:cs="Arial"/>
        </w:rPr>
        <w:t>.</w:t>
      </w:r>
    </w:p>
    <w:p w14:paraId="001BC2C8" w14:textId="3846C68B" w:rsidR="008D0DAB" w:rsidRPr="00907CB5" w:rsidRDefault="008D0DAB" w:rsidP="008D0DAB">
      <w:pPr>
        <w:pStyle w:val="Heading2"/>
        <w:rPr>
          <w:sz w:val="28"/>
          <w:szCs w:val="28"/>
        </w:rPr>
      </w:pPr>
      <w:r w:rsidRPr="5EF97404">
        <w:rPr>
          <w:sz w:val="28"/>
          <w:szCs w:val="28"/>
        </w:rPr>
        <w:t xml:space="preserve">Modern </w:t>
      </w:r>
      <w:r w:rsidR="6A0BE6C4" w:rsidRPr="5EF97404">
        <w:rPr>
          <w:sz w:val="28"/>
          <w:szCs w:val="28"/>
        </w:rPr>
        <w:t>s</w:t>
      </w:r>
      <w:r w:rsidRPr="5EF97404">
        <w:rPr>
          <w:sz w:val="28"/>
          <w:szCs w:val="28"/>
        </w:rPr>
        <w:t>lavery</w:t>
      </w:r>
    </w:p>
    <w:p w14:paraId="440C1E7D" w14:textId="77777777" w:rsidR="008D0DAB" w:rsidRPr="00B96E2A" w:rsidRDefault="008D0DAB" w:rsidP="008D0DAB">
      <w:pPr>
        <w:tabs>
          <w:tab w:val="left" w:pos="993"/>
        </w:tabs>
        <w:rPr>
          <w:rFonts w:cs="Arial"/>
        </w:rPr>
      </w:pPr>
      <w:r w:rsidRPr="49BCD735">
        <w:rPr>
          <w:rFonts w:cs="Arial"/>
          <w:i/>
          <w:iCs/>
        </w:rPr>
        <w:t>The Modern Slavery Act 2018</w:t>
      </w:r>
      <w:r w:rsidRPr="49BCD735">
        <w:rPr>
          <w:rFonts w:cs="Arial"/>
        </w:rPr>
        <w:t xml:space="preserve"> (MS Act) addresses modern slavery risks within supply chains. The </w:t>
      </w:r>
      <w:r>
        <w:rPr>
          <w:rFonts w:cs="Arial"/>
        </w:rPr>
        <w:t>Company</w:t>
      </w:r>
      <w:r w:rsidRPr="49BCD735">
        <w:rPr>
          <w:rFonts w:cs="Arial"/>
        </w:rPr>
        <w:t xml:space="preserve"> is not subject to the MS Act for this reporting period.</w:t>
      </w:r>
    </w:p>
    <w:p w14:paraId="1FFA8538" w14:textId="77777777" w:rsidR="008D0DAB" w:rsidRPr="00F65403" w:rsidRDefault="008D0DAB" w:rsidP="008D0DAB">
      <w:pPr>
        <w:rPr>
          <w:rFonts w:eastAsiaTheme="majorEastAsia" w:cstheme="majorBidi"/>
          <w:sz w:val="32"/>
          <w:szCs w:val="40"/>
        </w:rPr>
      </w:pPr>
      <w:r>
        <w:br w:type="page"/>
      </w:r>
    </w:p>
    <w:p w14:paraId="68D5751B" w14:textId="77777777" w:rsidR="008D0DAB" w:rsidRPr="00AC4CFA" w:rsidRDefault="008D0DAB" w:rsidP="00B254AC">
      <w:pPr>
        <w:pStyle w:val="Heading1"/>
      </w:pPr>
      <w:bookmarkStart w:id="587" w:name="_Ref208418593"/>
      <w:bookmarkStart w:id="588" w:name="_Toc209080419"/>
      <w:bookmarkStart w:id="589" w:name="_Toc209703989"/>
      <w:bookmarkStart w:id="590" w:name="_Toc209704042"/>
      <w:bookmarkStart w:id="591" w:name="_Toc209704095"/>
      <w:r w:rsidRPr="00AC4CFA">
        <w:t>Disclosure index</w:t>
      </w:r>
      <w:bookmarkEnd w:id="587"/>
      <w:bookmarkEnd w:id="588"/>
      <w:bookmarkEnd w:id="589"/>
      <w:bookmarkEnd w:id="590"/>
      <w:bookmarkEnd w:id="591"/>
    </w:p>
    <w:p w14:paraId="5FFA7CC0" w14:textId="77777777" w:rsidR="008D0DAB" w:rsidRDefault="008D0DAB" w:rsidP="008D0DAB">
      <w:pPr>
        <w:tabs>
          <w:tab w:val="left" w:pos="993"/>
        </w:tabs>
        <w:rPr>
          <w:rFonts w:cs="Arial"/>
        </w:rPr>
      </w:pPr>
      <w:r w:rsidRPr="00C261BE">
        <w:rPr>
          <w:rFonts w:cs="Arial"/>
        </w:rPr>
        <w:t xml:space="preserve">The consolidated annual report of SEC </w:t>
      </w:r>
      <w:r>
        <w:rPr>
          <w:rFonts w:cs="Arial"/>
        </w:rPr>
        <w:t>Infrastructure</w:t>
      </w:r>
      <w:r w:rsidRPr="00C261BE">
        <w:rPr>
          <w:rFonts w:cs="Arial"/>
        </w:rPr>
        <w:t xml:space="preserve"> Pty Ltd is prepared in accordance with all relevant Victorian legislation and pronouncements. This index has been prepared to facilitate identification of compliance with statutory disclosure requirements.</w:t>
      </w:r>
    </w:p>
    <w:p w14:paraId="2790B9D4" w14:textId="68FC11AE" w:rsidR="008D0DAB" w:rsidRDefault="008D0DAB" w:rsidP="008D0DAB">
      <w:pPr>
        <w:tabs>
          <w:tab w:val="left" w:pos="993"/>
        </w:tabs>
        <w:rPr>
          <w:rFonts w:cs="Arial"/>
        </w:rPr>
      </w:pPr>
      <w:r w:rsidRPr="00E54869">
        <w:rPr>
          <w:rFonts w:cs="Arial"/>
        </w:rPr>
        <w:t xml:space="preserve">SEC </w:t>
      </w:r>
      <w:r>
        <w:rPr>
          <w:rFonts w:cs="Arial"/>
        </w:rPr>
        <w:t>Infrastructure</w:t>
      </w:r>
      <w:r w:rsidRPr="00E54869">
        <w:rPr>
          <w:rFonts w:cs="Arial"/>
        </w:rPr>
        <w:t xml:space="preserve"> Pty Ltd is part of SEC</w:t>
      </w:r>
      <w:r w:rsidR="1AA3DF5D" w:rsidRPr="00E54869">
        <w:rPr>
          <w:rFonts w:cs="Arial"/>
        </w:rPr>
        <w:t>’s</w:t>
      </w:r>
      <w:r w:rsidRPr="00E54869">
        <w:rPr>
          <w:rFonts w:cs="Arial"/>
        </w:rPr>
        <w:t xml:space="preserve"> group of companies that work together to meet the SEC’s overall objectives. Its parent company, SEC Victoria Pty Ltd, prepares a consolidated annual report that includes the results and operations of the Company and other controlled entities. The Report of Operations has been prepared to cover the whole SEC group of companies from page </w:t>
      </w:r>
      <w:r w:rsidR="004C5880">
        <w:rPr>
          <w:rFonts w:cs="Arial"/>
          <w:highlight w:val="yellow"/>
        </w:rPr>
        <w:fldChar w:fldCharType="begin"/>
      </w:r>
      <w:r w:rsidR="004C5880">
        <w:rPr>
          <w:rFonts w:cs="Arial"/>
        </w:rPr>
        <w:instrText xml:space="preserve"> PAGEREF _Ref208418529 \h </w:instrText>
      </w:r>
      <w:r w:rsidR="004C5880">
        <w:rPr>
          <w:rFonts w:cs="Arial"/>
          <w:highlight w:val="yellow"/>
        </w:rPr>
      </w:r>
      <w:r w:rsidR="004C5880">
        <w:rPr>
          <w:rFonts w:cs="Arial"/>
          <w:highlight w:val="yellow"/>
        </w:rPr>
        <w:fldChar w:fldCharType="separate"/>
      </w:r>
      <w:r w:rsidR="00BC7653">
        <w:rPr>
          <w:rFonts w:cs="Arial"/>
          <w:noProof/>
        </w:rPr>
        <w:t>12</w:t>
      </w:r>
      <w:r w:rsidR="004C5880">
        <w:rPr>
          <w:rFonts w:cs="Arial"/>
          <w:highlight w:val="yellow"/>
        </w:rPr>
        <w:fldChar w:fldCharType="end"/>
      </w:r>
      <w:r w:rsidRPr="00E54869">
        <w:rPr>
          <w:rFonts w:cs="Arial"/>
        </w:rPr>
        <w:t xml:space="preserve"> and as such some sections have not been duplicated but referenced in the disclosure index below.</w:t>
      </w:r>
    </w:p>
    <w:p w14:paraId="7635B8F4" w14:textId="77777777" w:rsidR="008D0DAB" w:rsidRDefault="008D0DAB" w:rsidP="008D0DAB">
      <w:pPr>
        <w:tabs>
          <w:tab w:val="left" w:pos="993"/>
        </w:tabs>
        <w:rPr>
          <w:sz w:val="16"/>
        </w:rPr>
      </w:pPr>
    </w:p>
    <w:tbl>
      <w:tblPr>
        <w:tblW w:w="0" w:type="auto"/>
        <w:tblLayout w:type="fixed"/>
        <w:tblCellMar>
          <w:top w:w="28" w:type="dxa"/>
          <w:left w:w="28" w:type="dxa"/>
          <w:bottom w:w="28" w:type="dxa"/>
          <w:right w:w="28" w:type="dxa"/>
        </w:tblCellMar>
        <w:tblLook w:val="01E0" w:firstRow="1" w:lastRow="1" w:firstColumn="1" w:lastColumn="1" w:noHBand="0" w:noVBand="0"/>
      </w:tblPr>
      <w:tblGrid>
        <w:gridCol w:w="1990"/>
        <w:gridCol w:w="28"/>
        <w:gridCol w:w="6241"/>
        <w:gridCol w:w="7"/>
        <w:gridCol w:w="760"/>
      </w:tblGrid>
      <w:tr w:rsidR="008D0DAB" w:rsidRPr="003323EF" w14:paraId="5E1BC5E9" w14:textId="77777777" w:rsidTr="009B7B2A">
        <w:trPr>
          <w:tblHeader/>
        </w:trPr>
        <w:tc>
          <w:tcPr>
            <w:tcW w:w="1990" w:type="dxa"/>
            <w:tcBorders>
              <w:bottom w:val="single" w:sz="2" w:space="0" w:color="390A56"/>
            </w:tcBorders>
            <w:shd w:val="clear" w:color="auto" w:fill="EBDAD3"/>
          </w:tcPr>
          <w:p w14:paraId="060558AA" w14:textId="77777777" w:rsidR="008D0DAB" w:rsidRPr="00F65403" w:rsidRDefault="008D0DAB" w:rsidP="009B7B2A">
            <w:pPr>
              <w:pStyle w:val="TableParagraph"/>
              <w:spacing w:before="0"/>
              <w:rPr>
                <w:b/>
                <w:lang w:val="en-AU"/>
              </w:rPr>
            </w:pPr>
            <w:r w:rsidRPr="00F65403">
              <w:rPr>
                <w:b/>
                <w:color w:val="323031"/>
                <w:spacing w:val="-2"/>
                <w:lang w:val="en-AU"/>
              </w:rPr>
              <w:t>Legislation</w:t>
            </w:r>
          </w:p>
        </w:tc>
        <w:tc>
          <w:tcPr>
            <w:tcW w:w="6269" w:type="dxa"/>
            <w:gridSpan w:val="2"/>
            <w:tcBorders>
              <w:bottom w:val="single" w:sz="2" w:space="0" w:color="390A56"/>
            </w:tcBorders>
            <w:shd w:val="clear" w:color="auto" w:fill="EBDAD3"/>
          </w:tcPr>
          <w:p w14:paraId="16271427" w14:textId="77777777" w:rsidR="008D0DAB" w:rsidRPr="00F65403" w:rsidRDefault="008D0DAB" w:rsidP="009B7B2A">
            <w:pPr>
              <w:pStyle w:val="TableParagraph"/>
              <w:spacing w:before="0"/>
              <w:rPr>
                <w:b/>
                <w:lang w:val="en-AU"/>
              </w:rPr>
            </w:pPr>
            <w:r w:rsidRPr="00F65403">
              <w:rPr>
                <w:b/>
                <w:color w:val="323031"/>
                <w:spacing w:val="-2"/>
                <w:lang w:val="en-AU"/>
              </w:rPr>
              <w:t>Requirement</w:t>
            </w:r>
          </w:p>
        </w:tc>
        <w:tc>
          <w:tcPr>
            <w:tcW w:w="767" w:type="dxa"/>
            <w:gridSpan w:val="2"/>
            <w:tcBorders>
              <w:bottom w:val="single" w:sz="2" w:space="0" w:color="390A56"/>
            </w:tcBorders>
            <w:shd w:val="clear" w:color="auto" w:fill="EBDAD3"/>
          </w:tcPr>
          <w:p w14:paraId="743CDDF4" w14:textId="77777777" w:rsidR="008D0DAB" w:rsidRPr="00F65403" w:rsidRDefault="008D0DAB" w:rsidP="009B7B2A">
            <w:pPr>
              <w:pStyle w:val="TableParagraph"/>
              <w:spacing w:before="0"/>
              <w:jc w:val="center"/>
              <w:rPr>
                <w:b/>
                <w:bCs/>
                <w:lang w:val="en-AU"/>
              </w:rPr>
            </w:pPr>
            <w:r w:rsidRPr="49BCD735">
              <w:rPr>
                <w:b/>
                <w:bCs/>
                <w:color w:val="323031"/>
                <w:lang w:val="en-AU"/>
              </w:rPr>
              <w:t>Page</w:t>
            </w:r>
            <w:r w:rsidRPr="49BCD735">
              <w:rPr>
                <w:b/>
                <w:bCs/>
                <w:color w:val="323031"/>
                <w:spacing w:val="3"/>
                <w:lang w:val="en-AU"/>
              </w:rPr>
              <w:t xml:space="preserve"> </w:t>
            </w:r>
            <w:r w:rsidRPr="49BCD735">
              <w:rPr>
                <w:b/>
                <w:bCs/>
                <w:color w:val="323031"/>
                <w:spacing w:val="-2"/>
                <w:lang w:val="en-AU"/>
              </w:rPr>
              <w:t>ref</w:t>
            </w:r>
          </w:p>
        </w:tc>
      </w:tr>
      <w:tr w:rsidR="008D0DAB" w:rsidRPr="003323EF" w14:paraId="7487E86B" w14:textId="77777777" w:rsidTr="009B7B2A">
        <w:tc>
          <w:tcPr>
            <w:tcW w:w="9026" w:type="dxa"/>
            <w:gridSpan w:val="5"/>
            <w:shd w:val="clear" w:color="auto" w:fill="390A56"/>
          </w:tcPr>
          <w:p w14:paraId="6A84679D" w14:textId="77777777" w:rsidR="008D0DAB" w:rsidRPr="00F65403" w:rsidRDefault="008D0DAB" w:rsidP="009B7B2A">
            <w:pPr>
              <w:pStyle w:val="TableParagraph"/>
              <w:spacing w:before="0"/>
              <w:rPr>
                <w:b/>
                <w:lang w:val="en-AU"/>
              </w:rPr>
            </w:pPr>
            <w:r w:rsidRPr="00F65403">
              <w:rPr>
                <w:b/>
                <w:color w:val="FFFFFF"/>
                <w:spacing w:val="-2"/>
                <w:lang w:val="en-AU"/>
              </w:rPr>
              <w:t>Standing</w:t>
            </w:r>
            <w:r w:rsidRPr="00F65403">
              <w:rPr>
                <w:b/>
                <w:color w:val="FFFFFF"/>
                <w:lang w:val="en-AU"/>
              </w:rPr>
              <w:t xml:space="preserve"> </w:t>
            </w:r>
            <w:r w:rsidRPr="00F65403">
              <w:rPr>
                <w:b/>
                <w:color w:val="FFFFFF"/>
                <w:spacing w:val="-2"/>
                <w:lang w:val="en-AU"/>
              </w:rPr>
              <w:t>Directions</w:t>
            </w:r>
            <w:r w:rsidRPr="00F65403">
              <w:rPr>
                <w:b/>
                <w:color w:val="FFFFFF"/>
                <w:spacing w:val="1"/>
                <w:lang w:val="en-AU"/>
              </w:rPr>
              <w:t xml:space="preserve"> </w:t>
            </w:r>
            <w:r w:rsidRPr="00F65403">
              <w:rPr>
                <w:b/>
                <w:color w:val="FFFFFF"/>
                <w:spacing w:val="-2"/>
                <w:lang w:val="en-AU"/>
              </w:rPr>
              <w:t>and</w:t>
            </w:r>
            <w:r w:rsidRPr="00F65403">
              <w:rPr>
                <w:b/>
                <w:color w:val="FFFFFF"/>
                <w:spacing w:val="1"/>
                <w:lang w:val="en-AU"/>
              </w:rPr>
              <w:t xml:space="preserve"> </w:t>
            </w:r>
            <w:r w:rsidRPr="00F65403">
              <w:rPr>
                <w:b/>
                <w:color w:val="FFFFFF"/>
                <w:spacing w:val="-2"/>
                <w:lang w:val="en-AU"/>
              </w:rPr>
              <w:t>Financial</w:t>
            </w:r>
            <w:r w:rsidRPr="00F65403">
              <w:rPr>
                <w:b/>
                <w:color w:val="FFFFFF"/>
                <w:spacing w:val="1"/>
                <w:lang w:val="en-AU"/>
              </w:rPr>
              <w:t xml:space="preserve"> </w:t>
            </w:r>
            <w:r w:rsidRPr="00F65403">
              <w:rPr>
                <w:b/>
                <w:color w:val="FFFFFF"/>
                <w:spacing w:val="-2"/>
                <w:lang w:val="en-AU"/>
              </w:rPr>
              <w:t>Reporting</w:t>
            </w:r>
            <w:r w:rsidRPr="00F65403">
              <w:rPr>
                <w:b/>
                <w:color w:val="FFFFFF"/>
                <w:spacing w:val="1"/>
                <w:lang w:val="en-AU"/>
              </w:rPr>
              <w:t xml:space="preserve"> </w:t>
            </w:r>
            <w:r w:rsidRPr="00F65403">
              <w:rPr>
                <w:b/>
                <w:color w:val="FFFFFF"/>
                <w:spacing w:val="-2"/>
                <w:lang w:val="en-AU"/>
              </w:rPr>
              <w:t>Directions</w:t>
            </w:r>
          </w:p>
        </w:tc>
      </w:tr>
      <w:tr w:rsidR="008D0DAB" w:rsidRPr="003323EF" w14:paraId="30E3982B" w14:textId="77777777" w:rsidTr="009B7B2A">
        <w:tc>
          <w:tcPr>
            <w:tcW w:w="9026" w:type="dxa"/>
            <w:gridSpan w:val="5"/>
            <w:tcBorders>
              <w:bottom w:val="single" w:sz="2" w:space="0" w:color="390A56"/>
            </w:tcBorders>
            <w:shd w:val="clear" w:color="auto" w:fill="D7CEDD"/>
          </w:tcPr>
          <w:p w14:paraId="1CEC50C7" w14:textId="77777777" w:rsidR="008D0DAB" w:rsidRPr="00F65403" w:rsidRDefault="008D0DAB" w:rsidP="009B7B2A">
            <w:pPr>
              <w:pStyle w:val="TableParagraph"/>
              <w:spacing w:before="0"/>
              <w:rPr>
                <w:b/>
                <w:lang w:val="en-AU"/>
              </w:rPr>
            </w:pPr>
            <w:r w:rsidRPr="00F65403">
              <w:rPr>
                <w:b/>
                <w:color w:val="323031"/>
                <w:lang w:val="en-AU"/>
              </w:rPr>
              <w:t>Report</w:t>
            </w:r>
            <w:r w:rsidRPr="00F65403">
              <w:rPr>
                <w:b/>
                <w:color w:val="323031"/>
                <w:spacing w:val="-3"/>
                <w:lang w:val="en-AU"/>
              </w:rPr>
              <w:t xml:space="preserve"> </w:t>
            </w:r>
            <w:r w:rsidRPr="00F65403">
              <w:rPr>
                <w:b/>
                <w:color w:val="323031"/>
                <w:lang w:val="en-AU"/>
              </w:rPr>
              <w:t>of</w:t>
            </w:r>
            <w:r w:rsidRPr="00F65403">
              <w:rPr>
                <w:b/>
                <w:color w:val="323031"/>
                <w:spacing w:val="-3"/>
                <w:lang w:val="en-AU"/>
              </w:rPr>
              <w:t xml:space="preserve"> </w:t>
            </w:r>
            <w:r w:rsidRPr="00F65403">
              <w:rPr>
                <w:b/>
                <w:color w:val="323031"/>
                <w:spacing w:val="-2"/>
                <w:lang w:val="en-AU"/>
              </w:rPr>
              <w:t>operations</w:t>
            </w:r>
          </w:p>
        </w:tc>
      </w:tr>
      <w:tr w:rsidR="008D0DAB" w:rsidRPr="003323EF" w14:paraId="1DDFD20E" w14:textId="77777777" w:rsidTr="009B7B2A">
        <w:tc>
          <w:tcPr>
            <w:tcW w:w="9026" w:type="dxa"/>
            <w:gridSpan w:val="5"/>
            <w:tcBorders>
              <w:top w:val="single" w:sz="2" w:space="0" w:color="390A56"/>
              <w:bottom w:val="single" w:sz="2" w:space="0" w:color="390A56"/>
            </w:tcBorders>
            <w:shd w:val="clear" w:color="auto" w:fill="F0E3DE"/>
          </w:tcPr>
          <w:p w14:paraId="2651741A" w14:textId="77777777" w:rsidR="008D0DAB" w:rsidRPr="00F65403" w:rsidRDefault="008D0DAB" w:rsidP="009B7B2A">
            <w:pPr>
              <w:pStyle w:val="TableParagraph"/>
              <w:spacing w:before="0"/>
              <w:rPr>
                <w:b/>
                <w:lang w:val="en-AU"/>
              </w:rPr>
            </w:pPr>
            <w:r w:rsidRPr="00F65403">
              <w:rPr>
                <w:b/>
                <w:color w:val="323031"/>
                <w:lang w:val="en-AU"/>
              </w:rPr>
              <w:t>Charter and</w:t>
            </w:r>
            <w:r w:rsidRPr="00F65403">
              <w:rPr>
                <w:b/>
                <w:color w:val="323031"/>
                <w:spacing w:val="1"/>
                <w:lang w:val="en-AU"/>
              </w:rPr>
              <w:t xml:space="preserve"> </w:t>
            </w:r>
            <w:r w:rsidRPr="00F65403">
              <w:rPr>
                <w:b/>
                <w:color w:val="323031"/>
                <w:spacing w:val="-2"/>
                <w:lang w:val="en-AU"/>
              </w:rPr>
              <w:t>purpose</w:t>
            </w:r>
          </w:p>
        </w:tc>
      </w:tr>
      <w:tr w:rsidR="004C5880" w:rsidRPr="003323EF" w14:paraId="09ADBD6F" w14:textId="77777777" w:rsidTr="009B7B2A">
        <w:tc>
          <w:tcPr>
            <w:tcW w:w="1990" w:type="dxa"/>
            <w:tcBorders>
              <w:top w:val="single" w:sz="2" w:space="0" w:color="390A56"/>
              <w:bottom w:val="single" w:sz="2" w:space="0" w:color="390A56"/>
            </w:tcBorders>
            <w:shd w:val="clear" w:color="auto" w:fill="FFFFFF" w:themeFill="background1"/>
          </w:tcPr>
          <w:p w14:paraId="2E8A16F0"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29EC357" w14:textId="77777777" w:rsidR="004C5880" w:rsidRPr="00F65403" w:rsidRDefault="004C5880" w:rsidP="004C5880">
            <w:pPr>
              <w:pStyle w:val="TableParagraph"/>
              <w:spacing w:before="0"/>
              <w:rPr>
                <w:lang w:val="en-AU"/>
              </w:rPr>
            </w:pPr>
            <w:r w:rsidRPr="00F65403">
              <w:rPr>
                <w:color w:val="323031"/>
                <w:lang w:val="en-AU"/>
              </w:rPr>
              <w:t>Manner</w:t>
            </w:r>
            <w:r w:rsidRPr="00F65403">
              <w:rPr>
                <w:color w:val="323031"/>
                <w:spacing w:val="24"/>
                <w:lang w:val="en-AU"/>
              </w:rPr>
              <w:t xml:space="preserve"> </w:t>
            </w:r>
            <w:r w:rsidRPr="00F65403">
              <w:rPr>
                <w:color w:val="323031"/>
                <w:lang w:val="en-AU"/>
              </w:rPr>
              <w:t>of</w:t>
            </w:r>
            <w:r w:rsidRPr="00F65403">
              <w:rPr>
                <w:color w:val="323031"/>
                <w:spacing w:val="25"/>
                <w:lang w:val="en-AU"/>
              </w:rPr>
              <w:t xml:space="preserve"> </w:t>
            </w:r>
            <w:r w:rsidRPr="00F65403">
              <w:rPr>
                <w:color w:val="323031"/>
                <w:lang w:val="en-AU"/>
              </w:rPr>
              <w:t>establishment</w:t>
            </w:r>
            <w:r w:rsidRPr="00F65403">
              <w:rPr>
                <w:color w:val="323031"/>
                <w:spacing w:val="25"/>
                <w:lang w:val="en-AU"/>
              </w:rPr>
              <w:t xml:space="preserve"> </w:t>
            </w:r>
            <w:r w:rsidRPr="00F65403">
              <w:rPr>
                <w:color w:val="323031"/>
                <w:lang w:val="en-AU"/>
              </w:rPr>
              <w:t>and</w:t>
            </w:r>
            <w:r w:rsidRPr="00F65403">
              <w:rPr>
                <w:color w:val="323031"/>
                <w:spacing w:val="25"/>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relevant</w:t>
            </w:r>
            <w:r w:rsidRPr="00F65403">
              <w:rPr>
                <w:color w:val="323031"/>
                <w:spacing w:val="24"/>
                <w:lang w:val="en-AU"/>
              </w:rPr>
              <w:t xml:space="preserve"> </w:t>
            </w:r>
            <w:r w:rsidRPr="00F65403">
              <w:rPr>
                <w:color w:val="323031"/>
                <w:spacing w:val="-2"/>
                <w:lang w:val="en-AU"/>
              </w:rPr>
              <w:t>Ministers</w:t>
            </w:r>
          </w:p>
        </w:tc>
        <w:tc>
          <w:tcPr>
            <w:tcW w:w="760" w:type="dxa"/>
            <w:tcBorders>
              <w:top w:val="single" w:sz="2" w:space="0" w:color="390A56"/>
              <w:bottom w:val="single" w:sz="2" w:space="0" w:color="390A56"/>
            </w:tcBorders>
            <w:shd w:val="clear" w:color="auto" w:fill="FFFFFF" w:themeFill="background1"/>
          </w:tcPr>
          <w:p w14:paraId="1FB8A564" w14:textId="756CAFAB"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_Ref207630804 \h </w:instrText>
            </w:r>
            <w:r>
              <w:rPr>
                <w:lang w:val="en-AU"/>
              </w:rPr>
            </w:r>
            <w:r>
              <w:rPr>
                <w:lang w:val="en-AU"/>
              </w:rPr>
              <w:fldChar w:fldCharType="separate"/>
            </w:r>
            <w:r w:rsidR="00BC7653">
              <w:rPr>
                <w:noProof/>
                <w:lang w:val="en-AU"/>
              </w:rPr>
              <w:t>16</w:t>
            </w:r>
            <w:r>
              <w:rPr>
                <w:lang w:val="en-AU"/>
              </w:rPr>
              <w:fldChar w:fldCharType="end"/>
            </w:r>
          </w:p>
        </w:tc>
      </w:tr>
      <w:tr w:rsidR="004C5880" w:rsidRPr="003323EF" w14:paraId="0C0D0616" w14:textId="77777777" w:rsidTr="009B7B2A">
        <w:tc>
          <w:tcPr>
            <w:tcW w:w="1990" w:type="dxa"/>
            <w:tcBorders>
              <w:top w:val="single" w:sz="2" w:space="0" w:color="390A56"/>
              <w:bottom w:val="single" w:sz="2" w:space="0" w:color="390A56"/>
            </w:tcBorders>
            <w:shd w:val="clear" w:color="auto" w:fill="FFFFFF" w:themeFill="background1"/>
          </w:tcPr>
          <w:p w14:paraId="6948F61B"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F165F26" w14:textId="77777777" w:rsidR="004C5880" w:rsidRPr="00F65403" w:rsidRDefault="004C5880" w:rsidP="004C5880">
            <w:pPr>
              <w:pStyle w:val="TableParagraph"/>
              <w:spacing w:before="0"/>
              <w:rPr>
                <w:lang w:val="en-AU"/>
              </w:rPr>
            </w:pPr>
            <w:r w:rsidRPr="00F65403">
              <w:rPr>
                <w:color w:val="323031"/>
                <w:w w:val="105"/>
                <w:lang w:val="en-AU"/>
              </w:rPr>
              <w:t>Purpose,</w:t>
            </w:r>
            <w:r w:rsidRPr="00F65403">
              <w:rPr>
                <w:color w:val="323031"/>
                <w:spacing w:val="-12"/>
                <w:w w:val="105"/>
                <w:lang w:val="en-AU"/>
              </w:rPr>
              <w:t xml:space="preserve"> </w:t>
            </w:r>
            <w:r w:rsidRPr="00F65403">
              <w:rPr>
                <w:color w:val="323031"/>
                <w:w w:val="105"/>
                <w:lang w:val="en-AU"/>
              </w:rPr>
              <w:t>functions,</w:t>
            </w:r>
            <w:r w:rsidRPr="00F65403">
              <w:rPr>
                <w:color w:val="323031"/>
                <w:spacing w:val="-11"/>
                <w:w w:val="105"/>
                <w:lang w:val="en-AU"/>
              </w:rPr>
              <w:t xml:space="preserve"> </w:t>
            </w:r>
            <w:r w:rsidRPr="00F65403">
              <w:rPr>
                <w:color w:val="323031"/>
                <w:w w:val="105"/>
                <w:lang w:val="en-AU"/>
              </w:rPr>
              <w:t>powers</w:t>
            </w:r>
            <w:r w:rsidRPr="00F65403">
              <w:rPr>
                <w:color w:val="323031"/>
                <w:spacing w:val="-12"/>
                <w:w w:val="105"/>
                <w:lang w:val="en-AU"/>
              </w:rPr>
              <w:t xml:space="preserve"> </w:t>
            </w:r>
            <w:r w:rsidRPr="00F65403">
              <w:rPr>
                <w:color w:val="323031"/>
                <w:w w:val="105"/>
                <w:lang w:val="en-AU"/>
              </w:rPr>
              <w:t>and</w:t>
            </w:r>
            <w:r w:rsidRPr="00F65403">
              <w:rPr>
                <w:color w:val="323031"/>
                <w:spacing w:val="-11"/>
                <w:w w:val="105"/>
                <w:lang w:val="en-AU"/>
              </w:rPr>
              <w:t xml:space="preserve"> </w:t>
            </w:r>
            <w:r w:rsidRPr="00F65403">
              <w:rPr>
                <w:color w:val="323031"/>
                <w:spacing w:val="-2"/>
                <w:w w:val="105"/>
                <w:lang w:val="en-AU"/>
              </w:rPr>
              <w:t>duties</w:t>
            </w:r>
          </w:p>
        </w:tc>
        <w:tc>
          <w:tcPr>
            <w:tcW w:w="760" w:type="dxa"/>
            <w:tcBorders>
              <w:top w:val="single" w:sz="2" w:space="0" w:color="390A56"/>
              <w:bottom w:val="single" w:sz="2" w:space="0" w:color="390A56"/>
            </w:tcBorders>
            <w:shd w:val="clear" w:color="auto" w:fill="FFFFFF" w:themeFill="background1"/>
          </w:tcPr>
          <w:p w14:paraId="084CF985" w14:textId="30FA3079"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_Ref207630818 \h </w:instrText>
            </w:r>
            <w:r>
              <w:rPr>
                <w:lang w:val="en-AU"/>
              </w:rPr>
            </w:r>
            <w:r>
              <w:rPr>
                <w:lang w:val="en-AU"/>
              </w:rPr>
              <w:fldChar w:fldCharType="separate"/>
            </w:r>
            <w:r w:rsidR="00BC7653">
              <w:rPr>
                <w:noProof/>
                <w:lang w:val="en-AU"/>
              </w:rPr>
              <w:t>16</w:t>
            </w:r>
            <w:r>
              <w:rPr>
                <w:lang w:val="en-AU"/>
              </w:rPr>
              <w:fldChar w:fldCharType="end"/>
            </w:r>
          </w:p>
        </w:tc>
      </w:tr>
      <w:tr w:rsidR="004C5880" w:rsidRPr="003323EF" w14:paraId="3BF3FC25" w14:textId="77777777" w:rsidTr="009B7B2A">
        <w:tc>
          <w:tcPr>
            <w:tcW w:w="1990" w:type="dxa"/>
            <w:tcBorders>
              <w:top w:val="single" w:sz="2" w:space="0" w:color="390A56"/>
              <w:bottom w:val="single" w:sz="2" w:space="0" w:color="390A56"/>
            </w:tcBorders>
            <w:shd w:val="clear" w:color="auto" w:fill="FFFFFF" w:themeFill="background1"/>
          </w:tcPr>
          <w:p w14:paraId="6AAF3841"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F0E13A4" w14:textId="77777777" w:rsidR="004C5880" w:rsidRPr="00F65403" w:rsidRDefault="004C5880" w:rsidP="004C5880">
            <w:pPr>
              <w:pStyle w:val="TableParagraph"/>
              <w:spacing w:before="0"/>
              <w:rPr>
                <w:lang w:val="en-AU"/>
              </w:rPr>
            </w:pPr>
            <w:r w:rsidRPr="00F65403">
              <w:rPr>
                <w:color w:val="323031"/>
                <w:w w:val="105"/>
                <w:lang w:val="en-AU"/>
              </w:rPr>
              <w:t>Key</w:t>
            </w:r>
            <w:r w:rsidRPr="00F65403">
              <w:rPr>
                <w:color w:val="323031"/>
                <w:spacing w:val="-13"/>
                <w:w w:val="105"/>
                <w:lang w:val="en-AU"/>
              </w:rPr>
              <w:t xml:space="preserve"> </w:t>
            </w:r>
            <w:r w:rsidRPr="00F65403">
              <w:rPr>
                <w:color w:val="323031"/>
                <w:w w:val="105"/>
                <w:lang w:val="en-AU"/>
              </w:rPr>
              <w:t>initiatives</w:t>
            </w:r>
            <w:r w:rsidRPr="00F65403">
              <w:rPr>
                <w:color w:val="323031"/>
                <w:spacing w:val="-12"/>
                <w:w w:val="105"/>
                <w:lang w:val="en-AU"/>
              </w:rPr>
              <w:t xml:space="preserve"> </w:t>
            </w:r>
            <w:r w:rsidRPr="00F65403">
              <w:rPr>
                <w:color w:val="323031"/>
                <w:w w:val="105"/>
                <w:lang w:val="en-AU"/>
              </w:rPr>
              <w:t>and</w:t>
            </w:r>
            <w:r w:rsidRPr="00F65403">
              <w:rPr>
                <w:color w:val="323031"/>
                <w:spacing w:val="-12"/>
                <w:w w:val="105"/>
                <w:lang w:val="en-AU"/>
              </w:rPr>
              <w:t xml:space="preserve"> </w:t>
            </w:r>
            <w:r w:rsidRPr="00F65403">
              <w:rPr>
                <w:color w:val="323031"/>
                <w:spacing w:val="-2"/>
                <w:w w:val="105"/>
                <w:lang w:val="en-AU"/>
              </w:rPr>
              <w:t>projects</w:t>
            </w:r>
          </w:p>
        </w:tc>
        <w:tc>
          <w:tcPr>
            <w:tcW w:w="760" w:type="dxa"/>
            <w:tcBorders>
              <w:top w:val="single" w:sz="2" w:space="0" w:color="390A56"/>
              <w:bottom w:val="single" w:sz="2" w:space="0" w:color="390A56"/>
            </w:tcBorders>
            <w:shd w:val="clear" w:color="auto" w:fill="FFFFFF" w:themeFill="background1"/>
          </w:tcPr>
          <w:p w14:paraId="3A146859" w14:textId="08CAA012"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_Ref207630831 \h </w:instrText>
            </w:r>
            <w:r>
              <w:rPr>
                <w:lang w:val="en-AU"/>
              </w:rPr>
            </w:r>
            <w:r>
              <w:rPr>
                <w:lang w:val="en-AU"/>
              </w:rPr>
              <w:fldChar w:fldCharType="separate"/>
            </w:r>
            <w:r w:rsidR="00BC7653">
              <w:rPr>
                <w:noProof/>
                <w:lang w:val="en-AU"/>
              </w:rPr>
              <w:t>25</w:t>
            </w:r>
            <w:r>
              <w:rPr>
                <w:lang w:val="en-AU"/>
              </w:rPr>
              <w:fldChar w:fldCharType="end"/>
            </w:r>
          </w:p>
        </w:tc>
      </w:tr>
      <w:tr w:rsidR="004C5880" w:rsidRPr="003323EF" w14:paraId="5628352D" w14:textId="77777777" w:rsidTr="009B7B2A">
        <w:tc>
          <w:tcPr>
            <w:tcW w:w="1990" w:type="dxa"/>
            <w:tcBorders>
              <w:top w:val="single" w:sz="2" w:space="0" w:color="390A56"/>
              <w:bottom w:val="single" w:sz="2" w:space="0" w:color="390A56"/>
            </w:tcBorders>
            <w:shd w:val="clear" w:color="auto" w:fill="FFFFFF" w:themeFill="background1"/>
          </w:tcPr>
          <w:p w14:paraId="1A1CDACE"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002CFA0" w14:textId="77777777" w:rsidR="004C5880" w:rsidRPr="00F65403" w:rsidRDefault="004C5880" w:rsidP="004C5880">
            <w:pPr>
              <w:pStyle w:val="TableParagraph"/>
              <w:spacing w:before="0"/>
              <w:rPr>
                <w:lang w:val="en-AU"/>
              </w:rPr>
            </w:pPr>
            <w:r w:rsidRPr="00F65403">
              <w:rPr>
                <w:color w:val="323031"/>
                <w:lang w:val="en-AU"/>
              </w:rPr>
              <w:t>Nature</w:t>
            </w:r>
            <w:r w:rsidRPr="00F65403">
              <w:rPr>
                <w:color w:val="323031"/>
                <w:spacing w:val="17"/>
                <w:lang w:val="en-AU"/>
              </w:rPr>
              <w:t xml:space="preserve"> </w:t>
            </w:r>
            <w:r w:rsidRPr="00F65403">
              <w:rPr>
                <w:color w:val="323031"/>
                <w:lang w:val="en-AU"/>
              </w:rPr>
              <w:t>and</w:t>
            </w:r>
            <w:r w:rsidRPr="00F65403">
              <w:rPr>
                <w:color w:val="323031"/>
                <w:spacing w:val="18"/>
                <w:lang w:val="en-AU"/>
              </w:rPr>
              <w:t xml:space="preserve"> </w:t>
            </w:r>
            <w:r w:rsidRPr="00F65403">
              <w:rPr>
                <w:color w:val="323031"/>
                <w:lang w:val="en-AU"/>
              </w:rPr>
              <w:t>range</w:t>
            </w:r>
            <w:r w:rsidRPr="00F65403">
              <w:rPr>
                <w:color w:val="323031"/>
                <w:spacing w:val="18"/>
                <w:lang w:val="en-AU"/>
              </w:rPr>
              <w:t xml:space="preserve"> </w:t>
            </w:r>
            <w:r w:rsidRPr="00F65403">
              <w:rPr>
                <w:color w:val="323031"/>
                <w:lang w:val="en-AU"/>
              </w:rPr>
              <w:t>of</w:t>
            </w:r>
            <w:r w:rsidRPr="00F65403">
              <w:rPr>
                <w:color w:val="323031"/>
                <w:spacing w:val="18"/>
                <w:lang w:val="en-AU"/>
              </w:rPr>
              <w:t xml:space="preserve"> </w:t>
            </w:r>
            <w:r w:rsidRPr="00F65403">
              <w:rPr>
                <w:color w:val="323031"/>
                <w:lang w:val="en-AU"/>
              </w:rPr>
              <w:t>services</w:t>
            </w:r>
            <w:r w:rsidRPr="00F65403">
              <w:rPr>
                <w:color w:val="323031"/>
                <w:spacing w:val="18"/>
                <w:lang w:val="en-AU"/>
              </w:rPr>
              <w:t xml:space="preserve"> </w:t>
            </w:r>
            <w:r w:rsidRPr="00F65403">
              <w:rPr>
                <w:color w:val="323031"/>
                <w:spacing w:val="-2"/>
                <w:lang w:val="en-AU"/>
              </w:rPr>
              <w:t>provided</w:t>
            </w:r>
          </w:p>
        </w:tc>
        <w:tc>
          <w:tcPr>
            <w:tcW w:w="760" w:type="dxa"/>
            <w:tcBorders>
              <w:top w:val="single" w:sz="2" w:space="0" w:color="390A56"/>
              <w:bottom w:val="single" w:sz="2" w:space="0" w:color="390A56"/>
            </w:tcBorders>
            <w:shd w:val="clear" w:color="auto" w:fill="FFFFFF" w:themeFill="background1"/>
          </w:tcPr>
          <w:p w14:paraId="66E40F34" w14:textId="16774AD8"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_Ref207630831 \h </w:instrText>
            </w:r>
            <w:r>
              <w:rPr>
                <w:lang w:val="en-AU"/>
              </w:rPr>
            </w:r>
            <w:r>
              <w:rPr>
                <w:lang w:val="en-AU"/>
              </w:rPr>
              <w:fldChar w:fldCharType="separate"/>
            </w:r>
            <w:r w:rsidR="00BC7653">
              <w:rPr>
                <w:noProof/>
                <w:lang w:val="en-AU"/>
              </w:rPr>
              <w:t>25</w:t>
            </w:r>
            <w:r>
              <w:rPr>
                <w:lang w:val="en-AU"/>
              </w:rPr>
              <w:fldChar w:fldCharType="end"/>
            </w:r>
          </w:p>
        </w:tc>
      </w:tr>
      <w:tr w:rsidR="004C5880" w:rsidRPr="003323EF" w14:paraId="3A71CCBB" w14:textId="77777777" w:rsidTr="009B7B2A">
        <w:tc>
          <w:tcPr>
            <w:tcW w:w="9026" w:type="dxa"/>
            <w:gridSpan w:val="5"/>
            <w:tcBorders>
              <w:top w:val="single" w:sz="2" w:space="0" w:color="390A56"/>
              <w:bottom w:val="single" w:sz="2" w:space="0" w:color="390A56"/>
            </w:tcBorders>
            <w:shd w:val="clear" w:color="auto" w:fill="F0E3DE"/>
          </w:tcPr>
          <w:p w14:paraId="5F8CDFC7" w14:textId="77777777" w:rsidR="004C5880" w:rsidRPr="00F65403" w:rsidRDefault="004C5880" w:rsidP="004C5880">
            <w:pPr>
              <w:pStyle w:val="TableParagraph"/>
              <w:spacing w:before="0"/>
              <w:rPr>
                <w:b/>
                <w:lang w:val="en-AU"/>
              </w:rPr>
            </w:pPr>
            <w:r w:rsidRPr="00F65403">
              <w:rPr>
                <w:b/>
                <w:color w:val="323031"/>
                <w:lang w:val="en-AU"/>
              </w:rPr>
              <w:t>Management</w:t>
            </w:r>
            <w:r w:rsidRPr="00F65403">
              <w:rPr>
                <w:b/>
                <w:color w:val="323031"/>
                <w:spacing w:val="3"/>
                <w:lang w:val="en-AU"/>
              </w:rPr>
              <w:t xml:space="preserve"> </w:t>
            </w:r>
            <w:r w:rsidRPr="00F65403">
              <w:rPr>
                <w:b/>
                <w:color w:val="323031"/>
                <w:lang w:val="en-AU"/>
              </w:rPr>
              <w:t>and</w:t>
            </w:r>
            <w:r w:rsidRPr="00F65403">
              <w:rPr>
                <w:b/>
                <w:color w:val="323031"/>
                <w:spacing w:val="6"/>
                <w:lang w:val="en-AU"/>
              </w:rPr>
              <w:t xml:space="preserve"> </w:t>
            </w:r>
            <w:r w:rsidRPr="00F65403">
              <w:rPr>
                <w:b/>
                <w:color w:val="323031"/>
                <w:spacing w:val="-2"/>
                <w:lang w:val="en-AU"/>
              </w:rPr>
              <w:t>structure</w:t>
            </w:r>
          </w:p>
        </w:tc>
      </w:tr>
      <w:tr w:rsidR="004C5880" w:rsidRPr="003323EF" w14:paraId="74074635" w14:textId="77777777" w:rsidTr="009B7B2A">
        <w:tc>
          <w:tcPr>
            <w:tcW w:w="1990" w:type="dxa"/>
            <w:tcBorders>
              <w:top w:val="single" w:sz="2" w:space="0" w:color="390A56"/>
              <w:bottom w:val="single" w:sz="2" w:space="0" w:color="390A56"/>
            </w:tcBorders>
            <w:shd w:val="clear" w:color="auto" w:fill="FFFFFF" w:themeFill="background1"/>
          </w:tcPr>
          <w:p w14:paraId="3AC7E9F1"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2668B62" w14:textId="77777777" w:rsidR="004C5880" w:rsidRPr="00F65403" w:rsidRDefault="004C5880" w:rsidP="004C5880">
            <w:pPr>
              <w:pStyle w:val="TableParagraph"/>
              <w:spacing w:before="0"/>
              <w:rPr>
                <w:lang w:val="en-AU"/>
              </w:rPr>
            </w:pPr>
            <w:r w:rsidRPr="00F65403">
              <w:rPr>
                <w:color w:val="323031"/>
                <w:spacing w:val="-2"/>
                <w:w w:val="105"/>
                <w:lang w:val="en-AU"/>
              </w:rPr>
              <w:t>Organisational</w:t>
            </w:r>
            <w:r w:rsidRPr="00F65403">
              <w:rPr>
                <w:color w:val="323031"/>
                <w:spacing w:val="9"/>
                <w:w w:val="110"/>
                <w:lang w:val="en-AU"/>
              </w:rPr>
              <w:t xml:space="preserve"> </w:t>
            </w:r>
            <w:r w:rsidRPr="00F65403">
              <w:rPr>
                <w:color w:val="323031"/>
                <w:spacing w:val="-2"/>
                <w:w w:val="110"/>
                <w:lang w:val="en-AU"/>
              </w:rPr>
              <w:t>structure</w:t>
            </w:r>
          </w:p>
        </w:tc>
        <w:tc>
          <w:tcPr>
            <w:tcW w:w="760" w:type="dxa"/>
            <w:tcBorders>
              <w:top w:val="single" w:sz="2" w:space="0" w:color="390A56"/>
              <w:bottom w:val="single" w:sz="2" w:space="0" w:color="390A56"/>
            </w:tcBorders>
            <w:shd w:val="clear" w:color="auto" w:fill="FFFFFF" w:themeFill="background1"/>
          </w:tcPr>
          <w:p w14:paraId="52FDF75B" w14:textId="1A6F0DE7"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_Ref207630795 \h </w:instrText>
            </w:r>
            <w:r>
              <w:rPr>
                <w:lang w:val="en-AU"/>
              </w:rPr>
            </w:r>
            <w:r>
              <w:rPr>
                <w:lang w:val="en-AU"/>
              </w:rPr>
              <w:fldChar w:fldCharType="separate"/>
            </w:r>
            <w:r w:rsidR="00BC7653">
              <w:rPr>
                <w:noProof/>
                <w:lang w:val="en-AU"/>
              </w:rPr>
              <w:t>19</w:t>
            </w:r>
            <w:r>
              <w:rPr>
                <w:lang w:val="en-AU"/>
              </w:rPr>
              <w:fldChar w:fldCharType="end"/>
            </w:r>
          </w:p>
        </w:tc>
      </w:tr>
      <w:tr w:rsidR="004C5880" w:rsidRPr="003323EF" w14:paraId="3CE73FA7" w14:textId="77777777" w:rsidTr="009B7B2A">
        <w:tc>
          <w:tcPr>
            <w:tcW w:w="9026" w:type="dxa"/>
            <w:gridSpan w:val="5"/>
            <w:tcBorders>
              <w:top w:val="single" w:sz="2" w:space="0" w:color="390A56"/>
              <w:bottom w:val="single" w:sz="2" w:space="0" w:color="390A56"/>
            </w:tcBorders>
            <w:shd w:val="clear" w:color="auto" w:fill="F0E3DE"/>
          </w:tcPr>
          <w:p w14:paraId="561D4B86" w14:textId="77777777" w:rsidR="004C5880" w:rsidRPr="00F65403" w:rsidRDefault="004C5880" w:rsidP="004C5880">
            <w:pPr>
              <w:pStyle w:val="TableParagraph"/>
              <w:spacing w:before="0"/>
              <w:rPr>
                <w:b/>
                <w:lang w:val="en-AU"/>
              </w:rPr>
            </w:pPr>
            <w:r w:rsidRPr="00F65403">
              <w:rPr>
                <w:b/>
                <w:color w:val="323031"/>
                <w:spacing w:val="-2"/>
                <w:lang w:val="en-AU"/>
              </w:rPr>
              <w:t>Financial and other information</w:t>
            </w:r>
          </w:p>
        </w:tc>
      </w:tr>
      <w:tr w:rsidR="004C5880" w:rsidRPr="003323EF" w14:paraId="0B8C9295" w14:textId="77777777" w:rsidTr="009B7B2A">
        <w:tc>
          <w:tcPr>
            <w:tcW w:w="1990" w:type="dxa"/>
            <w:tcBorders>
              <w:top w:val="single" w:sz="2" w:space="0" w:color="390A56"/>
              <w:bottom w:val="single" w:sz="2" w:space="0" w:color="390A56"/>
            </w:tcBorders>
            <w:shd w:val="clear" w:color="auto" w:fill="FFFFFF" w:themeFill="background1"/>
          </w:tcPr>
          <w:p w14:paraId="0E81B9B2"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10</w:t>
            </w:r>
          </w:p>
        </w:tc>
        <w:tc>
          <w:tcPr>
            <w:tcW w:w="6276" w:type="dxa"/>
            <w:gridSpan w:val="3"/>
            <w:tcBorders>
              <w:top w:val="single" w:sz="2" w:space="0" w:color="390A56"/>
              <w:bottom w:val="single" w:sz="2" w:space="0" w:color="390A56"/>
            </w:tcBorders>
            <w:shd w:val="clear" w:color="auto" w:fill="FFFFFF" w:themeFill="background1"/>
          </w:tcPr>
          <w:p w14:paraId="21BD94D8" w14:textId="77777777" w:rsidR="004C5880" w:rsidRPr="00F65403" w:rsidRDefault="004C5880" w:rsidP="004C5880">
            <w:pPr>
              <w:pStyle w:val="TableParagraph"/>
              <w:spacing w:before="0"/>
              <w:rPr>
                <w:lang w:val="en-AU"/>
              </w:rPr>
            </w:pPr>
            <w:r w:rsidRPr="00F65403">
              <w:rPr>
                <w:color w:val="323031"/>
                <w:lang w:val="en-AU"/>
              </w:rPr>
              <w:t>Disclosure</w:t>
            </w:r>
            <w:r w:rsidRPr="00F65403">
              <w:rPr>
                <w:color w:val="323031"/>
                <w:spacing w:val="17"/>
                <w:lang w:val="en-AU"/>
              </w:rPr>
              <w:t xml:space="preserve"> </w:t>
            </w:r>
            <w:r w:rsidRPr="00F65403">
              <w:rPr>
                <w:color w:val="323031"/>
                <w:spacing w:val="-2"/>
                <w:lang w:val="en-AU"/>
              </w:rPr>
              <w:t>index</w:t>
            </w:r>
          </w:p>
        </w:tc>
        <w:tc>
          <w:tcPr>
            <w:tcW w:w="760" w:type="dxa"/>
            <w:tcBorders>
              <w:top w:val="single" w:sz="2" w:space="0" w:color="390A56"/>
              <w:bottom w:val="single" w:sz="2" w:space="0" w:color="390A56"/>
            </w:tcBorders>
            <w:shd w:val="clear" w:color="auto" w:fill="FFFFFF" w:themeFill="background1"/>
          </w:tcPr>
          <w:p w14:paraId="0103D845" w14:textId="73530865" w:rsidR="004C5880" w:rsidRPr="00F65403" w:rsidRDefault="00903950" w:rsidP="00E945C0">
            <w:pPr>
              <w:pStyle w:val="TableParagraph"/>
              <w:spacing w:before="0"/>
              <w:jc w:val="center"/>
              <w:rPr>
                <w:lang w:val="en-AU"/>
              </w:rPr>
            </w:pPr>
            <w:r>
              <w:rPr>
                <w:lang w:val="en-AU"/>
              </w:rPr>
              <w:fldChar w:fldCharType="begin"/>
            </w:r>
            <w:r>
              <w:rPr>
                <w:lang w:val="en-AU"/>
              </w:rPr>
              <w:instrText xml:space="preserve"> PAGEREF _Ref208418593 \h </w:instrText>
            </w:r>
            <w:r>
              <w:rPr>
                <w:lang w:val="en-AU"/>
              </w:rPr>
            </w:r>
            <w:r>
              <w:rPr>
                <w:lang w:val="en-AU"/>
              </w:rPr>
              <w:fldChar w:fldCharType="separate"/>
            </w:r>
            <w:r w:rsidR="00BC7653">
              <w:rPr>
                <w:noProof/>
                <w:lang w:val="en-AU"/>
              </w:rPr>
              <w:t>136</w:t>
            </w:r>
            <w:r>
              <w:rPr>
                <w:lang w:val="en-AU"/>
              </w:rPr>
              <w:fldChar w:fldCharType="end"/>
            </w:r>
          </w:p>
        </w:tc>
      </w:tr>
      <w:tr w:rsidR="004C5880" w:rsidRPr="003323EF" w14:paraId="5F1D5665" w14:textId="77777777" w:rsidTr="009B7B2A">
        <w:tc>
          <w:tcPr>
            <w:tcW w:w="1990" w:type="dxa"/>
            <w:tcBorders>
              <w:top w:val="single" w:sz="2" w:space="0" w:color="390A56"/>
              <w:bottom w:val="single" w:sz="2" w:space="0" w:color="390A56"/>
            </w:tcBorders>
            <w:shd w:val="clear" w:color="auto" w:fill="FFFFFF" w:themeFill="background1"/>
          </w:tcPr>
          <w:p w14:paraId="2AE0047F" w14:textId="77777777" w:rsidR="004C5880" w:rsidRPr="00F65403" w:rsidRDefault="004C5880" w:rsidP="004C588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F193B1D" w14:textId="77777777" w:rsidR="004C5880" w:rsidRPr="00F65403" w:rsidRDefault="004C5880" w:rsidP="004C5880">
            <w:pPr>
              <w:pStyle w:val="TableParagraph"/>
              <w:spacing w:before="0"/>
              <w:rPr>
                <w:lang w:val="en-AU"/>
              </w:rPr>
            </w:pPr>
            <w:r w:rsidRPr="00F65403">
              <w:rPr>
                <w:color w:val="323031"/>
                <w:spacing w:val="2"/>
                <w:lang w:val="en-AU"/>
              </w:rPr>
              <w:t>Employment</w:t>
            </w:r>
            <w:r w:rsidRPr="00F65403">
              <w:rPr>
                <w:color w:val="323031"/>
                <w:spacing w:val="28"/>
                <w:lang w:val="en-AU"/>
              </w:rPr>
              <w:t xml:space="preserve"> </w:t>
            </w:r>
            <w:r w:rsidRPr="00F65403">
              <w:rPr>
                <w:color w:val="323031"/>
                <w:spacing w:val="2"/>
                <w:lang w:val="en-AU"/>
              </w:rPr>
              <w:t>and</w:t>
            </w:r>
            <w:r w:rsidRPr="00F65403">
              <w:rPr>
                <w:color w:val="323031"/>
                <w:spacing w:val="28"/>
                <w:lang w:val="en-AU"/>
              </w:rPr>
              <w:t xml:space="preserve"> </w:t>
            </w:r>
            <w:r w:rsidRPr="00F65403">
              <w:rPr>
                <w:color w:val="323031"/>
                <w:spacing w:val="2"/>
                <w:lang w:val="en-AU"/>
              </w:rPr>
              <w:t>conduct</w:t>
            </w:r>
            <w:r w:rsidRPr="00F65403">
              <w:rPr>
                <w:color w:val="323031"/>
                <w:spacing w:val="28"/>
                <w:lang w:val="en-AU"/>
              </w:rPr>
              <w:t xml:space="preserve"> </w:t>
            </w:r>
            <w:r w:rsidRPr="00F65403">
              <w:rPr>
                <w:color w:val="323031"/>
                <w:spacing w:val="-2"/>
                <w:lang w:val="en-AU"/>
              </w:rPr>
              <w:t>principles</w:t>
            </w:r>
          </w:p>
        </w:tc>
        <w:tc>
          <w:tcPr>
            <w:tcW w:w="760" w:type="dxa"/>
            <w:tcBorders>
              <w:top w:val="single" w:sz="2" w:space="0" w:color="390A56"/>
              <w:bottom w:val="single" w:sz="2" w:space="0" w:color="390A56"/>
            </w:tcBorders>
            <w:shd w:val="clear" w:color="auto" w:fill="FFFFFF" w:themeFill="background1"/>
          </w:tcPr>
          <w:p w14:paraId="35FDA7DB" w14:textId="6F062D8B" w:rsidR="004C5880" w:rsidRPr="00F65403" w:rsidRDefault="004C5880" w:rsidP="00E945C0">
            <w:pPr>
              <w:pStyle w:val="TableParagraph"/>
              <w:spacing w:before="0"/>
              <w:jc w:val="center"/>
              <w:rPr>
                <w:lang w:val="en-AU"/>
              </w:rPr>
            </w:pPr>
            <w:r>
              <w:rPr>
                <w:lang w:val="en-AU"/>
              </w:rPr>
              <w:fldChar w:fldCharType="begin"/>
            </w:r>
            <w:r>
              <w:rPr>
                <w:lang w:val="en-AU"/>
              </w:rPr>
              <w:instrText xml:space="preserve"> PAGEREF _Ref207630759 \h </w:instrText>
            </w:r>
            <w:r>
              <w:rPr>
                <w:lang w:val="en-AU"/>
              </w:rPr>
            </w:r>
            <w:r>
              <w:rPr>
                <w:lang w:val="en-AU"/>
              </w:rPr>
              <w:fldChar w:fldCharType="separate"/>
            </w:r>
            <w:r w:rsidR="00BC7653">
              <w:rPr>
                <w:noProof/>
                <w:lang w:val="en-AU"/>
              </w:rPr>
              <w:t>36</w:t>
            </w:r>
            <w:r>
              <w:rPr>
                <w:lang w:val="en-AU"/>
              </w:rPr>
              <w:fldChar w:fldCharType="end"/>
            </w:r>
          </w:p>
        </w:tc>
      </w:tr>
      <w:tr w:rsidR="00903950" w:rsidRPr="003323EF" w14:paraId="24CAE1F9" w14:textId="77777777" w:rsidTr="009B7B2A">
        <w:tc>
          <w:tcPr>
            <w:tcW w:w="1990" w:type="dxa"/>
            <w:tcBorders>
              <w:top w:val="single" w:sz="2" w:space="0" w:color="390A56"/>
              <w:bottom w:val="single" w:sz="2" w:space="0" w:color="390A56"/>
            </w:tcBorders>
            <w:shd w:val="clear" w:color="auto" w:fill="FFFFFF" w:themeFill="background1"/>
          </w:tcPr>
          <w:p w14:paraId="038858BB"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0C0B0F6" w14:textId="77777777" w:rsidR="00903950" w:rsidRPr="00F65403" w:rsidRDefault="00903950" w:rsidP="00903950">
            <w:pPr>
              <w:pStyle w:val="TableParagraph"/>
              <w:spacing w:before="0"/>
              <w:rPr>
                <w:lang w:val="en-AU"/>
              </w:rPr>
            </w:pPr>
            <w:r w:rsidRPr="00F65403">
              <w:rPr>
                <w:color w:val="323031"/>
                <w:spacing w:val="2"/>
                <w:lang w:val="en-AU"/>
              </w:rPr>
              <w:t>Occupational</w:t>
            </w:r>
            <w:r w:rsidRPr="00F65403">
              <w:rPr>
                <w:color w:val="323031"/>
                <w:spacing w:val="22"/>
                <w:lang w:val="en-AU"/>
              </w:rPr>
              <w:t xml:space="preserve"> </w:t>
            </w:r>
            <w:r w:rsidRPr="00F65403">
              <w:rPr>
                <w:color w:val="323031"/>
                <w:spacing w:val="2"/>
                <w:lang w:val="en-AU"/>
              </w:rPr>
              <w:t>health</w:t>
            </w:r>
            <w:r w:rsidRPr="00F65403">
              <w:rPr>
                <w:color w:val="323031"/>
                <w:spacing w:val="22"/>
                <w:lang w:val="en-AU"/>
              </w:rPr>
              <w:t xml:space="preserve"> </w:t>
            </w:r>
            <w:r w:rsidRPr="00F65403">
              <w:rPr>
                <w:color w:val="323031"/>
                <w:spacing w:val="2"/>
                <w:lang w:val="en-AU"/>
              </w:rPr>
              <w:t>and</w:t>
            </w:r>
            <w:r w:rsidRPr="00F65403">
              <w:rPr>
                <w:color w:val="323031"/>
                <w:spacing w:val="22"/>
                <w:lang w:val="en-AU"/>
              </w:rPr>
              <w:t xml:space="preserve"> </w:t>
            </w:r>
            <w:r w:rsidRPr="00F65403">
              <w:rPr>
                <w:color w:val="323031"/>
                <w:spacing w:val="2"/>
                <w:lang w:val="en-AU"/>
              </w:rPr>
              <w:t>safety</w:t>
            </w:r>
            <w:r w:rsidRPr="00F65403">
              <w:rPr>
                <w:color w:val="323031"/>
                <w:spacing w:val="22"/>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1B519B98" w14:textId="4969644B" w:rsidR="00903950" w:rsidRPr="00F65403" w:rsidRDefault="00903950" w:rsidP="00E945C0">
            <w:pPr>
              <w:pStyle w:val="TableParagraph"/>
              <w:spacing w:before="0"/>
              <w:jc w:val="center"/>
              <w:rPr>
                <w:lang w:val="en-AU"/>
              </w:rPr>
            </w:pPr>
            <w:r>
              <w:rPr>
                <w:lang w:val="en-AU"/>
              </w:rPr>
              <w:fldChar w:fldCharType="begin"/>
            </w:r>
            <w:r>
              <w:rPr>
                <w:lang w:val="en-AU"/>
              </w:rPr>
              <w:instrText xml:space="preserve"> PAGEREF _Ref207013136 \h </w:instrText>
            </w:r>
            <w:r>
              <w:rPr>
                <w:lang w:val="en-AU"/>
              </w:rPr>
            </w:r>
            <w:r>
              <w:rPr>
                <w:lang w:val="en-AU"/>
              </w:rPr>
              <w:fldChar w:fldCharType="separate"/>
            </w:r>
            <w:r w:rsidR="00BC7653">
              <w:rPr>
                <w:noProof/>
                <w:lang w:val="en-AU"/>
              </w:rPr>
              <w:t>36</w:t>
            </w:r>
            <w:r>
              <w:rPr>
                <w:lang w:val="en-AU"/>
              </w:rPr>
              <w:fldChar w:fldCharType="end"/>
            </w:r>
          </w:p>
        </w:tc>
      </w:tr>
      <w:tr w:rsidR="00903950" w:rsidRPr="003323EF" w14:paraId="63DA2A92" w14:textId="77777777" w:rsidTr="009B7B2A">
        <w:tc>
          <w:tcPr>
            <w:tcW w:w="1990" w:type="dxa"/>
            <w:tcBorders>
              <w:top w:val="single" w:sz="2" w:space="0" w:color="390A56"/>
              <w:bottom w:val="single" w:sz="2" w:space="0" w:color="390A56"/>
            </w:tcBorders>
            <w:shd w:val="clear" w:color="auto" w:fill="FFFFFF" w:themeFill="background1"/>
          </w:tcPr>
          <w:p w14:paraId="164BD970"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6E15834" w14:textId="77777777" w:rsidR="00903950" w:rsidRPr="00F65403" w:rsidRDefault="00903950" w:rsidP="00903950">
            <w:pPr>
              <w:pStyle w:val="TableParagraph"/>
              <w:spacing w:before="0"/>
              <w:rPr>
                <w:lang w:val="en-AU"/>
              </w:rPr>
            </w:pPr>
            <w:r w:rsidRPr="00F65403">
              <w:rPr>
                <w:color w:val="323031"/>
                <w:lang w:val="en-AU"/>
              </w:rPr>
              <w:t>Summary</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financial</w:t>
            </w:r>
            <w:r w:rsidRPr="00F65403">
              <w:rPr>
                <w:color w:val="323031"/>
                <w:spacing w:val="24"/>
                <w:lang w:val="en-AU"/>
              </w:rPr>
              <w:t xml:space="preserve"> </w:t>
            </w:r>
            <w:r w:rsidRPr="00F65403">
              <w:rPr>
                <w:color w:val="323031"/>
                <w:lang w:val="en-AU"/>
              </w:rPr>
              <w:t>results</w:t>
            </w:r>
            <w:r w:rsidRPr="00F65403">
              <w:rPr>
                <w:color w:val="323031"/>
                <w:spacing w:val="25"/>
                <w:lang w:val="en-AU"/>
              </w:rPr>
              <w:t xml:space="preserve"> </w:t>
            </w:r>
            <w:r w:rsidRPr="00F65403">
              <w:rPr>
                <w:color w:val="323031"/>
                <w:lang w:val="en-AU"/>
              </w:rPr>
              <w:t>for</w:t>
            </w:r>
            <w:r w:rsidRPr="00F65403">
              <w:rPr>
                <w:color w:val="323031"/>
                <w:spacing w:val="24"/>
                <w:lang w:val="en-AU"/>
              </w:rPr>
              <w:t xml:space="preserve"> </w:t>
            </w:r>
            <w:r w:rsidRPr="00F65403">
              <w:rPr>
                <w:color w:val="323031"/>
                <w:lang w:val="en-AU"/>
              </w:rPr>
              <w:t>the</w:t>
            </w:r>
            <w:r w:rsidRPr="00F65403">
              <w:rPr>
                <w:color w:val="323031"/>
                <w:spacing w:val="24"/>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3E01BDC6" w14:textId="177CFDC2" w:rsidR="00903950" w:rsidRPr="00F65403" w:rsidRDefault="00903950" w:rsidP="00E945C0">
            <w:pPr>
              <w:pStyle w:val="TableParagraph"/>
              <w:spacing w:before="0"/>
              <w:jc w:val="center"/>
              <w:rPr>
                <w:lang w:val="en-AU"/>
              </w:rPr>
            </w:pPr>
            <w:r>
              <w:rPr>
                <w:lang w:val="en-AU"/>
              </w:rPr>
              <w:fldChar w:fldCharType="begin"/>
            </w:r>
            <w:r>
              <w:rPr>
                <w:lang w:val="en-AU"/>
              </w:rPr>
              <w:instrText xml:space="preserve"> PAGEREF _Ref208418625 \h </w:instrText>
            </w:r>
            <w:r>
              <w:rPr>
                <w:lang w:val="en-AU"/>
              </w:rPr>
            </w:r>
            <w:r>
              <w:rPr>
                <w:lang w:val="en-AU"/>
              </w:rPr>
              <w:fldChar w:fldCharType="separate"/>
            </w:r>
            <w:r w:rsidR="00BC7653">
              <w:rPr>
                <w:noProof/>
                <w:lang w:val="en-AU"/>
              </w:rPr>
              <w:t>101</w:t>
            </w:r>
            <w:r>
              <w:rPr>
                <w:lang w:val="en-AU"/>
              </w:rPr>
              <w:fldChar w:fldCharType="end"/>
            </w:r>
          </w:p>
        </w:tc>
      </w:tr>
      <w:tr w:rsidR="00903950" w:rsidRPr="003323EF" w14:paraId="2E36A3DE" w14:textId="77777777" w:rsidTr="009B7B2A">
        <w:tc>
          <w:tcPr>
            <w:tcW w:w="1990" w:type="dxa"/>
            <w:tcBorders>
              <w:top w:val="single" w:sz="2" w:space="0" w:color="390A56"/>
              <w:bottom w:val="single" w:sz="2" w:space="0" w:color="390A56"/>
            </w:tcBorders>
            <w:shd w:val="clear" w:color="auto" w:fill="FFFFFF" w:themeFill="background1"/>
          </w:tcPr>
          <w:p w14:paraId="43A0147B"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F3E8CAB" w14:textId="77777777" w:rsidR="00903950" w:rsidRPr="00F65403" w:rsidRDefault="00903950" w:rsidP="00903950">
            <w:pPr>
              <w:pStyle w:val="TableParagraph"/>
              <w:spacing w:before="0"/>
              <w:rPr>
                <w:lang w:val="en-AU"/>
              </w:rPr>
            </w:pPr>
            <w:r w:rsidRPr="00F65403">
              <w:rPr>
                <w:color w:val="323031"/>
                <w:lang w:val="en-AU"/>
              </w:rPr>
              <w:t>Significant</w:t>
            </w:r>
            <w:r w:rsidRPr="00F65403">
              <w:rPr>
                <w:color w:val="323031"/>
                <w:spacing w:val="28"/>
                <w:lang w:val="en-AU"/>
              </w:rPr>
              <w:t xml:space="preserve"> </w:t>
            </w:r>
            <w:r w:rsidRPr="00F65403">
              <w:rPr>
                <w:color w:val="323031"/>
                <w:lang w:val="en-AU"/>
              </w:rPr>
              <w:t>changes</w:t>
            </w:r>
            <w:r w:rsidRPr="00F65403">
              <w:rPr>
                <w:color w:val="323031"/>
                <w:spacing w:val="29"/>
                <w:lang w:val="en-AU"/>
              </w:rPr>
              <w:t xml:space="preserve"> </w:t>
            </w:r>
            <w:r w:rsidRPr="00F65403">
              <w:rPr>
                <w:color w:val="323031"/>
                <w:lang w:val="en-AU"/>
              </w:rPr>
              <w:t>in</w:t>
            </w:r>
            <w:r w:rsidRPr="00F65403">
              <w:rPr>
                <w:color w:val="323031"/>
                <w:spacing w:val="29"/>
                <w:lang w:val="en-AU"/>
              </w:rPr>
              <w:t xml:space="preserve"> </w:t>
            </w:r>
            <w:r w:rsidRPr="00F65403">
              <w:rPr>
                <w:color w:val="323031"/>
                <w:lang w:val="en-AU"/>
              </w:rPr>
              <w:t>financial</w:t>
            </w:r>
            <w:r w:rsidRPr="00F65403">
              <w:rPr>
                <w:color w:val="323031"/>
                <w:spacing w:val="28"/>
                <w:lang w:val="en-AU"/>
              </w:rPr>
              <w:t xml:space="preserve"> </w:t>
            </w:r>
            <w:r w:rsidRPr="00F65403">
              <w:rPr>
                <w:color w:val="323031"/>
                <w:lang w:val="en-AU"/>
              </w:rPr>
              <w:t>position</w:t>
            </w:r>
            <w:r w:rsidRPr="00F65403">
              <w:rPr>
                <w:color w:val="323031"/>
                <w:spacing w:val="29"/>
                <w:lang w:val="en-AU"/>
              </w:rPr>
              <w:t xml:space="preserve"> </w:t>
            </w:r>
            <w:r w:rsidRPr="00F65403">
              <w:rPr>
                <w:color w:val="323031"/>
                <w:lang w:val="en-AU"/>
              </w:rPr>
              <w:t>during</w:t>
            </w:r>
            <w:r w:rsidRPr="00F65403">
              <w:rPr>
                <w:color w:val="323031"/>
                <w:spacing w:val="29"/>
                <w:lang w:val="en-AU"/>
              </w:rPr>
              <w:t xml:space="preserve"> </w:t>
            </w:r>
            <w:r w:rsidRPr="00F65403">
              <w:rPr>
                <w:color w:val="323031"/>
                <w:lang w:val="en-AU"/>
              </w:rPr>
              <w:t>the</w:t>
            </w:r>
            <w:r w:rsidRPr="00F65403">
              <w:rPr>
                <w:color w:val="323031"/>
                <w:spacing w:val="29"/>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4DA78218" w14:textId="2959435D" w:rsidR="00903950" w:rsidRPr="00F65403" w:rsidRDefault="00F6294D" w:rsidP="00E945C0">
            <w:pPr>
              <w:pStyle w:val="TableParagraph"/>
              <w:spacing w:before="0"/>
              <w:jc w:val="center"/>
              <w:rPr>
                <w:lang w:val="en-AU"/>
              </w:rPr>
            </w:pPr>
            <w:r>
              <w:rPr>
                <w:lang w:val="en-AU"/>
              </w:rPr>
              <w:fldChar w:fldCharType="begin"/>
            </w:r>
            <w:r>
              <w:rPr>
                <w:lang w:val="en-AU"/>
              </w:rPr>
              <w:instrText xml:space="preserve"> PAGEREF _Ref208418625 \h </w:instrText>
            </w:r>
            <w:r>
              <w:rPr>
                <w:lang w:val="en-AU"/>
              </w:rPr>
            </w:r>
            <w:r>
              <w:rPr>
                <w:lang w:val="en-AU"/>
              </w:rPr>
              <w:fldChar w:fldCharType="separate"/>
            </w:r>
            <w:r w:rsidR="00BC7653">
              <w:rPr>
                <w:noProof/>
                <w:lang w:val="en-AU"/>
              </w:rPr>
              <w:t>101</w:t>
            </w:r>
            <w:r>
              <w:rPr>
                <w:lang w:val="en-AU"/>
              </w:rPr>
              <w:fldChar w:fldCharType="end"/>
            </w:r>
          </w:p>
        </w:tc>
      </w:tr>
      <w:tr w:rsidR="00903950" w:rsidRPr="003323EF" w14:paraId="1AE32D25" w14:textId="77777777" w:rsidTr="009B7B2A">
        <w:tc>
          <w:tcPr>
            <w:tcW w:w="1990" w:type="dxa"/>
            <w:tcBorders>
              <w:top w:val="single" w:sz="2" w:space="0" w:color="390A56"/>
              <w:bottom w:val="single" w:sz="2" w:space="0" w:color="390A56"/>
            </w:tcBorders>
            <w:shd w:val="clear" w:color="auto" w:fill="FFFFFF" w:themeFill="background1"/>
          </w:tcPr>
          <w:p w14:paraId="01394AA1"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DF0A0D6" w14:textId="77777777" w:rsidR="00903950" w:rsidRPr="00F65403" w:rsidRDefault="00903950" w:rsidP="00903950">
            <w:pPr>
              <w:pStyle w:val="TableParagraph"/>
              <w:spacing w:before="0"/>
              <w:rPr>
                <w:lang w:val="en-AU"/>
              </w:rPr>
            </w:pPr>
            <w:r w:rsidRPr="00F65403">
              <w:rPr>
                <w:color w:val="323031"/>
                <w:spacing w:val="-2"/>
                <w:w w:val="110"/>
                <w:lang w:val="en-AU"/>
              </w:rPr>
              <w:t>Major</w:t>
            </w:r>
            <w:r w:rsidRPr="00F65403">
              <w:rPr>
                <w:color w:val="323031"/>
                <w:spacing w:val="-7"/>
                <w:w w:val="110"/>
                <w:lang w:val="en-AU"/>
              </w:rPr>
              <w:t xml:space="preserve"> </w:t>
            </w:r>
            <w:r w:rsidRPr="00F65403">
              <w:rPr>
                <w:color w:val="323031"/>
                <w:spacing w:val="-2"/>
                <w:w w:val="110"/>
                <w:lang w:val="en-AU"/>
              </w:rPr>
              <w:t>changes</w:t>
            </w:r>
            <w:r w:rsidRPr="00F65403">
              <w:rPr>
                <w:color w:val="323031"/>
                <w:spacing w:val="-7"/>
                <w:w w:val="110"/>
                <w:lang w:val="en-AU"/>
              </w:rPr>
              <w:t xml:space="preserve"> </w:t>
            </w:r>
            <w:r w:rsidRPr="00F65403">
              <w:rPr>
                <w:color w:val="323031"/>
                <w:spacing w:val="-2"/>
                <w:w w:val="110"/>
                <w:lang w:val="en-AU"/>
              </w:rPr>
              <w:t>or</w:t>
            </w:r>
            <w:r w:rsidRPr="00F65403">
              <w:rPr>
                <w:color w:val="323031"/>
                <w:spacing w:val="-7"/>
                <w:w w:val="110"/>
                <w:lang w:val="en-AU"/>
              </w:rPr>
              <w:t xml:space="preserve"> </w:t>
            </w:r>
            <w:r w:rsidRPr="00F65403">
              <w:rPr>
                <w:color w:val="323031"/>
                <w:spacing w:val="-2"/>
                <w:w w:val="110"/>
                <w:lang w:val="en-AU"/>
              </w:rPr>
              <w:t>factors</w:t>
            </w:r>
            <w:r w:rsidRPr="00F65403">
              <w:rPr>
                <w:color w:val="323031"/>
                <w:spacing w:val="-7"/>
                <w:w w:val="110"/>
                <w:lang w:val="en-AU"/>
              </w:rPr>
              <w:t xml:space="preserve"> </w:t>
            </w:r>
            <w:r w:rsidRPr="00F65403">
              <w:rPr>
                <w:color w:val="323031"/>
                <w:spacing w:val="-2"/>
                <w:w w:val="110"/>
                <w:lang w:val="en-AU"/>
              </w:rPr>
              <w:t>affecting</w:t>
            </w:r>
            <w:r w:rsidRPr="00F65403">
              <w:rPr>
                <w:color w:val="323031"/>
                <w:spacing w:val="-7"/>
                <w:w w:val="110"/>
                <w:lang w:val="en-AU"/>
              </w:rPr>
              <w:t xml:space="preserve"> </w:t>
            </w:r>
            <w:r w:rsidRPr="00F65403">
              <w:rPr>
                <w:color w:val="323031"/>
                <w:spacing w:val="-2"/>
                <w:w w:val="110"/>
                <w:lang w:val="en-AU"/>
              </w:rPr>
              <w:t>performance</w:t>
            </w:r>
          </w:p>
        </w:tc>
        <w:tc>
          <w:tcPr>
            <w:tcW w:w="760" w:type="dxa"/>
            <w:tcBorders>
              <w:top w:val="single" w:sz="2" w:space="0" w:color="390A56"/>
              <w:bottom w:val="single" w:sz="2" w:space="0" w:color="390A56"/>
            </w:tcBorders>
            <w:shd w:val="clear" w:color="auto" w:fill="FFFFFF" w:themeFill="background1"/>
          </w:tcPr>
          <w:p w14:paraId="6356FADF" w14:textId="45E10737" w:rsidR="00903950" w:rsidRPr="00F65403" w:rsidRDefault="00F6294D" w:rsidP="00E945C0">
            <w:pPr>
              <w:pStyle w:val="TableParagraph"/>
              <w:spacing w:before="0"/>
              <w:jc w:val="center"/>
              <w:rPr>
                <w:lang w:val="en-AU"/>
              </w:rPr>
            </w:pPr>
            <w:r>
              <w:rPr>
                <w:lang w:val="en-AU"/>
              </w:rPr>
              <w:fldChar w:fldCharType="begin"/>
            </w:r>
            <w:r>
              <w:rPr>
                <w:lang w:val="en-AU"/>
              </w:rPr>
              <w:instrText xml:space="preserve"> PAGEREF _Ref208418625 \h </w:instrText>
            </w:r>
            <w:r>
              <w:rPr>
                <w:lang w:val="en-AU"/>
              </w:rPr>
            </w:r>
            <w:r>
              <w:rPr>
                <w:lang w:val="en-AU"/>
              </w:rPr>
              <w:fldChar w:fldCharType="separate"/>
            </w:r>
            <w:r w:rsidR="00BC7653">
              <w:rPr>
                <w:noProof/>
                <w:lang w:val="en-AU"/>
              </w:rPr>
              <w:t>101</w:t>
            </w:r>
            <w:r>
              <w:rPr>
                <w:lang w:val="en-AU"/>
              </w:rPr>
              <w:fldChar w:fldCharType="end"/>
            </w:r>
          </w:p>
        </w:tc>
      </w:tr>
      <w:tr w:rsidR="00903950" w:rsidRPr="003323EF" w14:paraId="1FBC1D0E" w14:textId="77777777" w:rsidTr="009B7B2A">
        <w:tc>
          <w:tcPr>
            <w:tcW w:w="1990" w:type="dxa"/>
            <w:tcBorders>
              <w:top w:val="single" w:sz="2" w:space="0" w:color="390A56"/>
              <w:bottom w:val="single" w:sz="2" w:space="0" w:color="390A56"/>
            </w:tcBorders>
            <w:shd w:val="clear" w:color="auto" w:fill="FFFFFF" w:themeFill="background1"/>
          </w:tcPr>
          <w:p w14:paraId="1847A46F"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F7BEE73" w14:textId="77777777" w:rsidR="00903950" w:rsidRPr="00F65403" w:rsidRDefault="00903950" w:rsidP="00903950">
            <w:pPr>
              <w:pStyle w:val="TableParagraph"/>
              <w:spacing w:before="0"/>
              <w:rPr>
                <w:lang w:val="en-AU"/>
              </w:rPr>
            </w:pPr>
            <w:r w:rsidRPr="00F65403">
              <w:rPr>
                <w:color w:val="323031"/>
                <w:spacing w:val="2"/>
                <w:lang w:val="en-AU"/>
              </w:rPr>
              <w:t>Subsequent</w:t>
            </w:r>
            <w:r w:rsidRPr="00F65403">
              <w:rPr>
                <w:color w:val="323031"/>
                <w:spacing w:val="13"/>
                <w:lang w:val="en-AU"/>
              </w:rPr>
              <w:t xml:space="preserve"> </w:t>
            </w:r>
            <w:r w:rsidRPr="00F65403">
              <w:rPr>
                <w:color w:val="323031"/>
                <w:spacing w:val="-2"/>
                <w:lang w:val="en-AU"/>
              </w:rPr>
              <w:t>events</w:t>
            </w:r>
          </w:p>
        </w:tc>
        <w:tc>
          <w:tcPr>
            <w:tcW w:w="760" w:type="dxa"/>
            <w:tcBorders>
              <w:top w:val="single" w:sz="2" w:space="0" w:color="390A56"/>
              <w:bottom w:val="single" w:sz="2" w:space="0" w:color="390A56"/>
            </w:tcBorders>
            <w:shd w:val="clear" w:color="auto" w:fill="FFFFFF" w:themeFill="background1"/>
          </w:tcPr>
          <w:p w14:paraId="20776721" w14:textId="4ABA73BD" w:rsidR="00903950" w:rsidRPr="00F65403" w:rsidRDefault="00F6294D" w:rsidP="00E945C0">
            <w:pPr>
              <w:pStyle w:val="TableParagraph"/>
              <w:spacing w:before="0"/>
              <w:jc w:val="center"/>
              <w:rPr>
                <w:lang w:val="en-AU"/>
              </w:rPr>
            </w:pPr>
            <w:r>
              <w:rPr>
                <w:lang w:val="en-AU"/>
              </w:rPr>
              <w:fldChar w:fldCharType="begin"/>
            </w:r>
            <w:r>
              <w:rPr>
                <w:lang w:val="en-AU"/>
              </w:rPr>
              <w:instrText xml:space="preserve"> PAGEREF _Ref208418654 \h </w:instrText>
            </w:r>
            <w:r>
              <w:rPr>
                <w:lang w:val="en-AU"/>
              </w:rPr>
            </w:r>
            <w:r>
              <w:rPr>
                <w:lang w:val="en-AU"/>
              </w:rPr>
              <w:fldChar w:fldCharType="separate"/>
            </w:r>
            <w:r w:rsidR="00BC7653">
              <w:rPr>
                <w:noProof/>
                <w:lang w:val="en-AU"/>
              </w:rPr>
              <w:t>101</w:t>
            </w:r>
            <w:r>
              <w:rPr>
                <w:lang w:val="en-AU"/>
              </w:rPr>
              <w:fldChar w:fldCharType="end"/>
            </w:r>
          </w:p>
        </w:tc>
      </w:tr>
      <w:tr w:rsidR="00903950" w:rsidRPr="003323EF" w14:paraId="7F6AF6D6" w14:textId="77777777" w:rsidTr="009B7B2A">
        <w:tc>
          <w:tcPr>
            <w:tcW w:w="1990" w:type="dxa"/>
            <w:tcBorders>
              <w:top w:val="single" w:sz="2" w:space="0" w:color="390A56"/>
              <w:bottom w:val="single" w:sz="2" w:space="0" w:color="390A56"/>
            </w:tcBorders>
            <w:shd w:val="clear" w:color="auto" w:fill="FFFFFF" w:themeFill="background1"/>
          </w:tcPr>
          <w:p w14:paraId="0EB3612E"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12A3D2F1" w14:textId="77777777" w:rsidR="00903950" w:rsidRPr="00F65403" w:rsidRDefault="00903950" w:rsidP="00903950">
            <w:pPr>
              <w:pStyle w:val="TableParagraph"/>
              <w:spacing w:before="0"/>
              <w:rPr>
                <w:i/>
                <w:lang w:val="en-AU"/>
              </w:rPr>
            </w:pPr>
            <w:r w:rsidRPr="00F65403">
              <w:rPr>
                <w:color w:val="323031"/>
                <w:lang w:val="en-AU"/>
              </w:rPr>
              <w:t>Application</w:t>
            </w:r>
            <w:r w:rsidRPr="00F65403">
              <w:rPr>
                <w:color w:val="323031"/>
                <w:spacing w:val="28"/>
                <w:lang w:val="en-AU"/>
              </w:rPr>
              <w:t xml:space="preserve"> </w:t>
            </w:r>
            <w:r w:rsidRPr="00F65403">
              <w:rPr>
                <w:color w:val="323031"/>
                <w:lang w:val="en-AU"/>
              </w:rPr>
              <w:t>and</w:t>
            </w:r>
            <w:r w:rsidRPr="00F65403">
              <w:rPr>
                <w:color w:val="323031"/>
                <w:spacing w:val="29"/>
                <w:lang w:val="en-AU"/>
              </w:rPr>
              <w:t xml:space="preserve"> </w:t>
            </w:r>
            <w:r w:rsidRPr="00F65403">
              <w:rPr>
                <w:color w:val="323031"/>
                <w:lang w:val="en-AU"/>
              </w:rPr>
              <w:t>operation</w:t>
            </w:r>
            <w:r w:rsidRPr="00F65403">
              <w:rPr>
                <w:color w:val="323031"/>
                <w:spacing w:val="29"/>
                <w:lang w:val="en-AU"/>
              </w:rPr>
              <w:t xml:space="preserve"> </w:t>
            </w:r>
            <w:r w:rsidRPr="00F65403">
              <w:rPr>
                <w:color w:val="323031"/>
                <w:lang w:val="en-AU"/>
              </w:rPr>
              <w:t>of</w:t>
            </w:r>
            <w:r w:rsidRPr="00F65403">
              <w:rPr>
                <w:color w:val="323031"/>
                <w:spacing w:val="29"/>
                <w:lang w:val="en-AU"/>
              </w:rPr>
              <w:t xml:space="preserve"> </w:t>
            </w:r>
            <w:r w:rsidRPr="00F65403">
              <w:rPr>
                <w:i/>
                <w:color w:val="323031"/>
                <w:lang w:val="en-AU"/>
              </w:rPr>
              <w:t>Freedom</w:t>
            </w:r>
            <w:r w:rsidRPr="00F65403">
              <w:rPr>
                <w:i/>
                <w:color w:val="323031"/>
                <w:spacing w:val="29"/>
                <w:lang w:val="en-AU"/>
              </w:rPr>
              <w:t xml:space="preserve"> </w:t>
            </w:r>
            <w:r w:rsidRPr="00F65403">
              <w:rPr>
                <w:i/>
                <w:color w:val="323031"/>
                <w:lang w:val="en-AU"/>
              </w:rPr>
              <w:t>of</w:t>
            </w:r>
            <w:r w:rsidRPr="00F65403">
              <w:rPr>
                <w:i/>
                <w:color w:val="323031"/>
                <w:spacing w:val="29"/>
                <w:lang w:val="en-AU"/>
              </w:rPr>
              <w:t xml:space="preserve"> </w:t>
            </w:r>
            <w:r w:rsidRPr="00F65403">
              <w:rPr>
                <w:i/>
                <w:color w:val="323031"/>
                <w:lang w:val="en-AU"/>
              </w:rPr>
              <w:t>Information</w:t>
            </w:r>
            <w:r w:rsidRPr="00F65403">
              <w:rPr>
                <w:i/>
                <w:color w:val="323031"/>
                <w:spacing w:val="29"/>
                <w:lang w:val="en-AU"/>
              </w:rPr>
              <w:t xml:space="preserve"> </w:t>
            </w:r>
            <w:r w:rsidRPr="00F65403">
              <w:rPr>
                <w:i/>
                <w:color w:val="323031"/>
                <w:lang w:val="en-AU"/>
              </w:rPr>
              <w:t>Act</w:t>
            </w:r>
            <w:r w:rsidRPr="00F65403">
              <w:rPr>
                <w:i/>
                <w:color w:val="323031"/>
                <w:spacing w:val="29"/>
                <w:lang w:val="en-AU"/>
              </w:rPr>
              <w:t xml:space="preserve"> </w:t>
            </w:r>
            <w:r w:rsidRPr="00F65403">
              <w:rPr>
                <w:i/>
                <w:color w:val="323031"/>
                <w:spacing w:val="-4"/>
                <w:lang w:val="en-AU"/>
              </w:rPr>
              <w:t>1982</w:t>
            </w:r>
          </w:p>
        </w:tc>
        <w:tc>
          <w:tcPr>
            <w:tcW w:w="760" w:type="dxa"/>
            <w:tcBorders>
              <w:top w:val="single" w:sz="2" w:space="0" w:color="390A56"/>
              <w:bottom w:val="single" w:sz="2" w:space="0" w:color="390A56"/>
            </w:tcBorders>
            <w:shd w:val="clear" w:color="auto" w:fill="FFFFFF" w:themeFill="background1"/>
          </w:tcPr>
          <w:p w14:paraId="31E027FE" w14:textId="367240F7"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_Ref208418677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0D182916" w14:textId="77777777" w:rsidTr="009B7B2A">
        <w:tc>
          <w:tcPr>
            <w:tcW w:w="1990" w:type="dxa"/>
            <w:tcBorders>
              <w:top w:val="single" w:sz="2" w:space="0" w:color="390A56"/>
              <w:bottom w:val="single" w:sz="2" w:space="0" w:color="390A56"/>
            </w:tcBorders>
            <w:shd w:val="clear" w:color="auto" w:fill="FFFFFF" w:themeFill="background1"/>
          </w:tcPr>
          <w:p w14:paraId="458C7F74"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A026DF7" w14:textId="77777777" w:rsidR="00903950" w:rsidRPr="00F65403" w:rsidRDefault="00903950" w:rsidP="00903950">
            <w:pPr>
              <w:pStyle w:val="TableParagraph"/>
              <w:spacing w:before="0"/>
              <w:rPr>
                <w:i/>
                <w:lang w:val="en-AU"/>
              </w:rPr>
            </w:pPr>
            <w:r w:rsidRPr="00F65403">
              <w:rPr>
                <w:color w:val="323031"/>
                <w:lang w:val="en-AU"/>
              </w:rPr>
              <w:t xml:space="preserve">Compliance with building and maintenance provisions of </w:t>
            </w:r>
            <w:r w:rsidRPr="00F65403">
              <w:rPr>
                <w:i/>
                <w:color w:val="323031"/>
                <w:lang w:val="en-AU"/>
              </w:rPr>
              <w:t>Building</w:t>
            </w:r>
            <w:r w:rsidRPr="00F65403">
              <w:rPr>
                <w:i/>
                <w:color w:val="323031"/>
                <w:spacing w:val="40"/>
                <w:w w:val="110"/>
                <w:lang w:val="en-AU"/>
              </w:rPr>
              <w:t xml:space="preserve"> </w:t>
            </w:r>
            <w:r w:rsidRPr="00F65403">
              <w:rPr>
                <w:i/>
                <w:color w:val="323031"/>
                <w:w w:val="110"/>
                <w:lang w:val="en-AU"/>
              </w:rPr>
              <w:t>Act</w:t>
            </w:r>
            <w:r w:rsidRPr="00F65403">
              <w:rPr>
                <w:i/>
                <w:color w:val="323031"/>
                <w:spacing w:val="-17"/>
                <w:w w:val="110"/>
                <w:lang w:val="en-AU"/>
              </w:rPr>
              <w:t xml:space="preserve"> </w:t>
            </w:r>
            <w:r w:rsidRPr="00F65403">
              <w:rPr>
                <w:i/>
                <w:color w:val="323031"/>
                <w:w w:val="110"/>
                <w:lang w:val="en-AU"/>
              </w:rPr>
              <w:t>1993</w:t>
            </w:r>
          </w:p>
        </w:tc>
        <w:tc>
          <w:tcPr>
            <w:tcW w:w="760" w:type="dxa"/>
            <w:tcBorders>
              <w:top w:val="single" w:sz="2" w:space="0" w:color="390A56"/>
              <w:bottom w:val="single" w:sz="2" w:space="0" w:color="390A56"/>
            </w:tcBorders>
            <w:shd w:val="clear" w:color="auto" w:fill="FFFFFF" w:themeFill="background1"/>
          </w:tcPr>
          <w:p w14:paraId="0A417AFE" w14:textId="3B10C693"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_Ref208418686 \h </w:instrText>
            </w:r>
            <w:r>
              <w:rPr>
                <w:lang w:val="en-AU"/>
              </w:rPr>
            </w:r>
            <w:r>
              <w:rPr>
                <w:lang w:val="en-AU"/>
              </w:rPr>
              <w:fldChar w:fldCharType="separate"/>
            </w:r>
            <w:r w:rsidR="00BC7653">
              <w:rPr>
                <w:noProof/>
                <w:lang w:val="en-AU"/>
              </w:rPr>
              <w:t>135</w:t>
            </w:r>
            <w:r>
              <w:rPr>
                <w:lang w:val="en-AU"/>
              </w:rPr>
              <w:fldChar w:fldCharType="end"/>
            </w:r>
          </w:p>
        </w:tc>
      </w:tr>
      <w:tr w:rsidR="00903950" w:rsidRPr="003323EF" w14:paraId="47DA3D86" w14:textId="77777777" w:rsidTr="009B7B2A">
        <w:tc>
          <w:tcPr>
            <w:tcW w:w="1990" w:type="dxa"/>
            <w:tcBorders>
              <w:top w:val="single" w:sz="2" w:space="0" w:color="390A56"/>
              <w:bottom w:val="single" w:sz="2" w:space="0" w:color="390A56"/>
            </w:tcBorders>
            <w:shd w:val="clear" w:color="auto" w:fill="FFFFFF" w:themeFill="background1"/>
          </w:tcPr>
          <w:p w14:paraId="72ECD70E"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303186B" w14:textId="77777777" w:rsidR="00903950" w:rsidRPr="00F65403" w:rsidRDefault="00903950" w:rsidP="00903950">
            <w:pPr>
              <w:pStyle w:val="TableParagraph"/>
              <w:spacing w:before="0"/>
              <w:rPr>
                <w:lang w:val="en-AU"/>
              </w:rPr>
            </w:pPr>
            <w:r w:rsidRPr="00F65403">
              <w:rPr>
                <w:color w:val="323031"/>
                <w:spacing w:val="2"/>
                <w:lang w:val="en-AU"/>
              </w:rPr>
              <w:t>Statement</w:t>
            </w:r>
            <w:r w:rsidRPr="00F65403">
              <w:rPr>
                <w:color w:val="323031"/>
                <w:spacing w:val="28"/>
                <w:lang w:val="en-AU"/>
              </w:rPr>
              <w:t xml:space="preserve"> </w:t>
            </w:r>
            <w:r w:rsidRPr="00F65403">
              <w:rPr>
                <w:color w:val="323031"/>
                <w:spacing w:val="2"/>
                <w:lang w:val="en-AU"/>
              </w:rPr>
              <w:t>on</w:t>
            </w:r>
            <w:r w:rsidRPr="00F65403">
              <w:rPr>
                <w:color w:val="323031"/>
                <w:spacing w:val="29"/>
                <w:lang w:val="en-AU"/>
              </w:rPr>
              <w:t xml:space="preserve"> </w:t>
            </w:r>
            <w:r w:rsidRPr="00F65403">
              <w:rPr>
                <w:color w:val="323031"/>
                <w:spacing w:val="2"/>
                <w:lang w:val="en-AU"/>
              </w:rPr>
              <w:t>National</w:t>
            </w:r>
            <w:r w:rsidRPr="00F65403">
              <w:rPr>
                <w:color w:val="323031"/>
                <w:spacing w:val="28"/>
                <w:lang w:val="en-AU"/>
              </w:rPr>
              <w:t xml:space="preserve"> </w:t>
            </w:r>
            <w:r w:rsidRPr="00F65403">
              <w:rPr>
                <w:color w:val="323031"/>
                <w:spacing w:val="2"/>
                <w:lang w:val="en-AU"/>
              </w:rPr>
              <w:t>Competition</w:t>
            </w:r>
            <w:r w:rsidRPr="00F65403">
              <w:rPr>
                <w:color w:val="323031"/>
                <w:spacing w:val="29"/>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28CC7CBE" w14:textId="20928E6C"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_Ref208418693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16D47B2C" w14:textId="77777777" w:rsidTr="009B7B2A">
        <w:tc>
          <w:tcPr>
            <w:tcW w:w="1990" w:type="dxa"/>
            <w:tcBorders>
              <w:top w:val="single" w:sz="2" w:space="0" w:color="390A56"/>
              <w:bottom w:val="single" w:sz="2" w:space="0" w:color="390A56"/>
            </w:tcBorders>
            <w:shd w:val="clear" w:color="auto" w:fill="FFFFFF" w:themeFill="background1"/>
          </w:tcPr>
          <w:p w14:paraId="1A770683"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3419858" w14:textId="77777777" w:rsidR="00903950" w:rsidRPr="00F65403" w:rsidRDefault="00903950" w:rsidP="00903950">
            <w:pPr>
              <w:pStyle w:val="TableParagraph"/>
              <w:spacing w:before="0"/>
              <w:rPr>
                <w:i/>
                <w:lang w:val="en-AU"/>
              </w:rPr>
            </w:pPr>
            <w:r w:rsidRPr="00F65403">
              <w:rPr>
                <w:color w:val="323031"/>
                <w:lang w:val="en-AU"/>
              </w:rPr>
              <w:t>Application</w:t>
            </w:r>
            <w:r w:rsidRPr="00F65403">
              <w:rPr>
                <w:color w:val="323031"/>
                <w:spacing w:val="21"/>
                <w:lang w:val="en-AU"/>
              </w:rPr>
              <w:t xml:space="preserve"> </w:t>
            </w:r>
            <w:r w:rsidRPr="00F65403">
              <w:rPr>
                <w:color w:val="323031"/>
                <w:lang w:val="en-AU"/>
              </w:rPr>
              <w:t>and</w:t>
            </w:r>
            <w:r w:rsidRPr="00F65403">
              <w:rPr>
                <w:color w:val="323031"/>
                <w:spacing w:val="22"/>
                <w:lang w:val="en-AU"/>
              </w:rPr>
              <w:t xml:space="preserve"> </w:t>
            </w:r>
            <w:r w:rsidRPr="00F65403">
              <w:rPr>
                <w:color w:val="323031"/>
                <w:lang w:val="en-AU"/>
              </w:rPr>
              <w:t>operation</w:t>
            </w:r>
            <w:r w:rsidRPr="00F65403">
              <w:rPr>
                <w:color w:val="323031"/>
                <w:spacing w:val="21"/>
                <w:lang w:val="en-AU"/>
              </w:rPr>
              <w:t xml:space="preserve"> </w:t>
            </w:r>
            <w:r w:rsidRPr="00F65403">
              <w:rPr>
                <w:color w:val="323031"/>
                <w:lang w:val="en-AU"/>
              </w:rPr>
              <w:t>of</w:t>
            </w:r>
            <w:r w:rsidRPr="00F65403">
              <w:rPr>
                <w:color w:val="323031"/>
                <w:spacing w:val="22"/>
                <w:lang w:val="en-AU"/>
              </w:rPr>
              <w:t xml:space="preserve"> </w:t>
            </w:r>
            <w:r w:rsidRPr="00F65403">
              <w:rPr>
                <w:color w:val="323031"/>
                <w:lang w:val="en-AU"/>
              </w:rPr>
              <w:t>the</w:t>
            </w:r>
            <w:r w:rsidRPr="00F65403">
              <w:rPr>
                <w:color w:val="323031"/>
                <w:spacing w:val="21"/>
                <w:lang w:val="en-AU"/>
              </w:rPr>
              <w:t xml:space="preserve"> </w:t>
            </w:r>
            <w:r w:rsidRPr="00F65403">
              <w:rPr>
                <w:i/>
                <w:color w:val="323031"/>
                <w:lang w:val="en-AU"/>
              </w:rPr>
              <w:t>Public</w:t>
            </w:r>
            <w:r w:rsidRPr="00F65403">
              <w:rPr>
                <w:i/>
                <w:color w:val="323031"/>
                <w:spacing w:val="22"/>
                <w:lang w:val="en-AU"/>
              </w:rPr>
              <w:t xml:space="preserve"> </w:t>
            </w:r>
            <w:r w:rsidRPr="00F65403">
              <w:rPr>
                <w:i/>
                <w:color w:val="323031"/>
                <w:lang w:val="en-AU"/>
              </w:rPr>
              <w:t>Interest</w:t>
            </w:r>
            <w:r w:rsidRPr="00F65403">
              <w:rPr>
                <w:i/>
                <w:color w:val="323031"/>
                <w:spacing w:val="21"/>
                <w:lang w:val="en-AU"/>
              </w:rPr>
              <w:t xml:space="preserve"> </w:t>
            </w:r>
            <w:r w:rsidRPr="00F65403">
              <w:rPr>
                <w:i/>
                <w:color w:val="323031"/>
                <w:lang w:val="en-AU"/>
              </w:rPr>
              <w:t>Disclosures</w:t>
            </w:r>
            <w:r w:rsidRPr="00F65403">
              <w:rPr>
                <w:i/>
                <w:color w:val="323031"/>
                <w:spacing w:val="22"/>
                <w:lang w:val="en-AU"/>
              </w:rPr>
              <w:t xml:space="preserve"> </w:t>
            </w:r>
            <w:r w:rsidRPr="00F65403">
              <w:rPr>
                <w:i/>
                <w:color w:val="323031"/>
                <w:lang w:val="en-AU"/>
              </w:rPr>
              <w:t>Act</w:t>
            </w:r>
            <w:r w:rsidRPr="00F65403">
              <w:rPr>
                <w:i/>
                <w:color w:val="323031"/>
                <w:spacing w:val="21"/>
                <w:lang w:val="en-AU"/>
              </w:rPr>
              <w:t xml:space="preserve"> </w:t>
            </w:r>
            <w:r w:rsidRPr="00F65403">
              <w:rPr>
                <w:i/>
                <w:color w:val="323031"/>
                <w:spacing w:val="-4"/>
                <w:lang w:val="en-AU"/>
              </w:rPr>
              <w:t>2012</w:t>
            </w:r>
          </w:p>
        </w:tc>
        <w:tc>
          <w:tcPr>
            <w:tcW w:w="760" w:type="dxa"/>
            <w:tcBorders>
              <w:top w:val="single" w:sz="2" w:space="0" w:color="390A56"/>
              <w:bottom w:val="single" w:sz="2" w:space="0" w:color="390A56"/>
            </w:tcBorders>
            <w:shd w:val="clear" w:color="auto" w:fill="FFFFFF" w:themeFill="background1"/>
          </w:tcPr>
          <w:p w14:paraId="667E501E" w14:textId="78139906"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_Ref208418698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4693B0A4" w14:textId="77777777" w:rsidTr="009B7B2A">
        <w:tc>
          <w:tcPr>
            <w:tcW w:w="1990" w:type="dxa"/>
            <w:tcBorders>
              <w:top w:val="single" w:sz="2" w:space="0" w:color="390A56"/>
              <w:bottom w:val="single" w:sz="2" w:space="0" w:color="390A56"/>
            </w:tcBorders>
            <w:shd w:val="clear" w:color="auto" w:fill="FFFFFF" w:themeFill="background1"/>
          </w:tcPr>
          <w:p w14:paraId="70860C84"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19B135F" w14:textId="77777777" w:rsidR="00903950" w:rsidRPr="00F65403" w:rsidRDefault="00903950" w:rsidP="00903950">
            <w:pPr>
              <w:pStyle w:val="TableParagraph"/>
              <w:spacing w:before="0"/>
              <w:rPr>
                <w:lang w:val="en-AU"/>
              </w:rPr>
            </w:pPr>
            <w:r w:rsidRPr="00F65403">
              <w:rPr>
                <w:color w:val="323031"/>
                <w:lang w:val="en-AU"/>
              </w:rPr>
              <w:t>Details</w:t>
            </w:r>
            <w:r w:rsidRPr="00F65403">
              <w:rPr>
                <w:color w:val="323031"/>
                <w:spacing w:val="24"/>
                <w:lang w:val="en-AU"/>
              </w:rPr>
              <w:t xml:space="preserve"> </w:t>
            </w:r>
            <w:r w:rsidRPr="00F65403">
              <w:rPr>
                <w:color w:val="323031"/>
                <w:lang w:val="en-AU"/>
              </w:rPr>
              <w:t>of</w:t>
            </w:r>
            <w:r w:rsidRPr="00F65403">
              <w:rPr>
                <w:color w:val="323031"/>
                <w:spacing w:val="23"/>
                <w:lang w:val="en-AU"/>
              </w:rPr>
              <w:t xml:space="preserve"> </w:t>
            </w:r>
            <w:r w:rsidRPr="00F65403">
              <w:rPr>
                <w:color w:val="323031"/>
                <w:lang w:val="en-AU"/>
              </w:rPr>
              <w:t>consultancies</w:t>
            </w:r>
            <w:r w:rsidRPr="00F65403">
              <w:rPr>
                <w:color w:val="323031"/>
                <w:spacing w:val="24"/>
                <w:lang w:val="en-AU"/>
              </w:rPr>
              <w:t xml:space="preserve"> </w:t>
            </w:r>
            <w:r w:rsidRPr="00F65403">
              <w:rPr>
                <w:color w:val="323031"/>
                <w:lang w:val="en-AU"/>
              </w:rPr>
              <w:t>over</w:t>
            </w:r>
            <w:r w:rsidRPr="00F65403">
              <w:rPr>
                <w:color w:val="323031"/>
                <w:spacing w:val="24"/>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15430140" w14:textId="661CEAEA"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_Ref208418705 \h </w:instrText>
            </w:r>
            <w:r>
              <w:rPr>
                <w:lang w:val="en-AU"/>
              </w:rPr>
            </w:r>
            <w:r>
              <w:rPr>
                <w:lang w:val="en-AU"/>
              </w:rPr>
              <w:fldChar w:fldCharType="separate"/>
            </w:r>
            <w:r w:rsidR="00BC7653">
              <w:rPr>
                <w:noProof/>
                <w:lang w:val="en-AU"/>
              </w:rPr>
              <w:t>133</w:t>
            </w:r>
            <w:r>
              <w:rPr>
                <w:lang w:val="en-AU"/>
              </w:rPr>
              <w:fldChar w:fldCharType="end"/>
            </w:r>
          </w:p>
        </w:tc>
      </w:tr>
      <w:tr w:rsidR="00903950" w:rsidRPr="003323EF" w14:paraId="00603077" w14:textId="77777777" w:rsidTr="009B7B2A">
        <w:tc>
          <w:tcPr>
            <w:tcW w:w="1990" w:type="dxa"/>
            <w:tcBorders>
              <w:top w:val="single" w:sz="2" w:space="0" w:color="390A56"/>
              <w:bottom w:val="single" w:sz="2" w:space="0" w:color="390A56"/>
            </w:tcBorders>
            <w:shd w:val="clear" w:color="auto" w:fill="FFFFFF" w:themeFill="background1"/>
          </w:tcPr>
          <w:p w14:paraId="2AEC6CDB"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B18C8E7" w14:textId="77777777" w:rsidR="00903950" w:rsidRPr="00F65403" w:rsidRDefault="00903950" w:rsidP="00903950">
            <w:pPr>
              <w:pStyle w:val="TableParagraph"/>
              <w:spacing w:before="0"/>
              <w:rPr>
                <w:lang w:val="en-AU"/>
              </w:rPr>
            </w:pPr>
            <w:r w:rsidRPr="00F65403">
              <w:rPr>
                <w:color w:val="323031"/>
                <w:lang w:val="en-AU"/>
              </w:rPr>
              <w:t>Details</w:t>
            </w:r>
            <w:r w:rsidRPr="00F65403">
              <w:rPr>
                <w:color w:val="323031"/>
                <w:spacing w:val="25"/>
                <w:lang w:val="en-AU"/>
              </w:rPr>
              <w:t xml:space="preserve"> </w:t>
            </w:r>
            <w:r w:rsidRPr="00F65403">
              <w:rPr>
                <w:color w:val="323031"/>
                <w:lang w:val="en-AU"/>
              </w:rPr>
              <w:t>of</w:t>
            </w:r>
            <w:r w:rsidRPr="00F65403">
              <w:rPr>
                <w:color w:val="323031"/>
                <w:spacing w:val="26"/>
                <w:lang w:val="en-AU"/>
              </w:rPr>
              <w:t xml:space="preserve"> </w:t>
            </w:r>
            <w:r w:rsidRPr="00F65403">
              <w:rPr>
                <w:color w:val="323031"/>
                <w:lang w:val="en-AU"/>
              </w:rPr>
              <w:t>consultancies</w:t>
            </w:r>
            <w:r w:rsidRPr="00F65403">
              <w:rPr>
                <w:color w:val="323031"/>
                <w:spacing w:val="25"/>
                <w:lang w:val="en-AU"/>
              </w:rPr>
              <w:t xml:space="preserve"> </w:t>
            </w:r>
            <w:r w:rsidRPr="00F65403">
              <w:rPr>
                <w:color w:val="323031"/>
                <w:lang w:val="en-AU"/>
              </w:rPr>
              <w:t>under</w:t>
            </w:r>
            <w:r w:rsidRPr="00F65403">
              <w:rPr>
                <w:color w:val="323031"/>
                <w:spacing w:val="26"/>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10E01A5E" w14:textId="378FC6EC"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_Ref208418705 \h </w:instrText>
            </w:r>
            <w:r>
              <w:rPr>
                <w:lang w:val="en-AU"/>
              </w:rPr>
            </w:r>
            <w:r>
              <w:rPr>
                <w:lang w:val="en-AU"/>
              </w:rPr>
              <w:fldChar w:fldCharType="separate"/>
            </w:r>
            <w:r w:rsidR="00BC7653">
              <w:rPr>
                <w:noProof/>
                <w:lang w:val="en-AU"/>
              </w:rPr>
              <w:t>133</w:t>
            </w:r>
            <w:r>
              <w:rPr>
                <w:lang w:val="en-AU"/>
              </w:rPr>
              <w:fldChar w:fldCharType="end"/>
            </w:r>
          </w:p>
        </w:tc>
      </w:tr>
      <w:tr w:rsidR="00903950" w:rsidRPr="003323EF" w14:paraId="116C5F89" w14:textId="77777777" w:rsidTr="009B7B2A">
        <w:tc>
          <w:tcPr>
            <w:tcW w:w="1990" w:type="dxa"/>
            <w:tcBorders>
              <w:top w:val="single" w:sz="2" w:space="0" w:color="390A56"/>
              <w:bottom w:val="single" w:sz="2" w:space="0" w:color="390A56"/>
            </w:tcBorders>
            <w:shd w:val="clear" w:color="auto" w:fill="FFFFFF" w:themeFill="background1"/>
          </w:tcPr>
          <w:p w14:paraId="052FEE12"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1ACCDBCB" w14:textId="77777777" w:rsidR="00903950" w:rsidRPr="00F65403" w:rsidRDefault="00903950" w:rsidP="00903950">
            <w:pPr>
              <w:pStyle w:val="TableParagraph"/>
              <w:spacing w:before="0"/>
              <w:rPr>
                <w:lang w:val="en-AU"/>
              </w:rPr>
            </w:pPr>
            <w:r w:rsidRPr="00F65403">
              <w:rPr>
                <w:color w:val="323031"/>
                <w:spacing w:val="2"/>
                <w:lang w:val="en-AU"/>
              </w:rPr>
              <w:t>Disclosure</w:t>
            </w:r>
            <w:r w:rsidRPr="00F65403">
              <w:rPr>
                <w:color w:val="323031"/>
                <w:spacing w:val="21"/>
                <w:lang w:val="en-AU"/>
              </w:rPr>
              <w:t xml:space="preserve"> </w:t>
            </w:r>
            <w:r w:rsidRPr="00F65403">
              <w:rPr>
                <w:color w:val="323031"/>
                <w:spacing w:val="2"/>
                <w:lang w:val="en-AU"/>
              </w:rPr>
              <w:t>of</w:t>
            </w:r>
            <w:r w:rsidRPr="00F65403">
              <w:rPr>
                <w:color w:val="323031"/>
                <w:spacing w:val="22"/>
                <w:lang w:val="en-AU"/>
              </w:rPr>
              <w:t xml:space="preserve"> </w:t>
            </w:r>
            <w:r w:rsidRPr="00F65403">
              <w:rPr>
                <w:color w:val="323031"/>
                <w:spacing w:val="2"/>
                <w:lang w:val="en-AU"/>
              </w:rPr>
              <w:t>government</w:t>
            </w:r>
            <w:r w:rsidRPr="00F65403">
              <w:rPr>
                <w:color w:val="323031"/>
                <w:spacing w:val="22"/>
                <w:lang w:val="en-AU"/>
              </w:rPr>
              <w:t xml:space="preserve"> </w:t>
            </w:r>
            <w:r w:rsidRPr="00F65403">
              <w:rPr>
                <w:color w:val="323031"/>
                <w:spacing w:val="2"/>
                <w:lang w:val="en-AU"/>
              </w:rPr>
              <w:t>advertising</w:t>
            </w:r>
            <w:r w:rsidRPr="00F65403">
              <w:rPr>
                <w:color w:val="323031"/>
                <w:spacing w:val="21"/>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4018C5E3" w14:textId="21AAD80B"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_Ref208418716 \h </w:instrText>
            </w:r>
            <w:r>
              <w:rPr>
                <w:lang w:val="en-AU"/>
              </w:rPr>
            </w:r>
            <w:r>
              <w:rPr>
                <w:lang w:val="en-AU"/>
              </w:rPr>
              <w:fldChar w:fldCharType="separate"/>
            </w:r>
            <w:r w:rsidR="00BC7653">
              <w:rPr>
                <w:noProof/>
                <w:lang w:val="en-AU"/>
              </w:rPr>
              <w:t>133</w:t>
            </w:r>
            <w:r>
              <w:rPr>
                <w:lang w:val="en-AU"/>
              </w:rPr>
              <w:fldChar w:fldCharType="end"/>
            </w:r>
          </w:p>
        </w:tc>
      </w:tr>
      <w:tr w:rsidR="00903950" w:rsidRPr="003323EF" w14:paraId="29C8A04F" w14:textId="77777777" w:rsidTr="009B7B2A">
        <w:tc>
          <w:tcPr>
            <w:tcW w:w="1990" w:type="dxa"/>
            <w:tcBorders>
              <w:top w:val="single" w:sz="2" w:space="0" w:color="390A56"/>
              <w:bottom w:val="single" w:sz="2" w:space="0" w:color="390A56"/>
            </w:tcBorders>
            <w:shd w:val="clear" w:color="auto" w:fill="FFFFFF" w:themeFill="background1"/>
          </w:tcPr>
          <w:p w14:paraId="0599C046"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671E510" w14:textId="77777777" w:rsidR="00903950" w:rsidRPr="00F65403" w:rsidRDefault="00903950" w:rsidP="00903950">
            <w:pPr>
              <w:pStyle w:val="TableParagraph"/>
              <w:spacing w:before="0"/>
              <w:rPr>
                <w:lang w:val="en-AU"/>
              </w:rPr>
            </w:pPr>
            <w:r w:rsidRPr="00F65403">
              <w:rPr>
                <w:color w:val="323031"/>
                <w:lang w:val="en-AU"/>
              </w:rPr>
              <w:t>Disclosure</w:t>
            </w:r>
            <w:r w:rsidRPr="00F65403">
              <w:rPr>
                <w:color w:val="323031"/>
                <w:spacing w:val="8"/>
                <w:lang w:val="en-AU"/>
              </w:rPr>
              <w:t xml:space="preserve"> </w:t>
            </w:r>
            <w:r w:rsidRPr="00F65403">
              <w:rPr>
                <w:color w:val="323031"/>
                <w:lang w:val="en-AU"/>
              </w:rPr>
              <w:t>of</w:t>
            </w:r>
            <w:r w:rsidRPr="00F65403">
              <w:rPr>
                <w:color w:val="323031"/>
                <w:spacing w:val="9"/>
                <w:lang w:val="en-AU"/>
              </w:rPr>
              <w:t xml:space="preserve"> </w:t>
            </w:r>
            <w:r w:rsidRPr="00F65403">
              <w:rPr>
                <w:color w:val="323031"/>
                <w:lang w:val="en-AU"/>
              </w:rPr>
              <w:t>ICT</w:t>
            </w:r>
            <w:r w:rsidRPr="00F65403">
              <w:rPr>
                <w:color w:val="323031"/>
                <w:spacing w:val="9"/>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0A6D9A64" w14:textId="4C8AF992"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_Ref208418720 \h </w:instrText>
            </w:r>
            <w:r>
              <w:rPr>
                <w:lang w:val="en-AU"/>
              </w:rPr>
            </w:r>
            <w:r>
              <w:rPr>
                <w:lang w:val="en-AU"/>
              </w:rPr>
              <w:fldChar w:fldCharType="separate"/>
            </w:r>
            <w:r w:rsidR="00BC7653">
              <w:rPr>
                <w:noProof/>
                <w:lang w:val="en-AU"/>
              </w:rPr>
              <w:t>133</w:t>
            </w:r>
            <w:r>
              <w:rPr>
                <w:lang w:val="en-AU"/>
              </w:rPr>
              <w:fldChar w:fldCharType="end"/>
            </w:r>
          </w:p>
        </w:tc>
      </w:tr>
      <w:tr w:rsidR="00903950" w:rsidRPr="003323EF" w14:paraId="6269767F" w14:textId="77777777" w:rsidTr="009B7B2A">
        <w:tc>
          <w:tcPr>
            <w:tcW w:w="1990" w:type="dxa"/>
            <w:tcBorders>
              <w:top w:val="single" w:sz="2" w:space="0" w:color="390A56"/>
              <w:bottom w:val="single" w:sz="2" w:space="0" w:color="390A56"/>
            </w:tcBorders>
            <w:shd w:val="clear" w:color="auto" w:fill="FFFFFF" w:themeFill="background1"/>
          </w:tcPr>
          <w:p w14:paraId="10BAB019"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650267CD" w14:textId="77777777" w:rsidR="00903950" w:rsidRPr="00F65403" w:rsidRDefault="00903950" w:rsidP="00903950">
            <w:pPr>
              <w:pStyle w:val="TableParagraph"/>
              <w:spacing w:before="0"/>
              <w:rPr>
                <w:lang w:val="en-AU"/>
              </w:rPr>
            </w:pPr>
            <w:r w:rsidRPr="00F65403">
              <w:rPr>
                <w:color w:val="323031"/>
                <w:lang w:val="en-AU"/>
              </w:rPr>
              <w:t>Disclosure</w:t>
            </w:r>
            <w:r w:rsidRPr="00F65403">
              <w:rPr>
                <w:color w:val="323031"/>
                <w:spacing w:val="28"/>
                <w:lang w:val="en-AU"/>
              </w:rPr>
              <w:t xml:space="preserve"> </w:t>
            </w:r>
            <w:r w:rsidRPr="00F65403">
              <w:rPr>
                <w:color w:val="323031"/>
                <w:lang w:val="en-AU"/>
              </w:rPr>
              <w:t>of</w:t>
            </w:r>
            <w:r w:rsidRPr="00F65403">
              <w:rPr>
                <w:color w:val="323031"/>
                <w:spacing w:val="28"/>
                <w:lang w:val="en-AU"/>
              </w:rPr>
              <w:t xml:space="preserve"> </w:t>
            </w:r>
            <w:r w:rsidRPr="00F65403">
              <w:rPr>
                <w:color w:val="323031"/>
                <w:lang w:val="en-AU"/>
              </w:rPr>
              <w:t>emergency</w:t>
            </w:r>
            <w:r w:rsidRPr="00F65403">
              <w:rPr>
                <w:color w:val="323031"/>
                <w:spacing w:val="29"/>
                <w:lang w:val="en-AU"/>
              </w:rPr>
              <w:t xml:space="preserve"> </w:t>
            </w:r>
            <w:r w:rsidRPr="00F65403">
              <w:rPr>
                <w:color w:val="323031"/>
                <w:spacing w:val="-2"/>
                <w:lang w:val="en-AU"/>
              </w:rPr>
              <w:t>procurement</w:t>
            </w:r>
          </w:p>
        </w:tc>
        <w:tc>
          <w:tcPr>
            <w:tcW w:w="760" w:type="dxa"/>
            <w:tcBorders>
              <w:top w:val="single" w:sz="2" w:space="0" w:color="390A56"/>
              <w:bottom w:val="single" w:sz="2" w:space="0" w:color="390A56"/>
            </w:tcBorders>
            <w:shd w:val="clear" w:color="auto" w:fill="FFFFFF" w:themeFill="background1"/>
          </w:tcPr>
          <w:p w14:paraId="28551092" w14:textId="1B7F7834"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_Ref208418724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491A7A06" w14:textId="77777777" w:rsidTr="009B7B2A">
        <w:tc>
          <w:tcPr>
            <w:tcW w:w="1990" w:type="dxa"/>
            <w:tcBorders>
              <w:top w:val="single" w:sz="2" w:space="0" w:color="390A56"/>
              <w:bottom w:val="single" w:sz="2" w:space="0" w:color="390A56"/>
            </w:tcBorders>
            <w:shd w:val="clear" w:color="auto" w:fill="FFFFFF" w:themeFill="background1"/>
          </w:tcPr>
          <w:p w14:paraId="02F3CE97"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E493246" w14:textId="77777777" w:rsidR="00903950" w:rsidRPr="00F65403" w:rsidRDefault="00903950" w:rsidP="00903950">
            <w:pPr>
              <w:pStyle w:val="TableParagraph"/>
              <w:spacing w:before="0"/>
              <w:rPr>
                <w:lang w:val="en-AU"/>
              </w:rPr>
            </w:pPr>
            <w:r w:rsidRPr="00F65403">
              <w:rPr>
                <w:color w:val="323031"/>
                <w:spacing w:val="2"/>
                <w:lang w:val="en-AU"/>
              </w:rPr>
              <w:t>Disclosure</w:t>
            </w:r>
            <w:r w:rsidRPr="00F65403">
              <w:rPr>
                <w:color w:val="323031"/>
                <w:spacing w:val="20"/>
                <w:lang w:val="en-AU"/>
              </w:rPr>
              <w:t xml:space="preserve"> </w:t>
            </w:r>
            <w:r w:rsidRPr="00F65403">
              <w:rPr>
                <w:color w:val="323031"/>
                <w:spacing w:val="2"/>
                <w:lang w:val="en-AU"/>
              </w:rPr>
              <w:t>of</w:t>
            </w:r>
            <w:r w:rsidRPr="00F65403">
              <w:rPr>
                <w:color w:val="323031"/>
                <w:spacing w:val="21"/>
                <w:lang w:val="en-AU"/>
              </w:rPr>
              <w:t xml:space="preserve"> </w:t>
            </w:r>
            <w:r w:rsidRPr="00F65403">
              <w:rPr>
                <w:color w:val="323031"/>
                <w:spacing w:val="2"/>
                <w:lang w:val="en-AU"/>
              </w:rPr>
              <w:t>procurement</w:t>
            </w:r>
            <w:r w:rsidRPr="00F65403">
              <w:rPr>
                <w:color w:val="323031"/>
                <w:spacing w:val="20"/>
                <w:lang w:val="en-AU"/>
              </w:rPr>
              <w:t xml:space="preserve"> </w:t>
            </w:r>
            <w:r w:rsidRPr="00F65403">
              <w:rPr>
                <w:color w:val="323031"/>
                <w:spacing w:val="-2"/>
                <w:lang w:val="en-AU"/>
              </w:rPr>
              <w:t>complaints</w:t>
            </w:r>
          </w:p>
        </w:tc>
        <w:tc>
          <w:tcPr>
            <w:tcW w:w="760" w:type="dxa"/>
            <w:tcBorders>
              <w:top w:val="single" w:sz="2" w:space="0" w:color="390A56"/>
              <w:bottom w:val="single" w:sz="2" w:space="0" w:color="390A56"/>
            </w:tcBorders>
            <w:shd w:val="clear" w:color="auto" w:fill="FFFFFF" w:themeFill="background1"/>
          </w:tcPr>
          <w:p w14:paraId="391A82D8" w14:textId="3669ABC5"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_Ref208418728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77001146" w14:textId="77777777" w:rsidTr="009B7B2A">
        <w:tc>
          <w:tcPr>
            <w:tcW w:w="1990" w:type="dxa"/>
            <w:tcBorders>
              <w:top w:val="single" w:sz="2" w:space="0" w:color="390A56"/>
              <w:bottom w:val="single" w:sz="2" w:space="0" w:color="390A56"/>
            </w:tcBorders>
            <w:shd w:val="clear" w:color="auto" w:fill="FFFFFF" w:themeFill="background1"/>
          </w:tcPr>
          <w:p w14:paraId="17C8250E"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24</w:t>
            </w:r>
          </w:p>
        </w:tc>
        <w:tc>
          <w:tcPr>
            <w:tcW w:w="6276" w:type="dxa"/>
            <w:gridSpan w:val="3"/>
            <w:tcBorders>
              <w:top w:val="single" w:sz="2" w:space="0" w:color="390A56"/>
              <w:bottom w:val="single" w:sz="2" w:space="0" w:color="390A56"/>
            </w:tcBorders>
            <w:shd w:val="clear" w:color="auto" w:fill="FFFFFF" w:themeFill="background1"/>
          </w:tcPr>
          <w:p w14:paraId="74423AA3" w14:textId="77777777" w:rsidR="00903950" w:rsidRPr="00F65403" w:rsidRDefault="00903950" w:rsidP="00903950">
            <w:pPr>
              <w:pStyle w:val="TableParagraph"/>
              <w:spacing w:before="0"/>
              <w:rPr>
                <w:lang w:val="en-AU"/>
              </w:rPr>
            </w:pPr>
            <w:r w:rsidRPr="00F65403">
              <w:rPr>
                <w:color w:val="323031"/>
                <w:w w:val="105"/>
                <w:lang w:val="en-AU"/>
              </w:rPr>
              <w:t>Environmental</w:t>
            </w:r>
            <w:r w:rsidRPr="00F65403">
              <w:rPr>
                <w:color w:val="323031"/>
                <w:spacing w:val="-10"/>
                <w:w w:val="105"/>
                <w:lang w:val="en-AU"/>
              </w:rPr>
              <w:t xml:space="preserve"> </w:t>
            </w:r>
            <w:r w:rsidRPr="00F65403">
              <w:rPr>
                <w:color w:val="323031"/>
                <w:spacing w:val="-2"/>
                <w:w w:val="110"/>
                <w:lang w:val="en-AU"/>
              </w:rPr>
              <w:t>reporting</w:t>
            </w:r>
          </w:p>
        </w:tc>
        <w:tc>
          <w:tcPr>
            <w:tcW w:w="760" w:type="dxa"/>
            <w:tcBorders>
              <w:top w:val="single" w:sz="2" w:space="0" w:color="390A56"/>
              <w:bottom w:val="single" w:sz="2" w:space="0" w:color="390A56"/>
            </w:tcBorders>
            <w:shd w:val="clear" w:color="auto" w:fill="FFFFFF" w:themeFill="background1"/>
          </w:tcPr>
          <w:p w14:paraId="2BD07408" w14:textId="1469B21D"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_Ref208418735 \h </w:instrText>
            </w:r>
            <w:r>
              <w:rPr>
                <w:lang w:val="en-AU"/>
              </w:rPr>
            </w:r>
            <w:r>
              <w:rPr>
                <w:lang w:val="en-AU"/>
              </w:rPr>
              <w:fldChar w:fldCharType="separate"/>
            </w:r>
            <w:r w:rsidR="00BC7653">
              <w:rPr>
                <w:noProof/>
                <w:lang w:val="en-AU"/>
              </w:rPr>
              <w:t>134</w:t>
            </w:r>
            <w:r>
              <w:rPr>
                <w:lang w:val="en-AU"/>
              </w:rPr>
              <w:fldChar w:fldCharType="end"/>
            </w:r>
          </w:p>
        </w:tc>
      </w:tr>
      <w:tr w:rsidR="00903950" w:rsidRPr="003323EF" w14:paraId="3724706F" w14:textId="77777777" w:rsidTr="009B7B2A">
        <w:tc>
          <w:tcPr>
            <w:tcW w:w="1990" w:type="dxa"/>
            <w:tcBorders>
              <w:top w:val="single" w:sz="2" w:space="0" w:color="390A56"/>
              <w:bottom w:val="single" w:sz="2" w:space="0" w:color="390A56"/>
            </w:tcBorders>
            <w:shd w:val="clear" w:color="auto" w:fill="FFFFFF" w:themeFill="background1"/>
          </w:tcPr>
          <w:p w14:paraId="58A39760"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25</w:t>
            </w:r>
          </w:p>
        </w:tc>
        <w:tc>
          <w:tcPr>
            <w:tcW w:w="6276" w:type="dxa"/>
            <w:gridSpan w:val="3"/>
            <w:tcBorders>
              <w:top w:val="single" w:sz="2" w:space="0" w:color="390A56"/>
              <w:bottom w:val="single" w:sz="2" w:space="0" w:color="390A56"/>
            </w:tcBorders>
            <w:shd w:val="clear" w:color="auto" w:fill="FFFFFF" w:themeFill="background1"/>
          </w:tcPr>
          <w:p w14:paraId="16F31BEA" w14:textId="77777777" w:rsidR="00903950" w:rsidRPr="00F65403" w:rsidRDefault="00903950" w:rsidP="00903950">
            <w:pPr>
              <w:pStyle w:val="TableParagraph"/>
              <w:spacing w:before="0"/>
              <w:rPr>
                <w:lang w:val="en-AU"/>
              </w:rPr>
            </w:pPr>
            <w:r w:rsidRPr="00F65403">
              <w:rPr>
                <w:color w:val="323031"/>
                <w:lang w:val="en-AU"/>
              </w:rPr>
              <w:t>Local</w:t>
            </w:r>
            <w:r w:rsidRPr="00F65403">
              <w:rPr>
                <w:color w:val="323031"/>
                <w:spacing w:val="20"/>
                <w:lang w:val="en-AU"/>
              </w:rPr>
              <w:t xml:space="preserve"> </w:t>
            </w:r>
            <w:r w:rsidRPr="00F65403">
              <w:rPr>
                <w:color w:val="323031"/>
                <w:lang w:val="en-AU"/>
              </w:rPr>
              <w:t>Jobs</w:t>
            </w:r>
            <w:r w:rsidRPr="00F65403">
              <w:rPr>
                <w:color w:val="323031"/>
                <w:spacing w:val="20"/>
                <w:lang w:val="en-AU"/>
              </w:rPr>
              <w:t xml:space="preserve"> </w:t>
            </w:r>
            <w:r w:rsidRPr="00F65403">
              <w:rPr>
                <w:color w:val="323031"/>
                <w:spacing w:val="-2"/>
                <w:lang w:val="en-AU"/>
              </w:rPr>
              <w:t>First</w:t>
            </w:r>
          </w:p>
        </w:tc>
        <w:tc>
          <w:tcPr>
            <w:tcW w:w="760" w:type="dxa"/>
            <w:tcBorders>
              <w:top w:val="single" w:sz="2" w:space="0" w:color="390A56"/>
              <w:bottom w:val="single" w:sz="2" w:space="0" w:color="390A56"/>
            </w:tcBorders>
            <w:shd w:val="clear" w:color="auto" w:fill="FFFFFF" w:themeFill="background1"/>
          </w:tcPr>
          <w:p w14:paraId="078291EA" w14:textId="5498AC55" w:rsidR="00903950" w:rsidRPr="00F65403" w:rsidRDefault="00AF1445" w:rsidP="00E945C0">
            <w:pPr>
              <w:pStyle w:val="TableParagraph"/>
              <w:spacing w:before="0"/>
              <w:jc w:val="center"/>
              <w:rPr>
                <w:lang w:val="en-AU"/>
              </w:rPr>
            </w:pPr>
            <w:r>
              <w:rPr>
                <w:lang w:val="en-AU"/>
              </w:rPr>
              <w:fldChar w:fldCharType="begin"/>
            </w:r>
            <w:r>
              <w:rPr>
                <w:lang w:val="en-AU"/>
              </w:rPr>
              <w:instrText xml:space="preserve"> PAGEREF _Ref208418240 \h </w:instrText>
            </w:r>
            <w:r>
              <w:rPr>
                <w:lang w:val="en-AU"/>
              </w:rPr>
            </w:r>
            <w:r>
              <w:rPr>
                <w:lang w:val="en-AU"/>
              </w:rPr>
              <w:fldChar w:fldCharType="separate"/>
            </w:r>
            <w:r w:rsidR="00BC7653">
              <w:rPr>
                <w:noProof/>
                <w:lang w:val="en-AU"/>
              </w:rPr>
              <w:t>133</w:t>
            </w:r>
            <w:r>
              <w:rPr>
                <w:lang w:val="en-AU"/>
              </w:rPr>
              <w:fldChar w:fldCharType="end"/>
            </w:r>
          </w:p>
        </w:tc>
      </w:tr>
      <w:tr w:rsidR="00903950" w:rsidRPr="003323EF" w14:paraId="18E468C4" w14:textId="77777777" w:rsidTr="009B7B2A">
        <w:tc>
          <w:tcPr>
            <w:tcW w:w="9026" w:type="dxa"/>
            <w:gridSpan w:val="5"/>
            <w:tcBorders>
              <w:top w:val="single" w:sz="2" w:space="0" w:color="390A56"/>
              <w:bottom w:val="single" w:sz="2" w:space="0" w:color="390A56"/>
            </w:tcBorders>
            <w:shd w:val="clear" w:color="auto" w:fill="F0E3DE"/>
          </w:tcPr>
          <w:p w14:paraId="0BFA3588" w14:textId="77777777" w:rsidR="00903950" w:rsidRPr="00F65403" w:rsidRDefault="00903950" w:rsidP="00903950">
            <w:pPr>
              <w:pStyle w:val="TableParagraph"/>
              <w:spacing w:before="0"/>
              <w:rPr>
                <w:b/>
                <w:lang w:val="en-AU"/>
              </w:rPr>
            </w:pPr>
            <w:r w:rsidRPr="00F65403">
              <w:rPr>
                <w:b/>
                <w:color w:val="323031"/>
                <w:lang w:val="en-AU"/>
              </w:rPr>
              <w:t>Compliance</w:t>
            </w:r>
            <w:r w:rsidRPr="00F65403">
              <w:rPr>
                <w:b/>
                <w:color w:val="323031"/>
                <w:spacing w:val="1"/>
                <w:lang w:val="en-AU"/>
              </w:rPr>
              <w:t xml:space="preserve"> </w:t>
            </w:r>
            <w:r w:rsidRPr="00F65403">
              <w:rPr>
                <w:b/>
                <w:color w:val="323031"/>
                <w:lang w:val="en-AU"/>
              </w:rPr>
              <w:t>attestation</w:t>
            </w:r>
            <w:r w:rsidRPr="00F65403">
              <w:rPr>
                <w:b/>
                <w:color w:val="323031"/>
                <w:spacing w:val="1"/>
                <w:lang w:val="en-AU"/>
              </w:rPr>
              <w:t xml:space="preserve"> </w:t>
            </w:r>
            <w:r w:rsidRPr="00F65403">
              <w:rPr>
                <w:b/>
                <w:color w:val="323031"/>
                <w:lang w:val="en-AU"/>
              </w:rPr>
              <w:t>and</w:t>
            </w:r>
            <w:r w:rsidRPr="00F65403">
              <w:rPr>
                <w:b/>
                <w:color w:val="323031"/>
                <w:spacing w:val="1"/>
                <w:lang w:val="en-AU"/>
              </w:rPr>
              <w:t xml:space="preserve"> </w:t>
            </w:r>
            <w:r w:rsidRPr="00F65403">
              <w:rPr>
                <w:b/>
                <w:color w:val="323031"/>
                <w:spacing w:val="-2"/>
                <w:lang w:val="en-AU"/>
              </w:rPr>
              <w:t>declaration</w:t>
            </w:r>
          </w:p>
        </w:tc>
      </w:tr>
      <w:tr w:rsidR="00903950" w:rsidRPr="003323EF" w14:paraId="34E05B32" w14:textId="77777777" w:rsidTr="009B7B2A">
        <w:tc>
          <w:tcPr>
            <w:tcW w:w="1990" w:type="dxa"/>
            <w:tcBorders>
              <w:top w:val="single" w:sz="2" w:space="0" w:color="390A56"/>
              <w:bottom w:val="single" w:sz="2" w:space="0" w:color="390A56"/>
            </w:tcBorders>
            <w:shd w:val="clear" w:color="auto" w:fill="FFFFFF" w:themeFill="background1"/>
          </w:tcPr>
          <w:p w14:paraId="0D93F030" w14:textId="77777777" w:rsidR="00903950" w:rsidRPr="00F65403" w:rsidRDefault="00903950" w:rsidP="00903950">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5.4.1</w:t>
            </w:r>
          </w:p>
        </w:tc>
        <w:tc>
          <w:tcPr>
            <w:tcW w:w="6276" w:type="dxa"/>
            <w:gridSpan w:val="3"/>
            <w:tcBorders>
              <w:top w:val="single" w:sz="2" w:space="0" w:color="390A56"/>
              <w:bottom w:val="single" w:sz="2" w:space="0" w:color="390A56"/>
            </w:tcBorders>
            <w:shd w:val="clear" w:color="auto" w:fill="FFFFFF" w:themeFill="background1"/>
          </w:tcPr>
          <w:p w14:paraId="7F7211C3" w14:textId="77777777" w:rsidR="00903950" w:rsidRPr="00F65403" w:rsidRDefault="00903950" w:rsidP="00903950">
            <w:pPr>
              <w:pStyle w:val="TableParagraph"/>
              <w:spacing w:before="0"/>
              <w:rPr>
                <w:lang w:val="en-AU"/>
              </w:rPr>
            </w:pPr>
            <w:r w:rsidRPr="00F65403">
              <w:rPr>
                <w:color w:val="323031"/>
                <w:spacing w:val="2"/>
                <w:lang w:val="en-AU"/>
              </w:rPr>
              <w:t>Attestation</w:t>
            </w:r>
            <w:r w:rsidRPr="00F65403">
              <w:rPr>
                <w:color w:val="323031"/>
                <w:spacing w:val="22"/>
                <w:lang w:val="en-AU"/>
              </w:rPr>
              <w:t xml:space="preserve"> </w:t>
            </w:r>
            <w:r w:rsidRPr="00F65403">
              <w:rPr>
                <w:color w:val="323031"/>
                <w:spacing w:val="2"/>
                <w:lang w:val="en-AU"/>
              </w:rPr>
              <w:t>for</w:t>
            </w:r>
            <w:r w:rsidRPr="00F65403">
              <w:rPr>
                <w:color w:val="323031"/>
                <w:spacing w:val="23"/>
                <w:lang w:val="en-AU"/>
              </w:rPr>
              <w:t xml:space="preserve"> </w:t>
            </w:r>
            <w:r w:rsidRPr="00F65403">
              <w:rPr>
                <w:color w:val="323031"/>
                <w:spacing w:val="2"/>
                <w:lang w:val="en-AU"/>
              </w:rPr>
              <w:t>compliance</w:t>
            </w:r>
            <w:r w:rsidRPr="00F65403">
              <w:rPr>
                <w:color w:val="323031"/>
                <w:spacing w:val="23"/>
                <w:lang w:val="en-AU"/>
              </w:rPr>
              <w:t xml:space="preserve"> </w:t>
            </w:r>
            <w:r w:rsidRPr="00F65403">
              <w:rPr>
                <w:color w:val="323031"/>
                <w:spacing w:val="2"/>
                <w:lang w:val="en-AU"/>
              </w:rPr>
              <w:t>with</w:t>
            </w:r>
            <w:r w:rsidRPr="00F65403">
              <w:rPr>
                <w:color w:val="323031"/>
                <w:spacing w:val="23"/>
                <w:lang w:val="en-AU"/>
              </w:rPr>
              <w:t xml:space="preserve"> </w:t>
            </w:r>
            <w:r w:rsidRPr="00F65403">
              <w:rPr>
                <w:color w:val="323031"/>
                <w:spacing w:val="2"/>
                <w:lang w:val="en-AU"/>
              </w:rPr>
              <w:t>Ministerial</w:t>
            </w:r>
            <w:r w:rsidRPr="00F65403">
              <w:rPr>
                <w:color w:val="323031"/>
                <w:spacing w:val="23"/>
                <w:lang w:val="en-AU"/>
              </w:rPr>
              <w:t xml:space="preserve"> </w:t>
            </w:r>
            <w:r w:rsidRPr="00F65403">
              <w:rPr>
                <w:color w:val="323031"/>
                <w:spacing w:val="2"/>
                <w:lang w:val="en-AU"/>
              </w:rPr>
              <w:t>Standing</w:t>
            </w:r>
            <w:r w:rsidRPr="00F65403">
              <w:rPr>
                <w:color w:val="323031"/>
                <w:spacing w:val="23"/>
                <w:lang w:val="en-AU"/>
              </w:rPr>
              <w:t xml:space="preserve"> </w:t>
            </w:r>
            <w:r w:rsidRPr="00F65403">
              <w:rPr>
                <w:color w:val="323031"/>
                <w:spacing w:val="-2"/>
                <w:lang w:val="en-AU"/>
              </w:rPr>
              <w:t>Direction</w:t>
            </w:r>
          </w:p>
        </w:tc>
        <w:tc>
          <w:tcPr>
            <w:tcW w:w="760" w:type="dxa"/>
            <w:tcBorders>
              <w:top w:val="single" w:sz="2" w:space="0" w:color="390A56"/>
              <w:bottom w:val="single" w:sz="2" w:space="0" w:color="390A56"/>
            </w:tcBorders>
            <w:shd w:val="clear" w:color="auto" w:fill="FFFFFF" w:themeFill="background1"/>
          </w:tcPr>
          <w:p w14:paraId="56206C1C" w14:textId="3636F2A8"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_Ref208418770 \h </w:instrText>
            </w:r>
            <w:r>
              <w:rPr>
                <w:lang w:val="en-AU"/>
              </w:rPr>
            </w:r>
            <w:r>
              <w:rPr>
                <w:lang w:val="en-AU"/>
              </w:rPr>
              <w:fldChar w:fldCharType="separate"/>
            </w:r>
            <w:r w:rsidR="00BC7653">
              <w:rPr>
                <w:noProof/>
                <w:lang w:val="en-AU"/>
              </w:rPr>
              <w:t>99</w:t>
            </w:r>
            <w:r>
              <w:rPr>
                <w:lang w:val="en-AU"/>
              </w:rPr>
              <w:fldChar w:fldCharType="end"/>
            </w:r>
          </w:p>
        </w:tc>
      </w:tr>
      <w:tr w:rsidR="00903950" w:rsidRPr="003323EF" w14:paraId="731FAC9B" w14:textId="77777777" w:rsidTr="009B7B2A">
        <w:tc>
          <w:tcPr>
            <w:tcW w:w="1990" w:type="dxa"/>
            <w:tcBorders>
              <w:top w:val="single" w:sz="2" w:space="0" w:color="390A56"/>
              <w:bottom w:val="single" w:sz="2" w:space="0" w:color="390A56"/>
            </w:tcBorders>
            <w:shd w:val="clear" w:color="auto" w:fill="FFFFFF" w:themeFill="background1"/>
          </w:tcPr>
          <w:p w14:paraId="1E174BA8" w14:textId="77777777" w:rsidR="00903950" w:rsidRPr="00F65403" w:rsidRDefault="00903950" w:rsidP="00903950">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5.2.3</w:t>
            </w:r>
          </w:p>
        </w:tc>
        <w:tc>
          <w:tcPr>
            <w:tcW w:w="6276" w:type="dxa"/>
            <w:gridSpan w:val="3"/>
            <w:tcBorders>
              <w:top w:val="single" w:sz="2" w:space="0" w:color="390A56"/>
              <w:bottom w:val="single" w:sz="2" w:space="0" w:color="390A56"/>
            </w:tcBorders>
            <w:shd w:val="clear" w:color="auto" w:fill="FFFFFF" w:themeFill="background1"/>
          </w:tcPr>
          <w:p w14:paraId="7EBE323C" w14:textId="77777777" w:rsidR="00903950" w:rsidRPr="00F65403" w:rsidRDefault="00903950" w:rsidP="00903950">
            <w:pPr>
              <w:pStyle w:val="TableParagraph"/>
              <w:spacing w:before="0"/>
              <w:rPr>
                <w:lang w:val="en-AU"/>
              </w:rPr>
            </w:pPr>
            <w:r w:rsidRPr="00F65403">
              <w:rPr>
                <w:color w:val="323031"/>
                <w:lang w:val="en-AU"/>
              </w:rPr>
              <w:t>Declaration</w:t>
            </w:r>
            <w:r w:rsidRPr="00F65403">
              <w:rPr>
                <w:color w:val="323031"/>
                <w:spacing w:val="23"/>
                <w:lang w:val="en-AU"/>
              </w:rPr>
              <w:t xml:space="preserve"> </w:t>
            </w:r>
            <w:r w:rsidRPr="00F65403">
              <w:rPr>
                <w:color w:val="323031"/>
                <w:lang w:val="en-AU"/>
              </w:rPr>
              <w:t>in</w:t>
            </w:r>
            <w:r w:rsidRPr="00F65403">
              <w:rPr>
                <w:color w:val="323031"/>
                <w:spacing w:val="24"/>
                <w:lang w:val="en-AU"/>
              </w:rPr>
              <w:t xml:space="preserve"> </w:t>
            </w:r>
            <w:r w:rsidRPr="00F65403">
              <w:rPr>
                <w:color w:val="323031"/>
                <w:lang w:val="en-AU"/>
              </w:rPr>
              <w:t>report</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spacing w:val="-2"/>
                <w:lang w:val="en-AU"/>
              </w:rPr>
              <w:t>operations</w:t>
            </w:r>
          </w:p>
        </w:tc>
        <w:tc>
          <w:tcPr>
            <w:tcW w:w="760" w:type="dxa"/>
            <w:tcBorders>
              <w:top w:val="single" w:sz="2" w:space="0" w:color="390A56"/>
              <w:bottom w:val="single" w:sz="2" w:space="0" w:color="390A56"/>
            </w:tcBorders>
            <w:shd w:val="clear" w:color="auto" w:fill="FFFFFF" w:themeFill="background1"/>
          </w:tcPr>
          <w:p w14:paraId="619A2F91" w14:textId="49636058"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_Ref208418778 \h </w:instrText>
            </w:r>
            <w:r>
              <w:rPr>
                <w:lang w:val="en-AU"/>
              </w:rPr>
            </w:r>
            <w:r>
              <w:rPr>
                <w:lang w:val="en-AU"/>
              </w:rPr>
              <w:fldChar w:fldCharType="separate"/>
            </w:r>
            <w:r w:rsidR="00BC7653">
              <w:rPr>
                <w:noProof/>
                <w:lang w:val="en-AU"/>
              </w:rPr>
              <w:t>99</w:t>
            </w:r>
            <w:r>
              <w:rPr>
                <w:lang w:val="en-AU"/>
              </w:rPr>
              <w:fldChar w:fldCharType="end"/>
            </w:r>
          </w:p>
        </w:tc>
      </w:tr>
      <w:tr w:rsidR="00903950" w:rsidRPr="00680E7D" w14:paraId="728BA83A" w14:textId="77777777" w:rsidTr="009B7B2A">
        <w:tc>
          <w:tcPr>
            <w:tcW w:w="9026" w:type="dxa"/>
            <w:gridSpan w:val="5"/>
            <w:tcBorders>
              <w:top w:val="single" w:sz="2" w:space="0" w:color="390A56"/>
              <w:bottom w:val="single" w:sz="2" w:space="0" w:color="390A56"/>
            </w:tcBorders>
            <w:shd w:val="clear" w:color="auto" w:fill="D7CEDD"/>
          </w:tcPr>
          <w:p w14:paraId="212DBBD5" w14:textId="77777777" w:rsidR="00903950" w:rsidRPr="00F65403" w:rsidRDefault="00903950" w:rsidP="00903950">
            <w:pPr>
              <w:pStyle w:val="TableParagraph"/>
              <w:spacing w:before="0"/>
              <w:rPr>
                <w:b/>
                <w:lang w:val="en-AU"/>
              </w:rPr>
            </w:pPr>
            <w:r w:rsidRPr="00F65403">
              <w:rPr>
                <w:b/>
                <w:color w:val="323031"/>
                <w:spacing w:val="-2"/>
                <w:lang w:val="en-AU"/>
              </w:rPr>
              <w:t>Financial</w:t>
            </w:r>
            <w:r w:rsidRPr="00F65403">
              <w:rPr>
                <w:b/>
                <w:color w:val="323031"/>
                <w:spacing w:val="-9"/>
                <w:lang w:val="en-AU"/>
              </w:rPr>
              <w:t xml:space="preserve"> </w:t>
            </w:r>
            <w:r w:rsidRPr="00F65403">
              <w:rPr>
                <w:b/>
                <w:color w:val="323031"/>
                <w:spacing w:val="-2"/>
                <w:lang w:val="en-AU"/>
              </w:rPr>
              <w:t>statements</w:t>
            </w:r>
          </w:p>
        </w:tc>
      </w:tr>
      <w:tr w:rsidR="00903950" w:rsidRPr="00680E7D" w14:paraId="0B58367D" w14:textId="77777777" w:rsidTr="009B7B2A">
        <w:tc>
          <w:tcPr>
            <w:tcW w:w="9026" w:type="dxa"/>
            <w:gridSpan w:val="5"/>
            <w:tcBorders>
              <w:top w:val="single" w:sz="2" w:space="0" w:color="390A56"/>
              <w:bottom w:val="single" w:sz="2" w:space="0" w:color="390A56"/>
            </w:tcBorders>
            <w:shd w:val="clear" w:color="auto" w:fill="F0E3DE"/>
          </w:tcPr>
          <w:p w14:paraId="72C1AEB4" w14:textId="77777777" w:rsidR="00903950" w:rsidRPr="00F65403" w:rsidRDefault="00903950" w:rsidP="00903950">
            <w:pPr>
              <w:pStyle w:val="TableParagraph"/>
              <w:spacing w:before="0"/>
              <w:rPr>
                <w:b/>
                <w:lang w:val="en-AU"/>
              </w:rPr>
            </w:pPr>
            <w:r w:rsidRPr="00F65403">
              <w:rPr>
                <w:b/>
                <w:color w:val="323031"/>
                <w:spacing w:val="-2"/>
                <w:lang w:val="en-AU"/>
              </w:rPr>
              <w:t>Declaration</w:t>
            </w:r>
          </w:p>
        </w:tc>
      </w:tr>
      <w:tr w:rsidR="00903950" w:rsidRPr="00680E7D" w14:paraId="42930804" w14:textId="77777777" w:rsidTr="009B7B2A">
        <w:tc>
          <w:tcPr>
            <w:tcW w:w="2018" w:type="dxa"/>
            <w:gridSpan w:val="2"/>
            <w:tcBorders>
              <w:top w:val="single" w:sz="2" w:space="0" w:color="390A56"/>
              <w:bottom w:val="single" w:sz="2" w:space="0" w:color="390A56"/>
            </w:tcBorders>
            <w:shd w:val="clear" w:color="auto" w:fill="FFFFFF" w:themeFill="background1"/>
          </w:tcPr>
          <w:p w14:paraId="522F2011" w14:textId="77777777" w:rsidR="00903950" w:rsidRPr="00F65403" w:rsidRDefault="00903950" w:rsidP="00903950">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5.2.2</w:t>
            </w:r>
          </w:p>
        </w:tc>
        <w:tc>
          <w:tcPr>
            <w:tcW w:w="6241" w:type="dxa"/>
            <w:tcBorders>
              <w:top w:val="single" w:sz="2" w:space="0" w:color="390A56"/>
              <w:bottom w:val="single" w:sz="2" w:space="0" w:color="390A56"/>
            </w:tcBorders>
            <w:shd w:val="clear" w:color="auto" w:fill="FFFFFF" w:themeFill="background1"/>
          </w:tcPr>
          <w:p w14:paraId="74EE1107" w14:textId="77777777" w:rsidR="00903950" w:rsidRPr="00F65403" w:rsidRDefault="00903950" w:rsidP="00903950">
            <w:pPr>
              <w:pStyle w:val="TableParagraph"/>
              <w:spacing w:before="0"/>
              <w:rPr>
                <w:lang w:val="en-AU"/>
              </w:rPr>
            </w:pPr>
            <w:r w:rsidRPr="00F65403">
              <w:rPr>
                <w:color w:val="323031"/>
                <w:w w:val="105"/>
                <w:lang w:val="en-AU"/>
              </w:rPr>
              <w:t>Declaration</w:t>
            </w:r>
            <w:r w:rsidRPr="00F65403">
              <w:rPr>
                <w:color w:val="323031"/>
                <w:spacing w:val="-4"/>
                <w:w w:val="105"/>
                <w:lang w:val="en-AU"/>
              </w:rPr>
              <w:t xml:space="preserve"> </w:t>
            </w:r>
            <w:r w:rsidRPr="00F65403">
              <w:rPr>
                <w:color w:val="323031"/>
                <w:w w:val="105"/>
                <w:lang w:val="en-AU"/>
              </w:rPr>
              <w:t>in</w:t>
            </w:r>
            <w:r w:rsidRPr="00F65403">
              <w:rPr>
                <w:color w:val="323031"/>
                <w:spacing w:val="-3"/>
                <w:w w:val="105"/>
                <w:lang w:val="en-AU"/>
              </w:rPr>
              <w:t xml:space="preserve"> </w:t>
            </w:r>
            <w:r w:rsidRPr="00F65403">
              <w:rPr>
                <w:color w:val="323031"/>
                <w:w w:val="105"/>
                <w:lang w:val="en-AU"/>
              </w:rPr>
              <w:t>financial</w:t>
            </w:r>
            <w:r w:rsidRPr="00F65403">
              <w:rPr>
                <w:color w:val="323031"/>
                <w:spacing w:val="-3"/>
                <w:w w:val="105"/>
                <w:lang w:val="en-AU"/>
              </w:rPr>
              <w:t xml:space="preserve"> </w:t>
            </w:r>
            <w:r w:rsidRPr="00F65403">
              <w:rPr>
                <w:color w:val="323031"/>
                <w:spacing w:val="-2"/>
                <w:w w:val="105"/>
                <w:lang w:val="en-AU"/>
              </w:rPr>
              <w:t>statements</w:t>
            </w:r>
          </w:p>
        </w:tc>
        <w:tc>
          <w:tcPr>
            <w:tcW w:w="767" w:type="dxa"/>
            <w:gridSpan w:val="2"/>
            <w:tcBorders>
              <w:top w:val="single" w:sz="2" w:space="0" w:color="390A56"/>
              <w:bottom w:val="single" w:sz="2" w:space="0" w:color="390A56"/>
            </w:tcBorders>
            <w:shd w:val="clear" w:color="auto" w:fill="FFFFFF" w:themeFill="background1"/>
          </w:tcPr>
          <w:p w14:paraId="6C10261D" w14:textId="6BC1142F"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_Ref208418790 \h </w:instrText>
            </w:r>
            <w:r>
              <w:rPr>
                <w:lang w:val="en-AU"/>
              </w:rPr>
            </w:r>
            <w:r>
              <w:rPr>
                <w:lang w:val="en-AU"/>
              </w:rPr>
              <w:fldChar w:fldCharType="separate"/>
            </w:r>
            <w:r w:rsidR="00BC7653">
              <w:rPr>
                <w:noProof/>
                <w:lang w:val="en-AU"/>
              </w:rPr>
              <w:t>132</w:t>
            </w:r>
            <w:r>
              <w:rPr>
                <w:lang w:val="en-AU"/>
              </w:rPr>
              <w:fldChar w:fldCharType="end"/>
            </w:r>
          </w:p>
        </w:tc>
      </w:tr>
      <w:tr w:rsidR="00903950" w:rsidRPr="00680E7D" w14:paraId="3A37C8F8" w14:textId="77777777" w:rsidTr="009B7B2A">
        <w:tc>
          <w:tcPr>
            <w:tcW w:w="9026" w:type="dxa"/>
            <w:gridSpan w:val="5"/>
            <w:tcBorders>
              <w:top w:val="single" w:sz="2" w:space="0" w:color="390A56"/>
              <w:bottom w:val="single" w:sz="2" w:space="0" w:color="390A56"/>
            </w:tcBorders>
            <w:shd w:val="clear" w:color="auto" w:fill="F0E3DE"/>
          </w:tcPr>
          <w:p w14:paraId="1DA7676F" w14:textId="77777777" w:rsidR="00903950" w:rsidRPr="00F65403" w:rsidRDefault="00903950" w:rsidP="00903950">
            <w:pPr>
              <w:pStyle w:val="TableParagraph"/>
              <w:spacing w:before="0"/>
              <w:rPr>
                <w:b/>
                <w:lang w:val="en-AU"/>
              </w:rPr>
            </w:pPr>
            <w:r w:rsidRPr="00F65403">
              <w:rPr>
                <w:b/>
                <w:color w:val="323031"/>
                <w:spacing w:val="-2"/>
                <w:lang w:val="en-AU"/>
              </w:rPr>
              <w:t>Other</w:t>
            </w:r>
            <w:r w:rsidRPr="00F65403">
              <w:rPr>
                <w:b/>
                <w:color w:val="323031"/>
                <w:lang w:val="en-AU"/>
              </w:rPr>
              <w:t xml:space="preserve"> </w:t>
            </w:r>
            <w:r w:rsidRPr="00F65403">
              <w:rPr>
                <w:b/>
                <w:color w:val="323031"/>
                <w:spacing w:val="-2"/>
                <w:lang w:val="en-AU"/>
              </w:rPr>
              <w:t>requirements</w:t>
            </w:r>
            <w:r w:rsidRPr="00F65403">
              <w:rPr>
                <w:b/>
                <w:color w:val="323031"/>
                <w:lang w:val="en-AU"/>
              </w:rPr>
              <w:t xml:space="preserve"> </w:t>
            </w:r>
            <w:r w:rsidRPr="00F65403">
              <w:rPr>
                <w:b/>
                <w:color w:val="323031"/>
                <w:spacing w:val="-2"/>
                <w:lang w:val="en-AU"/>
              </w:rPr>
              <w:t>under</w:t>
            </w:r>
            <w:r w:rsidRPr="00F65403">
              <w:rPr>
                <w:b/>
                <w:color w:val="323031"/>
                <w:spacing w:val="1"/>
                <w:lang w:val="en-AU"/>
              </w:rPr>
              <w:t xml:space="preserve"> </w:t>
            </w:r>
            <w:r w:rsidRPr="00F65403">
              <w:rPr>
                <w:b/>
                <w:color w:val="323031"/>
                <w:spacing w:val="-2"/>
                <w:lang w:val="en-AU"/>
              </w:rPr>
              <w:t>Standing</w:t>
            </w:r>
            <w:r w:rsidRPr="00F65403">
              <w:rPr>
                <w:b/>
                <w:color w:val="323031"/>
                <w:lang w:val="en-AU"/>
              </w:rPr>
              <w:t xml:space="preserve"> </w:t>
            </w:r>
            <w:r w:rsidRPr="00F65403">
              <w:rPr>
                <w:b/>
                <w:color w:val="323031"/>
                <w:spacing w:val="-2"/>
                <w:lang w:val="en-AU"/>
              </w:rPr>
              <w:t>Directions</w:t>
            </w:r>
            <w:r w:rsidRPr="00F65403">
              <w:rPr>
                <w:b/>
                <w:color w:val="323031"/>
                <w:lang w:val="en-AU"/>
              </w:rPr>
              <w:t xml:space="preserve"> </w:t>
            </w:r>
            <w:r w:rsidRPr="00F65403">
              <w:rPr>
                <w:b/>
                <w:color w:val="323031"/>
                <w:spacing w:val="-5"/>
                <w:lang w:val="en-AU"/>
              </w:rPr>
              <w:t>5.2</w:t>
            </w:r>
          </w:p>
        </w:tc>
      </w:tr>
      <w:tr w:rsidR="00903950" w:rsidRPr="00680E7D" w14:paraId="2106E449" w14:textId="77777777" w:rsidTr="009B7B2A">
        <w:tc>
          <w:tcPr>
            <w:tcW w:w="2018" w:type="dxa"/>
            <w:gridSpan w:val="2"/>
            <w:tcBorders>
              <w:top w:val="single" w:sz="2" w:space="0" w:color="390A56"/>
              <w:bottom w:val="single" w:sz="2" w:space="0" w:color="390A56"/>
            </w:tcBorders>
            <w:shd w:val="clear" w:color="auto" w:fill="FFFFFF" w:themeFill="background1"/>
          </w:tcPr>
          <w:p w14:paraId="09259C0D" w14:textId="77777777" w:rsidR="00903950" w:rsidRPr="00F65403" w:rsidRDefault="00903950" w:rsidP="00903950">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02E05CEB" w14:textId="77777777" w:rsidR="00903950" w:rsidRPr="00F65403" w:rsidRDefault="00903950" w:rsidP="00903950">
            <w:pPr>
              <w:pStyle w:val="TableParagraph"/>
              <w:spacing w:before="0"/>
              <w:rPr>
                <w:lang w:val="en-AU"/>
              </w:rPr>
            </w:pPr>
            <w:r w:rsidRPr="00F65403">
              <w:rPr>
                <w:color w:val="323031"/>
                <w:lang w:val="en-AU"/>
              </w:rPr>
              <w:t>Compliance with Australian accounting standards and other</w:t>
            </w:r>
            <w:r w:rsidRPr="00F65403">
              <w:rPr>
                <w:color w:val="323031"/>
                <w:spacing w:val="80"/>
                <w:w w:val="110"/>
                <w:lang w:val="en-AU"/>
              </w:rPr>
              <w:t xml:space="preserve"> </w:t>
            </w:r>
            <w:r w:rsidRPr="00F65403">
              <w:rPr>
                <w:color w:val="323031"/>
                <w:w w:val="110"/>
                <w:lang w:val="en-AU"/>
              </w:rPr>
              <w:t>authoritative</w:t>
            </w:r>
            <w:r w:rsidRPr="00F65403">
              <w:rPr>
                <w:color w:val="323031"/>
                <w:spacing w:val="-17"/>
                <w:w w:val="110"/>
                <w:lang w:val="en-AU"/>
              </w:rPr>
              <w:t xml:space="preserve"> </w:t>
            </w:r>
            <w:r w:rsidRPr="00F65403">
              <w:rPr>
                <w:color w:val="323031"/>
                <w:w w:val="110"/>
                <w:lang w:val="en-AU"/>
              </w:rPr>
              <w:t>pronouncements</w:t>
            </w:r>
          </w:p>
        </w:tc>
        <w:tc>
          <w:tcPr>
            <w:tcW w:w="767" w:type="dxa"/>
            <w:gridSpan w:val="2"/>
            <w:tcBorders>
              <w:top w:val="single" w:sz="2" w:space="0" w:color="390A56"/>
              <w:bottom w:val="single" w:sz="2" w:space="0" w:color="390A56"/>
            </w:tcBorders>
            <w:shd w:val="clear" w:color="auto" w:fill="FFFFFF" w:themeFill="background1"/>
          </w:tcPr>
          <w:p w14:paraId="74594DB4" w14:textId="78AC9E98"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_Ref208418796 \h </w:instrText>
            </w:r>
            <w:r>
              <w:rPr>
                <w:lang w:val="en-AU"/>
              </w:rPr>
            </w:r>
            <w:r>
              <w:rPr>
                <w:lang w:val="en-AU"/>
              </w:rPr>
              <w:fldChar w:fldCharType="separate"/>
            </w:r>
            <w:r w:rsidR="00BC7653">
              <w:rPr>
                <w:noProof/>
                <w:lang w:val="en-AU"/>
              </w:rPr>
              <w:t>132</w:t>
            </w:r>
            <w:r>
              <w:rPr>
                <w:lang w:val="en-AU"/>
              </w:rPr>
              <w:fldChar w:fldCharType="end"/>
            </w:r>
          </w:p>
        </w:tc>
      </w:tr>
      <w:tr w:rsidR="00903950" w:rsidRPr="00680E7D" w14:paraId="476B53C4" w14:textId="77777777" w:rsidTr="009B7B2A">
        <w:tc>
          <w:tcPr>
            <w:tcW w:w="2018" w:type="dxa"/>
            <w:gridSpan w:val="2"/>
            <w:tcBorders>
              <w:top w:val="single" w:sz="2" w:space="0" w:color="390A56"/>
              <w:bottom w:val="single" w:sz="2" w:space="0" w:color="390A56"/>
            </w:tcBorders>
            <w:shd w:val="clear" w:color="auto" w:fill="FFFFFF" w:themeFill="background1"/>
          </w:tcPr>
          <w:p w14:paraId="207092AC" w14:textId="77777777" w:rsidR="00903950" w:rsidRPr="00F65403" w:rsidRDefault="00903950" w:rsidP="00903950">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19B79545" w14:textId="77777777" w:rsidR="00903950" w:rsidRPr="00F65403" w:rsidRDefault="00903950" w:rsidP="00903950">
            <w:pPr>
              <w:pStyle w:val="TableParagraph"/>
              <w:spacing w:before="0"/>
              <w:rPr>
                <w:lang w:val="en-AU"/>
              </w:rPr>
            </w:pPr>
            <w:r w:rsidRPr="00F65403">
              <w:rPr>
                <w:color w:val="323031"/>
                <w:w w:val="105"/>
                <w:lang w:val="en-AU"/>
              </w:rPr>
              <w:t>Compliance with Standing</w:t>
            </w:r>
            <w:r w:rsidRPr="00F65403">
              <w:rPr>
                <w:color w:val="323031"/>
                <w:spacing w:val="1"/>
                <w:w w:val="105"/>
                <w:lang w:val="en-AU"/>
              </w:rPr>
              <w:t xml:space="preserve"> </w:t>
            </w:r>
            <w:r w:rsidRPr="00F65403">
              <w:rPr>
                <w:color w:val="323031"/>
                <w:spacing w:val="-2"/>
                <w:w w:val="105"/>
                <w:lang w:val="en-AU"/>
              </w:rPr>
              <w:t>Directions</w:t>
            </w:r>
          </w:p>
        </w:tc>
        <w:tc>
          <w:tcPr>
            <w:tcW w:w="767" w:type="dxa"/>
            <w:gridSpan w:val="2"/>
            <w:tcBorders>
              <w:top w:val="single" w:sz="2" w:space="0" w:color="390A56"/>
              <w:bottom w:val="single" w:sz="2" w:space="0" w:color="390A56"/>
            </w:tcBorders>
            <w:shd w:val="clear" w:color="auto" w:fill="FFFFFF" w:themeFill="background1"/>
          </w:tcPr>
          <w:p w14:paraId="32E6482A" w14:textId="593EB51F"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_Ref208418801 \h </w:instrText>
            </w:r>
            <w:r>
              <w:rPr>
                <w:lang w:val="en-AU"/>
              </w:rPr>
            </w:r>
            <w:r>
              <w:rPr>
                <w:lang w:val="en-AU"/>
              </w:rPr>
              <w:fldChar w:fldCharType="separate"/>
            </w:r>
            <w:r w:rsidR="00BC7653">
              <w:rPr>
                <w:noProof/>
                <w:lang w:val="en-AU"/>
              </w:rPr>
              <w:t>132</w:t>
            </w:r>
            <w:r>
              <w:rPr>
                <w:lang w:val="en-AU"/>
              </w:rPr>
              <w:fldChar w:fldCharType="end"/>
            </w:r>
          </w:p>
        </w:tc>
      </w:tr>
      <w:tr w:rsidR="00903950" w:rsidRPr="00680E7D" w14:paraId="7A215AC5" w14:textId="77777777" w:rsidTr="009B7B2A">
        <w:tc>
          <w:tcPr>
            <w:tcW w:w="9026" w:type="dxa"/>
            <w:gridSpan w:val="5"/>
            <w:tcBorders>
              <w:top w:val="single" w:sz="2" w:space="0" w:color="390A56"/>
              <w:bottom w:val="single" w:sz="2" w:space="0" w:color="390A56"/>
            </w:tcBorders>
            <w:shd w:val="clear" w:color="auto" w:fill="F0E3DE"/>
          </w:tcPr>
          <w:p w14:paraId="7B795E3E" w14:textId="77777777" w:rsidR="00903950" w:rsidRPr="00F65403" w:rsidRDefault="00903950" w:rsidP="00903950">
            <w:pPr>
              <w:pStyle w:val="TableParagraph"/>
              <w:spacing w:before="0"/>
              <w:rPr>
                <w:b/>
                <w:lang w:val="en-AU"/>
              </w:rPr>
            </w:pPr>
            <w:r w:rsidRPr="00F65403">
              <w:rPr>
                <w:b/>
                <w:color w:val="323031"/>
                <w:spacing w:val="-2"/>
                <w:lang w:val="en-AU"/>
              </w:rPr>
              <w:t>Other</w:t>
            </w:r>
            <w:r w:rsidRPr="00F65403">
              <w:rPr>
                <w:b/>
                <w:color w:val="323031"/>
                <w:spacing w:val="-5"/>
                <w:lang w:val="en-AU"/>
              </w:rPr>
              <w:t xml:space="preserve"> </w:t>
            </w:r>
            <w:r w:rsidRPr="00F65403">
              <w:rPr>
                <w:b/>
                <w:color w:val="323031"/>
                <w:spacing w:val="-2"/>
                <w:lang w:val="en-AU"/>
              </w:rPr>
              <w:t>disclosures</w:t>
            </w:r>
            <w:r w:rsidRPr="00F65403">
              <w:rPr>
                <w:b/>
                <w:color w:val="323031"/>
                <w:spacing w:val="-5"/>
                <w:lang w:val="en-AU"/>
              </w:rPr>
              <w:t xml:space="preserve"> </w:t>
            </w:r>
            <w:r w:rsidRPr="00F65403">
              <w:rPr>
                <w:b/>
                <w:color w:val="323031"/>
                <w:spacing w:val="-2"/>
                <w:lang w:val="en-AU"/>
              </w:rPr>
              <w:t>as</w:t>
            </w:r>
            <w:r w:rsidRPr="00F65403">
              <w:rPr>
                <w:b/>
                <w:color w:val="323031"/>
                <w:spacing w:val="-4"/>
                <w:lang w:val="en-AU"/>
              </w:rPr>
              <w:t xml:space="preserve"> </w:t>
            </w:r>
            <w:r w:rsidRPr="00F65403">
              <w:rPr>
                <w:b/>
                <w:color w:val="323031"/>
                <w:spacing w:val="-2"/>
                <w:lang w:val="en-AU"/>
              </w:rPr>
              <w:t>required</w:t>
            </w:r>
            <w:r w:rsidRPr="00F65403">
              <w:rPr>
                <w:b/>
                <w:color w:val="323031"/>
                <w:spacing w:val="-5"/>
                <w:lang w:val="en-AU"/>
              </w:rPr>
              <w:t xml:space="preserve"> </w:t>
            </w:r>
            <w:r w:rsidRPr="00F65403">
              <w:rPr>
                <w:b/>
                <w:color w:val="323031"/>
                <w:spacing w:val="-2"/>
                <w:lang w:val="en-AU"/>
              </w:rPr>
              <w:t>by</w:t>
            </w:r>
            <w:r w:rsidRPr="00F65403">
              <w:rPr>
                <w:b/>
                <w:color w:val="323031"/>
                <w:spacing w:val="-4"/>
                <w:lang w:val="en-AU"/>
              </w:rPr>
              <w:t xml:space="preserve"> </w:t>
            </w:r>
            <w:r w:rsidRPr="00F65403">
              <w:rPr>
                <w:b/>
                <w:color w:val="323031"/>
                <w:spacing w:val="-2"/>
                <w:lang w:val="en-AU"/>
              </w:rPr>
              <w:t>FRDs</w:t>
            </w:r>
            <w:r w:rsidRPr="00F65403">
              <w:rPr>
                <w:b/>
                <w:color w:val="323031"/>
                <w:spacing w:val="-5"/>
                <w:lang w:val="en-AU"/>
              </w:rPr>
              <w:t xml:space="preserve"> </w:t>
            </w:r>
            <w:r w:rsidRPr="00F65403">
              <w:rPr>
                <w:b/>
                <w:color w:val="323031"/>
                <w:spacing w:val="-2"/>
                <w:lang w:val="en-AU"/>
              </w:rPr>
              <w:t>in</w:t>
            </w:r>
            <w:r w:rsidRPr="00F65403">
              <w:rPr>
                <w:b/>
                <w:color w:val="323031"/>
                <w:spacing w:val="-5"/>
                <w:lang w:val="en-AU"/>
              </w:rPr>
              <w:t xml:space="preserve"> </w:t>
            </w:r>
            <w:r w:rsidRPr="00F65403">
              <w:rPr>
                <w:b/>
                <w:color w:val="323031"/>
                <w:spacing w:val="-2"/>
                <w:lang w:val="en-AU"/>
              </w:rPr>
              <w:t>notes</w:t>
            </w:r>
            <w:r w:rsidRPr="00F65403">
              <w:rPr>
                <w:b/>
                <w:color w:val="323031"/>
                <w:spacing w:val="-4"/>
                <w:lang w:val="en-AU"/>
              </w:rPr>
              <w:t xml:space="preserve"> </w:t>
            </w:r>
            <w:r w:rsidRPr="00F65403">
              <w:rPr>
                <w:b/>
                <w:color w:val="323031"/>
                <w:spacing w:val="-2"/>
                <w:lang w:val="en-AU"/>
              </w:rPr>
              <w:t>to</w:t>
            </w:r>
            <w:r w:rsidRPr="00F65403">
              <w:rPr>
                <w:b/>
                <w:color w:val="323031"/>
                <w:spacing w:val="-5"/>
                <w:lang w:val="en-AU"/>
              </w:rPr>
              <w:t xml:space="preserve"> </w:t>
            </w:r>
            <w:r w:rsidRPr="00F65403">
              <w:rPr>
                <w:b/>
                <w:color w:val="323031"/>
                <w:spacing w:val="-2"/>
                <w:lang w:val="en-AU"/>
              </w:rPr>
              <w:t>the</w:t>
            </w:r>
            <w:r w:rsidRPr="00F65403">
              <w:rPr>
                <w:b/>
                <w:color w:val="323031"/>
                <w:spacing w:val="-4"/>
                <w:lang w:val="en-AU"/>
              </w:rPr>
              <w:t xml:space="preserve"> </w:t>
            </w:r>
            <w:r w:rsidRPr="00F65403">
              <w:rPr>
                <w:b/>
                <w:color w:val="323031"/>
                <w:spacing w:val="-2"/>
                <w:lang w:val="en-AU"/>
              </w:rPr>
              <w:t>financial</w:t>
            </w:r>
            <w:r w:rsidRPr="00F65403">
              <w:rPr>
                <w:b/>
                <w:color w:val="323031"/>
                <w:spacing w:val="-5"/>
                <w:lang w:val="en-AU"/>
              </w:rPr>
              <w:t xml:space="preserve"> </w:t>
            </w:r>
            <w:r w:rsidRPr="00F65403">
              <w:rPr>
                <w:b/>
                <w:color w:val="323031"/>
                <w:spacing w:val="-2"/>
                <w:lang w:val="en-AU"/>
              </w:rPr>
              <w:t>statements</w:t>
            </w:r>
            <w:r w:rsidRPr="00F65403">
              <w:rPr>
                <w:b/>
                <w:color w:val="323031"/>
                <w:spacing w:val="-6"/>
                <w:lang w:val="en-AU"/>
              </w:rPr>
              <w:t xml:space="preserve"> </w:t>
            </w:r>
            <w:r w:rsidRPr="00F65403">
              <w:rPr>
                <w:b/>
                <w:color w:val="323031"/>
                <w:spacing w:val="-5"/>
                <w:position w:val="6"/>
                <w:lang w:val="en-AU"/>
              </w:rPr>
              <w:t>(a)</w:t>
            </w:r>
          </w:p>
        </w:tc>
      </w:tr>
      <w:tr w:rsidR="00903950" w:rsidRPr="00680E7D" w14:paraId="0D0797AE" w14:textId="77777777" w:rsidTr="009B7B2A">
        <w:tc>
          <w:tcPr>
            <w:tcW w:w="2018" w:type="dxa"/>
            <w:gridSpan w:val="2"/>
            <w:tcBorders>
              <w:top w:val="single" w:sz="2" w:space="0" w:color="390A56"/>
            </w:tcBorders>
            <w:shd w:val="clear" w:color="auto" w:fill="FFFFFF" w:themeFill="background1"/>
          </w:tcPr>
          <w:p w14:paraId="6CA42748"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21</w:t>
            </w:r>
          </w:p>
        </w:tc>
        <w:tc>
          <w:tcPr>
            <w:tcW w:w="6241" w:type="dxa"/>
            <w:tcBorders>
              <w:top w:val="single" w:sz="2" w:space="0" w:color="390A56"/>
            </w:tcBorders>
            <w:shd w:val="clear" w:color="auto" w:fill="FFFFFF" w:themeFill="background1"/>
          </w:tcPr>
          <w:p w14:paraId="7083EEC3" w14:textId="657DEBFC" w:rsidR="00903950" w:rsidRPr="00F65403" w:rsidRDefault="00903950" w:rsidP="00903950">
            <w:pPr>
              <w:pStyle w:val="TableParagraph"/>
              <w:spacing w:before="0"/>
              <w:rPr>
                <w:lang w:val="en-AU"/>
              </w:rPr>
            </w:pPr>
            <w:r w:rsidRPr="00F65403">
              <w:rPr>
                <w:color w:val="323031"/>
                <w:lang w:val="en-AU"/>
              </w:rPr>
              <w:t>Disclosures</w:t>
            </w:r>
            <w:r w:rsidRPr="00F65403">
              <w:rPr>
                <w:color w:val="323031"/>
                <w:spacing w:val="19"/>
                <w:lang w:val="en-AU"/>
              </w:rPr>
              <w:t xml:space="preserve"> </w:t>
            </w:r>
            <w:r w:rsidRPr="00F65403">
              <w:rPr>
                <w:color w:val="323031"/>
                <w:lang w:val="en-AU"/>
              </w:rPr>
              <w:t>of</w:t>
            </w:r>
            <w:r w:rsidRPr="00F65403">
              <w:rPr>
                <w:color w:val="323031"/>
                <w:spacing w:val="19"/>
                <w:lang w:val="en-AU"/>
              </w:rPr>
              <w:t xml:space="preserve"> </w:t>
            </w:r>
            <w:r w:rsidRPr="00F65403">
              <w:rPr>
                <w:color w:val="323031"/>
                <w:lang w:val="en-AU"/>
              </w:rPr>
              <w:t>Responsible</w:t>
            </w:r>
            <w:r w:rsidRPr="00F65403">
              <w:rPr>
                <w:color w:val="323031"/>
                <w:spacing w:val="19"/>
                <w:lang w:val="en-AU"/>
              </w:rPr>
              <w:t xml:space="preserve"> </w:t>
            </w:r>
            <w:r w:rsidRPr="00F65403">
              <w:rPr>
                <w:color w:val="323031"/>
                <w:lang w:val="en-AU"/>
              </w:rPr>
              <w:t>Persons,</w:t>
            </w:r>
            <w:r w:rsidRPr="00F65403">
              <w:rPr>
                <w:color w:val="323031"/>
                <w:spacing w:val="19"/>
                <w:lang w:val="en-AU"/>
              </w:rPr>
              <w:t xml:space="preserve"> </w:t>
            </w:r>
            <w:r w:rsidRPr="00F65403">
              <w:rPr>
                <w:color w:val="323031"/>
                <w:lang w:val="en-AU"/>
              </w:rPr>
              <w:t>Executive</w:t>
            </w:r>
            <w:r w:rsidRPr="00F65403">
              <w:rPr>
                <w:color w:val="323031"/>
                <w:spacing w:val="19"/>
                <w:lang w:val="en-AU"/>
              </w:rPr>
              <w:t xml:space="preserve"> </w:t>
            </w:r>
            <w:r w:rsidRPr="00F65403">
              <w:rPr>
                <w:color w:val="323031"/>
                <w:lang w:val="en-AU"/>
              </w:rPr>
              <w:t>Officers</w:t>
            </w:r>
            <w:r w:rsidRPr="00F65403">
              <w:rPr>
                <w:color w:val="323031"/>
                <w:spacing w:val="20"/>
                <w:lang w:val="en-AU"/>
              </w:rPr>
              <w:t xml:space="preserve"> </w:t>
            </w:r>
            <w:r w:rsidRPr="00F65403">
              <w:rPr>
                <w:color w:val="323031"/>
                <w:lang w:val="en-AU"/>
              </w:rPr>
              <w:t>and</w:t>
            </w:r>
            <w:r w:rsidRPr="00F65403">
              <w:rPr>
                <w:color w:val="323031"/>
                <w:spacing w:val="19"/>
                <w:lang w:val="en-AU"/>
              </w:rPr>
              <w:t xml:space="preserve"> </w:t>
            </w:r>
            <w:r w:rsidRPr="00F65403">
              <w:rPr>
                <w:color w:val="323031"/>
                <w:spacing w:val="-2"/>
                <w:lang w:val="en-AU"/>
              </w:rPr>
              <w:t>other</w:t>
            </w:r>
            <w:r w:rsidR="00C81F1D">
              <w:rPr>
                <w:color w:val="323031"/>
                <w:w w:val="105"/>
                <w:lang w:val="en-AU"/>
              </w:rPr>
              <w:t xml:space="preserve"> Personnel </w:t>
            </w:r>
            <w:r w:rsidR="00C81F1D" w:rsidRPr="00F65403">
              <w:rPr>
                <w:color w:val="323031"/>
                <w:w w:val="105"/>
                <w:lang w:val="en-AU"/>
              </w:rPr>
              <w:t>(Contractors</w:t>
            </w:r>
            <w:r w:rsidR="00C81F1D" w:rsidRPr="00F65403">
              <w:rPr>
                <w:color w:val="323031"/>
                <w:spacing w:val="-4"/>
                <w:w w:val="105"/>
                <w:lang w:val="en-AU"/>
              </w:rPr>
              <w:t xml:space="preserve"> </w:t>
            </w:r>
            <w:r w:rsidR="00C81F1D" w:rsidRPr="00F65403">
              <w:rPr>
                <w:color w:val="323031"/>
                <w:w w:val="105"/>
                <w:lang w:val="en-AU"/>
              </w:rPr>
              <w:t>with</w:t>
            </w:r>
            <w:r w:rsidR="00C81F1D" w:rsidRPr="00F65403">
              <w:rPr>
                <w:color w:val="323031"/>
                <w:spacing w:val="-3"/>
                <w:w w:val="105"/>
                <w:lang w:val="en-AU"/>
              </w:rPr>
              <w:t xml:space="preserve"> </w:t>
            </w:r>
            <w:r w:rsidR="00C81F1D" w:rsidRPr="00F65403">
              <w:rPr>
                <w:color w:val="323031"/>
                <w:w w:val="105"/>
                <w:lang w:val="en-AU"/>
              </w:rPr>
              <w:t>Significant</w:t>
            </w:r>
            <w:r w:rsidR="00C81F1D" w:rsidRPr="00F65403">
              <w:rPr>
                <w:color w:val="323031"/>
                <w:spacing w:val="-3"/>
                <w:w w:val="105"/>
                <w:lang w:val="en-AU"/>
              </w:rPr>
              <w:t xml:space="preserve"> </w:t>
            </w:r>
            <w:r w:rsidR="00C81F1D" w:rsidRPr="00F65403">
              <w:rPr>
                <w:color w:val="323031"/>
                <w:w w:val="105"/>
                <w:lang w:val="en-AU"/>
              </w:rPr>
              <w:t>Management</w:t>
            </w:r>
            <w:r w:rsidR="00C81F1D" w:rsidRPr="00F65403">
              <w:rPr>
                <w:color w:val="323031"/>
                <w:spacing w:val="-3"/>
                <w:w w:val="105"/>
                <w:lang w:val="en-AU"/>
              </w:rPr>
              <w:t xml:space="preserve"> </w:t>
            </w:r>
            <w:r w:rsidR="00C81F1D" w:rsidRPr="00F65403">
              <w:rPr>
                <w:color w:val="323031"/>
                <w:w w:val="105"/>
                <w:lang w:val="en-AU"/>
              </w:rPr>
              <w:t>Responsibilities)</w:t>
            </w:r>
            <w:r w:rsidR="00C81F1D" w:rsidRPr="00F65403">
              <w:rPr>
                <w:color w:val="323031"/>
                <w:spacing w:val="-4"/>
                <w:w w:val="105"/>
                <w:lang w:val="en-AU"/>
              </w:rPr>
              <w:t xml:space="preserve"> </w:t>
            </w:r>
            <w:r w:rsidR="00C81F1D" w:rsidRPr="00F65403">
              <w:rPr>
                <w:color w:val="323031"/>
                <w:w w:val="105"/>
                <w:lang w:val="en-AU"/>
              </w:rPr>
              <w:t>in</w:t>
            </w:r>
            <w:r w:rsidR="00C81F1D" w:rsidRPr="00F65403">
              <w:rPr>
                <w:color w:val="323031"/>
                <w:spacing w:val="-3"/>
                <w:w w:val="105"/>
                <w:lang w:val="en-AU"/>
              </w:rPr>
              <w:t xml:space="preserve"> </w:t>
            </w:r>
            <w:r w:rsidR="00C81F1D" w:rsidRPr="00F65403">
              <w:rPr>
                <w:color w:val="323031"/>
                <w:spacing w:val="-5"/>
                <w:w w:val="105"/>
                <w:lang w:val="en-AU"/>
              </w:rPr>
              <w:t>the</w:t>
            </w:r>
            <w:r w:rsidR="00C81F1D">
              <w:rPr>
                <w:color w:val="323031"/>
                <w:spacing w:val="-5"/>
                <w:w w:val="105"/>
                <w:lang w:val="en-AU"/>
              </w:rPr>
              <w:t xml:space="preserve"> Financial Report</w:t>
            </w:r>
          </w:p>
        </w:tc>
        <w:tc>
          <w:tcPr>
            <w:tcW w:w="767" w:type="dxa"/>
            <w:gridSpan w:val="2"/>
            <w:tcBorders>
              <w:top w:val="single" w:sz="2" w:space="0" w:color="390A56"/>
            </w:tcBorders>
            <w:shd w:val="clear" w:color="auto" w:fill="FFFFFF" w:themeFill="background1"/>
          </w:tcPr>
          <w:p w14:paraId="106BA78D" w14:textId="72371636"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_Ref208418810 \h </w:instrText>
            </w:r>
            <w:r>
              <w:rPr>
                <w:lang w:val="en-AU"/>
              </w:rPr>
            </w:r>
            <w:r>
              <w:rPr>
                <w:lang w:val="en-AU"/>
              </w:rPr>
              <w:fldChar w:fldCharType="separate"/>
            </w:r>
            <w:r w:rsidR="00BC7653">
              <w:rPr>
                <w:noProof/>
                <w:lang w:val="en-AU"/>
              </w:rPr>
              <w:t>129</w:t>
            </w:r>
            <w:r>
              <w:rPr>
                <w:lang w:val="en-AU"/>
              </w:rPr>
              <w:fldChar w:fldCharType="end"/>
            </w:r>
          </w:p>
        </w:tc>
      </w:tr>
      <w:tr w:rsidR="00903950" w:rsidRPr="00680E7D" w14:paraId="4CA28162" w14:textId="77777777" w:rsidTr="009B7B2A">
        <w:tc>
          <w:tcPr>
            <w:tcW w:w="2018" w:type="dxa"/>
            <w:gridSpan w:val="2"/>
            <w:tcBorders>
              <w:top w:val="single" w:sz="2" w:space="0" w:color="390A56"/>
              <w:bottom w:val="single" w:sz="2" w:space="0" w:color="390A56"/>
            </w:tcBorders>
            <w:shd w:val="clear" w:color="auto" w:fill="FFFFFF" w:themeFill="background1"/>
          </w:tcPr>
          <w:p w14:paraId="299FEC5E"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110</w:t>
            </w:r>
          </w:p>
        </w:tc>
        <w:tc>
          <w:tcPr>
            <w:tcW w:w="6241" w:type="dxa"/>
            <w:tcBorders>
              <w:top w:val="single" w:sz="2" w:space="0" w:color="390A56"/>
              <w:bottom w:val="single" w:sz="2" w:space="0" w:color="390A56"/>
            </w:tcBorders>
            <w:shd w:val="clear" w:color="auto" w:fill="FFFFFF" w:themeFill="background1"/>
          </w:tcPr>
          <w:p w14:paraId="773B9E6C" w14:textId="77777777" w:rsidR="00903950" w:rsidRPr="00F65403" w:rsidRDefault="00903950" w:rsidP="00903950">
            <w:pPr>
              <w:pStyle w:val="TableParagraph"/>
              <w:spacing w:before="0"/>
              <w:rPr>
                <w:lang w:val="en-AU"/>
              </w:rPr>
            </w:pPr>
            <w:r w:rsidRPr="00F65403">
              <w:rPr>
                <w:color w:val="323031"/>
                <w:lang w:val="en-AU"/>
              </w:rPr>
              <w:t>Cash</w:t>
            </w:r>
            <w:r w:rsidRPr="00F65403">
              <w:rPr>
                <w:color w:val="323031"/>
                <w:spacing w:val="15"/>
                <w:lang w:val="en-AU"/>
              </w:rPr>
              <w:t xml:space="preserve"> </w:t>
            </w:r>
            <w:r w:rsidRPr="00F65403">
              <w:rPr>
                <w:color w:val="323031"/>
                <w:lang w:val="en-AU"/>
              </w:rPr>
              <w:t>flow</w:t>
            </w:r>
            <w:r w:rsidRPr="00F65403">
              <w:rPr>
                <w:color w:val="323031"/>
                <w:spacing w:val="16"/>
                <w:lang w:val="en-AU"/>
              </w:rPr>
              <w:t xml:space="preserve"> </w:t>
            </w:r>
            <w:r w:rsidRPr="00F65403">
              <w:rPr>
                <w:color w:val="323031"/>
                <w:spacing w:val="-2"/>
                <w:lang w:val="en-AU"/>
              </w:rPr>
              <w:t>statements</w:t>
            </w:r>
          </w:p>
        </w:tc>
        <w:tc>
          <w:tcPr>
            <w:tcW w:w="767" w:type="dxa"/>
            <w:gridSpan w:val="2"/>
            <w:tcBorders>
              <w:top w:val="single" w:sz="2" w:space="0" w:color="390A56"/>
              <w:bottom w:val="single" w:sz="2" w:space="0" w:color="390A56"/>
            </w:tcBorders>
            <w:shd w:val="clear" w:color="auto" w:fill="FFFFFF" w:themeFill="background1"/>
          </w:tcPr>
          <w:p w14:paraId="453991FD" w14:textId="5159FD87"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_Ref208418881 \h </w:instrText>
            </w:r>
            <w:r>
              <w:rPr>
                <w:lang w:val="en-AU"/>
              </w:rPr>
            </w:r>
            <w:r>
              <w:rPr>
                <w:lang w:val="en-AU"/>
              </w:rPr>
              <w:fldChar w:fldCharType="separate"/>
            </w:r>
            <w:r w:rsidR="00BC7653">
              <w:rPr>
                <w:noProof/>
                <w:lang w:val="en-AU"/>
              </w:rPr>
              <w:t>109</w:t>
            </w:r>
            <w:r>
              <w:rPr>
                <w:lang w:val="en-AU"/>
              </w:rPr>
              <w:fldChar w:fldCharType="end"/>
            </w:r>
          </w:p>
        </w:tc>
      </w:tr>
      <w:tr w:rsidR="00903950" w:rsidRPr="00680E7D" w14:paraId="43CA5F84" w14:textId="77777777" w:rsidTr="009B7B2A">
        <w:tc>
          <w:tcPr>
            <w:tcW w:w="2018" w:type="dxa"/>
            <w:gridSpan w:val="2"/>
            <w:tcBorders>
              <w:top w:val="single" w:sz="2" w:space="0" w:color="390A56"/>
              <w:bottom w:val="single" w:sz="2" w:space="0" w:color="390A56"/>
            </w:tcBorders>
            <w:shd w:val="clear" w:color="auto" w:fill="FFFFFF" w:themeFill="background1"/>
          </w:tcPr>
          <w:p w14:paraId="114A6AB7" w14:textId="77777777" w:rsidR="00903950" w:rsidRPr="00F65403" w:rsidRDefault="00903950" w:rsidP="00903950">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114</w:t>
            </w:r>
          </w:p>
        </w:tc>
        <w:tc>
          <w:tcPr>
            <w:tcW w:w="6241" w:type="dxa"/>
            <w:tcBorders>
              <w:top w:val="single" w:sz="2" w:space="0" w:color="390A56"/>
              <w:bottom w:val="single" w:sz="2" w:space="0" w:color="390A56"/>
            </w:tcBorders>
            <w:shd w:val="clear" w:color="auto" w:fill="FFFFFF" w:themeFill="background1"/>
          </w:tcPr>
          <w:p w14:paraId="6EECA759" w14:textId="77777777" w:rsidR="00903950" w:rsidRPr="00F65403" w:rsidRDefault="00903950" w:rsidP="00903950">
            <w:pPr>
              <w:pStyle w:val="TableParagraph"/>
              <w:spacing w:before="0"/>
              <w:rPr>
                <w:lang w:val="en-AU"/>
              </w:rPr>
            </w:pPr>
            <w:r w:rsidRPr="00F65403">
              <w:rPr>
                <w:color w:val="323031"/>
                <w:lang w:val="en-AU"/>
              </w:rPr>
              <w:t>Financial</w:t>
            </w:r>
            <w:r w:rsidRPr="00F65403">
              <w:rPr>
                <w:color w:val="323031"/>
                <w:spacing w:val="18"/>
                <w:lang w:val="en-AU"/>
              </w:rPr>
              <w:t xml:space="preserve"> </w:t>
            </w:r>
            <w:r w:rsidRPr="00F65403">
              <w:rPr>
                <w:color w:val="323031"/>
                <w:spacing w:val="-2"/>
                <w:lang w:val="en-AU"/>
              </w:rPr>
              <w:t>instruments</w:t>
            </w:r>
          </w:p>
        </w:tc>
        <w:tc>
          <w:tcPr>
            <w:tcW w:w="767" w:type="dxa"/>
            <w:gridSpan w:val="2"/>
            <w:tcBorders>
              <w:top w:val="single" w:sz="2" w:space="0" w:color="390A56"/>
              <w:bottom w:val="single" w:sz="2" w:space="0" w:color="390A56"/>
            </w:tcBorders>
            <w:shd w:val="clear" w:color="auto" w:fill="FFFFFF" w:themeFill="background1"/>
          </w:tcPr>
          <w:p w14:paraId="07DCFC5E" w14:textId="718D396B" w:rsidR="00903950" w:rsidRPr="00F65403" w:rsidRDefault="000345DA" w:rsidP="00E945C0">
            <w:pPr>
              <w:pStyle w:val="TableParagraph"/>
              <w:spacing w:before="0"/>
              <w:jc w:val="center"/>
              <w:rPr>
                <w:lang w:val="en-AU"/>
              </w:rPr>
            </w:pPr>
            <w:r>
              <w:rPr>
                <w:lang w:val="en-AU"/>
              </w:rPr>
              <w:fldChar w:fldCharType="begin"/>
            </w:r>
            <w:r>
              <w:rPr>
                <w:lang w:val="en-AU"/>
              </w:rPr>
              <w:instrText xml:space="preserve"> PAGEREF _Ref208418894 \h </w:instrText>
            </w:r>
            <w:r>
              <w:rPr>
                <w:lang w:val="en-AU"/>
              </w:rPr>
            </w:r>
            <w:r>
              <w:rPr>
                <w:lang w:val="en-AU"/>
              </w:rPr>
              <w:fldChar w:fldCharType="separate"/>
            </w:r>
            <w:r w:rsidR="00BC7653">
              <w:rPr>
                <w:noProof/>
                <w:lang w:val="en-AU"/>
              </w:rPr>
              <w:t>119</w:t>
            </w:r>
            <w:r>
              <w:rPr>
                <w:lang w:val="en-AU"/>
              </w:rPr>
              <w:fldChar w:fldCharType="end"/>
            </w:r>
          </w:p>
        </w:tc>
      </w:tr>
      <w:tr w:rsidR="00903950" w:rsidRPr="00680E7D" w14:paraId="4F978111" w14:textId="77777777" w:rsidTr="009B7B2A">
        <w:tc>
          <w:tcPr>
            <w:tcW w:w="9026" w:type="dxa"/>
            <w:gridSpan w:val="5"/>
            <w:tcBorders>
              <w:top w:val="single" w:sz="2" w:space="0" w:color="390A56"/>
            </w:tcBorders>
            <w:shd w:val="clear" w:color="auto" w:fill="FFFFFF" w:themeFill="background1"/>
          </w:tcPr>
          <w:p w14:paraId="45BF1BBA" w14:textId="77777777" w:rsidR="00903950" w:rsidRPr="00F65403" w:rsidRDefault="00903950" w:rsidP="00903950">
            <w:pPr>
              <w:pStyle w:val="TableParagraph"/>
              <w:spacing w:before="0"/>
              <w:rPr>
                <w:lang w:val="en-AU"/>
              </w:rPr>
            </w:pPr>
            <w:r w:rsidRPr="00F65403">
              <w:rPr>
                <w:color w:val="323031"/>
                <w:position w:val="5"/>
                <w:lang w:val="en-AU"/>
              </w:rPr>
              <w:t>(a)</w:t>
            </w:r>
            <w:r w:rsidRPr="00F65403">
              <w:rPr>
                <w:color w:val="323031"/>
                <w:spacing w:val="6"/>
                <w:position w:val="5"/>
                <w:lang w:val="en-AU"/>
              </w:rPr>
              <w:t xml:space="preserve"> </w:t>
            </w:r>
            <w:r w:rsidRPr="00F65403">
              <w:rPr>
                <w:color w:val="323031"/>
                <w:lang w:val="en-AU"/>
              </w:rPr>
              <w:t>References</w:t>
            </w:r>
            <w:r w:rsidRPr="00F65403">
              <w:rPr>
                <w:color w:val="323031"/>
                <w:spacing w:val="12"/>
                <w:lang w:val="en-AU"/>
              </w:rPr>
              <w:t xml:space="preserve"> </w:t>
            </w:r>
            <w:r w:rsidRPr="00F65403">
              <w:rPr>
                <w:color w:val="323031"/>
                <w:lang w:val="en-AU"/>
              </w:rPr>
              <w:t>to</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have</w:t>
            </w:r>
            <w:r w:rsidRPr="00F65403">
              <w:rPr>
                <w:color w:val="323031"/>
                <w:spacing w:val="12"/>
                <w:lang w:val="en-AU"/>
              </w:rPr>
              <w:t xml:space="preserve"> </w:t>
            </w:r>
            <w:r w:rsidRPr="00F65403">
              <w:rPr>
                <w:color w:val="323031"/>
                <w:lang w:val="en-AU"/>
              </w:rPr>
              <w:t>been</w:t>
            </w:r>
            <w:r w:rsidRPr="00F65403">
              <w:rPr>
                <w:color w:val="323031"/>
                <w:spacing w:val="12"/>
                <w:lang w:val="en-AU"/>
              </w:rPr>
              <w:t xml:space="preserve"> </w:t>
            </w:r>
            <w:r w:rsidRPr="00F65403">
              <w:rPr>
                <w:color w:val="323031"/>
                <w:lang w:val="en-AU"/>
              </w:rPr>
              <w:t>removed</w:t>
            </w:r>
            <w:r w:rsidRPr="00F65403">
              <w:rPr>
                <w:color w:val="323031"/>
                <w:spacing w:val="12"/>
                <w:lang w:val="en-AU"/>
              </w:rPr>
              <w:t xml:space="preserve"> </w:t>
            </w:r>
            <w:r w:rsidRPr="00F65403">
              <w:rPr>
                <w:color w:val="323031"/>
                <w:lang w:val="en-AU"/>
              </w:rPr>
              <w:t>from</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Disclosure</w:t>
            </w:r>
            <w:r w:rsidRPr="00F65403">
              <w:rPr>
                <w:color w:val="323031"/>
                <w:spacing w:val="12"/>
                <w:lang w:val="en-AU"/>
              </w:rPr>
              <w:t xml:space="preserve"> </w:t>
            </w:r>
            <w:r w:rsidRPr="00F65403">
              <w:rPr>
                <w:color w:val="323031"/>
                <w:lang w:val="en-AU"/>
              </w:rPr>
              <w:t>Index</w:t>
            </w:r>
            <w:r w:rsidRPr="00F65403">
              <w:rPr>
                <w:color w:val="323031"/>
                <w:spacing w:val="11"/>
                <w:lang w:val="en-AU"/>
              </w:rPr>
              <w:t xml:space="preserve"> </w:t>
            </w:r>
            <w:r w:rsidRPr="00F65403">
              <w:rPr>
                <w:color w:val="323031"/>
                <w:lang w:val="en-AU"/>
              </w:rPr>
              <w:t>if</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specific</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are</w:t>
            </w:r>
            <w:r w:rsidRPr="00F65403">
              <w:rPr>
                <w:color w:val="323031"/>
                <w:spacing w:val="12"/>
                <w:lang w:val="en-AU"/>
              </w:rPr>
              <w:t xml:space="preserve"> </w:t>
            </w:r>
            <w:r w:rsidRPr="00F65403">
              <w:rPr>
                <w:color w:val="323031"/>
                <w:lang w:val="en-AU"/>
              </w:rPr>
              <w:t>not</w:t>
            </w:r>
            <w:r w:rsidRPr="00F65403">
              <w:rPr>
                <w:color w:val="323031"/>
                <w:spacing w:val="12"/>
                <w:lang w:val="en-AU"/>
              </w:rPr>
              <w:t xml:space="preserve"> </w:t>
            </w:r>
            <w:r w:rsidRPr="00F65403">
              <w:rPr>
                <w:color w:val="323031"/>
                <w:spacing w:val="-2"/>
                <w:lang w:val="en-AU"/>
              </w:rPr>
              <w:t>applicable.</w:t>
            </w:r>
          </w:p>
        </w:tc>
      </w:tr>
      <w:tr w:rsidR="00903950" w:rsidRPr="00680E7D" w14:paraId="4FE6A308" w14:textId="77777777" w:rsidTr="009B7B2A">
        <w:tc>
          <w:tcPr>
            <w:tcW w:w="9026" w:type="dxa"/>
            <w:gridSpan w:val="5"/>
            <w:tcBorders>
              <w:bottom w:val="single" w:sz="2" w:space="0" w:color="390A56"/>
            </w:tcBorders>
            <w:shd w:val="clear" w:color="auto" w:fill="D7CEDD"/>
          </w:tcPr>
          <w:p w14:paraId="023F427F" w14:textId="77777777" w:rsidR="00903950" w:rsidRPr="00F65403" w:rsidRDefault="00903950" w:rsidP="00903950">
            <w:pPr>
              <w:pStyle w:val="TableParagraph"/>
              <w:spacing w:before="0"/>
              <w:rPr>
                <w:b/>
                <w:lang w:val="en-AU"/>
              </w:rPr>
            </w:pPr>
            <w:r w:rsidRPr="00F65403">
              <w:rPr>
                <w:b/>
                <w:color w:val="323031"/>
                <w:spacing w:val="-2"/>
                <w:lang w:val="en-AU"/>
              </w:rPr>
              <w:t>Legislation</w:t>
            </w:r>
          </w:p>
        </w:tc>
      </w:tr>
      <w:tr w:rsidR="00903950" w:rsidRPr="00680E7D" w14:paraId="22FA9044" w14:textId="77777777" w:rsidTr="009B7B2A">
        <w:tc>
          <w:tcPr>
            <w:tcW w:w="9026" w:type="dxa"/>
            <w:gridSpan w:val="5"/>
            <w:tcBorders>
              <w:bottom w:val="single" w:sz="2" w:space="0" w:color="390A56"/>
            </w:tcBorders>
          </w:tcPr>
          <w:p w14:paraId="5E0939C8" w14:textId="77777777" w:rsidR="00903950" w:rsidRPr="00F65403" w:rsidRDefault="00903950" w:rsidP="00903950">
            <w:pPr>
              <w:pStyle w:val="TableParagraph"/>
              <w:tabs>
                <w:tab w:val="left" w:pos="9630"/>
                <w:tab w:val="left" w:pos="9705"/>
                <w:tab w:val="right" w:pos="10038"/>
              </w:tabs>
              <w:spacing w:before="0"/>
              <w:rPr>
                <w:b/>
                <w:color w:val="323031"/>
                <w:spacing w:val="-2"/>
                <w:lang w:val="en-AU"/>
              </w:rPr>
            </w:pPr>
            <w:r w:rsidRPr="00F65403">
              <w:rPr>
                <w:i/>
                <w:color w:val="323031"/>
                <w:w w:val="105"/>
                <w:lang w:val="en-AU"/>
              </w:rPr>
              <w:t>Freedom</w:t>
            </w:r>
            <w:r w:rsidRPr="00F65403">
              <w:rPr>
                <w:i/>
                <w:color w:val="323031"/>
                <w:spacing w:val="-4"/>
                <w:w w:val="105"/>
                <w:lang w:val="en-AU"/>
              </w:rPr>
              <w:t xml:space="preserve"> </w:t>
            </w:r>
            <w:r w:rsidRPr="00F65403">
              <w:rPr>
                <w:i/>
                <w:color w:val="323031"/>
                <w:w w:val="105"/>
                <w:lang w:val="en-AU"/>
              </w:rPr>
              <w:t>of</w:t>
            </w:r>
            <w:r w:rsidRPr="00F65403">
              <w:rPr>
                <w:i/>
                <w:color w:val="323031"/>
                <w:spacing w:val="-4"/>
                <w:w w:val="105"/>
                <w:lang w:val="en-AU"/>
              </w:rPr>
              <w:t xml:space="preserve"> </w:t>
            </w:r>
            <w:r w:rsidRPr="00F65403">
              <w:rPr>
                <w:i/>
                <w:color w:val="323031"/>
                <w:w w:val="105"/>
                <w:lang w:val="en-AU"/>
              </w:rPr>
              <w:t>Information</w:t>
            </w:r>
            <w:r w:rsidRPr="00F65403">
              <w:rPr>
                <w:i/>
                <w:color w:val="323031"/>
                <w:spacing w:val="-4"/>
                <w:w w:val="105"/>
                <w:lang w:val="en-AU"/>
              </w:rPr>
              <w:t xml:space="preserve"> </w:t>
            </w:r>
            <w:r w:rsidRPr="00F65403">
              <w:rPr>
                <w:i/>
                <w:color w:val="323031"/>
                <w:w w:val="105"/>
                <w:lang w:val="en-AU"/>
              </w:rPr>
              <w:t>Act</w:t>
            </w:r>
            <w:r w:rsidRPr="00F65403">
              <w:rPr>
                <w:i/>
                <w:color w:val="323031"/>
                <w:spacing w:val="-3"/>
                <w:w w:val="105"/>
                <w:lang w:val="en-AU"/>
              </w:rPr>
              <w:t xml:space="preserve"> </w:t>
            </w:r>
            <w:r w:rsidRPr="00F65403">
              <w:rPr>
                <w:i/>
                <w:color w:val="323031"/>
                <w:spacing w:val="-4"/>
                <w:w w:val="105"/>
                <w:lang w:val="en-AU"/>
              </w:rPr>
              <w:t>1982</w:t>
            </w:r>
          </w:p>
        </w:tc>
      </w:tr>
      <w:tr w:rsidR="00903950" w:rsidRPr="00680E7D" w14:paraId="3B8117CC" w14:textId="77777777" w:rsidTr="009B7B2A">
        <w:tc>
          <w:tcPr>
            <w:tcW w:w="9026" w:type="dxa"/>
            <w:gridSpan w:val="5"/>
            <w:tcBorders>
              <w:bottom w:val="single" w:sz="2" w:space="0" w:color="390A56"/>
            </w:tcBorders>
          </w:tcPr>
          <w:p w14:paraId="017D35AE" w14:textId="77777777" w:rsidR="00903950" w:rsidRPr="00F65403" w:rsidRDefault="00903950" w:rsidP="00903950">
            <w:pPr>
              <w:pStyle w:val="TableParagraph"/>
              <w:tabs>
                <w:tab w:val="left" w:pos="9630"/>
                <w:tab w:val="right" w:pos="10038"/>
              </w:tabs>
              <w:spacing w:before="0"/>
              <w:rPr>
                <w:i/>
                <w:color w:val="323031"/>
                <w:w w:val="105"/>
                <w:lang w:val="en-AU"/>
              </w:rPr>
            </w:pPr>
            <w:r w:rsidRPr="00F65403">
              <w:rPr>
                <w:i/>
                <w:color w:val="323031"/>
                <w:w w:val="105"/>
                <w:lang w:val="en-AU"/>
              </w:rPr>
              <w:t>Building Act 1993</w:t>
            </w:r>
          </w:p>
        </w:tc>
      </w:tr>
      <w:tr w:rsidR="00903950" w:rsidRPr="00680E7D" w14:paraId="1A438005" w14:textId="77777777" w:rsidTr="009B7B2A">
        <w:tc>
          <w:tcPr>
            <w:tcW w:w="9026" w:type="dxa"/>
            <w:gridSpan w:val="5"/>
            <w:tcBorders>
              <w:bottom w:val="single" w:sz="2" w:space="0" w:color="390A56"/>
            </w:tcBorders>
          </w:tcPr>
          <w:p w14:paraId="627AC0CE" w14:textId="77777777" w:rsidR="00903950" w:rsidRPr="00F65403" w:rsidRDefault="00903950" w:rsidP="00903950">
            <w:pPr>
              <w:pStyle w:val="TableParagraph"/>
              <w:tabs>
                <w:tab w:val="left" w:pos="8340"/>
                <w:tab w:val="left" w:pos="8820"/>
              </w:tabs>
              <w:spacing w:before="0"/>
              <w:rPr>
                <w:color w:val="323031"/>
                <w:w w:val="105"/>
                <w:lang w:val="en-AU"/>
              </w:rPr>
            </w:pPr>
            <w:r w:rsidRPr="00F65403">
              <w:rPr>
                <w:i/>
                <w:color w:val="323031"/>
                <w:w w:val="105"/>
                <w:lang w:val="en-AU"/>
              </w:rPr>
              <w:t xml:space="preserve">Corporations Act </w:t>
            </w:r>
            <w:r w:rsidRPr="00F65403">
              <w:rPr>
                <w:i/>
                <w:iCs/>
                <w:color w:val="323031"/>
                <w:w w:val="105"/>
                <w:lang w:val="en-AU"/>
              </w:rPr>
              <w:t>2001</w:t>
            </w:r>
          </w:p>
        </w:tc>
      </w:tr>
      <w:tr w:rsidR="00903950" w:rsidRPr="00680E7D" w14:paraId="65ED8EFD" w14:textId="77777777" w:rsidTr="009B7B2A">
        <w:tc>
          <w:tcPr>
            <w:tcW w:w="9026" w:type="dxa"/>
            <w:gridSpan w:val="5"/>
            <w:tcBorders>
              <w:bottom w:val="single" w:sz="2" w:space="0" w:color="390A56"/>
            </w:tcBorders>
          </w:tcPr>
          <w:p w14:paraId="2A9309D9" w14:textId="77777777" w:rsidR="00903950" w:rsidRPr="00F65403" w:rsidRDefault="00903950" w:rsidP="00903950">
            <w:pPr>
              <w:pStyle w:val="TableParagraph"/>
              <w:tabs>
                <w:tab w:val="left" w:pos="9420"/>
                <w:tab w:val="left" w:pos="9630"/>
                <w:tab w:val="right" w:pos="10038"/>
              </w:tabs>
              <w:spacing w:before="0"/>
              <w:rPr>
                <w:i/>
                <w:color w:val="323031"/>
                <w:w w:val="105"/>
                <w:lang w:val="en-AU"/>
              </w:rPr>
            </w:pPr>
            <w:r w:rsidRPr="00F65403">
              <w:rPr>
                <w:i/>
                <w:color w:val="323031"/>
                <w:w w:val="105"/>
                <w:lang w:val="en-AU"/>
              </w:rPr>
              <w:t>Public Interest Disclosures Act 2012</w:t>
            </w:r>
          </w:p>
        </w:tc>
      </w:tr>
      <w:tr w:rsidR="00903950" w:rsidRPr="00680E7D" w14:paraId="64A9E119" w14:textId="77777777" w:rsidTr="009B7B2A">
        <w:tc>
          <w:tcPr>
            <w:tcW w:w="9026" w:type="dxa"/>
            <w:gridSpan w:val="5"/>
            <w:tcBorders>
              <w:bottom w:val="single" w:sz="2" w:space="0" w:color="390A56"/>
            </w:tcBorders>
          </w:tcPr>
          <w:p w14:paraId="659372D9" w14:textId="77777777" w:rsidR="00903950" w:rsidRPr="00F65403" w:rsidRDefault="00903950" w:rsidP="00903950">
            <w:pPr>
              <w:pStyle w:val="TableParagraph"/>
              <w:tabs>
                <w:tab w:val="left" w:pos="9555"/>
                <w:tab w:val="left" w:pos="9735"/>
                <w:tab w:val="left" w:pos="9780"/>
                <w:tab w:val="right" w:pos="10038"/>
              </w:tabs>
              <w:spacing w:before="0"/>
              <w:rPr>
                <w:color w:val="323031"/>
                <w:w w:val="105"/>
                <w:lang w:val="en-AU"/>
              </w:rPr>
            </w:pPr>
            <w:r w:rsidRPr="00F65403">
              <w:rPr>
                <w:i/>
                <w:color w:val="323031"/>
                <w:w w:val="105"/>
                <w:lang w:val="en-AU"/>
              </w:rPr>
              <w:t>Local Jobs Act 2003</w:t>
            </w:r>
          </w:p>
        </w:tc>
      </w:tr>
      <w:tr w:rsidR="00903950" w:rsidRPr="00680E7D" w14:paraId="3A48F047" w14:textId="77777777" w:rsidTr="009B7B2A">
        <w:tc>
          <w:tcPr>
            <w:tcW w:w="9026" w:type="dxa"/>
            <w:gridSpan w:val="5"/>
            <w:tcBorders>
              <w:bottom w:val="single" w:sz="2" w:space="0" w:color="390A56"/>
            </w:tcBorders>
          </w:tcPr>
          <w:p w14:paraId="642D55FE" w14:textId="77777777" w:rsidR="00903950" w:rsidRPr="00F65403" w:rsidRDefault="00903950" w:rsidP="00903950">
            <w:pPr>
              <w:pStyle w:val="TableParagraph"/>
              <w:tabs>
                <w:tab w:val="left" w:pos="8895"/>
              </w:tabs>
              <w:spacing w:before="0"/>
              <w:rPr>
                <w:color w:val="323031"/>
                <w:w w:val="105"/>
                <w:lang w:val="en-AU"/>
              </w:rPr>
            </w:pPr>
            <w:r w:rsidRPr="00F65403">
              <w:rPr>
                <w:i/>
                <w:color w:val="323031"/>
                <w:w w:val="105"/>
                <w:lang w:val="en-AU"/>
              </w:rPr>
              <w:t>Financial Management Act 1994</w:t>
            </w:r>
          </w:p>
        </w:tc>
      </w:tr>
    </w:tbl>
    <w:p w14:paraId="08DB81D2" w14:textId="77777777" w:rsidR="008B584D" w:rsidRDefault="008B584D">
      <w:pPr>
        <w:rPr>
          <w:szCs w:val="24"/>
        </w:rPr>
      </w:pPr>
    </w:p>
    <w:p w14:paraId="6F0BDD60" w14:textId="018BBEE6" w:rsidR="008B584D" w:rsidRDefault="008B584D">
      <w:pPr>
        <w:rPr>
          <w:szCs w:val="24"/>
        </w:rPr>
      </w:pPr>
      <w:r>
        <w:rPr>
          <w:szCs w:val="24"/>
        </w:rPr>
        <w:br w:type="page"/>
      </w:r>
    </w:p>
    <w:p w14:paraId="58A6A4FB" w14:textId="25EB264F" w:rsidR="00AF32A3" w:rsidRDefault="008B584D" w:rsidP="00B254AC">
      <w:pPr>
        <w:pStyle w:val="Heading1"/>
      </w:pPr>
      <w:bookmarkStart w:id="592" w:name="_Toc203487561"/>
      <w:bookmarkStart w:id="593" w:name="_Toc203656251"/>
      <w:bookmarkStart w:id="594" w:name="_Toc22491843"/>
      <w:bookmarkStart w:id="595" w:name="_Toc208418056"/>
      <w:bookmarkStart w:id="596" w:name="_Toc209080420"/>
      <w:bookmarkStart w:id="597" w:name="_Toc209703990"/>
      <w:bookmarkStart w:id="598" w:name="_Toc209704043"/>
      <w:bookmarkStart w:id="599" w:name="_Toc209704096"/>
      <w:r>
        <w:t>SEC Energy Pty Ltd Financial Report for the year ended 3</w:t>
      </w:r>
      <w:r w:rsidR="00AB089C">
        <w:t>0</w:t>
      </w:r>
      <w:r>
        <w:t xml:space="preserve"> June 2025</w:t>
      </w:r>
      <w:bookmarkEnd w:id="592"/>
      <w:bookmarkEnd w:id="593"/>
      <w:bookmarkEnd w:id="594"/>
      <w:bookmarkEnd w:id="595"/>
      <w:bookmarkEnd w:id="596"/>
      <w:bookmarkEnd w:id="597"/>
      <w:bookmarkEnd w:id="598"/>
      <w:bookmarkEnd w:id="599"/>
    </w:p>
    <w:p w14:paraId="5492C0FA" w14:textId="77777777" w:rsidR="00AF32A3" w:rsidRDefault="00AF32A3">
      <w:pPr>
        <w:rPr>
          <w:rFonts w:eastAsiaTheme="majorEastAsia" w:cstheme="majorBidi"/>
          <w:sz w:val="32"/>
          <w:szCs w:val="40"/>
        </w:rPr>
      </w:pPr>
      <w:r>
        <w:br w:type="page"/>
      </w:r>
    </w:p>
    <w:p w14:paraId="59AEA79F" w14:textId="77777777" w:rsidR="007F232D" w:rsidRDefault="007F232D" w:rsidP="007F232D">
      <w:r w:rsidRPr="49BCD735">
        <w:rPr>
          <w:rFonts w:eastAsia="Arial" w:cs="Arial"/>
          <w:color w:val="000000" w:themeColor="text1"/>
          <w:sz w:val="32"/>
          <w:szCs w:val="32"/>
        </w:rPr>
        <w:t xml:space="preserve">Contents </w:t>
      </w:r>
      <w:r w:rsidRPr="49BCD735">
        <w:rPr>
          <w:rFonts w:eastAsia="Arial" w:cs="Arial"/>
        </w:rPr>
        <w:t xml:space="preserve"> </w:t>
      </w:r>
    </w:p>
    <w:sdt>
      <w:sdtPr>
        <w:rPr>
          <w:rFonts w:eastAsiaTheme="minorEastAsia" w:cstheme="minorBidi"/>
          <w:kern w:val="0"/>
          <w:sz w:val="24"/>
          <w:szCs w:val="24"/>
          <w14:ligatures w14:val="none"/>
        </w:rPr>
        <w:id w:val="1533233988"/>
        <w:docPartObj>
          <w:docPartGallery w:val="Table of Contents"/>
          <w:docPartUnique/>
        </w:docPartObj>
      </w:sdtPr>
      <w:sdtContent>
        <w:p w14:paraId="3760F67E" w14:textId="77777777" w:rsidR="00614DA5" w:rsidRDefault="007F232D" w:rsidP="00614DA5">
          <w:pPr>
            <w:pStyle w:val="TOC1"/>
            <w:tabs>
              <w:tab w:val="right" w:leader="dot" w:pos="9016"/>
            </w:tabs>
            <w:rPr>
              <w:rFonts w:asciiTheme="minorHAnsi" w:eastAsiaTheme="minorEastAsia" w:hAnsiTheme="minorHAnsi" w:cstheme="minorBidi" w:hint="eastAsia"/>
              <w:noProof/>
              <w:sz w:val="24"/>
              <w:szCs w:val="24"/>
              <w:lang w:eastAsia="en-AU"/>
            </w:rPr>
          </w:pPr>
          <w:r>
            <w:fldChar w:fldCharType="begin"/>
          </w:r>
          <w:r>
            <w:instrText xml:space="preserve"> TOC \o "1-1" \h \z </w:instrText>
          </w:r>
          <w:r>
            <w:fldChar w:fldCharType="separate"/>
          </w:r>
        </w:p>
        <w:p w14:paraId="220C7288" w14:textId="497C0F3A"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p>
        <w:p w14:paraId="5292A2FF" w14:textId="7048A8B2"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097" w:history="1">
            <w:r w:rsidRPr="00FB42A5">
              <w:rPr>
                <w:rStyle w:val="Hyperlink"/>
                <w:noProof/>
              </w:rPr>
              <w:t>Report of operations</w:t>
            </w:r>
            <w:r>
              <w:rPr>
                <w:noProof/>
                <w:webHidden/>
              </w:rPr>
              <w:tab/>
            </w:r>
            <w:r>
              <w:rPr>
                <w:noProof/>
                <w:webHidden/>
              </w:rPr>
              <w:fldChar w:fldCharType="begin"/>
            </w:r>
            <w:r>
              <w:rPr>
                <w:noProof/>
                <w:webHidden/>
              </w:rPr>
              <w:instrText xml:space="preserve"> PAGEREF _Toc209704097 \h </w:instrText>
            </w:r>
            <w:r>
              <w:rPr>
                <w:noProof/>
                <w:webHidden/>
              </w:rPr>
            </w:r>
            <w:r>
              <w:rPr>
                <w:noProof/>
                <w:webHidden/>
              </w:rPr>
              <w:fldChar w:fldCharType="separate"/>
            </w:r>
            <w:r w:rsidR="00BC7653">
              <w:rPr>
                <w:noProof/>
                <w:webHidden/>
              </w:rPr>
              <w:t>140</w:t>
            </w:r>
            <w:r>
              <w:rPr>
                <w:noProof/>
                <w:webHidden/>
              </w:rPr>
              <w:fldChar w:fldCharType="end"/>
            </w:r>
          </w:hyperlink>
        </w:p>
        <w:p w14:paraId="7310530F" w14:textId="00DA5E55"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1" w:history="1">
            <w:r w:rsidRPr="00FB42A5">
              <w:rPr>
                <w:rStyle w:val="Hyperlink"/>
                <w:noProof/>
              </w:rPr>
              <w:t>Directors’ report</w:t>
            </w:r>
            <w:r>
              <w:rPr>
                <w:noProof/>
                <w:webHidden/>
              </w:rPr>
              <w:tab/>
            </w:r>
            <w:r>
              <w:rPr>
                <w:noProof/>
                <w:webHidden/>
              </w:rPr>
              <w:fldChar w:fldCharType="begin"/>
            </w:r>
            <w:r>
              <w:rPr>
                <w:noProof/>
                <w:webHidden/>
              </w:rPr>
              <w:instrText xml:space="preserve"> PAGEREF _Toc209704101 \h </w:instrText>
            </w:r>
            <w:r>
              <w:rPr>
                <w:noProof/>
                <w:webHidden/>
              </w:rPr>
            </w:r>
            <w:r>
              <w:rPr>
                <w:noProof/>
                <w:webHidden/>
              </w:rPr>
              <w:fldChar w:fldCharType="separate"/>
            </w:r>
            <w:r w:rsidR="00BC7653">
              <w:rPr>
                <w:noProof/>
                <w:webHidden/>
              </w:rPr>
              <w:t>141</w:t>
            </w:r>
            <w:r>
              <w:rPr>
                <w:noProof/>
                <w:webHidden/>
              </w:rPr>
              <w:fldChar w:fldCharType="end"/>
            </w:r>
          </w:hyperlink>
        </w:p>
        <w:p w14:paraId="544F5D22" w14:textId="40A67DA7"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2" w:history="1">
            <w:r w:rsidRPr="00FB42A5">
              <w:rPr>
                <w:rStyle w:val="Hyperlink"/>
                <w:noProof/>
              </w:rPr>
              <w:t>Auditors’ Independence declaration</w:t>
            </w:r>
            <w:r>
              <w:rPr>
                <w:noProof/>
                <w:webHidden/>
              </w:rPr>
              <w:tab/>
            </w:r>
            <w:r>
              <w:rPr>
                <w:noProof/>
                <w:webHidden/>
              </w:rPr>
              <w:fldChar w:fldCharType="begin"/>
            </w:r>
            <w:r>
              <w:rPr>
                <w:noProof/>
                <w:webHidden/>
              </w:rPr>
              <w:instrText xml:space="preserve"> PAGEREF _Toc209704102 \h </w:instrText>
            </w:r>
            <w:r>
              <w:rPr>
                <w:noProof/>
                <w:webHidden/>
              </w:rPr>
            </w:r>
            <w:r>
              <w:rPr>
                <w:noProof/>
                <w:webHidden/>
              </w:rPr>
              <w:fldChar w:fldCharType="separate"/>
            </w:r>
            <w:r w:rsidR="00BC7653">
              <w:rPr>
                <w:noProof/>
                <w:webHidden/>
              </w:rPr>
              <w:t>145</w:t>
            </w:r>
            <w:r>
              <w:rPr>
                <w:noProof/>
                <w:webHidden/>
              </w:rPr>
              <w:fldChar w:fldCharType="end"/>
            </w:r>
          </w:hyperlink>
        </w:p>
        <w:p w14:paraId="03B4D6C5" w14:textId="05DC20A5"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3" w:history="1">
            <w:r w:rsidRPr="00FB42A5">
              <w:rPr>
                <w:rStyle w:val="Hyperlink"/>
                <w:noProof/>
              </w:rPr>
              <w:t>Audit report</w:t>
            </w:r>
            <w:r>
              <w:rPr>
                <w:noProof/>
                <w:webHidden/>
              </w:rPr>
              <w:tab/>
            </w:r>
            <w:r>
              <w:rPr>
                <w:noProof/>
                <w:webHidden/>
              </w:rPr>
              <w:fldChar w:fldCharType="begin"/>
            </w:r>
            <w:r>
              <w:rPr>
                <w:noProof/>
                <w:webHidden/>
              </w:rPr>
              <w:instrText xml:space="preserve"> PAGEREF _Toc209704103 \h </w:instrText>
            </w:r>
            <w:r>
              <w:rPr>
                <w:noProof/>
                <w:webHidden/>
              </w:rPr>
            </w:r>
            <w:r>
              <w:rPr>
                <w:noProof/>
                <w:webHidden/>
              </w:rPr>
              <w:fldChar w:fldCharType="separate"/>
            </w:r>
            <w:r w:rsidR="00BC7653">
              <w:rPr>
                <w:noProof/>
                <w:webHidden/>
              </w:rPr>
              <w:t>146</w:t>
            </w:r>
            <w:r>
              <w:rPr>
                <w:noProof/>
                <w:webHidden/>
              </w:rPr>
              <w:fldChar w:fldCharType="end"/>
            </w:r>
          </w:hyperlink>
        </w:p>
        <w:p w14:paraId="4B9FE8E1" w14:textId="04B18407"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4" w:history="1">
            <w:r w:rsidRPr="00FB42A5">
              <w:rPr>
                <w:rStyle w:val="Hyperlink"/>
                <w:noProof/>
              </w:rPr>
              <w:t>Statement of profit or loss and other comprehensive income </w:t>
            </w:r>
            <w:r>
              <w:rPr>
                <w:noProof/>
                <w:webHidden/>
              </w:rPr>
              <w:tab/>
            </w:r>
            <w:r>
              <w:rPr>
                <w:noProof/>
                <w:webHidden/>
              </w:rPr>
              <w:fldChar w:fldCharType="begin"/>
            </w:r>
            <w:r>
              <w:rPr>
                <w:noProof/>
                <w:webHidden/>
              </w:rPr>
              <w:instrText xml:space="preserve"> PAGEREF _Toc209704104 \h </w:instrText>
            </w:r>
            <w:r>
              <w:rPr>
                <w:noProof/>
                <w:webHidden/>
              </w:rPr>
            </w:r>
            <w:r>
              <w:rPr>
                <w:noProof/>
                <w:webHidden/>
              </w:rPr>
              <w:fldChar w:fldCharType="separate"/>
            </w:r>
            <w:r w:rsidR="00BC7653">
              <w:rPr>
                <w:noProof/>
                <w:webHidden/>
              </w:rPr>
              <w:t>148</w:t>
            </w:r>
            <w:r>
              <w:rPr>
                <w:noProof/>
                <w:webHidden/>
              </w:rPr>
              <w:fldChar w:fldCharType="end"/>
            </w:r>
          </w:hyperlink>
        </w:p>
        <w:p w14:paraId="50B5EB1C" w14:textId="33F0AF06"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5" w:history="1">
            <w:r w:rsidRPr="00FB42A5">
              <w:rPr>
                <w:rStyle w:val="Hyperlink"/>
                <w:noProof/>
              </w:rPr>
              <w:t>Statement of financial position</w:t>
            </w:r>
            <w:r>
              <w:rPr>
                <w:noProof/>
                <w:webHidden/>
              </w:rPr>
              <w:tab/>
            </w:r>
            <w:r>
              <w:rPr>
                <w:noProof/>
                <w:webHidden/>
              </w:rPr>
              <w:fldChar w:fldCharType="begin"/>
            </w:r>
            <w:r>
              <w:rPr>
                <w:noProof/>
                <w:webHidden/>
              </w:rPr>
              <w:instrText xml:space="preserve"> PAGEREF _Toc209704105 \h </w:instrText>
            </w:r>
            <w:r>
              <w:rPr>
                <w:noProof/>
                <w:webHidden/>
              </w:rPr>
            </w:r>
            <w:r>
              <w:rPr>
                <w:noProof/>
                <w:webHidden/>
              </w:rPr>
              <w:fldChar w:fldCharType="separate"/>
            </w:r>
            <w:r w:rsidR="00BC7653">
              <w:rPr>
                <w:noProof/>
                <w:webHidden/>
              </w:rPr>
              <w:t>149</w:t>
            </w:r>
            <w:r>
              <w:rPr>
                <w:noProof/>
                <w:webHidden/>
              </w:rPr>
              <w:fldChar w:fldCharType="end"/>
            </w:r>
          </w:hyperlink>
        </w:p>
        <w:p w14:paraId="6E09762C" w14:textId="018551D7"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6" w:history="1">
            <w:r w:rsidRPr="00FB42A5">
              <w:rPr>
                <w:rStyle w:val="Hyperlink"/>
                <w:noProof/>
              </w:rPr>
              <w:t>Statement of changes in equity</w:t>
            </w:r>
            <w:r>
              <w:rPr>
                <w:noProof/>
                <w:webHidden/>
              </w:rPr>
              <w:tab/>
            </w:r>
            <w:r>
              <w:rPr>
                <w:noProof/>
                <w:webHidden/>
              </w:rPr>
              <w:fldChar w:fldCharType="begin"/>
            </w:r>
            <w:r>
              <w:rPr>
                <w:noProof/>
                <w:webHidden/>
              </w:rPr>
              <w:instrText xml:space="preserve"> PAGEREF _Toc209704106 \h </w:instrText>
            </w:r>
            <w:r>
              <w:rPr>
                <w:noProof/>
                <w:webHidden/>
              </w:rPr>
            </w:r>
            <w:r>
              <w:rPr>
                <w:noProof/>
                <w:webHidden/>
              </w:rPr>
              <w:fldChar w:fldCharType="separate"/>
            </w:r>
            <w:r w:rsidR="00BC7653">
              <w:rPr>
                <w:noProof/>
                <w:webHidden/>
              </w:rPr>
              <w:t>150</w:t>
            </w:r>
            <w:r>
              <w:rPr>
                <w:noProof/>
                <w:webHidden/>
              </w:rPr>
              <w:fldChar w:fldCharType="end"/>
            </w:r>
          </w:hyperlink>
        </w:p>
        <w:p w14:paraId="7C07707D" w14:textId="330F5AF5"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7" w:history="1">
            <w:r w:rsidRPr="00FB42A5">
              <w:rPr>
                <w:rStyle w:val="Hyperlink"/>
                <w:noProof/>
              </w:rPr>
              <w:t>Statement of cash flows</w:t>
            </w:r>
            <w:r>
              <w:rPr>
                <w:noProof/>
                <w:webHidden/>
              </w:rPr>
              <w:tab/>
            </w:r>
            <w:r>
              <w:rPr>
                <w:noProof/>
                <w:webHidden/>
              </w:rPr>
              <w:fldChar w:fldCharType="begin"/>
            </w:r>
            <w:r>
              <w:rPr>
                <w:noProof/>
                <w:webHidden/>
              </w:rPr>
              <w:instrText xml:space="preserve"> PAGEREF _Toc209704107 \h </w:instrText>
            </w:r>
            <w:r>
              <w:rPr>
                <w:noProof/>
                <w:webHidden/>
              </w:rPr>
            </w:r>
            <w:r>
              <w:rPr>
                <w:noProof/>
                <w:webHidden/>
              </w:rPr>
              <w:fldChar w:fldCharType="separate"/>
            </w:r>
            <w:r w:rsidR="00BC7653">
              <w:rPr>
                <w:noProof/>
                <w:webHidden/>
              </w:rPr>
              <w:t>151</w:t>
            </w:r>
            <w:r>
              <w:rPr>
                <w:noProof/>
                <w:webHidden/>
              </w:rPr>
              <w:fldChar w:fldCharType="end"/>
            </w:r>
          </w:hyperlink>
        </w:p>
        <w:p w14:paraId="44736B03" w14:textId="69A0EF0E"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8" w:history="1">
            <w:r w:rsidRPr="00FB42A5">
              <w:rPr>
                <w:rStyle w:val="Hyperlink"/>
                <w:noProof/>
              </w:rPr>
              <w:t>Notes to the financial statements</w:t>
            </w:r>
            <w:r>
              <w:rPr>
                <w:noProof/>
                <w:webHidden/>
              </w:rPr>
              <w:tab/>
            </w:r>
            <w:r>
              <w:rPr>
                <w:noProof/>
                <w:webHidden/>
              </w:rPr>
              <w:fldChar w:fldCharType="begin"/>
            </w:r>
            <w:r>
              <w:rPr>
                <w:noProof/>
                <w:webHidden/>
              </w:rPr>
              <w:instrText xml:space="preserve"> PAGEREF _Toc209704108 \h </w:instrText>
            </w:r>
            <w:r>
              <w:rPr>
                <w:noProof/>
                <w:webHidden/>
              </w:rPr>
            </w:r>
            <w:r>
              <w:rPr>
                <w:noProof/>
                <w:webHidden/>
              </w:rPr>
              <w:fldChar w:fldCharType="separate"/>
            </w:r>
            <w:r w:rsidR="00BC7653">
              <w:rPr>
                <w:noProof/>
                <w:webHidden/>
              </w:rPr>
              <w:t>152</w:t>
            </w:r>
            <w:r>
              <w:rPr>
                <w:noProof/>
                <w:webHidden/>
              </w:rPr>
              <w:fldChar w:fldCharType="end"/>
            </w:r>
          </w:hyperlink>
        </w:p>
        <w:p w14:paraId="1ADD38D2" w14:textId="38C0621D"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09" w:history="1">
            <w:r w:rsidRPr="00FB42A5">
              <w:rPr>
                <w:rStyle w:val="Hyperlink"/>
                <w:noProof/>
              </w:rPr>
              <w:t>Directors’ declaration</w:t>
            </w:r>
            <w:r>
              <w:rPr>
                <w:noProof/>
                <w:webHidden/>
              </w:rPr>
              <w:tab/>
            </w:r>
            <w:r>
              <w:rPr>
                <w:noProof/>
                <w:webHidden/>
              </w:rPr>
              <w:fldChar w:fldCharType="begin"/>
            </w:r>
            <w:r>
              <w:rPr>
                <w:noProof/>
                <w:webHidden/>
              </w:rPr>
              <w:instrText xml:space="preserve"> PAGEREF _Toc209704109 \h </w:instrText>
            </w:r>
            <w:r>
              <w:rPr>
                <w:noProof/>
                <w:webHidden/>
              </w:rPr>
            </w:r>
            <w:r>
              <w:rPr>
                <w:noProof/>
                <w:webHidden/>
              </w:rPr>
              <w:fldChar w:fldCharType="separate"/>
            </w:r>
            <w:r w:rsidR="00BC7653">
              <w:rPr>
                <w:noProof/>
                <w:webHidden/>
              </w:rPr>
              <w:t>168</w:t>
            </w:r>
            <w:r>
              <w:rPr>
                <w:noProof/>
                <w:webHidden/>
              </w:rPr>
              <w:fldChar w:fldCharType="end"/>
            </w:r>
          </w:hyperlink>
        </w:p>
        <w:p w14:paraId="33D984E4" w14:textId="33DF8888"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10" w:history="1">
            <w:r w:rsidRPr="00FB42A5">
              <w:rPr>
                <w:rStyle w:val="Hyperlink"/>
                <w:noProof/>
              </w:rPr>
              <w:t>Declaration by Board Chair, Chief Executive Officer and Chief Financial Officer</w:t>
            </w:r>
            <w:r>
              <w:rPr>
                <w:noProof/>
                <w:webHidden/>
              </w:rPr>
              <w:tab/>
            </w:r>
            <w:r>
              <w:rPr>
                <w:noProof/>
                <w:webHidden/>
              </w:rPr>
              <w:fldChar w:fldCharType="begin"/>
            </w:r>
            <w:r>
              <w:rPr>
                <w:noProof/>
                <w:webHidden/>
              </w:rPr>
              <w:instrText xml:space="preserve"> PAGEREF _Toc209704110 \h </w:instrText>
            </w:r>
            <w:r>
              <w:rPr>
                <w:noProof/>
                <w:webHidden/>
              </w:rPr>
            </w:r>
            <w:r>
              <w:rPr>
                <w:noProof/>
                <w:webHidden/>
              </w:rPr>
              <w:fldChar w:fldCharType="separate"/>
            </w:r>
            <w:r w:rsidR="00BC7653">
              <w:rPr>
                <w:noProof/>
                <w:webHidden/>
              </w:rPr>
              <w:t>169</w:t>
            </w:r>
            <w:r>
              <w:rPr>
                <w:noProof/>
                <w:webHidden/>
              </w:rPr>
              <w:fldChar w:fldCharType="end"/>
            </w:r>
          </w:hyperlink>
        </w:p>
        <w:p w14:paraId="3ACBE5F0" w14:textId="1AF7A60D"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11" w:history="1">
            <w:r w:rsidRPr="00FB42A5">
              <w:rPr>
                <w:rStyle w:val="Hyperlink"/>
                <w:noProof/>
              </w:rPr>
              <w:t>Corporate compliance</w:t>
            </w:r>
            <w:r>
              <w:rPr>
                <w:noProof/>
                <w:webHidden/>
              </w:rPr>
              <w:tab/>
            </w:r>
            <w:r>
              <w:rPr>
                <w:noProof/>
                <w:webHidden/>
              </w:rPr>
              <w:fldChar w:fldCharType="begin"/>
            </w:r>
            <w:r>
              <w:rPr>
                <w:noProof/>
                <w:webHidden/>
              </w:rPr>
              <w:instrText xml:space="preserve"> PAGEREF _Toc209704111 \h </w:instrText>
            </w:r>
            <w:r>
              <w:rPr>
                <w:noProof/>
                <w:webHidden/>
              </w:rPr>
            </w:r>
            <w:r>
              <w:rPr>
                <w:noProof/>
                <w:webHidden/>
              </w:rPr>
              <w:fldChar w:fldCharType="separate"/>
            </w:r>
            <w:r w:rsidR="00BC7653">
              <w:rPr>
                <w:noProof/>
                <w:webHidden/>
              </w:rPr>
              <w:t>170</w:t>
            </w:r>
            <w:r>
              <w:rPr>
                <w:noProof/>
                <w:webHidden/>
              </w:rPr>
              <w:fldChar w:fldCharType="end"/>
            </w:r>
          </w:hyperlink>
        </w:p>
        <w:p w14:paraId="3B40EA20" w14:textId="77B3DE13" w:rsidR="00614DA5" w:rsidRDefault="00614DA5">
          <w:pPr>
            <w:pStyle w:val="TOC1"/>
            <w:tabs>
              <w:tab w:val="right" w:leader="dot" w:pos="9016"/>
            </w:tabs>
            <w:rPr>
              <w:rFonts w:asciiTheme="minorHAnsi" w:eastAsiaTheme="minorEastAsia" w:hAnsiTheme="minorHAnsi" w:cstheme="minorBidi" w:hint="eastAsia"/>
              <w:noProof/>
              <w:sz w:val="24"/>
              <w:szCs w:val="24"/>
              <w:lang w:eastAsia="en-AU"/>
            </w:rPr>
          </w:pPr>
          <w:hyperlink w:anchor="_Toc209704112" w:history="1">
            <w:r w:rsidRPr="00FB42A5">
              <w:rPr>
                <w:rStyle w:val="Hyperlink"/>
                <w:noProof/>
              </w:rPr>
              <w:t>Disclosure index</w:t>
            </w:r>
            <w:r>
              <w:rPr>
                <w:noProof/>
                <w:webHidden/>
              </w:rPr>
              <w:tab/>
            </w:r>
            <w:r>
              <w:rPr>
                <w:noProof/>
                <w:webHidden/>
              </w:rPr>
              <w:fldChar w:fldCharType="begin"/>
            </w:r>
            <w:r>
              <w:rPr>
                <w:noProof/>
                <w:webHidden/>
              </w:rPr>
              <w:instrText xml:space="preserve"> PAGEREF _Toc209704112 \h </w:instrText>
            </w:r>
            <w:r>
              <w:rPr>
                <w:noProof/>
                <w:webHidden/>
              </w:rPr>
            </w:r>
            <w:r>
              <w:rPr>
                <w:noProof/>
                <w:webHidden/>
              </w:rPr>
              <w:fldChar w:fldCharType="separate"/>
            </w:r>
            <w:r w:rsidR="00BC7653">
              <w:rPr>
                <w:noProof/>
                <w:webHidden/>
              </w:rPr>
              <w:t>173</w:t>
            </w:r>
            <w:r>
              <w:rPr>
                <w:noProof/>
                <w:webHidden/>
              </w:rPr>
              <w:fldChar w:fldCharType="end"/>
            </w:r>
          </w:hyperlink>
        </w:p>
        <w:p w14:paraId="7D58675F" w14:textId="081FDC0B" w:rsidR="007F232D" w:rsidRDefault="007F232D" w:rsidP="007F232D">
          <w:r>
            <w:fldChar w:fldCharType="end"/>
          </w:r>
        </w:p>
      </w:sdtContent>
    </w:sdt>
    <w:p w14:paraId="3E67962F" w14:textId="77777777" w:rsidR="0005795C" w:rsidRDefault="0005795C" w:rsidP="007F232D">
      <w:pPr>
        <w:rPr>
          <w:rFonts w:eastAsiaTheme="majorEastAsia" w:cstheme="majorBidi"/>
          <w:sz w:val="32"/>
          <w:szCs w:val="40"/>
        </w:rPr>
      </w:pPr>
      <w:r>
        <w:br w:type="page"/>
      </w:r>
    </w:p>
    <w:p w14:paraId="65DCE1D7" w14:textId="3090CF25" w:rsidR="0005795C" w:rsidRDefault="0005795C" w:rsidP="00B254AC">
      <w:pPr>
        <w:pStyle w:val="Heading1"/>
      </w:pPr>
      <w:bookmarkStart w:id="600" w:name="_Toc208418057"/>
      <w:bookmarkStart w:id="601" w:name="_Toc209080421"/>
      <w:bookmarkStart w:id="602" w:name="_Toc209703991"/>
      <w:bookmarkStart w:id="603" w:name="_Toc209704044"/>
      <w:bookmarkStart w:id="604" w:name="_Toc209704097"/>
      <w:r>
        <w:t>Report of operations</w:t>
      </w:r>
      <w:bookmarkEnd w:id="600"/>
      <w:bookmarkEnd w:id="601"/>
      <w:bookmarkEnd w:id="602"/>
      <w:bookmarkEnd w:id="603"/>
      <w:bookmarkEnd w:id="604"/>
    </w:p>
    <w:p w14:paraId="65D0D65C" w14:textId="77777777" w:rsidR="0005795C" w:rsidRPr="00112565" w:rsidRDefault="0005795C" w:rsidP="00B254AC">
      <w:pPr>
        <w:pStyle w:val="Heading1"/>
      </w:pPr>
      <w:bookmarkStart w:id="605" w:name="_Ref207630559"/>
      <w:bookmarkStart w:id="606" w:name="_Toc208418058"/>
      <w:bookmarkStart w:id="607" w:name="_Toc209080422"/>
      <w:bookmarkStart w:id="608" w:name="_Toc209703992"/>
      <w:bookmarkStart w:id="609" w:name="_Toc209704045"/>
      <w:bookmarkStart w:id="610" w:name="_Toc209704098"/>
      <w:r>
        <w:t>Declaration</w:t>
      </w:r>
      <w:bookmarkEnd w:id="605"/>
      <w:bookmarkEnd w:id="606"/>
      <w:bookmarkEnd w:id="607"/>
      <w:bookmarkEnd w:id="608"/>
      <w:bookmarkEnd w:id="609"/>
      <w:bookmarkEnd w:id="610"/>
      <w:r>
        <w:t xml:space="preserve"> </w:t>
      </w:r>
    </w:p>
    <w:p w14:paraId="17BC7EC9" w14:textId="77777777" w:rsidR="0005795C" w:rsidRPr="008130F3" w:rsidRDefault="0005795C" w:rsidP="008130F3">
      <w:r w:rsidRPr="008130F3">
        <w:t xml:space="preserve">In accordance with the </w:t>
      </w:r>
      <w:r w:rsidRPr="008130F3">
        <w:rPr>
          <w:i/>
          <w:iCs/>
        </w:rPr>
        <w:t>Financial Management Act 1994</w:t>
      </w:r>
      <w:r w:rsidRPr="008130F3">
        <w:t xml:space="preserve">, I am pleased to present SEC Energy Pty </w:t>
      </w:r>
      <w:proofErr w:type="spellStart"/>
      <w:r w:rsidRPr="008130F3">
        <w:t>Ltd’s</w:t>
      </w:r>
      <w:proofErr w:type="spellEnd"/>
      <w:r w:rsidRPr="008130F3">
        <w:t xml:space="preserve"> Annual Report for the year to 30 June 2025:</w:t>
      </w:r>
    </w:p>
    <w:p w14:paraId="3558A60F" w14:textId="77777777" w:rsidR="0005795C" w:rsidRPr="008130F3" w:rsidRDefault="0005795C" w:rsidP="008130F3">
      <w:r w:rsidRPr="008130F3">
        <w:t xml:space="preserve">  </w:t>
      </w:r>
    </w:p>
    <w:p w14:paraId="24E75A67" w14:textId="77777777" w:rsidR="0005795C" w:rsidRPr="008130F3" w:rsidRDefault="0005795C" w:rsidP="008130F3">
      <w:r w:rsidRPr="008130F3">
        <w:br/>
      </w:r>
    </w:p>
    <w:p w14:paraId="11AD22C9" w14:textId="5A4ED088" w:rsidR="0005795C" w:rsidRPr="008130F3" w:rsidRDefault="0005795C" w:rsidP="008130F3">
      <w:r w:rsidRPr="008130F3">
        <w:t xml:space="preserve">Simon Corbell </w:t>
      </w:r>
      <w:r w:rsidR="00B15EB7">
        <w:br/>
      </w:r>
      <w:r w:rsidR="0072311B">
        <w:t xml:space="preserve">Board </w:t>
      </w:r>
      <w:r w:rsidRPr="008130F3">
        <w:t xml:space="preserve">Chair </w:t>
      </w:r>
    </w:p>
    <w:p w14:paraId="3A1C2D2C" w14:textId="77777777" w:rsidR="0005795C" w:rsidRPr="008130F3" w:rsidRDefault="0005795C" w:rsidP="008130F3">
      <w:r w:rsidRPr="008130F3">
        <w:t xml:space="preserve">SEC Energy Pty Ltd </w:t>
      </w:r>
    </w:p>
    <w:p w14:paraId="5E97A0FF" w14:textId="1CA2E074" w:rsidR="00C039F5" w:rsidRDefault="00364292" w:rsidP="008130F3">
      <w:pPr>
        <w:rPr>
          <w:rFonts w:eastAsiaTheme="majorEastAsia" w:cstheme="majorBidi"/>
          <w:sz w:val="32"/>
          <w:szCs w:val="40"/>
        </w:rPr>
      </w:pPr>
      <w:r>
        <w:t>6</w:t>
      </w:r>
      <w:r w:rsidRPr="008130F3">
        <w:t xml:space="preserve"> </w:t>
      </w:r>
      <w:r w:rsidR="0005795C" w:rsidRPr="008130F3">
        <w:t>October 2025</w:t>
      </w:r>
      <w:r w:rsidR="0005795C">
        <w:t xml:space="preserve">  </w:t>
      </w:r>
    </w:p>
    <w:p w14:paraId="65FDB4A5" w14:textId="6289E15D" w:rsidR="0005795C" w:rsidRPr="00C11F37" w:rsidRDefault="0005795C" w:rsidP="00B254AC">
      <w:pPr>
        <w:pStyle w:val="Heading1"/>
        <w:rPr>
          <w:rFonts w:eastAsiaTheme="minorHAnsi" w:cstheme="minorBidi"/>
          <w:spacing w:val="-2"/>
          <w:w w:val="105"/>
          <w:sz w:val="24"/>
          <w:szCs w:val="22"/>
        </w:rPr>
      </w:pPr>
      <w:bookmarkStart w:id="611" w:name="_Toc208418059"/>
      <w:bookmarkStart w:id="612" w:name="_Toc209080423"/>
      <w:bookmarkStart w:id="613" w:name="_Toc209703993"/>
      <w:bookmarkStart w:id="614" w:name="_Toc209704046"/>
      <w:bookmarkStart w:id="615" w:name="_Toc209704099"/>
      <w:r w:rsidRPr="00DB2F7D">
        <w:t>Preparation</w:t>
      </w:r>
      <w:bookmarkEnd w:id="611"/>
      <w:bookmarkEnd w:id="612"/>
      <w:bookmarkEnd w:id="613"/>
      <w:bookmarkEnd w:id="614"/>
      <w:bookmarkEnd w:id="615"/>
      <w:r w:rsidRPr="00DB2F7D">
        <w:t xml:space="preserve"> </w:t>
      </w:r>
    </w:p>
    <w:p w14:paraId="5E51D1E6" w14:textId="0C0DBE6E" w:rsidR="00781A72" w:rsidRDefault="0005795C" w:rsidP="00781A72">
      <w:r w:rsidRPr="00C039F5">
        <w:t xml:space="preserve">SEC Energy Pty Ltd (the Company) is part of the SEC group of companies that work together to meet the SEC’s overall objectives. Its parent company, SEC Victoria Pty Ltd, prepares a consolidated annual report that includes the results and operations of the Company and other controlled entities (collectively, SEC or the Group). The Report of Operations has been prepared to cover the whole SEC group of companies from page </w:t>
      </w:r>
      <w:r w:rsidR="00AC5888" w:rsidRPr="00C039F5">
        <w:fldChar w:fldCharType="begin"/>
      </w:r>
      <w:r w:rsidR="00AC5888" w:rsidRPr="00C039F5">
        <w:instrText xml:space="preserve"> PAGEREF _Ref207629792 \h </w:instrText>
      </w:r>
      <w:r w:rsidR="00AC5888" w:rsidRPr="00C039F5">
        <w:fldChar w:fldCharType="separate"/>
      </w:r>
      <w:r w:rsidR="00BC7653">
        <w:rPr>
          <w:noProof/>
        </w:rPr>
        <w:t>12</w:t>
      </w:r>
      <w:r w:rsidR="00AC5888" w:rsidRPr="00C039F5">
        <w:fldChar w:fldCharType="end"/>
      </w:r>
      <w:r w:rsidRPr="00C039F5">
        <w:t xml:space="preserve"> and as such has not been duplicated here.</w:t>
      </w:r>
    </w:p>
    <w:p w14:paraId="5107F89B" w14:textId="2F9766DC" w:rsidR="0005795C" w:rsidRPr="00C039F5" w:rsidRDefault="0005795C" w:rsidP="00B254AC">
      <w:pPr>
        <w:pStyle w:val="Heading1"/>
        <w:rPr>
          <w:rStyle w:val="Heading1Char"/>
        </w:rPr>
      </w:pPr>
      <w:bookmarkStart w:id="616" w:name="_Ref207630565"/>
      <w:bookmarkStart w:id="617" w:name="_Toc208418060"/>
      <w:bookmarkStart w:id="618" w:name="_Toc209080424"/>
      <w:bookmarkStart w:id="619" w:name="_Toc209703994"/>
      <w:bookmarkStart w:id="620" w:name="_Toc209704047"/>
      <w:bookmarkStart w:id="621" w:name="_Toc209704100"/>
      <w:r w:rsidRPr="00C039F5">
        <w:t>Financial management compliance attestation statement</w:t>
      </w:r>
      <w:bookmarkEnd w:id="616"/>
      <w:bookmarkEnd w:id="617"/>
      <w:bookmarkEnd w:id="618"/>
      <w:bookmarkEnd w:id="619"/>
      <w:bookmarkEnd w:id="620"/>
      <w:bookmarkEnd w:id="621"/>
      <w:r w:rsidRPr="00C039F5">
        <w:t xml:space="preserve"> </w:t>
      </w:r>
    </w:p>
    <w:p w14:paraId="39D923E8" w14:textId="77777777" w:rsidR="0005795C" w:rsidRDefault="0005795C" w:rsidP="0005795C">
      <w:r w:rsidRPr="002754EF">
        <w:t xml:space="preserve">I, Christopher Francis Miller, on behalf of SEC </w:t>
      </w:r>
      <w:r>
        <w:t>Energy</w:t>
      </w:r>
      <w:r w:rsidRPr="002754EF">
        <w:t xml:space="preserve"> Pty Ltd, certify that SEC </w:t>
      </w:r>
      <w:r>
        <w:t>Energy</w:t>
      </w:r>
      <w:r w:rsidRPr="002754EF">
        <w:t xml:space="preserve"> Pty Ltd has no Material Compliance Deficiency with respect to the applicable Standing Directions made under the </w:t>
      </w:r>
      <w:r w:rsidRPr="002754EF">
        <w:rPr>
          <w:i/>
          <w:iCs/>
        </w:rPr>
        <w:t>Financial Management Act 1994</w:t>
      </w:r>
      <w:r w:rsidRPr="002754EF">
        <w:t xml:space="preserve"> and </w:t>
      </w:r>
      <w:r w:rsidRPr="0037304F">
        <w:t xml:space="preserve">Instructions. </w:t>
      </w:r>
    </w:p>
    <w:p w14:paraId="5A434DB3" w14:textId="77777777" w:rsidR="0005795C" w:rsidRPr="00B94E93" w:rsidRDefault="0005795C" w:rsidP="0005795C">
      <w:r>
        <w:br/>
      </w:r>
      <w:r>
        <w:br/>
      </w:r>
      <w:r>
        <w:br/>
      </w:r>
      <w:r w:rsidRPr="00B94E93">
        <w:t xml:space="preserve">Chris Miller </w:t>
      </w:r>
    </w:p>
    <w:p w14:paraId="6308C4BC" w14:textId="77777777" w:rsidR="0005795C" w:rsidRPr="00B94E93" w:rsidRDefault="0005795C" w:rsidP="0005795C">
      <w:r w:rsidRPr="00B94E93">
        <w:t>CEO, SEC</w:t>
      </w:r>
    </w:p>
    <w:p w14:paraId="62705209" w14:textId="77777777" w:rsidR="0005795C" w:rsidRPr="00B94E93" w:rsidRDefault="0005795C" w:rsidP="0005795C">
      <w:r w:rsidRPr="00B94E93">
        <w:br w:type="page"/>
      </w:r>
    </w:p>
    <w:p w14:paraId="0A081923" w14:textId="77777777" w:rsidR="0005795C" w:rsidRPr="00B94E93" w:rsidRDefault="0005795C" w:rsidP="00B254AC">
      <w:pPr>
        <w:pStyle w:val="Heading1"/>
      </w:pPr>
      <w:bookmarkStart w:id="622" w:name="_Toc208418061"/>
      <w:bookmarkStart w:id="623" w:name="_Toc209080425"/>
      <w:bookmarkStart w:id="624" w:name="_Toc209703995"/>
      <w:bookmarkStart w:id="625" w:name="_Toc209704048"/>
      <w:bookmarkStart w:id="626" w:name="_Toc209704101"/>
      <w:r>
        <w:t>Directors’ report</w:t>
      </w:r>
      <w:bookmarkEnd w:id="622"/>
      <w:bookmarkEnd w:id="623"/>
      <w:bookmarkEnd w:id="624"/>
      <w:bookmarkEnd w:id="625"/>
      <w:bookmarkEnd w:id="626"/>
    </w:p>
    <w:p w14:paraId="73B8FC79" w14:textId="77777777" w:rsidR="0005795C" w:rsidRDefault="0005795C" w:rsidP="0005795C">
      <w:r w:rsidRPr="00D93298">
        <w:t xml:space="preserve">The directors present their report on SEC </w:t>
      </w:r>
      <w:r>
        <w:t>Energy</w:t>
      </w:r>
      <w:r w:rsidRPr="00D93298">
        <w:t xml:space="preserve"> Pty Ltd (the Company) </w:t>
      </w:r>
      <w:r>
        <w:t>for the year ended 30 June 2025</w:t>
      </w:r>
      <w:r w:rsidRPr="00D93298">
        <w:t>.</w:t>
      </w:r>
      <w:r>
        <w:t xml:space="preserve"> Throughout the report, the entity is referred to as SEC Energy or the Company.</w:t>
      </w:r>
    </w:p>
    <w:p w14:paraId="1ABAA6F8" w14:textId="77777777" w:rsidR="0005795C" w:rsidRDefault="0005795C" w:rsidP="0005795C">
      <w:pPr>
        <w:pStyle w:val="Heading2"/>
      </w:pPr>
      <w:r>
        <w:t xml:space="preserve">Directors </w:t>
      </w:r>
    </w:p>
    <w:p w14:paraId="05A4390F" w14:textId="77777777" w:rsidR="0005795C" w:rsidRDefault="0005795C" w:rsidP="0005795C">
      <w:r w:rsidRPr="00D93298">
        <w:t xml:space="preserve">The directors </w:t>
      </w:r>
      <w:r>
        <w:t>of the Company in office</w:t>
      </w:r>
      <w:r w:rsidRPr="00D93298">
        <w:t xml:space="preserve"> during the </w:t>
      </w:r>
      <w:r>
        <w:t xml:space="preserve">financial year </w:t>
      </w:r>
      <w:r w:rsidRPr="00D93298">
        <w:t xml:space="preserve">and up to the date of this report </w:t>
      </w:r>
      <w:r>
        <w:t>are set out below. Directors were in office for this entire period unless otherwise stated</w:t>
      </w:r>
      <w:r w:rsidRPr="00D93298">
        <w:t>:</w:t>
      </w:r>
    </w:p>
    <w:p w14:paraId="082DBA70" w14:textId="77777777" w:rsidR="0005795C" w:rsidRPr="00F96FA2" w:rsidRDefault="0005795C" w:rsidP="0005795C">
      <w:pPr>
        <w:spacing w:after="0" w:line="240" w:lineRule="auto"/>
        <w:textAlignment w:val="baseline"/>
        <w:rPr>
          <w:rFonts w:eastAsia="Times New Roman" w:cs="Arial"/>
          <w:szCs w:val="24"/>
          <w:lang w:eastAsia="en-AU"/>
        </w:rPr>
      </w:pPr>
      <w:r w:rsidRPr="00F96FA2">
        <w:rPr>
          <w:rFonts w:eastAsia="Times New Roman" w:cs="Arial"/>
          <w:szCs w:val="24"/>
          <w:lang w:eastAsia="en-AU"/>
        </w:rPr>
        <w:t>Simon Corbell</w:t>
      </w:r>
      <w:r>
        <w:rPr>
          <w:rFonts w:eastAsia="Times New Roman" w:cs="Arial"/>
          <w:szCs w:val="24"/>
          <w:lang w:eastAsia="en-AU"/>
        </w:rPr>
        <w:t xml:space="preserve">, Non-executive </w:t>
      </w:r>
      <w:r w:rsidRPr="00F96FA2">
        <w:rPr>
          <w:rFonts w:eastAsia="Times New Roman" w:cs="Arial"/>
          <w:szCs w:val="24"/>
          <w:lang w:eastAsia="en-AU"/>
        </w:rPr>
        <w:t>Chair</w:t>
      </w:r>
    </w:p>
    <w:p w14:paraId="5D5600D3" w14:textId="77777777" w:rsidR="0005795C" w:rsidRPr="00F96FA2" w:rsidRDefault="0005795C" w:rsidP="0005795C">
      <w:pPr>
        <w:spacing w:after="0" w:line="240" w:lineRule="auto"/>
        <w:textAlignment w:val="baseline"/>
        <w:rPr>
          <w:rFonts w:eastAsia="Times New Roman" w:cs="Arial"/>
          <w:szCs w:val="24"/>
          <w:lang w:eastAsia="en-AU"/>
        </w:rPr>
      </w:pPr>
      <w:r w:rsidRPr="00F96FA2">
        <w:rPr>
          <w:rFonts w:eastAsia="Times New Roman" w:cs="Arial"/>
          <w:szCs w:val="24"/>
          <w:lang w:eastAsia="en-AU"/>
        </w:rPr>
        <w:t>Joycelyn Morton</w:t>
      </w:r>
      <w:r>
        <w:rPr>
          <w:rFonts w:eastAsia="Times New Roman" w:cs="Arial"/>
          <w:szCs w:val="24"/>
          <w:lang w:eastAsia="en-AU"/>
        </w:rPr>
        <w:t>, Non-executive director</w:t>
      </w:r>
    </w:p>
    <w:p w14:paraId="476A89F3" w14:textId="77777777" w:rsidR="0005795C" w:rsidRPr="00F96FA2" w:rsidRDefault="0005795C" w:rsidP="0005795C">
      <w:pPr>
        <w:spacing w:after="0" w:line="240" w:lineRule="auto"/>
        <w:textAlignment w:val="baseline"/>
        <w:rPr>
          <w:rFonts w:eastAsia="Times New Roman" w:cs="Arial"/>
          <w:szCs w:val="24"/>
          <w:lang w:eastAsia="en-AU"/>
        </w:rPr>
      </w:pPr>
      <w:r w:rsidRPr="00F96FA2">
        <w:rPr>
          <w:rFonts w:eastAsia="Times New Roman" w:cs="Arial"/>
          <w:szCs w:val="24"/>
          <w:lang w:eastAsia="en-AU"/>
        </w:rPr>
        <w:t>Damien Barnes</w:t>
      </w:r>
      <w:r>
        <w:rPr>
          <w:rFonts w:eastAsia="Times New Roman" w:cs="Arial"/>
          <w:szCs w:val="24"/>
          <w:lang w:eastAsia="en-AU"/>
        </w:rPr>
        <w:t>, Non-executive director</w:t>
      </w:r>
    </w:p>
    <w:p w14:paraId="5D3B0D50" w14:textId="77777777" w:rsidR="0005795C" w:rsidRPr="00F96FA2" w:rsidRDefault="0005795C" w:rsidP="0005795C">
      <w:pPr>
        <w:spacing w:after="0" w:line="240" w:lineRule="auto"/>
        <w:textAlignment w:val="baseline"/>
        <w:rPr>
          <w:rFonts w:eastAsia="Times New Roman" w:cs="Arial"/>
          <w:szCs w:val="24"/>
          <w:lang w:eastAsia="en-AU"/>
        </w:rPr>
      </w:pPr>
      <w:r w:rsidRPr="00F96FA2">
        <w:rPr>
          <w:rFonts w:eastAsia="Times New Roman" w:cs="Arial"/>
          <w:szCs w:val="24"/>
          <w:lang w:eastAsia="en-AU"/>
        </w:rPr>
        <w:t>Joanne Benvenuti</w:t>
      </w:r>
      <w:r>
        <w:rPr>
          <w:rFonts w:eastAsia="Times New Roman" w:cs="Arial"/>
          <w:szCs w:val="24"/>
          <w:lang w:eastAsia="en-AU"/>
        </w:rPr>
        <w:t>, Non-executive director</w:t>
      </w:r>
    </w:p>
    <w:p w14:paraId="3D7A8E54" w14:textId="77777777" w:rsidR="0005795C" w:rsidRDefault="0005795C" w:rsidP="0005795C">
      <w:pPr>
        <w:spacing w:after="0" w:line="240" w:lineRule="auto"/>
        <w:textAlignment w:val="baseline"/>
        <w:rPr>
          <w:rFonts w:eastAsia="Times New Roman" w:cs="Arial"/>
          <w:szCs w:val="24"/>
          <w:lang w:eastAsia="en-AU"/>
        </w:rPr>
      </w:pPr>
      <w:r w:rsidRPr="00F96FA2">
        <w:rPr>
          <w:rFonts w:eastAsia="Times New Roman" w:cs="Arial"/>
          <w:szCs w:val="24"/>
          <w:lang w:eastAsia="en-AU"/>
        </w:rPr>
        <w:t>Anna Skarbek</w:t>
      </w:r>
      <w:r>
        <w:rPr>
          <w:rFonts w:eastAsia="Times New Roman" w:cs="Arial"/>
          <w:szCs w:val="24"/>
          <w:lang w:eastAsia="en-AU"/>
        </w:rPr>
        <w:t>, Non-executive director</w:t>
      </w:r>
    </w:p>
    <w:p w14:paraId="21B3054F" w14:textId="173DC4D7" w:rsidR="0005795C" w:rsidRDefault="0005795C" w:rsidP="0005795C">
      <w:pPr>
        <w:spacing w:after="0" w:line="240" w:lineRule="auto"/>
        <w:textAlignment w:val="baseline"/>
        <w:rPr>
          <w:rFonts w:eastAsia="Times New Roman" w:cs="Arial"/>
          <w:lang w:eastAsia="en-AU"/>
        </w:rPr>
      </w:pPr>
      <w:r w:rsidRPr="701665F7">
        <w:rPr>
          <w:rFonts w:eastAsia="Times New Roman" w:cs="Arial"/>
          <w:lang w:eastAsia="en-AU"/>
        </w:rPr>
        <w:t>Sharan Burrow, Non-executive director (appointed 1 October 2024)</w:t>
      </w:r>
    </w:p>
    <w:p w14:paraId="6BDF648A" w14:textId="77777777" w:rsidR="0005795C" w:rsidRPr="00F96FA2" w:rsidRDefault="0005795C" w:rsidP="0005795C">
      <w:pPr>
        <w:spacing w:after="0" w:line="240" w:lineRule="auto"/>
        <w:textAlignment w:val="baseline"/>
        <w:rPr>
          <w:rFonts w:eastAsia="Times New Roman" w:cs="Arial"/>
          <w:lang w:eastAsia="en-AU"/>
        </w:rPr>
      </w:pPr>
      <w:r w:rsidRPr="701665F7">
        <w:rPr>
          <w:rFonts w:eastAsia="Times New Roman" w:cs="Arial"/>
          <w:lang w:eastAsia="en-AU"/>
        </w:rPr>
        <w:t>Cameron Garnsworthy, Non-executive director (appointed 1 October 2024)</w:t>
      </w:r>
    </w:p>
    <w:p w14:paraId="7420EEDA" w14:textId="77777777" w:rsidR="0005795C" w:rsidRDefault="0005795C" w:rsidP="0005795C">
      <w:pPr>
        <w:pStyle w:val="Heading2"/>
      </w:pPr>
      <w:r>
        <w:t xml:space="preserve">Company secretary </w:t>
      </w:r>
    </w:p>
    <w:p w14:paraId="2E78109D" w14:textId="77777777" w:rsidR="0005795C" w:rsidRDefault="0005795C" w:rsidP="0005795C">
      <w:r w:rsidRPr="009D3B26">
        <w:t>The Company Secretary for the Company at any time during the reporting period was Mr Sam Gifford (current).</w:t>
      </w:r>
    </w:p>
    <w:p w14:paraId="4F2234C5" w14:textId="77777777" w:rsidR="0005795C" w:rsidRPr="009F4BF2" w:rsidRDefault="0005795C" w:rsidP="0005795C">
      <w:pPr>
        <w:pStyle w:val="Heading2"/>
      </w:pPr>
      <w:r>
        <w:t>Directors’ meetings</w:t>
      </w:r>
    </w:p>
    <w:tbl>
      <w:tblPr>
        <w:tblW w:w="8875" w:type="dxa"/>
        <w:tblLook w:val="04A0" w:firstRow="1" w:lastRow="0" w:firstColumn="1" w:lastColumn="0" w:noHBand="0" w:noVBand="1"/>
      </w:tblPr>
      <w:tblGrid>
        <w:gridCol w:w="4395"/>
        <w:gridCol w:w="1120"/>
        <w:gridCol w:w="1120"/>
        <w:gridCol w:w="1120"/>
        <w:gridCol w:w="1120"/>
      </w:tblGrid>
      <w:tr w:rsidR="0005795C" w:rsidRPr="009F4BF2" w14:paraId="6196F4B4" w14:textId="77777777">
        <w:trPr>
          <w:trHeight w:val="600"/>
        </w:trPr>
        <w:tc>
          <w:tcPr>
            <w:tcW w:w="4395" w:type="dxa"/>
            <w:vMerge w:val="restart"/>
            <w:tcBorders>
              <w:top w:val="nil"/>
              <w:left w:val="nil"/>
              <w:bottom w:val="nil"/>
              <w:right w:val="nil"/>
            </w:tcBorders>
            <w:vAlign w:val="center"/>
            <w:hideMark/>
          </w:tcPr>
          <w:p w14:paraId="6E4F4C52" w14:textId="77777777" w:rsidR="0005795C" w:rsidRPr="009F4BF2" w:rsidRDefault="0005795C">
            <w:pPr>
              <w:spacing w:after="0" w:line="240" w:lineRule="auto"/>
              <w:rPr>
                <w:rFonts w:eastAsia="Times New Roman" w:cs="Arial"/>
                <w:b/>
                <w:bCs/>
                <w:color w:val="000000"/>
                <w:sz w:val="20"/>
                <w:szCs w:val="20"/>
                <w:lang w:eastAsia="en-AU"/>
              </w:rPr>
            </w:pPr>
            <w:r w:rsidRPr="009F4BF2">
              <w:rPr>
                <w:rFonts w:eastAsia="Times New Roman" w:cs="Arial"/>
                <w:b/>
                <w:bCs/>
                <w:color w:val="000000"/>
                <w:sz w:val="20"/>
                <w:szCs w:val="20"/>
                <w:lang w:eastAsia="en-AU"/>
              </w:rPr>
              <w:t>Name</w:t>
            </w:r>
          </w:p>
        </w:tc>
        <w:tc>
          <w:tcPr>
            <w:tcW w:w="2240" w:type="dxa"/>
            <w:gridSpan w:val="2"/>
            <w:tcBorders>
              <w:top w:val="nil"/>
              <w:left w:val="nil"/>
              <w:bottom w:val="nil"/>
              <w:right w:val="nil"/>
            </w:tcBorders>
            <w:vAlign w:val="center"/>
            <w:hideMark/>
          </w:tcPr>
          <w:p w14:paraId="732FCF0F" w14:textId="77777777" w:rsidR="0005795C" w:rsidRPr="009F4BF2" w:rsidRDefault="0005795C">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Board</w:t>
            </w:r>
          </w:p>
        </w:tc>
        <w:tc>
          <w:tcPr>
            <w:tcW w:w="2240" w:type="dxa"/>
            <w:gridSpan w:val="2"/>
            <w:tcBorders>
              <w:top w:val="nil"/>
              <w:left w:val="nil"/>
              <w:bottom w:val="nil"/>
              <w:right w:val="nil"/>
            </w:tcBorders>
            <w:vAlign w:val="center"/>
            <w:hideMark/>
          </w:tcPr>
          <w:p w14:paraId="0C277A99" w14:textId="77777777" w:rsidR="0005795C" w:rsidRPr="009F4BF2" w:rsidRDefault="0005795C">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Audit and Risk Committee</w:t>
            </w:r>
            <w:r w:rsidRPr="009F4BF2">
              <w:rPr>
                <w:rFonts w:eastAsia="Times New Roman" w:cs="Arial"/>
                <w:color w:val="000000"/>
                <w:sz w:val="20"/>
                <w:szCs w:val="20"/>
                <w:vertAlign w:val="superscript"/>
                <w:lang w:eastAsia="en-AU"/>
              </w:rPr>
              <w:t>*</w:t>
            </w:r>
          </w:p>
        </w:tc>
      </w:tr>
      <w:tr w:rsidR="0005795C" w:rsidRPr="009F4BF2" w14:paraId="6B9128EE" w14:textId="77777777">
        <w:trPr>
          <w:trHeight w:val="300"/>
        </w:trPr>
        <w:tc>
          <w:tcPr>
            <w:tcW w:w="4395" w:type="dxa"/>
            <w:vMerge/>
            <w:vAlign w:val="center"/>
          </w:tcPr>
          <w:p w14:paraId="77369546" w14:textId="77777777" w:rsidR="0005795C" w:rsidRPr="009F4BF2" w:rsidRDefault="0005795C">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04099040"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c>
          <w:tcPr>
            <w:tcW w:w="2240" w:type="dxa"/>
            <w:gridSpan w:val="2"/>
            <w:tcBorders>
              <w:top w:val="nil"/>
              <w:left w:val="nil"/>
              <w:bottom w:val="nil"/>
              <w:right w:val="nil"/>
            </w:tcBorders>
            <w:vAlign w:val="center"/>
          </w:tcPr>
          <w:p w14:paraId="7DEF976D"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Meetings Held</w:t>
            </w:r>
          </w:p>
        </w:tc>
      </w:tr>
      <w:tr w:rsidR="0005795C" w:rsidRPr="009F4BF2" w14:paraId="5186559D" w14:textId="77777777">
        <w:trPr>
          <w:trHeight w:val="300"/>
        </w:trPr>
        <w:tc>
          <w:tcPr>
            <w:tcW w:w="4395" w:type="dxa"/>
            <w:vMerge/>
            <w:vAlign w:val="center"/>
          </w:tcPr>
          <w:p w14:paraId="3ADC27E0" w14:textId="77777777" w:rsidR="0005795C" w:rsidRPr="009F4BF2" w:rsidRDefault="0005795C">
            <w:pPr>
              <w:spacing w:after="0" w:line="240" w:lineRule="auto"/>
              <w:rPr>
                <w:rFonts w:eastAsia="Times New Roman" w:cs="Arial"/>
                <w:b/>
                <w:bCs/>
                <w:color w:val="000000"/>
                <w:sz w:val="20"/>
                <w:szCs w:val="20"/>
                <w:lang w:eastAsia="en-AU"/>
              </w:rPr>
            </w:pPr>
          </w:p>
        </w:tc>
        <w:tc>
          <w:tcPr>
            <w:tcW w:w="2240" w:type="dxa"/>
            <w:gridSpan w:val="2"/>
            <w:tcBorders>
              <w:top w:val="nil"/>
              <w:left w:val="nil"/>
              <w:bottom w:val="nil"/>
              <w:right w:val="nil"/>
            </w:tcBorders>
            <w:vAlign w:val="center"/>
          </w:tcPr>
          <w:p w14:paraId="2AF28821"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10</w:t>
            </w:r>
          </w:p>
        </w:tc>
        <w:tc>
          <w:tcPr>
            <w:tcW w:w="2240" w:type="dxa"/>
            <w:gridSpan w:val="2"/>
            <w:tcBorders>
              <w:top w:val="nil"/>
              <w:left w:val="nil"/>
              <w:bottom w:val="nil"/>
              <w:right w:val="nil"/>
            </w:tcBorders>
            <w:vAlign w:val="center"/>
          </w:tcPr>
          <w:p w14:paraId="355D25F7"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4</w:t>
            </w:r>
          </w:p>
        </w:tc>
      </w:tr>
      <w:tr w:rsidR="0005795C" w:rsidRPr="009F4BF2" w14:paraId="79CCB6F3" w14:textId="77777777">
        <w:trPr>
          <w:trHeight w:val="264"/>
        </w:trPr>
        <w:tc>
          <w:tcPr>
            <w:tcW w:w="4395" w:type="dxa"/>
            <w:vMerge/>
            <w:vAlign w:val="center"/>
            <w:hideMark/>
          </w:tcPr>
          <w:p w14:paraId="298F3C8E" w14:textId="77777777" w:rsidR="0005795C" w:rsidRPr="009F4BF2" w:rsidRDefault="0005795C">
            <w:pPr>
              <w:spacing w:after="0" w:line="240" w:lineRule="auto"/>
              <w:rPr>
                <w:rFonts w:eastAsia="Times New Roman" w:cs="Arial"/>
                <w:b/>
                <w:bCs/>
                <w:color w:val="000000"/>
                <w:sz w:val="20"/>
                <w:szCs w:val="20"/>
                <w:lang w:eastAsia="en-AU"/>
              </w:rPr>
            </w:pPr>
          </w:p>
        </w:tc>
        <w:tc>
          <w:tcPr>
            <w:tcW w:w="1120" w:type="dxa"/>
            <w:tcBorders>
              <w:top w:val="nil"/>
              <w:left w:val="nil"/>
              <w:bottom w:val="nil"/>
              <w:right w:val="nil"/>
            </w:tcBorders>
            <w:vAlign w:val="center"/>
            <w:hideMark/>
          </w:tcPr>
          <w:p w14:paraId="7712E93A" w14:textId="77777777" w:rsidR="0005795C" w:rsidRPr="009F4BF2" w:rsidRDefault="0005795C">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2B8A4783"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c>
          <w:tcPr>
            <w:tcW w:w="1120" w:type="dxa"/>
            <w:tcBorders>
              <w:top w:val="nil"/>
              <w:left w:val="nil"/>
              <w:bottom w:val="nil"/>
              <w:right w:val="nil"/>
            </w:tcBorders>
            <w:vAlign w:val="center"/>
            <w:hideMark/>
          </w:tcPr>
          <w:p w14:paraId="72E646BA" w14:textId="77777777" w:rsidR="0005795C" w:rsidRPr="009F4BF2" w:rsidRDefault="0005795C">
            <w:pPr>
              <w:spacing w:after="0" w:line="240" w:lineRule="auto"/>
              <w:jc w:val="center"/>
              <w:rPr>
                <w:rFonts w:eastAsia="Times New Roman" w:cs="Arial"/>
                <w:b/>
                <w:bCs/>
                <w:color w:val="000000"/>
                <w:sz w:val="20"/>
                <w:szCs w:val="20"/>
                <w:lang w:eastAsia="en-AU"/>
              </w:rPr>
            </w:pPr>
            <w:r w:rsidRPr="009F4BF2">
              <w:rPr>
                <w:rFonts w:eastAsia="Times New Roman" w:cs="Arial"/>
                <w:b/>
                <w:bCs/>
                <w:color w:val="000000"/>
                <w:sz w:val="20"/>
                <w:szCs w:val="20"/>
                <w:lang w:eastAsia="en-AU"/>
              </w:rPr>
              <w:t>Attended</w:t>
            </w:r>
          </w:p>
        </w:tc>
        <w:tc>
          <w:tcPr>
            <w:tcW w:w="1120" w:type="dxa"/>
            <w:tcBorders>
              <w:top w:val="nil"/>
              <w:left w:val="nil"/>
              <w:bottom w:val="nil"/>
              <w:right w:val="nil"/>
            </w:tcBorders>
            <w:vAlign w:val="center"/>
            <w:hideMark/>
          </w:tcPr>
          <w:p w14:paraId="07343B1F" w14:textId="77777777" w:rsidR="0005795C" w:rsidRPr="009F4BF2" w:rsidRDefault="0005795C">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Eligible to attend</w:t>
            </w:r>
          </w:p>
        </w:tc>
      </w:tr>
      <w:tr w:rsidR="0005795C" w:rsidRPr="009F4BF2" w14:paraId="2F66A5D8" w14:textId="77777777">
        <w:trPr>
          <w:trHeight w:val="264"/>
        </w:trPr>
        <w:tc>
          <w:tcPr>
            <w:tcW w:w="4395" w:type="dxa"/>
            <w:tcBorders>
              <w:top w:val="nil"/>
              <w:left w:val="nil"/>
              <w:bottom w:val="nil"/>
              <w:right w:val="nil"/>
            </w:tcBorders>
            <w:noWrap/>
            <w:vAlign w:val="center"/>
            <w:hideMark/>
          </w:tcPr>
          <w:p w14:paraId="3D938C4D" w14:textId="77777777"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Simon Corbell (Chair)</w:t>
            </w:r>
          </w:p>
        </w:tc>
        <w:tc>
          <w:tcPr>
            <w:tcW w:w="1120" w:type="dxa"/>
            <w:tcBorders>
              <w:top w:val="nil"/>
              <w:left w:val="nil"/>
              <w:bottom w:val="nil"/>
              <w:right w:val="nil"/>
            </w:tcBorders>
            <w:vAlign w:val="center"/>
            <w:hideMark/>
          </w:tcPr>
          <w:p w14:paraId="607A41E8"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D3F5C9D"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12D0CC21"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6F33C056"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05795C" w:rsidRPr="009F4BF2" w14:paraId="1EDDE63B" w14:textId="77777777">
        <w:trPr>
          <w:trHeight w:val="264"/>
        </w:trPr>
        <w:tc>
          <w:tcPr>
            <w:tcW w:w="4395" w:type="dxa"/>
            <w:tcBorders>
              <w:top w:val="nil"/>
              <w:left w:val="nil"/>
              <w:bottom w:val="nil"/>
              <w:right w:val="nil"/>
            </w:tcBorders>
            <w:noWrap/>
            <w:vAlign w:val="center"/>
            <w:hideMark/>
          </w:tcPr>
          <w:p w14:paraId="0FF51A07" w14:textId="77777777"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Joycelyn Morton</w:t>
            </w:r>
          </w:p>
        </w:tc>
        <w:tc>
          <w:tcPr>
            <w:tcW w:w="1120" w:type="dxa"/>
            <w:tcBorders>
              <w:top w:val="nil"/>
              <w:left w:val="nil"/>
              <w:bottom w:val="nil"/>
              <w:right w:val="nil"/>
            </w:tcBorders>
            <w:vAlign w:val="center"/>
            <w:hideMark/>
          </w:tcPr>
          <w:p w14:paraId="48F427C1"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59A5ED34"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D89D8C7"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3C4E31EB"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05795C" w:rsidRPr="009F4BF2" w14:paraId="5FC3EC0B" w14:textId="77777777">
        <w:trPr>
          <w:trHeight w:val="264"/>
        </w:trPr>
        <w:tc>
          <w:tcPr>
            <w:tcW w:w="4395" w:type="dxa"/>
            <w:tcBorders>
              <w:top w:val="nil"/>
              <w:left w:val="nil"/>
              <w:bottom w:val="nil"/>
              <w:right w:val="nil"/>
            </w:tcBorders>
            <w:noWrap/>
            <w:vAlign w:val="center"/>
            <w:hideMark/>
          </w:tcPr>
          <w:p w14:paraId="41D62174" w14:textId="77777777" w:rsidR="0005795C" w:rsidRPr="009F4BF2" w:rsidRDefault="0005795C">
            <w:pPr>
              <w:spacing w:after="0" w:line="240" w:lineRule="auto"/>
              <w:rPr>
                <w:rFonts w:eastAsia="Times New Roman" w:cs="Arial"/>
                <w:sz w:val="20"/>
                <w:szCs w:val="20"/>
                <w:lang w:eastAsia="en-AU"/>
              </w:rPr>
            </w:pPr>
            <w:r w:rsidRPr="009F4BF2">
              <w:rPr>
                <w:rFonts w:eastAsia="Times New Roman" w:cs="Arial"/>
                <w:sz w:val="20"/>
                <w:szCs w:val="20"/>
                <w:lang w:eastAsia="en-AU"/>
              </w:rPr>
              <w:t>Damien Barnes</w:t>
            </w:r>
          </w:p>
        </w:tc>
        <w:tc>
          <w:tcPr>
            <w:tcW w:w="1120" w:type="dxa"/>
            <w:tcBorders>
              <w:top w:val="nil"/>
              <w:left w:val="nil"/>
              <w:bottom w:val="nil"/>
              <w:right w:val="nil"/>
            </w:tcBorders>
            <w:vAlign w:val="center"/>
            <w:hideMark/>
          </w:tcPr>
          <w:p w14:paraId="4ECE2593"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8</w:t>
            </w:r>
          </w:p>
        </w:tc>
        <w:tc>
          <w:tcPr>
            <w:tcW w:w="1120" w:type="dxa"/>
            <w:tcBorders>
              <w:top w:val="nil"/>
              <w:left w:val="nil"/>
              <w:bottom w:val="nil"/>
              <w:right w:val="nil"/>
            </w:tcBorders>
            <w:vAlign w:val="center"/>
            <w:hideMark/>
          </w:tcPr>
          <w:p w14:paraId="5584485A"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4ED87744"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61644BFC"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05795C" w:rsidRPr="009F4BF2" w14:paraId="0EFC7E9B" w14:textId="77777777">
        <w:trPr>
          <w:trHeight w:val="264"/>
        </w:trPr>
        <w:tc>
          <w:tcPr>
            <w:tcW w:w="4395" w:type="dxa"/>
            <w:tcBorders>
              <w:top w:val="nil"/>
              <w:left w:val="nil"/>
              <w:bottom w:val="nil"/>
              <w:right w:val="nil"/>
            </w:tcBorders>
            <w:noWrap/>
            <w:vAlign w:val="center"/>
            <w:hideMark/>
          </w:tcPr>
          <w:p w14:paraId="7A43589B" w14:textId="77777777"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Joanne Benvenuti</w:t>
            </w:r>
          </w:p>
        </w:tc>
        <w:tc>
          <w:tcPr>
            <w:tcW w:w="1120" w:type="dxa"/>
            <w:tcBorders>
              <w:top w:val="nil"/>
              <w:left w:val="nil"/>
              <w:bottom w:val="nil"/>
              <w:right w:val="nil"/>
            </w:tcBorders>
            <w:vAlign w:val="center"/>
            <w:hideMark/>
          </w:tcPr>
          <w:p w14:paraId="04AB20C2"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9</w:t>
            </w:r>
          </w:p>
        </w:tc>
        <w:tc>
          <w:tcPr>
            <w:tcW w:w="1120" w:type="dxa"/>
            <w:tcBorders>
              <w:top w:val="nil"/>
              <w:left w:val="nil"/>
              <w:bottom w:val="nil"/>
              <w:right w:val="nil"/>
            </w:tcBorders>
            <w:vAlign w:val="center"/>
            <w:hideMark/>
          </w:tcPr>
          <w:p w14:paraId="34145C10"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0C1CA463"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41DB23E2"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r w:rsidR="0005795C" w:rsidRPr="009F4BF2" w14:paraId="5609F7F4" w14:textId="77777777">
        <w:trPr>
          <w:trHeight w:val="264"/>
        </w:trPr>
        <w:tc>
          <w:tcPr>
            <w:tcW w:w="4395" w:type="dxa"/>
            <w:tcBorders>
              <w:top w:val="nil"/>
              <w:left w:val="nil"/>
              <w:bottom w:val="nil"/>
              <w:right w:val="nil"/>
            </w:tcBorders>
            <w:noWrap/>
            <w:vAlign w:val="center"/>
            <w:hideMark/>
          </w:tcPr>
          <w:p w14:paraId="0791AA33" w14:textId="2C5DDC4B"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Sharan Burrow</w:t>
            </w:r>
          </w:p>
        </w:tc>
        <w:tc>
          <w:tcPr>
            <w:tcW w:w="1120" w:type="dxa"/>
            <w:tcBorders>
              <w:top w:val="nil"/>
              <w:left w:val="nil"/>
              <w:bottom w:val="nil"/>
              <w:right w:val="nil"/>
            </w:tcBorders>
            <w:vAlign w:val="center"/>
            <w:hideMark/>
          </w:tcPr>
          <w:p w14:paraId="7A3B083E"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45B828AF"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44FDACA6" w14:textId="2F897CF6" w:rsidR="0005795C" w:rsidRPr="009F4BF2" w:rsidRDefault="00B31B62">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52D5256F"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r>
      <w:tr w:rsidR="0005795C" w:rsidRPr="009F4BF2" w14:paraId="0DFB6798" w14:textId="77777777">
        <w:trPr>
          <w:trHeight w:val="264"/>
        </w:trPr>
        <w:tc>
          <w:tcPr>
            <w:tcW w:w="4395" w:type="dxa"/>
            <w:tcBorders>
              <w:top w:val="nil"/>
              <w:left w:val="nil"/>
              <w:bottom w:val="nil"/>
              <w:right w:val="nil"/>
            </w:tcBorders>
            <w:noWrap/>
            <w:vAlign w:val="center"/>
            <w:hideMark/>
          </w:tcPr>
          <w:p w14:paraId="577A234E" w14:textId="77777777"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Cameron Garnsworthy</w:t>
            </w:r>
          </w:p>
        </w:tc>
        <w:tc>
          <w:tcPr>
            <w:tcW w:w="1120" w:type="dxa"/>
            <w:tcBorders>
              <w:top w:val="nil"/>
              <w:left w:val="nil"/>
              <w:bottom w:val="nil"/>
              <w:right w:val="nil"/>
            </w:tcBorders>
            <w:vAlign w:val="center"/>
            <w:hideMark/>
          </w:tcPr>
          <w:p w14:paraId="03A9551C"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1232CA9F"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7</w:t>
            </w:r>
          </w:p>
        </w:tc>
        <w:tc>
          <w:tcPr>
            <w:tcW w:w="1120" w:type="dxa"/>
            <w:tcBorders>
              <w:top w:val="nil"/>
              <w:left w:val="nil"/>
              <w:bottom w:val="nil"/>
              <w:right w:val="nil"/>
            </w:tcBorders>
            <w:vAlign w:val="center"/>
            <w:hideMark/>
          </w:tcPr>
          <w:p w14:paraId="4193F91F" w14:textId="488BB365" w:rsidR="0005795C" w:rsidRPr="009F4BF2" w:rsidRDefault="00B31B62">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1120" w:type="dxa"/>
            <w:tcBorders>
              <w:top w:val="nil"/>
              <w:left w:val="nil"/>
              <w:bottom w:val="nil"/>
              <w:right w:val="nil"/>
            </w:tcBorders>
            <w:vAlign w:val="center"/>
            <w:hideMark/>
          </w:tcPr>
          <w:p w14:paraId="64C8FF6A"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w:t>
            </w:r>
          </w:p>
        </w:tc>
      </w:tr>
      <w:tr w:rsidR="0005795C" w:rsidRPr="009F4BF2" w14:paraId="3E37B72F" w14:textId="77777777">
        <w:trPr>
          <w:trHeight w:val="264"/>
        </w:trPr>
        <w:tc>
          <w:tcPr>
            <w:tcW w:w="4395" w:type="dxa"/>
            <w:tcBorders>
              <w:top w:val="nil"/>
              <w:left w:val="nil"/>
              <w:bottom w:val="nil"/>
              <w:right w:val="nil"/>
            </w:tcBorders>
            <w:noWrap/>
            <w:vAlign w:val="center"/>
            <w:hideMark/>
          </w:tcPr>
          <w:p w14:paraId="00C1DCC8" w14:textId="77777777" w:rsidR="0005795C" w:rsidRPr="009F4BF2" w:rsidRDefault="0005795C">
            <w:pPr>
              <w:spacing w:after="0" w:line="240" w:lineRule="auto"/>
              <w:rPr>
                <w:rFonts w:eastAsia="Times New Roman" w:cs="Arial"/>
                <w:color w:val="000000"/>
                <w:sz w:val="20"/>
                <w:szCs w:val="20"/>
                <w:lang w:eastAsia="en-AU"/>
              </w:rPr>
            </w:pPr>
            <w:r w:rsidRPr="009F4BF2">
              <w:rPr>
                <w:rFonts w:eastAsia="Times New Roman" w:cs="Arial"/>
                <w:color w:val="000000"/>
                <w:sz w:val="20"/>
                <w:szCs w:val="20"/>
                <w:lang w:eastAsia="en-AU"/>
              </w:rPr>
              <w:t>Anna Skarbek</w:t>
            </w:r>
          </w:p>
        </w:tc>
        <w:tc>
          <w:tcPr>
            <w:tcW w:w="1120" w:type="dxa"/>
            <w:tcBorders>
              <w:top w:val="nil"/>
              <w:left w:val="nil"/>
              <w:bottom w:val="nil"/>
              <w:right w:val="nil"/>
            </w:tcBorders>
            <w:vAlign w:val="center"/>
            <w:hideMark/>
          </w:tcPr>
          <w:p w14:paraId="283F9EBA"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2BB916A5"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10</w:t>
            </w:r>
          </w:p>
        </w:tc>
        <w:tc>
          <w:tcPr>
            <w:tcW w:w="1120" w:type="dxa"/>
            <w:tcBorders>
              <w:top w:val="nil"/>
              <w:left w:val="nil"/>
              <w:bottom w:val="nil"/>
              <w:right w:val="nil"/>
            </w:tcBorders>
            <w:vAlign w:val="center"/>
            <w:hideMark/>
          </w:tcPr>
          <w:p w14:paraId="76A68B72"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c>
          <w:tcPr>
            <w:tcW w:w="1120" w:type="dxa"/>
            <w:tcBorders>
              <w:top w:val="nil"/>
              <w:left w:val="nil"/>
              <w:bottom w:val="nil"/>
              <w:right w:val="nil"/>
            </w:tcBorders>
            <w:vAlign w:val="center"/>
            <w:hideMark/>
          </w:tcPr>
          <w:p w14:paraId="6E409241" w14:textId="77777777" w:rsidR="0005795C" w:rsidRPr="009F4BF2" w:rsidRDefault="0005795C">
            <w:pPr>
              <w:spacing w:after="0" w:line="240" w:lineRule="auto"/>
              <w:jc w:val="center"/>
              <w:rPr>
                <w:rFonts w:eastAsia="Times New Roman" w:cs="Arial"/>
                <w:color w:val="000000"/>
                <w:sz w:val="20"/>
                <w:szCs w:val="20"/>
                <w:lang w:eastAsia="en-AU"/>
              </w:rPr>
            </w:pPr>
            <w:r w:rsidRPr="009F4BF2">
              <w:rPr>
                <w:rFonts w:eastAsia="Times New Roman" w:cs="Arial"/>
                <w:color w:val="000000"/>
                <w:sz w:val="20"/>
                <w:szCs w:val="20"/>
                <w:lang w:eastAsia="en-AU"/>
              </w:rPr>
              <w:t>4</w:t>
            </w:r>
          </w:p>
        </w:tc>
      </w:tr>
    </w:tbl>
    <w:p w14:paraId="7A7B4B61" w14:textId="15F05F5D" w:rsidR="0005795C" w:rsidRDefault="0005795C" w:rsidP="0005795C">
      <w:pPr>
        <w:spacing w:after="0" w:line="240" w:lineRule="auto"/>
        <w:textAlignment w:val="baseline"/>
        <w:rPr>
          <w:rFonts w:eastAsia="Times New Roman" w:cs="Arial"/>
          <w:i/>
          <w:iCs/>
          <w:sz w:val="18"/>
          <w:szCs w:val="18"/>
          <w:lang w:eastAsia="en-AU"/>
        </w:rPr>
      </w:pPr>
      <w:r>
        <w:br/>
      </w:r>
      <w:r w:rsidRPr="00655F6E">
        <w:rPr>
          <w:rFonts w:eastAsia="Times New Roman" w:cs="Arial"/>
          <w:i/>
          <w:iCs/>
          <w:sz w:val="18"/>
          <w:szCs w:val="18"/>
          <w:vertAlign w:val="superscript"/>
          <w:lang w:eastAsia="en-AU"/>
        </w:rPr>
        <w:t>*</w:t>
      </w:r>
      <w:r w:rsidRPr="00655F6E">
        <w:rPr>
          <w:rFonts w:eastAsia="Times New Roman" w:cs="Arial"/>
          <w:i/>
          <w:sz w:val="18"/>
          <w:szCs w:val="18"/>
          <w:vertAlign w:val="superscript"/>
          <w:lang w:eastAsia="en-AU"/>
        </w:rPr>
        <w:t xml:space="preserve"> </w:t>
      </w:r>
      <w:r w:rsidRPr="00655F6E">
        <w:rPr>
          <w:rFonts w:eastAsia="Times New Roman" w:cs="Arial"/>
          <w:i/>
          <w:iCs/>
          <w:sz w:val="18"/>
          <w:szCs w:val="18"/>
          <w:lang w:eastAsia="en-AU"/>
        </w:rPr>
        <w:t>Joycelyn Morton is the Chair of the Audit and Risk Committee.  </w:t>
      </w:r>
    </w:p>
    <w:p w14:paraId="0FE2CE56" w14:textId="77777777" w:rsidR="003D42BA" w:rsidRDefault="003D42BA" w:rsidP="0005795C">
      <w:pPr>
        <w:spacing w:after="0" w:line="240" w:lineRule="auto"/>
        <w:textAlignment w:val="baseline"/>
        <w:rPr>
          <w:rFonts w:eastAsia="Times New Roman" w:cs="Arial"/>
          <w:i/>
          <w:iCs/>
          <w:sz w:val="18"/>
          <w:szCs w:val="18"/>
          <w:lang w:eastAsia="en-AU"/>
        </w:rPr>
      </w:pPr>
    </w:p>
    <w:p w14:paraId="7F720180" w14:textId="77777777" w:rsidR="003D42BA" w:rsidRDefault="003D42BA" w:rsidP="003D42BA">
      <w:pPr>
        <w:spacing w:after="0" w:line="240" w:lineRule="auto"/>
        <w:textAlignment w:val="baseline"/>
      </w:pPr>
      <w:r>
        <w:t xml:space="preserve">In some instances, </w:t>
      </w:r>
      <w:r w:rsidRPr="00235C8C">
        <w:t>Directors attended committee meetings as an observer, rather than a specific committee member. This has been reflected in the table above.</w:t>
      </w:r>
    </w:p>
    <w:p w14:paraId="53B07BBE" w14:textId="77777777" w:rsidR="003D42BA" w:rsidRDefault="003D42BA" w:rsidP="003D42BA">
      <w:pPr>
        <w:spacing w:after="0" w:line="240" w:lineRule="auto"/>
        <w:textAlignment w:val="baseline"/>
      </w:pPr>
      <w:r w:rsidRPr="006A1F00">
        <w:t xml:space="preserve">In addition to the above, three </w:t>
      </w:r>
      <w:r>
        <w:t xml:space="preserve">Board </w:t>
      </w:r>
      <w:r w:rsidRPr="006A1F00">
        <w:t>meetings were convened solely for the purpose of passing a resolution. No other business was conducted at these meetings</w:t>
      </w:r>
      <w:r>
        <w:t>.</w:t>
      </w:r>
    </w:p>
    <w:p w14:paraId="5E365278" w14:textId="348805C2" w:rsidR="003D42BA" w:rsidRPr="00ED6E14" w:rsidRDefault="003D42BA" w:rsidP="003D42BA">
      <w:pPr>
        <w:spacing w:after="0" w:line="240" w:lineRule="auto"/>
        <w:textAlignment w:val="baseline"/>
        <w:rPr>
          <w:rFonts w:ascii="Segoe UI" w:eastAsia="Times New Roman" w:hAnsi="Segoe UI" w:cs="Segoe UI"/>
          <w:sz w:val="18"/>
          <w:szCs w:val="18"/>
          <w:lang w:eastAsia="en-AU"/>
        </w:rPr>
      </w:pPr>
      <w:r w:rsidRPr="0080702F">
        <w:t>In addition to attending formal board and committee meetings, directors also participated in briefings with management to discuss and consider strategic issues.</w:t>
      </w:r>
    </w:p>
    <w:p w14:paraId="6707C91D" w14:textId="77777777" w:rsidR="0005795C" w:rsidRDefault="0005795C" w:rsidP="0005795C">
      <w:pPr>
        <w:pStyle w:val="Heading2"/>
      </w:pPr>
      <w:r>
        <w:t xml:space="preserve">Principal activities </w:t>
      </w:r>
    </w:p>
    <w:p w14:paraId="30BB478F" w14:textId="77777777" w:rsidR="0005795C" w:rsidRDefault="0005795C" w:rsidP="0005795C">
      <w:r w:rsidRPr="00EB2523">
        <w:t>The principal activit</w:t>
      </w:r>
      <w:r>
        <w:t>ies</w:t>
      </w:r>
      <w:r w:rsidRPr="00EB2523">
        <w:t xml:space="preserve"> of the </w:t>
      </w:r>
      <w:r>
        <w:t>Company</w:t>
      </w:r>
      <w:r w:rsidRPr="00EB2523">
        <w:t xml:space="preserve"> during </w:t>
      </w:r>
      <w:r w:rsidRPr="00226AD5">
        <w:t xml:space="preserve">the </w:t>
      </w:r>
      <w:r>
        <w:t>year</w:t>
      </w:r>
      <w:r w:rsidRPr="00EB2523">
        <w:t xml:space="preserve"> </w:t>
      </w:r>
      <w:r w:rsidRPr="00F96FA2">
        <w:t>w</w:t>
      </w:r>
      <w:r>
        <w:t xml:space="preserve">ere the </w:t>
      </w:r>
      <w:r w:rsidRPr="00F96FA2">
        <w:t xml:space="preserve">establishment of </w:t>
      </w:r>
      <w:r>
        <w:t xml:space="preserve">energy market </w:t>
      </w:r>
      <w:r w:rsidRPr="00F96FA2">
        <w:t xml:space="preserve">operations </w:t>
      </w:r>
      <w:r>
        <w:t xml:space="preserve">ready to commence retailing to Victorian government and accept novation of the VRET and Bulgana contracts from 1 July 2025. </w:t>
      </w:r>
    </w:p>
    <w:p w14:paraId="1BB5139D" w14:textId="44301711" w:rsidR="0005795C" w:rsidRPr="00D11907" w:rsidRDefault="0005795C" w:rsidP="0005795C">
      <w:pPr>
        <w:pStyle w:val="Heading2"/>
      </w:pPr>
      <w:bookmarkStart w:id="627" w:name="_Ref207630697"/>
      <w:r>
        <w:t>Financial and operational performance</w:t>
      </w:r>
      <w:bookmarkEnd w:id="627"/>
      <w:r>
        <w:t xml:space="preserve"> </w:t>
      </w:r>
    </w:p>
    <w:p w14:paraId="0CBE3FA3" w14:textId="77777777" w:rsidR="0005795C" w:rsidRDefault="0005795C" w:rsidP="0005795C">
      <w:r w:rsidRPr="00F65403">
        <w:t xml:space="preserve">SEC </w:t>
      </w:r>
      <w:r>
        <w:t>Energy</w:t>
      </w:r>
      <w:r w:rsidRPr="00F65403">
        <w:t xml:space="preserve"> </w:t>
      </w:r>
      <w:r>
        <w:t xml:space="preserve">Pty Ltd </w:t>
      </w:r>
      <w:r w:rsidRPr="00F65403">
        <w:t xml:space="preserve">has been set up to </w:t>
      </w:r>
      <w:r>
        <w:t>operate the Energy Markets business for SEC Group.</w:t>
      </w:r>
      <w:r w:rsidRPr="00A66720">
        <w:t xml:space="preserve"> SEC Energy holds the electricity retail license and Australian Financial Services License and is responsible for participating in wholesale electricity markets and retailing electricity to commercial and industrial customers. SEC Energy enters into offtake agreements with projects invested in by SEC Infrastructure and manages the Group’s overall retail and wholesale energy market position through the purchase and sale of energy market derivatives.</w:t>
      </w:r>
    </w:p>
    <w:p w14:paraId="799BFC45" w14:textId="77777777" w:rsidR="0005795C" w:rsidRDefault="0005795C" w:rsidP="0005795C">
      <w:pPr>
        <w:pStyle w:val="Heading3"/>
      </w:pPr>
      <w:r>
        <w:t>Financial performance</w:t>
      </w:r>
    </w:p>
    <w:p w14:paraId="72E5896E" w14:textId="2EF3D04F" w:rsidR="0005795C" w:rsidRPr="00F65403" w:rsidRDefault="000871EA" w:rsidP="0005795C">
      <w:r>
        <w:t xml:space="preserve">Net </w:t>
      </w:r>
      <w:r w:rsidR="0005795C">
        <w:t>profit after tax attributable to shareholders was $</w:t>
      </w:r>
      <w:r w:rsidR="001D03AA">
        <w:t>2</w:t>
      </w:r>
      <w:r w:rsidR="002E3587">
        <w:t>4.6</w:t>
      </w:r>
      <w:r w:rsidR="001D03AA">
        <w:t xml:space="preserve"> </w:t>
      </w:r>
      <w:r w:rsidR="0005795C">
        <w:t>million, an increase of $</w:t>
      </w:r>
      <w:r w:rsidR="00960527">
        <w:t>1</w:t>
      </w:r>
      <w:r w:rsidR="002E3587">
        <w:t>0.8</w:t>
      </w:r>
      <w:r w:rsidR="0005795C">
        <w:t xml:space="preserve"> million compared to </w:t>
      </w:r>
      <w:r>
        <w:t>net</w:t>
      </w:r>
      <w:r w:rsidR="0005795C">
        <w:t xml:space="preserve"> profit of $13.8 million in the prior period.</w:t>
      </w:r>
    </w:p>
    <w:p w14:paraId="19351799" w14:textId="4430AB8F" w:rsidR="001772B0" w:rsidRDefault="0005795C" w:rsidP="001772B0">
      <w:r w:rsidRPr="00D367DC">
        <w:t xml:space="preserve">The movement in </w:t>
      </w:r>
      <w:r w:rsidR="000871EA">
        <w:t>net profit</w:t>
      </w:r>
      <w:r w:rsidRPr="00D367DC">
        <w:t xml:space="preserve"> reflects </w:t>
      </w:r>
      <w:r w:rsidR="004521A6">
        <w:t>c</w:t>
      </w:r>
      <w:r w:rsidR="001772B0">
        <w:t xml:space="preserve">hanges in the fair value of financial instruments recognised in profit or loss was a gain of $40.8 million, up from a gain of $13.8 million in the prior period. </w:t>
      </w:r>
      <w:r w:rsidR="001F5A97">
        <w:t xml:space="preserve">These financial instruments include </w:t>
      </w:r>
      <w:r w:rsidR="00CD75B7">
        <w:t>new</w:t>
      </w:r>
      <w:r w:rsidR="00F77943">
        <w:t xml:space="preserve"> </w:t>
      </w:r>
      <w:r w:rsidR="00CD6EC5">
        <w:t xml:space="preserve">electricity derivatives </w:t>
      </w:r>
      <w:r w:rsidR="00CD75B7">
        <w:t xml:space="preserve">entered into during the current year </w:t>
      </w:r>
      <w:r w:rsidR="009608FC">
        <w:t xml:space="preserve">to manage </w:t>
      </w:r>
      <w:r w:rsidR="00CD75B7">
        <w:t>the Company’s</w:t>
      </w:r>
      <w:r w:rsidR="009608FC">
        <w:t xml:space="preserve"> market risk exposures aris</w:t>
      </w:r>
      <w:r w:rsidR="00421971">
        <w:t>ing</w:t>
      </w:r>
      <w:r w:rsidR="009608FC">
        <w:t xml:space="preserve"> on 1 July 2025</w:t>
      </w:r>
      <w:r w:rsidR="00252F35">
        <w:t xml:space="preserve">, as well as the </w:t>
      </w:r>
      <w:r w:rsidR="00421971">
        <w:t xml:space="preserve">existing revenue support agreement </w:t>
      </w:r>
      <w:r w:rsidR="00080D1B">
        <w:t>executed as part of the SEC Group’s investment in the Melbourne Renewable Energy Hub.</w:t>
      </w:r>
      <w:r w:rsidR="007922C0">
        <w:t xml:space="preserve"> </w:t>
      </w:r>
      <w:r w:rsidR="001772B0">
        <w:t>The net gain reflects</w:t>
      </w:r>
      <w:r w:rsidR="00F704F1">
        <w:t xml:space="preserve"> </w:t>
      </w:r>
      <w:r w:rsidR="001772B0">
        <w:t>a positive fair value movement in level 3 electricity derivatives due to upward movements in medium to long term energy revenue expectations</w:t>
      </w:r>
      <w:r w:rsidR="00FE2CAF">
        <w:t xml:space="preserve"> (a key valuation input)</w:t>
      </w:r>
      <w:r w:rsidR="007A7437">
        <w:t xml:space="preserve"> since last year end</w:t>
      </w:r>
      <w:r w:rsidR="001772B0">
        <w:t xml:space="preserve">. </w:t>
      </w:r>
    </w:p>
    <w:p w14:paraId="359843A0" w14:textId="3F811DDA" w:rsidR="000E6E26" w:rsidRDefault="0005795C" w:rsidP="000E6E26">
      <w:r w:rsidRPr="00D367DC">
        <w:t xml:space="preserve">From 1 July 2025, SEC Energy commenced its retailing operations, earning revenue from these activities from the 2026 financial year. </w:t>
      </w:r>
    </w:p>
    <w:p w14:paraId="7E948DF9" w14:textId="10CD92E8" w:rsidR="0005795C" w:rsidRPr="00F65403" w:rsidRDefault="000E6E26" w:rsidP="0005795C">
      <w:r>
        <w:t xml:space="preserve">As the Company was only formed in October 2023, the prior period does not represent a full year of activity. </w:t>
      </w:r>
    </w:p>
    <w:p w14:paraId="382DF184" w14:textId="77777777" w:rsidR="0005795C" w:rsidRDefault="0005795C" w:rsidP="0005795C">
      <w:pPr>
        <w:pStyle w:val="Heading3"/>
      </w:pPr>
      <w:r>
        <w:t>Financial position and capital management</w:t>
      </w:r>
    </w:p>
    <w:p w14:paraId="5597286C" w14:textId="3FFA44FE" w:rsidR="0005795C" w:rsidRPr="00F65403" w:rsidRDefault="0005795C" w:rsidP="0005795C">
      <w:r>
        <w:t xml:space="preserve">SEC Energy received $49.9 million of capital contributions from SEC Victoria Pty Ltd, </w:t>
      </w:r>
      <w:r w:rsidR="000E6E26">
        <w:t>its ultimate</w:t>
      </w:r>
      <w:r>
        <w:t xml:space="preserve"> parent, to fund operations in preparation for entering the energy market, including energy derivative trading.</w:t>
      </w:r>
    </w:p>
    <w:p w14:paraId="22F69E6A" w14:textId="77777777" w:rsidR="0005795C" w:rsidRDefault="0005795C" w:rsidP="0005795C">
      <w:pPr>
        <w:pStyle w:val="Heading2"/>
      </w:pPr>
      <w:r>
        <w:t xml:space="preserve">Climate-related risk disclosure statement </w:t>
      </w:r>
    </w:p>
    <w:p w14:paraId="6A28008D" w14:textId="5FF92F67" w:rsidR="0005795C" w:rsidRDefault="0005795C" w:rsidP="0005795C">
      <w:r w:rsidRPr="002A519B">
        <w:t>Management considers that climate change and the associated energy transition has both risks and opportunities for SEC</w:t>
      </w:r>
      <w:r>
        <w:t xml:space="preserve"> Energy</w:t>
      </w:r>
      <w:r w:rsidRPr="002A519B">
        <w:t>. In preparing for the forthcoming mandatory climate-related financial disclosures</w:t>
      </w:r>
      <w:r w:rsidR="00336737">
        <w:t xml:space="preserve"> </w:t>
      </w:r>
      <w:r w:rsidR="00336737" w:rsidRPr="00336737">
        <w:t xml:space="preserve">required under the </w:t>
      </w:r>
      <w:r w:rsidR="00336737" w:rsidRPr="00AA3AC5">
        <w:rPr>
          <w:i/>
          <w:iCs/>
        </w:rPr>
        <w:t>Corporations Act 2001</w:t>
      </w:r>
      <w:r w:rsidR="00336737" w:rsidRPr="00336737">
        <w:t xml:space="preserve"> and Australian Sustainability Reporting Standards</w:t>
      </w:r>
      <w:r w:rsidRPr="002A519B">
        <w:t xml:space="preserve">, appropriate governance arrangements, capability and data requirements are being considered with a view to having a more progressed assessment available for reporting next year. </w:t>
      </w:r>
      <w:r w:rsidR="0057395B" w:rsidRPr="0057395B">
        <w:t>Based on forecast financial information, management expects the mandatory climate-related sustainability reporting requirements to apply to SEC Energy for the first time in the year ending 30 June 2028.</w:t>
      </w:r>
    </w:p>
    <w:p w14:paraId="1BAA1C55" w14:textId="77777777" w:rsidR="0005795C" w:rsidRDefault="0005795C" w:rsidP="0005795C">
      <w:pPr>
        <w:pStyle w:val="Heading2"/>
      </w:pPr>
      <w:r>
        <w:t xml:space="preserve">Events occurring after the Balance Sheet date </w:t>
      </w:r>
    </w:p>
    <w:p w14:paraId="132EBCF2" w14:textId="77777777" w:rsidR="0005795C" w:rsidRPr="00F96FA2" w:rsidRDefault="0005795C" w:rsidP="0005795C">
      <w:pPr>
        <w:pStyle w:val="Heading3"/>
        <w:rPr>
          <w:highlight w:val="yellow"/>
        </w:rPr>
      </w:pPr>
      <w:r>
        <w:t>Retail operations commenced</w:t>
      </w:r>
    </w:p>
    <w:p w14:paraId="14552D48" w14:textId="44A5A1E9" w:rsidR="0005795C" w:rsidRPr="00F96FA2" w:rsidRDefault="0005795C" w:rsidP="0005795C">
      <w:pPr>
        <w:pStyle w:val="Heading3"/>
        <w:rPr>
          <w:highlight w:val="yellow"/>
        </w:rPr>
      </w:pPr>
      <w:r w:rsidRPr="007A2E1A">
        <w:rPr>
          <w:rFonts w:eastAsiaTheme="minorHAnsi" w:cstheme="minorBidi"/>
          <w:b w:val="0"/>
          <w:szCs w:val="22"/>
        </w:rPr>
        <w:t xml:space="preserve">From 1 July 2025, SEC commenced retailing operations to government commercial and industrial sites, servicing around 5% of Victoria’s total energy load. </w:t>
      </w:r>
      <w:r w:rsidR="00B00548" w:rsidRPr="00B00548">
        <w:rPr>
          <w:rFonts w:eastAsiaTheme="minorHAnsi" w:cstheme="minorBidi"/>
          <w:b w:val="0"/>
          <w:szCs w:val="22"/>
        </w:rPr>
        <w:t xml:space="preserve">Effective from the same date, Victorian Renewable Energy Target (VRET) and Bulgana power purchase contracts were novated from the Department of Energy, Environment and Climate Action (DEECA) to SEC Energy to act as a synthetic hedge against the cost of energy for this load, as described below. </w:t>
      </w:r>
      <w:r w:rsidR="00B00548">
        <w:rPr>
          <w:rFonts w:eastAsiaTheme="minorHAnsi" w:cstheme="minorBidi"/>
          <w:b w:val="0"/>
          <w:szCs w:val="22"/>
        </w:rPr>
        <w:br/>
      </w:r>
      <w:r w:rsidR="00B00548">
        <w:rPr>
          <w:rFonts w:eastAsiaTheme="minorHAnsi" w:cstheme="minorBidi"/>
          <w:b w:val="0"/>
          <w:szCs w:val="22"/>
        </w:rPr>
        <w:br/>
      </w:r>
      <w:r>
        <w:t>VRET novation</w:t>
      </w:r>
    </w:p>
    <w:p w14:paraId="22B6D164" w14:textId="1A3258DB" w:rsidR="0005795C" w:rsidRDefault="0005795C" w:rsidP="0005795C">
      <w:r>
        <w:t xml:space="preserve">To support the VRET, DEECA entered contracts to support the construction of renewable energy projects in Victoria. These contracts were entered into between </w:t>
      </w:r>
      <w:r w:rsidR="0057395B">
        <w:t xml:space="preserve">2017 </w:t>
      </w:r>
      <w:r>
        <w:t xml:space="preserve">and 2024 and are contracts for difference for purchase of electricity and LGCs from/to private sector parties.  </w:t>
      </w:r>
    </w:p>
    <w:p w14:paraId="5A8BB694" w14:textId="12F166B1" w:rsidR="0005795C" w:rsidRDefault="0005795C" w:rsidP="0005795C">
      <w:r>
        <w:t xml:space="preserve">Effective from 1 July 2025, the rights and obligations </w:t>
      </w:r>
      <w:r w:rsidRPr="00E14479">
        <w:t xml:space="preserve">under </w:t>
      </w:r>
      <w:r w:rsidRPr="00907CB5">
        <w:t>6</w:t>
      </w:r>
      <w:r w:rsidRPr="00E14479">
        <w:t xml:space="preserve"> VRET</w:t>
      </w:r>
      <w:r w:rsidR="0057395B">
        <w:t xml:space="preserve"> and Bulgana</w:t>
      </w:r>
      <w:r>
        <w:t xml:space="preserve"> contracts transfer from DEECA to SEC Energy.</w:t>
      </w:r>
    </w:p>
    <w:p w14:paraId="4FF22FAF" w14:textId="576E6DDB" w:rsidR="00097C34" w:rsidRDefault="0005795C" w:rsidP="0005795C">
      <w:r>
        <w:t>The</w:t>
      </w:r>
      <w:r w:rsidR="00623040">
        <w:t xml:space="preserve"> $381.1 million</w:t>
      </w:r>
      <w:r>
        <w:t xml:space="preserve"> fair value of the contracts transferred at 1 July 2025 will be</w:t>
      </w:r>
      <w:r w:rsidR="00C8678F">
        <w:t xml:space="preserve"> initially</w:t>
      </w:r>
      <w:r>
        <w:t xml:space="preserve"> recognised </w:t>
      </w:r>
      <w:r w:rsidR="004D522D" w:rsidRPr="004D522D">
        <w:t xml:space="preserve">as a capital contribution from DEECA </w:t>
      </w:r>
      <w:r w:rsidR="00C8678F">
        <w:t>and a</w:t>
      </w:r>
      <w:r w:rsidR="004D522D" w:rsidRPr="004D522D">
        <w:t xml:space="preserve"> corresponding other financial asset in the statement of financial position.</w:t>
      </w:r>
    </w:p>
    <w:p w14:paraId="71479BCF" w14:textId="13A8579C" w:rsidR="0005795C" w:rsidRDefault="0005795C" w:rsidP="0005795C">
      <w:r>
        <w:t>Subsequent changes in fair value</w:t>
      </w:r>
      <w:r w:rsidR="00F40EC6" w:rsidRPr="00F40EC6">
        <w:t xml:space="preserve">, using SEC’s valuation techniques, inputs and assumptions, </w:t>
      </w:r>
      <w:r>
        <w:t>will be recognised through profit and loss.</w:t>
      </w:r>
    </w:p>
    <w:p w14:paraId="224D5206" w14:textId="6D32E311" w:rsidR="0005795C" w:rsidRDefault="0005795C" w:rsidP="0005795C">
      <w:r w:rsidRPr="002A519B">
        <w:t>There is no other circumstance that has arisen since 30 June 202</w:t>
      </w:r>
      <w:r>
        <w:t>5</w:t>
      </w:r>
      <w:r w:rsidRPr="002A519B">
        <w:t xml:space="preserve"> that has significantly affected or may significantly affect in future years: </w:t>
      </w:r>
    </w:p>
    <w:p w14:paraId="0B5062C3" w14:textId="77777777" w:rsidR="0005795C" w:rsidRDefault="0005795C" w:rsidP="00AA3AC5">
      <w:pPr>
        <w:pStyle w:val="ListParagraph"/>
        <w:numPr>
          <w:ilvl w:val="0"/>
          <w:numId w:val="149"/>
        </w:numPr>
        <w:ind w:left="567"/>
      </w:pPr>
      <w:r w:rsidRPr="002A519B">
        <w:t xml:space="preserve">the </w:t>
      </w:r>
      <w:r>
        <w:t>Company’s</w:t>
      </w:r>
      <w:r w:rsidRPr="002A519B">
        <w:t xml:space="preserve"> operations </w:t>
      </w:r>
    </w:p>
    <w:p w14:paraId="25E97742" w14:textId="77777777" w:rsidR="0005795C" w:rsidRDefault="0005795C" w:rsidP="00AA3AC5">
      <w:pPr>
        <w:pStyle w:val="ListParagraph"/>
        <w:numPr>
          <w:ilvl w:val="0"/>
          <w:numId w:val="149"/>
        </w:numPr>
        <w:ind w:left="567"/>
      </w:pPr>
      <w:r w:rsidRPr="002A519B">
        <w:t>the results of those operations</w:t>
      </w:r>
      <w:r>
        <w:t>, or</w:t>
      </w:r>
      <w:r w:rsidRPr="002A519B">
        <w:t xml:space="preserve"> </w:t>
      </w:r>
    </w:p>
    <w:p w14:paraId="0890DD19" w14:textId="77777777" w:rsidR="0005795C" w:rsidRDefault="0005795C" w:rsidP="00AA3AC5">
      <w:pPr>
        <w:pStyle w:val="ListParagraph"/>
        <w:numPr>
          <w:ilvl w:val="0"/>
          <w:numId w:val="149"/>
        </w:numPr>
        <w:ind w:left="567"/>
      </w:pPr>
      <w:r w:rsidRPr="002A519B">
        <w:t xml:space="preserve">the state of affairs of the </w:t>
      </w:r>
      <w:r>
        <w:t>Company</w:t>
      </w:r>
      <w:r w:rsidRPr="002A519B">
        <w:t>.</w:t>
      </w:r>
    </w:p>
    <w:p w14:paraId="387EAB73" w14:textId="77777777" w:rsidR="0005795C" w:rsidRPr="00E25323" w:rsidRDefault="0005795C" w:rsidP="0005795C">
      <w:pPr>
        <w:pStyle w:val="Heading2"/>
      </w:pPr>
      <w:r>
        <w:t xml:space="preserve">Dividends </w:t>
      </w:r>
    </w:p>
    <w:p w14:paraId="5F5C74A8" w14:textId="58800074" w:rsidR="0005795C" w:rsidRPr="00F96FA2" w:rsidRDefault="0096118B" w:rsidP="0005795C">
      <w:r>
        <w:t>T</w:t>
      </w:r>
      <w:r w:rsidR="0005795C">
        <w:t xml:space="preserve">he directors have neither declared nor recommended a dividend, and no dividend has been paid for the reporting period ended 30 June 2025. </w:t>
      </w:r>
    </w:p>
    <w:p w14:paraId="78F441F2" w14:textId="77777777" w:rsidR="0005795C" w:rsidRDefault="0005795C" w:rsidP="0005795C">
      <w:pPr>
        <w:pStyle w:val="Heading2"/>
      </w:pPr>
      <w:r>
        <w:t xml:space="preserve">Impact of legislation and other external requirements </w:t>
      </w:r>
    </w:p>
    <w:p w14:paraId="4D92D6DA" w14:textId="0BEFCA8A" w:rsidR="0005795C" w:rsidRDefault="0005795C" w:rsidP="0005795C">
      <w:r w:rsidRPr="00536BBE">
        <w:t xml:space="preserve">In addition to the </w:t>
      </w:r>
      <w:r w:rsidRPr="00303057">
        <w:rPr>
          <w:i/>
          <w:iCs/>
        </w:rPr>
        <w:t>Corporations Act 2001</w:t>
      </w:r>
      <w:r w:rsidRPr="00536BBE">
        <w:t xml:space="preserve">, the </w:t>
      </w:r>
      <w:r>
        <w:t>Company</w:t>
      </w:r>
      <w:r w:rsidRPr="00536BBE">
        <w:t xml:space="preserve"> is required to comply with additional legislation, detailed from page </w:t>
      </w:r>
      <w:r>
        <w:fldChar w:fldCharType="begin"/>
      </w:r>
      <w:r>
        <w:instrText xml:space="preserve"> REF _Ref207621191 \h </w:instrText>
      </w:r>
      <w:r>
        <w:fldChar w:fldCharType="separate"/>
      </w:r>
      <w:r w:rsidR="00BC7653">
        <w:t>Corporate compliance</w:t>
      </w:r>
      <w:r>
        <w:fldChar w:fldCharType="end"/>
      </w:r>
      <w:r>
        <w:fldChar w:fldCharType="begin"/>
      </w:r>
      <w:r>
        <w:instrText xml:space="preserve"> PAGEREF _Ref207621201 \h </w:instrText>
      </w:r>
      <w:r>
        <w:fldChar w:fldCharType="separate"/>
      </w:r>
      <w:r w:rsidR="00BC7653">
        <w:rPr>
          <w:noProof/>
        </w:rPr>
        <w:t>170</w:t>
      </w:r>
      <w:r>
        <w:fldChar w:fldCharType="end"/>
      </w:r>
      <w:r>
        <w:t xml:space="preserve"> </w:t>
      </w:r>
      <w:r w:rsidRPr="00536BBE">
        <w:t>(corporate compliance section). This legislative framework reflects SEC</w:t>
      </w:r>
      <w:r>
        <w:t xml:space="preserve"> Energy</w:t>
      </w:r>
      <w:r w:rsidRPr="00536BBE">
        <w:t xml:space="preserve">’s status as a state-owned entity of Victoria. </w:t>
      </w:r>
    </w:p>
    <w:p w14:paraId="15493F71" w14:textId="77777777" w:rsidR="0005795C" w:rsidRDefault="0005795C" w:rsidP="0005795C">
      <w:pPr>
        <w:pStyle w:val="Heading2"/>
      </w:pPr>
      <w:r>
        <w:t xml:space="preserve">Directors’ interests </w:t>
      </w:r>
    </w:p>
    <w:p w14:paraId="36138826" w14:textId="64C36801" w:rsidR="0005795C" w:rsidRDefault="0005795C" w:rsidP="0005795C">
      <w:r w:rsidRPr="00536BBE">
        <w:t xml:space="preserve">No director holds an interest in any shares in SEC </w:t>
      </w:r>
      <w:r>
        <w:t>Energy</w:t>
      </w:r>
      <w:r w:rsidR="00B32A21">
        <w:t xml:space="preserve"> Pty Ltd</w:t>
      </w:r>
      <w:r w:rsidRPr="00536BBE">
        <w:t xml:space="preserve">. </w:t>
      </w:r>
      <w:r>
        <w:t>The Company’s sole shareholder is SEC Victoria Pty Ltd whose b</w:t>
      </w:r>
      <w:r w:rsidRPr="00536BBE">
        <w:t xml:space="preserve">eneficial shareholders are the Premier and Treasurer of the State of Victoria. </w:t>
      </w:r>
    </w:p>
    <w:p w14:paraId="265AF931" w14:textId="77777777" w:rsidR="0005795C" w:rsidRDefault="0005795C" w:rsidP="0005795C">
      <w:pPr>
        <w:pStyle w:val="Heading2"/>
      </w:pPr>
      <w:r>
        <w:t xml:space="preserve">Indemnification and insurance of officers and auditors </w:t>
      </w:r>
    </w:p>
    <w:p w14:paraId="0B16890C" w14:textId="77777777" w:rsidR="0005795C" w:rsidRDefault="0005795C" w:rsidP="0005795C">
      <w:r w:rsidRPr="00536BBE">
        <w:t xml:space="preserve">The Company has not, during or since the reporting period, except to the extent permitted by law, indemnified or agreed to indemnify any current or former officer or auditor of SEC </w:t>
      </w:r>
      <w:r>
        <w:t>Energy</w:t>
      </w:r>
      <w:r w:rsidRPr="00536BBE">
        <w:t xml:space="preserve"> against a liability incurred. </w:t>
      </w:r>
    </w:p>
    <w:p w14:paraId="7A944655" w14:textId="77777777" w:rsidR="0005795C" w:rsidRDefault="0005795C" w:rsidP="0005795C">
      <w:pPr>
        <w:pStyle w:val="Heading2"/>
      </w:pPr>
      <w:r>
        <w:t xml:space="preserve">Non-audit services </w:t>
      </w:r>
    </w:p>
    <w:p w14:paraId="255B14D4" w14:textId="77777777" w:rsidR="0005795C" w:rsidRDefault="0005795C" w:rsidP="0005795C">
      <w:r w:rsidRPr="00536BBE">
        <w:t xml:space="preserve">The Victorian Auditor-General’s Office has not performed any services for the Company other than the audit of the annual financial report. </w:t>
      </w:r>
    </w:p>
    <w:p w14:paraId="323ADCDD" w14:textId="77777777" w:rsidR="0005795C" w:rsidRDefault="0005795C" w:rsidP="0005795C">
      <w:pPr>
        <w:pStyle w:val="Heading2"/>
      </w:pPr>
      <w:r>
        <w:t xml:space="preserve">Proceedings on behalf of the Company </w:t>
      </w:r>
    </w:p>
    <w:p w14:paraId="1737C794" w14:textId="77777777" w:rsidR="0005795C" w:rsidRDefault="0005795C" w:rsidP="0005795C">
      <w:r w:rsidRPr="00536BBE">
        <w:t xml:space="preserve">No person has applied to the Court under Section 237 of the </w:t>
      </w:r>
      <w:r w:rsidRPr="00303057">
        <w:rPr>
          <w:i/>
          <w:iCs/>
        </w:rPr>
        <w:t>Corporations Act 2001</w:t>
      </w:r>
      <w:r w:rsidRPr="00536BBE">
        <w:t xml:space="preserve"> for leave to bring proceedings on behalf of the Company, or to intervene in any proceedings to which the Company is a party, for the purpose of taking responsibility on behalf of the Company for all or part of those proceedings. </w:t>
      </w:r>
    </w:p>
    <w:p w14:paraId="51F04292" w14:textId="77777777" w:rsidR="0005795C" w:rsidRDefault="0005795C" w:rsidP="0005795C">
      <w:pPr>
        <w:pStyle w:val="Heading2"/>
      </w:pPr>
      <w:bookmarkStart w:id="628" w:name="_Ref207621234"/>
      <w:r>
        <w:t>Auditor’s independence declaration</w:t>
      </w:r>
      <w:bookmarkEnd w:id="628"/>
      <w:r>
        <w:t xml:space="preserve"> </w:t>
      </w:r>
    </w:p>
    <w:p w14:paraId="0936B1A9" w14:textId="0ADDC925" w:rsidR="0005795C" w:rsidRDefault="0005795C" w:rsidP="0005795C">
      <w:r w:rsidRPr="00536BBE">
        <w:t>The auditor’s independence declaration i</w:t>
      </w:r>
      <w:r w:rsidRPr="0053602E">
        <w:t xml:space="preserve">s set out in page </w:t>
      </w:r>
      <w:r>
        <w:fldChar w:fldCharType="begin"/>
      </w:r>
      <w:r>
        <w:instrText xml:space="preserve"> PAGEREF _Ref207621234 \h </w:instrText>
      </w:r>
      <w:r>
        <w:fldChar w:fldCharType="separate"/>
      </w:r>
      <w:r w:rsidR="00BC7653">
        <w:rPr>
          <w:noProof/>
        </w:rPr>
        <w:t>144</w:t>
      </w:r>
      <w:r>
        <w:fldChar w:fldCharType="end"/>
      </w:r>
      <w:r w:rsidRPr="0053602E">
        <w:t xml:space="preserve"> of this report</w:t>
      </w:r>
      <w:r w:rsidRPr="00536BBE">
        <w:t xml:space="preserve"> and forms part of the financial report for the reporting period. </w:t>
      </w:r>
    </w:p>
    <w:p w14:paraId="124A52F9" w14:textId="77777777" w:rsidR="0005795C" w:rsidRDefault="0005795C" w:rsidP="0005795C">
      <w:pPr>
        <w:pStyle w:val="Heading2"/>
      </w:pPr>
      <w:r>
        <w:t xml:space="preserve">Rounding of amounts </w:t>
      </w:r>
    </w:p>
    <w:p w14:paraId="485DE53C" w14:textId="77777777" w:rsidR="0005795C" w:rsidRDefault="0005795C" w:rsidP="0005795C">
      <w:r w:rsidRPr="00536BBE">
        <w:t xml:space="preserve">In accordance with Financial Reporting Direction 30, relating to the ‘rounding off’ of amounts in the financial statements. Amounts in the directors’ report and financial statements have been rounded off in accordance with the instrument to the nearest thousand dollars, or in certain cases, to the nearest dollar. </w:t>
      </w:r>
    </w:p>
    <w:p w14:paraId="55301346" w14:textId="77777777" w:rsidR="0005795C" w:rsidRDefault="0005795C" w:rsidP="0005795C">
      <w:r w:rsidRPr="00536BBE">
        <w:t>This Directors’ Report is made in accordance with a resolution of the directors.</w:t>
      </w:r>
    </w:p>
    <w:p w14:paraId="30605486" w14:textId="77777777" w:rsidR="0005795C" w:rsidRDefault="0005795C" w:rsidP="0005795C"/>
    <w:p w14:paraId="7A976853" w14:textId="77777777" w:rsidR="0005795C" w:rsidRDefault="0005795C" w:rsidP="0005795C"/>
    <w:p w14:paraId="1D8A3B94" w14:textId="77777777" w:rsidR="0005795C" w:rsidRDefault="0005795C" w:rsidP="0005795C">
      <w:r w:rsidRPr="00CF6E15">
        <w:t>Simon Corbell</w:t>
      </w:r>
    </w:p>
    <w:p w14:paraId="5B1C6751" w14:textId="77777777" w:rsidR="0005795C" w:rsidRDefault="0005795C" w:rsidP="0005795C">
      <w:r>
        <w:t xml:space="preserve">Board </w:t>
      </w:r>
      <w:r w:rsidRPr="00CF6E15">
        <w:t xml:space="preserve">Chair, SEC </w:t>
      </w:r>
    </w:p>
    <w:p w14:paraId="6BB4845C" w14:textId="6582868B" w:rsidR="0005795C" w:rsidRDefault="00DD5FBE" w:rsidP="0005795C">
      <w:r w:rsidRPr="00AA3AC5">
        <w:t xml:space="preserve">6 </w:t>
      </w:r>
      <w:r w:rsidR="0005795C" w:rsidRPr="00AA3AC5">
        <w:t>October 2025</w:t>
      </w:r>
      <w:r w:rsidR="0005795C">
        <w:br w:type="page"/>
      </w:r>
    </w:p>
    <w:p w14:paraId="0746B9E2" w14:textId="77777777" w:rsidR="0005795C" w:rsidRPr="004246CD" w:rsidRDefault="0005795C" w:rsidP="00B254AC">
      <w:pPr>
        <w:pStyle w:val="Heading1"/>
      </w:pPr>
      <w:bookmarkStart w:id="629" w:name="_Toc208418062"/>
      <w:bookmarkStart w:id="630" w:name="_Toc209080426"/>
      <w:bookmarkStart w:id="631" w:name="_Toc209703996"/>
      <w:bookmarkStart w:id="632" w:name="_Toc209704049"/>
      <w:bookmarkStart w:id="633" w:name="_Toc209704102"/>
      <w:r w:rsidRPr="004246CD">
        <w:t>Auditors’ Independence declaration</w:t>
      </w:r>
      <w:bookmarkEnd w:id="629"/>
      <w:bookmarkEnd w:id="630"/>
      <w:bookmarkEnd w:id="631"/>
      <w:bookmarkEnd w:id="632"/>
      <w:bookmarkEnd w:id="633"/>
    </w:p>
    <w:p w14:paraId="3F55BB57" w14:textId="612D3A6F" w:rsidR="0005795C" w:rsidRPr="00F65403" w:rsidRDefault="006734AE" w:rsidP="00AA3AC5">
      <w:pPr>
        <w:pStyle w:val="BodyText"/>
        <w:spacing w:before="154"/>
        <w:rPr>
          <w:color w:val="39004E"/>
          <w:w w:val="105"/>
          <w:lang w:val="en-AU"/>
        </w:rPr>
      </w:pPr>
      <w:r w:rsidRPr="006734AE">
        <w:rPr>
          <w:noProof/>
          <w:color w:val="39004E"/>
          <w:w w:val="105"/>
          <w:lang w:val="en-AU"/>
        </w:rPr>
        <w:drawing>
          <wp:inline distT="0" distB="0" distL="0" distR="0" wp14:anchorId="1F279D9A" wp14:editId="19BD6E25">
            <wp:extent cx="5656881" cy="8290504"/>
            <wp:effectExtent l="0" t="0" r="1270" b="0"/>
            <wp:docPr id="180471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14869" name=""/>
                    <pic:cNvPicPr/>
                  </pic:nvPicPr>
                  <pic:blipFill>
                    <a:blip r:embed="rId21"/>
                    <a:stretch>
                      <a:fillRect/>
                    </a:stretch>
                  </pic:blipFill>
                  <pic:spPr>
                    <a:xfrm>
                      <a:off x="0" y="0"/>
                      <a:ext cx="5661654" cy="8297498"/>
                    </a:xfrm>
                    <a:prstGeom prst="rect">
                      <a:avLst/>
                    </a:prstGeom>
                  </pic:spPr>
                </pic:pic>
              </a:graphicData>
            </a:graphic>
          </wp:inline>
        </w:drawing>
      </w:r>
    </w:p>
    <w:p w14:paraId="4342BE13" w14:textId="61059182" w:rsidR="0005795C" w:rsidRDefault="0005795C" w:rsidP="0005795C">
      <w:pPr>
        <w:rPr>
          <w:sz w:val="32"/>
          <w:szCs w:val="32"/>
        </w:rPr>
      </w:pPr>
    </w:p>
    <w:p w14:paraId="7282C82D" w14:textId="77777777" w:rsidR="0005795C" w:rsidRPr="004246CD" w:rsidRDefault="0005795C" w:rsidP="00B254AC">
      <w:pPr>
        <w:pStyle w:val="Heading1"/>
      </w:pPr>
      <w:bookmarkStart w:id="634" w:name="_Toc208418063"/>
      <w:bookmarkStart w:id="635" w:name="_Toc209080427"/>
      <w:bookmarkStart w:id="636" w:name="_Toc209703997"/>
      <w:bookmarkStart w:id="637" w:name="_Toc209704050"/>
      <w:bookmarkStart w:id="638" w:name="_Toc209704103"/>
      <w:r w:rsidRPr="004246CD">
        <w:t>Audit report</w:t>
      </w:r>
      <w:bookmarkEnd w:id="634"/>
      <w:bookmarkEnd w:id="635"/>
      <w:bookmarkEnd w:id="636"/>
      <w:bookmarkEnd w:id="637"/>
      <w:bookmarkEnd w:id="638"/>
    </w:p>
    <w:p w14:paraId="1E46480E" w14:textId="323FD9D4" w:rsidR="0005795C" w:rsidRDefault="007016B1" w:rsidP="0005795C">
      <w:pPr>
        <w:rPr>
          <w:sz w:val="32"/>
          <w:szCs w:val="32"/>
        </w:rPr>
      </w:pPr>
      <w:r w:rsidRPr="007016B1">
        <w:rPr>
          <w:noProof/>
          <w:sz w:val="32"/>
          <w:szCs w:val="32"/>
        </w:rPr>
        <w:drawing>
          <wp:inline distT="0" distB="0" distL="0" distR="0" wp14:anchorId="56945E20" wp14:editId="759E4FC8">
            <wp:extent cx="5447654" cy="7973699"/>
            <wp:effectExtent l="0" t="0" r="1270" b="8255"/>
            <wp:docPr id="9694849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84983" name="Picture 1" descr="A screenshot of a document&#10;&#10;AI-generated content may be incorrect."/>
                    <pic:cNvPicPr/>
                  </pic:nvPicPr>
                  <pic:blipFill>
                    <a:blip r:embed="rId22"/>
                    <a:stretch>
                      <a:fillRect/>
                    </a:stretch>
                  </pic:blipFill>
                  <pic:spPr>
                    <a:xfrm>
                      <a:off x="0" y="0"/>
                      <a:ext cx="5457446" cy="7988032"/>
                    </a:xfrm>
                    <a:prstGeom prst="rect">
                      <a:avLst/>
                    </a:prstGeom>
                  </pic:spPr>
                </pic:pic>
              </a:graphicData>
            </a:graphic>
          </wp:inline>
        </w:drawing>
      </w:r>
      <w:r w:rsidR="0005795C">
        <w:rPr>
          <w:sz w:val="32"/>
          <w:szCs w:val="32"/>
        </w:rPr>
        <w:br w:type="page"/>
      </w:r>
    </w:p>
    <w:p w14:paraId="518EE1D4" w14:textId="43E2DCEE" w:rsidR="0005795C" w:rsidRDefault="00F02BB5" w:rsidP="00AA3AC5">
      <w:pPr>
        <w:spacing w:before="154"/>
        <w:rPr>
          <w:sz w:val="32"/>
          <w:szCs w:val="32"/>
        </w:rPr>
      </w:pPr>
      <w:r w:rsidRPr="00F02BB5">
        <w:rPr>
          <w:noProof/>
        </w:rPr>
        <w:drawing>
          <wp:inline distT="0" distB="0" distL="0" distR="0" wp14:anchorId="21E27250" wp14:editId="0A20C9AD">
            <wp:extent cx="5587139" cy="7688527"/>
            <wp:effectExtent l="0" t="0" r="0" b="8255"/>
            <wp:docPr id="796195923"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95923" name="Picture 1" descr="A document with a signature&#10;&#10;AI-generated content may be incorrect."/>
                    <pic:cNvPicPr/>
                  </pic:nvPicPr>
                  <pic:blipFill>
                    <a:blip r:embed="rId23"/>
                    <a:stretch>
                      <a:fillRect/>
                    </a:stretch>
                  </pic:blipFill>
                  <pic:spPr>
                    <a:xfrm>
                      <a:off x="0" y="0"/>
                      <a:ext cx="5596642" cy="7701604"/>
                    </a:xfrm>
                    <a:prstGeom prst="rect">
                      <a:avLst/>
                    </a:prstGeom>
                  </pic:spPr>
                </pic:pic>
              </a:graphicData>
            </a:graphic>
          </wp:inline>
        </w:drawing>
      </w:r>
      <w:r w:rsidR="0005795C" w:rsidRPr="49BCD735">
        <w:rPr>
          <w:sz w:val="32"/>
          <w:szCs w:val="32"/>
        </w:rPr>
        <w:br w:type="page"/>
      </w:r>
    </w:p>
    <w:p w14:paraId="717A5BA1" w14:textId="1F50F3CA" w:rsidR="0005795C" w:rsidRPr="00F96FA2" w:rsidRDefault="0005795C" w:rsidP="00B254AC">
      <w:pPr>
        <w:pStyle w:val="Heading1"/>
      </w:pPr>
      <w:bookmarkStart w:id="639" w:name="_Toc208418064"/>
      <w:bookmarkStart w:id="640" w:name="_Toc209080428"/>
      <w:bookmarkStart w:id="641" w:name="_Toc209703998"/>
      <w:bookmarkStart w:id="642" w:name="_Toc209704051"/>
      <w:bookmarkStart w:id="643" w:name="_Toc209704104"/>
      <w:r>
        <w:t>S</w:t>
      </w:r>
      <w:r w:rsidRPr="00F96FA2">
        <w:t xml:space="preserve">tatement of profit or loss and </w:t>
      </w:r>
      <w:r>
        <w:t xml:space="preserve">other </w:t>
      </w:r>
      <w:r w:rsidRPr="00F96FA2">
        <w:t>comprehensive income</w:t>
      </w:r>
      <w:bookmarkEnd w:id="639"/>
      <w:bookmarkEnd w:id="640"/>
      <w:r w:rsidRPr="00F96FA2">
        <w:t> </w:t>
      </w:r>
      <w:bookmarkEnd w:id="641"/>
      <w:bookmarkEnd w:id="642"/>
      <w:bookmarkEnd w:id="643"/>
    </w:p>
    <w:p w14:paraId="7E1A129D" w14:textId="77777777" w:rsidR="0005795C" w:rsidRDefault="0005795C" w:rsidP="0005795C">
      <w:pPr>
        <w:pStyle w:val="Heading3"/>
      </w:pPr>
      <w:r w:rsidRPr="00F65403">
        <w:t>For the year ended 30 June 202</w:t>
      </w:r>
      <w:r w:rsidRPr="00F96FA2">
        <w:t>5</w:t>
      </w:r>
    </w:p>
    <w:p w14:paraId="49491D3A" w14:textId="77777777" w:rsidR="0005795C" w:rsidRDefault="0005795C" w:rsidP="0005795C"/>
    <w:tbl>
      <w:tblPr>
        <w:tblW w:w="8742" w:type="dxa"/>
        <w:tblLook w:val="04A0" w:firstRow="1" w:lastRow="0" w:firstColumn="1" w:lastColumn="0" w:noHBand="0" w:noVBand="1"/>
      </w:tblPr>
      <w:tblGrid>
        <w:gridCol w:w="4962"/>
        <w:gridCol w:w="992"/>
        <w:gridCol w:w="1276"/>
        <w:gridCol w:w="1276"/>
        <w:gridCol w:w="236"/>
      </w:tblGrid>
      <w:tr w:rsidR="0005795C" w:rsidRPr="00401476" w14:paraId="59AA5EE0" w14:textId="77777777" w:rsidTr="413EB596">
        <w:trPr>
          <w:gridAfter w:val="1"/>
          <w:wAfter w:w="236" w:type="dxa"/>
          <w:trHeight w:val="825"/>
        </w:trPr>
        <w:tc>
          <w:tcPr>
            <w:tcW w:w="4962" w:type="dxa"/>
            <w:tcBorders>
              <w:top w:val="nil"/>
              <w:left w:val="nil"/>
              <w:bottom w:val="nil"/>
              <w:right w:val="nil"/>
            </w:tcBorders>
            <w:noWrap/>
            <w:vAlign w:val="bottom"/>
            <w:hideMark/>
          </w:tcPr>
          <w:p w14:paraId="14F30E38" w14:textId="77777777" w:rsidR="0005795C" w:rsidRPr="00401476" w:rsidRDefault="0005795C">
            <w:pPr>
              <w:spacing w:after="0" w:line="240" w:lineRule="auto"/>
              <w:rPr>
                <w:rFonts w:ascii="Times New Roman" w:eastAsia="Times New Roman" w:hAnsi="Times New Roman" w:cs="Times New Roman"/>
                <w:sz w:val="20"/>
                <w:szCs w:val="24"/>
                <w:lang w:eastAsia="en-AU"/>
              </w:rPr>
            </w:pPr>
          </w:p>
        </w:tc>
        <w:tc>
          <w:tcPr>
            <w:tcW w:w="992" w:type="dxa"/>
            <w:tcBorders>
              <w:top w:val="nil"/>
              <w:left w:val="nil"/>
              <w:bottom w:val="nil"/>
              <w:right w:val="nil"/>
            </w:tcBorders>
            <w:noWrap/>
            <w:vAlign w:val="bottom"/>
            <w:hideMark/>
          </w:tcPr>
          <w:p w14:paraId="4B752D25" w14:textId="77777777" w:rsidR="0005795C" w:rsidRPr="00401476" w:rsidRDefault="0005795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bottom"/>
            <w:hideMark/>
          </w:tcPr>
          <w:p w14:paraId="6951C41F" w14:textId="77777777" w:rsidR="0005795C" w:rsidRPr="00401476" w:rsidRDefault="0005795C">
            <w:pPr>
              <w:spacing w:after="0" w:line="240" w:lineRule="auto"/>
              <w:jc w:val="center"/>
              <w:rPr>
                <w:rFonts w:eastAsia="Times New Roman" w:cs="Arial"/>
                <w:b/>
                <w:bCs/>
                <w:color w:val="000000"/>
                <w:sz w:val="20"/>
                <w:szCs w:val="20"/>
                <w:lang w:eastAsia="en-AU"/>
              </w:rPr>
            </w:pPr>
            <w:r w:rsidRPr="00401476">
              <w:rPr>
                <w:rFonts w:eastAsia="Times New Roman" w:cs="Arial"/>
                <w:b/>
                <w:bCs/>
                <w:color w:val="000000"/>
                <w:sz w:val="20"/>
                <w:szCs w:val="20"/>
                <w:lang w:eastAsia="en-AU"/>
              </w:rPr>
              <w:t>Year</w:t>
            </w:r>
            <w:r>
              <w:rPr>
                <w:rFonts w:eastAsia="Times New Roman" w:cs="Arial"/>
                <w:b/>
                <w:bCs/>
                <w:color w:val="000000"/>
                <w:sz w:val="20"/>
                <w:szCs w:val="20"/>
                <w:lang w:eastAsia="en-AU"/>
              </w:rPr>
              <w:t xml:space="preserve"> e</w:t>
            </w:r>
            <w:r w:rsidRPr="00401476">
              <w:rPr>
                <w:rFonts w:eastAsia="Times New Roman" w:cs="Arial"/>
                <w:b/>
                <w:bCs/>
                <w:color w:val="000000"/>
                <w:sz w:val="20"/>
                <w:szCs w:val="20"/>
                <w:lang w:eastAsia="en-AU"/>
              </w:rPr>
              <w:t>nded</w:t>
            </w:r>
            <w:r>
              <w:rPr>
                <w:rFonts w:eastAsia="Times New Roman" w:cs="Arial"/>
                <w:b/>
                <w:bCs/>
                <w:color w:val="000000"/>
                <w:sz w:val="20"/>
                <w:szCs w:val="20"/>
                <w:lang w:eastAsia="en-AU"/>
              </w:rPr>
              <w:t xml:space="preserve"> </w:t>
            </w:r>
            <w:r w:rsidRPr="00401476">
              <w:rPr>
                <w:rFonts w:eastAsia="Times New Roman" w:cs="Arial"/>
                <w:b/>
                <w:bCs/>
                <w:color w:val="000000"/>
                <w:sz w:val="20"/>
                <w:szCs w:val="20"/>
                <w:lang w:eastAsia="en-AU"/>
              </w:rPr>
              <w:t>30 June 2025</w:t>
            </w:r>
          </w:p>
        </w:tc>
        <w:tc>
          <w:tcPr>
            <w:tcW w:w="1276" w:type="dxa"/>
            <w:tcBorders>
              <w:top w:val="nil"/>
              <w:left w:val="nil"/>
              <w:bottom w:val="nil"/>
              <w:right w:val="nil"/>
            </w:tcBorders>
            <w:vAlign w:val="bottom"/>
            <w:hideMark/>
          </w:tcPr>
          <w:p w14:paraId="00DDD7BF" w14:textId="55AF98EE" w:rsidR="0005795C" w:rsidRPr="00401476" w:rsidRDefault="008C4543">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26 October</w:t>
            </w:r>
            <w:r w:rsidR="0005795C" w:rsidRPr="00401476">
              <w:rPr>
                <w:rFonts w:eastAsia="Times New Roman" w:cs="Arial"/>
                <w:b/>
                <w:bCs/>
                <w:color w:val="000000"/>
                <w:sz w:val="20"/>
                <w:szCs w:val="20"/>
                <w:lang w:eastAsia="en-AU"/>
              </w:rPr>
              <w:t xml:space="preserve"> 2023 to 30 June 24</w:t>
            </w:r>
          </w:p>
        </w:tc>
      </w:tr>
      <w:tr w:rsidR="0005795C" w:rsidRPr="00401476" w14:paraId="174C741F" w14:textId="77777777" w:rsidTr="413EB596">
        <w:trPr>
          <w:gridAfter w:val="1"/>
          <w:wAfter w:w="236" w:type="dxa"/>
          <w:trHeight w:val="255"/>
        </w:trPr>
        <w:tc>
          <w:tcPr>
            <w:tcW w:w="4962" w:type="dxa"/>
            <w:tcBorders>
              <w:top w:val="nil"/>
              <w:left w:val="nil"/>
              <w:bottom w:val="nil"/>
              <w:right w:val="nil"/>
            </w:tcBorders>
            <w:noWrap/>
            <w:vAlign w:val="bottom"/>
            <w:hideMark/>
          </w:tcPr>
          <w:p w14:paraId="7806A2D2" w14:textId="77777777" w:rsidR="0005795C" w:rsidRPr="00401476" w:rsidRDefault="0005795C">
            <w:pPr>
              <w:spacing w:after="0" w:line="240" w:lineRule="auto"/>
              <w:jc w:val="right"/>
              <w:rPr>
                <w:rFonts w:eastAsia="Times New Roman" w:cs="Arial"/>
                <w:b/>
                <w:bCs/>
                <w:color w:val="000000"/>
                <w:sz w:val="20"/>
                <w:szCs w:val="20"/>
                <w:lang w:eastAsia="en-AU"/>
              </w:rPr>
            </w:pPr>
          </w:p>
        </w:tc>
        <w:tc>
          <w:tcPr>
            <w:tcW w:w="992" w:type="dxa"/>
            <w:tcBorders>
              <w:top w:val="nil"/>
              <w:left w:val="nil"/>
              <w:bottom w:val="nil"/>
              <w:right w:val="nil"/>
            </w:tcBorders>
            <w:noWrap/>
            <w:vAlign w:val="bottom"/>
            <w:hideMark/>
          </w:tcPr>
          <w:p w14:paraId="31A149BA" w14:textId="77777777" w:rsidR="0005795C" w:rsidRPr="00401476" w:rsidRDefault="0005795C">
            <w:pPr>
              <w:spacing w:after="0" w:line="240" w:lineRule="auto"/>
              <w:jc w:val="center"/>
              <w:rPr>
                <w:rFonts w:eastAsia="Times New Roman" w:cs="Arial"/>
                <w:b/>
                <w:bCs/>
                <w:color w:val="000000"/>
                <w:sz w:val="20"/>
                <w:szCs w:val="20"/>
                <w:lang w:eastAsia="en-AU"/>
              </w:rPr>
            </w:pPr>
          </w:p>
        </w:tc>
        <w:tc>
          <w:tcPr>
            <w:tcW w:w="1276" w:type="dxa"/>
            <w:tcBorders>
              <w:top w:val="nil"/>
              <w:left w:val="nil"/>
              <w:bottom w:val="nil"/>
              <w:right w:val="nil"/>
            </w:tcBorders>
            <w:noWrap/>
            <w:vAlign w:val="bottom"/>
            <w:hideMark/>
          </w:tcPr>
          <w:p w14:paraId="13962CBB"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$000's</w:t>
            </w:r>
          </w:p>
        </w:tc>
        <w:tc>
          <w:tcPr>
            <w:tcW w:w="1276" w:type="dxa"/>
            <w:tcBorders>
              <w:top w:val="nil"/>
              <w:left w:val="nil"/>
              <w:bottom w:val="nil"/>
              <w:right w:val="nil"/>
            </w:tcBorders>
            <w:noWrap/>
            <w:vAlign w:val="bottom"/>
            <w:hideMark/>
          </w:tcPr>
          <w:p w14:paraId="033EB257"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$000's</w:t>
            </w:r>
          </w:p>
        </w:tc>
      </w:tr>
      <w:tr w:rsidR="0005795C" w:rsidRPr="00401476" w14:paraId="76A34B32" w14:textId="77777777" w:rsidTr="413EB596">
        <w:trPr>
          <w:gridAfter w:val="1"/>
          <w:wAfter w:w="236" w:type="dxa"/>
          <w:trHeight w:val="255"/>
        </w:trPr>
        <w:tc>
          <w:tcPr>
            <w:tcW w:w="4962" w:type="dxa"/>
            <w:tcBorders>
              <w:top w:val="nil"/>
              <w:left w:val="nil"/>
              <w:bottom w:val="nil"/>
              <w:right w:val="nil"/>
            </w:tcBorders>
            <w:noWrap/>
            <w:vAlign w:val="bottom"/>
            <w:hideMark/>
          </w:tcPr>
          <w:p w14:paraId="6B0F8BCC"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Other operating expenses</w:t>
            </w:r>
          </w:p>
        </w:tc>
        <w:tc>
          <w:tcPr>
            <w:tcW w:w="992" w:type="dxa"/>
            <w:tcBorders>
              <w:top w:val="nil"/>
              <w:left w:val="nil"/>
              <w:bottom w:val="nil"/>
              <w:right w:val="nil"/>
            </w:tcBorders>
            <w:noWrap/>
            <w:vAlign w:val="bottom"/>
            <w:hideMark/>
          </w:tcPr>
          <w:p w14:paraId="4E730D57" w14:textId="77777777" w:rsidR="0005795C" w:rsidRPr="00401476" w:rsidRDefault="0005795C">
            <w:pPr>
              <w:spacing w:after="0" w:line="240" w:lineRule="auto"/>
              <w:jc w:val="center"/>
              <w:rPr>
                <w:rFonts w:eastAsia="Times New Roman" w:cs="Arial"/>
                <w:color w:val="000000"/>
                <w:sz w:val="20"/>
                <w:szCs w:val="20"/>
                <w:lang w:eastAsia="en-AU"/>
              </w:rPr>
            </w:pPr>
          </w:p>
        </w:tc>
        <w:tc>
          <w:tcPr>
            <w:tcW w:w="1276" w:type="dxa"/>
            <w:tcBorders>
              <w:top w:val="nil"/>
              <w:left w:val="nil"/>
              <w:bottom w:val="nil"/>
              <w:right w:val="nil"/>
            </w:tcBorders>
            <w:noWrap/>
            <w:vAlign w:val="bottom"/>
            <w:hideMark/>
          </w:tcPr>
          <w:p w14:paraId="2ED3A2BD"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(10</w:t>
            </w:r>
            <w:r>
              <w:rPr>
                <w:rFonts w:eastAsia="Times New Roman" w:cs="Arial"/>
                <w:color w:val="000000"/>
                <w:sz w:val="20"/>
                <w:szCs w:val="20"/>
                <w:lang w:eastAsia="en-AU"/>
              </w:rPr>
              <w:t>0</w:t>
            </w:r>
            <w:r w:rsidRPr="00401476">
              <w:rPr>
                <w:rFonts w:eastAsia="Times New Roman" w:cs="Arial"/>
                <w:color w:val="000000"/>
                <w:sz w:val="20"/>
                <w:szCs w:val="20"/>
                <w:lang w:eastAsia="en-AU"/>
              </w:rPr>
              <w:t>)</w:t>
            </w:r>
          </w:p>
        </w:tc>
        <w:tc>
          <w:tcPr>
            <w:tcW w:w="1276" w:type="dxa"/>
            <w:tcBorders>
              <w:top w:val="nil"/>
              <w:left w:val="nil"/>
              <w:bottom w:val="nil"/>
              <w:right w:val="nil"/>
            </w:tcBorders>
            <w:noWrap/>
            <w:vAlign w:val="bottom"/>
            <w:hideMark/>
          </w:tcPr>
          <w:p w14:paraId="0817083A"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(30)</w:t>
            </w:r>
          </w:p>
        </w:tc>
      </w:tr>
      <w:tr w:rsidR="0005795C" w:rsidRPr="00401476" w14:paraId="08FE5831" w14:textId="77777777" w:rsidTr="413EB596">
        <w:trPr>
          <w:gridAfter w:val="1"/>
          <w:wAfter w:w="236" w:type="dxa"/>
          <w:trHeight w:val="255"/>
        </w:trPr>
        <w:tc>
          <w:tcPr>
            <w:tcW w:w="4962" w:type="dxa"/>
            <w:tcBorders>
              <w:top w:val="nil"/>
              <w:left w:val="nil"/>
              <w:bottom w:val="nil"/>
              <w:right w:val="nil"/>
            </w:tcBorders>
            <w:noWrap/>
            <w:vAlign w:val="bottom"/>
            <w:hideMark/>
          </w:tcPr>
          <w:p w14:paraId="7188AADB"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Net gain on financial instruments at fair value</w:t>
            </w:r>
          </w:p>
        </w:tc>
        <w:tc>
          <w:tcPr>
            <w:tcW w:w="992" w:type="dxa"/>
            <w:tcBorders>
              <w:top w:val="nil"/>
              <w:left w:val="nil"/>
              <w:bottom w:val="nil"/>
              <w:right w:val="nil"/>
            </w:tcBorders>
            <w:noWrap/>
            <w:vAlign w:val="bottom"/>
            <w:hideMark/>
          </w:tcPr>
          <w:p w14:paraId="230F90C4" w14:textId="77777777" w:rsidR="0005795C" w:rsidRPr="00401476" w:rsidRDefault="0005795C">
            <w:pPr>
              <w:spacing w:after="0" w:line="240" w:lineRule="auto"/>
              <w:jc w:val="center"/>
              <w:rPr>
                <w:rFonts w:eastAsia="Times New Roman" w:cs="Arial"/>
                <w:color w:val="000000"/>
                <w:sz w:val="20"/>
                <w:szCs w:val="20"/>
                <w:lang w:eastAsia="en-AU"/>
              </w:rPr>
            </w:pPr>
          </w:p>
        </w:tc>
        <w:tc>
          <w:tcPr>
            <w:tcW w:w="1276" w:type="dxa"/>
            <w:tcBorders>
              <w:top w:val="nil"/>
              <w:left w:val="nil"/>
              <w:bottom w:val="nil"/>
              <w:right w:val="nil"/>
            </w:tcBorders>
            <w:noWrap/>
            <w:vAlign w:val="bottom"/>
            <w:hideMark/>
          </w:tcPr>
          <w:p w14:paraId="273176C3"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40,821</w:t>
            </w:r>
          </w:p>
        </w:tc>
        <w:tc>
          <w:tcPr>
            <w:tcW w:w="1276" w:type="dxa"/>
            <w:tcBorders>
              <w:top w:val="nil"/>
              <w:left w:val="nil"/>
              <w:bottom w:val="nil"/>
              <w:right w:val="nil"/>
            </w:tcBorders>
            <w:noWrap/>
            <w:vAlign w:val="bottom"/>
            <w:hideMark/>
          </w:tcPr>
          <w:p w14:paraId="2FA5DC3A"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13,830</w:t>
            </w:r>
          </w:p>
        </w:tc>
      </w:tr>
      <w:tr w:rsidR="0005795C" w:rsidRPr="00401476" w14:paraId="17DFBEE4" w14:textId="77777777" w:rsidTr="413EB596">
        <w:trPr>
          <w:gridAfter w:val="1"/>
          <w:wAfter w:w="236" w:type="dxa"/>
          <w:trHeight w:val="259"/>
        </w:trPr>
        <w:tc>
          <w:tcPr>
            <w:tcW w:w="4962" w:type="dxa"/>
            <w:tcBorders>
              <w:top w:val="nil"/>
              <w:left w:val="nil"/>
              <w:bottom w:val="nil"/>
              <w:right w:val="nil"/>
            </w:tcBorders>
            <w:vAlign w:val="bottom"/>
            <w:hideMark/>
          </w:tcPr>
          <w:p w14:paraId="208A0F58" w14:textId="4C8AC4FE" w:rsidR="0005795C" w:rsidRPr="00401476" w:rsidRDefault="0005795C">
            <w:pPr>
              <w:spacing w:after="0" w:line="240" w:lineRule="auto"/>
              <w:rPr>
                <w:rFonts w:eastAsia="Times New Roman" w:cs="Arial"/>
                <w:b/>
                <w:bCs/>
                <w:color w:val="000000"/>
                <w:sz w:val="20"/>
                <w:szCs w:val="20"/>
                <w:lang w:eastAsia="en-AU"/>
              </w:rPr>
            </w:pPr>
            <w:r w:rsidRPr="00401476">
              <w:rPr>
                <w:rFonts w:eastAsia="Times New Roman" w:cs="Arial"/>
                <w:b/>
                <w:bCs/>
                <w:color w:val="000000"/>
                <w:sz w:val="20"/>
                <w:szCs w:val="20"/>
                <w:lang w:eastAsia="en-AU"/>
              </w:rPr>
              <w:t xml:space="preserve">Operating </w:t>
            </w:r>
            <w:r w:rsidR="00FE2CAF">
              <w:rPr>
                <w:rFonts w:eastAsia="Times New Roman" w:cs="Arial"/>
                <w:b/>
                <w:bCs/>
                <w:color w:val="000000"/>
                <w:sz w:val="20"/>
                <w:szCs w:val="20"/>
                <w:lang w:eastAsia="en-AU"/>
              </w:rPr>
              <w:t>p</w:t>
            </w:r>
            <w:r w:rsidRPr="00401476">
              <w:rPr>
                <w:rFonts w:eastAsia="Times New Roman" w:cs="Arial"/>
                <w:b/>
                <w:bCs/>
                <w:color w:val="000000"/>
                <w:sz w:val="20"/>
                <w:szCs w:val="20"/>
                <w:lang w:eastAsia="en-AU"/>
              </w:rPr>
              <w:t xml:space="preserve">rofit before net financing costs </w:t>
            </w:r>
          </w:p>
        </w:tc>
        <w:tc>
          <w:tcPr>
            <w:tcW w:w="992" w:type="dxa"/>
            <w:tcBorders>
              <w:top w:val="nil"/>
              <w:left w:val="nil"/>
              <w:bottom w:val="nil"/>
              <w:right w:val="nil"/>
            </w:tcBorders>
            <w:noWrap/>
            <w:vAlign w:val="bottom"/>
            <w:hideMark/>
          </w:tcPr>
          <w:p w14:paraId="6B7B57A4" w14:textId="77777777" w:rsidR="0005795C" w:rsidRPr="00401476" w:rsidRDefault="0005795C">
            <w:pPr>
              <w:spacing w:after="0" w:line="240" w:lineRule="auto"/>
              <w:rPr>
                <w:rFonts w:eastAsia="Times New Roman" w:cs="Arial"/>
                <w:b/>
                <w:bCs/>
                <w:color w:val="000000"/>
                <w:sz w:val="20"/>
                <w:szCs w:val="20"/>
                <w:lang w:eastAsia="en-AU"/>
              </w:rPr>
            </w:pPr>
          </w:p>
        </w:tc>
        <w:tc>
          <w:tcPr>
            <w:tcW w:w="1276" w:type="dxa"/>
            <w:tcBorders>
              <w:top w:val="single" w:sz="4" w:space="0" w:color="auto"/>
              <w:left w:val="nil"/>
              <w:bottom w:val="nil"/>
              <w:right w:val="nil"/>
            </w:tcBorders>
            <w:noWrap/>
            <w:vAlign w:val="bottom"/>
            <w:hideMark/>
          </w:tcPr>
          <w:p w14:paraId="75DE2304"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40,72</w:t>
            </w:r>
            <w:r>
              <w:rPr>
                <w:rFonts w:eastAsia="Times New Roman" w:cs="Arial"/>
                <w:b/>
                <w:bCs/>
                <w:color w:val="000000"/>
                <w:sz w:val="20"/>
                <w:szCs w:val="20"/>
                <w:lang w:eastAsia="en-AU"/>
              </w:rPr>
              <w:t>1</w:t>
            </w:r>
          </w:p>
        </w:tc>
        <w:tc>
          <w:tcPr>
            <w:tcW w:w="1276" w:type="dxa"/>
            <w:tcBorders>
              <w:top w:val="single" w:sz="4" w:space="0" w:color="auto"/>
              <w:left w:val="nil"/>
              <w:bottom w:val="nil"/>
              <w:right w:val="nil"/>
            </w:tcBorders>
            <w:noWrap/>
            <w:vAlign w:val="bottom"/>
            <w:hideMark/>
          </w:tcPr>
          <w:p w14:paraId="65F234C8"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13,800</w:t>
            </w:r>
          </w:p>
        </w:tc>
      </w:tr>
      <w:tr w:rsidR="0005795C" w:rsidRPr="00401476" w14:paraId="25D2DBFE" w14:textId="77777777" w:rsidTr="413EB596">
        <w:trPr>
          <w:gridAfter w:val="1"/>
          <w:wAfter w:w="236" w:type="dxa"/>
          <w:trHeight w:val="255"/>
        </w:trPr>
        <w:tc>
          <w:tcPr>
            <w:tcW w:w="4962" w:type="dxa"/>
            <w:tcBorders>
              <w:top w:val="nil"/>
              <w:left w:val="nil"/>
              <w:bottom w:val="nil"/>
              <w:right w:val="nil"/>
            </w:tcBorders>
            <w:noWrap/>
            <w:vAlign w:val="bottom"/>
            <w:hideMark/>
          </w:tcPr>
          <w:p w14:paraId="7DAAE952"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Interest expense</w:t>
            </w:r>
          </w:p>
        </w:tc>
        <w:tc>
          <w:tcPr>
            <w:tcW w:w="992" w:type="dxa"/>
            <w:tcBorders>
              <w:top w:val="nil"/>
              <w:left w:val="nil"/>
              <w:bottom w:val="nil"/>
              <w:right w:val="nil"/>
            </w:tcBorders>
            <w:noWrap/>
            <w:vAlign w:val="bottom"/>
            <w:hideMark/>
          </w:tcPr>
          <w:p w14:paraId="20C5ED58" w14:textId="77777777" w:rsidR="0005795C" w:rsidRPr="00401476" w:rsidRDefault="0005795C">
            <w:pPr>
              <w:spacing w:after="0" w:line="240" w:lineRule="auto"/>
              <w:jc w:val="center"/>
              <w:rPr>
                <w:rFonts w:eastAsia="Times New Roman" w:cs="Arial"/>
                <w:color w:val="000000"/>
                <w:sz w:val="20"/>
                <w:szCs w:val="20"/>
                <w:lang w:eastAsia="en-AU"/>
              </w:rPr>
            </w:pPr>
          </w:p>
        </w:tc>
        <w:tc>
          <w:tcPr>
            <w:tcW w:w="1276" w:type="dxa"/>
            <w:tcBorders>
              <w:top w:val="nil"/>
              <w:left w:val="nil"/>
              <w:bottom w:val="nil"/>
              <w:right w:val="nil"/>
            </w:tcBorders>
            <w:noWrap/>
            <w:vAlign w:val="bottom"/>
            <w:hideMark/>
          </w:tcPr>
          <w:p w14:paraId="642F1ADD"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(22)</w:t>
            </w:r>
          </w:p>
        </w:tc>
        <w:tc>
          <w:tcPr>
            <w:tcW w:w="1276" w:type="dxa"/>
            <w:tcBorders>
              <w:top w:val="nil"/>
              <w:left w:val="nil"/>
              <w:bottom w:val="nil"/>
              <w:right w:val="nil"/>
            </w:tcBorders>
            <w:noWrap/>
            <w:vAlign w:val="bottom"/>
            <w:hideMark/>
          </w:tcPr>
          <w:p w14:paraId="7E267E93"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w:t>
            </w:r>
          </w:p>
        </w:tc>
      </w:tr>
      <w:tr w:rsidR="0005795C" w:rsidRPr="00401476" w14:paraId="1E2F26E9" w14:textId="77777777" w:rsidTr="413EB596">
        <w:trPr>
          <w:gridAfter w:val="1"/>
          <w:wAfter w:w="236" w:type="dxa"/>
          <w:trHeight w:val="255"/>
        </w:trPr>
        <w:tc>
          <w:tcPr>
            <w:tcW w:w="4962" w:type="dxa"/>
            <w:tcBorders>
              <w:top w:val="nil"/>
              <w:left w:val="nil"/>
              <w:bottom w:val="nil"/>
              <w:right w:val="nil"/>
            </w:tcBorders>
            <w:noWrap/>
            <w:vAlign w:val="bottom"/>
            <w:hideMark/>
          </w:tcPr>
          <w:p w14:paraId="254E6C3A"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Interest income</w:t>
            </w:r>
          </w:p>
        </w:tc>
        <w:tc>
          <w:tcPr>
            <w:tcW w:w="992" w:type="dxa"/>
            <w:tcBorders>
              <w:top w:val="nil"/>
              <w:left w:val="nil"/>
              <w:bottom w:val="nil"/>
              <w:right w:val="nil"/>
            </w:tcBorders>
            <w:noWrap/>
            <w:vAlign w:val="bottom"/>
            <w:hideMark/>
          </w:tcPr>
          <w:p w14:paraId="4C9AB573" w14:textId="77777777" w:rsidR="0005795C" w:rsidRPr="00401476" w:rsidRDefault="0005795C">
            <w:pPr>
              <w:spacing w:after="0" w:line="240" w:lineRule="auto"/>
              <w:rPr>
                <w:rFonts w:eastAsia="Times New Roman" w:cs="Arial"/>
                <w:color w:val="000000"/>
                <w:sz w:val="20"/>
                <w:szCs w:val="20"/>
                <w:lang w:eastAsia="en-AU"/>
              </w:rPr>
            </w:pPr>
          </w:p>
        </w:tc>
        <w:tc>
          <w:tcPr>
            <w:tcW w:w="1276" w:type="dxa"/>
            <w:tcBorders>
              <w:top w:val="nil"/>
              <w:left w:val="nil"/>
              <w:bottom w:val="single" w:sz="4" w:space="0" w:color="auto"/>
              <w:right w:val="nil"/>
            </w:tcBorders>
            <w:noWrap/>
            <w:vAlign w:val="bottom"/>
            <w:hideMark/>
          </w:tcPr>
          <w:p w14:paraId="662FE873"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333</w:t>
            </w:r>
          </w:p>
        </w:tc>
        <w:tc>
          <w:tcPr>
            <w:tcW w:w="1276" w:type="dxa"/>
            <w:tcBorders>
              <w:top w:val="nil"/>
              <w:left w:val="nil"/>
              <w:bottom w:val="single" w:sz="4" w:space="0" w:color="auto"/>
              <w:right w:val="nil"/>
            </w:tcBorders>
            <w:noWrap/>
            <w:vAlign w:val="bottom"/>
            <w:hideMark/>
          </w:tcPr>
          <w:p w14:paraId="56F55E4A"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w:t>
            </w:r>
          </w:p>
        </w:tc>
      </w:tr>
      <w:tr w:rsidR="0005795C" w:rsidRPr="00401476" w14:paraId="64AA4E10" w14:textId="77777777" w:rsidTr="413EB596">
        <w:trPr>
          <w:gridAfter w:val="1"/>
          <w:wAfter w:w="236" w:type="dxa"/>
          <w:trHeight w:val="255"/>
        </w:trPr>
        <w:tc>
          <w:tcPr>
            <w:tcW w:w="4962" w:type="dxa"/>
            <w:tcBorders>
              <w:top w:val="nil"/>
              <w:left w:val="nil"/>
              <w:bottom w:val="nil"/>
              <w:right w:val="nil"/>
            </w:tcBorders>
            <w:noWrap/>
            <w:vAlign w:val="bottom"/>
            <w:hideMark/>
          </w:tcPr>
          <w:p w14:paraId="11F46CF3" w14:textId="02B418A6" w:rsidR="0005795C" w:rsidRPr="00401476" w:rsidRDefault="00FE2CA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w:t>
            </w:r>
            <w:r w:rsidR="0005795C" w:rsidRPr="00401476">
              <w:rPr>
                <w:rFonts w:eastAsia="Times New Roman" w:cs="Arial"/>
                <w:b/>
                <w:bCs/>
                <w:color w:val="000000"/>
                <w:sz w:val="20"/>
                <w:szCs w:val="20"/>
                <w:lang w:eastAsia="en-AU"/>
              </w:rPr>
              <w:t>rofit before income tax</w:t>
            </w:r>
          </w:p>
        </w:tc>
        <w:tc>
          <w:tcPr>
            <w:tcW w:w="992" w:type="dxa"/>
            <w:tcBorders>
              <w:top w:val="nil"/>
              <w:left w:val="nil"/>
              <w:bottom w:val="nil"/>
              <w:right w:val="nil"/>
            </w:tcBorders>
            <w:noWrap/>
            <w:vAlign w:val="bottom"/>
            <w:hideMark/>
          </w:tcPr>
          <w:p w14:paraId="69045182" w14:textId="77777777" w:rsidR="0005795C" w:rsidRPr="00401476" w:rsidRDefault="0005795C">
            <w:pPr>
              <w:spacing w:after="0" w:line="240" w:lineRule="auto"/>
              <w:rPr>
                <w:rFonts w:eastAsia="Times New Roman" w:cs="Arial"/>
                <w:b/>
                <w:bCs/>
                <w:color w:val="000000"/>
                <w:sz w:val="20"/>
                <w:szCs w:val="20"/>
                <w:lang w:eastAsia="en-AU"/>
              </w:rPr>
            </w:pPr>
          </w:p>
        </w:tc>
        <w:tc>
          <w:tcPr>
            <w:tcW w:w="1276" w:type="dxa"/>
            <w:tcBorders>
              <w:top w:val="nil"/>
              <w:left w:val="nil"/>
              <w:bottom w:val="nil"/>
              <w:right w:val="nil"/>
            </w:tcBorders>
            <w:noWrap/>
            <w:vAlign w:val="bottom"/>
            <w:hideMark/>
          </w:tcPr>
          <w:p w14:paraId="65B7E102"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41,03</w:t>
            </w:r>
            <w:r>
              <w:rPr>
                <w:rFonts w:eastAsia="Times New Roman" w:cs="Arial"/>
                <w:b/>
                <w:bCs/>
                <w:color w:val="000000"/>
                <w:sz w:val="20"/>
                <w:szCs w:val="20"/>
                <w:lang w:eastAsia="en-AU"/>
              </w:rPr>
              <w:t>2</w:t>
            </w:r>
          </w:p>
        </w:tc>
        <w:tc>
          <w:tcPr>
            <w:tcW w:w="1276" w:type="dxa"/>
            <w:tcBorders>
              <w:top w:val="nil"/>
              <w:left w:val="nil"/>
              <w:bottom w:val="nil"/>
              <w:right w:val="nil"/>
            </w:tcBorders>
            <w:noWrap/>
            <w:vAlign w:val="bottom"/>
            <w:hideMark/>
          </w:tcPr>
          <w:p w14:paraId="5A40026F"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13,800</w:t>
            </w:r>
          </w:p>
        </w:tc>
      </w:tr>
      <w:tr w:rsidR="0005795C" w:rsidRPr="00401476" w14:paraId="40B0510B" w14:textId="77777777" w:rsidTr="413EB596">
        <w:trPr>
          <w:gridAfter w:val="1"/>
          <w:wAfter w:w="236" w:type="dxa"/>
          <w:trHeight w:val="255"/>
        </w:trPr>
        <w:tc>
          <w:tcPr>
            <w:tcW w:w="4962" w:type="dxa"/>
            <w:tcBorders>
              <w:top w:val="nil"/>
              <w:left w:val="nil"/>
              <w:bottom w:val="nil"/>
              <w:right w:val="nil"/>
            </w:tcBorders>
            <w:noWrap/>
            <w:vAlign w:val="bottom"/>
            <w:hideMark/>
          </w:tcPr>
          <w:p w14:paraId="7481B1AC"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Income tax expense</w:t>
            </w:r>
          </w:p>
        </w:tc>
        <w:tc>
          <w:tcPr>
            <w:tcW w:w="992" w:type="dxa"/>
            <w:tcBorders>
              <w:top w:val="nil"/>
              <w:left w:val="nil"/>
              <w:bottom w:val="nil"/>
              <w:right w:val="nil"/>
            </w:tcBorders>
            <w:noWrap/>
            <w:vAlign w:val="bottom"/>
            <w:hideMark/>
          </w:tcPr>
          <w:p w14:paraId="2E8A08F9" w14:textId="252954BC" w:rsidR="0005795C" w:rsidRPr="00401476" w:rsidRDefault="009C480C" w:rsidP="413EB596">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9</w:t>
            </w:r>
          </w:p>
        </w:tc>
        <w:tc>
          <w:tcPr>
            <w:tcW w:w="1276" w:type="dxa"/>
            <w:tcBorders>
              <w:top w:val="nil"/>
              <w:left w:val="nil"/>
              <w:bottom w:val="single" w:sz="4" w:space="0" w:color="auto"/>
              <w:right w:val="nil"/>
            </w:tcBorders>
            <w:noWrap/>
            <w:vAlign w:val="bottom"/>
            <w:hideMark/>
          </w:tcPr>
          <w:p w14:paraId="00870B1B" w14:textId="522239A6" w:rsidR="0005795C" w:rsidRPr="00401476" w:rsidRDefault="009B2DE5">
            <w:pPr>
              <w:spacing w:after="0" w:line="240" w:lineRule="auto"/>
              <w:jc w:val="right"/>
              <w:rPr>
                <w:rFonts w:eastAsia="Times New Roman" w:cs="Arial"/>
                <w:color w:val="000000"/>
                <w:sz w:val="20"/>
                <w:szCs w:val="20"/>
                <w:lang w:eastAsia="en-AU"/>
              </w:rPr>
            </w:pPr>
            <w:r w:rsidRPr="413EB596">
              <w:rPr>
                <w:rFonts w:eastAsia="Times New Roman" w:cs="Arial"/>
                <w:color w:val="000000" w:themeColor="text1"/>
                <w:sz w:val="20"/>
                <w:szCs w:val="20"/>
                <w:lang w:eastAsia="en-AU"/>
              </w:rPr>
              <w:t>(16,</w:t>
            </w:r>
            <w:r w:rsidR="008D6DC2" w:rsidRPr="413EB596">
              <w:rPr>
                <w:rFonts w:eastAsia="Times New Roman" w:cs="Arial"/>
                <w:color w:val="000000" w:themeColor="text1"/>
                <w:sz w:val="20"/>
                <w:szCs w:val="20"/>
                <w:lang w:eastAsia="en-AU"/>
              </w:rPr>
              <w:t>4</w:t>
            </w:r>
            <w:r w:rsidR="008D6DC2">
              <w:rPr>
                <w:rFonts w:eastAsia="Times New Roman" w:cs="Arial"/>
                <w:color w:val="000000" w:themeColor="text1"/>
                <w:sz w:val="20"/>
                <w:szCs w:val="20"/>
                <w:lang w:eastAsia="en-AU"/>
              </w:rPr>
              <w:t>49</w:t>
            </w:r>
            <w:r w:rsidRPr="413EB596">
              <w:rPr>
                <w:rFonts w:eastAsia="Times New Roman" w:cs="Arial"/>
                <w:color w:val="000000" w:themeColor="text1"/>
                <w:sz w:val="20"/>
                <w:szCs w:val="20"/>
                <w:lang w:eastAsia="en-AU"/>
              </w:rPr>
              <w:t>)</w:t>
            </w:r>
          </w:p>
        </w:tc>
        <w:tc>
          <w:tcPr>
            <w:tcW w:w="1276" w:type="dxa"/>
            <w:tcBorders>
              <w:top w:val="nil"/>
              <w:left w:val="nil"/>
              <w:bottom w:val="single" w:sz="4" w:space="0" w:color="auto"/>
              <w:right w:val="nil"/>
            </w:tcBorders>
            <w:noWrap/>
            <w:vAlign w:val="bottom"/>
            <w:hideMark/>
          </w:tcPr>
          <w:p w14:paraId="57C1CBB2"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w:t>
            </w:r>
          </w:p>
        </w:tc>
      </w:tr>
      <w:tr w:rsidR="0005795C" w:rsidRPr="00401476" w14:paraId="35ECE05A" w14:textId="77777777" w:rsidTr="413EB596">
        <w:trPr>
          <w:gridAfter w:val="1"/>
          <w:wAfter w:w="236" w:type="dxa"/>
          <w:trHeight w:val="255"/>
        </w:trPr>
        <w:tc>
          <w:tcPr>
            <w:tcW w:w="4962" w:type="dxa"/>
            <w:tcBorders>
              <w:top w:val="nil"/>
              <w:left w:val="nil"/>
              <w:bottom w:val="nil"/>
              <w:right w:val="nil"/>
            </w:tcBorders>
            <w:noWrap/>
            <w:vAlign w:val="bottom"/>
            <w:hideMark/>
          </w:tcPr>
          <w:p w14:paraId="4721EF15" w14:textId="060A68A2" w:rsidR="0005795C" w:rsidRPr="00401476" w:rsidRDefault="00FE2CA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w:t>
            </w:r>
            <w:r w:rsidR="0005795C" w:rsidRPr="00401476">
              <w:rPr>
                <w:rFonts w:eastAsia="Times New Roman" w:cs="Arial"/>
                <w:b/>
                <w:bCs/>
                <w:color w:val="000000"/>
                <w:sz w:val="20"/>
                <w:szCs w:val="20"/>
                <w:lang w:eastAsia="en-AU"/>
              </w:rPr>
              <w:t>rofit for the period</w:t>
            </w:r>
          </w:p>
        </w:tc>
        <w:tc>
          <w:tcPr>
            <w:tcW w:w="992" w:type="dxa"/>
            <w:tcBorders>
              <w:top w:val="nil"/>
              <w:left w:val="nil"/>
              <w:bottom w:val="nil"/>
              <w:right w:val="nil"/>
            </w:tcBorders>
            <w:noWrap/>
            <w:vAlign w:val="bottom"/>
            <w:hideMark/>
          </w:tcPr>
          <w:p w14:paraId="7BDDDB88" w14:textId="77777777" w:rsidR="0005795C" w:rsidRPr="00401476" w:rsidRDefault="0005795C">
            <w:pPr>
              <w:spacing w:after="0" w:line="240" w:lineRule="auto"/>
              <w:rPr>
                <w:rFonts w:eastAsia="Times New Roman" w:cs="Arial"/>
                <w:b/>
                <w:bCs/>
                <w:color w:val="000000"/>
                <w:sz w:val="20"/>
                <w:szCs w:val="20"/>
                <w:lang w:eastAsia="en-AU"/>
              </w:rPr>
            </w:pPr>
          </w:p>
        </w:tc>
        <w:tc>
          <w:tcPr>
            <w:tcW w:w="1276" w:type="dxa"/>
            <w:tcBorders>
              <w:top w:val="nil"/>
              <w:left w:val="nil"/>
              <w:bottom w:val="single" w:sz="4" w:space="0" w:color="auto"/>
              <w:right w:val="nil"/>
            </w:tcBorders>
            <w:noWrap/>
            <w:vAlign w:val="bottom"/>
            <w:hideMark/>
          </w:tcPr>
          <w:p w14:paraId="093BE79F" w14:textId="585CB25E" w:rsidR="0005795C" w:rsidRPr="00401476" w:rsidRDefault="009B2DE5">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24,</w:t>
            </w:r>
            <w:r w:rsidR="008D6DC2" w:rsidRPr="413EB596">
              <w:rPr>
                <w:rFonts w:eastAsia="Times New Roman" w:cs="Arial"/>
                <w:b/>
                <w:bCs/>
                <w:color w:val="000000" w:themeColor="text1"/>
                <w:sz w:val="20"/>
                <w:szCs w:val="20"/>
                <w:lang w:eastAsia="en-AU"/>
              </w:rPr>
              <w:t>5</w:t>
            </w:r>
            <w:r w:rsidR="008D6DC2">
              <w:rPr>
                <w:rFonts w:eastAsia="Times New Roman" w:cs="Arial"/>
                <w:b/>
                <w:bCs/>
                <w:color w:val="000000" w:themeColor="text1"/>
                <w:sz w:val="20"/>
                <w:szCs w:val="20"/>
                <w:lang w:eastAsia="en-AU"/>
              </w:rPr>
              <w:t>83</w:t>
            </w:r>
          </w:p>
        </w:tc>
        <w:tc>
          <w:tcPr>
            <w:tcW w:w="1276" w:type="dxa"/>
            <w:tcBorders>
              <w:top w:val="nil"/>
              <w:left w:val="nil"/>
              <w:bottom w:val="single" w:sz="4" w:space="0" w:color="auto"/>
              <w:right w:val="nil"/>
            </w:tcBorders>
            <w:noWrap/>
            <w:vAlign w:val="bottom"/>
            <w:hideMark/>
          </w:tcPr>
          <w:p w14:paraId="5A3171F0"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13,800</w:t>
            </w:r>
          </w:p>
        </w:tc>
      </w:tr>
      <w:tr w:rsidR="0005795C" w:rsidRPr="00401476" w14:paraId="30D6BF96" w14:textId="77777777" w:rsidTr="413EB596">
        <w:trPr>
          <w:gridAfter w:val="1"/>
          <w:wAfter w:w="236" w:type="dxa"/>
          <w:trHeight w:val="255"/>
        </w:trPr>
        <w:tc>
          <w:tcPr>
            <w:tcW w:w="4962" w:type="dxa"/>
            <w:tcBorders>
              <w:top w:val="nil"/>
              <w:left w:val="nil"/>
              <w:bottom w:val="nil"/>
              <w:right w:val="nil"/>
            </w:tcBorders>
            <w:noWrap/>
            <w:vAlign w:val="bottom"/>
            <w:hideMark/>
          </w:tcPr>
          <w:p w14:paraId="5B67A034" w14:textId="77777777" w:rsidR="0005795C" w:rsidRPr="00401476" w:rsidRDefault="0005795C">
            <w:pPr>
              <w:spacing w:after="0" w:line="240" w:lineRule="auto"/>
              <w:jc w:val="right"/>
              <w:rPr>
                <w:rFonts w:eastAsia="Times New Roman" w:cs="Arial"/>
                <w:b/>
                <w:bCs/>
                <w:color w:val="000000"/>
                <w:sz w:val="20"/>
                <w:szCs w:val="20"/>
                <w:lang w:eastAsia="en-AU"/>
              </w:rPr>
            </w:pPr>
          </w:p>
        </w:tc>
        <w:tc>
          <w:tcPr>
            <w:tcW w:w="992" w:type="dxa"/>
            <w:tcBorders>
              <w:top w:val="nil"/>
              <w:left w:val="nil"/>
              <w:bottom w:val="nil"/>
              <w:right w:val="nil"/>
            </w:tcBorders>
            <w:noWrap/>
            <w:vAlign w:val="bottom"/>
            <w:hideMark/>
          </w:tcPr>
          <w:p w14:paraId="3179DDFB" w14:textId="77777777" w:rsidR="0005795C" w:rsidRPr="00401476" w:rsidRDefault="0005795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noWrap/>
            <w:vAlign w:val="bottom"/>
            <w:hideMark/>
          </w:tcPr>
          <w:p w14:paraId="2B45C006" w14:textId="77777777" w:rsidR="0005795C" w:rsidRPr="00401476" w:rsidRDefault="0005795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noWrap/>
            <w:vAlign w:val="bottom"/>
            <w:hideMark/>
          </w:tcPr>
          <w:p w14:paraId="2DE477DA" w14:textId="77777777" w:rsidR="0005795C" w:rsidRPr="00401476" w:rsidRDefault="0005795C">
            <w:pPr>
              <w:spacing w:after="0" w:line="240" w:lineRule="auto"/>
              <w:jc w:val="right"/>
              <w:rPr>
                <w:rFonts w:ascii="Times New Roman" w:eastAsia="Times New Roman" w:hAnsi="Times New Roman" w:cs="Times New Roman"/>
                <w:sz w:val="20"/>
                <w:szCs w:val="20"/>
                <w:lang w:eastAsia="en-AU"/>
              </w:rPr>
            </w:pPr>
          </w:p>
        </w:tc>
      </w:tr>
      <w:tr w:rsidR="0005795C" w:rsidRPr="00401476" w14:paraId="65EAC7E5" w14:textId="77777777" w:rsidTr="413EB596">
        <w:trPr>
          <w:gridAfter w:val="1"/>
          <w:wAfter w:w="236" w:type="dxa"/>
          <w:trHeight w:val="255"/>
        </w:trPr>
        <w:tc>
          <w:tcPr>
            <w:tcW w:w="4962" w:type="dxa"/>
            <w:tcBorders>
              <w:top w:val="nil"/>
              <w:left w:val="nil"/>
              <w:bottom w:val="nil"/>
              <w:right w:val="nil"/>
            </w:tcBorders>
            <w:noWrap/>
            <w:vAlign w:val="bottom"/>
            <w:hideMark/>
          </w:tcPr>
          <w:p w14:paraId="3980ABB8" w14:textId="77777777" w:rsidR="0005795C" w:rsidRPr="00401476" w:rsidRDefault="0005795C">
            <w:pPr>
              <w:spacing w:after="0" w:line="240" w:lineRule="auto"/>
              <w:rPr>
                <w:rFonts w:eastAsia="Times New Roman" w:cs="Arial"/>
                <w:color w:val="000000"/>
                <w:sz w:val="20"/>
                <w:szCs w:val="20"/>
                <w:lang w:eastAsia="en-AU"/>
              </w:rPr>
            </w:pPr>
            <w:r w:rsidRPr="00401476">
              <w:rPr>
                <w:rFonts w:eastAsia="Times New Roman" w:cs="Arial"/>
                <w:color w:val="000000"/>
                <w:sz w:val="20"/>
                <w:szCs w:val="20"/>
                <w:lang w:eastAsia="en-AU"/>
              </w:rPr>
              <w:t>Other comprehensive income</w:t>
            </w:r>
          </w:p>
        </w:tc>
        <w:tc>
          <w:tcPr>
            <w:tcW w:w="992" w:type="dxa"/>
            <w:tcBorders>
              <w:top w:val="nil"/>
              <w:left w:val="nil"/>
              <w:bottom w:val="nil"/>
              <w:right w:val="nil"/>
            </w:tcBorders>
            <w:noWrap/>
            <w:vAlign w:val="bottom"/>
            <w:hideMark/>
          </w:tcPr>
          <w:p w14:paraId="18487D99" w14:textId="77777777" w:rsidR="0005795C" w:rsidRPr="00401476" w:rsidRDefault="0005795C">
            <w:pPr>
              <w:spacing w:after="0" w:line="240" w:lineRule="auto"/>
              <w:rPr>
                <w:rFonts w:eastAsia="Times New Roman" w:cs="Arial"/>
                <w:color w:val="000000"/>
                <w:sz w:val="20"/>
                <w:szCs w:val="20"/>
                <w:lang w:eastAsia="en-AU"/>
              </w:rPr>
            </w:pPr>
          </w:p>
        </w:tc>
        <w:tc>
          <w:tcPr>
            <w:tcW w:w="1276" w:type="dxa"/>
            <w:tcBorders>
              <w:top w:val="nil"/>
              <w:left w:val="nil"/>
              <w:bottom w:val="nil"/>
              <w:right w:val="nil"/>
            </w:tcBorders>
            <w:noWrap/>
            <w:vAlign w:val="bottom"/>
            <w:hideMark/>
          </w:tcPr>
          <w:p w14:paraId="30072290"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w:t>
            </w:r>
          </w:p>
        </w:tc>
        <w:tc>
          <w:tcPr>
            <w:tcW w:w="1276" w:type="dxa"/>
            <w:tcBorders>
              <w:top w:val="nil"/>
              <w:left w:val="nil"/>
              <w:bottom w:val="nil"/>
              <w:right w:val="nil"/>
            </w:tcBorders>
            <w:noWrap/>
            <w:vAlign w:val="bottom"/>
            <w:hideMark/>
          </w:tcPr>
          <w:p w14:paraId="1CC5A8D5" w14:textId="77777777" w:rsidR="0005795C" w:rsidRPr="00401476" w:rsidRDefault="0005795C">
            <w:pPr>
              <w:spacing w:after="0" w:line="240" w:lineRule="auto"/>
              <w:jc w:val="right"/>
              <w:rPr>
                <w:rFonts w:eastAsia="Times New Roman" w:cs="Arial"/>
                <w:color w:val="000000"/>
                <w:sz w:val="20"/>
                <w:szCs w:val="20"/>
                <w:lang w:eastAsia="en-AU"/>
              </w:rPr>
            </w:pPr>
            <w:r w:rsidRPr="00401476">
              <w:rPr>
                <w:rFonts w:eastAsia="Times New Roman" w:cs="Arial"/>
                <w:color w:val="000000"/>
                <w:sz w:val="20"/>
                <w:szCs w:val="20"/>
                <w:lang w:eastAsia="en-AU"/>
              </w:rPr>
              <w:t>-</w:t>
            </w:r>
          </w:p>
        </w:tc>
      </w:tr>
      <w:tr w:rsidR="0005795C" w:rsidRPr="00401476" w14:paraId="22B15746" w14:textId="77777777" w:rsidTr="413EB596">
        <w:trPr>
          <w:gridAfter w:val="1"/>
          <w:wAfter w:w="236" w:type="dxa"/>
          <w:trHeight w:val="255"/>
        </w:trPr>
        <w:tc>
          <w:tcPr>
            <w:tcW w:w="4962" w:type="dxa"/>
            <w:tcBorders>
              <w:top w:val="nil"/>
              <w:left w:val="nil"/>
              <w:bottom w:val="nil"/>
              <w:right w:val="nil"/>
            </w:tcBorders>
            <w:vAlign w:val="bottom"/>
            <w:hideMark/>
          </w:tcPr>
          <w:p w14:paraId="7B039832" w14:textId="77777777" w:rsidR="0005795C" w:rsidRPr="00401476" w:rsidRDefault="0005795C">
            <w:pPr>
              <w:spacing w:after="0" w:line="240" w:lineRule="auto"/>
              <w:rPr>
                <w:rFonts w:eastAsia="Times New Roman" w:cs="Arial"/>
                <w:b/>
                <w:bCs/>
                <w:color w:val="000000"/>
                <w:sz w:val="20"/>
                <w:szCs w:val="20"/>
                <w:lang w:eastAsia="en-AU"/>
              </w:rPr>
            </w:pPr>
            <w:r w:rsidRPr="00401476">
              <w:rPr>
                <w:rFonts w:eastAsia="Times New Roman" w:cs="Arial"/>
                <w:b/>
                <w:bCs/>
                <w:color w:val="000000"/>
                <w:sz w:val="20"/>
                <w:szCs w:val="20"/>
                <w:lang w:eastAsia="en-AU"/>
              </w:rPr>
              <w:t>Total other comprehensive income</w:t>
            </w:r>
          </w:p>
        </w:tc>
        <w:tc>
          <w:tcPr>
            <w:tcW w:w="992" w:type="dxa"/>
            <w:tcBorders>
              <w:top w:val="nil"/>
              <w:left w:val="nil"/>
              <w:bottom w:val="nil"/>
              <w:right w:val="nil"/>
            </w:tcBorders>
            <w:noWrap/>
            <w:vAlign w:val="bottom"/>
            <w:hideMark/>
          </w:tcPr>
          <w:p w14:paraId="53F2A79B" w14:textId="77777777" w:rsidR="0005795C" w:rsidRPr="00401476" w:rsidRDefault="0005795C">
            <w:pPr>
              <w:spacing w:after="0" w:line="240" w:lineRule="auto"/>
              <w:rPr>
                <w:rFonts w:eastAsia="Times New Roman" w:cs="Arial"/>
                <w:b/>
                <w:bCs/>
                <w:color w:val="000000"/>
                <w:sz w:val="20"/>
                <w:szCs w:val="20"/>
                <w:lang w:eastAsia="en-AU"/>
              </w:rPr>
            </w:pPr>
          </w:p>
        </w:tc>
        <w:tc>
          <w:tcPr>
            <w:tcW w:w="1276" w:type="dxa"/>
            <w:tcBorders>
              <w:top w:val="nil"/>
              <w:left w:val="nil"/>
              <w:bottom w:val="nil"/>
              <w:right w:val="nil"/>
            </w:tcBorders>
            <w:noWrap/>
            <w:vAlign w:val="bottom"/>
            <w:hideMark/>
          </w:tcPr>
          <w:p w14:paraId="1F14BF73"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w:t>
            </w:r>
          </w:p>
        </w:tc>
        <w:tc>
          <w:tcPr>
            <w:tcW w:w="1276" w:type="dxa"/>
            <w:tcBorders>
              <w:top w:val="nil"/>
              <w:left w:val="nil"/>
              <w:bottom w:val="nil"/>
              <w:right w:val="nil"/>
            </w:tcBorders>
            <w:noWrap/>
            <w:vAlign w:val="bottom"/>
            <w:hideMark/>
          </w:tcPr>
          <w:p w14:paraId="7A0165F5"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w:t>
            </w:r>
          </w:p>
        </w:tc>
      </w:tr>
      <w:tr w:rsidR="0005795C" w:rsidRPr="00401476" w14:paraId="29830075" w14:textId="77777777" w:rsidTr="413EB596">
        <w:trPr>
          <w:gridAfter w:val="1"/>
          <w:wAfter w:w="236" w:type="dxa"/>
          <w:trHeight w:val="255"/>
        </w:trPr>
        <w:tc>
          <w:tcPr>
            <w:tcW w:w="4962" w:type="dxa"/>
            <w:tcBorders>
              <w:top w:val="nil"/>
              <w:left w:val="nil"/>
              <w:bottom w:val="nil"/>
              <w:right w:val="nil"/>
            </w:tcBorders>
            <w:noWrap/>
            <w:vAlign w:val="bottom"/>
            <w:hideMark/>
          </w:tcPr>
          <w:p w14:paraId="086DE83B" w14:textId="77777777" w:rsidR="0005795C" w:rsidRPr="00401476" w:rsidRDefault="0005795C">
            <w:pPr>
              <w:spacing w:after="0" w:line="240" w:lineRule="auto"/>
              <w:rPr>
                <w:rFonts w:eastAsia="Times New Roman" w:cs="Arial"/>
                <w:b/>
                <w:bCs/>
                <w:color w:val="000000"/>
                <w:sz w:val="20"/>
                <w:szCs w:val="20"/>
                <w:lang w:eastAsia="en-AU"/>
              </w:rPr>
            </w:pPr>
          </w:p>
        </w:tc>
        <w:tc>
          <w:tcPr>
            <w:tcW w:w="992" w:type="dxa"/>
            <w:tcBorders>
              <w:top w:val="nil"/>
              <w:left w:val="nil"/>
              <w:bottom w:val="nil"/>
              <w:right w:val="nil"/>
            </w:tcBorders>
            <w:noWrap/>
            <w:vAlign w:val="bottom"/>
            <w:hideMark/>
          </w:tcPr>
          <w:p w14:paraId="7B72E411" w14:textId="77777777" w:rsidR="0005795C" w:rsidRPr="00401476" w:rsidRDefault="0005795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single" w:sz="4" w:space="0" w:color="auto"/>
              <w:right w:val="nil"/>
            </w:tcBorders>
            <w:noWrap/>
            <w:vAlign w:val="bottom"/>
            <w:hideMark/>
          </w:tcPr>
          <w:p w14:paraId="01A448B4" w14:textId="77777777" w:rsidR="0005795C" w:rsidRPr="00401476" w:rsidRDefault="0005795C">
            <w:pPr>
              <w:spacing w:after="0" w:line="240" w:lineRule="auto"/>
              <w:jc w:val="right"/>
              <w:rPr>
                <w:rFonts w:eastAsia="Times New Roman" w:cs="Arial"/>
                <w:color w:val="000000"/>
                <w:sz w:val="20"/>
                <w:szCs w:val="20"/>
                <w:lang w:eastAsia="en-AU"/>
              </w:rPr>
            </w:pPr>
          </w:p>
        </w:tc>
        <w:tc>
          <w:tcPr>
            <w:tcW w:w="1276" w:type="dxa"/>
            <w:tcBorders>
              <w:top w:val="nil"/>
              <w:left w:val="nil"/>
              <w:bottom w:val="single" w:sz="4" w:space="0" w:color="auto"/>
              <w:right w:val="nil"/>
            </w:tcBorders>
            <w:noWrap/>
            <w:vAlign w:val="bottom"/>
            <w:hideMark/>
          </w:tcPr>
          <w:p w14:paraId="1685E3DB" w14:textId="77777777" w:rsidR="0005795C" w:rsidRPr="00401476" w:rsidRDefault="0005795C">
            <w:pPr>
              <w:spacing w:after="0" w:line="240" w:lineRule="auto"/>
              <w:jc w:val="right"/>
              <w:rPr>
                <w:rFonts w:eastAsia="Times New Roman" w:cs="Arial"/>
                <w:color w:val="000000"/>
                <w:sz w:val="20"/>
                <w:szCs w:val="20"/>
                <w:lang w:eastAsia="en-AU"/>
              </w:rPr>
            </w:pPr>
          </w:p>
        </w:tc>
      </w:tr>
      <w:tr w:rsidR="0005795C" w:rsidRPr="00401476" w14:paraId="3CD7E3E5" w14:textId="77777777" w:rsidTr="413EB596">
        <w:trPr>
          <w:gridAfter w:val="1"/>
          <w:wAfter w:w="236" w:type="dxa"/>
          <w:trHeight w:val="270"/>
        </w:trPr>
        <w:tc>
          <w:tcPr>
            <w:tcW w:w="4962" w:type="dxa"/>
            <w:tcBorders>
              <w:top w:val="nil"/>
              <w:left w:val="nil"/>
              <w:bottom w:val="nil"/>
              <w:right w:val="nil"/>
            </w:tcBorders>
            <w:noWrap/>
            <w:vAlign w:val="bottom"/>
            <w:hideMark/>
          </w:tcPr>
          <w:p w14:paraId="21B55AD1" w14:textId="77777777" w:rsidR="0005795C" w:rsidRPr="00401476" w:rsidRDefault="0005795C">
            <w:pPr>
              <w:spacing w:after="0" w:line="240" w:lineRule="auto"/>
              <w:rPr>
                <w:rFonts w:eastAsia="Times New Roman" w:cs="Arial"/>
                <w:b/>
                <w:bCs/>
                <w:color w:val="000000"/>
                <w:sz w:val="20"/>
                <w:szCs w:val="20"/>
                <w:lang w:eastAsia="en-AU"/>
              </w:rPr>
            </w:pPr>
            <w:r w:rsidRPr="00401476">
              <w:rPr>
                <w:rFonts w:eastAsia="Times New Roman" w:cs="Arial"/>
                <w:b/>
                <w:bCs/>
                <w:color w:val="000000"/>
                <w:sz w:val="20"/>
                <w:szCs w:val="20"/>
                <w:lang w:eastAsia="en-AU"/>
              </w:rPr>
              <w:t xml:space="preserve">Total comprehensive </w:t>
            </w:r>
            <w:r>
              <w:rPr>
                <w:rFonts w:eastAsia="Times New Roman" w:cs="Arial"/>
                <w:b/>
                <w:bCs/>
                <w:color w:val="000000"/>
                <w:sz w:val="20"/>
                <w:szCs w:val="20"/>
                <w:lang w:eastAsia="en-AU"/>
              </w:rPr>
              <w:t>income</w:t>
            </w:r>
            <w:r w:rsidRPr="00401476">
              <w:rPr>
                <w:rFonts w:eastAsia="Times New Roman" w:cs="Arial"/>
                <w:b/>
                <w:bCs/>
                <w:color w:val="000000"/>
                <w:sz w:val="20"/>
                <w:szCs w:val="20"/>
                <w:lang w:eastAsia="en-AU"/>
              </w:rPr>
              <w:t xml:space="preserve"> for the </w:t>
            </w:r>
            <w:r>
              <w:rPr>
                <w:rFonts w:eastAsia="Times New Roman" w:cs="Arial"/>
                <w:b/>
                <w:bCs/>
                <w:color w:val="000000"/>
                <w:sz w:val="20"/>
                <w:szCs w:val="20"/>
                <w:lang w:eastAsia="en-AU"/>
              </w:rPr>
              <w:t>year</w:t>
            </w:r>
          </w:p>
        </w:tc>
        <w:tc>
          <w:tcPr>
            <w:tcW w:w="992" w:type="dxa"/>
            <w:tcBorders>
              <w:top w:val="nil"/>
              <w:left w:val="nil"/>
              <w:bottom w:val="nil"/>
              <w:right w:val="nil"/>
            </w:tcBorders>
            <w:noWrap/>
            <w:vAlign w:val="bottom"/>
            <w:hideMark/>
          </w:tcPr>
          <w:p w14:paraId="4569B8A3" w14:textId="77777777" w:rsidR="0005795C" w:rsidRPr="00401476" w:rsidRDefault="0005795C">
            <w:pPr>
              <w:spacing w:after="0" w:line="240" w:lineRule="auto"/>
              <w:rPr>
                <w:rFonts w:eastAsia="Times New Roman" w:cs="Arial"/>
                <w:b/>
                <w:bCs/>
                <w:color w:val="000000"/>
                <w:sz w:val="20"/>
                <w:szCs w:val="20"/>
                <w:lang w:eastAsia="en-AU"/>
              </w:rPr>
            </w:pPr>
          </w:p>
        </w:tc>
        <w:tc>
          <w:tcPr>
            <w:tcW w:w="1276" w:type="dxa"/>
            <w:tcBorders>
              <w:top w:val="nil"/>
              <w:left w:val="nil"/>
              <w:bottom w:val="double" w:sz="6" w:space="0" w:color="auto"/>
              <w:right w:val="nil"/>
            </w:tcBorders>
            <w:noWrap/>
            <w:vAlign w:val="bottom"/>
            <w:hideMark/>
          </w:tcPr>
          <w:p w14:paraId="03DD29F6" w14:textId="77339DBB" w:rsidR="0005795C" w:rsidRPr="00401476" w:rsidRDefault="009B2DE5">
            <w:pPr>
              <w:spacing w:after="0" w:line="240" w:lineRule="auto"/>
              <w:jc w:val="right"/>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24,</w:t>
            </w:r>
            <w:r w:rsidR="008D6DC2" w:rsidRPr="413EB596">
              <w:rPr>
                <w:rFonts w:eastAsia="Times New Roman" w:cs="Arial"/>
                <w:b/>
                <w:bCs/>
                <w:color w:val="000000" w:themeColor="text1"/>
                <w:sz w:val="20"/>
                <w:szCs w:val="20"/>
                <w:lang w:eastAsia="en-AU"/>
              </w:rPr>
              <w:t>5</w:t>
            </w:r>
            <w:r w:rsidR="008D6DC2">
              <w:rPr>
                <w:rFonts w:eastAsia="Times New Roman" w:cs="Arial"/>
                <w:b/>
                <w:bCs/>
                <w:color w:val="000000" w:themeColor="text1"/>
                <w:sz w:val="20"/>
                <w:szCs w:val="20"/>
                <w:lang w:eastAsia="en-AU"/>
              </w:rPr>
              <w:t>83</w:t>
            </w:r>
          </w:p>
        </w:tc>
        <w:tc>
          <w:tcPr>
            <w:tcW w:w="1276" w:type="dxa"/>
            <w:tcBorders>
              <w:top w:val="nil"/>
              <w:left w:val="nil"/>
              <w:bottom w:val="double" w:sz="6" w:space="0" w:color="auto"/>
              <w:right w:val="nil"/>
            </w:tcBorders>
            <w:noWrap/>
            <w:vAlign w:val="bottom"/>
            <w:hideMark/>
          </w:tcPr>
          <w:p w14:paraId="569F6AFA" w14:textId="77777777" w:rsidR="0005795C" w:rsidRPr="00401476" w:rsidRDefault="0005795C">
            <w:pPr>
              <w:spacing w:after="0" w:line="240" w:lineRule="auto"/>
              <w:jc w:val="right"/>
              <w:rPr>
                <w:rFonts w:eastAsia="Times New Roman" w:cs="Arial"/>
                <w:b/>
                <w:bCs/>
                <w:color w:val="000000"/>
                <w:sz w:val="20"/>
                <w:szCs w:val="20"/>
                <w:lang w:eastAsia="en-AU"/>
              </w:rPr>
            </w:pPr>
            <w:r w:rsidRPr="00401476">
              <w:rPr>
                <w:rFonts w:eastAsia="Times New Roman" w:cs="Arial"/>
                <w:b/>
                <w:bCs/>
                <w:color w:val="000000"/>
                <w:sz w:val="20"/>
                <w:szCs w:val="20"/>
                <w:lang w:eastAsia="en-AU"/>
              </w:rPr>
              <w:t>13,800</w:t>
            </w:r>
          </w:p>
        </w:tc>
      </w:tr>
      <w:tr w:rsidR="0005795C" w:rsidRPr="00401476" w14:paraId="53A1F3AF" w14:textId="77777777" w:rsidTr="413EB596">
        <w:trPr>
          <w:gridAfter w:val="1"/>
          <w:wAfter w:w="236" w:type="dxa"/>
          <w:trHeight w:val="270"/>
        </w:trPr>
        <w:tc>
          <w:tcPr>
            <w:tcW w:w="4962" w:type="dxa"/>
            <w:tcBorders>
              <w:top w:val="nil"/>
              <w:left w:val="nil"/>
              <w:bottom w:val="nil"/>
              <w:right w:val="nil"/>
            </w:tcBorders>
            <w:noWrap/>
            <w:vAlign w:val="bottom"/>
            <w:hideMark/>
          </w:tcPr>
          <w:p w14:paraId="414E9152" w14:textId="77777777" w:rsidR="0005795C" w:rsidRPr="00401476" w:rsidRDefault="0005795C">
            <w:pPr>
              <w:spacing w:after="0" w:line="240" w:lineRule="auto"/>
              <w:jc w:val="right"/>
              <w:rPr>
                <w:rFonts w:eastAsia="Times New Roman" w:cs="Arial"/>
                <w:b/>
                <w:bCs/>
                <w:color w:val="000000"/>
                <w:sz w:val="20"/>
                <w:szCs w:val="20"/>
                <w:lang w:eastAsia="en-AU"/>
              </w:rPr>
            </w:pPr>
          </w:p>
        </w:tc>
        <w:tc>
          <w:tcPr>
            <w:tcW w:w="992" w:type="dxa"/>
            <w:tcBorders>
              <w:top w:val="nil"/>
              <w:left w:val="nil"/>
              <w:bottom w:val="nil"/>
              <w:right w:val="nil"/>
            </w:tcBorders>
            <w:noWrap/>
            <w:vAlign w:val="bottom"/>
            <w:hideMark/>
          </w:tcPr>
          <w:p w14:paraId="7E29DB6A" w14:textId="77777777" w:rsidR="0005795C" w:rsidRPr="00401476" w:rsidRDefault="0005795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noWrap/>
            <w:vAlign w:val="bottom"/>
            <w:hideMark/>
          </w:tcPr>
          <w:p w14:paraId="26D36F8A" w14:textId="77777777" w:rsidR="0005795C" w:rsidRPr="00401476" w:rsidRDefault="0005795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noWrap/>
            <w:vAlign w:val="bottom"/>
            <w:hideMark/>
          </w:tcPr>
          <w:p w14:paraId="186AC8B1" w14:textId="77777777" w:rsidR="0005795C" w:rsidRPr="00401476" w:rsidRDefault="0005795C">
            <w:pPr>
              <w:spacing w:after="0" w:line="240" w:lineRule="auto"/>
              <w:jc w:val="right"/>
              <w:rPr>
                <w:rFonts w:ascii="Times New Roman" w:eastAsia="Times New Roman" w:hAnsi="Times New Roman" w:cs="Times New Roman"/>
                <w:sz w:val="20"/>
                <w:szCs w:val="20"/>
                <w:lang w:eastAsia="en-AU"/>
              </w:rPr>
            </w:pPr>
          </w:p>
        </w:tc>
      </w:tr>
      <w:tr w:rsidR="0005795C" w:rsidRPr="00401476" w14:paraId="4DD498FD" w14:textId="77777777" w:rsidTr="413EB596">
        <w:trPr>
          <w:gridAfter w:val="1"/>
          <w:wAfter w:w="236" w:type="dxa"/>
          <w:trHeight w:val="458"/>
        </w:trPr>
        <w:tc>
          <w:tcPr>
            <w:tcW w:w="8506" w:type="dxa"/>
            <w:gridSpan w:val="4"/>
            <w:vMerge w:val="restart"/>
            <w:tcBorders>
              <w:top w:val="nil"/>
              <w:left w:val="nil"/>
              <w:bottom w:val="nil"/>
              <w:right w:val="nil"/>
            </w:tcBorders>
            <w:vAlign w:val="bottom"/>
            <w:hideMark/>
          </w:tcPr>
          <w:p w14:paraId="070E620F" w14:textId="77777777" w:rsidR="0005795C" w:rsidRPr="00401476" w:rsidRDefault="0005795C">
            <w:pPr>
              <w:spacing w:after="0" w:line="240" w:lineRule="auto"/>
              <w:rPr>
                <w:rFonts w:eastAsia="Times New Roman" w:cs="Arial"/>
                <w:i/>
                <w:iCs/>
                <w:color w:val="000000"/>
                <w:sz w:val="20"/>
                <w:szCs w:val="20"/>
                <w:lang w:eastAsia="en-AU"/>
              </w:rPr>
            </w:pPr>
            <w:r w:rsidRPr="00401476">
              <w:rPr>
                <w:rFonts w:eastAsia="Times New Roman" w:cs="Arial"/>
                <w:i/>
                <w:iCs/>
                <w:color w:val="000000"/>
                <w:sz w:val="20"/>
                <w:szCs w:val="20"/>
                <w:lang w:eastAsia="en-AU"/>
              </w:rPr>
              <w:t>The above statement of profit or loss and other comprehensive income should be read in conjunction with the accompanying notes.</w:t>
            </w:r>
          </w:p>
        </w:tc>
      </w:tr>
      <w:tr w:rsidR="0005795C" w:rsidRPr="00401476" w14:paraId="3FC29506" w14:textId="77777777" w:rsidTr="413EB596">
        <w:trPr>
          <w:trHeight w:val="255"/>
        </w:trPr>
        <w:tc>
          <w:tcPr>
            <w:tcW w:w="8506" w:type="dxa"/>
            <w:gridSpan w:val="4"/>
            <w:vMerge/>
            <w:vAlign w:val="center"/>
            <w:hideMark/>
          </w:tcPr>
          <w:p w14:paraId="6FFDFCF2" w14:textId="77777777" w:rsidR="0005795C" w:rsidRPr="00401476" w:rsidRDefault="0005795C">
            <w:pPr>
              <w:spacing w:after="0" w:line="240" w:lineRule="auto"/>
              <w:rPr>
                <w:rFonts w:eastAsia="Times New Roman" w:cs="Arial"/>
                <w:i/>
                <w:iCs/>
                <w:color w:val="000000"/>
                <w:sz w:val="20"/>
                <w:szCs w:val="20"/>
                <w:lang w:eastAsia="en-AU"/>
              </w:rPr>
            </w:pPr>
          </w:p>
        </w:tc>
        <w:tc>
          <w:tcPr>
            <w:tcW w:w="236" w:type="dxa"/>
            <w:tcBorders>
              <w:top w:val="nil"/>
              <w:left w:val="nil"/>
              <w:bottom w:val="nil"/>
              <w:right w:val="nil"/>
            </w:tcBorders>
            <w:noWrap/>
            <w:vAlign w:val="bottom"/>
            <w:hideMark/>
          </w:tcPr>
          <w:p w14:paraId="7DDDC459" w14:textId="77777777" w:rsidR="0005795C" w:rsidRPr="00401476" w:rsidRDefault="0005795C">
            <w:pPr>
              <w:spacing w:after="0" w:line="240" w:lineRule="auto"/>
              <w:rPr>
                <w:rFonts w:eastAsia="Times New Roman" w:cs="Arial"/>
                <w:i/>
                <w:iCs/>
                <w:color w:val="000000"/>
                <w:sz w:val="20"/>
                <w:szCs w:val="20"/>
                <w:lang w:eastAsia="en-AU"/>
              </w:rPr>
            </w:pPr>
          </w:p>
        </w:tc>
      </w:tr>
    </w:tbl>
    <w:p w14:paraId="26DBE96A" w14:textId="77777777" w:rsidR="0005795C" w:rsidRDefault="0005795C" w:rsidP="0005795C"/>
    <w:p w14:paraId="5D964001" w14:textId="77777777" w:rsidR="0005795C" w:rsidRDefault="0005795C" w:rsidP="0005795C"/>
    <w:p w14:paraId="68223E8D" w14:textId="77777777" w:rsidR="0005795C" w:rsidRDefault="0005795C" w:rsidP="0005795C"/>
    <w:p w14:paraId="04C69F69" w14:textId="77777777" w:rsidR="0005795C" w:rsidRPr="00204025" w:rsidRDefault="0005795C" w:rsidP="0005795C"/>
    <w:p w14:paraId="334E3828" w14:textId="77777777" w:rsidR="0005795C" w:rsidRDefault="0005795C" w:rsidP="0005795C">
      <w:pPr>
        <w:rPr>
          <w:rFonts w:eastAsiaTheme="majorEastAsia" w:cstheme="majorBidi"/>
          <w:sz w:val="32"/>
          <w:szCs w:val="40"/>
        </w:rPr>
      </w:pPr>
      <w:r>
        <w:br w:type="page"/>
      </w:r>
    </w:p>
    <w:p w14:paraId="5ACD2308" w14:textId="77777777" w:rsidR="0005795C" w:rsidRPr="0048780B" w:rsidRDefault="0005795C" w:rsidP="00B254AC">
      <w:pPr>
        <w:pStyle w:val="Heading1"/>
      </w:pPr>
      <w:bookmarkStart w:id="644" w:name="_Toc208418065"/>
      <w:bookmarkStart w:id="645" w:name="_Toc209080429"/>
      <w:bookmarkStart w:id="646" w:name="_Toc209703999"/>
      <w:bookmarkStart w:id="647" w:name="_Toc209704052"/>
      <w:bookmarkStart w:id="648" w:name="_Toc209704105"/>
      <w:r>
        <w:t>S</w:t>
      </w:r>
      <w:r w:rsidRPr="0048780B">
        <w:t>tatement of financial position</w:t>
      </w:r>
      <w:bookmarkEnd w:id="644"/>
      <w:bookmarkEnd w:id="645"/>
      <w:bookmarkEnd w:id="646"/>
      <w:bookmarkEnd w:id="647"/>
      <w:bookmarkEnd w:id="648"/>
      <w:r w:rsidRPr="0048780B">
        <w:t> </w:t>
      </w:r>
    </w:p>
    <w:p w14:paraId="0AC5D535" w14:textId="77777777" w:rsidR="0005795C" w:rsidRPr="0048780B" w:rsidRDefault="0005795C" w:rsidP="0005795C">
      <w:pPr>
        <w:pStyle w:val="Heading3"/>
      </w:pPr>
      <w:r>
        <w:t>As at 30 June 2025</w:t>
      </w:r>
    </w:p>
    <w:tbl>
      <w:tblPr>
        <w:tblW w:w="5000" w:type="pct"/>
        <w:tblCellMar>
          <w:top w:w="28" w:type="dxa"/>
          <w:left w:w="28" w:type="dxa"/>
          <w:bottom w:w="28" w:type="dxa"/>
          <w:right w:w="28" w:type="dxa"/>
        </w:tblCellMar>
        <w:tblLook w:val="04A0" w:firstRow="1" w:lastRow="0" w:firstColumn="1" w:lastColumn="0" w:noHBand="0" w:noVBand="1"/>
      </w:tblPr>
      <w:tblGrid>
        <w:gridCol w:w="5037"/>
        <w:gridCol w:w="931"/>
        <w:gridCol w:w="1601"/>
        <w:gridCol w:w="1457"/>
      </w:tblGrid>
      <w:tr w:rsidR="0005795C" w:rsidRPr="00167C2B" w14:paraId="021A35E8" w14:textId="77777777" w:rsidTr="413EB596">
        <w:tc>
          <w:tcPr>
            <w:tcW w:w="2790" w:type="pct"/>
            <w:tcBorders>
              <w:top w:val="nil"/>
              <w:left w:val="nil"/>
              <w:bottom w:val="nil"/>
              <w:right w:val="nil"/>
            </w:tcBorders>
            <w:noWrap/>
            <w:vAlign w:val="bottom"/>
            <w:hideMark/>
          </w:tcPr>
          <w:p w14:paraId="629109ED" w14:textId="77777777" w:rsidR="0005795C" w:rsidRPr="00F65403" w:rsidRDefault="0005795C">
            <w:pPr>
              <w:spacing w:after="0" w:line="240" w:lineRule="auto"/>
              <w:rPr>
                <w:rFonts w:eastAsia="Times New Roman" w:cs="Arial"/>
                <w:sz w:val="20"/>
                <w:szCs w:val="20"/>
                <w:lang w:eastAsia="en-AU"/>
              </w:rPr>
            </w:pPr>
          </w:p>
        </w:tc>
        <w:tc>
          <w:tcPr>
            <w:tcW w:w="516" w:type="pct"/>
            <w:tcBorders>
              <w:top w:val="nil"/>
              <w:left w:val="nil"/>
              <w:bottom w:val="nil"/>
              <w:right w:val="nil"/>
            </w:tcBorders>
            <w:noWrap/>
            <w:vAlign w:val="bottom"/>
            <w:hideMark/>
          </w:tcPr>
          <w:p w14:paraId="7136A15C" w14:textId="77777777" w:rsidR="0005795C" w:rsidRPr="00F65403" w:rsidRDefault="0005795C">
            <w:pPr>
              <w:spacing w:after="0" w:line="240" w:lineRule="auto"/>
              <w:rPr>
                <w:rFonts w:eastAsia="Times New Roman" w:cs="Arial"/>
                <w:sz w:val="20"/>
                <w:szCs w:val="20"/>
                <w:lang w:eastAsia="en-AU"/>
              </w:rPr>
            </w:pPr>
          </w:p>
        </w:tc>
        <w:tc>
          <w:tcPr>
            <w:tcW w:w="887" w:type="pct"/>
            <w:tcBorders>
              <w:top w:val="nil"/>
              <w:left w:val="nil"/>
              <w:bottom w:val="nil"/>
              <w:right w:val="nil"/>
            </w:tcBorders>
            <w:noWrap/>
            <w:vAlign w:val="bottom"/>
            <w:hideMark/>
          </w:tcPr>
          <w:p w14:paraId="57D94593" w14:textId="77777777" w:rsidR="0005795C" w:rsidRPr="00C77AB0" w:rsidRDefault="0005795C">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2025</w:t>
            </w:r>
          </w:p>
        </w:tc>
        <w:tc>
          <w:tcPr>
            <w:tcW w:w="807" w:type="pct"/>
            <w:tcBorders>
              <w:top w:val="nil"/>
              <w:left w:val="nil"/>
              <w:bottom w:val="nil"/>
              <w:right w:val="nil"/>
            </w:tcBorders>
            <w:noWrap/>
            <w:vAlign w:val="bottom"/>
            <w:hideMark/>
          </w:tcPr>
          <w:p w14:paraId="454EFBAF" w14:textId="77777777" w:rsidR="0005795C" w:rsidRPr="00C77AB0" w:rsidRDefault="0005795C">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2024</w:t>
            </w:r>
          </w:p>
        </w:tc>
      </w:tr>
      <w:tr w:rsidR="0005795C" w:rsidRPr="00167C2B" w14:paraId="2A38A046" w14:textId="77777777" w:rsidTr="413EB596">
        <w:tc>
          <w:tcPr>
            <w:tcW w:w="2790" w:type="pct"/>
            <w:tcBorders>
              <w:top w:val="nil"/>
              <w:left w:val="nil"/>
              <w:bottom w:val="nil"/>
              <w:right w:val="nil"/>
            </w:tcBorders>
            <w:noWrap/>
            <w:vAlign w:val="bottom"/>
            <w:hideMark/>
          </w:tcPr>
          <w:p w14:paraId="4292A3C7" w14:textId="77777777" w:rsidR="0005795C" w:rsidRPr="00C77AB0" w:rsidRDefault="0005795C">
            <w:pPr>
              <w:spacing w:after="0" w:line="240" w:lineRule="auto"/>
              <w:jc w:val="right"/>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0EA1E05E" w14:textId="77777777" w:rsidR="0005795C" w:rsidRPr="00C77AB0" w:rsidRDefault="0005795C">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Note</w:t>
            </w:r>
          </w:p>
        </w:tc>
        <w:tc>
          <w:tcPr>
            <w:tcW w:w="887" w:type="pct"/>
            <w:tcBorders>
              <w:top w:val="nil"/>
              <w:left w:val="nil"/>
              <w:bottom w:val="nil"/>
              <w:right w:val="nil"/>
            </w:tcBorders>
            <w:noWrap/>
            <w:vAlign w:val="bottom"/>
            <w:hideMark/>
          </w:tcPr>
          <w:p w14:paraId="73291CCF" w14:textId="77777777" w:rsidR="0005795C" w:rsidRPr="00C77AB0" w:rsidRDefault="0005795C">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c>
          <w:tcPr>
            <w:tcW w:w="807" w:type="pct"/>
            <w:tcBorders>
              <w:top w:val="nil"/>
              <w:left w:val="nil"/>
              <w:bottom w:val="nil"/>
              <w:right w:val="nil"/>
            </w:tcBorders>
            <w:noWrap/>
            <w:vAlign w:val="bottom"/>
            <w:hideMark/>
          </w:tcPr>
          <w:p w14:paraId="0B4326EA" w14:textId="77777777" w:rsidR="0005795C" w:rsidRPr="00C77AB0" w:rsidRDefault="0005795C">
            <w:pPr>
              <w:spacing w:after="0" w:line="240" w:lineRule="auto"/>
              <w:jc w:val="center"/>
              <w:rPr>
                <w:rFonts w:eastAsia="Times New Roman" w:cs="Arial"/>
                <w:b/>
                <w:color w:val="000000"/>
                <w:sz w:val="20"/>
                <w:szCs w:val="20"/>
                <w:lang w:eastAsia="en-AU"/>
              </w:rPr>
            </w:pPr>
            <w:r w:rsidRPr="00C77AB0">
              <w:rPr>
                <w:rFonts w:eastAsia="Times New Roman" w:cs="Arial"/>
                <w:b/>
                <w:color w:val="000000"/>
                <w:sz w:val="20"/>
                <w:szCs w:val="20"/>
                <w:lang w:eastAsia="en-AU"/>
              </w:rPr>
              <w:t>$000's</w:t>
            </w:r>
          </w:p>
        </w:tc>
      </w:tr>
      <w:tr w:rsidR="0005795C" w:rsidRPr="00167C2B" w14:paraId="1516B897" w14:textId="77777777" w:rsidTr="413EB596">
        <w:tc>
          <w:tcPr>
            <w:tcW w:w="2790" w:type="pct"/>
            <w:tcBorders>
              <w:top w:val="nil"/>
              <w:left w:val="nil"/>
              <w:bottom w:val="nil"/>
              <w:right w:val="nil"/>
            </w:tcBorders>
            <w:noWrap/>
            <w:vAlign w:val="bottom"/>
            <w:hideMark/>
          </w:tcPr>
          <w:p w14:paraId="596958EC"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Assets</w:t>
            </w:r>
          </w:p>
        </w:tc>
        <w:tc>
          <w:tcPr>
            <w:tcW w:w="516" w:type="pct"/>
            <w:tcBorders>
              <w:top w:val="nil"/>
              <w:left w:val="nil"/>
              <w:bottom w:val="nil"/>
              <w:right w:val="nil"/>
            </w:tcBorders>
            <w:noWrap/>
            <w:vAlign w:val="bottom"/>
            <w:hideMark/>
          </w:tcPr>
          <w:p w14:paraId="3985381E"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46C69D55"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4C8E95D4"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2B6B0CD4" w14:textId="77777777" w:rsidTr="413EB596">
        <w:tc>
          <w:tcPr>
            <w:tcW w:w="2790" w:type="pct"/>
            <w:tcBorders>
              <w:top w:val="nil"/>
              <w:left w:val="nil"/>
              <w:bottom w:val="nil"/>
              <w:right w:val="nil"/>
            </w:tcBorders>
            <w:noWrap/>
            <w:vAlign w:val="bottom"/>
            <w:hideMark/>
          </w:tcPr>
          <w:p w14:paraId="23B432C7"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Assets</w:t>
            </w:r>
          </w:p>
        </w:tc>
        <w:tc>
          <w:tcPr>
            <w:tcW w:w="516" w:type="pct"/>
            <w:tcBorders>
              <w:top w:val="nil"/>
              <w:left w:val="nil"/>
              <w:bottom w:val="nil"/>
              <w:right w:val="nil"/>
            </w:tcBorders>
            <w:noWrap/>
            <w:vAlign w:val="bottom"/>
            <w:hideMark/>
          </w:tcPr>
          <w:p w14:paraId="530CBF6E"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2B18AF36"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6D0672B2"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3E48FA6F" w14:textId="77777777" w:rsidTr="413EB596">
        <w:tc>
          <w:tcPr>
            <w:tcW w:w="2790" w:type="pct"/>
            <w:tcBorders>
              <w:top w:val="nil"/>
              <w:left w:val="nil"/>
              <w:bottom w:val="nil"/>
              <w:right w:val="nil"/>
            </w:tcBorders>
            <w:noWrap/>
            <w:vAlign w:val="bottom"/>
            <w:hideMark/>
          </w:tcPr>
          <w:p w14:paraId="44D7E5BA"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Cash and cash equivalents</w:t>
            </w:r>
          </w:p>
        </w:tc>
        <w:tc>
          <w:tcPr>
            <w:tcW w:w="516" w:type="pct"/>
            <w:tcBorders>
              <w:top w:val="nil"/>
              <w:left w:val="nil"/>
              <w:bottom w:val="nil"/>
              <w:right w:val="nil"/>
            </w:tcBorders>
            <w:noWrap/>
            <w:vAlign w:val="bottom"/>
            <w:hideMark/>
          </w:tcPr>
          <w:p w14:paraId="2994D9B4" w14:textId="77777777" w:rsidR="0005795C" w:rsidRPr="00C77AB0"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887" w:type="pct"/>
            <w:tcBorders>
              <w:top w:val="nil"/>
              <w:left w:val="nil"/>
              <w:bottom w:val="nil"/>
              <w:right w:val="nil"/>
            </w:tcBorders>
            <w:noWrap/>
            <w:vAlign w:val="bottom"/>
            <w:hideMark/>
          </w:tcPr>
          <w:p w14:paraId="4E708CA8"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20,399</w:t>
            </w:r>
            <w:r w:rsidRPr="00C77AB0">
              <w:rPr>
                <w:rFonts w:eastAsia="Times New Roman" w:cs="Arial"/>
                <w:color w:val="000000"/>
                <w:sz w:val="20"/>
                <w:szCs w:val="20"/>
                <w:lang w:eastAsia="en-AU"/>
              </w:rPr>
              <w:t xml:space="preserve"> </w:t>
            </w:r>
          </w:p>
        </w:tc>
        <w:tc>
          <w:tcPr>
            <w:tcW w:w="807" w:type="pct"/>
            <w:tcBorders>
              <w:top w:val="nil"/>
              <w:left w:val="nil"/>
              <w:bottom w:val="nil"/>
              <w:right w:val="nil"/>
            </w:tcBorders>
            <w:noWrap/>
            <w:vAlign w:val="bottom"/>
            <w:hideMark/>
          </w:tcPr>
          <w:p w14:paraId="4ED0E0B2"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r>
      <w:tr w:rsidR="0005795C" w:rsidRPr="00167C2B" w14:paraId="370F9B9F" w14:textId="77777777" w:rsidTr="413EB596">
        <w:trPr>
          <w:trHeight w:val="52"/>
        </w:trPr>
        <w:tc>
          <w:tcPr>
            <w:tcW w:w="2790" w:type="pct"/>
            <w:tcBorders>
              <w:top w:val="nil"/>
              <w:left w:val="nil"/>
              <w:bottom w:val="nil"/>
              <w:right w:val="nil"/>
            </w:tcBorders>
            <w:noWrap/>
            <w:vAlign w:val="bottom"/>
          </w:tcPr>
          <w:p w14:paraId="10BC5223" w14:textId="77777777" w:rsidR="0005795C" w:rsidRPr="00C77AB0" w:rsidRDefault="000579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Receivables</w:t>
            </w:r>
          </w:p>
        </w:tc>
        <w:tc>
          <w:tcPr>
            <w:tcW w:w="516" w:type="pct"/>
            <w:tcBorders>
              <w:top w:val="nil"/>
              <w:left w:val="nil"/>
              <w:bottom w:val="nil"/>
              <w:right w:val="nil"/>
            </w:tcBorders>
            <w:noWrap/>
            <w:vAlign w:val="bottom"/>
          </w:tcPr>
          <w:p w14:paraId="23A7CC14" w14:textId="39D48300" w:rsidR="0005795C" w:rsidRPr="009F3AE1" w:rsidRDefault="004B289D">
            <w:pPr>
              <w:spacing w:after="0" w:line="240" w:lineRule="auto"/>
              <w:jc w:val="center"/>
              <w:rPr>
                <w:rFonts w:eastAsia="Times New Roman" w:cs="Arial"/>
                <w:color w:val="000000"/>
                <w:sz w:val="20"/>
                <w:szCs w:val="20"/>
                <w:lang w:eastAsia="en-AU"/>
              </w:rPr>
            </w:pPr>
            <w:r w:rsidRPr="413EB596">
              <w:rPr>
                <w:rFonts w:eastAsia="Times New Roman" w:cs="Arial"/>
                <w:color w:val="000000" w:themeColor="text1"/>
                <w:sz w:val="20"/>
                <w:szCs w:val="20"/>
                <w:lang w:eastAsia="en-AU"/>
              </w:rPr>
              <w:t>5</w:t>
            </w:r>
          </w:p>
        </w:tc>
        <w:tc>
          <w:tcPr>
            <w:tcW w:w="887" w:type="pct"/>
            <w:tcBorders>
              <w:top w:val="nil"/>
              <w:left w:val="nil"/>
              <w:right w:val="nil"/>
            </w:tcBorders>
            <w:noWrap/>
            <w:vAlign w:val="bottom"/>
          </w:tcPr>
          <w:p w14:paraId="774CDA0D" w14:textId="12370A1E" w:rsidR="0005795C" w:rsidRDefault="00902128">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5,</w:t>
            </w:r>
            <w:r w:rsidR="00BB6A94" w:rsidRPr="413EB596">
              <w:rPr>
                <w:rFonts w:eastAsia="Times New Roman" w:cs="Arial"/>
                <w:color w:val="000000" w:themeColor="text1"/>
                <w:sz w:val="20"/>
                <w:szCs w:val="20"/>
                <w:lang w:eastAsia="en-AU"/>
              </w:rPr>
              <w:t>2</w:t>
            </w:r>
            <w:r w:rsidR="00BB6A94">
              <w:rPr>
                <w:rFonts w:eastAsia="Times New Roman" w:cs="Arial"/>
                <w:color w:val="000000" w:themeColor="text1"/>
                <w:sz w:val="20"/>
                <w:szCs w:val="20"/>
                <w:lang w:eastAsia="en-AU"/>
              </w:rPr>
              <w:t>13</w:t>
            </w:r>
          </w:p>
        </w:tc>
        <w:tc>
          <w:tcPr>
            <w:tcW w:w="807" w:type="pct"/>
            <w:tcBorders>
              <w:top w:val="nil"/>
              <w:left w:val="nil"/>
              <w:right w:val="nil"/>
            </w:tcBorders>
            <w:noWrap/>
            <w:vAlign w:val="bottom"/>
          </w:tcPr>
          <w:p w14:paraId="5A562D2A"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05795C" w:rsidRPr="00167C2B" w14:paraId="20F5712E" w14:textId="77777777" w:rsidTr="413EB596">
        <w:trPr>
          <w:trHeight w:val="52"/>
        </w:trPr>
        <w:tc>
          <w:tcPr>
            <w:tcW w:w="2790" w:type="pct"/>
            <w:tcBorders>
              <w:top w:val="nil"/>
              <w:left w:val="nil"/>
              <w:bottom w:val="nil"/>
              <w:right w:val="nil"/>
            </w:tcBorders>
            <w:noWrap/>
            <w:vAlign w:val="bottom"/>
            <w:hideMark/>
          </w:tcPr>
          <w:p w14:paraId="6CD1E3CC"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assets</w:t>
            </w:r>
          </w:p>
        </w:tc>
        <w:tc>
          <w:tcPr>
            <w:tcW w:w="516" w:type="pct"/>
            <w:tcBorders>
              <w:top w:val="nil"/>
              <w:left w:val="nil"/>
              <w:bottom w:val="nil"/>
              <w:right w:val="nil"/>
            </w:tcBorders>
            <w:noWrap/>
            <w:vAlign w:val="bottom"/>
            <w:hideMark/>
          </w:tcPr>
          <w:p w14:paraId="4B1CFC6C" w14:textId="77777777" w:rsidR="0005795C" w:rsidRPr="00C77AB0"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w:t>
            </w:r>
          </w:p>
        </w:tc>
        <w:tc>
          <w:tcPr>
            <w:tcW w:w="887" w:type="pct"/>
            <w:tcBorders>
              <w:top w:val="nil"/>
              <w:left w:val="nil"/>
              <w:bottom w:val="single" w:sz="4" w:space="0" w:color="auto"/>
              <w:right w:val="nil"/>
            </w:tcBorders>
            <w:noWrap/>
            <w:vAlign w:val="bottom"/>
            <w:hideMark/>
          </w:tcPr>
          <w:p w14:paraId="320CAA0E"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38,034</w:t>
            </w:r>
            <w:r w:rsidRPr="00C77AB0">
              <w:rPr>
                <w:rFonts w:eastAsia="Times New Roman" w:cs="Arial"/>
                <w:color w:val="000000"/>
                <w:sz w:val="20"/>
                <w:szCs w:val="20"/>
                <w:lang w:eastAsia="en-AU"/>
              </w:rPr>
              <w:t xml:space="preserve"> </w:t>
            </w:r>
          </w:p>
        </w:tc>
        <w:tc>
          <w:tcPr>
            <w:tcW w:w="807" w:type="pct"/>
            <w:tcBorders>
              <w:top w:val="nil"/>
              <w:left w:val="nil"/>
              <w:bottom w:val="single" w:sz="4" w:space="0" w:color="auto"/>
              <w:right w:val="nil"/>
            </w:tcBorders>
            <w:noWrap/>
            <w:vAlign w:val="bottom"/>
            <w:hideMark/>
          </w:tcPr>
          <w:p w14:paraId="2AE4A75D"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w:t>
            </w:r>
          </w:p>
        </w:tc>
      </w:tr>
      <w:tr w:rsidR="0005795C" w:rsidRPr="00167C2B" w14:paraId="0810DFBC" w14:textId="77777777" w:rsidTr="413EB596">
        <w:tc>
          <w:tcPr>
            <w:tcW w:w="2790" w:type="pct"/>
            <w:tcBorders>
              <w:top w:val="nil"/>
              <w:left w:val="nil"/>
              <w:bottom w:val="nil"/>
              <w:right w:val="nil"/>
            </w:tcBorders>
            <w:noWrap/>
            <w:vAlign w:val="bottom"/>
            <w:hideMark/>
          </w:tcPr>
          <w:p w14:paraId="0303B5C0"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assets</w:t>
            </w:r>
          </w:p>
        </w:tc>
        <w:tc>
          <w:tcPr>
            <w:tcW w:w="516" w:type="pct"/>
            <w:tcBorders>
              <w:top w:val="nil"/>
              <w:left w:val="nil"/>
              <w:bottom w:val="nil"/>
              <w:right w:val="nil"/>
            </w:tcBorders>
            <w:noWrap/>
            <w:vAlign w:val="bottom"/>
            <w:hideMark/>
          </w:tcPr>
          <w:p w14:paraId="40603787"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463F1966" w14:textId="648BEC0D" w:rsidR="0005795C" w:rsidRPr="00202E8C" w:rsidRDefault="00B916B7">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63,</w:t>
            </w:r>
            <w:r w:rsidR="00092729" w:rsidRPr="413EB596">
              <w:rPr>
                <w:rFonts w:eastAsia="Times New Roman" w:cs="Arial"/>
                <w:b/>
                <w:bCs/>
                <w:color w:val="000000" w:themeColor="text1"/>
                <w:sz w:val="20"/>
                <w:szCs w:val="20"/>
                <w:lang w:eastAsia="en-AU"/>
              </w:rPr>
              <w:t>6</w:t>
            </w:r>
            <w:r w:rsidR="00092729">
              <w:rPr>
                <w:rFonts w:eastAsia="Times New Roman" w:cs="Arial"/>
                <w:b/>
                <w:bCs/>
                <w:color w:val="000000" w:themeColor="text1"/>
                <w:sz w:val="20"/>
                <w:szCs w:val="20"/>
                <w:lang w:eastAsia="en-AU"/>
              </w:rPr>
              <w:t>46</w:t>
            </w:r>
          </w:p>
        </w:tc>
        <w:tc>
          <w:tcPr>
            <w:tcW w:w="807" w:type="pct"/>
            <w:tcBorders>
              <w:top w:val="nil"/>
              <w:left w:val="nil"/>
              <w:bottom w:val="nil"/>
              <w:right w:val="nil"/>
            </w:tcBorders>
            <w:noWrap/>
            <w:vAlign w:val="bottom"/>
            <w:hideMark/>
          </w:tcPr>
          <w:p w14:paraId="7DBE4959"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r w:rsidRPr="00C77AB0">
              <w:rPr>
                <w:rFonts w:eastAsia="Times New Roman" w:cs="Arial"/>
                <w:b/>
                <w:color w:val="000000"/>
                <w:sz w:val="20"/>
                <w:szCs w:val="20"/>
                <w:lang w:eastAsia="en-AU"/>
              </w:rPr>
              <w:t xml:space="preserve"> </w:t>
            </w:r>
          </w:p>
        </w:tc>
      </w:tr>
      <w:tr w:rsidR="0005795C" w:rsidRPr="00167C2B" w14:paraId="134D48F8" w14:textId="77777777" w:rsidTr="413EB596">
        <w:tc>
          <w:tcPr>
            <w:tcW w:w="2790" w:type="pct"/>
            <w:tcBorders>
              <w:top w:val="nil"/>
              <w:left w:val="nil"/>
              <w:bottom w:val="nil"/>
              <w:right w:val="nil"/>
            </w:tcBorders>
            <w:noWrap/>
            <w:vAlign w:val="bottom"/>
            <w:hideMark/>
          </w:tcPr>
          <w:p w14:paraId="0A63E147"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34C61A30"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2EE78286"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0287156B"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1FE3D419" w14:textId="77777777" w:rsidTr="413EB596">
        <w:tc>
          <w:tcPr>
            <w:tcW w:w="2790" w:type="pct"/>
            <w:tcBorders>
              <w:top w:val="nil"/>
              <w:left w:val="nil"/>
              <w:bottom w:val="nil"/>
              <w:right w:val="nil"/>
            </w:tcBorders>
            <w:noWrap/>
            <w:vAlign w:val="bottom"/>
          </w:tcPr>
          <w:p w14:paraId="16F51430"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tcPr>
          <w:p w14:paraId="5314217F"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tcPr>
          <w:p w14:paraId="4655D77C"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tcPr>
          <w:p w14:paraId="66387B6C"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571D89E6" w14:textId="77777777" w:rsidTr="413EB596">
        <w:tc>
          <w:tcPr>
            <w:tcW w:w="2790" w:type="pct"/>
            <w:tcBorders>
              <w:top w:val="nil"/>
              <w:left w:val="nil"/>
              <w:bottom w:val="nil"/>
              <w:right w:val="nil"/>
            </w:tcBorders>
            <w:noWrap/>
            <w:vAlign w:val="bottom"/>
            <w:hideMark/>
          </w:tcPr>
          <w:p w14:paraId="024C9236"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assets</w:t>
            </w:r>
          </w:p>
        </w:tc>
        <w:tc>
          <w:tcPr>
            <w:tcW w:w="516" w:type="pct"/>
            <w:tcBorders>
              <w:top w:val="nil"/>
              <w:left w:val="nil"/>
              <w:bottom w:val="nil"/>
              <w:right w:val="nil"/>
            </w:tcBorders>
            <w:noWrap/>
            <w:vAlign w:val="bottom"/>
            <w:hideMark/>
          </w:tcPr>
          <w:p w14:paraId="4E91CDE6"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4A94D7CF"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4B27F637"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57F24B6B" w14:textId="77777777" w:rsidTr="413EB596">
        <w:tc>
          <w:tcPr>
            <w:tcW w:w="2790" w:type="pct"/>
            <w:tcBorders>
              <w:top w:val="nil"/>
              <w:left w:val="nil"/>
              <w:bottom w:val="nil"/>
              <w:right w:val="nil"/>
            </w:tcBorders>
            <w:noWrap/>
            <w:vAlign w:val="bottom"/>
            <w:hideMark/>
          </w:tcPr>
          <w:p w14:paraId="2340284E"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Other financial assets</w:t>
            </w:r>
          </w:p>
        </w:tc>
        <w:tc>
          <w:tcPr>
            <w:tcW w:w="516" w:type="pct"/>
            <w:tcBorders>
              <w:top w:val="nil"/>
              <w:left w:val="nil"/>
              <w:bottom w:val="nil"/>
              <w:right w:val="nil"/>
            </w:tcBorders>
            <w:noWrap/>
            <w:vAlign w:val="bottom"/>
            <w:hideMark/>
          </w:tcPr>
          <w:p w14:paraId="6F56F374" w14:textId="77777777" w:rsidR="0005795C" w:rsidRPr="00C77AB0"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4</w:t>
            </w:r>
          </w:p>
        </w:tc>
        <w:tc>
          <w:tcPr>
            <w:tcW w:w="887" w:type="pct"/>
            <w:tcBorders>
              <w:top w:val="nil"/>
              <w:left w:val="nil"/>
              <w:right w:val="nil"/>
            </w:tcBorders>
            <w:noWrap/>
            <w:hideMark/>
          </w:tcPr>
          <w:p w14:paraId="75C68F0A"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sidRPr="00D15AF6">
              <w:rPr>
                <w:rFonts w:eastAsia="Times New Roman" w:cs="Arial"/>
                <w:color w:val="000000"/>
                <w:sz w:val="20"/>
                <w:szCs w:val="20"/>
                <w:lang w:eastAsia="en-AU"/>
              </w:rPr>
              <w:t>46,400</w:t>
            </w:r>
          </w:p>
        </w:tc>
        <w:tc>
          <w:tcPr>
            <w:tcW w:w="807" w:type="pct"/>
            <w:tcBorders>
              <w:top w:val="nil"/>
              <w:left w:val="nil"/>
              <w:right w:val="nil"/>
            </w:tcBorders>
            <w:noWrap/>
            <w:vAlign w:val="bottom"/>
            <w:hideMark/>
          </w:tcPr>
          <w:p w14:paraId="5D6A7408"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13,830</w:t>
            </w:r>
          </w:p>
        </w:tc>
      </w:tr>
      <w:tr w:rsidR="0005795C" w:rsidRPr="00167C2B" w14:paraId="73666498" w14:textId="77777777" w:rsidTr="413EB596">
        <w:tc>
          <w:tcPr>
            <w:tcW w:w="2790" w:type="pct"/>
            <w:tcBorders>
              <w:top w:val="nil"/>
              <w:left w:val="nil"/>
              <w:bottom w:val="nil"/>
              <w:right w:val="nil"/>
            </w:tcBorders>
            <w:noWrap/>
            <w:vAlign w:val="bottom"/>
            <w:hideMark/>
          </w:tcPr>
          <w:p w14:paraId="05443306"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assets</w:t>
            </w:r>
          </w:p>
        </w:tc>
        <w:tc>
          <w:tcPr>
            <w:tcW w:w="516" w:type="pct"/>
            <w:tcBorders>
              <w:top w:val="nil"/>
              <w:left w:val="nil"/>
              <w:bottom w:val="nil"/>
              <w:right w:val="nil"/>
            </w:tcBorders>
            <w:noWrap/>
            <w:vAlign w:val="bottom"/>
            <w:hideMark/>
          </w:tcPr>
          <w:p w14:paraId="246616EB"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single" w:sz="4" w:space="0" w:color="auto"/>
              <w:left w:val="nil"/>
              <w:bottom w:val="nil"/>
              <w:right w:val="nil"/>
            </w:tcBorders>
            <w:noWrap/>
            <w:vAlign w:val="bottom"/>
            <w:hideMark/>
          </w:tcPr>
          <w:p w14:paraId="7B89EF83" w14:textId="4A8D85C5" w:rsidR="0005795C" w:rsidRPr="00C77AB0" w:rsidRDefault="0005795C"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46,</w:t>
            </w:r>
            <w:r w:rsidR="00DB501C" w:rsidRPr="413EB596">
              <w:rPr>
                <w:rFonts w:eastAsia="Times New Roman" w:cs="Arial"/>
                <w:b/>
                <w:bCs/>
                <w:color w:val="000000" w:themeColor="text1"/>
                <w:sz w:val="20"/>
                <w:szCs w:val="20"/>
                <w:lang w:eastAsia="en-AU"/>
              </w:rPr>
              <w:t>4</w:t>
            </w:r>
            <w:r w:rsidR="00DB501C">
              <w:rPr>
                <w:rFonts w:eastAsia="Times New Roman" w:cs="Arial"/>
                <w:b/>
                <w:bCs/>
                <w:color w:val="000000" w:themeColor="text1"/>
                <w:sz w:val="20"/>
                <w:szCs w:val="20"/>
                <w:lang w:eastAsia="en-AU"/>
              </w:rPr>
              <w:t>0</w:t>
            </w:r>
            <w:r w:rsidR="00DB501C" w:rsidRPr="413EB596">
              <w:rPr>
                <w:rFonts w:eastAsia="Times New Roman" w:cs="Arial"/>
                <w:b/>
                <w:bCs/>
                <w:color w:val="000000" w:themeColor="text1"/>
                <w:sz w:val="20"/>
                <w:szCs w:val="20"/>
                <w:lang w:eastAsia="en-AU"/>
              </w:rPr>
              <w:t>0</w:t>
            </w:r>
          </w:p>
        </w:tc>
        <w:tc>
          <w:tcPr>
            <w:tcW w:w="807" w:type="pct"/>
            <w:tcBorders>
              <w:top w:val="single" w:sz="4" w:space="0" w:color="auto"/>
              <w:left w:val="nil"/>
              <w:bottom w:val="nil"/>
              <w:right w:val="nil"/>
            </w:tcBorders>
            <w:noWrap/>
            <w:vAlign w:val="bottom"/>
            <w:hideMark/>
          </w:tcPr>
          <w:p w14:paraId="75B672FE"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sidRPr="005D7F54">
              <w:rPr>
                <w:rFonts w:eastAsia="Times New Roman" w:cs="Arial"/>
                <w:b/>
                <w:color w:val="000000"/>
                <w:sz w:val="20"/>
                <w:szCs w:val="20"/>
                <w:lang w:eastAsia="en-AU"/>
              </w:rPr>
              <w:t>13,830</w:t>
            </w:r>
          </w:p>
        </w:tc>
      </w:tr>
      <w:tr w:rsidR="0005795C" w:rsidRPr="00167C2B" w14:paraId="2361C6EB" w14:textId="77777777" w:rsidTr="413EB596">
        <w:tc>
          <w:tcPr>
            <w:tcW w:w="2790" w:type="pct"/>
            <w:tcBorders>
              <w:top w:val="nil"/>
              <w:left w:val="nil"/>
              <w:bottom w:val="nil"/>
              <w:right w:val="nil"/>
            </w:tcBorders>
            <w:noWrap/>
            <w:vAlign w:val="bottom"/>
            <w:hideMark/>
          </w:tcPr>
          <w:p w14:paraId="3A2E11D5"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assets</w:t>
            </w:r>
          </w:p>
        </w:tc>
        <w:tc>
          <w:tcPr>
            <w:tcW w:w="516" w:type="pct"/>
            <w:tcBorders>
              <w:top w:val="nil"/>
              <w:left w:val="nil"/>
              <w:bottom w:val="nil"/>
              <w:right w:val="nil"/>
            </w:tcBorders>
            <w:noWrap/>
            <w:vAlign w:val="bottom"/>
            <w:hideMark/>
          </w:tcPr>
          <w:p w14:paraId="146EE08A"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single" w:sz="4" w:space="0" w:color="auto"/>
              <w:left w:val="nil"/>
              <w:bottom w:val="single" w:sz="4" w:space="0" w:color="auto"/>
              <w:right w:val="nil"/>
            </w:tcBorders>
            <w:noWrap/>
            <w:vAlign w:val="bottom"/>
            <w:hideMark/>
          </w:tcPr>
          <w:p w14:paraId="7CA8BE88" w14:textId="2826618D" w:rsidR="0005795C" w:rsidRPr="00C77AB0" w:rsidRDefault="00B916B7">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110,</w:t>
            </w:r>
            <w:r w:rsidR="00092729" w:rsidRPr="413EB596">
              <w:rPr>
                <w:rFonts w:eastAsia="Times New Roman" w:cs="Arial"/>
                <w:b/>
                <w:bCs/>
                <w:color w:val="000000" w:themeColor="text1"/>
                <w:sz w:val="20"/>
                <w:szCs w:val="20"/>
                <w:lang w:eastAsia="en-AU"/>
              </w:rPr>
              <w:t>0</w:t>
            </w:r>
            <w:r w:rsidR="00092729">
              <w:rPr>
                <w:rFonts w:eastAsia="Times New Roman" w:cs="Arial"/>
                <w:b/>
                <w:bCs/>
                <w:color w:val="000000" w:themeColor="text1"/>
                <w:sz w:val="20"/>
                <w:szCs w:val="20"/>
                <w:lang w:eastAsia="en-AU"/>
              </w:rPr>
              <w:t>46</w:t>
            </w:r>
          </w:p>
        </w:tc>
        <w:tc>
          <w:tcPr>
            <w:tcW w:w="807" w:type="pct"/>
            <w:tcBorders>
              <w:top w:val="single" w:sz="4" w:space="0" w:color="auto"/>
              <w:left w:val="nil"/>
              <w:bottom w:val="single" w:sz="4" w:space="0" w:color="auto"/>
              <w:right w:val="nil"/>
            </w:tcBorders>
            <w:noWrap/>
            <w:vAlign w:val="bottom"/>
            <w:hideMark/>
          </w:tcPr>
          <w:p w14:paraId="70A274A5"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13,880</w:t>
            </w:r>
          </w:p>
        </w:tc>
      </w:tr>
      <w:tr w:rsidR="0005795C" w:rsidRPr="00167C2B" w14:paraId="3B0B9BA2" w14:textId="77777777" w:rsidTr="413EB596">
        <w:tc>
          <w:tcPr>
            <w:tcW w:w="2790" w:type="pct"/>
            <w:tcBorders>
              <w:top w:val="nil"/>
              <w:left w:val="nil"/>
              <w:bottom w:val="nil"/>
              <w:right w:val="nil"/>
            </w:tcBorders>
            <w:noWrap/>
            <w:vAlign w:val="bottom"/>
            <w:hideMark/>
          </w:tcPr>
          <w:p w14:paraId="7918EB47" w14:textId="77777777" w:rsidR="0005795C" w:rsidRPr="00C77AB0" w:rsidRDefault="0005795C">
            <w:pPr>
              <w:spacing w:after="0" w:line="240" w:lineRule="auto"/>
              <w:jc w:val="right"/>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4C06EEB0"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40FFC55B"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2F4311B8"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4A4A8B95" w14:textId="77777777" w:rsidTr="413EB596">
        <w:tc>
          <w:tcPr>
            <w:tcW w:w="2790" w:type="pct"/>
            <w:tcBorders>
              <w:top w:val="nil"/>
              <w:left w:val="nil"/>
              <w:bottom w:val="nil"/>
              <w:right w:val="nil"/>
            </w:tcBorders>
            <w:noWrap/>
            <w:vAlign w:val="bottom"/>
          </w:tcPr>
          <w:p w14:paraId="475E5CE2" w14:textId="77777777" w:rsidR="0005795C" w:rsidRPr="00C77AB0" w:rsidRDefault="0005795C">
            <w:pPr>
              <w:spacing w:after="0" w:line="240" w:lineRule="auto"/>
              <w:jc w:val="right"/>
              <w:rPr>
                <w:rFonts w:eastAsia="Times New Roman" w:cs="Arial"/>
                <w:b/>
                <w:color w:val="000000"/>
                <w:sz w:val="20"/>
                <w:szCs w:val="20"/>
                <w:lang w:eastAsia="en-AU"/>
              </w:rPr>
            </w:pPr>
          </w:p>
        </w:tc>
        <w:tc>
          <w:tcPr>
            <w:tcW w:w="516" w:type="pct"/>
            <w:tcBorders>
              <w:top w:val="nil"/>
              <w:left w:val="nil"/>
              <w:bottom w:val="nil"/>
              <w:right w:val="nil"/>
            </w:tcBorders>
            <w:noWrap/>
            <w:vAlign w:val="bottom"/>
          </w:tcPr>
          <w:p w14:paraId="0A1E2B70"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tcPr>
          <w:p w14:paraId="4275194A"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tcPr>
          <w:p w14:paraId="21580F2A"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6B657AC5" w14:textId="77777777" w:rsidTr="413EB596">
        <w:tc>
          <w:tcPr>
            <w:tcW w:w="2790" w:type="pct"/>
            <w:tcBorders>
              <w:top w:val="nil"/>
              <w:left w:val="nil"/>
              <w:bottom w:val="nil"/>
              <w:right w:val="nil"/>
            </w:tcBorders>
            <w:noWrap/>
            <w:vAlign w:val="bottom"/>
            <w:hideMark/>
          </w:tcPr>
          <w:p w14:paraId="28D9BE5A"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Liabilities</w:t>
            </w:r>
          </w:p>
        </w:tc>
        <w:tc>
          <w:tcPr>
            <w:tcW w:w="516" w:type="pct"/>
            <w:tcBorders>
              <w:top w:val="nil"/>
              <w:left w:val="nil"/>
              <w:bottom w:val="nil"/>
              <w:right w:val="nil"/>
            </w:tcBorders>
            <w:noWrap/>
            <w:vAlign w:val="bottom"/>
            <w:hideMark/>
          </w:tcPr>
          <w:p w14:paraId="446859C3"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72486A39"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5F200B7C"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458CF878" w14:textId="77777777" w:rsidTr="413EB596">
        <w:tc>
          <w:tcPr>
            <w:tcW w:w="2790" w:type="pct"/>
            <w:tcBorders>
              <w:top w:val="nil"/>
              <w:left w:val="nil"/>
              <w:bottom w:val="nil"/>
              <w:right w:val="nil"/>
            </w:tcBorders>
            <w:noWrap/>
            <w:vAlign w:val="bottom"/>
            <w:hideMark/>
          </w:tcPr>
          <w:p w14:paraId="2F23D8E5"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Current liabilities</w:t>
            </w:r>
          </w:p>
        </w:tc>
        <w:tc>
          <w:tcPr>
            <w:tcW w:w="516" w:type="pct"/>
            <w:tcBorders>
              <w:top w:val="nil"/>
              <w:left w:val="nil"/>
              <w:bottom w:val="nil"/>
              <w:right w:val="nil"/>
            </w:tcBorders>
            <w:noWrap/>
            <w:vAlign w:val="bottom"/>
            <w:hideMark/>
          </w:tcPr>
          <w:p w14:paraId="0D449074"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1A665BA7"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63D6E145"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3B8D6E98" w14:textId="77777777" w:rsidTr="413EB596">
        <w:tc>
          <w:tcPr>
            <w:tcW w:w="2790" w:type="pct"/>
            <w:tcBorders>
              <w:top w:val="nil"/>
              <w:left w:val="nil"/>
              <w:bottom w:val="nil"/>
              <w:right w:val="nil"/>
            </w:tcBorders>
            <w:noWrap/>
            <w:vAlign w:val="bottom"/>
            <w:hideMark/>
          </w:tcPr>
          <w:p w14:paraId="4C24FCB8"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Payables</w:t>
            </w:r>
          </w:p>
        </w:tc>
        <w:tc>
          <w:tcPr>
            <w:tcW w:w="516" w:type="pct"/>
            <w:tcBorders>
              <w:top w:val="nil"/>
              <w:left w:val="nil"/>
              <w:bottom w:val="nil"/>
              <w:right w:val="nil"/>
            </w:tcBorders>
            <w:noWrap/>
            <w:vAlign w:val="bottom"/>
            <w:hideMark/>
          </w:tcPr>
          <w:p w14:paraId="41FFF29D" w14:textId="77777777" w:rsidR="0005795C" w:rsidRPr="00C77AB0"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5</w:t>
            </w:r>
          </w:p>
        </w:tc>
        <w:tc>
          <w:tcPr>
            <w:tcW w:w="887" w:type="pct"/>
            <w:tcBorders>
              <w:top w:val="nil"/>
              <w:left w:val="nil"/>
              <w:bottom w:val="nil"/>
              <w:right w:val="nil"/>
            </w:tcBorders>
            <w:noWrap/>
            <w:vAlign w:val="bottom"/>
            <w:hideMark/>
          </w:tcPr>
          <w:p w14:paraId="130B4DB9"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105</w:t>
            </w:r>
          </w:p>
        </w:tc>
        <w:tc>
          <w:tcPr>
            <w:tcW w:w="807" w:type="pct"/>
            <w:tcBorders>
              <w:top w:val="nil"/>
              <w:left w:val="nil"/>
              <w:bottom w:val="nil"/>
              <w:right w:val="nil"/>
            </w:tcBorders>
            <w:noWrap/>
            <w:vAlign w:val="bottom"/>
            <w:hideMark/>
          </w:tcPr>
          <w:p w14:paraId="33B18022"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p>
        </w:tc>
      </w:tr>
      <w:tr w:rsidR="0005795C" w:rsidRPr="00167C2B" w14:paraId="5A4C1CDC" w14:textId="77777777" w:rsidTr="413EB596">
        <w:tc>
          <w:tcPr>
            <w:tcW w:w="2790" w:type="pct"/>
            <w:tcBorders>
              <w:top w:val="nil"/>
              <w:left w:val="nil"/>
              <w:bottom w:val="nil"/>
              <w:right w:val="nil"/>
            </w:tcBorders>
            <w:vAlign w:val="bottom"/>
            <w:hideMark/>
          </w:tcPr>
          <w:p w14:paraId="3BD899AE"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current liabilities</w:t>
            </w:r>
          </w:p>
        </w:tc>
        <w:tc>
          <w:tcPr>
            <w:tcW w:w="516" w:type="pct"/>
            <w:tcBorders>
              <w:top w:val="nil"/>
              <w:left w:val="nil"/>
              <w:bottom w:val="nil"/>
              <w:right w:val="nil"/>
            </w:tcBorders>
            <w:noWrap/>
            <w:vAlign w:val="bottom"/>
            <w:hideMark/>
          </w:tcPr>
          <w:p w14:paraId="7F8C8797" w14:textId="77777777" w:rsidR="0005795C" w:rsidRPr="00F65403" w:rsidRDefault="0005795C">
            <w:pPr>
              <w:spacing w:after="0" w:line="240" w:lineRule="auto"/>
              <w:jc w:val="center"/>
              <w:rPr>
                <w:rFonts w:eastAsia="Times New Roman" w:cs="Arial"/>
                <w:sz w:val="20"/>
                <w:szCs w:val="20"/>
                <w:highlight w:val="yellow"/>
                <w:lang w:eastAsia="en-AU"/>
              </w:rPr>
            </w:pPr>
          </w:p>
        </w:tc>
        <w:tc>
          <w:tcPr>
            <w:tcW w:w="887" w:type="pct"/>
            <w:tcBorders>
              <w:top w:val="single" w:sz="4" w:space="0" w:color="auto"/>
              <w:left w:val="nil"/>
              <w:bottom w:val="nil"/>
              <w:right w:val="nil"/>
            </w:tcBorders>
            <w:noWrap/>
            <w:vAlign w:val="bottom"/>
            <w:hideMark/>
          </w:tcPr>
          <w:p w14:paraId="4D3AB4D3"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105</w:t>
            </w:r>
          </w:p>
        </w:tc>
        <w:tc>
          <w:tcPr>
            <w:tcW w:w="807" w:type="pct"/>
            <w:tcBorders>
              <w:top w:val="single" w:sz="4" w:space="0" w:color="auto"/>
              <w:left w:val="nil"/>
              <w:bottom w:val="nil"/>
              <w:right w:val="nil"/>
            </w:tcBorders>
            <w:noWrap/>
            <w:vAlign w:val="bottom"/>
            <w:hideMark/>
          </w:tcPr>
          <w:p w14:paraId="6037DDFD"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3</w:t>
            </w:r>
            <w:r>
              <w:rPr>
                <w:rFonts w:eastAsia="Times New Roman" w:cs="Arial"/>
                <w:b/>
                <w:color w:val="000000"/>
                <w:sz w:val="20"/>
                <w:szCs w:val="20"/>
                <w:lang w:eastAsia="en-AU"/>
              </w:rPr>
              <w:t>0</w:t>
            </w:r>
            <w:r w:rsidRPr="00C77AB0">
              <w:rPr>
                <w:rFonts w:eastAsia="Times New Roman" w:cs="Arial"/>
                <w:b/>
                <w:color w:val="000000"/>
                <w:sz w:val="20"/>
                <w:szCs w:val="20"/>
                <w:lang w:eastAsia="en-AU"/>
              </w:rPr>
              <w:t xml:space="preserve"> </w:t>
            </w:r>
          </w:p>
        </w:tc>
      </w:tr>
      <w:tr w:rsidR="0005795C" w:rsidRPr="00167C2B" w14:paraId="0782F3A5" w14:textId="77777777" w:rsidTr="413EB596">
        <w:tc>
          <w:tcPr>
            <w:tcW w:w="2790" w:type="pct"/>
            <w:tcBorders>
              <w:top w:val="nil"/>
              <w:left w:val="nil"/>
              <w:bottom w:val="nil"/>
              <w:right w:val="nil"/>
            </w:tcBorders>
            <w:vAlign w:val="bottom"/>
            <w:hideMark/>
          </w:tcPr>
          <w:p w14:paraId="34FBF79E"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41573E1E" w14:textId="77777777" w:rsidR="0005795C" w:rsidRPr="00F65403" w:rsidRDefault="0005795C">
            <w:pPr>
              <w:spacing w:after="0" w:line="240" w:lineRule="auto"/>
              <w:jc w:val="center"/>
              <w:rPr>
                <w:rFonts w:eastAsia="Times New Roman" w:cs="Arial"/>
                <w:sz w:val="20"/>
                <w:szCs w:val="20"/>
                <w:highlight w:val="yellow"/>
                <w:lang w:eastAsia="en-AU"/>
              </w:rPr>
            </w:pPr>
          </w:p>
        </w:tc>
        <w:tc>
          <w:tcPr>
            <w:tcW w:w="887" w:type="pct"/>
            <w:tcBorders>
              <w:top w:val="nil"/>
              <w:left w:val="nil"/>
              <w:bottom w:val="nil"/>
              <w:right w:val="nil"/>
            </w:tcBorders>
            <w:noWrap/>
            <w:vAlign w:val="bottom"/>
            <w:hideMark/>
          </w:tcPr>
          <w:p w14:paraId="4AF6D6F2"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7AA0D7C7"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5AAF5D6D" w14:textId="77777777" w:rsidTr="413EB596">
        <w:tc>
          <w:tcPr>
            <w:tcW w:w="2790" w:type="pct"/>
            <w:tcBorders>
              <w:top w:val="nil"/>
              <w:left w:val="nil"/>
              <w:bottom w:val="nil"/>
              <w:right w:val="nil"/>
            </w:tcBorders>
            <w:vAlign w:val="bottom"/>
          </w:tcPr>
          <w:p w14:paraId="45C9A847"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tcPr>
          <w:p w14:paraId="6449937E" w14:textId="77777777" w:rsidR="0005795C" w:rsidRPr="00F65403" w:rsidRDefault="0005795C">
            <w:pPr>
              <w:spacing w:after="0" w:line="240" w:lineRule="auto"/>
              <w:jc w:val="center"/>
              <w:rPr>
                <w:rFonts w:eastAsia="Times New Roman" w:cs="Arial"/>
                <w:sz w:val="20"/>
                <w:szCs w:val="20"/>
                <w:highlight w:val="yellow"/>
                <w:lang w:eastAsia="en-AU"/>
              </w:rPr>
            </w:pPr>
          </w:p>
        </w:tc>
        <w:tc>
          <w:tcPr>
            <w:tcW w:w="887" w:type="pct"/>
            <w:tcBorders>
              <w:top w:val="nil"/>
              <w:left w:val="nil"/>
              <w:bottom w:val="nil"/>
              <w:right w:val="nil"/>
            </w:tcBorders>
            <w:noWrap/>
            <w:vAlign w:val="bottom"/>
          </w:tcPr>
          <w:p w14:paraId="75AC3198"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tcPr>
          <w:p w14:paraId="69F798D7"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484915B8" w14:textId="77777777" w:rsidTr="413EB596">
        <w:tc>
          <w:tcPr>
            <w:tcW w:w="2790" w:type="pct"/>
            <w:tcBorders>
              <w:top w:val="nil"/>
              <w:left w:val="nil"/>
              <w:bottom w:val="nil"/>
              <w:right w:val="nil"/>
            </w:tcBorders>
            <w:noWrap/>
            <w:vAlign w:val="bottom"/>
            <w:hideMark/>
          </w:tcPr>
          <w:p w14:paraId="149FF8F7"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Non-current liabilities</w:t>
            </w:r>
          </w:p>
        </w:tc>
        <w:tc>
          <w:tcPr>
            <w:tcW w:w="516" w:type="pct"/>
            <w:tcBorders>
              <w:top w:val="nil"/>
              <w:left w:val="nil"/>
              <w:bottom w:val="nil"/>
              <w:right w:val="nil"/>
            </w:tcBorders>
            <w:noWrap/>
            <w:vAlign w:val="bottom"/>
            <w:hideMark/>
          </w:tcPr>
          <w:p w14:paraId="581ED174" w14:textId="77777777" w:rsidR="0005795C" w:rsidRPr="00F65403" w:rsidRDefault="0005795C">
            <w:pPr>
              <w:spacing w:after="0" w:line="240" w:lineRule="auto"/>
              <w:jc w:val="center"/>
              <w:rPr>
                <w:rFonts w:eastAsia="Times New Roman" w:cs="Arial"/>
                <w:sz w:val="20"/>
                <w:szCs w:val="20"/>
                <w:highlight w:val="yellow"/>
                <w:lang w:eastAsia="en-AU"/>
              </w:rPr>
            </w:pPr>
          </w:p>
        </w:tc>
        <w:tc>
          <w:tcPr>
            <w:tcW w:w="887" w:type="pct"/>
            <w:tcBorders>
              <w:top w:val="nil"/>
              <w:left w:val="nil"/>
              <w:bottom w:val="nil"/>
              <w:right w:val="nil"/>
            </w:tcBorders>
            <w:noWrap/>
            <w:vAlign w:val="bottom"/>
            <w:hideMark/>
          </w:tcPr>
          <w:p w14:paraId="3156320C"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52CAC735"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1A20D4" w:rsidRPr="00167C2B" w14:paraId="1E9F89D7" w14:textId="77777777" w:rsidTr="413EB596">
        <w:trPr>
          <w:trHeight w:val="300"/>
        </w:trPr>
        <w:tc>
          <w:tcPr>
            <w:tcW w:w="2790" w:type="pct"/>
            <w:tcBorders>
              <w:top w:val="nil"/>
              <w:left w:val="nil"/>
              <w:bottom w:val="nil"/>
              <w:right w:val="nil"/>
            </w:tcBorders>
            <w:noWrap/>
            <w:vAlign w:val="bottom"/>
          </w:tcPr>
          <w:p w14:paraId="7DF66C37" w14:textId="25CAEDBD" w:rsidR="001A20D4" w:rsidRPr="00E326C0" w:rsidRDefault="001A20D4" w:rsidP="413EB596">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Deferred tax liabilities</w:t>
            </w:r>
          </w:p>
        </w:tc>
        <w:tc>
          <w:tcPr>
            <w:tcW w:w="516" w:type="pct"/>
            <w:tcBorders>
              <w:top w:val="nil"/>
              <w:left w:val="nil"/>
              <w:bottom w:val="nil"/>
              <w:right w:val="nil"/>
            </w:tcBorders>
            <w:noWrap/>
            <w:vAlign w:val="bottom"/>
          </w:tcPr>
          <w:p w14:paraId="71A27B74" w14:textId="65DFC9C5" w:rsidR="001A20D4" w:rsidRPr="001A20D4" w:rsidRDefault="00296BE7" w:rsidP="413EB596">
            <w:pPr>
              <w:spacing w:after="0" w:line="240" w:lineRule="auto"/>
              <w:jc w:val="center"/>
              <w:rPr>
                <w:rFonts w:eastAsia="Times New Roman" w:cs="Arial"/>
                <w:sz w:val="20"/>
                <w:szCs w:val="20"/>
                <w:highlight w:val="yellow"/>
                <w:lang w:eastAsia="en-AU"/>
              </w:rPr>
            </w:pPr>
            <w:r w:rsidRPr="413EB596">
              <w:rPr>
                <w:rFonts w:eastAsia="Times New Roman" w:cs="Arial"/>
                <w:sz w:val="20"/>
                <w:szCs w:val="20"/>
                <w:lang w:eastAsia="en-AU"/>
              </w:rPr>
              <w:t>9</w:t>
            </w:r>
          </w:p>
        </w:tc>
        <w:tc>
          <w:tcPr>
            <w:tcW w:w="887" w:type="pct"/>
            <w:tcBorders>
              <w:top w:val="nil"/>
              <w:left w:val="nil"/>
              <w:bottom w:val="nil"/>
              <w:right w:val="nil"/>
            </w:tcBorders>
            <w:noWrap/>
            <w:vAlign w:val="bottom"/>
          </w:tcPr>
          <w:p w14:paraId="01670C8D" w14:textId="0162690C" w:rsidR="001A20D4" w:rsidRPr="001A20D4" w:rsidRDefault="00593C18" w:rsidP="413EB596">
            <w:pPr>
              <w:tabs>
                <w:tab w:val="decimal" w:pos="1155"/>
              </w:tabs>
              <w:spacing w:after="0" w:line="240" w:lineRule="auto"/>
              <w:rPr>
                <w:rFonts w:eastAsia="Times New Roman" w:cs="Arial"/>
                <w:sz w:val="20"/>
                <w:szCs w:val="20"/>
                <w:lang w:eastAsia="en-AU"/>
              </w:rPr>
            </w:pPr>
            <w:r w:rsidRPr="413EB596">
              <w:rPr>
                <w:rFonts w:eastAsia="Times New Roman" w:cs="Arial"/>
                <w:sz w:val="20"/>
                <w:szCs w:val="20"/>
                <w:lang w:eastAsia="en-AU"/>
              </w:rPr>
              <w:t>21,6</w:t>
            </w:r>
            <w:r w:rsidR="00975B65">
              <w:rPr>
                <w:rFonts w:eastAsia="Times New Roman" w:cs="Arial"/>
                <w:sz w:val="20"/>
                <w:szCs w:val="20"/>
                <w:lang w:eastAsia="en-AU"/>
              </w:rPr>
              <w:t>58</w:t>
            </w:r>
          </w:p>
        </w:tc>
        <w:tc>
          <w:tcPr>
            <w:tcW w:w="807" w:type="pct"/>
            <w:tcBorders>
              <w:top w:val="nil"/>
              <w:left w:val="nil"/>
              <w:bottom w:val="nil"/>
              <w:right w:val="nil"/>
            </w:tcBorders>
            <w:noWrap/>
            <w:vAlign w:val="bottom"/>
          </w:tcPr>
          <w:p w14:paraId="695936FD" w14:textId="642768EC" w:rsidR="001A20D4" w:rsidRPr="001A20D4" w:rsidRDefault="00593C18" w:rsidP="413EB596">
            <w:pPr>
              <w:tabs>
                <w:tab w:val="decimal" w:pos="1155"/>
              </w:tabs>
              <w:spacing w:after="0" w:line="240" w:lineRule="auto"/>
              <w:rPr>
                <w:rFonts w:eastAsia="Times New Roman" w:cs="Arial"/>
                <w:sz w:val="20"/>
                <w:szCs w:val="20"/>
                <w:lang w:eastAsia="en-AU"/>
              </w:rPr>
            </w:pPr>
            <w:r w:rsidRPr="413EB596">
              <w:rPr>
                <w:rFonts w:eastAsia="Times New Roman" w:cs="Arial"/>
                <w:sz w:val="20"/>
                <w:szCs w:val="20"/>
                <w:lang w:eastAsia="en-AU"/>
              </w:rPr>
              <w:t>-</w:t>
            </w:r>
          </w:p>
        </w:tc>
      </w:tr>
      <w:tr w:rsidR="0005795C" w:rsidRPr="00167C2B" w14:paraId="278FBAB1" w14:textId="77777777" w:rsidTr="413EB596">
        <w:tc>
          <w:tcPr>
            <w:tcW w:w="2790" w:type="pct"/>
            <w:tcBorders>
              <w:top w:val="nil"/>
              <w:left w:val="nil"/>
              <w:bottom w:val="nil"/>
              <w:right w:val="nil"/>
            </w:tcBorders>
            <w:vAlign w:val="bottom"/>
            <w:hideMark/>
          </w:tcPr>
          <w:p w14:paraId="36D3090A"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non-current liabilities</w:t>
            </w:r>
          </w:p>
        </w:tc>
        <w:tc>
          <w:tcPr>
            <w:tcW w:w="516" w:type="pct"/>
            <w:tcBorders>
              <w:top w:val="nil"/>
              <w:left w:val="nil"/>
              <w:bottom w:val="nil"/>
              <w:right w:val="nil"/>
            </w:tcBorders>
            <w:noWrap/>
            <w:vAlign w:val="bottom"/>
            <w:hideMark/>
          </w:tcPr>
          <w:p w14:paraId="590E8C43"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single" w:sz="4" w:space="0" w:color="auto"/>
              <w:left w:val="nil"/>
              <w:bottom w:val="single" w:sz="4" w:space="0" w:color="auto"/>
              <w:right w:val="nil"/>
            </w:tcBorders>
            <w:noWrap/>
            <w:vAlign w:val="bottom"/>
            <w:hideMark/>
          </w:tcPr>
          <w:p w14:paraId="1E27D90F" w14:textId="37649567" w:rsidR="0005795C" w:rsidRPr="00C77AB0" w:rsidRDefault="00593C18"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21,6</w:t>
            </w:r>
            <w:r w:rsidR="00975B65">
              <w:rPr>
                <w:rFonts w:eastAsia="Times New Roman" w:cs="Arial"/>
                <w:b/>
                <w:bCs/>
                <w:color w:val="000000" w:themeColor="text1"/>
                <w:sz w:val="20"/>
                <w:szCs w:val="20"/>
                <w:lang w:eastAsia="en-AU"/>
              </w:rPr>
              <w:t>58</w:t>
            </w:r>
            <w:r w:rsidRPr="413EB596">
              <w:rPr>
                <w:rFonts w:eastAsia="Times New Roman" w:cs="Arial"/>
                <w:b/>
                <w:bCs/>
                <w:color w:val="000000" w:themeColor="text1"/>
                <w:sz w:val="20"/>
                <w:szCs w:val="20"/>
                <w:lang w:eastAsia="en-AU"/>
              </w:rPr>
              <w:t xml:space="preserve"> </w:t>
            </w:r>
          </w:p>
        </w:tc>
        <w:tc>
          <w:tcPr>
            <w:tcW w:w="807" w:type="pct"/>
            <w:tcBorders>
              <w:top w:val="single" w:sz="4" w:space="0" w:color="auto"/>
              <w:left w:val="nil"/>
              <w:bottom w:val="single" w:sz="4" w:space="0" w:color="auto"/>
              <w:right w:val="nil"/>
            </w:tcBorders>
            <w:noWrap/>
            <w:vAlign w:val="bottom"/>
            <w:hideMark/>
          </w:tcPr>
          <w:p w14:paraId="79BECB72"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r w:rsidRPr="00C77AB0">
              <w:rPr>
                <w:rFonts w:eastAsia="Times New Roman" w:cs="Arial"/>
                <w:b/>
                <w:color w:val="000000"/>
                <w:sz w:val="20"/>
                <w:szCs w:val="20"/>
                <w:lang w:eastAsia="en-AU"/>
              </w:rPr>
              <w:t xml:space="preserve"> </w:t>
            </w:r>
          </w:p>
        </w:tc>
      </w:tr>
      <w:tr w:rsidR="0005795C" w:rsidRPr="00167C2B" w14:paraId="6B763D04" w14:textId="77777777" w:rsidTr="413EB596">
        <w:tc>
          <w:tcPr>
            <w:tcW w:w="2790" w:type="pct"/>
            <w:tcBorders>
              <w:top w:val="nil"/>
              <w:left w:val="nil"/>
              <w:bottom w:val="nil"/>
              <w:right w:val="nil"/>
            </w:tcBorders>
            <w:vAlign w:val="bottom"/>
            <w:hideMark/>
          </w:tcPr>
          <w:p w14:paraId="4FF9EFE4"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liabilities</w:t>
            </w:r>
          </w:p>
        </w:tc>
        <w:tc>
          <w:tcPr>
            <w:tcW w:w="516" w:type="pct"/>
            <w:tcBorders>
              <w:top w:val="nil"/>
              <w:left w:val="nil"/>
              <w:bottom w:val="nil"/>
              <w:right w:val="nil"/>
            </w:tcBorders>
            <w:noWrap/>
            <w:vAlign w:val="bottom"/>
            <w:hideMark/>
          </w:tcPr>
          <w:p w14:paraId="4274E4A1"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single" w:sz="4" w:space="0" w:color="auto"/>
              <w:right w:val="nil"/>
            </w:tcBorders>
            <w:noWrap/>
            <w:vAlign w:val="bottom"/>
            <w:hideMark/>
          </w:tcPr>
          <w:p w14:paraId="1973D66C" w14:textId="28C4520F" w:rsidR="0005795C" w:rsidRPr="00C77AB0" w:rsidRDefault="00593C18">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21,</w:t>
            </w:r>
            <w:r w:rsidR="00296BE7" w:rsidRPr="413EB596">
              <w:rPr>
                <w:rFonts w:eastAsia="Times New Roman" w:cs="Arial"/>
                <w:b/>
                <w:bCs/>
                <w:color w:val="000000" w:themeColor="text1"/>
                <w:sz w:val="20"/>
                <w:szCs w:val="20"/>
                <w:lang w:eastAsia="en-AU"/>
              </w:rPr>
              <w:t>7</w:t>
            </w:r>
            <w:r w:rsidR="00EC6321">
              <w:rPr>
                <w:rFonts w:eastAsia="Times New Roman" w:cs="Arial"/>
                <w:b/>
                <w:bCs/>
                <w:color w:val="000000" w:themeColor="text1"/>
                <w:sz w:val="20"/>
                <w:szCs w:val="20"/>
                <w:lang w:eastAsia="en-AU"/>
              </w:rPr>
              <w:t>63</w:t>
            </w:r>
            <w:r w:rsidR="0005795C" w:rsidRPr="413EB596">
              <w:rPr>
                <w:rFonts w:eastAsia="Times New Roman" w:cs="Arial"/>
                <w:b/>
                <w:bCs/>
                <w:color w:val="000000" w:themeColor="text1"/>
                <w:sz w:val="20"/>
                <w:szCs w:val="20"/>
                <w:lang w:eastAsia="en-AU"/>
              </w:rPr>
              <w:t xml:space="preserve"> </w:t>
            </w:r>
          </w:p>
        </w:tc>
        <w:tc>
          <w:tcPr>
            <w:tcW w:w="807" w:type="pct"/>
            <w:tcBorders>
              <w:top w:val="nil"/>
              <w:left w:val="nil"/>
              <w:bottom w:val="single" w:sz="4" w:space="0" w:color="auto"/>
              <w:right w:val="nil"/>
            </w:tcBorders>
            <w:noWrap/>
            <w:vAlign w:val="bottom"/>
            <w:hideMark/>
          </w:tcPr>
          <w:p w14:paraId="0BF5B039"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30</w:t>
            </w:r>
            <w:r w:rsidRPr="00C77AB0">
              <w:rPr>
                <w:rFonts w:eastAsia="Times New Roman" w:cs="Arial"/>
                <w:b/>
                <w:color w:val="000000"/>
                <w:sz w:val="20"/>
                <w:szCs w:val="20"/>
                <w:lang w:eastAsia="en-AU"/>
              </w:rPr>
              <w:t xml:space="preserve"> </w:t>
            </w:r>
          </w:p>
        </w:tc>
      </w:tr>
      <w:tr w:rsidR="0005795C" w:rsidRPr="00167C2B" w14:paraId="75B8F9FD" w14:textId="77777777" w:rsidTr="413EB596">
        <w:tc>
          <w:tcPr>
            <w:tcW w:w="2790" w:type="pct"/>
            <w:tcBorders>
              <w:top w:val="nil"/>
              <w:left w:val="nil"/>
              <w:bottom w:val="nil"/>
              <w:right w:val="nil"/>
            </w:tcBorders>
            <w:noWrap/>
            <w:vAlign w:val="bottom"/>
            <w:hideMark/>
          </w:tcPr>
          <w:p w14:paraId="320FB924"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203E6921"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1553E2AB"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4E2B7F21"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77DE0088" w14:textId="77777777" w:rsidTr="413EB596">
        <w:tc>
          <w:tcPr>
            <w:tcW w:w="2790" w:type="pct"/>
            <w:tcBorders>
              <w:top w:val="nil"/>
              <w:left w:val="nil"/>
              <w:bottom w:val="nil"/>
              <w:right w:val="nil"/>
            </w:tcBorders>
            <w:noWrap/>
            <w:vAlign w:val="bottom"/>
            <w:hideMark/>
          </w:tcPr>
          <w:p w14:paraId="545B596B"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Net assets</w:t>
            </w:r>
          </w:p>
        </w:tc>
        <w:tc>
          <w:tcPr>
            <w:tcW w:w="516" w:type="pct"/>
            <w:tcBorders>
              <w:top w:val="nil"/>
              <w:left w:val="nil"/>
              <w:bottom w:val="nil"/>
              <w:right w:val="nil"/>
            </w:tcBorders>
            <w:noWrap/>
            <w:vAlign w:val="bottom"/>
            <w:hideMark/>
          </w:tcPr>
          <w:p w14:paraId="4F82371C"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double" w:sz="6" w:space="0" w:color="auto"/>
              <w:right w:val="nil"/>
            </w:tcBorders>
            <w:noWrap/>
            <w:vAlign w:val="bottom"/>
            <w:hideMark/>
          </w:tcPr>
          <w:p w14:paraId="518913D3" w14:textId="3A40A851" w:rsidR="0005795C" w:rsidRPr="00C77AB0" w:rsidRDefault="00296BE7"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88,</w:t>
            </w:r>
            <w:r w:rsidR="00092729" w:rsidRPr="413EB596">
              <w:rPr>
                <w:rFonts w:eastAsia="Times New Roman" w:cs="Arial"/>
                <w:b/>
                <w:bCs/>
                <w:color w:val="000000" w:themeColor="text1"/>
                <w:sz w:val="20"/>
                <w:szCs w:val="20"/>
                <w:lang w:eastAsia="en-AU"/>
              </w:rPr>
              <w:t>2</w:t>
            </w:r>
            <w:r w:rsidR="00092729">
              <w:rPr>
                <w:rFonts w:eastAsia="Times New Roman" w:cs="Arial"/>
                <w:b/>
                <w:bCs/>
                <w:color w:val="000000" w:themeColor="text1"/>
                <w:sz w:val="20"/>
                <w:szCs w:val="20"/>
                <w:lang w:eastAsia="en-AU"/>
              </w:rPr>
              <w:t>83</w:t>
            </w:r>
            <w:r w:rsidR="00092729" w:rsidRPr="413EB596">
              <w:rPr>
                <w:rFonts w:eastAsia="Times New Roman" w:cs="Arial"/>
                <w:b/>
                <w:bCs/>
                <w:color w:val="000000" w:themeColor="text1"/>
                <w:sz w:val="20"/>
                <w:szCs w:val="20"/>
                <w:lang w:eastAsia="en-AU"/>
              </w:rPr>
              <w:t xml:space="preserve"> </w:t>
            </w:r>
          </w:p>
        </w:tc>
        <w:tc>
          <w:tcPr>
            <w:tcW w:w="807" w:type="pct"/>
            <w:tcBorders>
              <w:top w:val="nil"/>
              <w:left w:val="nil"/>
              <w:bottom w:val="double" w:sz="6" w:space="0" w:color="auto"/>
              <w:right w:val="nil"/>
            </w:tcBorders>
            <w:noWrap/>
            <w:vAlign w:val="bottom"/>
            <w:hideMark/>
          </w:tcPr>
          <w:p w14:paraId="12CA59A6"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13,850</w:t>
            </w:r>
          </w:p>
        </w:tc>
      </w:tr>
      <w:tr w:rsidR="0005795C" w:rsidRPr="00167C2B" w14:paraId="769C7FB4" w14:textId="77777777" w:rsidTr="413EB596">
        <w:tc>
          <w:tcPr>
            <w:tcW w:w="2790" w:type="pct"/>
            <w:tcBorders>
              <w:top w:val="nil"/>
              <w:left w:val="nil"/>
              <w:bottom w:val="nil"/>
              <w:right w:val="nil"/>
            </w:tcBorders>
            <w:noWrap/>
            <w:vAlign w:val="bottom"/>
            <w:hideMark/>
          </w:tcPr>
          <w:p w14:paraId="1AC74956"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hideMark/>
          </w:tcPr>
          <w:p w14:paraId="6A551951"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5DB937A7"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2598EBD8"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6DE273B4" w14:textId="77777777" w:rsidTr="413EB596">
        <w:tc>
          <w:tcPr>
            <w:tcW w:w="2790" w:type="pct"/>
            <w:tcBorders>
              <w:top w:val="nil"/>
              <w:left w:val="nil"/>
              <w:bottom w:val="nil"/>
              <w:right w:val="nil"/>
            </w:tcBorders>
            <w:noWrap/>
            <w:vAlign w:val="bottom"/>
          </w:tcPr>
          <w:p w14:paraId="6CDC0C1B" w14:textId="77777777" w:rsidR="0005795C" w:rsidRPr="00C77AB0" w:rsidRDefault="0005795C">
            <w:pPr>
              <w:spacing w:after="0" w:line="240" w:lineRule="auto"/>
              <w:rPr>
                <w:rFonts w:eastAsia="Times New Roman" w:cs="Arial"/>
                <w:b/>
                <w:color w:val="000000"/>
                <w:sz w:val="20"/>
                <w:szCs w:val="20"/>
                <w:lang w:eastAsia="en-AU"/>
              </w:rPr>
            </w:pPr>
          </w:p>
        </w:tc>
        <w:tc>
          <w:tcPr>
            <w:tcW w:w="516" w:type="pct"/>
            <w:tcBorders>
              <w:top w:val="nil"/>
              <w:left w:val="nil"/>
              <w:bottom w:val="nil"/>
              <w:right w:val="nil"/>
            </w:tcBorders>
            <w:noWrap/>
            <w:vAlign w:val="bottom"/>
          </w:tcPr>
          <w:p w14:paraId="50C9616B"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tcPr>
          <w:p w14:paraId="58AB1837"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tcPr>
          <w:p w14:paraId="36CCE7B9"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1DA36507" w14:textId="77777777" w:rsidTr="413EB596">
        <w:tc>
          <w:tcPr>
            <w:tcW w:w="2790" w:type="pct"/>
            <w:tcBorders>
              <w:top w:val="nil"/>
              <w:left w:val="nil"/>
              <w:bottom w:val="nil"/>
              <w:right w:val="nil"/>
            </w:tcBorders>
            <w:noWrap/>
            <w:vAlign w:val="bottom"/>
            <w:hideMark/>
          </w:tcPr>
          <w:p w14:paraId="237DB5E1"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Equity</w:t>
            </w:r>
          </w:p>
        </w:tc>
        <w:tc>
          <w:tcPr>
            <w:tcW w:w="516" w:type="pct"/>
            <w:tcBorders>
              <w:top w:val="nil"/>
              <w:left w:val="nil"/>
              <w:bottom w:val="nil"/>
              <w:right w:val="nil"/>
            </w:tcBorders>
            <w:noWrap/>
            <w:vAlign w:val="bottom"/>
            <w:hideMark/>
          </w:tcPr>
          <w:p w14:paraId="28B74B63"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1AD3D5DB" w14:textId="77777777" w:rsidR="0005795C" w:rsidRPr="00F65403" w:rsidRDefault="0005795C">
            <w:pPr>
              <w:tabs>
                <w:tab w:val="decimal" w:pos="1155"/>
              </w:tabs>
              <w:spacing w:after="0" w:line="240" w:lineRule="auto"/>
              <w:rPr>
                <w:rFonts w:eastAsia="Times New Roman" w:cs="Arial"/>
                <w:sz w:val="20"/>
                <w:szCs w:val="20"/>
                <w:lang w:eastAsia="en-AU"/>
              </w:rPr>
            </w:pPr>
          </w:p>
        </w:tc>
        <w:tc>
          <w:tcPr>
            <w:tcW w:w="807" w:type="pct"/>
            <w:tcBorders>
              <w:top w:val="nil"/>
              <w:left w:val="nil"/>
              <w:bottom w:val="nil"/>
              <w:right w:val="nil"/>
            </w:tcBorders>
            <w:noWrap/>
            <w:vAlign w:val="bottom"/>
            <w:hideMark/>
          </w:tcPr>
          <w:p w14:paraId="4BBFF193" w14:textId="77777777" w:rsidR="0005795C" w:rsidRPr="00F65403" w:rsidRDefault="0005795C">
            <w:pPr>
              <w:tabs>
                <w:tab w:val="decimal" w:pos="1155"/>
              </w:tabs>
              <w:spacing w:after="0" w:line="240" w:lineRule="auto"/>
              <w:rPr>
                <w:rFonts w:eastAsia="Times New Roman" w:cs="Arial"/>
                <w:sz w:val="20"/>
                <w:szCs w:val="20"/>
                <w:lang w:eastAsia="en-AU"/>
              </w:rPr>
            </w:pPr>
          </w:p>
        </w:tc>
      </w:tr>
      <w:tr w:rsidR="0005795C" w:rsidRPr="00167C2B" w14:paraId="35A066E9" w14:textId="77777777" w:rsidTr="413EB596">
        <w:tc>
          <w:tcPr>
            <w:tcW w:w="2790" w:type="pct"/>
            <w:tcBorders>
              <w:top w:val="nil"/>
              <w:left w:val="nil"/>
              <w:bottom w:val="nil"/>
              <w:right w:val="nil"/>
            </w:tcBorders>
            <w:noWrap/>
            <w:vAlign w:val="bottom"/>
            <w:hideMark/>
          </w:tcPr>
          <w:p w14:paraId="2067821B"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Contributed capital</w:t>
            </w:r>
          </w:p>
        </w:tc>
        <w:tc>
          <w:tcPr>
            <w:tcW w:w="516" w:type="pct"/>
            <w:tcBorders>
              <w:top w:val="nil"/>
              <w:left w:val="nil"/>
              <w:bottom w:val="nil"/>
              <w:right w:val="nil"/>
            </w:tcBorders>
            <w:noWrap/>
            <w:vAlign w:val="bottom"/>
            <w:hideMark/>
          </w:tcPr>
          <w:p w14:paraId="3DF70101" w14:textId="61DB889B" w:rsidR="0005795C" w:rsidRPr="00F65403" w:rsidRDefault="00C824FC">
            <w:pPr>
              <w:spacing w:after="0" w:line="240" w:lineRule="auto"/>
              <w:jc w:val="center"/>
              <w:rPr>
                <w:rFonts w:eastAsia="Times New Roman" w:cs="Arial"/>
                <w:sz w:val="20"/>
                <w:szCs w:val="20"/>
                <w:lang w:eastAsia="en-AU"/>
              </w:rPr>
            </w:pPr>
            <w:r w:rsidRPr="413EB596">
              <w:rPr>
                <w:rFonts w:eastAsia="Times New Roman" w:cs="Arial"/>
                <w:sz w:val="20"/>
                <w:szCs w:val="20"/>
                <w:lang w:eastAsia="en-AU"/>
              </w:rPr>
              <w:t>6</w:t>
            </w:r>
          </w:p>
        </w:tc>
        <w:tc>
          <w:tcPr>
            <w:tcW w:w="887" w:type="pct"/>
            <w:tcBorders>
              <w:top w:val="nil"/>
              <w:left w:val="nil"/>
              <w:bottom w:val="nil"/>
              <w:right w:val="nil"/>
            </w:tcBorders>
            <w:noWrap/>
            <w:vAlign w:val="bottom"/>
            <w:hideMark/>
          </w:tcPr>
          <w:p w14:paraId="47EE49DF"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49,900</w:t>
            </w:r>
            <w:r w:rsidRPr="00C77AB0">
              <w:rPr>
                <w:rFonts w:eastAsia="Times New Roman" w:cs="Arial"/>
                <w:color w:val="000000"/>
                <w:sz w:val="20"/>
                <w:szCs w:val="20"/>
                <w:lang w:eastAsia="en-AU"/>
              </w:rPr>
              <w:t xml:space="preserve"> </w:t>
            </w:r>
          </w:p>
        </w:tc>
        <w:tc>
          <w:tcPr>
            <w:tcW w:w="807" w:type="pct"/>
            <w:tcBorders>
              <w:top w:val="nil"/>
              <w:left w:val="nil"/>
              <w:bottom w:val="nil"/>
              <w:right w:val="nil"/>
            </w:tcBorders>
            <w:noWrap/>
            <w:vAlign w:val="bottom"/>
            <w:hideMark/>
          </w:tcPr>
          <w:p w14:paraId="1B94C6EE"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r>
      <w:tr w:rsidR="0005795C" w:rsidRPr="00167C2B" w14:paraId="17749883" w14:textId="77777777" w:rsidTr="413EB596">
        <w:tc>
          <w:tcPr>
            <w:tcW w:w="2790" w:type="pct"/>
            <w:tcBorders>
              <w:top w:val="nil"/>
              <w:left w:val="nil"/>
              <w:bottom w:val="nil"/>
              <w:right w:val="nil"/>
            </w:tcBorders>
            <w:vAlign w:val="bottom"/>
            <w:hideMark/>
          </w:tcPr>
          <w:p w14:paraId="6598D94D" w14:textId="77777777" w:rsidR="0005795C" w:rsidRPr="00C77AB0" w:rsidRDefault="0005795C">
            <w:pPr>
              <w:spacing w:after="0" w:line="240" w:lineRule="auto"/>
              <w:rPr>
                <w:rFonts w:eastAsia="Times New Roman" w:cs="Arial"/>
                <w:color w:val="000000"/>
                <w:sz w:val="20"/>
                <w:szCs w:val="20"/>
                <w:lang w:eastAsia="en-AU"/>
              </w:rPr>
            </w:pPr>
            <w:r w:rsidRPr="00C77AB0">
              <w:rPr>
                <w:rFonts w:eastAsia="Times New Roman" w:cs="Arial"/>
                <w:color w:val="000000"/>
                <w:sz w:val="20"/>
                <w:szCs w:val="20"/>
                <w:lang w:eastAsia="en-AU"/>
              </w:rPr>
              <w:t>Retained earnings</w:t>
            </w:r>
          </w:p>
        </w:tc>
        <w:tc>
          <w:tcPr>
            <w:tcW w:w="516" w:type="pct"/>
            <w:tcBorders>
              <w:top w:val="nil"/>
              <w:left w:val="nil"/>
              <w:bottom w:val="nil"/>
              <w:right w:val="nil"/>
            </w:tcBorders>
            <w:noWrap/>
            <w:vAlign w:val="bottom"/>
            <w:hideMark/>
          </w:tcPr>
          <w:p w14:paraId="33D544F3"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nil"/>
              <w:left w:val="nil"/>
              <w:bottom w:val="nil"/>
              <w:right w:val="nil"/>
            </w:tcBorders>
            <w:noWrap/>
            <w:vAlign w:val="bottom"/>
            <w:hideMark/>
          </w:tcPr>
          <w:p w14:paraId="17C30049" w14:textId="5D85F66D" w:rsidR="0005795C" w:rsidRPr="00C77AB0" w:rsidRDefault="00296BE7">
            <w:pPr>
              <w:tabs>
                <w:tab w:val="decimal" w:pos="1155"/>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38,</w:t>
            </w:r>
            <w:r w:rsidR="00092729" w:rsidRPr="413EB596">
              <w:rPr>
                <w:rFonts w:eastAsia="Times New Roman" w:cs="Arial"/>
                <w:color w:val="000000" w:themeColor="text1"/>
                <w:sz w:val="20"/>
                <w:szCs w:val="20"/>
                <w:lang w:eastAsia="en-AU"/>
              </w:rPr>
              <w:t>3</w:t>
            </w:r>
            <w:r w:rsidR="00092729">
              <w:rPr>
                <w:rFonts w:eastAsia="Times New Roman" w:cs="Arial"/>
                <w:color w:val="000000" w:themeColor="text1"/>
                <w:sz w:val="20"/>
                <w:szCs w:val="20"/>
                <w:lang w:eastAsia="en-AU"/>
              </w:rPr>
              <w:t>83</w:t>
            </w:r>
          </w:p>
        </w:tc>
        <w:tc>
          <w:tcPr>
            <w:tcW w:w="807" w:type="pct"/>
            <w:tcBorders>
              <w:top w:val="nil"/>
              <w:left w:val="nil"/>
              <w:bottom w:val="single" w:sz="4" w:space="0" w:color="auto"/>
              <w:right w:val="nil"/>
            </w:tcBorders>
            <w:noWrap/>
            <w:vAlign w:val="bottom"/>
            <w:hideMark/>
          </w:tcPr>
          <w:p w14:paraId="2EEEBA7A" w14:textId="77777777" w:rsidR="0005795C" w:rsidRPr="00C77AB0" w:rsidRDefault="0005795C">
            <w:pPr>
              <w:tabs>
                <w:tab w:val="decimal" w:pos="1155"/>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13,800</w:t>
            </w:r>
          </w:p>
        </w:tc>
      </w:tr>
      <w:tr w:rsidR="0005795C" w:rsidRPr="00167C2B" w14:paraId="4A2C6A7C" w14:textId="77777777" w:rsidTr="413EB596">
        <w:tc>
          <w:tcPr>
            <w:tcW w:w="2790" w:type="pct"/>
            <w:tcBorders>
              <w:top w:val="nil"/>
              <w:left w:val="nil"/>
              <w:bottom w:val="nil"/>
              <w:right w:val="nil"/>
            </w:tcBorders>
            <w:vAlign w:val="bottom"/>
            <w:hideMark/>
          </w:tcPr>
          <w:p w14:paraId="6F0BAA49" w14:textId="77777777" w:rsidR="0005795C" w:rsidRPr="00C77AB0" w:rsidRDefault="0005795C">
            <w:pPr>
              <w:spacing w:after="0" w:line="240" w:lineRule="auto"/>
              <w:rPr>
                <w:rFonts w:eastAsia="Times New Roman" w:cs="Arial"/>
                <w:b/>
                <w:color w:val="000000"/>
                <w:sz w:val="20"/>
                <w:szCs w:val="20"/>
                <w:lang w:eastAsia="en-AU"/>
              </w:rPr>
            </w:pPr>
            <w:r w:rsidRPr="00C77AB0">
              <w:rPr>
                <w:rFonts w:eastAsia="Times New Roman" w:cs="Arial"/>
                <w:b/>
                <w:color w:val="000000"/>
                <w:sz w:val="20"/>
                <w:szCs w:val="20"/>
                <w:lang w:eastAsia="en-AU"/>
              </w:rPr>
              <w:t>Total Equity</w:t>
            </w:r>
          </w:p>
        </w:tc>
        <w:tc>
          <w:tcPr>
            <w:tcW w:w="516" w:type="pct"/>
            <w:tcBorders>
              <w:top w:val="nil"/>
              <w:left w:val="nil"/>
              <w:bottom w:val="nil"/>
              <w:right w:val="nil"/>
            </w:tcBorders>
            <w:noWrap/>
            <w:vAlign w:val="bottom"/>
            <w:hideMark/>
          </w:tcPr>
          <w:p w14:paraId="2D90A469" w14:textId="77777777" w:rsidR="0005795C" w:rsidRPr="00F65403" w:rsidRDefault="0005795C">
            <w:pPr>
              <w:spacing w:after="0" w:line="240" w:lineRule="auto"/>
              <w:jc w:val="center"/>
              <w:rPr>
                <w:rFonts w:eastAsia="Times New Roman" w:cs="Arial"/>
                <w:sz w:val="20"/>
                <w:szCs w:val="20"/>
                <w:lang w:eastAsia="en-AU"/>
              </w:rPr>
            </w:pPr>
          </w:p>
        </w:tc>
        <w:tc>
          <w:tcPr>
            <w:tcW w:w="887" w:type="pct"/>
            <w:tcBorders>
              <w:top w:val="single" w:sz="4" w:space="0" w:color="auto"/>
              <w:left w:val="nil"/>
              <w:bottom w:val="double" w:sz="6" w:space="0" w:color="auto"/>
              <w:right w:val="nil"/>
            </w:tcBorders>
            <w:noWrap/>
            <w:vAlign w:val="bottom"/>
            <w:hideMark/>
          </w:tcPr>
          <w:p w14:paraId="21002D95" w14:textId="774BACFA" w:rsidR="0005795C" w:rsidRPr="00C77AB0" w:rsidRDefault="00296BE7" w:rsidP="413EB596">
            <w:pPr>
              <w:tabs>
                <w:tab w:val="decimal" w:pos="1155"/>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88,</w:t>
            </w:r>
            <w:r w:rsidR="00092729" w:rsidRPr="413EB596">
              <w:rPr>
                <w:rFonts w:eastAsia="Times New Roman" w:cs="Arial"/>
                <w:b/>
                <w:bCs/>
                <w:color w:val="000000" w:themeColor="text1"/>
                <w:sz w:val="20"/>
                <w:szCs w:val="20"/>
                <w:lang w:eastAsia="en-AU"/>
              </w:rPr>
              <w:t>2</w:t>
            </w:r>
            <w:r w:rsidR="00092729">
              <w:rPr>
                <w:rFonts w:eastAsia="Times New Roman" w:cs="Arial"/>
                <w:b/>
                <w:bCs/>
                <w:color w:val="000000" w:themeColor="text1"/>
                <w:sz w:val="20"/>
                <w:szCs w:val="20"/>
                <w:lang w:eastAsia="en-AU"/>
              </w:rPr>
              <w:t>83</w:t>
            </w:r>
          </w:p>
        </w:tc>
        <w:tc>
          <w:tcPr>
            <w:tcW w:w="807" w:type="pct"/>
            <w:tcBorders>
              <w:top w:val="nil"/>
              <w:left w:val="nil"/>
              <w:bottom w:val="double" w:sz="6" w:space="0" w:color="auto"/>
              <w:right w:val="nil"/>
            </w:tcBorders>
            <w:noWrap/>
            <w:vAlign w:val="bottom"/>
            <w:hideMark/>
          </w:tcPr>
          <w:p w14:paraId="1EE17403" w14:textId="77777777" w:rsidR="0005795C" w:rsidRPr="00C77AB0" w:rsidRDefault="0005795C">
            <w:pPr>
              <w:tabs>
                <w:tab w:val="decimal" w:pos="1155"/>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13,850</w:t>
            </w:r>
          </w:p>
        </w:tc>
      </w:tr>
    </w:tbl>
    <w:p w14:paraId="24FDF742" w14:textId="77777777" w:rsidR="0005795C" w:rsidRPr="001C1467" w:rsidRDefault="0005795C" w:rsidP="0005795C">
      <w:pPr>
        <w:pStyle w:val="BodyText"/>
        <w:rPr>
          <w:i/>
          <w:lang w:val="en-AU"/>
        </w:rPr>
      </w:pPr>
      <w:r w:rsidRPr="00F65403">
        <w:rPr>
          <w:i/>
          <w:lang w:val="en-AU"/>
        </w:rPr>
        <w:br/>
        <w:t>The above statement of financial position should be read in conjunction with the accompanying notes. </w:t>
      </w:r>
    </w:p>
    <w:p w14:paraId="3E035B25" w14:textId="77777777" w:rsidR="0005795C" w:rsidRDefault="0005795C" w:rsidP="0005795C">
      <w:pPr>
        <w:rPr>
          <w:rFonts w:eastAsiaTheme="majorEastAsia" w:cstheme="majorBidi"/>
          <w:sz w:val="32"/>
          <w:szCs w:val="32"/>
        </w:rPr>
      </w:pPr>
      <w:r>
        <w:br w:type="page"/>
      </w:r>
    </w:p>
    <w:p w14:paraId="21CC6ED0" w14:textId="77777777" w:rsidR="0005795C" w:rsidRPr="0048780B" w:rsidRDefault="0005795C" w:rsidP="00B254AC">
      <w:pPr>
        <w:pStyle w:val="Heading1"/>
      </w:pPr>
      <w:bookmarkStart w:id="649" w:name="_Toc208418066"/>
      <w:bookmarkStart w:id="650" w:name="_Toc209080430"/>
      <w:bookmarkStart w:id="651" w:name="_Toc209704000"/>
      <w:bookmarkStart w:id="652" w:name="_Toc209704053"/>
      <w:bookmarkStart w:id="653" w:name="_Toc209704106"/>
      <w:r>
        <w:t>S</w:t>
      </w:r>
      <w:r w:rsidRPr="0048780B">
        <w:t>tatement of changes in equity</w:t>
      </w:r>
      <w:bookmarkEnd w:id="649"/>
      <w:bookmarkEnd w:id="650"/>
      <w:bookmarkEnd w:id="651"/>
      <w:bookmarkEnd w:id="652"/>
      <w:bookmarkEnd w:id="653"/>
      <w:r w:rsidRPr="0048780B">
        <w:t> </w:t>
      </w:r>
    </w:p>
    <w:p w14:paraId="3AC3E945" w14:textId="77777777" w:rsidR="0005795C" w:rsidRPr="00F65403" w:rsidRDefault="0005795C" w:rsidP="0005795C">
      <w:pPr>
        <w:pStyle w:val="Heading3"/>
        <w:rPr>
          <w:rFonts w:cs="Arial"/>
          <w:sz w:val="22"/>
          <w:szCs w:val="22"/>
        </w:rPr>
      </w:pPr>
      <w:r w:rsidRPr="4FD260F1">
        <w:rPr>
          <w:rFonts w:cs="Arial"/>
        </w:rPr>
        <w:t>For the year ended 30 June 2025</w:t>
      </w:r>
    </w:p>
    <w:tbl>
      <w:tblPr>
        <w:tblW w:w="4854" w:type="pct"/>
        <w:tblCellMar>
          <w:top w:w="28" w:type="dxa"/>
          <w:left w:w="28" w:type="dxa"/>
          <w:bottom w:w="28" w:type="dxa"/>
          <w:right w:w="28" w:type="dxa"/>
        </w:tblCellMar>
        <w:tblLook w:val="04A0" w:firstRow="1" w:lastRow="0" w:firstColumn="1" w:lastColumn="0" w:noHBand="0" w:noVBand="1"/>
      </w:tblPr>
      <w:tblGrid>
        <w:gridCol w:w="3492"/>
        <w:gridCol w:w="1248"/>
        <w:gridCol w:w="1495"/>
        <w:gridCol w:w="1279"/>
        <w:gridCol w:w="1248"/>
      </w:tblGrid>
      <w:tr w:rsidR="0005795C" w:rsidRPr="003D7E2B" w14:paraId="7DD8AE1A" w14:textId="77777777" w:rsidTr="413EB596">
        <w:tc>
          <w:tcPr>
            <w:tcW w:w="1993" w:type="pct"/>
            <w:tcBorders>
              <w:top w:val="nil"/>
              <w:left w:val="nil"/>
              <w:bottom w:val="nil"/>
              <w:right w:val="nil"/>
            </w:tcBorders>
            <w:noWrap/>
            <w:vAlign w:val="bottom"/>
            <w:hideMark/>
          </w:tcPr>
          <w:p w14:paraId="08D8CF64" w14:textId="77777777" w:rsidR="0005795C" w:rsidRPr="008F1B1D" w:rsidRDefault="0005795C">
            <w:pPr>
              <w:spacing w:after="0" w:line="240" w:lineRule="auto"/>
              <w:rPr>
                <w:rFonts w:eastAsia="Times New Roman" w:cs="Arial"/>
                <w:sz w:val="20"/>
                <w:szCs w:val="20"/>
                <w:lang w:eastAsia="en-AU"/>
              </w:rPr>
            </w:pPr>
          </w:p>
        </w:tc>
        <w:tc>
          <w:tcPr>
            <w:tcW w:w="712" w:type="pct"/>
            <w:tcBorders>
              <w:top w:val="nil"/>
              <w:left w:val="nil"/>
              <w:bottom w:val="nil"/>
              <w:right w:val="nil"/>
            </w:tcBorders>
            <w:vAlign w:val="bottom"/>
            <w:hideMark/>
          </w:tcPr>
          <w:p w14:paraId="0098E235"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Contributed capital</w:t>
            </w:r>
          </w:p>
        </w:tc>
        <w:tc>
          <w:tcPr>
            <w:tcW w:w="853" w:type="pct"/>
            <w:tcBorders>
              <w:top w:val="nil"/>
              <w:left w:val="nil"/>
              <w:bottom w:val="nil"/>
              <w:right w:val="nil"/>
            </w:tcBorders>
            <w:noWrap/>
            <w:vAlign w:val="bottom"/>
            <w:hideMark/>
          </w:tcPr>
          <w:p w14:paraId="042ACB8C"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Reserves</w:t>
            </w:r>
          </w:p>
        </w:tc>
        <w:tc>
          <w:tcPr>
            <w:tcW w:w="730" w:type="pct"/>
            <w:tcBorders>
              <w:top w:val="nil"/>
              <w:left w:val="nil"/>
              <w:bottom w:val="nil"/>
              <w:right w:val="nil"/>
            </w:tcBorders>
            <w:vAlign w:val="bottom"/>
            <w:hideMark/>
          </w:tcPr>
          <w:p w14:paraId="78CF677D"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Retained earnings</w:t>
            </w:r>
          </w:p>
        </w:tc>
        <w:tc>
          <w:tcPr>
            <w:tcW w:w="712" w:type="pct"/>
            <w:tcBorders>
              <w:top w:val="nil"/>
              <w:left w:val="nil"/>
              <w:bottom w:val="nil"/>
              <w:right w:val="nil"/>
            </w:tcBorders>
            <w:noWrap/>
            <w:vAlign w:val="bottom"/>
            <w:hideMark/>
          </w:tcPr>
          <w:p w14:paraId="47C22380"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Total</w:t>
            </w:r>
          </w:p>
        </w:tc>
      </w:tr>
      <w:tr w:rsidR="0005795C" w:rsidRPr="003D7E2B" w14:paraId="3C54D429" w14:textId="77777777" w:rsidTr="413EB596">
        <w:tc>
          <w:tcPr>
            <w:tcW w:w="1993" w:type="pct"/>
            <w:tcBorders>
              <w:top w:val="nil"/>
              <w:left w:val="nil"/>
              <w:bottom w:val="nil"/>
              <w:right w:val="nil"/>
            </w:tcBorders>
            <w:vAlign w:val="bottom"/>
            <w:hideMark/>
          </w:tcPr>
          <w:p w14:paraId="7C9C1C05" w14:textId="77777777" w:rsidR="0005795C" w:rsidRPr="008F1B1D" w:rsidRDefault="0005795C">
            <w:pPr>
              <w:spacing w:after="0" w:line="240" w:lineRule="auto"/>
              <w:rPr>
                <w:rFonts w:eastAsia="Times New Roman" w:cs="Arial"/>
                <w:b/>
                <w:color w:val="000000"/>
                <w:sz w:val="20"/>
                <w:szCs w:val="20"/>
                <w:lang w:eastAsia="en-AU"/>
              </w:rPr>
            </w:pPr>
          </w:p>
        </w:tc>
        <w:tc>
          <w:tcPr>
            <w:tcW w:w="712" w:type="pct"/>
            <w:tcBorders>
              <w:top w:val="nil"/>
              <w:left w:val="nil"/>
              <w:bottom w:val="nil"/>
              <w:right w:val="nil"/>
            </w:tcBorders>
            <w:noWrap/>
            <w:vAlign w:val="bottom"/>
            <w:hideMark/>
          </w:tcPr>
          <w:p w14:paraId="0BEBE055"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853" w:type="pct"/>
            <w:tcBorders>
              <w:top w:val="nil"/>
              <w:left w:val="nil"/>
              <w:bottom w:val="nil"/>
              <w:right w:val="nil"/>
            </w:tcBorders>
            <w:noWrap/>
            <w:vAlign w:val="bottom"/>
            <w:hideMark/>
          </w:tcPr>
          <w:p w14:paraId="7309E1BC"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730" w:type="pct"/>
            <w:tcBorders>
              <w:top w:val="nil"/>
              <w:left w:val="nil"/>
              <w:bottom w:val="nil"/>
              <w:right w:val="nil"/>
            </w:tcBorders>
            <w:noWrap/>
            <w:vAlign w:val="bottom"/>
            <w:hideMark/>
          </w:tcPr>
          <w:p w14:paraId="5D25E6BA"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c>
          <w:tcPr>
            <w:tcW w:w="712" w:type="pct"/>
            <w:tcBorders>
              <w:top w:val="nil"/>
              <w:left w:val="nil"/>
              <w:bottom w:val="nil"/>
              <w:right w:val="nil"/>
            </w:tcBorders>
            <w:noWrap/>
            <w:vAlign w:val="bottom"/>
            <w:hideMark/>
          </w:tcPr>
          <w:p w14:paraId="12114A1C" w14:textId="77777777" w:rsidR="0005795C" w:rsidRPr="008F1B1D" w:rsidRDefault="0005795C">
            <w:pPr>
              <w:spacing w:after="0" w:line="240" w:lineRule="auto"/>
              <w:jc w:val="center"/>
              <w:rPr>
                <w:rFonts w:eastAsia="Times New Roman" w:cs="Arial"/>
                <w:b/>
                <w:color w:val="000000"/>
                <w:sz w:val="20"/>
                <w:szCs w:val="20"/>
                <w:lang w:eastAsia="en-AU"/>
              </w:rPr>
            </w:pPr>
            <w:r w:rsidRPr="008F1B1D">
              <w:rPr>
                <w:rFonts w:eastAsia="Times New Roman" w:cs="Arial"/>
                <w:b/>
                <w:color w:val="000000"/>
                <w:sz w:val="20"/>
                <w:szCs w:val="20"/>
                <w:lang w:eastAsia="en-AU"/>
              </w:rPr>
              <w:t>$000's</w:t>
            </w:r>
          </w:p>
        </w:tc>
      </w:tr>
      <w:tr w:rsidR="0005795C" w:rsidRPr="003D7E2B" w14:paraId="2C5F2B25" w14:textId="77777777" w:rsidTr="413EB596">
        <w:tc>
          <w:tcPr>
            <w:tcW w:w="1993" w:type="pct"/>
            <w:tcBorders>
              <w:top w:val="nil"/>
              <w:left w:val="nil"/>
              <w:bottom w:val="nil"/>
              <w:right w:val="nil"/>
            </w:tcBorders>
            <w:noWrap/>
            <w:vAlign w:val="bottom"/>
            <w:hideMark/>
          </w:tcPr>
          <w:p w14:paraId="1D5C0762" w14:textId="77777777" w:rsidR="0005795C" w:rsidRPr="008F1B1D" w:rsidRDefault="0005795C">
            <w:pPr>
              <w:spacing w:after="0" w:line="240" w:lineRule="auto"/>
              <w:rPr>
                <w:rFonts w:eastAsia="Times New Roman" w:cs="Arial"/>
                <w:b/>
                <w:color w:val="000000"/>
                <w:sz w:val="20"/>
                <w:szCs w:val="20"/>
                <w:lang w:eastAsia="en-AU"/>
              </w:rPr>
            </w:pPr>
          </w:p>
        </w:tc>
        <w:tc>
          <w:tcPr>
            <w:tcW w:w="712" w:type="pct"/>
            <w:tcBorders>
              <w:top w:val="nil"/>
              <w:left w:val="nil"/>
              <w:bottom w:val="nil"/>
              <w:right w:val="nil"/>
            </w:tcBorders>
            <w:noWrap/>
            <w:vAlign w:val="bottom"/>
            <w:hideMark/>
          </w:tcPr>
          <w:p w14:paraId="6E93EFF3"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hideMark/>
          </w:tcPr>
          <w:p w14:paraId="3C6923B4"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30" w:type="pct"/>
            <w:tcBorders>
              <w:top w:val="nil"/>
              <w:left w:val="nil"/>
              <w:bottom w:val="nil"/>
              <w:right w:val="nil"/>
            </w:tcBorders>
            <w:noWrap/>
            <w:vAlign w:val="bottom"/>
            <w:hideMark/>
          </w:tcPr>
          <w:p w14:paraId="288B95EC"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12" w:type="pct"/>
            <w:tcBorders>
              <w:top w:val="nil"/>
              <w:left w:val="nil"/>
              <w:bottom w:val="nil"/>
              <w:right w:val="nil"/>
            </w:tcBorders>
            <w:noWrap/>
            <w:vAlign w:val="bottom"/>
            <w:hideMark/>
          </w:tcPr>
          <w:p w14:paraId="0E0336EF" w14:textId="77777777" w:rsidR="0005795C" w:rsidRPr="008F1B1D" w:rsidRDefault="0005795C">
            <w:pPr>
              <w:tabs>
                <w:tab w:val="decimal" w:pos="1048"/>
              </w:tabs>
              <w:spacing w:after="0" w:line="240" w:lineRule="auto"/>
              <w:rPr>
                <w:rFonts w:eastAsia="Times New Roman" w:cs="Arial"/>
                <w:sz w:val="20"/>
                <w:szCs w:val="20"/>
                <w:lang w:eastAsia="en-AU"/>
              </w:rPr>
            </w:pPr>
          </w:p>
        </w:tc>
      </w:tr>
      <w:tr w:rsidR="0005795C" w:rsidRPr="003D7E2B" w14:paraId="369063DD" w14:textId="77777777" w:rsidTr="413EB596">
        <w:tc>
          <w:tcPr>
            <w:tcW w:w="1993" w:type="pct"/>
            <w:tcBorders>
              <w:top w:val="nil"/>
              <w:left w:val="nil"/>
              <w:bottom w:val="nil"/>
              <w:right w:val="nil"/>
            </w:tcBorders>
            <w:noWrap/>
            <w:vAlign w:val="bottom"/>
            <w:hideMark/>
          </w:tcPr>
          <w:p w14:paraId="5A06E662" w14:textId="2D37FCEA" w:rsidR="0005795C" w:rsidRPr="008F1B1D" w:rsidRDefault="0005795C">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2</w:t>
            </w:r>
            <w:r w:rsidR="00EF3FAF">
              <w:rPr>
                <w:rFonts w:eastAsia="Times New Roman" w:cs="Arial"/>
                <w:b/>
                <w:color w:val="000000"/>
                <w:sz w:val="20"/>
                <w:szCs w:val="20"/>
                <w:lang w:eastAsia="en-AU"/>
              </w:rPr>
              <w:t>6</w:t>
            </w:r>
            <w:r w:rsidRPr="008F1B1D">
              <w:rPr>
                <w:rFonts w:eastAsia="Times New Roman" w:cs="Arial"/>
                <w:b/>
                <w:color w:val="000000"/>
                <w:sz w:val="20"/>
                <w:szCs w:val="20"/>
                <w:lang w:eastAsia="en-AU"/>
              </w:rPr>
              <w:t xml:space="preserve"> October 2023</w:t>
            </w:r>
          </w:p>
        </w:tc>
        <w:tc>
          <w:tcPr>
            <w:tcW w:w="712" w:type="pct"/>
            <w:tcBorders>
              <w:top w:val="nil"/>
              <w:left w:val="nil"/>
              <w:bottom w:val="nil"/>
              <w:right w:val="nil"/>
            </w:tcBorders>
            <w:noWrap/>
            <w:vAlign w:val="bottom"/>
            <w:hideMark/>
          </w:tcPr>
          <w:p w14:paraId="55C1236E"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sidRPr="008F1B1D">
              <w:rPr>
                <w:rFonts w:eastAsia="Times New Roman" w:cs="Arial"/>
                <w:b/>
                <w:bCs/>
                <w:color w:val="000000"/>
                <w:sz w:val="20"/>
                <w:szCs w:val="20"/>
                <w:lang w:eastAsia="en-AU"/>
              </w:rPr>
              <w:t>-</w:t>
            </w:r>
          </w:p>
        </w:tc>
        <w:tc>
          <w:tcPr>
            <w:tcW w:w="853" w:type="pct"/>
            <w:tcBorders>
              <w:top w:val="nil"/>
              <w:left w:val="nil"/>
              <w:bottom w:val="nil"/>
              <w:right w:val="nil"/>
            </w:tcBorders>
            <w:noWrap/>
            <w:vAlign w:val="bottom"/>
            <w:hideMark/>
          </w:tcPr>
          <w:p w14:paraId="6D790707"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30" w:type="pct"/>
            <w:tcBorders>
              <w:top w:val="nil"/>
              <w:left w:val="nil"/>
              <w:bottom w:val="nil"/>
              <w:right w:val="nil"/>
            </w:tcBorders>
            <w:noWrap/>
            <w:vAlign w:val="bottom"/>
            <w:hideMark/>
          </w:tcPr>
          <w:p w14:paraId="570F901A"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12" w:type="pct"/>
            <w:tcBorders>
              <w:top w:val="nil"/>
              <w:left w:val="nil"/>
              <w:bottom w:val="nil"/>
              <w:right w:val="nil"/>
            </w:tcBorders>
            <w:noWrap/>
            <w:vAlign w:val="bottom"/>
            <w:hideMark/>
          </w:tcPr>
          <w:p w14:paraId="0B181954"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w:t>
            </w:r>
          </w:p>
        </w:tc>
      </w:tr>
      <w:tr w:rsidR="0005795C" w:rsidRPr="003D7E2B" w14:paraId="4F557917" w14:textId="77777777" w:rsidTr="00E326C0">
        <w:trPr>
          <w:trHeight w:val="300"/>
        </w:trPr>
        <w:tc>
          <w:tcPr>
            <w:tcW w:w="1993" w:type="pct"/>
            <w:tcBorders>
              <w:top w:val="nil"/>
              <w:left w:val="nil"/>
              <w:bottom w:val="nil"/>
              <w:right w:val="nil"/>
            </w:tcBorders>
            <w:noWrap/>
            <w:vAlign w:val="bottom"/>
            <w:hideMark/>
          </w:tcPr>
          <w:p w14:paraId="5C53DF8A" w14:textId="57EE6DDB" w:rsidR="0005795C" w:rsidRPr="008F1B1D" w:rsidRDefault="0005795C">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Profit for the period</w:t>
            </w:r>
          </w:p>
        </w:tc>
        <w:tc>
          <w:tcPr>
            <w:tcW w:w="712" w:type="pct"/>
            <w:tcBorders>
              <w:top w:val="nil"/>
              <w:left w:val="nil"/>
              <w:right w:val="nil"/>
            </w:tcBorders>
            <w:noWrap/>
            <w:vAlign w:val="bottom"/>
            <w:hideMark/>
          </w:tcPr>
          <w:p w14:paraId="18B38B33"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right w:val="nil"/>
            </w:tcBorders>
            <w:noWrap/>
            <w:vAlign w:val="bottom"/>
            <w:hideMark/>
          </w:tcPr>
          <w:p w14:paraId="3AEFE3BE"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0" w:type="pct"/>
            <w:tcBorders>
              <w:top w:val="nil"/>
              <w:left w:val="nil"/>
              <w:right w:val="nil"/>
            </w:tcBorders>
            <w:noWrap/>
            <w:vAlign w:val="bottom"/>
            <w:hideMark/>
          </w:tcPr>
          <w:p w14:paraId="2000BD0D"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13,800</w:t>
            </w:r>
          </w:p>
        </w:tc>
        <w:tc>
          <w:tcPr>
            <w:tcW w:w="712" w:type="pct"/>
            <w:tcBorders>
              <w:top w:val="nil"/>
              <w:left w:val="nil"/>
              <w:right w:val="nil"/>
            </w:tcBorders>
            <w:noWrap/>
            <w:vAlign w:val="bottom"/>
            <w:hideMark/>
          </w:tcPr>
          <w:p w14:paraId="57616B12"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13,800</w:t>
            </w:r>
          </w:p>
        </w:tc>
      </w:tr>
      <w:tr w:rsidR="0005795C" w:rsidRPr="003D7E2B" w14:paraId="63A3B0FB" w14:textId="77777777" w:rsidTr="00E326C0">
        <w:trPr>
          <w:trHeight w:val="300"/>
        </w:trPr>
        <w:tc>
          <w:tcPr>
            <w:tcW w:w="1993" w:type="pct"/>
            <w:tcBorders>
              <w:top w:val="nil"/>
              <w:left w:val="nil"/>
              <w:bottom w:val="nil"/>
              <w:right w:val="nil"/>
            </w:tcBorders>
            <w:vAlign w:val="bottom"/>
            <w:hideMark/>
          </w:tcPr>
          <w:p w14:paraId="1D13423F" w14:textId="25B36F60" w:rsidR="0005795C" w:rsidRPr="008F1B1D" w:rsidRDefault="0005795C">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Other comprehensive income</w:t>
            </w:r>
            <w:r w:rsidR="00C002A3">
              <w:rPr>
                <w:rFonts w:eastAsia="Times New Roman" w:cs="Arial"/>
                <w:color w:val="000000"/>
                <w:sz w:val="20"/>
                <w:szCs w:val="20"/>
                <w:lang w:eastAsia="en-AU"/>
              </w:rPr>
              <w:t xml:space="preserve"> </w:t>
            </w:r>
            <w:r w:rsidRPr="008F1B1D">
              <w:rPr>
                <w:rFonts w:eastAsia="Times New Roman" w:cs="Arial"/>
                <w:color w:val="000000"/>
                <w:sz w:val="20"/>
                <w:szCs w:val="20"/>
                <w:lang w:eastAsia="en-AU"/>
              </w:rPr>
              <w:t xml:space="preserve">for the </w:t>
            </w:r>
            <w:r w:rsidR="00C002A3">
              <w:rPr>
                <w:rFonts w:eastAsia="Times New Roman" w:cs="Arial"/>
                <w:color w:val="000000"/>
                <w:sz w:val="20"/>
                <w:szCs w:val="20"/>
                <w:lang w:eastAsia="en-AU"/>
              </w:rPr>
              <w:t>period</w:t>
            </w:r>
            <w:r w:rsidRPr="008F1B1D">
              <w:rPr>
                <w:rFonts w:eastAsia="Times New Roman" w:cs="Arial"/>
                <w:color w:val="000000"/>
                <w:sz w:val="20"/>
                <w:szCs w:val="20"/>
                <w:lang w:eastAsia="en-AU"/>
              </w:rPr>
              <w:t>, net of income tax</w:t>
            </w:r>
          </w:p>
        </w:tc>
        <w:tc>
          <w:tcPr>
            <w:tcW w:w="712" w:type="pct"/>
            <w:tcBorders>
              <w:top w:val="nil"/>
              <w:left w:val="nil"/>
              <w:bottom w:val="single" w:sz="4" w:space="0" w:color="auto"/>
              <w:right w:val="nil"/>
            </w:tcBorders>
            <w:noWrap/>
            <w:vAlign w:val="bottom"/>
            <w:hideMark/>
          </w:tcPr>
          <w:p w14:paraId="06E12B07"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single" w:sz="4" w:space="0" w:color="auto"/>
              <w:right w:val="nil"/>
            </w:tcBorders>
            <w:noWrap/>
            <w:vAlign w:val="bottom"/>
            <w:hideMark/>
          </w:tcPr>
          <w:p w14:paraId="073C719B"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w:t>
            </w:r>
          </w:p>
        </w:tc>
        <w:tc>
          <w:tcPr>
            <w:tcW w:w="730" w:type="pct"/>
            <w:tcBorders>
              <w:top w:val="nil"/>
              <w:left w:val="nil"/>
              <w:bottom w:val="single" w:sz="4" w:space="0" w:color="auto"/>
              <w:right w:val="nil"/>
            </w:tcBorders>
            <w:noWrap/>
            <w:vAlign w:val="bottom"/>
            <w:hideMark/>
          </w:tcPr>
          <w:p w14:paraId="34DEF46B"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2" w:type="pct"/>
            <w:tcBorders>
              <w:top w:val="nil"/>
              <w:left w:val="nil"/>
              <w:bottom w:val="single" w:sz="4" w:space="0" w:color="auto"/>
              <w:right w:val="nil"/>
            </w:tcBorders>
            <w:noWrap/>
            <w:vAlign w:val="bottom"/>
            <w:hideMark/>
          </w:tcPr>
          <w:p w14:paraId="68536DAF"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05795C" w:rsidRPr="008F1B1D" w14:paraId="41E8C805" w14:textId="77777777" w:rsidTr="00E326C0">
        <w:trPr>
          <w:trHeight w:val="300"/>
        </w:trPr>
        <w:tc>
          <w:tcPr>
            <w:tcW w:w="1993" w:type="pct"/>
            <w:tcBorders>
              <w:top w:val="nil"/>
              <w:left w:val="nil"/>
              <w:bottom w:val="nil"/>
              <w:right w:val="nil"/>
            </w:tcBorders>
            <w:vAlign w:val="bottom"/>
          </w:tcPr>
          <w:p w14:paraId="19C9884B" w14:textId="77777777" w:rsidR="0005795C" w:rsidRPr="00D15AF6" w:rsidRDefault="0005795C">
            <w:pPr>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Total comprehensive income</w:t>
            </w:r>
          </w:p>
        </w:tc>
        <w:tc>
          <w:tcPr>
            <w:tcW w:w="712" w:type="pct"/>
            <w:tcBorders>
              <w:top w:val="single" w:sz="4" w:space="0" w:color="auto"/>
              <w:left w:val="nil"/>
              <w:bottom w:val="nil"/>
              <w:right w:val="nil"/>
            </w:tcBorders>
            <w:noWrap/>
            <w:vAlign w:val="bottom"/>
          </w:tcPr>
          <w:p w14:paraId="637E696E" w14:textId="77777777" w:rsidR="0005795C" w:rsidRPr="00D15AF6" w:rsidRDefault="0005795C">
            <w:pPr>
              <w:tabs>
                <w:tab w:val="decimal" w:pos="1048"/>
              </w:tabs>
              <w:spacing w:after="0" w:line="240" w:lineRule="auto"/>
              <w:rPr>
                <w:rFonts w:eastAsia="Times New Roman" w:cs="Arial"/>
                <w:b/>
                <w:color w:val="000000"/>
                <w:sz w:val="20"/>
                <w:szCs w:val="20"/>
                <w:lang w:eastAsia="en-AU"/>
              </w:rPr>
            </w:pPr>
            <w:r w:rsidRPr="00D15AF6">
              <w:rPr>
                <w:rFonts w:eastAsia="Times New Roman" w:cs="Arial"/>
                <w:b/>
                <w:color w:val="000000"/>
                <w:sz w:val="20"/>
                <w:szCs w:val="20"/>
                <w:lang w:eastAsia="en-AU"/>
              </w:rPr>
              <w:t>-</w:t>
            </w:r>
          </w:p>
        </w:tc>
        <w:tc>
          <w:tcPr>
            <w:tcW w:w="853" w:type="pct"/>
            <w:tcBorders>
              <w:top w:val="single" w:sz="4" w:space="0" w:color="auto"/>
              <w:left w:val="nil"/>
              <w:bottom w:val="nil"/>
              <w:right w:val="nil"/>
            </w:tcBorders>
            <w:noWrap/>
            <w:vAlign w:val="bottom"/>
          </w:tcPr>
          <w:p w14:paraId="039F860B" w14:textId="77777777" w:rsidR="0005795C" w:rsidRPr="00D15AF6"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30" w:type="pct"/>
            <w:tcBorders>
              <w:top w:val="single" w:sz="4" w:space="0" w:color="auto"/>
              <w:left w:val="nil"/>
              <w:bottom w:val="nil"/>
              <w:right w:val="nil"/>
            </w:tcBorders>
            <w:noWrap/>
            <w:vAlign w:val="bottom"/>
          </w:tcPr>
          <w:p w14:paraId="19E608C0" w14:textId="77777777" w:rsidR="0005795C" w:rsidRPr="00D15AF6"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13,800</w:t>
            </w:r>
          </w:p>
        </w:tc>
        <w:tc>
          <w:tcPr>
            <w:tcW w:w="712" w:type="pct"/>
            <w:tcBorders>
              <w:top w:val="single" w:sz="4" w:space="0" w:color="auto"/>
              <w:left w:val="nil"/>
              <w:bottom w:val="nil"/>
              <w:right w:val="nil"/>
            </w:tcBorders>
            <w:noWrap/>
            <w:vAlign w:val="bottom"/>
          </w:tcPr>
          <w:p w14:paraId="28EA5C6F" w14:textId="77777777" w:rsidR="0005795C" w:rsidRPr="00FA41CC" w:rsidRDefault="0005795C">
            <w:pPr>
              <w:tabs>
                <w:tab w:val="decimal" w:pos="1048"/>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13,800</w:t>
            </w:r>
          </w:p>
        </w:tc>
      </w:tr>
      <w:tr w:rsidR="0005795C" w:rsidRPr="008F1B1D" w14:paraId="2C3FD216" w14:textId="77777777" w:rsidTr="413EB596">
        <w:tc>
          <w:tcPr>
            <w:tcW w:w="1993" w:type="pct"/>
            <w:tcBorders>
              <w:top w:val="nil"/>
              <w:left w:val="nil"/>
              <w:bottom w:val="nil"/>
              <w:right w:val="nil"/>
            </w:tcBorders>
            <w:vAlign w:val="bottom"/>
          </w:tcPr>
          <w:p w14:paraId="1A4E3C6A" w14:textId="77777777" w:rsidR="0005795C" w:rsidRPr="0080075C" w:rsidRDefault="0005795C">
            <w:pPr>
              <w:spacing w:after="0" w:line="240" w:lineRule="auto"/>
              <w:rPr>
                <w:rFonts w:eastAsia="Times New Roman" w:cs="Arial"/>
                <w:i/>
                <w:iCs/>
                <w:color w:val="000000"/>
                <w:sz w:val="20"/>
                <w:szCs w:val="20"/>
                <w:lang w:eastAsia="en-AU"/>
              </w:rPr>
            </w:pPr>
            <w:r w:rsidRPr="0080075C">
              <w:rPr>
                <w:rFonts w:eastAsia="Times New Roman" w:cs="Arial"/>
                <w:i/>
                <w:iCs/>
                <w:color w:val="000000"/>
                <w:sz w:val="20"/>
                <w:szCs w:val="20"/>
                <w:lang w:eastAsia="en-AU"/>
              </w:rPr>
              <w:t>Transactions with owners:</w:t>
            </w:r>
          </w:p>
        </w:tc>
        <w:tc>
          <w:tcPr>
            <w:tcW w:w="712" w:type="pct"/>
            <w:tcBorders>
              <w:top w:val="nil"/>
              <w:left w:val="nil"/>
              <w:right w:val="nil"/>
            </w:tcBorders>
            <w:noWrap/>
            <w:vAlign w:val="bottom"/>
          </w:tcPr>
          <w:p w14:paraId="467064C1"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853" w:type="pct"/>
            <w:tcBorders>
              <w:top w:val="nil"/>
              <w:left w:val="nil"/>
              <w:right w:val="nil"/>
            </w:tcBorders>
            <w:noWrap/>
            <w:vAlign w:val="bottom"/>
          </w:tcPr>
          <w:p w14:paraId="60D62D6F"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730" w:type="pct"/>
            <w:tcBorders>
              <w:top w:val="nil"/>
              <w:left w:val="nil"/>
              <w:right w:val="nil"/>
            </w:tcBorders>
            <w:noWrap/>
            <w:vAlign w:val="bottom"/>
          </w:tcPr>
          <w:p w14:paraId="1399D5B1"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712" w:type="pct"/>
            <w:tcBorders>
              <w:top w:val="nil"/>
              <w:left w:val="nil"/>
              <w:right w:val="nil"/>
            </w:tcBorders>
            <w:noWrap/>
            <w:vAlign w:val="bottom"/>
          </w:tcPr>
          <w:p w14:paraId="0FA79D07" w14:textId="77777777" w:rsidR="0005795C" w:rsidRDefault="0005795C">
            <w:pPr>
              <w:tabs>
                <w:tab w:val="decimal" w:pos="1048"/>
              </w:tabs>
              <w:spacing w:after="0" w:line="240" w:lineRule="auto"/>
              <w:rPr>
                <w:rFonts w:eastAsia="Times New Roman" w:cs="Arial"/>
                <w:b/>
                <w:bCs/>
                <w:color w:val="000000"/>
                <w:sz w:val="20"/>
                <w:szCs w:val="20"/>
                <w:lang w:eastAsia="en-AU"/>
              </w:rPr>
            </w:pPr>
          </w:p>
        </w:tc>
      </w:tr>
      <w:tr w:rsidR="0005795C" w:rsidRPr="003D7E2B" w14:paraId="69C9A36D" w14:textId="77777777" w:rsidTr="413EB596">
        <w:tc>
          <w:tcPr>
            <w:tcW w:w="1993" w:type="pct"/>
            <w:tcBorders>
              <w:top w:val="nil"/>
              <w:left w:val="nil"/>
              <w:bottom w:val="nil"/>
              <w:right w:val="nil"/>
            </w:tcBorders>
            <w:noWrap/>
            <w:vAlign w:val="bottom"/>
            <w:hideMark/>
          </w:tcPr>
          <w:p w14:paraId="276B66D7" w14:textId="77777777" w:rsidR="0005795C" w:rsidRPr="008F1B1D" w:rsidRDefault="0005795C">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Contributed capital</w:t>
            </w:r>
          </w:p>
        </w:tc>
        <w:tc>
          <w:tcPr>
            <w:tcW w:w="712" w:type="pct"/>
            <w:tcBorders>
              <w:top w:val="nil"/>
              <w:left w:val="nil"/>
              <w:bottom w:val="single" w:sz="4" w:space="0" w:color="auto"/>
              <w:right w:val="nil"/>
            </w:tcBorders>
            <w:noWrap/>
            <w:vAlign w:val="bottom"/>
            <w:hideMark/>
          </w:tcPr>
          <w:p w14:paraId="5E551F91"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c>
          <w:tcPr>
            <w:tcW w:w="853" w:type="pct"/>
            <w:tcBorders>
              <w:top w:val="nil"/>
              <w:left w:val="nil"/>
              <w:bottom w:val="single" w:sz="4" w:space="0" w:color="auto"/>
              <w:right w:val="nil"/>
            </w:tcBorders>
            <w:noWrap/>
            <w:vAlign w:val="bottom"/>
            <w:hideMark/>
          </w:tcPr>
          <w:p w14:paraId="02A8F93D"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0" w:type="pct"/>
            <w:tcBorders>
              <w:top w:val="nil"/>
              <w:left w:val="nil"/>
              <w:bottom w:val="single" w:sz="4" w:space="0" w:color="auto"/>
              <w:right w:val="nil"/>
            </w:tcBorders>
            <w:noWrap/>
            <w:vAlign w:val="bottom"/>
            <w:hideMark/>
          </w:tcPr>
          <w:p w14:paraId="276E3A6E"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2" w:type="pct"/>
            <w:tcBorders>
              <w:top w:val="nil"/>
              <w:left w:val="nil"/>
              <w:bottom w:val="single" w:sz="4" w:space="0" w:color="auto"/>
              <w:right w:val="nil"/>
            </w:tcBorders>
            <w:noWrap/>
            <w:vAlign w:val="bottom"/>
            <w:hideMark/>
          </w:tcPr>
          <w:p w14:paraId="4AC45A51" w14:textId="77777777" w:rsidR="0005795C" w:rsidRPr="006E472E" w:rsidRDefault="0005795C">
            <w:pPr>
              <w:tabs>
                <w:tab w:val="decimal" w:pos="1048"/>
              </w:tabs>
              <w:spacing w:after="0" w:line="240" w:lineRule="auto"/>
              <w:rPr>
                <w:rFonts w:eastAsia="Times New Roman" w:cs="Arial"/>
                <w:color w:val="000000"/>
                <w:sz w:val="20"/>
                <w:szCs w:val="20"/>
                <w:lang w:eastAsia="en-AU"/>
              </w:rPr>
            </w:pPr>
            <w:r>
              <w:rPr>
                <w:rFonts w:eastAsia="Times New Roman" w:cs="Arial"/>
                <w:b/>
                <w:bCs/>
                <w:color w:val="000000" w:themeColor="text1"/>
                <w:sz w:val="20"/>
                <w:szCs w:val="20"/>
                <w:lang w:eastAsia="en-AU"/>
              </w:rPr>
              <w:t>50</w:t>
            </w:r>
          </w:p>
        </w:tc>
      </w:tr>
      <w:tr w:rsidR="0005795C" w:rsidRPr="003D7E2B" w14:paraId="29BE1DC3" w14:textId="77777777" w:rsidTr="413EB596">
        <w:tc>
          <w:tcPr>
            <w:tcW w:w="1993" w:type="pct"/>
            <w:tcBorders>
              <w:top w:val="nil"/>
              <w:left w:val="nil"/>
              <w:bottom w:val="nil"/>
              <w:right w:val="nil"/>
            </w:tcBorders>
            <w:noWrap/>
            <w:vAlign w:val="bottom"/>
            <w:hideMark/>
          </w:tcPr>
          <w:p w14:paraId="778F69CE" w14:textId="77777777" w:rsidR="0005795C" w:rsidRPr="008F1B1D" w:rsidRDefault="0005795C">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2024</w:t>
            </w:r>
          </w:p>
        </w:tc>
        <w:tc>
          <w:tcPr>
            <w:tcW w:w="712" w:type="pct"/>
            <w:tcBorders>
              <w:top w:val="nil"/>
              <w:left w:val="nil"/>
              <w:bottom w:val="nil"/>
              <w:right w:val="nil"/>
            </w:tcBorders>
            <w:noWrap/>
            <w:vAlign w:val="bottom"/>
            <w:hideMark/>
          </w:tcPr>
          <w:p w14:paraId="53DB028A"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p>
        </w:tc>
        <w:tc>
          <w:tcPr>
            <w:tcW w:w="853" w:type="pct"/>
            <w:tcBorders>
              <w:top w:val="nil"/>
              <w:left w:val="nil"/>
              <w:bottom w:val="nil"/>
              <w:right w:val="nil"/>
            </w:tcBorders>
            <w:noWrap/>
            <w:vAlign w:val="bottom"/>
            <w:hideMark/>
          </w:tcPr>
          <w:p w14:paraId="13FD47F8"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30" w:type="pct"/>
            <w:tcBorders>
              <w:top w:val="nil"/>
              <w:left w:val="nil"/>
              <w:bottom w:val="nil"/>
              <w:right w:val="nil"/>
            </w:tcBorders>
            <w:noWrap/>
            <w:vAlign w:val="bottom"/>
            <w:hideMark/>
          </w:tcPr>
          <w:p w14:paraId="76BEB4C8"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13,800</w:t>
            </w:r>
          </w:p>
        </w:tc>
        <w:tc>
          <w:tcPr>
            <w:tcW w:w="712" w:type="pct"/>
            <w:tcBorders>
              <w:top w:val="nil"/>
              <w:left w:val="nil"/>
              <w:bottom w:val="nil"/>
              <w:right w:val="nil"/>
            </w:tcBorders>
            <w:noWrap/>
            <w:vAlign w:val="bottom"/>
            <w:hideMark/>
          </w:tcPr>
          <w:p w14:paraId="0D2A45A2"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13,850</w:t>
            </w:r>
          </w:p>
        </w:tc>
      </w:tr>
      <w:tr w:rsidR="0005795C" w:rsidRPr="003D7E2B" w14:paraId="32BDC3B1" w14:textId="77777777" w:rsidTr="413EB596">
        <w:tc>
          <w:tcPr>
            <w:tcW w:w="1993" w:type="pct"/>
            <w:tcBorders>
              <w:top w:val="nil"/>
              <w:left w:val="nil"/>
              <w:bottom w:val="nil"/>
              <w:right w:val="nil"/>
            </w:tcBorders>
            <w:noWrap/>
            <w:vAlign w:val="bottom"/>
            <w:hideMark/>
          </w:tcPr>
          <w:p w14:paraId="7D88875F" w14:textId="77777777" w:rsidR="0005795C" w:rsidRPr="00F65403" w:rsidRDefault="0005795C">
            <w:pPr>
              <w:spacing w:after="0" w:line="240" w:lineRule="auto"/>
              <w:rPr>
                <w:rFonts w:eastAsia="Times New Roman" w:cs="Arial"/>
                <w:b/>
                <w:color w:val="000000"/>
                <w:sz w:val="20"/>
                <w:szCs w:val="20"/>
                <w:highlight w:val="yellow"/>
                <w:lang w:eastAsia="en-AU"/>
              </w:rPr>
            </w:pPr>
          </w:p>
        </w:tc>
        <w:tc>
          <w:tcPr>
            <w:tcW w:w="712" w:type="pct"/>
            <w:tcBorders>
              <w:top w:val="nil"/>
              <w:left w:val="nil"/>
              <w:bottom w:val="nil"/>
              <w:right w:val="nil"/>
            </w:tcBorders>
            <w:noWrap/>
            <w:vAlign w:val="bottom"/>
            <w:hideMark/>
          </w:tcPr>
          <w:p w14:paraId="79BE36ED"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hideMark/>
          </w:tcPr>
          <w:p w14:paraId="114E2633"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30" w:type="pct"/>
            <w:tcBorders>
              <w:top w:val="nil"/>
              <w:left w:val="nil"/>
              <w:bottom w:val="nil"/>
              <w:right w:val="nil"/>
            </w:tcBorders>
            <w:noWrap/>
            <w:vAlign w:val="bottom"/>
            <w:hideMark/>
          </w:tcPr>
          <w:p w14:paraId="7E1C2EFE"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12" w:type="pct"/>
            <w:tcBorders>
              <w:top w:val="nil"/>
              <w:left w:val="nil"/>
              <w:bottom w:val="nil"/>
              <w:right w:val="nil"/>
            </w:tcBorders>
            <w:noWrap/>
            <w:vAlign w:val="bottom"/>
            <w:hideMark/>
          </w:tcPr>
          <w:p w14:paraId="1A43B685" w14:textId="77777777" w:rsidR="0005795C" w:rsidRPr="008F1B1D" w:rsidRDefault="0005795C">
            <w:pPr>
              <w:tabs>
                <w:tab w:val="decimal" w:pos="1048"/>
              </w:tabs>
              <w:spacing w:after="0" w:line="240" w:lineRule="auto"/>
              <w:rPr>
                <w:rFonts w:eastAsia="Times New Roman" w:cs="Arial"/>
                <w:sz w:val="20"/>
                <w:szCs w:val="20"/>
                <w:lang w:eastAsia="en-AU"/>
              </w:rPr>
            </w:pPr>
          </w:p>
        </w:tc>
      </w:tr>
      <w:tr w:rsidR="0005795C" w:rsidRPr="003D7E2B" w14:paraId="34DDBB1A" w14:textId="77777777" w:rsidTr="413EB596">
        <w:tc>
          <w:tcPr>
            <w:tcW w:w="1993" w:type="pct"/>
            <w:tcBorders>
              <w:top w:val="nil"/>
              <w:left w:val="nil"/>
              <w:bottom w:val="nil"/>
              <w:right w:val="nil"/>
            </w:tcBorders>
            <w:noWrap/>
            <w:vAlign w:val="bottom"/>
          </w:tcPr>
          <w:p w14:paraId="350919B2" w14:textId="77777777" w:rsidR="0005795C" w:rsidRPr="00F65403" w:rsidRDefault="0005795C">
            <w:pPr>
              <w:spacing w:after="0" w:line="240" w:lineRule="auto"/>
              <w:rPr>
                <w:rFonts w:eastAsia="Times New Roman" w:cs="Arial"/>
                <w:b/>
                <w:color w:val="000000"/>
                <w:sz w:val="20"/>
                <w:szCs w:val="20"/>
                <w:highlight w:val="yellow"/>
                <w:lang w:eastAsia="en-AU"/>
              </w:rPr>
            </w:pPr>
          </w:p>
        </w:tc>
        <w:tc>
          <w:tcPr>
            <w:tcW w:w="712" w:type="pct"/>
            <w:tcBorders>
              <w:top w:val="nil"/>
              <w:left w:val="nil"/>
              <w:bottom w:val="nil"/>
              <w:right w:val="nil"/>
            </w:tcBorders>
            <w:noWrap/>
            <w:vAlign w:val="bottom"/>
          </w:tcPr>
          <w:p w14:paraId="392B8493"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853" w:type="pct"/>
            <w:tcBorders>
              <w:top w:val="nil"/>
              <w:left w:val="nil"/>
              <w:bottom w:val="nil"/>
              <w:right w:val="nil"/>
            </w:tcBorders>
            <w:noWrap/>
            <w:vAlign w:val="bottom"/>
          </w:tcPr>
          <w:p w14:paraId="5589DD1C"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30" w:type="pct"/>
            <w:tcBorders>
              <w:top w:val="nil"/>
              <w:left w:val="nil"/>
              <w:bottom w:val="nil"/>
              <w:right w:val="nil"/>
            </w:tcBorders>
            <w:noWrap/>
            <w:vAlign w:val="bottom"/>
          </w:tcPr>
          <w:p w14:paraId="24F44F9E" w14:textId="77777777" w:rsidR="0005795C" w:rsidRPr="008F1B1D" w:rsidRDefault="0005795C">
            <w:pPr>
              <w:tabs>
                <w:tab w:val="decimal" w:pos="1048"/>
              </w:tabs>
              <w:spacing w:after="0" w:line="240" w:lineRule="auto"/>
              <w:rPr>
                <w:rFonts w:eastAsia="Times New Roman" w:cs="Arial"/>
                <w:sz w:val="20"/>
                <w:szCs w:val="20"/>
                <w:lang w:eastAsia="en-AU"/>
              </w:rPr>
            </w:pPr>
          </w:p>
        </w:tc>
        <w:tc>
          <w:tcPr>
            <w:tcW w:w="712" w:type="pct"/>
            <w:tcBorders>
              <w:top w:val="nil"/>
              <w:left w:val="nil"/>
              <w:bottom w:val="nil"/>
              <w:right w:val="nil"/>
            </w:tcBorders>
            <w:noWrap/>
            <w:vAlign w:val="bottom"/>
          </w:tcPr>
          <w:p w14:paraId="4B9F2F13" w14:textId="77777777" w:rsidR="0005795C" w:rsidRPr="008F1B1D" w:rsidRDefault="0005795C">
            <w:pPr>
              <w:tabs>
                <w:tab w:val="decimal" w:pos="1048"/>
              </w:tabs>
              <w:spacing w:after="0" w:line="240" w:lineRule="auto"/>
              <w:rPr>
                <w:rFonts w:eastAsia="Times New Roman" w:cs="Arial"/>
                <w:sz w:val="20"/>
                <w:szCs w:val="20"/>
                <w:lang w:eastAsia="en-AU"/>
              </w:rPr>
            </w:pPr>
          </w:p>
        </w:tc>
      </w:tr>
      <w:tr w:rsidR="0005795C" w:rsidRPr="003D7E2B" w14:paraId="645921DE" w14:textId="77777777" w:rsidTr="413EB596">
        <w:tc>
          <w:tcPr>
            <w:tcW w:w="1993" w:type="pct"/>
            <w:tcBorders>
              <w:top w:val="nil"/>
              <w:left w:val="nil"/>
              <w:bottom w:val="nil"/>
              <w:right w:val="nil"/>
            </w:tcBorders>
            <w:noWrap/>
            <w:vAlign w:val="bottom"/>
            <w:hideMark/>
          </w:tcPr>
          <w:p w14:paraId="395FAE0F" w14:textId="77777777" w:rsidR="0005795C" w:rsidRPr="008F1B1D" w:rsidRDefault="0005795C">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1 July 2024</w:t>
            </w:r>
          </w:p>
        </w:tc>
        <w:tc>
          <w:tcPr>
            <w:tcW w:w="712" w:type="pct"/>
            <w:tcBorders>
              <w:top w:val="nil"/>
              <w:left w:val="nil"/>
              <w:bottom w:val="nil"/>
              <w:right w:val="nil"/>
            </w:tcBorders>
            <w:noWrap/>
            <w:vAlign w:val="bottom"/>
            <w:hideMark/>
          </w:tcPr>
          <w:p w14:paraId="26A55895"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p>
        </w:tc>
        <w:tc>
          <w:tcPr>
            <w:tcW w:w="853" w:type="pct"/>
            <w:tcBorders>
              <w:top w:val="nil"/>
              <w:left w:val="nil"/>
              <w:bottom w:val="nil"/>
              <w:right w:val="nil"/>
            </w:tcBorders>
            <w:noWrap/>
            <w:vAlign w:val="bottom"/>
            <w:hideMark/>
          </w:tcPr>
          <w:p w14:paraId="30440B85"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30" w:type="pct"/>
            <w:tcBorders>
              <w:top w:val="nil"/>
              <w:left w:val="nil"/>
              <w:bottom w:val="nil"/>
              <w:right w:val="nil"/>
            </w:tcBorders>
            <w:noWrap/>
            <w:vAlign w:val="bottom"/>
            <w:hideMark/>
          </w:tcPr>
          <w:p w14:paraId="3D7ABA6B"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13,800</w:t>
            </w:r>
          </w:p>
        </w:tc>
        <w:tc>
          <w:tcPr>
            <w:tcW w:w="712" w:type="pct"/>
            <w:tcBorders>
              <w:top w:val="nil"/>
              <w:left w:val="nil"/>
              <w:bottom w:val="nil"/>
              <w:right w:val="nil"/>
            </w:tcBorders>
            <w:noWrap/>
            <w:vAlign w:val="bottom"/>
            <w:hideMark/>
          </w:tcPr>
          <w:p w14:paraId="284E7131"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13,850</w:t>
            </w:r>
          </w:p>
        </w:tc>
      </w:tr>
      <w:tr w:rsidR="00350907" w:rsidRPr="003D7E2B" w14:paraId="17832AF4" w14:textId="77777777" w:rsidTr="00E326C0">
        <w:trPr>
          <w:trHeight w:val="300"/>
        </w:trPr>
        <w:tc>
          <w:tcPr>
            <w:tcW w:w="1993" w:type="pct"/>
            <w:tcBorders>
              <w:top w:val="nil"/>
              <w:left w:val="nil"/>
              <w:bottom w:val="nil"/>
              <w:right w:val="nil"/>
            </w:tcBorders>
            <w:noWrap/>
            <w:vAlign w:val="bottom"/>
            <w:hideMark/>
          </w:tcPr>
          <w:p w14:paraId="4A751CE9" w14:textId="6FC47D94" w:rsidR="00350907" w:rsidRPr="008F1B1D" w:rsidRDefault="00350907" w:rsidP="00350907">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 xml:space="preserve">Profit for the </w:t>
            </w:r>
            <w:r>
              <w:rPr>
                <w:rFonts w:eastAsia="Times New Roman" w:cs="Arial"/>
                <w:color w:val="000000"/>
                <w:sz w:val="20"/>
                <w:szCs w:val="20"/>
                <w:lang w:eastAsia="en-AU"/>
              </w:rPr>
              <w:t>year</w:t>
            </w:r>
          </w:p>
        </w:tc>
        <w:tc>
          <w:tcPr>
            <w:tcW w:w="712" w:type="pct"/>
            <w:tcBorders>
              <w:top w:val="nil"/>
              <w:left w:val="nil"/>
              <w:right w:val="nil"/>
            </w:tcBorders>
            <w:noWrap/>
            <w:vAlign w:val="bottom"/>
            <w:hideMark/>
          </w:tcPr>
          <w:p w14:paraId="09E2F9A1" w14:textId="77777777" w:rsidR="00350907" w:rsidRPr="008F1B1D" w:rsidRDefault="00350907" w:rsidP="00350907">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right w:val="nil"/>
            </w:tcBorders>
            <w:noWrap/>
            <w:vAlign w:val="bottom"/>
            <w:hideMark/>
          </w:tcPr>
          <w:p w14:paraId="638F46F0" w14:textId="77777777" w:rsidR="00350907" w:rsidRPr="008F1B1D" w:rsidRDefault="00350907" w:rsidP="00350907">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0" w:type="pct"/>
            <w:tcBorders>
              <w:top w:val="nil"/>
              <w:left w:val="nil"/>
              <w:right w:val="nil"/>
            </w:tcBorders>
            <w:noWrap/>
            <w:vAlign w:val="bottom"/>
            <w:hideMark/>
          </w:tcPr>
          <w:p w14:paraId="0AA160E6" w14:textId="60129073" w:rsidR="00350907" w:rsidRPr="008F1B1D" w:rsidRDefault="00350907" w:rsidP="00350907">
            <w:pPr>
              <w:tabs>
                <w:tab w:val="decimal" w:pos="1048"/>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24,</w:t>
            </w:r>
            <w:r w:rsidR="0034335F" w:rsidRPr="413EB596">
              <w:rPr>
                <w:rFonts w:eastAsia="Times New Roman" w:cs="Arial"/>
                <w:color w:val="000000" w:themeColor="text1"/>
                <w:sz w:val="20"/>
                <w:szCs w:val="20"/>
                <w:lang w:eastAsia="en-AU"/>
              </w:rPr>
              <w:t>5</w:t>
            </w:r>
            <w:r w:rsidR="0034335F">
              <w:rPr>
                <w:rFonts w:eastAsia="Times New Roman" w:cs="Arial"/>
                <w:color w:val="000000" w:themeColor="text1"/>
                <w:sz w:val="20"/>
                <w:szCs w:val="20"/>
                <w:lang w:eastAsia="en-AU"/>
              </w:rPr>
              <w:t>83</w:t>
            </w:r>
          </w:p>
        </w:tc>
        <w:tc>
          <w:tcPr>
            <w:tcW w:w="712" w:type="pct"/>
            <w:tcBorders>
              <w:top w:val="nil"/>
              <w:left w:val="nil"/>
              <w:right w:val="nil"/>
            </w:tcBorders>
            <w:noWrap/>
            <w:vAlign w:val="bottom"/>
            <w:hideMark/>
          </w:tcPr>
          <w:p w14:paraId="6C0F06C2" w14:textId="433C6504" w:rsidR="00350907" w:rsidRPr="00350907" w:rsidRDefault="00350907" w:rsidP="00350907">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24,5</w:t>
            </w:r>
            <w:r w:rsidR="0034335F">
              <w:rPr>
                <w:rFonts w:eastAsia="Times New Roman" w:cs="Arial"/>
                <w:b/>
                <w:bCs/>
                <w:color w:val="000000" w:themeColor="text1"/>
                <w:sz w:val="20"/>
                <w:szCs w:val="20"/>
                <w:lang w:eastAsia="en-AU"/>
              </w:rPr>
              <w:t>83</w:t>
            </w:r>
          </w:p>
        </w:tc>
      </w:tr>
      <w:tr w:rsidR="00350907" w:rsidRPr="003D7E2B" w14:paraId="27C5991D" w14:textId="77777777" w:rsidTr="00E326C0">
        <w:trPr>
          <w:trHeight w:val="300"/>
        </w:trPr>
        <w:tc>
          <w:tcPr>
            <w:tcW w:w="1993" w:type="pct"/>
            <w:tcBorders>
              <w:top w:val="nil"/>
              <w:left w:val="nil"/>
              <w:bottom w:val="nil"/>
              <w:right w:val="nil"/>
            </w:tcBorders>
            <w:vAlign w:val="bottom"/>
            <w:hideMark/>
          </w:tcPr>
          <w:p w14:paraId="1E138A77" w14:textId="7EFC311A" w:rsidR="00350907" w:rsidRPr="008F1B1D" w:rsidRDefault="00350907" w:rsidP="00350907">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Other comprehensive income</w:t>
            </w:r>
            <w:r w:rsidR="002937B4">
              <w:rPr>
                <w:rFonts w:eastAsia="Times New Roman" w:cs="Arial"/>
                <w:color w:val="000000"/>
                <w:sz w:val="20"/>
                <w:szCs w:val="20"/>
                <w:lang w:eastAsia="en-AU"/>
              </w:rPr>
              <w:t xml:space="preserve"> </w:t>
            </w:r>
            <w:r w:rsidRPr="008F1B1D">
              <w:rPr>
                <w:rFonts w:eastAsia="Times New Roman" w:cs="Arial"/>
                <w:color w:val="000000"/>
                <w:sz w:val="20"/>
                <w:szCs w:val="20"/>
                <w:lang w:eastAsia="en-AU"/>
              </w:rPr>
              <w:t>for the year, net of income tax</w:t>
            </w:r>
          </w:p>
        </w:tc>
        <w:tc>
          <w:tcPr>
            <w:tcW w:w="712" w:type="pct"/>
            <w:tcBorders>
              <w:top w:val="nil"/>
              <w:left w:val="nil"/>
              <w:bottom w:val="single" w:sz="4" w:space="0" w:color="auto"/>
              <w:right w:val="nil"/>
            </w:tcBorders>
            <w:noWrap/>
            <w:vAlign w:val="bottom"/>
            <w:hideMark/>
          </w:tcPr>
          <w:p w14:paraId="6EB3B711" w14:textId="77777777" w:rsidR="00350907" w:rsidRPr="008F1B1D" w:rsidRDefault="00350907" w:rsidP="00350907">
            <w:pPr>
              <w:tabs>
                <w:tab w:val="decimal" w:pos="1048"/>
              </w:tabs>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w:t>
            </w:r>
          </w:p>
        </w:tc>
        <w:tc>
          <w:tcPr>
            <w:tcW w:w="853" w:type="pct"/>
            <w:tcBorders>
              <w:top w:val="nil"/>
              <w:left w:val="nil"/>
              <w:bottom w:val="single" w:sz="4" w:space="0" w:color="auto"/>
              <w:right w:val="nil"/>
            </w:tcBorders>
            <w:noWrap/>
            <w:vAlign w:val="bottom"/>
            <w:hideMark/>
          </w:tcPr>
          <w:p w14:paraId="7F82FE15" w14:textId="77777777" w:rsidR="00350907" w:rsidRPr="008F1B1D" w:rsidRDefault="00350907" w:rsidP="00350907">
            <w:pPr>
              <w:tabs>
                <w:tab w:val="decimal" w:pos="104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c>
          <w:tcPr>
            <w:tcW w:w="730" w:type="pct"/>
            <w:tcBorders>
              <w:top w:val="nil"/>
              <w:left w:val="nil"/>
              <w:bottom w:val="single" w:sz="4" w:space="0" w:color="auto"/>
              <w:right w:val="nil"/>
            </w:tcBorders>
            <w:noWrap/>
            <w:vAlign w:val="bottom"/>
            <w:hideMark/>
          </w:tcPr>
          <w:p w14:paraId="5F5A7605" w14:textId="77777777" w:rsidR="00350907" w:rsidRPr="008F1B1D" w:rsidRDefault="00350907" w:rsidP="00350907">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2" w:type="pct"/>
            <w:tcBorders>
              <w:top w:val="nil"/>
              <w:left w:val="nil"/>
              <w:bottom w:val="single" w:sz="4" w:space="0" w:color="auto"/>
              <w:right w:val="nil"/>
            </w:tcBorders>
            <w:noWrap/>
            <w:vAlign w:val="bottom"/>
            <w:hideMark/>
          </w:tcPr>
          <w:p w14:paraId="2C6E8A8A" w14:textId="068EA3B4" w:rsidR="00350907" w:rsidRPr="008F1B1D" w:rsidRDefault="00350907"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color w:val="000000" w:themeColor="text1"/>
                <w:sz w:val="20"/>
                <w:szCs w:val="20"/>
                <w:lang w:eastAsia="en-AU"/>
              </w:rPr>
              <w:t>-</w:t>
            </w:r>
          </w:p>
        </w:tc>
      </w:tr>
      <w:tr w:rsidR="00350907" w:rsidRPr="008F1B1D" w14:paraId="355B0ECF" w14:textId="77777777" w:rsidTr="00E326C0">
        <w:trPr>
          <w:trHeight w:val="300"/>
        </w:trPr>
        <w:tc>
          <w:tcPr>
            <w:tcW w:w="1993" w:type="pct"/>
            <w:tcBorders>
              <w:top w:val="nil"/>
              <w:left w:val="nil"/>
              <w:bottom w:val="nil"/>
              <w:right w:val="nil"/>
            </w:tcBorders>
            <w:vAlign w:val="bottom"/>
          </w:tcPr>
          <w:p w14:paraId="628FC43A" w14:textId="77777777" w:rsidR="00350907" w:rsidRPr="00BD112F" w:rsidRDefault="00350907" w:rsidP="00350907">
            <w:pPr>
              <w:spacing w:after="0" w:line="240" w:lineRule="auto"/>
              <w:rPr>
                <w:rFonts w:eastAsia="Times New Roman" w:cs="Arial"/>
                <w:b/>
                <w:bCs/>
                <w:color w:val="000000"/>
                <w:sz w:val="20"/>
                <w:szCs w:val="20"/>
                <w:lang w:eastAsia="en-AU"/>
              </w:rPr>
            </w:pPr>
            <w:r w:rsidRPr="00BD112F">
              <w:rPr>
                <w:rFonts w:eastAsia="Times New Roman" w:cs="Arial"/>
                <w:b/>
                <w:bCs/>
                <w:color w:val="000000"/>
                <w:sz w:val="20"/>
                <w:szCs w:val="20"/>
                <w:lang w:eastAsia="en-AU"/>
              </w:rPr>
              <w:t>Total comprehensive income</w:t>
            </w:r>
          </w:p>
        </w:tc>
        <w:tc>
          <w:tcPr>
            <w:tcW w:w="712" w:type="pct"/>
            <w:tcBorders>
              <w:top w:val="single" w:sz="4" w:space="0" w:color="auto"/>
              <w:left w:val="nil"/>
              <w:bottom w:val="nil"/>
              <w:right w:val="nil"/>
            </w:tcBorders>
            <w:noWrap/>
            <w:vAlign w:val="bottom"/>
          </w:tcPr>
          <w:p w14:paraId="4067C4FB" w14:textId="77777777" w:rsidR="00350907" w:rsidRPr="00BD112F" w:rsidRDefault="00350907" w:rsidP="00350907">
            <w:pPr>
              <w:tabs>
                <w:tab w:val="decimal" w:pos="1048"/>
              </w:tabs>
              <w:spacing w:after="0" w:line="240" w:lineRule="auto"/>
              <w:rPr>
                <w:rFonts w:eastAsia="Times New Roman" w:cs="Arial"/>
                <w:b/>
                <w:bCs/>
                <w:color w:val="000000"/>
                <w:sz w:val="20"/>
                <w:szCs w:val="20"/>
                <w:lang w:eastAsia="en-AU"/>
              </w:rPr>
            </w:pPr>
            <w:r w:rsidRPr="00BD112F">
              <w:rPr>
                <w:rFonts w:eastAsia="Times New Roman" w:cs="Arial"/>
                <w:b/>
                <w:bCs/>
                <w:color w:val="000000"/>
                <w:sz w:val="20"/>
                <w:szCs w:val="20"/>
                <w:lang w:eastAsia="en-AU"/>
              </w:rPr>
              <w:t>-</w:t>
            </w:r>
          </w:p>
        </w:tc>
        <w:tc>
          <w:tcPr>
            <w:tcW w:w="853" w:type="pct"/>
            <w:tcBorders>
              <w:top w:val="single" w:sz="4" w:space="0" w:color="auto"/>
              <w:left w:val="nil"/>
              <w:bottom w:val="nil"/>
              <w:right w:val="nil"/>
            </w:tcBorders>
            <w:noWrap/>
            <w:vAlign w:val="bottom"/>
          </w:tcPr>
          <w:p w14:paraId="67FC97D7" w14:textId="77777777" w:rsidR="00350907" w:rsidRPr="00BD112F" w:rsidRDefault="00350907" w:rsidP="00350907">
            <w:pPr>
              <w:tabs>
                <w:tab w:val="decimal" w:pos="1048"/>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c>
          <w:tcPr>
            <w:tcW w:w="730" w:type="pct"/>
            <w:tcBorders>
              <w:top w:val="single" w:sz="4" w:space="0" w:color="auto"/>
              <w:left w:val="nil"/>
              <w:bottom w:val="nil"/>
              <w:right w:val="nil"/>
            </w:tcBorders>
            <w:noWrap/>
            <w:vAlign w:val="bottom"/>
          </w:tcPr>
          <w:p w14:paraId="6059F7F5" w14:textId="2BF4ACCE" w:rsidR="00350907" w:rsidRPr="00BD112F" w:rsidRDefault="00350907" w:rsidP="00350907">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24,5</w:t>
            </w:r>
            <w:r w:rsidR="0034335F">
              <w:rPr>
                <w:rFonts w:eastAsia="Times New Roman" w:cs="Arial"/>
                <w:b/>
                <w:bCs/>
                <w:color w:val="000000" w:themeColor="text1"/>
                <w:sz w:val="20"/>
                <w:szCs w:val="20"/>
                <w:lang w:eastAsia="en-AU"/>
              </w:rPr>
              <w:t>83</w:t>
            </w:r>
          </w:p>
        </w:tc>
        <w:tc>
          <w:tcPr>
            <w:tcW w:w="712" w:type="pct"/>
            <w:tcBorders>
              <w:top w:val="single" w:sz="4" w:space="0" w:color="auto"/>
              <w:left w:val="nil"/>
              <w:bottom w:val="nil"/>
              <w:right w:val="nil"/>
            </w:tcBorders>
            <w:noWrap/>
            <w:vAlign w:val="bottom"/>
          </w:tcPr>
          <w:p w14:paraId="768A5E92" w14:textId="64962623" w:rsidR="00350907" w:rsidRPr="00FA41CC" w:rsidRDefault="00350907" w:rsidP="00350907">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24,5</w:t>
            </w:r>
            <w:r w:rsidR="0034335F">
              <w:rPr>
                <w:rFonts w:eastAsia="Times New Roman" w:cs="Arial"/>
                <w:b/>
                <w:bCs/>
                <w:color w:val="000000" w:themeColor="text1"/>
                <w:sz w:val="20"/>
                <w:szCs w:val="20"/>
                <w:lang w:eastAsia="en-AU"/>
              </w:rPr>
              <w:t>83</w:t>
            </w:r>
          </w:p>
        </w:tc>
      </w:tr>
      <w:tr w:rsidR="0005795C" w:rsidRPr="008F1B1D" w14:paraId="31376B28" w14:textId="77777777" w:rsidTr="413EB596">
        <w:tc>
          <w:tcPr>
            <w:tcW w:w="1993" w:type="pct"/>
            <w:tcBorders>
              <w:top w:val="nil"/>
              <w:left w:val="nil"/>
              <w:bottom w:val="nil"/>
              <w:right w:val="nil"/>
            </w:tcBorders>
            <w:vAlign w:val="bottom"/>
          </w:tcPr>
          <w:p w14:paraId="0153FA23" w14:textId="77777777" w:rsidR="0005795C" w:rsidRPr="00B94E93" w:rsidRDefault="0005795C">
            <w:pPr>
              <w:spacing w:after="0" w:line="240" w:lineRule="auto"/>
              <w:rPr>
                <w:rFonts w:eastAsia="Times New Roman" w:cs="Arial"/>
                <w:i/>
                <w:iCs/>
                <w:color w:val="000000"/>
                <w:sz w:val="20"/>
                <w:szCs w:val="20"/>
                <w:lang w:eastAsia="en-AU"/>
              </w:rPr>
            </w:pPr>
            <w:r w:rsidRPr="00B94E93">
              <w:rPr>
                <w:rFonts w:eastAsia="Times New Roman" w:cs="Arial"/>
                <w:i/>
                <w:iCs/>
                <w:color w:val="000000"/>
                <w:sz w:val="20"/>
                <w:szCs w:val="20"/>
                <w:lang w:eastAsia="en-AU"/>
              </w:rPr>
              <w:t>Transactions with owners:</w:t>
            </w:r>
          </w:p>
        </w:tc>
        <w:tc>
          <w:tcPr>
            <w:tcW w:w="712" w:type="pct"/>
            <w:tcBorders>
              <w:top w:val="nil"/>
              <w:left w:val="nil"/>
              <w:bottom w:val="nil"/>
              <w:right w:val="nil"/>
            </w:tcBorders>
            <w:noWrap/>
            <w:vAlign w:val="bottom"/>
          </w:tcPr>
          <w:p w14:paraId="0DAFC984"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853" w:type="pct"/>
            <w:tcBorders>
              <w:top w:val="nil"/>
              <w:left w:val="nil"/>
              <w:bottom w:val="nil"/>
              <w:right w:val="nil"/>
            </w:tcBorders>
            <w:noWrap/>
            <w:vAlign w:val="bottom"/>
          </w:tcPr>
          <w:p w14:paraId="2BD2744B"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730" w:type="pct"/>
            <w:tcBorders>
              <w:top w:val="nil"/>
              <w:left w:val="nil"/>
              <w:bottom w:val="nil"/>
              <w:right w:val="nil"/>
            </w:tcBorders>
            <w:noWrap/>
            <w:vAlign w:val="bottom"/>
          </w:tcPr>
          <w:p w14:paraId="43C42E16" w14:textId="77777777" w:rsidR="0005795C" w:rsidRDefault="0005795C">
            <w:pPr>
              <w:tabs>
                <w:tab w:val="decimal" w:pos="1048"/>
              </w:tabs>
              <w:spacing w:after="0" w:line="240" w:lineRule="auto"/>
              <w:rPr>
                <w:rFonts w:eastAsia="Times New Roman" w:cs="Arial"/>
                <w:color w:val="000000"/>
                <w:sz w:val="20"/>
                <w:szCs w:val="20"/>
                <w:lang w:eastAsia="en-AU"/>
              </w:rPr>
            </w:pPr>
          </w:p>
        </w:tc>
        <w:tc>
          <w:tcPr>
            <w:tcW w:w="712" w:type="pct"/>
            <w:tcBorders>
              <w:top w:val="nil"/>
              <w:left w:val="nil"/>
              <w:bottom w:val="nil"/>
              <w:right w:val="nil"/>
            </w:tcBorders>
            <w:noWrap/>
            <w:vAlign w:val="bottom"/>
          </w:tcPr>
          <w:p w14:paraId="5828D31A" w14:textId="77777777" w:rsidR="0005795C" w:rsidRDefault="0005795C">
            <w:pPr>
              <w:tabs>
                <w:tab w:val="decimal" w:pos="1048"/>
              </w:tabs>
              <w:spacing w:after="0" w:line="240" w:lineRule="auto"/>
              <w:rPr>
                <w:rFonts w:eastAsia="Times New Roman" w:cs="Arial"/>
                <w:b/>
                <w:bCs/>
                <w:color w:val="000000"/>
                <w:sz w:val="20"/>
                <w:szCs w:val="20"/>
                <w:lang w:eastAsia="en-AU"/>
              </w:rPr>
            </w:pPr>
          </w:p>
        </w:tc>
      </w:tr>
      <w:tr w:rsidR="0005795C" w:rsidRPr="003D7E2B" w14:paraId="0D891F6B" w14:textId="77777777" w:rsidTr="413EB596">
        <w:tc>
          <w:tcPr>
            <w:tcW w:w="1993" w:type="pct"/>
            <w:tcBorders>
              <w:top w:val="nil"/>
              <w:left w:val="nil"/>
              <w:bottom w:val="nil"/>
              <w:right w:val="nil"/>
            </w:tcBorders>
            <w:noWrap/>
            <w:vAlign w:val="bottom"/>
            <w:hideMark/>
          </w:tcPr>
          <w:p w14:paraId="3616A7C9" w14:textId="77777777" w:rsidR="0005795C" w:rsidRPr="008F1B1D" w:rsidRDefault="0005795C">
            <w:pPr>
              <w:spacing w:after="0" w:line="240" w:lineRule="auto"/>
              <w:rPr>
                <w:rFonts w:eastAsia="Times New Roman" w:cs="Arial"/>
                <w:color w:val="000000"/>
                <w:sz w:val="20"/>
                <w:szCs w:val="20"/>
                <w:lang w:eastAsia="en-AU"/>
              </w:rPr>
            </w:pPr>
            <w:r w:rsidRPr="008F1B1D">
              <w:rPr>
                <w:rFonts w:eastAsia="Times New Roman" w:cs="Arial"/>
                <w:color w:val="000000"/>
                <w:sz w:val="20"/>
                <w:szCs w:val="20"/>
                <w:lang w:eastAsia="en-AU"/>
              </w:rPr>
              <w:t>Contributed capital</w:t>
            </w:r>
          </w:p>
        </w:tc>
        <w:tc>
          <w:tcPr>
            <w:tcW w:w="712" w:type="pct"/>
            <w:tcBorders>
              <w:top w:val="nil"/>
              <w:left w:val="nil"/>
              <w:bottom w:val="single" w:sz="4" w:space="0" w:color="auto"/>
              <w:right w:val="nil"/>
            </w:tcBorders>
            <w:noWrap/>
            <w:vAlign w:val="bottom"/>
            <w:hideMark/>
          </w:tcPr>
          <w:p w14:paraId="1E2FA416"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49,850</w:t>
            </w:r>
          </w:p>
        </w:tc>
        <w:tc>
          <w:tcPr>
            <w:tcW w:w="853" w:type="pct"/>
            <w:tcBorders>
              <w:top w:val="nil"/>
              <w:left w:val="nil"/>
              <w:bottom w:val="single" w:sz="4" w:space="0" w:color="auto"/>
              <w:right w:val="nil"/>
            </w:tcBorders>
            <w:noWrap/>
            <w:vAlign w:val="bottom"/>
            <w:hideMark/>
          </w:tcPr>
          <w:p w14:paraId="24B6A035"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30" w:type="pct"/>
            <w:tcBorders>
              <w:top w:val="nil"/>
              <w:left w:val="nil"/>
              <w:bottom w:val="single" w:sz="4" w:space="0" w:color="auto"/>
              <w:right w:val="nil"/>
            </w:tcBorders>
            <w:noWrap/>
            <w:vAlign w:val="bottom"/>
            <w:hideMark/>
          </w:tcPr>
          <w:p w14:paraId="0D2CDE49" w14:textId="77777777" w:rsidR="0005795C" w:rsidRPr="008F1B1D" w:rsidRDefault="0005795C">
            <w:pPr>
              <w:tabs>
                <w:tab w:val="decimal" w:pos="104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12" w:type="pct"/>
            <w:tcBorders>
              <w:top w:val="nil"/>
              <w:left w:val="nil"/>
              <w:bottom w:val="single" w:sz="4" w:space="0" w:color="auto"/>
              <w:right w:val="nil"/>
            </w:tcBorders>
            <w:noWrap/>
            <w:vAlign w:val="bottom"/>
            <w:hideMark/>
          </w:tcPr>
          <w:p w14:paraId="0D583F82"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49,850</w:t>
            </w:r>
          </w:p>
        </w:tc>
      </w:tr>
      <w:tr w:rsidR="0005795C" w:rsidRPr="003D7E2B" w14:paraId="7AF15F16" w14:textId="77777777" w:rsidTr="413EB596">
        <w:tc>
          <w:tcPr>
            <w:tcW w:w="1993" w:type="pct"/>
            <w:tcBorders>
              <w:top w:val="nil"/>
              <w:left w:val="nil"/>
              <w:bottom w:val="nil"/>
              <w:right w:val="nil"/>
            </w:tcBorders>
            <w:noWrap/>
            <w:vAlign w:val="bottom"/>
            <w:hideMark/>
          </w:tcPr>
          <w:p w14:paraId="60870065" w14:textId="77777777" w:rsidR="0005795C" w:rsidRPr="008F1B1D" w:rsidRDefault="0005795C">
            <w:pPr>
              <w:spacing w:after="0" w:line="240" w:lineRule="auto"/>
              <w:rPr>
                <w:rFonts w:eastAsia="Times New Roman" w:cs="Arial"/>
                <w:b/>
                <w:color w:val="000000"/>
                <w:sz w:val="20"/>
                <w:szCs w:val="20"/>
                <w:lang w:eastAsia="en-AU"/>
              </w:rPr>
            </w:pPr>
            <w:r w:rsidRPr="008F1B1D">
              <w:rPr>
                <w:rFonts w:eastAsia="Times New Roman" w:cs="Arial"/>
                <w:b/>
                <w:color w:val="000000"/>
                <w:sz w:val="20"/>
                <w:szCs w:val="20"/>
                <w:lang w:eastAsia="en-AU"/>
              </w:rPr>
              <w:t>Balance at 30 June 2025</w:t>
            </w:r>
          </w:p>
        </w:tc>
        <w:tc>
          <w:tcPr>
            <w:tcW w:w="712" w:type="pct"/>
            <w:tcBorders>
              <w:top w:val="single" w:sz="4" w:space="0" w:color="auto"/>
              <w:left w:val="nil"/>
              <w:bottom w:val="double" w:sz="4" w:space="0" w:color="auto"/>
              <w:right w:val="nil"/>
            </w:tcBorders>
            <w:noWrap/>
            <w:vAlign w:val="bottom"/>
            <w:hideMark/>
          </w:tcPr>
          <w:p w14:paraId="36270932"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49,900</w:t>
            </w:r>
          </w:p>
        </w:tc>
        <w:tc>
          <w:tcPr>
            <w:tcW w:w="853" w:type="pct"/>
            <w:tcBorders>
              <w:top w:val="single" w:sz="4" w:space="0" w:color="auto"/>
              <w:left w:val="nil"/>
              <w:bottom w:val="double" w:sz="4" w:space="0" w:color="auto"/>
              <w:right w:val="nil"/>
            </w:tcBorders>
            <w:noWrap/>
            <w:vAlign w:val="bottom"/>
            <w:hideMark/>
          </w:tcPr>
          <w:p w14:paraId="1298893A" w14:textId="77777777" w:rsidR="0005795C" w:rsidRPr="008F1B1D" w:rsidRDefault="0005795C">
            <w:pPr>
              <w:tabs>
                <w:tab w:val="decimal" w:pos="1048"/>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c>
          <w:tcPr>
            <w:tcW w:w="730" w:type="pct"/>
            <w:tcBorders>
              <w:top w:val="single" w:sz="4" w:space="0" w:color="auto"/>
              <w:left w:val="nil"/>
              <w:bottom w:val="double" w:sz="4" w:space="0" w:color="auto"/>
              <w:right w:val="nil"/>
            </w:tcBorders>
            <w:noWrap/>
            <w:vAlign w:val="bottom"/>
            <w:hideMark/>
          </w:tcPr>
          <w:p w14:paraId="00D5232E" w14:textId="6F41FB9B" w:rsidR="0005795C" w:rsidRPr="008F1B1D" w:rsidRDefault="00350907"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38,</w:t>
            </w:r>
            <w:r w:rsidR="0034335F" w:rsidRPr="413EB596">
              <w:rPr>
                <w:rFonts w:eastAsia="Times New Roman" w:cs="Arial"/>
                <w:b/>
                <w:bCs/>
                <w:color w:val="000000" w:themeColor="text1"/>
                <w:sz w:val="20"/>
                <w:szCs w:val="20"/>
                <w:lang w:eastAsia="en-AU"/>
              </w:rPr>
              <w:t>3</w:t>
            </w:r>
            <w:r w:rsidR="0034335F">
              <w:rPr>
                <w:rFonts w:eastAsia="Times New Roman" w:cs="Arial"/>
                <w:b/>
                <w:bCs/>
                <w:color w:val="000000" w:themeColor="text1"/>
                <w:sz w:val="20"/>
                <w:szCs w:val="20"/>
                <w:lang w:eastAsia="en-AU"/>
              </w:rPr>
              <w:t>83</w:t>
            </w:r>
          </w:p>
        </w:tc>
        <w:tc>
          <w:tcPr>
            <w:tcW w:w="712" w:type="pct"/>
            <w:tcBorders>
              <w:top w:val="single" w:sz="4" w:space="0" w:color="auto"/>
              <w:left w:val="nil"/>
              <w:bottom w:val="double" w:sz="4" w:space="0" w:color="auto"/>
              <w:right w:val="nil"/>
            </w:tcBorders>
            <w:noWrap/>
            <w:vAlign w:val="bottom"/>
            <w:hideMark/>
          </w:tcPr>
          <w:p w14:paraId="0BB35C87" w14:textId="515E62EB" w:rsidR="0005795C" w:rsidRPr="008F1B1D" w:rsidRDefault="00350907" w:rsidP="413EB596">
            <w:pPr>
              <w:tabs>
                <w:tab w:val="decimal" w:pos="1048"/>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88,</w:t>
            </w:r>
            <w:r w:rsidR="0034335F" w:rsidRPr="413EB596">
              <w:rPr>
                <w:rFonts w:eastAsia="Times New Roman" w:cs="Arial"/>
                <w:b/>
                <w:bCs/>
                <w:color w:val="000000" w:themeColor="text1"/>
                <w:sz w:val="20"/>
                <w:szCs w:val="20"/>
                <w:lang w:eastAsia="en-AU"/>
              </w:rPr>
              <w:t>2</w:t>
            </w:r>
            <w:r w:rsidR="0034335F">
              <w:rPr>
                <w:rFonts w:eastAsia="Times New Roman" w:cs="Arial"/>
                <w:b/>
                <w:bCs/>
                <w:color w:val="000000" w:themeColor="text1"/>
                <w:sz w:val="20"/>
                <w:szCs w:val="20"/>
                <w:lang w:eastAsia="en-AU"/>
              </w:rPr>
              <w:t>83</w:t>
            </w:r>
          </w:p>
        </w:tc>
      </w:tr>
    </w:tbl>
    <w:p w14:paraId="18D9D59B" w14:textId="77777777" w:rsidR="0005795C" w:rsidRPr="00F65403" w:rsidDel="00196EAE" w:rsidRDefault="0005795C" w:rsidP="0005795C">
      <w:pPr>
        <w:pStyle w:val="BodyText"/>
        <w:rPr>
          <w:i/>
          <w:lang w:val="en-AU"/>
        </w:rPr>
      </w:pPr>
    </w:p>
    <w:p w14:paraId="77E447E3" w14:textId="77777777" w:rsidR="0005795C" w:rsidRPr="001C1467" w:rsidRDefault="0005795C" w:rsidP="0005795C">
      <w:pPr>
        <w:pStyle w:val="BodyText"/>
        <w:rPr>
          <w:i/>
          <w:lang w:val="en-AU"/>
        </w:rPr>
      </w:pPr>
      <w:r w:rsidRPr="00F65403">
        <w:rPr>
          <w:i/>
          <w:lang w:val="en-AU"/>
        </w:rPr>
        <w:t>The above statement of changes in equity should be read in conjunction with the accompanying notes.</w:t>
      </w:r>
    </w:p>
    <w:p w14:paraId="0BA6D298" w14:textId="77777777" w:rsidR="0005795C" w:rsidRPr="00F65403" w:rsidRDefault="0005795C" w:rsidP="0005795C"/>
    <w:p w14:paraId="19E9BFE7" w14:textId="77777777" w:rsidR="0005795C" w:rsidRDefault="0005795C" w:rsidP="0005795C">
      <w:r>
        <w:br w:type="page"/>
      </w:r>
    </w:p>
    <w:p w14:paraId="3773BA9D" w14:textId="77777777" w:rsidR="0005795C" w:rsidRPr="0048780B" w:rsidRDefault="0005795C" w:rsidP="00B254AC">
      <w:pPr>
        <w:pStyle w:val="Heading1"/>
      </w:pPr>
      <w:bookmarkStart w:id="654" w:name="_Ref207630453"/>
      <w:bookmarkStart w:id="655" w:name="_Toc208418067"/>
      <w:bookmarkStart w:id="656" w:name="_Toc209080431"/>
      <w:bookmarkStart w:id="657" w:name="_Toc209704001"/>
      <w:bookmarkStart w:id="658" w:name="_Toc209704054"/>
      <w:bookmarkStart w:id="659" w:name="_Toc209704107"/>
      <w:r>
        <w:t>S</w:t>
      </w:r>
      <w:r w:rsidRPr="0048780B">
        <w:t>tatement of cash flows</w:t>
      </w:r>
      <w:bookmarkEnd w:id="654"/>
      <w:bookmarkEnd w:id="655"/>
      <w:bookmarkEnd w:id="656"/>
      <w:bookmarkEnd w:id="657"/>
      <w:bookmarkEnd w:id="658"/>
      <w:bookmarkEnd w:id="659"/>
      <w:r w:rsidRPr="0048780B">
        <w:t> </w:t>
      </w:r>
    </w:p>
    <w:p w14:paraId="6DCAEDA0" w14:textId="77777777" w:rsidR="0005795C" w:rsidRPr="00F65403" w:rsidRDefault="0005795C" w:rsidP="0005795C">
      <w:pPr>
        <w:pStyle w:val="Heading3"/>
        <w:rPr>
          <w:rFonts w:cs="Arial"/>
        </w:rPr>
      </w:pPr>
      <w:r w:rsidRPr="4FD260F1">
        <w:rPr>
          <w:rFonts w:cs="Arial"/>
        </w:rPr>
        <w:t>For the year ended 30 June 2025</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387"/>
        <w:gridCol w:w="709"/>
        <w:gridCol w:w="1465"/>
        <w:gridCol w:w="1465"/>
      </w:tblGrid>
      <w:tr w:rsidR="0005795C" w:rsidRPr="00886B3E" w14:paraId="34E502EE" w14:textId="77777777">
        <w:tc>
          <w:tcPr>
            <w:tcW w:w="5387" w:type="dxa"/>
            <w:tcBorders>
              <w:top w:val="nil"/>
              <w:left w:val="nil"/>
              <w:bottom w:val="nil"/>
              <w:right w:val="nil"/>
            </w:tcBorders>
            <w:noWrap/>
            <w:vAlign w:val="bottom"/>
            <w:hideMark/>
          </w:tcPr>
          <w:p w14:paraId="1D0B161A" w14:textId="77777777" w:rsidR="0005795C" w:rsidRPr="000E1B25" w:rsidRDefault="0005795C">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4D5BAA67"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vAlign w:val="bottom"/>
            <w:hideMark/>
          </w:tcPr>
          <w:p w14:paraId="50A50BC8" w14:textId="77777777" w:rsidR="0005795C" w:rsidRPr="000E1B25" w:rsidRDefault="0005795C">
            <w:pPr>
              <w:spacing w:after="0" w:line="240" w:lineRule="auto"/>
              <w:jc w:val="center"/>
              <w:rPr>
                <w:rFonts w:eastAsia="Times New Roman" w:cs="Arial"/>
                <w:b/>
                <w:color w:val="000000"/>
                <w:sz w:val="20"/>
                <w:szCs w:val="20"/>
                <w:lang w:eastAsia="en-AU"/>
              </w:rPr>
            </w:pPr>
            <w:r w:rsidRPr="00FD5BEA">
              <w:rPr>
                <w:rFonts w:eastAsia="Times New Roman" w:cs="Arial"/>
                <w:b/>
                <w:color w:val="000000"/>
                <w:sz w:val="20"/>
                <w:szCs w:val="20"/>
                <w:lang w:eastAsia="en-AU"/>
              </w:rPr>
              <w:t>Year ended</w:t>
            </w:r>
            <w:r>
              <w:rPr>
                <w:rFonts w:eastAsia="Times New Roman" w:cs="Arial"/>
                <w:b/>
                <w:bCs/>
                <w:color w:val="000000"/>
                <w:sz w:val="20"/>
                <w:szCs w:val="20"/>
                <w:lang w:eastAsia="en-AU"/>
              </w:rPr>
              <w:t xml:space="preserve"> 30 June 2025</w:t>
            </w:r>
          </w:p>
        </w:tc>
        <w:tc>
          <w:tcPr>
            <w:tcW w:w="1465" w:type="dxa"/>
            <w:tcBorders>
              <w:top w:val="nil"/>
              <w:left w:val="nil"/>
              <w:bottom w:val="nil"/>
              <w:right w:val="nil"/>
            </w:tcBorders>
            <w:vAlign w:val="bottom"/>
            <w:hideMark/>
          </w:tcPr>
          <w:p w14:paraId="66C1D3BE" w14:textId="4C669539" w:rsidR="0005795C" w:rsidRPr="000E1B25" w:rsidRDefault="008C4543">
            <w:pPr>
              <w:spacing w:after="0" w:line="240" w:lineRule="auto"/>
              <w:jc w:val="center"/>
              <w:rPr>
                <w:rFonts w:eastAsia="Times New Roman" w:cs="Arial"/>
                <w:b/>
                <w:color w:val="000000"/>
                <w:sz w:val="20"/>
                <w:szCs w:val="20"/>
                <w:lang w:eastAsia="en-AU"/>
              </w:rPr>
            </w:pPr>
            <w:r>
              <w:rPr>
                <w:rFonts w:eastAsia="Times New Roman" w:cs="Arial"/>
                <w:b/>
                <w:bCs/>
                <w:color w:val="000000"/>
                <w:sz w:val="20"/>
                <w:szCs w:val="20"/>
                <w:lang w:eastAsia="en-AU"/>
              </w:rPr>
              <w:t>26 October</w:t>
            </w:r>
            <w:r w:rsidR="0005795C" w:rsidRPr="00FD5BEA">
              <w:rPr>
                <w:rFonts w:eastAsia="Times New Roman" w:cs="Arial"/>
                <w:b/>
                <w:bCs/>
                <w:color w:val="000000"/>
                <w:sz w:val="20"/>
                <w:szCs w:val="20"/>
                <w:lang w:eastAsia="en-AU"/>
              </w:rPr>
              <w:t xml:space="preserve"> </w:t>
            </w:r>
            <w:r w:rsidR="0005795C">
              <w:rPr>
                <w:rFonts w:eastAsia="Times New Roman" w:cs="Arial"/>
                <w:b/>
                <w:bCs/>
                <w:color w:val="000000"/>
                <w:sz w:val="20"/>
                <w:szCs w:val="20"/>
                <w:lang w:eastAsia="en-AU"/>
              </w:rPr>
              <w:t>20</w:t>
            </w:r>
            <w:r w:rsidR="0005795C" w:rsidRPr="00FD5BEA">
              <w:rPr>
                <w:rFonts w:eastAsia="Times New Roman" w:cs="Arial"/>
                <w:b/>
                <w:bCs/>
                <w:color w:val="000000"/>
                <w:sz w:val="20"/>
                <w:szCs w:val="20"/>
                <w:lang w:eastAsia="en-AU"/>
              </w:rPr>
              <w:t>23</w:t>
            </w:r>
            <w:r w:rsidR="0005795C">
              <w:rPr>
                <w:rFonts w:eastAsia="Times New Roman" w:cs="Arial"/>
                <w:b/>
                <w:bCs/>
                <w:color w:val="000000"/>
                <w:sz w:val="20"/>
                <w:szCs w:val="20"/>
                <w:lang w:eastAsia="en-AU"/>
              </w:rPr>
              <w:t xml:space="preserve"> </w:t>
            </w:r>
            <w:r w:rsidR="0005795C" w:rsidRPr="00FD5BEA">
              <w:rPr>
                <w:rFonts w:eastAsia="Times New Roman" w:cs="Arial"/>
                <w:b/>
                <w:bCs/>
                <w:color w:val="000000"/>
                <w:sz w:val="20"/>
                <w:szCs w:val="20"/>
                <w:lang w:eastAsia="en-AU"/>
              </w:rPr>
              <w:t>to 30 Jun</w:t>
            </w:r>
            <w:r w:rsidR="0005795C">
              <w:rPr>
                <w:rFonts w:eastAsia="Times New Roman" w:cs="Arial"/>
                <w:b/>
                <w:bCs/>
                <w:color w:val="000000"/>
                <w:sz w:val="20"/>
                <w:szCs w:val="20"/>
                <w:lang w:eastAsia="en-AU"/>
              </w:rPr>
              <w:t>e</w:t>
            </w:r>
            <w:r w:rsidR="0005795C" w:rsidRPr="00FD5BEA">
              <w:rPr>
                <w:rFonts w:eastAsia="Times New Roman" w:cs="Arial"/>
                <w:b/>
                <w:bCs/>
                <w:color w:val="000000"/>
                <w:sz w:val="20"/>
                <w:szCs w:val="20"/>
                <w:lang w:eastAsia="en-AU"/>
              </w:rPr>
              <w:t xml:space="preserve"> </w:t>
            </w:r>
            <w:r w:rsidR="0005795C">
              <w:rPr>
                <w:rFonts w:eastAsia="Times New Roman" w:cs="Arial"/>
                <w:b/>
                <w:bCs/>
                <w:color w:val="000000"/>
                <w:sz w:val="20"/>
                <w:szCs w:val="20"/>
                <w:lang w:eastAsia="en-AU"/>
              </w:rPr>
              <w:t>20</w:t>
            </w:r>
            <w:r w:rsidR="0005795C" w:rsidRPr="00FD5BEA">
              <w:rPr>
                <w:rFonts w:eastAsia="Times New Roman" w:cs="Arial"/>
                <w:b/>
                <w:bCs/>
                <w:color w:val="000000"/>
                <w:sz w:val="20"/>
                <w:szCs w:val="20"/>
                <w:lang w:eastAsia="en-AU"/>
              </w:rPr>
              <w:t>24</w:t>
            </w:r>
          </w:p>
        </w:tc>
      </w:tr>
      <w:tr w:rsidR="0005795C" w:rsidRPr="00886B3E" w14:paraId="26613249" w14:textId="77777777">
        <w:tc>
          <w:tcPr>
            <w:tcW w:w="5387" w:type="dxa"/>
            <w:tcBorders>
              <w:top w:val="nil"/>
              <w:left w:val="nil"/>
              <w:bottom w:val="nil"/>
              <w:right w:val="nil"/>
            </w:tcBorders>
            <w:vAlign w:val="bottom"/>
            <w:hideMark/>
          </w:tcPr>
          <w:p w14:paraId="50AE354F" w14:textId="77777777" w:rsidR="0005795C" w:rsidRPr="000E1B25" w:rsidRDefault="0005795C">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463FF12A" w14:textId="77777777" w:rsidR="0005795C" w:rsidRPr="000E1B25" w:rsidRDefault="0005795C">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Note</w:t>
            </w:r>
          </w:p>
        </w:tc>
        <w:tc>
          <w:tcPr>
            <w:tcW w:w="1465" w:type="dxa"/>
            <w:tcBorders>
              <w:top w:val="nil"/>
              <w:left w:val="nil"/>
              <w:bottom w:val="nil"/>
              <w:right w:val="nil"/>
            </w:tcBorders>
            <w:noWrap/>
            <w:hideMark/>
          </w:tcPr>
          <w:p w14:paraId="1E13AD74" w14:textId="77777777" w:rsidR="0005795C" w:rsidRPr="000E1B25" w:rsidRDefault="0005795C">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c>
          <w:tcPr>
            <w:tcW w:w="1465" w:type="dxa"/>
            <w:tcBorders>
              <w:top w:val="nil"/>
              <w:left w:val="nil"/>
              <w:bottom w:val="nil"/>
              <w:right w:val="nil"/>
            </w:tcBorders>
            <w:noWrap/>
            <w:hideMark/>
          </w:tcPr>
          <w:p w14:paraId="73F202C5" w14:textId="77777777" w:rsidR="0005795C" w:rsidRPr="000E1B25" w:rsidRDefault="0005795C">
            <w:pPr>
              <w:spacing w:after="0" w:line="240" w:lineRule="auto"/>
              <w:jc w:val="center"/>
              <w:rPr>
                <w:rFonts w:eastAsia="Times New Roman" w:cs="Arial"/>
                <w:b/>
                <w:color w:val="000000"/>
                <w:sz w:val="20"/>
                <w:szCs w:val="20"/>
                <w:lang w:eastAsia="en-AU"/>
              </w:rPr>
            </w:pPr>
            <w:r w:rsidRPr="000E1B25">
              <w:rPr>
                <w:rFonts w:eastAsia="Times New Roman" w:cs="Arial"/>
                <w:b/>
                <w:color w:val="000000"/>
                <w:sz w:val="20"/>
                <w:szCs w:val="20"/>
                <w:lang w:eastAsia="en-AU"/>
              </w:rPr>
              <w:t>$000's</w:t>
            </w:r>
          </w:p>
        </w:tc>
      </w:tr>
      <w:tr w:rsidR="0005795C" w:rsidRPr="00886B3E" w14:paraId="28654A87" w14:textId="77777777">
        <w:tc>
          <w:tcPr>
            <w:tcW w:w="5387" w:type="dxa"/>
            <w:tcBorders>
              <w:top w:val="nil"/>
              <w:left w:val="nil"/>
              <w:bottom w:val="nil"/>
              <w:right w:val="nil"/>
            </w:tcBorders>
            <w:noWrap/>
            <w:vAlign w:val="bottom"/>
            <w:hideMark/>
          </w:tcPr>
          <w:p w14:paraId="79D2D197" w14:textId="77777777" w:rsidR="0005795C" w:rsidRPr="000E1B25" w:rsidRDefault="0005795C">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27BF7B1A"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77E267FD" w14:textId="77777777" w:rsidR="0005795C" w:rsidRPr="00F65403" w:rsidRDefault="0005795C">
            <w:pPr>
              <w:tabs>
                <w:tab w:val="decimal" w:pos="1110"/>
              </w:tabs>
              <w:spacing w:after="0" w:line="240" w:lineRule="auto"/>
              <w:rPr>
                <w:rFonts w:eastAsia="Times New Roman" w:cs="Arial"/>
                <w:sz w:val="20"/>
                <w:szCs w:val="20"/>
                <w:highlight w:val="yellow"/>
                <w:lang w:eastAsia="en-AU"/>
              </w:rPr>
            </w:pPr>
          </w:p>
        </w:tc>
        <w:tc>
          <w:tcPr>
            <w:tcW w:w="1465" w:type="dxa"/>
            <w:tcBorders>
              <w:top w:val="nil"/>
              <w:left w:val="nil"/>
              <w:bottom w:val="nil"/>
              <w:right w:val="nil"/>
            </w:tcBorders>
            <w:noWrap/>
            <w:vAlign w:val="bottom"/>
            <w:hideMark/>
          </w:tcPr>
          <w:p w14:paraId="43BC430E" w14:textId="77777777" w:rsidR="0005795C" w:rsidRPr="000E1B25" w:rsidRDefault="0005795C">
            <w:pPr>
              <w:tabs>
                <w:tab w:val="decimal" w:pos="1110"/>
              </w:tabs>
              <w:spacing w:after="0" w:line="240" w:lineRule="auto"/>
              <w:rPr>
                <w:rFonts w:eastAsia="Times New Roman" w:cs="Arial"/>
                <w:sz w:val="20"/>
                <w:szCs w:val="20"/>
                <w:lang w:eastAsia="en-AU"/>
              </w:rPr>
            </w:pPr>
          </w:p>
        </w:tc>
      </w:tr>
      <w:tr w:rsidR="0005795C" w:rsidRPr="00886B3E" w14:paraId="54B388AA" w14:textId="77777777">
        <w:tc>
          <w:tcPr>
            <w:tcW w:w="5387" w:type="dxa"/>
            <w:tcBorders>
              <w:top w:val="nil"/>
              <w:left w:val="nil"/>
              <w:bottom w:val="nil"/>
              <w:right w:val="nil"/>
            </w:tcBorders>
            <w:noWrap/>
            <w:vAlign w:val="bottom"/>
            <w:hideMark/>
          </w:tcPr>
          <w:p w14:paraId="50E8D9BC" w14:textId="77777777"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operating activities</w:t>
            </w:r>
          </w:p>
        </w:tc>
        <w:tc>
          <w:tcPr>
            <w:tcW w:w="709" w:type="dxa"/>
            <w:tcBorders>
              <w:top w:val="nil"/>
              <w:left w:val="nil"/>
              <w:bottom w:val="nil"/>
              <w:right w:val="nil"/>
            </w:tcBorders>
            <w:noWrap/>
            <w:hideMark/>
          </w:tcPr>
          <w:p w14:paraId="0FF5E016" w14:textId="77777777" w:rsidR="0005795C" w:rsidRPr="000E1B25" w:rsidRDefault="0005795C">
            <w:pPr>
              <w:spacing w:after="0" w:line="240" w:lineRule="auto"/>
              <w:jc w:val="center"/>
              <w:rPr>
                <w:rFonts w:eastAsia="Times New Roman" w:cs="Arial"/>
                <w:b/>
                <w:color w:val="000000"/>
                <w:sz w:val="20"/>
                <w:szCs w:val="20"/>
                <w:lang w:eastAsia="en-AU"/>
              </w:rPr>
            </w:pPr>
          </w:p>
        </w:tc>
        <w:tc>
          <w:tcPr>
            <w:tcW w:w="1465" w:type="dxa"/>
            <w:tcBorders>
              <w:top w:val="nil"/>
              <w:left w:val="nil"/>
              <w:bottom w:val="nil"/>
              <w:right w:val="nil"/>
            </w:tcBorders>
            <w:noWrap/>
            <w:vAlign w:val="bottom"/>
            <w:hideMark/>
          </w:tcPr>
          <w:p w14:paraId="66A256D9" w14:textId="77777777" w:rsidR="0005795C" w:rsidRPr="000E1B25" w:rsidRDefault="0005795C">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7CEABF22" w14:textId="77777777" w:rsidR="0005795C" w:rsidRPr="000E1B25" w:rsidRDefault="0005795C">
            <w:pPr>
              <w:tabs>
                <w:tab w:val="decimal" w:pos="1110"/>
              </w:tabs>
              <w:spacing w:after="0" w:line="240" w:lineRule="auto"/>
              <w:rPr>
                <w:rFonts w:eastAsia="Times New Roman" w:cs="Arial"/>
                <w:sz w:val="20"/>
                <w:szCs w:val="20"/>
                <w:lang w:eastAsia="en-AU"/>
              </w:rPr>
            </w:pPr>
          </w:p>
        </w:tc>
      </w:tr>
      <w:tr w:rsidR="0005795C" w:rsidRPr="00886B3E" w14:paraId="29EF0AD5" w14:textId="77777777">
        <w:tc>
          <w:tcPr>
            <w:tcW w:w="5387" w:type="dxa"/>
            <w:tcBorders>
              <w:top w:val="nil"/>
              <w:left w:val="nil"/>
              <w:bottom w:val="nil"/>
              <w:right w:val="nil"/>
            </w:tcBorders>
            <w:noWrap/>
            <w:vAlign w:val="bottom"/>
            <w:hideMark/>
          </w:tcPr>
          <w:p w14:paraId="068ED1C8" w14:textId="77777777" w:rsidR="0005795C" w:rsidRPr="000E1B25" w:rsidRDefault="0005795C">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Payments to suppliers and employees</w:t>
            </w:r>
          </w:p>
        </w:tc>
        <w:tc>
          <w:tcPr>
            <w:tcW w:w="709" w:type="dxa"/>
            <w:tcBorders>
              <w:top w:val="nil"/>
              <w:left w:val="nil"/>
              <w:bottom w:val="nil"/>
              <w:right w:val="nil"/>
            </w:tcBorders>
            <w:noWrap/>
            <w:hideMark/>
          </w:tcPr>
          <w:p w14:paraId="301287FA" w14:textId="77777777" w:rsidR="0005795C" w:rsidRPr="000E1B25" w:rsidRDefault="0005795C">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51F73CA3" w14:textId="77777777" w:rsidR="0005795C" w:rsidRPr="000E1B25" w:rsidRDefault="0005795C">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(29,812)</w:t>
            </w:r>
          </w:p>
        </w:tc>
        <w:tc>
          <w:tcPr>
            <w:tcW w:w="1465" w:type="dxa"/>
            <w:tcBorders>
              <w:top w:val="nil"/>
              <w:left w:val="nil"/>
              <w:bottom w:val="nil"/>
              <w:right w:val="nil"/>
            </w:tcBorders>
            <w:noWrap/>
            <w:vAlign w:val="bottom"/>
            <w:hideMark/>
          </w:tcPr>
          <w:p w14:paraId="14DE299C"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05795C" w:rsidRPr="00886B3E" w14:paraId="6AAA331A" w14:textId="77777777">
        <w:tc>
          <w:tcPr>
            <w:tcW w:w="5387" w:type="dxa"/>
            <w:tcBorders>
              <w:top w:val="nil"/>
              <w:left w:val="nil"/>
              <w:bottom w:val="nil"/>
              <w:right w:val="nil"/>
            </w:tcBorders>
            <w:noWrap/>
            <w:vAlign w:val="bottom"/>
            <w:hideMark/>
          </w:tcPr>
          <w:p w14:paraId="527F59F4" w14:textId="77777777" w:rsidR="0005795C" w:rsidRPr="000E1B25" w:rsidRDefault="0005795C">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Interest received</w:t>
            </w:r>
          </w:p>
        </w:tc>
        <w:tc>
          <w:tcPr>
            <w:tcW w:w="709" w:type="dxa"/>
            <w:tcBorders>
              <w:top w:val="nil"/>
              <w:left w:val="nil"/>
              <w:bottom w:val="nil"/>
              <w:right w:val="nil"/>
            </w:tcBorders>
            <w:noWrap/>
            <w:hideMark/>
          </w:tcPr>
          <w:p w14:paraId="7AAAD7E7" w14:textId="77777777" w:rsidR="0005795C" w:rsidRPr="000E1B25" w:rsidRDefault="0005795C">
            <w:pPr>
              <w:spacing w:after="0" w:line="240" w:lineRule="auto"/>
              <w:jc w:val="center"/>
              <w:rPr>
                <w:rFonts w:eastAsia="Times New Roman" w:cs="Arial"/>
                <w:color w:val="000000"/>
                <w:sz w:val="20"/>
                <w:szCs w:val="20"/>
                <w:lang w:eastAsia="en-AU"/>
              </w:rPr>
            </w:pPr>
          </w:p>
        </w:tc>
        <w:tc>
          <w:tcPr>
            <w:tcW w:w="1465" w:type="dxa"/>
            <w:tcBorders>
              <w:top w:val="nil"/>
              <w:left w:val="nil"/>
              <w:bottom w:val="nil"/>
              <w:right w:val="nil"/>
            </w:tcBorders>
            <w:noWrap/>
            <w:vAlign w:val="bottom"/>
            <w:hideMark/>
          </w:tcPr>
          <w:p w14:paraId="0729B933" w14:textId="77777777" w:rsidR="0005795C" w:rsidRPr="000E1B25" w:rsidRDefault="0005795C">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333</w:t>
            </w:r>
          </w:p>
        </w:tc>
        <w:tc>
          <w:tcPr>
            <w:tcW w:w="1465" w:type="dxa"/>
            <w:tcBorders>
              <w:top w:val="nil"/>
              <w:left w:val="nil"/>
              <w:bottom w:val="nil"/>
              <w:right w:val="nil"/>
            </w:tcBorders>
            <w:noWrap/>
            <w:vAlign w:val="bottom"/>
            <w:hideMark/>
          </w:tcPr>
          <w:p w14:paraId="66B28BCD"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05795C" w:rsidRPr="00886B3E" w14:paraId="220C9AE0" w14:textId="77777777">
        <w:tc>
          <w:tcPr>
            <w:tcW w:w="5387" w:type="dxa"/>
            <w:tcBorders>
              <w:top w:val="nil"/>
              <w:left w:val="nil"/>
              <w:bottom w:val="nil"/>
              <w:right w:val="nil"/>
            </w:tcBorders>
            <w:noWrap/>
            <w:vAlign w:val="bottom"/>
            <w:hideMark/>
          </w:tcPr>
          <w:p w14:paraId="1E776169" w14:textId="77777777" w:rsidR="0005795C" w:rsidRPr="000E1B25" w:rsidRDefault="0005795C">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Interest paid</w:t>
            </w:r>
          </w:p>
        </w:tc>
        <w:tc>
          <w:tcPr>
            <w:tcW w:w="709" w:type="dxa"/>
            <w:tcBorders>
              <w:top w:val="nil"/>
              <w:left w:val="nil"/>
              <w:bottom w:val="nil"/>
              <w:right w:val="nil"/>
            </w:tcBorders>
            <w:noWrap/>
            <w:hideMark/>
          </w:tcPr>
          <w:p w14:paraId="64E0C160" w14:textId="77777777" w:rsidR="0005795C" w:rsidRPr="000E1B25" w:rsidRDefault="0005795C">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1D675D9D"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(22)</w:t>
            </w:r>
          </w:p>
        </w:tc>
        <w:tc>
          <w:tcPr>
            <w:tcW w:w="1465" w:type="dxa"/>
            <w:tcBorders>
              <w:top w:val="nil"/>
              <w:left w:val="nil"/>
              <w:bottom w:val="single" w:sz="4" w:space="0" w:color="auto"/>
              <w:right w:val="nil"/>
            </w:tcBorders>
            <w:noWrap/>
            <w:vAlign w:val="bottom"/>
            <w:hideMark/>
          </w:tcPr>
          <w:p w14:paraId="217F0C6E"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05795C" w:rsidRPr="00886B3E" w14:paraId="11C9226C" w14:textId="77777777">
        <w:tc>
          <w:tcPr>
            <w:tcW w:w="5387" w:type="dxa"/>
            <w:tcBorders>
              <w:top w:val="nil"/>
              <w:left w:val="nil"/>
              <w:bottom w:val="nil"/>
              <w:right w:val="nil"/>
            </w:tcBorders>
            <w:noWrap/>
            <w:vAlign w:val="bottom"/>
            <w:hideMark/>
          </w:tcPr>
          <w:p w14:paraId="589E3EB8" w14:textId="00BE6F62"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Net cash flows used in operating activities</w:t>
            </w:r>
          </w:p>
        </w:tc>
        <w:tc>
          <w:tcPr>
            <w:tcW w:w="709" w:type="dxa"/>
            <w:tcBorders>
              <w:top w:val="nil"/>
              <w:left w:val="nil"/>
              <w:bottom w:val="nil"/>
              <w:right w:val="nil"/>
            </w:tcBorders>
            <w:noWrap/>
            <w:hideMark/>
          </w:tcPr>
          <w:p w14:paraId="49D8ED4A" w14:textId="77777777" w:rsidR="0005795C" w:rsidRPr="000E1B25"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3ii</w:t>
            </w:r>
          </w:p>
        </w:tc>
        <w:tc>
          <w:tcPr>
            <w:tcW w:w="1465" w:type="dxa"/>
            <w:tcBorders>
              <w:top w:val="nil"/>
              <w:left w:val="nil"/>
              <w:bottom w:val="nil"/>
              <w:right w:val="nil"/>
            </w:tcBorders>
            <w:noWrap/>
            <w:vAlign w:val="bottom"/>
            <w:hideMark/>
          </w:tcPr>
          <w:p w14:paraId="2213FE8F" w14:textId="77777777" w:rsidR="0005795C" w:rsidRPr="000E1B25" w:rsidRDefault="0005795C">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(29,501)</w:t>
            </w:r>
          </w:p>
        </w:tc>
        <w:tc>
          <w:tcPr>
            <w:tcW w:w="1465" w:type="dxa"/>
            <w:tcBorders>
              <w:top w:val="nil"/>
              <w:left w:val="nil"/>
              <w:bottom w:val="nil"/>
              <w:right w:val="nil"/>
            </w:tcBorders>
            <w:noWrap/>
            <w:vAlign w:val="bottom"/>
            <w:hideMark/>
          </w:tcPr>
          <w:p w14:paraId="74198325" w14:textId="77777777" w:rsidR="0005795C" w:rsidRPr="000E1B25" w:rsidRDefault="0005795C">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w:t>
            </w:r>
          </w:p>
        </w:tc>
      </w:tr>
      <w:tr w:rsidR="0005795C" w:rsidRPr="00886B3E" w14:paraId="7E823ED1" w14:textId="77777777">
        <w:tc>
          <w:tcPr>
            <w:tcW w:w="5387" w:type="dxa"/>
            <w:tcBorders>
              <w:top w:val="nil"/>
              <w:left w:val="nil"/>
              <w:bottom w:val="nil"/>
              <w:right w:val="nil"/>
            </w:tcBorders>
            <w:noWrap/>
            <w:vAlign w:val="bottom"/>
            <w:hideMark/>
          </w:tcPr>
          <w:p w14:paraId="6C3A4600" w14:textId="77777777" w:rsidR="0005795C" w:rsidRPr="000E1B25" w:rsidRDefault="0005795C">
            <w:pPr>
              <w:spacing w:after="0" w:line="240" w:lineRule="auto"/>
              <w:rPr>
                <w:rFonts w:eastAsia="Times New Roman" w:cs="Arial"/>
                <w:b/>
                <w:color w:val="000000"/>
                <w:sz w:val="20"/>
                <w:szCs w:val="20"/>
                <w:lang w:eastAsia="en-AU"/>
              </w:rPr>
            </w:pPr>
          </w:p>
        </w:tc>
        <w:tc>
          <w:tcPr>
            <w:tcW w:w="709" w:type="dxa"/>
            <w:tcBorders>
              <w:top w:val="nil"/>
              <w:left w:val="nil"/>
              <w:bottom w:val="nil"/>
              <w:right w:val="nil"/>
            </w:tcBorders>
            <w:noWrap/>
            <w:hideMark/>
          </w:tcPr>
          <w:p w14:paraId="129C53C1"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1245E05E" w14:textId="77777777" w:rsidR="0005795C" w:rsidRPr="000E1B25" w:rsidRDefault="0005795C">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1DBD340B" w14:textId="77777777" w:rsidR="0005795C" w:rsidRPr="000E1B25" w:rsidRDefault="0005795C">
            <w:pPr>
              <w:tabs>
                <w:tab w:val="decimal" w:pos="1110"/>
              </w:tabs>
              <w:spacing w:after="0" w:line="240" w:lineRule="auto"/>
              <w:rPr>
                <w:rFonts w:eastAsia="Times New Roman" w:cs="Arial"/>
                <w:sz w:val="20"/>
                <w:szCs w:val="20"/>
                <w:lang w:eastAsia="en-AU"/>
              </w:rPr>
            </w:pPr>
          </w:p>
        </w:tc>
      </w:tr>
      <w:tr w:rsidR="0005795C" w:rsidRPr="00886B3E" w14:paraId="39826E57" w14:textId="77777777">
        <w:tc>
          <w:tcPr>
            <w:tcW w:w="5387" w:type="dxa"/>
            <w:tcBorders>
              <w:top w:val="nil"/>
              <w:left w:val="nil"/>
              <w:bottom w:val="nil"/>
              <w:right w:val="nil"/>
            </w:tcBorders>
            <w:noWrap/>
            <w:vAlign w:val="bottom"/>
            <w:hideMark/>
          </w:tcPr>
          <w:p w14:paraId="65B0DA4D" w14:textId="77777777" w:rsidR="0005795C" w:rsidRPr="000E1B25" w:rsidRDefault="0005795C">
            <w:pPr>
              <w:spacing w:after="0" w:line="240" w:lineRule="auto"/>
              <w:jc w:val="right"/>
              <w:rPr>
                <w:rFonts w:eastAsia="Times New Roman" w:cs="Arial"/>
                <w:b/>
                <w:color w:val="000000"/>
                <w:sz w:val="20"/>
                <w:szCs w:val="20"/>
                <w:lang w:eastAsia="en-AU"/>
              </w:rPr>
            </w:pPr>
          </w:p>
        </w:tc>
        <w:tc>
          <w:tcPr>
            <w:tcW w:w="709" w:type="dxa"/>
            <w:tcBorders>
              <w:top w:val="nil"/>
              <w:left w:val="nil"/>
              <w:bottom w:val="nil"/>
              <w:right w:val="nil"/>
            </w:tcBorders>
            <w:noWrap/>
            <w:hideMark/>
          </w:tcPr>
          <w:p w14:paraId="4CB397E9"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20D79A9E" w14:textId="77777777" w:rsidR="0005795C" w:rsidRPr="000E1B25" w:rsidRDefault="0005795C">
            <w:pPr>
              <w:tabs>
                <w:tab w:val="decimal" w:pos="1110"/>
              </w:tabs>
              <w:spacing w:after="0" w:line="240" w:lineRule="auto"/>
              <w:rPr>
                <w:rFonts w:eastAsia="Times New Roman" w:cs="Arial"/>
                <w:sz w:val="20"/>
                <w:szCs w:val="20"/>
                <w:lang w:eastAsia="en-AU"/>
              </w:rPr>
            </w:pPr>
          </w:p>
        </w:tc>
        <w:tc>
          <w:tcPr>
            <w:tcW w:w="1465" w:type="dxa"/>
            <w:tcBorders>
              <w:top w:val="nil"/>
              <w:left w:val="nil"/>
              <w:bottom w:val="nil"/>
              <w:right w:val="nil"/>
            </w:tcBorders>
            <w:noWrap/>
            <w:vAlign w:val="bottom"/>
            <w:hideMark/>
          </w:tcPr>
          <w:p w14:paraId="0A535221" w14:textId="77777777" w:rsidR="0005795C" w:rsidRPr="000E1B25" w:rsidRDefault="0005795C">
            <w:pPr>
              <w:tabs>
                <w:tab w:val="decimal" w:pos="1110"/>
              </w:tabs>
              <w:spacing w:after="0" w:line="240" w:lineRule="auto"/>
              <w:rPr>
                <w:rFonts w:eastAsia="Times New Roman" w:cs="Arial"/>
                <w:sz w:val="20"/>
                <w:szCs w:val="20"/>
                <w:lang w:eastAsia="en-AU"/>
              </w:rPr>
            </w:pPr>
          </w:p>
        </w:tc>
      </w:tr>
      <w:tr w:rsidR="0005795C" w:rsidRPr="00886B3E" w14:paraId="20DC9E94" w14:textId="77777777">
        <w:tc>
          <w:tcPr>
            <w:tcW w:w="5387" w:type="dxa"/>
            <w:tcBorders>
              <w:top w:val="nil"/>
              <w:left w:val="nil"/>
              <w:bottom w:val="nil"/>
              <w:right w:val="nil"/>
            </w:tcBorders>
            <w:noWrap/>
            <w:vAlign w:val="bottom"/>
            <w:hideMark/>
          </w:tcPr>
          <w:p w14:paraId="5BCFDBD7" w14:textId="77777777"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flows from financing activities</w:t>
            </w:r>
          </w:p>
        </w:tc>
        <w:tc>
          <w:tcPr>
            <w:tcW w:w="709" w:type="dxa"/>
            <w:tcBorders>
              <w:top w:val="nil"/>
              <w:left w:val="nil"/>
              <w:bottom w:val="nil"/>
              <w:right w:val="nil"/>
            </w:tcBorders>
            <w:noWrap/>
            <w:hideMark/>
          </w:tcPr>
          <w:p w14:paraId="5031B7F2" w14:textId="77777777" w:rsidR="0005795C" w:rsidRPr="000E1B25" w:rsidRDefault="0005795C">
            <w:pPr>
              <w:spacing w:after="0" w:line="240" w:lineRule="auto"/>
              <w:jc w:val="center"/>
              <w:rPr>
                <w:rFonts w:eastAsia="Times New Roman" w:cs="Arial"/>
                <w:b/>
                <w:color w:val="000000"/>
                <w:sz w:val="20"/>
                <w:szCs w:val="20"/>
                <w:lang w:eastAsia="en-AU"/>
              </w:rPr>
            </w:pPr>
          </w:p>
        </w:tc>
        <w:tc>
          <w:tcPr>
            <w:tcW w:w="1465" w:type="dxa"/>
            <w:tcBorders>
              <w:top w:val="nil"/>
              <w:left w:val="nil"/>
              <w:right w:val="nil"/>
            </w:tcBorders>
            <w:noWrap/>
            <w:vAlign w:val="bottom"/>
            <w:hideMark/>
          </w:tcPr>
          <w:p w14:paraId="1E6AADE3" w14:textId="77777777" w:rsidR="0005795C" w:rsidRPr="000E1B25" w:rsidRDefault="0005795C">
            <w:pPr>
              <w:tabs>
                <w:tab w:val="decimal" w:pos="1110"/>
              </w:tabs>
              <w:spacing w:after="0" w:line="240" w:lineRule="auto"/>
              <w:rPr>
                <w:rFonts w:eastAsia="Times New Roman" w:cs="Arial"/>
                <w:sz w:val="20"/>
                <w:szCs w:val="20"/>
                <w:lang w:eastAsia="en-AU"/>
              </w:rPr>
            </w:pPr>
          </w:p>
        </w:tc>
        <w:tc>
          <w:tcPr>
            <w:tcW w:w="1465" w:type="dxa"/>
            <w:tcBorders>
              <w:top w:val="nil"/>
              <w:left w:val="nil"/>
              <w:right w:val="nil"/>
            </w:tcBorders>
            <w:noWrap/>
            <w:vAlign w:val="bottom"/>
            <w:hideMark/>
          </w:tcPr>
          <w:p w14:paraId="7D9D9150" w14:textId="77777777" w:rsidR="0005795C" w:rsidRPr="000E1B25" w:rsidRDefault="0005795C">
            <w:pPr>
              <w:tabs>
                <w:tab w:val="decimal" w:pos="1110"/>
              </w:tabs>
              <w:spacing w:after="0" w:line="240" w:lineRule="auto"/>
              <w:rPr>
                <w:rFonts w:eastAsia="Times New Roman" w:cs="Arial"/>
                <w:sz w:val="20"/>
                <w:szCs w:val="20"/>
                <w:lang w:eastAsia="en-AU"/>
              </w:rPr>
            </w:pPr>
          </w:p>
        </w:tc>
      </w:tr>
      <w:tr w:rsidR="0005795C" w:rsidRPr="00886B3E" w14:paraId="3D3797EC" w14:textId="77777777">
        <w:tc>
          <w:tcPr>
            <w:tcW w:w="5387" w:type="dxa"/>
            <w:tcBorders>
              <w:top w:val="nil"/>
              <w:left w:val="nil"/>
              <w:bottom w:val="nil"/>
              <w:right w:val="nil"/>
            </w:tcBorders>
            <w:noWrap/>
            <w:vAlign w:val="bottom"/>
            <w:hideMark/>
          </w:tcPr>
          <w:p w14:paraId="4ABC58A0" w14:textId="0E8CCCE3" w:rsidR="0005795C" w:rsidRPr="000E1B25" w:rsidRDefault="006B2C6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Equity contributions</w:t>
            </w:r>
            <w:r w:rsidR="009C0DA7">
              <w:rPr>
                <w:rFonts w:eastAsia="Times New Roman" w:cs="Arial"/>
                <w:color w:val="000000"/>
                <w:sz w:val="20"/>
                <w:szCs w:val="20"/>
                <w:lang w:eastAsia="en-AU"/>
              </w:rPr>
              <w:t xml:space="preserve"> from ultimate parent</w:t>
            </w:r>
          </w:p>
        </w:tc>
        <w:tc>
          <w:tcPr>
            <w:tcW w:w="709" w:type="dxa"/>
            <w:tcBorders>
              <w:top w:val="nil"/>
              <w:left w:val="nil"/>
              <w:bottom w:val="nil"/>
              <w:right w:val="nil"/>
            </w:tcBorders>
            <w:noWrap/>
            <w:hideMark/>
          </w:tcPr>
          <w:p w14:paraId="36A0C931" w14:textId="77777777" w:rsidR="0005795C" w:rsidRPr="000E1B25" w:rsidRDefault="0005795C">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51533930" w14:textId="77777777" w:rsidR="0005795C" w:rsidRPr="000E1B25" w:rsidRDefault="0005795C">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49,850</w:t>
            </w:r>
          </w:p>
        </w:tc>
        <w:tc>
          <w:tcPr>
            <w:tcW w:w="1465" w:type="dxa"/>
            <w:tcBorders>
              <w:top w:val="nil"/>
              <w:left w:val="nil"/>
              <w:bottom w:val="single" w:sz="4" w:space="0" w:color="auto"/>
              <w:right w:val="nil"/>
            </w:tcBorders>
            <w:noWrap/>
            <w:vAlign w:val="bottom"/>
            <w:hideMark/>
          </w:tcPr>
          <w:p w14:paraId="00C5BEDB"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r>
      <w:tr w:rsidR="0005795C" w:rsidRPr="00886B3E" w14:paraId="3A512B45" w14:textId="77777777">
        <w:tc>
          <w:tcPr>
            <w:tcW w:w="5387" w:type="dxa"/>
            <w:tcBorders>
              <w:top w:val="nil"/>
              <w:left w:val="nil"/>
              <w:bottom w:val="nil"/>
              <w:right w:val="nil"/>
            </w:tcBorders>
            <w:noWrap/>
            <w:vAlign w:val="bottom"/>
            <w:hideMark/>
          </w:tcPr>
          <w:p w14:paraId="18CC13B4" w14:textId="24C3AEE3"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Net cash flows from financing activities</w:t>
            </w:r>
          </w:p>
        </w:tc>
        <w:tc>
          <w:tcPr>
            <w:tcW w:w="709" w:type="dxa"/>
            <w:tcBorders>
              <w:top w:val="nil"/>
              <w:left w:val="nil"/>
              <w:bottom w:val="nil"/>
              <w:right w:val="nil"/>
            </w:tcBorders>
            <w:noWrap/>
            <w:hideMark/>
          </w:tcPr>
          <w:p w14:paraId="681C8C99" w14:textId="77777777" w:rsidR="0005795C" w:rsidRPr="000E1B25" w:rsidRDefault="0005795C">
            <w:pPr>
              <w:spacing w:after="0" w:line="240" w:lineRule="auto"/>
              <w:jc w:val="center"/>
              <w:rPr>
                <w:rFonts w:eastAsia="Times New Roman" w:cs="Arial"/>
                <w:b/>
                <w:color w:val="000000"/>
                <w:sz w:val="20"/>
                <w:szCs w:val="20"/>
                <w:lang w:eastAsia="en-AU"/>
              </w:rPr>
            </w:pPr>
          </w:p>
        </w:tc>
        <w:tc>
          <w:tcPr>
            <w:tcW w:w="1465" w:type="dxa"/>
            <w:tcBorders>
              <w:top w:val="single" w:sz="4" w:space="0" w:color="auto"/>
              <w:left w:val="nil"/>
              <w:bottom w:val="nil"/>
              <w:right w:val="nil"/>
            </w:tcBorders>
            <w:noWrap/>
            <w:vAlign w:val="bottom"/>
            <w:hideMark/>
          </w:tcPr>
          <w:p w14:paraId="2A4AA9DE" w14:textId="77777777" w:rsidR="0005795C" w:rsidRPr="000E1B25" w:rsidRDefault="0005795C">
            <w:pPr>
              <w:tabs>
                <w:tab w:val="decimal" w:pos="1110"/>
              </w:tabs>
              <w:spacing w:after="0" w:line="240" w:lineRule="auto"/>
              <w:rPr>
                <w:rFonts w:eastAsia="Times New Roman" w:cs="Arial"/>
                <w:b/>
                <w:color w:val="000000"/>
                <w:sz w:val="20"/>
                <w:szCs w:val="20"/>
                <w:lang w:eastAsia="en-AU"/>
              </w:rPr>
            </w:pPr>
            <w:r>
              <w:rPr>
                <w:rFonts w:eastAsia="Times New Roman" w:cs="Arial"/>
                <w:b/>
                <w:bCs/>
                <w:color w:val="000000"/>
                <w:sz w:val="20"/>
                <w:szCs w:val="20"/>
                <w:lang w:eastAsia="en-AU"/>
              </w:rPr>
              <w:t>49,850</w:t>
            </w:r>
          </w:p>
        </w:tc>
        <w:tc>
          <w:tcPr>
            <w:tcW w:w="1465" w:type="dxa"/>
            <w:tcBorders>
              <w:top w:val="single" w:sz="4" w:space="0" w:color="auto"/>
              <w:left w:val="nil"/>
              <w:bottom w:val="nil"/>
              <w:right w:val="nil"/>
            </w:tcBorders>
            <w:noWrap/>
            <w:vAlign w:val="bottom"/>
            <w:hideMark/>
          </w:tcPr>
          <w:p w14:paraId="0D636CCA" w14:textId="77777777" w:rsidR="0005795C" w:rsidRPr="000E1B25" w:rsidRDefault="0005795C">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p>
        </w:tc>
      </w:tr>
      <w:tr w:rsidR="0005795C" w:rsidRPr="000E1B25" w14:paraId="13C200A8" w14:textId="77777777">
        <w:tc>
          <w:tcPr>
            <w:tcW w:w="5387" w:type="dxa"/>
            <w:tcBorders>
              <w:top w:val="nil"/>
              <w:left w:val="nil"/>
              <w:bottom w:val="nil"/>
              <w:right w:val="nil"/>
            </w:tcBorders>
            <w:noWrap/>
            <w:vAlign w:val="bottom"/>
          </w:tcPr>
          <w:p w14:paraId="56F5BE25" w14:textId="77777777" w:rsidR="0005795C" w:rsidRPr="000E1B25" w:rsidRDefault="0005795C">
            <w:pPr>
              <w:spacing w:after="0" w:line="240" w:lineRule="auto"/>
              <w:rPr>
                <w:rFonts w:eastAsia="Times New Roman" w:cs="Arial"/>
                <w:color w:val="000000"/>
                <w:sz w:val="20"/>
                <w:szCs w:val="20"/>
                <w:lang w:eastAsia="en-AU"/>
              </w:rPr>
            </w:pPr>
          </w:p>
        </w:tc>
        <w:tc>
          <w:tcPr>
            <w:tcW w:w="709" w:type="dxa"/>
            <w:tcBorders>
              <w:top w:val="nil"/>
              <w:left w:val="nil"/>
              <w:bottom w:val="nil"/>
              <w:right w:val="nil"/>
            </w:tcBorders>
            <w:noWrap/>
          </w:tcPr>
          <w:p w14:paraId="2C8C879B"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tcPr>
          <w:p w14:paraId="263B09F2" w14:textId="77777777" w:rsidR="0005795C" w:rsidRPr="000E1B25" w:rsidRDefault="0005795C">
            <w:pPr>
              <w:tabs>
                <w:tab w:val="decimal" w:pos="1110"/>
              </w:tabs>
              <w:spacing w:after="0" w:line="240" w:lineRule="auto"/>
              <w:rPr>
                <w:rFonts w:eastAsia="Times New Roman" w:cs="Arial"/>
                <w:color w:val="000000"/>
                <w:sz w:val="20"/>
                <w:szCs w:val="20"/>
                <w:lang w:eastAsia="en-AU"/>
              </w:rPr>
            </w:pPr>
          </w:p>
        </w:tc>
        <w:tc>
          <w:tcPr>
            <w:tcW w:w="1465" w:type="dxa"/>
            <w:tcBorders>
              <w:top w:val="nil"/>
              <w:left w:val="nil"/>
              <w:bottom w:val="nil"/>
              <w:right w:val="nil"/>
            </w:tcBorders>
            <w:noWrap/>
            <w:vAlign w:val="bottom"/>
          </w:tcPr>
          <w:p w14:paraId="41F94B13" w14:textId="77777777" w:rsidR="0005795C" w:rsidRPr="000E1B25" w:rsidRDefault="0005795C">
            <w:pPr>
              <w:tabs>
                <w:tab w:val="decimal" w:pos="1110"/>
              </w:tabs>
              <w:spacing w:after="0" w:line="240" w:lineRule="auto"/>
              <w:rPr>
                <w:rFonts w:eastAsia="Times New Roman" w:cs="Arial"/>
                <w:color w:val="000000"/>
                <w:sz w:val="20"/>
                <w:szCs w:val="20"/>
                <w:lang w:eastAsia="en-AU"/>
              </w:rPr>
            </w:pPr>
          </w:p>
        </w:tc>
      </w:tr>
      <w:tr w:rsidR="0005795C" w:rsidRPr="00886B3E" w14:paraId="6A124C6F" w14:textId="77777777">
        <w:tc>
          <w:tcPr>
            <w:tcW w:w="5387" w:type="dxa"/>
            <w:tcBorders>
              <w:top w:val="nil"/>
              <w:left w:val="nil"/>
              <w:bottom w:val="nil"/>
              <w:right w:val="nil"/>
            </w:tcBorders>
            <w:noWrap/>
            <w:vAlign w:val="bottom"/>
            <w:hideMark/>
          </w:tcPr>
          <w:p w14:paraId="149FDDF6" w14:textId="77777777"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color w:val="000000"/>
                <w:sz w:val="20"/>
                <w:szCs w:val="20"/>
                <w:lang w:eastAsia="en-AU"/>
              </w:rPr>
              <w:t>Net increase in cash and cash equivalents for the period</w:t>
            </w:r>
          </w:p>
        </w:tc>
        <w:tc>
          <w:tcPr>
            <w:tcW w:w="709" w:type="dxa"/>
            <w:tcBorders>
              <w:top w:val="nil"/>
              <w:left w:val="nil"/>
              <w:bottom w:val="nil"/>
              <w:right w:val="nil"/>
            </w:tcBorders>
            <w:noWrap/>
            <w:hideMark/>
          </w:tcPr>
          <w:p w14:paraId="5412F14B" w14:textId="77777777" w:rsidR="0005795C" w:rsidRPr="000E1B25" w:rsidRDefault="0005795C">
            <w:pPr>
              <w:spacing w:after="0" w:line="240" w:lineRule="auto"/>
              <w:jc w:val="center"/>
              <w:rPr>
                <w:rFonts w:eastAsia="Times New Roman" w:cs="Arial"/>
                <w:sz w:val="20"/>
                <w:szCs w:val="20"/>
                <w:lang w:eastAsia="en-AU"/>
              </w:rPr>
            </w:pPr>
          </w:p>
        </w:tc>
        <w:tc>
          <w:tcPr>
            <w:tcW w:w="1465" w:type="dxa"/>
            <w:tcBorders>
              <w:top w:val="nil"/>
              <w:left w:val="nil"/>
              <w:bottom w:val="nil"/>
              <w:right w:val="nil"/>
            </w:tcBorders>
            <w:noWrap/>
            <w:vAlign w:val="bottom"/>
            <w:hideMark/>
          </w:tcPr>
          <w:p w14:paraId="75BFBCA9" w14:textId="77777777" w:rsidR="0005795C" w:rsidRPr="000E1B25" w:rsidRDefault="0005795C">
            <w:pPr>
              <w:tabs>
                <w:tab w:val="decimal" w:pos="1110"/>
              </w:tabs>
              <w:spacing w:after="0" w:line="240" w:lineRule="auto"/>
              <w:rPr>
                <w:rFonts w:eastAsia="Times New Roman" w:cs="Arial"/>
                <w:sz w:val="20"/>
                <w:szCs w:val="20"/>
                <w:lang w:eastAsia="en-AU"/>
              </w:rPr>
            </w:pPr>
            <w:r>
              <w:rPr>
                <w:rFonts w:eastAsia="Times New Roman" w:cs="Arial"/>
                <w:sz w:val="20"/>
                <w:szCs w:val="20"/>
                <w:lang w:eastAsia="en-AU"/>
              </w:rPr>
              <w:t>20,349</w:t>
            </w:r>
          </w:p>
        </w:tc>
        <w:tc>
          <w:tcPr>
            <w:tcW w:w="1465" w:type="dxa"/>
            <w:tcBorders>
              <w:top w:val="nil"/>
              <w:left w:val="nil"/>
              <w:bottom w:val="nil"/>
              <w:right w:val="nil"/>
            </w:tcBorders>
            <w:noWrap/>
            <w:vAlign w:val="bottom"/>
            <w:hideMark/>
          </w:tcPr>
          <w:p w14:paraId="57B5873E" w14:textId="77777777" w:rsidR="0005795C" w:rsidRPr="000E1B25" w:rsidRDefault="0005795C">
            <w:pPr>
              <w:tabs>
                <w:tab w:val="decimal" w:pos="1110"/>
              </w:tabs>
              <w:spacing w:after="0" w:line="240" w:lineRule="auto"/>
              <w:rPr>
                <w:rFonts w:eastAsia="Times New Roman" w:cs="Arial"/>
                <w:sz w:val="20"/>
                <w:szCs w:val="20"/>
                <w:lang w:eastAsia="en-AU"/>
              </w:rPr>
            </w:pPr>
            <w:r>
              <w:rPr>
                <w:rFonts w:eastAsia="Times New Roman" w:cs="Arial"/>
                <w:color w:val="000000"/>
                <w:sz w:val="20"/>
                <w:szCs w:val="20"/>
                <w:lang w:eastAsia="en-AU"/>
              </w:rPr>
              <w:t>50</w:t>
            </w:r>
          </w:p>
        </w:tc>
      </w:tr>
      <w:tr w:rsidR="0005795C" w:rsidRPr="00886B3E" w14:paraId="742D81CD" w14:textId="77777777">
        <w:tc>
          <w:tcPr>
            <w:tcW w:w="5387" w:type="dxa"/>
            <w:tcBorders>
              <w:top w:val="nil"/>
              <w:left w:val="nil"/>
              <w:bottom w:val="nil"/>
              <w:right w:val="nil"/>
            </w:tcBorders>
            <w:noWrap/>
            <w:vAlign w:val="bottom"/>
            <w:hideMark/>
          </w:tcPr>
          <w:p w14:paraId="5B0B2247" w14:textId="77777777" w:rsidR="0005795C" w:rsidRPr="000E1B25" w:rsidRDefault="0005795C">
            <w:pPr>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Cash and cash equivalents at the beginning of the period</w:t>
            </w:r>
          </w:p>
        </w:tc>
        <w:tc>
          <w:tcPr>
            <w:tcW w:w="709" w:type="dxa"/>
            <w:tcBorders>
              <w:top w:val="nil"/>
              <w:left w:val="nil"/>
              <w:bottom w:val="nil"/>
              <w:right w:val="nil"/>
            </w:tcBorders>
            <w:noWrap/>
            <w:hideMark/>
          </w:tcPr>
          <w:p w14:paraId="552EE378" w14:textId="77777777" w:rsidR="0005795C" w:rsidRPr="000E1B25" w:rsidRDefault="0005795C">
            <w:pPr>
              <w:spacing w:after="0" w:line="240" w:lineRule="auto"/>
              <w:jc w:val="center"/>
              <w:rPr>
                <w:rFonts w:eastAsia="Times New Roman" w:cs="Arial"/>
                <w:color w:val="000000"/>
                <w:sz w:val="20"/>
                <w:szCs w:val="20"/>
                <w:lang w:eastAsia="en-AU"/>
              </w:rPr>
            </w:pPr>
          </w:p>
        </w:tc>
        <w:tc>
          <w:tcPr>
            <w:tcW w:w="1465" w:type="dxa"/>
            <w:tcBorders>
              <w:top w:val="nil"/>
              <w:left w:val="nil"/>
              <w:bottom w:val="single" w:sz="4" w:space="0" w:color="auto"/>
              <w:right w:val="nil"/>
            </w:tcBorders>
            <w:noWrap/>
            <w:vAlign w:val="bottom"/>
            <w:hideMark/>
          </w:tcPr>
          <w:p w14:paraId="02D95F18"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c>
          <w:tcPr>
            <w:tcW w:w="1465" w:type="dxa"/>
            <w:tcBorders>
              <w:top w:val="nil"/>
              <w:left w:val="nil"/>
              <w:bottom w:val="single" w:sz="4" w:space="0" w:color="auto"/>
              <w:right w:val="nil"/>
            </w:tcBorders>
            <w:noWrap/>
            <w:vAlign w:val="bottom"/>
            <w:hideMark/>
          </w:tcPr>
          <w:p w14:paraId="6821CFCB" w14:textId="77777777" w:rsidR="0005795C" w:rsidRPr="000E1B25" w:rsidRDefault="0005795C">
            <w:pPr>
              <w:tabs>
                <w:tab w:val="decimal" w:pos="1110"/>
              </w:tabs>
              <w:spacing w:after="0" w:line="240" w:lineRule="auto"/>
              <w:rPr>
                <w:rFonts w:eastAsia="Times New Roman" w:cs="Arial"/>
                <w:color w:val="000000"/>
                <w:sz w:val="20"/>
                <w:szCs w:val="20"/>
                <w:lang w:eastAsia="en-AU"/>
              </w:rPr>
            </w:pPr>
            <w:r w:rsidRPr="000E1B25">
              <w:rPr>
                <w:rFonts w:eastAsia="Times New Roman" w:cs="Arial"/>
                <w:color w:val="000000"/>
                <w:sz w:val="20"/>
                <w:szCs w:val="20"/>
                <w:lang w:eastAsia="en-AU"/>
              </w:rPr>
              <w:t>-</w:t>
            </w:r>
          </w:p>
        </w:tc>
      </w:tr>
      <w:tr w:rsidR="0005795C" w:rsidRPr="00886B3E" w14:paraId="17FB2BA6" w14:textId="77777777">
        <w:tc>
          <w:tcPr>
            <w:tcW w:w="5387" w:type="dxa"/>
            <w:tcBorders>
              <w:top w:val="nil"/>
              <w:left w:val="nil"/>
              <w:bottom w:val="nil"/>
              <w:right w:val="nil"/>
            </w:tcBorders>
            <w:noWrap/>
            <w:vAlign w:val="bottom"/>
            <w:hideMark/>
          </w:tcPr>
          <w:p w14:paraId="10D98B43" w14:textId="77777777" w:rsidR="0005795C" w:rsidRPr="000E1B25" w:rsidRDefault="0005795C">
            <w:pPr>
              <w:spacing w:after="0" w:line="240" w:lineRule="auto"/>
              <w:rPr>
                <w:rFonts w:eastAsia="Times New Roman" w:cs="Arial"/>
                <w:b/>
                <w:color w:val="000000"/>
                <w:sz w:val="20"/>
                <w:szCs w:val="20"/>
                <w:lang w:eastAsia="en-AU"/>
              </w:rPr>
            </w:pPr>
            <w:r w:rsidRPr="000E1B25">
              <w:rPr>
                <w:rFonts w:eastAsia="Times New Roman" w:cs="Arial"/>
                <w:b/>
                <w:color w:val="000000"/>
                <w:sz w:val="20"/>
                <w:szCs w:val="20"/>
                <w:lang w:eastAsia="en-AU"/>
              </w:rPr>
              <w:t>Cash and cash equivalents at 30 June 2025</w:t>
            </w:r>
          </w:p>
        </w:tc>
        <w:tc>
          <w:tcPr>
            <w:tcW w:w="709" w:type="dxa"/>
            <w:tcBorders>
              <w:top w:val="nil"/>
              <w:left w:val="nil"/>
              <w:bottom w:val="nil"/>
              <w:right w:val="nil"/>
            </w:tcBorders>
            <w:noWrap/>
            <w:hideMark/>
          </w:tcPr>
          <w:p w14:paraId="04C05180" w14:textId="723D17EF" w:rsidR="0005795C" w:rsidRPr="00AA3AC5" w:rsidRDefault="0012262E">
            <w:pPr>
              <w:spacing w:after="0" w:line="240" w:lineRule="auto"/>
              <w:jc w:val="center"/>
              <w:rPr>
                <w:rFonts w:eastAsia="Times New Roman" w:cs="Arial"/>
                <w:bCs/>
                <w:color w:val="000000"/>
                <w:sz w:val="20"/>
                <w:szCs w:val="20"/>
                <w:lang w:eastAsia="en-AU"/>
              </w:rPr>
            </w:pPr>
            <w:r w:rsidRPr="00AA3AC5">
              <w:rPr>
                <w:rFonts w:eastAsia="Times New Roman" w:cs="Arial"/>
                <w:bCs/>
                <w:color w:val="000000"/>
                <w:sz w:val="20"/>
                <w:szCs w:val="20"/>
                <w:lang w:eastAsia="en-AU"/>
              </w:rPr>
              <w:t>3i</w:t>
            </w:r>
          </w:p>
        </w:tc>
        <w:tc>
          <w:tcPr>
            <w:tcW w:w="1465" w:type="dxa"/>
            <w:tcBorders>
              <w:top w:val="nil"/>
              <w:left w:val="nil"/>
              <w:bottom w:val="double" w:sz="6" w:space="0" w:color="auto"/>
              <w:right w:val="nil"/>
            </w:tcBorders>
            <w:noWrap/>
            <w:vAlign w:val="bottom"/>
            <w:hideMark/>
          </w:tcPr>
          <w:p w14:paraId="61034BE7" w14:textId="77777777" w:rsidR="0005795C" w:rsidRPr="000E1B25" w:rsidRDefault="0005795C">
            <w:pPr>
              <w:tabs>
                <w:tab w:val="decimal" w:pos="111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20,399</w:t>
            </w:r>
          </w:p>
        </w:tc>
        <w:tc>
          <w:tcPr>
            <w:tcW w:w="1465" w:type="dxa"/>
            <w:tcBorders>
              <w:top w:val="nil"/>
              <w:left w:val="nil"/>
              <w:bottom w:val="double" w:sz="6" w:space="0" w:color="auto"/>
              <w:right w:val="nil"/>
            </w:tcBorders>
            <w:noWrap/>
            <w:vAlign w:val="bottom"/>
            <w:hideMark/>
          </w:tcPr>
          <w:p w14:paraId="5683C3CB" w14:textId="77777777" w:rsidR="0005795C" w:rsidRPr="000E1B25" w:rsidRDefault="0005795C">
            <w:pPr>
              <w:tabs>
                <w:tab w:val="decimal" w:pos="111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p>
        </w:tc>
      </w:tr>
    </w:tbl>
    <w:p w14:paraId="19C63E2C" w14:textId="77777777" w:rsidR="0005795C" w:rsidRPr="00F65403" w:rsidRDefault="0005795C" w:rsidP="0005795C">
      <w:pPr>
        <w:pStyle w:val="BodyText"/>
        <w:rPr>
          <w:i/>
          <w:lang w:val="en-AU"/>
        </w:rPr>
      </w:pPr>
      <w:r w:rsidRPr="00F65403">
        <w:rPr>
          <w:i/>
          <w:lang w:val="en-AU"/>
        </w:rPr>
        <w:br/>
        <w:t>The above</w:t>
      </w:r>
      <w:r>
        <w:rPr>
          <w:i/>
          <w:lang w:val="en-AU"/>
        </w:rPr>
        <w:t xml:space="preserve"> </w:t>
      </w:r>
      <w:r w:rsidRPr="00F65403">
        <w:rPr>
          <w:i/>
          <w:lang w:val="en-AU"/>
        </w:rPr>
        <w:t>statement of cash flows should be read in conjunction with the accompanying notes</w:t>
      </w:r>
    </w:p>
    <w:p w14:paraId="654BE0AB" w14:textId="77777777" w:rsidR="0005795C" w:rsidRPr="00F65403" w:rsidRDefault="0005795C" w:rsidP="0005795C">
      <w:pPr>
        <w:pStyle w:val="BodyText"/>
        <w:rPr>
          <w:lang w:val="en-AU"/>
        </w:rPr>
      </w:pPr>
    </w:p>
    <w:p w14:paraId="2AF6F34A" w14:textId="77777777" w:rsidR="0005795C" w:rsidRDefault="0005795C" w:rsidP="0005795C">
      <w:pPr>
        <w:pStyle w:val="Heading5"/>
      </w:pPr>
      <w:r>
        <w:br w:type="page"/>
      </w:r>
    </w:p>
    <w:p w14:paraId="5EE01853" w14:textId="77777777" w:rsidR="0005795C" w:rsidRDefault="0005795C" w:rsidP="00B254AC">
      <w:pPr>
        <w:pStyle w:val="Heading1"/>
      </w:pPr>
      <w:bookmarkStart w:id="660" w:name="_Toc208418068"/>
      <w:bookmarkStart w:id="661" w:name="_Toc209080432"/>
      <w:bookmarkStart w:id="662" w:name="_Toc209704002"/>
      <w:bookmarkStart w:id="663" w:name="_Toc209704055"/>
      <w:bookmarkStart w:id="664" w:name="_Toc209704108"/>
      <w:r w:rsidRPr="00B8389B">
        <w:t>Notes to the financial statements</w:t>
      </w:r>
      <w:bookmarkEnd w:id="660"/>
      <w:bookmarkEnd w:id="661"/>
      <w:bookmarkEnd w:id="662"/>
      <w:bookmarkEnd w:id="663"/>
      <w:bookmarkEnd w:id="664"/>
    </w:p>
    <w:p w14:paraId="56121C11" w14:textId="77777777" w:rsidR="0005795C" w:rsidRPr="00F65403" w:rsidRDefault="0005795C" w:rsidP="0005795C">
      <w:pPr>
        <w:pStyle w:val="BodyText"/>
        <w:rPr>
          <w:lang w:val="en-AU"/>
        </w:rPr>
      </w:pPr>
    </w:p>
    <w:p w14:paraId="0FCB91F1" w14:textId="77777777" w:rsidR="0005795C" w:rsidRPr="00F65403" w:rsidRDefault="0005795C" w:rsidP="008130F3">
      <w:pPr>
        <w:pStyle w:val="Heading7"/>
        <w:numPr>
          <w:ilvl w:val="0"/>
          <w:numId w:val="144"/>
        </w:numPr>
      </w:pPr>
      <w:r w:rsidRPr="00F65403">
        <w:t>General information</w:t>
      </w:r>
    </w:p>
    <w:p w14:paraId="0FAA9542" w14:textId="77777777" w:rsidR="0005795C" w:rsidRPr="00F65403" w:rsidRDefault="0005795C" w:rsidP="0005795C">
      <w:pPr>
        <w:pStyle w:val="BodyText"/>
        <w:rPr>
          <w:lang w:val="en-AU"/>
        </w:rPr>
      </w:pPr>
      <w:r w:rsidRPr="00F65403">
        <w:rPr>
          <w:lang w:val="en-AU"/>
        </w:rPr>
        <w:t xml:space="preserve">SEC </w:t>
      </w:r>
      <w:r>
        <w:rPr>
          <w:lang w:val="en-AU"/>
        </w:rPr>
        <w:t>Energy</w:t>
      </w:r>
      <w:r w:rsidRPr="00F65403">
        <w:rPr>
          <w:lang w:val="en-AU"/>
        </w:rPr>
        <w:t xml:space="preserve"> Pty Ltd is a for-profit proprietary company domiciled in Australia.</w:t>
      </w:r>
    </w:p>
    <w:p w14:paraId="1E2CBC20" w14:textId="77777777" w:rsidR="0005795C" w:rsidRPr="00F65403" w:rsidRDefault="0005795C" w:rsidP="0005795C">
      <w:pPr>
        <w:pStyle w:val="BodyText"/>
        <w:rPr>
          <w:lang w:val="en-AU"/>
        </w:rPr>
      </w:pPr>
    </w:p>
    <w:p w14:paraId="3539E57A" w14:textId="77777777" w:rsidR="0005795C" w:rsidRPr="00F65403" w:rsidRDefault="0005795C" w:rsidP="0005795C">
      <w:pPr>
        <w:pStyle w:val="BodyText"/>
        <w:rPr>
          <w:lang w:val="en-AU"/>
        </w:rPr>
      </w:pPr>
      <w:r w:rsidRPr="00F65403">
        <w:rPr>
          <w:lang w:val="en-AU"/>
        </w:rPr>
        <w:t xml:space="preserve">The principal </w:t>
      </w:r>
      <w:r>
        <w:rPr>
          <w:lang w:val="en-AU"/>
        </w:rPr>
        <w:t>activity</w:t>
      </w:r>
      <w:r w:rsidRPr="00F65403">
        <w:rPr>
          <w:lang w:val="en-AU"/>
        </w:rPr>
        <w:t xml:space="preserve"> of the </w:t>
      </w:r>
      <w:r>
        <w:rPr>
          <w:lang w:val="en-AU"/>
        </w:rPr>
        <w:t>Company</w:t>
      </w:r>
      <w:r w:rsidRPr="00F65403">
        <w:rPr>
          <w:lang w:val="en-AU"/>
        </w:rPr>
        <w:t xml:space="preserve"> during the year w</w:t>
      </w:r>
      <w:r>
        <w:rPr>
          <w:lang w:val="en-AU"/>
        </w:rPr>
        <w:t xml:space="preserve">as </w:t>
      </w:r>
      <w:r w:rsidRPr="00F65403">
        <w:rPr>
          <w:lang w:val="en-AU"/>
        </w:rPr>
        <w:t>the establishment of energy market operations ready to commence retailing to Victorian government and accept novation of the VRET and Bulgana contracts from 1 July 2025</w:t>
      </w:r>
      <w:r>
        <w:rPr>
          <w:lang w:val="en-AU"/>
        </w:rPr>
        <w:t xml:space="preserve">. </w:t>
      </w:r>
    </w:p>
    <w:p w14:paraId="09254899" w14:textId="77777777" w:rsidR="0005795C" w:rsidRPr="00F65403" w:rsidRDefault="0005795C" w:rsidP="0005795C">
      <w:pPr>
        <w:pStyle w:val="BodyText"/>
        <w:rPr>
          <w:lang w:val="en-AU"/>
        </w:rPr>
      </w:pPr>
    </w:p>
    <w:p w14:paraId="765ECFCC" w14:textId="77777777" w:rsidR="0005795C" w:rsidRPr="00F65403" w:rsidRDefault="0005795C" w:rsidP="0005795C">
      <w:pPr>
        <w:pStyle w:val="BodyText"/>
        <w:rPr>
          <w:lang w:val="en-AU"/>
        </w:rPr>
      </w:pPr>
      <w:r w:rsidRPr="00F65403">
        <w:rPr>
          <w:lang w:val="en-AU"/>
        </w:rPr>
        <w:t xml:space="preserve">Pursuant to section 3, of the </w:t>
      </w:r>
      <w:r w:rsidRPr="001C1AC0">
        <w:rPr>
          <w:i/>
          <w:iCs/>
          <w:lang w:val="en-AU"/>
        </w:rPr>
        <w:t xml:space="preserve">Financial Management Act 1994 </w:t>
      </w:r>
      <w:r w:rsidRPr="001C1AC0">
        <w:rPr>
          <w:lang w:val="en-AU"/>
        </w:rPr>
        <w:t>(FMA),</w:t>
      </w:r>
      <w:r w:rsidRPr="00F65403">
        <w:rPr>
          <w:lang w:val="en-AU"/>
        </w:rPr>
        <w:t xml:space="preserve"> the Treasurer of Victoria declared that SEC </w:t>
      </w:r>
      <w:r>
        <w:rPr>
          <w:lang w:val="en-AU"/>
        </w:rPr>
        <w:t>Energy</w:t>
      </w:r>
      <w:r w:rsidRPr="00F65403">
        <w:rPr>
          <w:lang w:val="en-AU"/>
        </w:rPr>
        <w:t xml:space="preserve"> is a body to which Part 7 of the FMA applies, with effect from 21 December 2023. </w:t>
      </w:r>
    </w:p>
    <w:p w14:paraId="2E56CA7C" w14:textId="77777777" w:rsidR="0005795C" w:rsidRPr="00F65403" w:rsidRDefault="0005795C" w:rsidP="0005795C">
      <w:pPr>
        <w:pStyle w:val="BodyText"/>
        <w:rPr>
          <w:lang w:val="en-AU"/>
        </w:rPr>
      </w:pPr>
    </w:p>
    <w:p w14:paraId="52A2B6CF" w14:textId="77777777" w:rsidR="0005795C" w:rsidRPr="00F65403" w:rsidRDefault="0005795C" w:rsidP="0005795C">
      <w:pPr>
        <w:pStyle w:val="BodyText"/>
        <w:rPr>
          <w:lang w:val="en-AU"/>
        </w:rPr>
      </w:pPr>
      <w:r w:rsidRPr="00F65403">
        <w:rPr>
          <w:lang w:val="en-AU"/>
        </w:rPr>
        <w:t>The Company was established on 2</w:t>
      </w:r>
      <w:r>
        <w:rPr>
          <w:lang w:val="en-AU"/>
        </w:rPr>
        <w:t>6</w:t>
      </w:r>
      <w:r w:rsidRPr="00F65403">
        <w:rPr>
          <w:lang w:val="en-AU"/>
        </w:rPr>
        <w:t xml:space="preserve"> October 2023 under the provisions of the </w:t>
      </w:r>
      <w:r w:rsidRPr="00F65403">
        <w:rPr>
          <w:i/>
          <w:lang w:val="en-AU"/>
        </w:rPr>
        <w:t>Corporations Act 2001</w:t>
      </w:r>
      <w:r w:rsidRPr="00F65403">
        <w:rPr>
          <w:lang w:val="en-AU"/>
        </w:rPr>
        <w:t xml:space="preserve"> and declared a state-owned Company under Part 5 of the </w:t>
      </w:r>
      <w:r w:rsidRPr="00F65403">
        <w:rPr>
          <w:i/>
          <w:lang w:val="en-AU"/>
        </w:rPr>
        <w:t>State Owned Enterprises Act 1992</w:t>
      </w:r>
      <w:r w:rsidRPr="00F65403">
        <w:rPr>
          <w:lang w:val="en-AU"/>
        </w:rPr>
        <w:t xml:space="preserve"> on 1</w:t>
      </w:r>
      <w:r>
        <w:rPr>
          <w:lang w:val="en-AU"/>
        </w:rPr>
        <w:t>5</w:t>
      </w:r>
      <w:r w:rsidRPr="00F65403">
        <w:rPr>
          <w:lang w:val="en-AU"/>
        </w:rPr>
        <w:t xml:space="preserve"> November 2023.  </w:t>
      </w:r>
    </w:p>
    <w:p w14:paraId="474C1324" w14:textId="77777777" w:rsidR="0005795C" w:rsidRPr="00F65403" w:rsidRDefault="0005795C" w:rsidP="0005795C">
      <w:pPr>
        <w:pStyle w:val="BodyText"/>
        <w:rPr>
          <w:lang w:val="en-AU"/>
        </w:rPr>
      </w:pPr>
    </w:p>
    <w:p w14:paraId="4C873427" w14:textId="77777777" w:rsidR="0005795C" w:rsidRDefault="0005795C" w:rsidP="0005795C">
      <w:pPr>
        <w:pStyle w:val="BodyText"/>
        <w:rPr>
          <w:lang w:val="en-AU"/>
        </w:rPr>
      </w:pPr>
      <w:r w:rsidRPr="00F65403">
        <w:rPr>
          <w:lang w:val="en-AU"/>
        </w:rPr>
        <w:t xml:space="preserve">The registered office and principal place of business is Level 26, 2 Lonsdale St, Melbourne, Victoria 3000.  </w:t>
      </w:r>
    </w:p>
    <w:p w14:paraId="79E8A178" w14:textId="77777777" w:rsidR="0005795C" w:rsidRDefault="0005795C" w:rsidP="0005795C">
      <w:pPr>
        <w:pStyle w:val="BodyText"/>
        <w:rPr>
          <w:lang w:val="en-AU"/>
        </w:rPr>
      </w:pPr>
    </w:p>
    <w:p w14:paraId="6C87689C" w14:textId="77777777" w:rsidR="0005795C" w:rsidRDefault="0005795C" w:rsidP="0005795C">
      <w:pPr>
        <w:pStyle w:val="BodyText"/>
        <w:rPr>
          <w:lang w:val="en-AU"/>
        </w:rPr>
      </w:pPr>
      <w:r w:rsidRPr="003E067E">
        <w:rPr>
          <w:lang w:val="en-AU"/>
        </w:rPr>
        <w:t>The parent and ultimate parent of the Company is SEC Victoria Pty Ltd.</w:t>
      </w:r>
    </w:p>
    <w:p w14:paraId="21C517CB" w14:textId="77777777" w:rsidR="0005795C" w:rsidRPr="00F65403" w:rsidRDefault="0005795C" w:rsidP="0005795C">
      <w:pPr>
        <w:pStyle w:val="BodyText"/>
        <w:rPr>
          <w:lang w:val="en-AU"/>
        </w:rPr>
      </w:pPr>
    </w:p>
    <w:p w14:paraId="212E889C" w14:textId="136F9C94" w:rsidR="0005795C" w:rsidRPr="00F65403" w:rsidRDefault="0005795C" w:rsidP="0005795C">
      <w:pPr>
        <w:pStyle w:val="BodyText"/>
        <w:rPr>
          <w:lang w:val="en-AU"/>
        </w:rPr>
      </w:pPr>
      <w:r w:rsidRPr="49BCD735">
        <w:rPr>
          <w:lang w:val="en-AU"/>
        </w:rPr>
        <w:t xml:space="preserve">The financial report was authorised for issue by the Board of Directors on </w:t>
      </w:r>
      <w:r w:rsidR="0012262E">
        <w:rPr>
          <w:lang w:val="en-AU"/>
        </w:rPr>
        <w:t>6</w:t>
      </w:r>
      <w:r w:rsidR="0012262E" w:rsidRPr="49BCD735">
        <w:rPr>
          <w:lang w:val="en-AU"/>
        </w:rPr>
        <w:t xml:space="preserve"> </w:t>
      </w:r>
      <w:r w:rsidRPr="49BCD735">
        <w:rPr>
          <w:lang w:val="en-AU"/>
        </w:rPr>
        <w:t>October 2025.</w:t>
      </w:r>
    </w:p>
    <w:p w14:paraId="113B958D" w14:textId="77777777" w:rsidR="0005795C" w:rsidRPr="00F65403" w:rsidRDefault="0005795C" w:rsidP="0005795C">
      <w:pPr>
        <w:pStyle w:val="BodyText"/>
        <w:rPr>
          <w:lang w:val="en-AU"/>
        </w:rPr>
      </w:pPr>
    </w:p>
    <w:p w14:paraId="35E503A3" w14:textId="77777777" w:rsidR="0005795C" w:rsidRPr="00F65403" w:rsidRDefault="0005795C" w:rsidP="0005795C">
      <w:pPr>
        <w:pStyle w:val="Heading8"/>
      </w:pPr>
      <w:proofErr w:type="spellStart"/>
      <w:r>
        <w:t>i</w:t>
      </w:r>
      <w:proofErr w:type="spellEnd"/>
      <w:r>
        <w:t>.</w:t>
      </w:r>
      <w:r>
        <w:tab/>
        <w:t>Basis of preparation</w:t>
      </w:r>
    </w:p>
    <w:p w14:paraId="2DC94DA5" w14:textId="77777777" w:rsidR="0005795C" w:rsidRPr="00F65403" w:rsidRDefault="0005795C" w:rsidP="0005795C">
      <w:pPr>
        <w:pStyle w:val="BodyText"/>
        <w:rPr>
          <w:lang w:val="en-AU"/>
        </w:rPr>
      </w:pPr>
      <w:r w:rsidRPr="04CB71B0">
        <w:rPr>
          <w:lang w:val="en-AU"/>
        </w:rPr>
        <w:t xml:space="preserve">The functional and presentation currency of the Company is the Australian dollar. Amounts are rounded and expressed to the nearest thousand dollars in accordance with Ministerial Directions under the FMA, unless otherwise stated. </w:t>
      </w:r>
    </w:p>
    <w:p w14:paraId="1EB48D15" w14:textId="77777777" w:rsidR="0005795C" w:rsidRPr="00F65403" w:rsidRDefault="0005795C" w:rsidP="0005795C">
      <w:pPr>
        <w:pStyle w:val="BodyText"/>
        <w:rPr>
          <w:lang w:val="en-AU"/>
        </w:rPr>
      </w:pPr>
    </w:p>
    <w:p w14:paraId="0F9525D0" w14:textId="77777777" w:rsidR="0005795C" w:rsidRPr="00F65403" w:rsidRDefault="0005795C" w:rsidP="0005795C">
      <w:pPr>
        <w:pStyle w:val="BodyText"/>
      </w:pPr>
      <w:r w:rsidRPr="00F65403">
        <w:rPr>
          <w:lang w:val="en-AU"/>
        </w:rPr>
        <w:t>The financial statements have been prepared on an accrual basis and in accordance with the historical cost basis, except for certain assets and liabilities, including</w:t>
      </w:r>
      <w:r>
        <w:rPr>
          <w:lang w:val="en-AU"/>
        </w:rPr>
        <w:t xml:space="preserve"> </w:t>
      </w:r>
      <w:r w:rsidRPr="00F65403">
        <w:t>derivatives and other financial assets and financial liabilities, that are measured at fair value</w:t>
      </w:r>
      <w:r>
        <w:t>.</w:t>
      </w:r>
      <w:r w:rsidRPr="00F65403">
        <w:t xml:space="preserve"> </w:t>
      </w:r>
    </w:p>
    <w:p w14:paraId="67D86577" w14:textId="77777777" w:rsidR="0005795C" w:rsidRPr="00F65403" w:rsidRDefault="0005795C" w:rsidP="0005795C">
      <w:pPr>
        <w:pStyle w:val="BodyText"/>
        <w:rPr>
          <w:lang w:val="en-AU"/>
        </w:rPr>
      </w:pPr>
    </w:p>
    <w:p w14:paraId="73B97C51" w14:textId="77777777" w:rsidR="0005795C" w:rsidRPr="00F65403" w:rsidRDefault="0005795C" w:rsidP="0005795C">
      <w:pPr>
        <w:pStyle w:val="BodyText"/>
        <w:rPr>
          <w:lang w:val="en-AU"/>
        </w:rPr>
      </w:pPr>
      <w:r w:rsidRPr="00F65403">
        <w:rPr>
          <w:lang w:val="en-AU"/>
        </w:rPr>
        <w:t xml:space="preserve">The </w:t>
      </w:r>
      <w:r>
        <w:rPr>
          <w:lang w:val="en-AU"/>
        </w:rPr>
        <w:t>Company</w:t>
      </w:r>
      <w:r w:rsidRPr="00F65403">
        <w:rPr>
          <w:lang w:val="en-AU"/>
        </w:rPr>
        <w:t xml:space="preserve"> has prepared the financial statements on the basis that it will continue to operate as a going concern.</w:t>
      </w:r>
    </w:p>
    <w:p w14:paraId="2DE31375" w14:textId="77777777" w:rsidR="0005795C" w:rsidRPr="00F65403" w:rsidRDefault="0005795C" w:rsidP="0005795C">
      <w:pPr>
        <w:pStyle w:val="BodyText"/>
        <w:rPr>
          <w:lang w:val="en-AU"/>
        </w:rPr>
      </w:pPr>
    </w:p>
    <w:p w14:paraId="7B6E35DC" w14:textId="77777777" w:rsidR="0005795C" w:rsidRPr="00F65403" w:rsidRDefault="0005795C" w:rsidP="0005795C">
      <w:pPr>
        <w:pStyle w:val="BodyText"/>
        <w:rPr>
          <w:lang w:val="en-AU"/>
        </w:rPr>
      </w:pPr>
      <w:r w:rsidRPr="00F65403">
        <w:rPr>
          <w:lang w:val="en-AU"/>
        </w:rPr>
        <w:t>Comparative information has been reclassified where required for consistency with the current year presentation.</w:t>
      </w:r>
    </w:p>
    <w:p w14:paraId="4E152844" w14:textId="77777777" w:rsidR="0005795C" w:rsidRPr="00F65403" w:rsidRDefault="0005795C" w:rsidP="0005795C">
      <w:pPr>
        <w:pStyle w:val="BodyText"/>
        <w:rPr>
          <w:lang w:val="en-AU"/>
        </w:rPr>
      </w:pPr>
    </w:p>
    <w:p w14:paraId="1CB68F8C" w14:textId="77777777" w:rsidR="0005795C" w:rsidRPr="00F65403" w:rsidRDefault="0005795C" w:rsidP="0005795C">
      <w:pPr>
        <w:pStyle w:val="Heading8"/>
      </w:pPr>
      <w:r>
        <w:t>ii.</w:t>
      </w:r>
      <w:r>
        <w:tab/>
        <w:t>Use of judgements and estimates</w:t>
      </w:r>
    </w:p>
    <w:p w14:paraId="22ADB558" w14:textId="77777777" w:rsidR="0005795C" w:rsidRPr="00F65403" w:rsidRDefault="0005795C" w:rsidP="0005795C">
      <w:pPr>
        <w:pStyle w:val="BodyText"/>
        <w:rPr>
          <w:lang w:val="en-AU"/>
        </w:rPr>
      </w:pPr>
      <w:r w:rsidRPr="323AD893">
        <w:rPr>
          <w:lang w:val="en-AU"/>
        </w:rPr>
        <w:t>Judgements, estimates and assumptions are required to be made about financial information being presented. Judgements and assumptions made by management in applying Australian Accounting Standards that have significant effects on the financial statements and estimates are disclosed in the notes under the heading: ‘Significant judgement or estimate’. Estimates and associated assumptions are based on professional judgements derived from historical experience and various other factors that are believed to be reasonable under the circumstances. Actual results may differ from these estimates.</w:t>
      </w:r>
    </w:p>
    <w:p w14:paraId="7D12AF61" w14:textId="77777777" w:rsidR="0005795C" w:rsidRPr="00F65403" w:rsidRDefault="0005795C" w:rsidP="0005795C">
      <w:pPr>
        <w:pStyle w:val="BodyText"/>
        <w:rPr>
          <w:lang w:val="en-AU"/>
        </w:rPr>
      </w:pPr>
    </w:p>
    <w:p w14:paraId="50DF2834" w14:textId="77777777" w:rsidR="0005795C" w:rsidRPr="00F65403" w:rsidRDefault="0005795C" w:rsidP="0005795C">
      <w:pPr>
        <w:pStyle w:val="BodyText"/>
        <w:rPr>
          <w:lang w:val="en-AU"/>
        </w:rPr>
      </w:pPr>
      <w:r w:rsidRPr="00F65403">
        <w:rPr>
          <w:lang w:val="en-AU"/>
        </w:rPr>
        <w:t>Revisions to accounting estimates are recognised in the period in which the estimate is revised and also in future periods that are affected by the revision.  </w:t>
      </w:r>
    </w:p>
    <w:p w14:paraId="1C16386C" w14:textId="3127451E" w:rsidR="004D20C8" w:rsidRDefault="004D20C8">
      <w:pPr>
        <w:rPr>
          <w:rFonts w:eastAsia="Arial" w:cs="Arial"/>
          <w:sz w:val="20"/>
          <w:szCs w:val="20"/>
        </w:rPr>
      </w:pPr>
      <w:r>
        <w:br w:type="page"/>
      </w:r>
    </w:p>
    <w:p w14:paraId="4A93653E" w14:textId="77777777" w:rsidR="0005795C" w:rsidRPr="00F65403" w:rsidRDefault="0005795C" w:rsidP="0005795C">
      <w:pPr>
        <w:pStyle w:val="BodyText"/>
        <w:rPr>
          <w:lang w:val="en-AU"/>
        </w:rPr>
      </w:pPr>
    </w:p>
    <w:p w14:paraId="1B7F3F6F" w14:textId="77777777" w:rsidR="0005795C" w:rsidRPr="00F65403" w:rsidRDefault="0005795C" w:rsidP="0005795C">
      <w:pPr>
        <w:pStyle w:val="Heading8"/>
      </w:pPr>
      <w:r>
        <w:t>iii.</w:t>
      </w:r>
      <w:r>
        <w:tab/>
        <w:t xml:space="preserve">Statement of compliance </w:t>
      </w:r>
    </w:p>
    <w:p w14:paraId="7BB141A3" w14:textId="77777777" w:rsidR="0005795C" w:rsidRDefault="0005795C" w:rsidP="0005795C">
      <w:pPr>
        <w:pStyle w:val="BodyText"/>
        <w:rPr>
          <w:lang w:val="en-AU"/>
        </w:rPr>
      </w:pPr>
      <w:r w:rsidRPr="00F65403">
        <w:rPr>
          <w:lang w:val="en-AU"/>
        </w:rPr>
        <w:t xml:space="preserve">The financial report is a general-purpose financial report prepared in accordance with the </w:t>
      </w:r>
      <w:r w:rsidRPr="00F65403">
        <w:rPr>
          <w:i/>
          <w:lang w:val="en-AU"/>
        </w:rPr>
        <w:t>Corporations Act 2001</w:t>
      </w:r>
      <w:r w:rsidRPr="00F65403">
        <w:rPr>
          <w:lang w:val="en-AU"/>
        </w:rPr>
        <w:t xml:space="preserve">, </w:t>
      </w:r>
      <w:r w:rsidRPr="00F65403">
        <w:rPr>
          <w:i/>
          <w:lang w:val="en-AU"/>
        </w:rPr>
        <w:t>Financial Management Act 1994</w:t>
      </w:r>
      <w:r w:rsidRPr="00F65403">
        <w:rPr>
          <w:lang w:val="en-AU"/>
        </w:rPr>
        <w:t xml:space="preserve"> and applicable Australian Accounting Standards (AAS), which include Interpretations, issued by the Australian Accounting Standards Board (AASB).</w:t>
      </w:r>
    </w:p>
    <w:p w14:paraId="5A3012E2" w14:textId="77777777" w:rsidR="0005795C" w:rsidRPr="00F65403" w:rsidRDefault="0005795C" w:rsidP="0005795C">
      <w:pPr>
        <w:pStyle w:val="BodyText"/>
        <w:rPr>
          <w:lang w:val="en-AU"/>
        </w:rPr>
      </w:pPr>
    </w:p>
    <w:p w14:paraId="01514DEF" w14:textId="77777777" w:rsidR="0005795C" w:rsidRPr="00F65403" w:rsidRDefault="0005795C" w:rsidP="0005795C">
      <w:pPr>
        <w:pStyle w:val="Heading7"/>
      </w:pPr>
      <w:r w:rsidRPr="00F65403">
        <w:t>New accounting standards and interpretations</w:t>
      </w:r>
    </w:p>
    <w:p w14:paraId="27277788" w14:textId="77777777" w:rsidR="0005795C" w:rsidRPr="00F65403" w:rsidRDefault="0005795C" w:rsidP="0005795C">
      <w:pPr>
        <w:pStyle w:val="Heading8"/>
      </w:pPr>
      <w:proofErr w:type="spellStart"/>
      <w:r>
        <w:t>i</w:t>
      </w:r>
      <w:proofErr w:type="spellEnd"/>
      <w:r>
        <w:t>.</w:t>
      </w:r>
      <w:r>
        <w:tab/>
        <w:t>New and amended standards adopted by the Company</w:t>
      </w:r>
    </w:p>
    <w:p w14:paraId="30216E9B" w14:textId="77777777" w:rsidR="0005795C" w:rsidRPr="00F65403" w:rsidRDefault="0005795C" w:rsidP="0005795C">
      <w:pPr>
        <w:pStyle w:val="BodyText"/>
        <w:rPr>
          <w:lang w:val="en-AU"/>
        </w:rPr>
      </w:pPr>
      <w:r w:rsidRPr="00F65403">
        <w:rPr>
          <w:lang w:val="en-AU"/>
        </w:rPr>
        <w:t xml:space="preserve">The following new standards and amendments to standards are mandatory for the first time for the financial year beginning 1 July 2024 and have been adopted by the </w:t>
      </w:r>
      <w:r>
        <w:rPr>
          <w:lang w:val="en-AU"/>
        </w:rPr>
        <w:t>Company</w:t>
      </w:r>
      <w:r w:rsidRPr="00F65403">
        <w:rPr>
          <w:lang w:val="en-AU"/>
        </w:rPr>
        <w:t>:</w:t>
      </w:r>
    </w:p>
    <w:p w14:paraId="0D9CF941" w14:textId="77777777" w:rsidR="0005795C" w:rsidRPr="00F65403" w:rsidRDefault="0005795C" w:rsidP="0005795C">
      <w:pPr>
        <w:pStyle w:val="BodyText"/>
        <w:rPr>
          <w:lang w:val="en-AU"/>
        </w:rPr>
      </w:pPr>
    </w:p>
    <w:p w14:paraId="5A12F2A3" w14:textId="3BD692AD" w:rsidR="0005795C" w:rsidRPr="00F65403" w:rsidRDefault="0005795C" w:rsidP="0005795C">
      <w:pPr>
        <w:pStyle w:val="ListBullet"/>
        <w:rPr>
          <w:lang w:val="en-AU"/>
        </w:rPr>
      </w:pPr>
      <w:r w:rsidRPr="00F65403">
        <w:rPr>
          <w:lang w:val="en-AU"/>
        </w:rPr>
        <w:t xml:space="preserve">AASB 2020-1 Amendments to AASs </w:t>
      </w:r>
      <w:r w:rsidR="00104757">
        <w:rPr>
          <w:lang w:val="en-AU"/>
        </w:rPr>
        <w:t>-</w:t>
      </w:r>
      <w:r w:rsidRPr="00F65403">
        <w:rPr>
          <w:lang w:val="en-AU"/>
        </w:rPr>
        <w:t xml:space="preserve"> Classification of Liabilities as Current or Non-current </w:t>
      </w:r>
    </w:p>
    <w:p w14:paraId="23F34C5E" w14:textId="77777777" w:rsidR="0005795C" w:rsidRPr="00F65403" w:rsidDel="0032229B" w:rsidRDefault="0005795C" w:rsidP="0005795C">
      <w:pPr>
        <w:pStyle w:val="BodyText"/>
        <w:rPr>
          <w:lang w:val="en-AU"/>
        </w:rPr>
      </w:pPr>
    </w:p>
    <w:p w14:paraId="47C57895" w14:textId="77777777" w:rsidR="0005795C" w:rsidRPr="00F65403" w:rsidRDefault="0005795C" w:rsidP="0005795C">
      <w:pPr>
        <w:pStyle w:val="Heading8"/>
      </w:pPr>
      <w:r>
        <w:t>ii.</w:t>
      </w:r>
      <w:r>
        <w:tab/>
        <w:t>New accounting standards and interpretations not yet adopted</w:t>
      </w:r>
    </w:p>
    <w:p w14:paraId="7DAFBC13" w14:textId="77777777" w:rsidR="0005795C" w:rsidRPr="00F65403" w:rsidRDefault="0005795C" w:rsidP="0005795C">
      <w:pPr>
        <w:pStyle w:val="BodyText"/>
        <w:rPr>
          <w:lang w:val="en-AU"/>
        </w:rPr>
      </w:pPr>
      <w:r w:rsidRPr="00F65403">
        <w:rPr>
          <w:lang w:val="en-AU"/>
        </w:rPr>
        <w:t xml:space="preserve">Certain new and revised accounting standards have been issued but are not mandatory for the current reporting period. Those that are applicable to the </w:t>
      </w:r>
      <w:r>
        <w:rPr>
          <w:lang w:val="en-AU"/>
        </w:rPr>
        <w:t>Company</w:t>
      </w:r>
      <w:r w:rsidRPr="00F65403">
        <w:rPr>
          <w:lang w:val="en-AU"/>
        </w:rPr>
        <w:t xml:space="preserve">, and which may have an effect on the </w:t>
      </w:r>
      <w:r>
        <w:rPr>
          <w:lang w:val="en-AU"/>
        </w:rPr>
        <w:t>Company’s</w:t>
      </w:r>
      <w:r w:rsidRPr="00F65403">
        <w:rPr>
          <w:lang w:val="en-AU"/>
        </w:rPr>
        <w:t xml:space="preserve"> accounting policies, financial position or performance are disclosed below. These standards and interpretations have not been early adopted:</w:t>
      </w:r>
    </w:p>
    <w:p w14:paraId="59CF1DD6" w14:textId="77777777" w:rsidR="0005795C" w:rsidRPr="00F65403" w:rsidRDefault="0005795C" w:rsidP="0005795C">
      <w:pPr>
        <w:pStyle w:val="BodyText"/>
        <w:rPr>
          <w:lang w:val="en-AU"/>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5"/>
        <w:gridCol w:w="5386"/>
        <w:gridCol w:w="1645"/>
      </w:tblGrid>
      <w:tr w:rsidR="0005795C" w:rsidRPr="00F6590C" w14:paraId="06EC3C19" w14:textId="77777777">
        <w:trPr>
          <w:tblHeader/>
        </w:trPr>
        <w:tc>
          <w:tcPr>
            <w:tcW w:w="1985" w:type="dxa"/>
          </w:tcPr>
          <w:p w14:paraId="79B87B2C" w14:textId="77777777" w:rsidR="0005795C" w:rsidRPr="00F65403" w:rsidRDefault="0005795C">
            <w:pPr>
              <w:rPr>
                <w:rFonts w:eastAsia="Arial" w:cs="Arial"/>
                <w:b/>
                <w:sz w:val="20"/>
                <w:szCs w:val="20"/>
              </w:rPr>
            </w:pPr>
            <w:r w:rsidRPr="00F65403">
              <w:rPr>
                <w:rFonts w:eastAsia="Arial" w:cs="Arial"/>
                <w:b/>
                <w:sz w:val="20"/>
                <w:szCs w:val="20"/>
              </w:rPr>
              <w:t>Accounting Standard</w:t>
            </w:r>
          </w:p>
        </w:tc>
        <w:tc>
          <w:tcPr>
            <w:tcW w:w="5386" w:type="dxa"/>
          </w:tcPr>
          <w:p w14:paraId="355A3E6C" w14:textId="77777777" w:rsidR="0005795C" w:rsidRPr="00F65403" w:rsidRDefault="0005795C">
            <w:pPr>
              <w:rPr>
                <w:rFonts w:eastAsia="Arial" w:cs="Arial"/>
                <w:b/>
                <w:sz w:val="20"/>
                <w:szCs w:val="20"/>
              </w:rPr>
            </w:pPr>
            <w:r w:rsidRPr="00F65403">
              <w:rPr>
                <w:rFonts w:eastAsia="Arial" w:cs="Arial"/>
                <w:b/>
                <w:sz w:val="20"/>
                <w:szCs w:val="20"/>
              </w:rPr>
              <w:t>Description of change</w:t>
            </w:r>
          </w:p>
        </w:tc>
        <w:tc>
          <w:tcPr>
            <w:tcW w:w="1645" w:type="dxa"/>
          </w:tcPr>
          <w:p w14:paraId="62197D63" w14:textId="77777777" w:rsidR="0005795C" w:rsidRPr="00F65403" w:rsidRDefault="0005795C">
            <w:pPr>
              <w:rPr>
                <w:rFonts w:eastAsia="Arial" w:cs="Arial"/>
                <w:b/>
                <w:sz w:val="20"/>
                <w:szCs w:val="20"/>
              </w:rPr>
            </w:pPr>
            <w:r w:rsidRPr="00F65403">
              <w:rPr>
                <w:rFonts w:eastAsia="Arial" w:cs="Arial"/>
                <w:b/>
                <w:sz w:val="20"/>
                <w:szCs w:val="20"/>
              </w:rPr>
              <w:t>Application date</w:t>
            </w:r>
          </w:p>
        </w:tc>
      </w:tr>
      <w:tr w:rsidR="0005795C" w:rsidRPr="00FC5D03" w14:paraId="767BFE0B" w14:textId="77777777">
        <w:tc>
          <w:tcPr>
            <w:tcW w:w="1985" w:type="dxa"/>
          </w:tcPr>
          <w:p w14:paraId="2FCA4B99" w14:textId="77777777" w:rsidR="0005795C" w:rsidRPr="00F65403" w:rsidRDefault="0005795C">
            <w:pPr>
              <w:rPr>
                <w:rFonts w:cs="Arial"/>
                <w:i/>
                <w:sz w:val="20"/>
                <w:szCs w:val="20"/>
              </w:rPr>
            </w:pPr>
            <w:r w:rsidRPr="00F65403">
              <w:rPr>
                <w:rFonts w:cs="Arial"/>
                <w:sz w:val="20"/>
                <w:szCs w:val="20"/>
              </w:rPr>
              <w:t xml:space="preserve">AASB 18 </w:t>
            </w:r>
            <w:r w:rsidRPr="00F65403">
              <w:rPr>
                <w:rFonts w:cs="Arial"/>
                <w:i/>
                <w:sz w:val="20"/>
                <w:szCs w:val="20"/>
              </w:rPr>
              <w:t>Presentation and Disclosure of Financial Statements</w:t>
            </w:r>
          </w:p>
          <w:p w14:paraId="7EC2EF1D" w14:textId="77777777" w:rsidR="0005795C" w:rsidRPr="00F65403" w:rsidRDefault="0005795C">
            <w:pPr>
              <w:rPr>
                <w:rFonts w:eastAsia="Arial" w:cs="Arial"/>
                <w:sz w:val="20"/>
                <w:szCs w:val="20"/>
              </w:rPr>
            </w:pPr>
          </w:p>
        </w:tc>
        <w:tc>
          <w:tcPr>
            <w:tcW w:w="5386" w:type="dxa"/>
          </w:tcPr>
          <w:p w14:paraId="175C3721" w14:textId="77777777" w:rsidR="0005795C" w:rsidRPr="00F65403" w:rsidRDefault="0005795C">
            <w:pPr>
              <w:rPr>
                <w:rFonts w:eastAsia="Arial" w:cs="Arial"/>
                <w:sz w:val="20"/>
                <w:szCs w:val="20"/>
              </w:rPr>
            </w:pPr>
            <w:r w:rsidRPr="00F65403">
              <w:rPr>
                <w:rFonts w:eastAsia="Arial" w:cs="Arial"/>
                <w:sz w:val="20"/>
                <w:szCs w:val="20"/>
              </w:rPr>
              <w:t xml:space="preserve">AASB 18 replaces AASB 101 </w:t>
            </w:r>
            <w:r w:rsidRPr="00F65403">
              <w:rPr>
                <w:rFonts w:eastAsia="Arial" w:cs="Arial"/>
                <w:i/>
                <w:sz w:val="20"/>
                <w:szCs w:val="20"/>
              </w:rPr>
              <w:t>Presentation of Financial Statements</w:t>
            </w:r>
            <w:r w:rsidRPr="00F65403">
              <w:rPr>
                <w:rFonts w:eastAsia="Arial" w:cs="Arial"/>
                <w:sz w:val="20"/>
                <w:szCs w:val="20"/>
              </w:rPr>
              <w:t xml:space="preserve"> to improve how entities communicate in their financial statements, with a particular focus on information about financial performance in the statement of profit or loss.</w:t>
            </w:r>
          </w:p>
          <w:p w14:paraId="47BBAFC0" w14:textId="77777777" w:rsidR="0005795C" w:rsidRPr="00F65403" w:rsidRDefault="0005795C">
            <w:pPr>
              <w:rPr>
                <w:rFonts w:eastAsia="Arial" w:cs="Arial"/>
                <w:sz w:val="20"/>
                <w:szCs w:val="20"/>
              </w:rPr>
            </w:pPr>
          </w:p>
          <w:p w14:paraId="1982C701" w14:textId="5F5CB102" w:rsidR="0005795C" w:rsidRPr="00F65403" w:rsidRDefault="0005795C">
            <w:pPr>
              <w:rPr>
                <w:rFonts w:eastAsia="Arial" w:cs="Arial"/>
                <w:sz w:val="20"/>
                <w:szCs w:val="20"/>
              </w:rPr>
            </w:pPr>
            <w:r w:rsidRPr="00F65403">
              <w:rPr>
                <w:rFonts w:eastAsia="Arial" w:cs="Arial"/>
                <w:sz w:val="20"/>
                <w:szCs w:val="20"/>
              </w:rPr>
              <w:t>The key presentation and disclosure requirements established by AASB 18 is the presentation of newly defined subtotals in the statement of profit or loss.</w:t>
            </w:r>
            <w:r w:rsidR="00CB69B0">
              <w:rPr>
                <w:rFonts w:eastAsia="Arial" w:cs="Arial"/>
                <w:sz w:val="20"/>
                <w:szCs w:val="20"/>
              </w:rPr>
              <w:t xml:space="preserve"> </w:t>
            </w:r>
            <w:r w:rsidRPr="00F65403">
              <w:rPr>
                <w:rFonts w:eastAsia="Arial" w:cs="Arial"/>
                <w:sz w:val="20"/>
                <w:szCs w:val="20"/>
              </w:rPr>
              <w:t xml:space="preserve">AASB 18 requires the </w:t>
            </w:r>
            <w:r>
              <w:rPr>
                <w:rFonts w:eastAsia="Arial" w:cs="Arial"/>
                <w:sz w:val="20"/>
                <w:szCs w:val="20"/>
              </w:rPr>
              <w:t>Company</w:t>
            </w:r>
            <w:r w:rsidRPr="00F65403">
              <w:rPr>
                <w:rFonts w:eastAsia="Arial" w:cs="Arial"/>
                <w:sz w:val="20"/>
                <w:szCs w:val="20"/>
              </w:rPr>
              <w:t xml:space="preserve"> to:</w:t>
            </w:r>
          </w:p>
          <w:p w14:paraId="49193F4A" w14:textId="77777777" w:rsidR="0005795C" w:rsidRPr="00F65403" w:rsidRDefault="0005795C">
            <w:pPr>
              <w:pStyle w:val="Bullet"/>
              <w:rPr>
                <w:rFonts w:cs="Arial"/>
                <w:sz w:val="20"/>
                <w:szCs w:val="20"/>
              </w:rPr>
            </w:pPr>
            <w:r w:rsidRPr="00F65403">
              <w:rPr>
                <w:rFonts w:cs="Arial"/>
                <w:sz w:val="20"/>
                <w:szCs w:val="20"/>
              </w:rPr>
              <w:t>classify income and expenses into operating, investing, financing, income taxes and discontinued operations categories in the statement of profit or loss; and</w:t>
            </w:r>
          </w:p>
          <w:p w14:paraId="689DD020" w14:textId="01FF87E0" w:rsidR="0005795C" w:rsidRPr="00F65403" w:rsidRDefault="0005795C">
            <w:pPr>
              <w:pStyle w:val="Bullet"/>
              <w:rPr>
                <w:rFonts w:eastAsia="Arial" w:cs="Arial"/>
                <w:sz w:val="20"/>
                <w:szCs w:val="20"/>
              </w:rPr>
            </w:pPr>
            <w:r w:rsidRPr="00F65403">
              <w:rPr>
                <w:rFonts w:cs="Arial"/>
                <w:sz w:val="20"/>
                <w:szCs w:val="20"/>
              </w:rPr>
              <w:t xml:space="preserve">present two newly defined subtotals </w:t>
            </w:r>
            <w:r w:rsidR="00104757">
              <w:rPr>
                <w:rFonts w:cs="Arial"/>
                <w:sz w:val="20"/>
                <w:szCs w:val="20"/>
              </w:rPr>
              <w:t>-</w:t>
            </w:r>
            <w:r w:rsidRPr="00F65403">
              <w:rPr>
                <w:rFonts w:cs="Arial"/>
                <w:sz w:val="20"/>
                <w:szCs w:val="20"/>
              </w:rPr>
              <w:t xml:space="preserve"> operating profit and profit before financing and income taxes.</w:t>
            </w:r>
          </w:p>
        </w:tc>
        <w:tc>
          <w:tcPr>
            <w:tcW w:w="1645" w:type="dxa"/>
          </w:tcPr>
          <w:p w14:paraId="09463817" w14:textId="77777777" w:rsidR="0005795C" w:rsidRPr="00F65403" w:rsidRDefault="0005795C">
            <w:pPr>
              <w:rPr>
                <w:rFonts w:eastAsia="Arial" w:cs="Arial"/>
                <w:sz w:val="20"/>
                <w:szCs w:val="20"/>
              </w:rPr>
            </w:pPr>
            <w:r w:rsidRPr="00F65403">
              <w:rPr>
                <w:rFonts w:eastAsia="Arial" w:cs="Arial"/>
                <w:sz w:val="20"/>
                <w:szCs w:val="20"/>
              </w:rPr>
              <w:t>Standard:</w:t>
            </w:r>
          </w:p>
          <w:p w14:paraId="65E28360" w14:textId="77777777" w:rsidR="0005795C" w:rsidRPr="00F65403" w:rsidRDefault="0005795C">
            <w:pPr>
              <w:rPr>
                <w:rFonts w:eastAsia="Arial" w:cs="Arial"/>
                <w:sz w:val="20"/>
                <w:szCs w:val="20"/>
              </w:rPr>
            </w:pPr>
            <w:r w:rsidRPr="00F65403">
              <w:rPr>
                <w:rFonts w:eastAsia="Arial" w:cs="Arial"/>
                <w:sz w:val="20"/>
                <w:szCs w:val="20"/>
              </w:rPr>
              <w:t>1 January 2027</w:t>
            </w:r>
          </w:p>
          <w:p w14:paraId="3DD6DC7B" w14:textId="77777777" w:rsidR="0005795C" w:rsidRPr="00F65403" w:rsidRDefault="0005795C">
            <w:pPr>
              <w:rPr>
                <w:rFonts w:eastAsia="Arial" w:cs="Arial"/>
                <w:sz w:val="20"/>
                <w:szCs w:val="20"/>
              </w:rPr>
            </w:pPr>
          </w:p>
          <w:p w14:paraId="76D53605" w14:textId="77777777" w:rsidR="0005795C" w:rsidRPr="00F65403" w:rsidRDefault="0005795C">
            <w:pPr>
              <w:rPr>
                <w:rFonts w:eastAsia="Arial" w:cs="Arial"/>
                <w:sz w:val="20"/>
                <w:szCs w:val="20"/>
              </w:rPr>
            </w:pPr>
            <w:r>
              <w:rPr>
                <w:rFonts w:eastAsia="Arial" w:cs="Arial"/>
                <w:sz w:val="20"/>
                <w:szCs w:val="20"/>
              </w:rPr>
              <w:t>Company</w:t>
            </w:r>
            <w:r w:rsidRPr="00F65403">
              <w:rPr>
                <w:rFonts w:eastAsia="Arial" w:cs="Arial"/>
                <w:sz w:val="20"/>
                <w:szCs w:val="20"/>
              </w:rPr>
              <w:t>:</w:t>
            </w:r>
          </w:p>
          <w:p w14:paraId="6C8647C3" w14:textId="77777777" w:rsidR="0005795C" w:rsidRPr="00F65403" w:rsidRDefault="0005795C">
            <w:pPr>
              <w:rPr>
                <w:rFonts w:eastAsia="Arial" w:cs="Arial"/>
                <w:sz w:val="20"/>
                <w:szCs w:val="20"/>
              </w:rPr>
            </w:pPr>
            <w:r w:rsidRPr="00F65403">
              <w:rPr>
                <w:rFonts w:eastAsia="Arial" w:cs="Arial"/>
                <w:sz w:val="20"/>
                <w:szCs w:val="20"/>
              </w:rPr>
              <w:t>1 July 2027</w:t>
            </w:r>
          </w:p>
        </w:tc>
      </w:tr>
      <w:tr w:rsidR="0005795C" w:rsidRPr="00FC5D03" w14:paraId="14CAD69A" w14:textId="77777777">
        <w:tc>
          <w:tcPr>
            <w:tcW w:w="1985" w:type="dxa"/>
          </w:tcPr>
          <w:p w14:paraId="0DCDF618" w14:textId="430C504D" w:rsidR="0005795C" w:rsidRPr="00F65403" w:rsidRDefault="0005795C">
            <w:pPr>
              <w:rPr>
                <w:rFonts w:eastAsia="Arial" w:cs="Arial"/>
                <w:i/>
                <w:sz w:val="20"/>
                <w:szCs w:val="20"/>
              </w:rPr>
            </w:pPr>
            <w:r w:rsidRPr="00F65403">
              <w:rPr>
                <w:rFonts w:eastAsia="Arial" w:cs="Arial"/>
                <w:sz w:val="20"/>
                <w:szCs w:val="20"/>
              </w:rPr>
              <w:t xml:space="preserve">AASB 2025-1 </w:t>
            </w:r>
            <w:r w:rsidRPr="00F65403">
              <w:rPr>
                <w:rFonts w:eastAsia="Arial" w:cs="Arial"/>
                <w:i/>
                <w:sz w:val="20"/>
                <w:szCs w:val="20"/>
              </w:rPr>
              <w:t xml:space="preserve">Amendments to AASs </w:t>
            </w:r>
            <w:r w:rsidR="00104757">
              <w:rPr>
                <w:rFonts w:eastAsia="Arial" w:cs="Arial"/>
                <w:i/>
                <w:sz w:val="20"/>
                <w:szCs w:val="20"/>
              </w:rPr>
              <w:t>-</w:t>
            </w:r>
            <w:r w:rsidRPr="00F65403">
              <w:rPr>
                <w:rFonts w:eastAsia="Arial" w:cs="Arial"/>
                <w:i/>
                <w:sz w:val="20"/>
                <w:szCs w:val="20"/>
              </w:rPr>
              <w:t xml:space="preserve"> Contracts Referencing Nature-dependent Electricity</w:t>
            </w:r>
          </w:p>
        </w:tc>
        <w:tc>
          <w:tcPr>
            <w:tcW w:w="5386" w:type="dxa"/>
          </w:tcPr>
          <w:p w14:paraId="4943215B" w14:textId="63B7745F" w:rsidR="0005795C" w:rsidRPr="00F65403" w:rsidRDefault="0005795C">
            <w:pPr>
              <w:rPr>
                <w:rFonts w:eastAsia="Arial" w:cs="Arial"/>
                <w:sz w:val="20"/>
                <w:szCs w:val="20"/>
              </w:rPr>
            </w:pPr>
            <w:r w:rsidRPr="00F65403">
              <w:rPr>
                <w:rFonts w:eastAsia="Arial" w:cs="Arial"/>
                <w:sz w:val="20"/>
                <w:szCs w:val="20"/>
              </w:rPr>
              <w:t>Nature-dependent electricity contracts help entities to secure their electricity supply from sources such as wind and solar power. The amount of electricity generated under these contracts can vary based on uncontrollable factors such as weather conditions. This Standard amends AASB 7 and AASB 9 to allow entities to better reflect these contracts in the financial statements. The amendments:</w:t>
            </w:r>
          </w:p>
          <w:p w14:paraId="2F637541" w14:textId="0FF83E66" w:rsidR="0005795C" w:rsidRPr="00F65403" w:rsidRDefault="00CB69B0">
            <w:pPr>
              <w:pStyle w:val="ListParagraph"/>
              <w:numPr>
                <w:ilvl w:val="0"/>
                <w:numId w:val="92"/>
              </w:numPr>
              <w:rPr>
                <w:rFonts w:eastAsia="Arial" w:cs="Arial"/>
                <w:sz w:val="20"/>
                <w:szCs w:val="20"/>
              </w:rPr>
            </w:pPr>
            <w:r>
              <w:rPr>
                <w:rFonts w:eastAsia="Arial" w:cs="Arial"/>
                <w:sz w:val="20"/>
                <w:szCs w:val="20"/>
              </w:rPr>
              <w:t>c</w:t>
            </w:r>
            <w:r w:rsidR="0005795C" w:rsidRPr="00F65403">
              <w:rPr>
                <w:rFonts w:eastAsia="Arial" w:cs="Arial"/>
                <w:sz w:val="20"/>
                <w:szCs w:val="20"/>
              </w:rPr>
              <w:t>larify the application of the “own-use” criteria to nature-dependent electricity contracts.</w:t>
            </w:r>
          </w:p>
          <w:p w14:paraId="1596063F" w14:textId="417E9962" w:rsidR="0005795C" w:rsidRPr="00F65403" w:rsidRDefault="00CB69B0">
            <w:pPr>
              <w:pStyle w:val="ListParagraph"/>
              <w:numPr>
                <w:ilvl w:val="0"/>
                <w:numId w:val="92"/>
              </w:numPr>
              <w:rPr>
                <w:rFonts w:eastAsia="Arial" w:cs="Arial"/>
                <w:sz w:val="20"/>
                <w:szCs w:val="20"/>
              </w:rPr>
            </w:pPr>
            <w:r>
              <w:rPr>
                <w:rFonts w:eastAsia="Arial" w:cs="Arial"/>
                <w:sz w:val="20"/>
                <w:szCs w:val="20"/>
              </w:rPr>
              <w:t>p</w:t>
            </w:r>
            <w:r w:rsidR="0005795C" w:rsidRPr="00F65403">
              <w:rPr>
                <w:rFonts w:eastAsia="Arial" w:cs="Arial"/>
                <w:sz w:val="20"/>
                <w:szCs w:val="20"/>
              </w:rPr>
              <w:t>ermit hedge accounting if these contracts are used as hedging instruments.</w:t>
            </w:r>
          </w:p>
          <w:p w14:paraId="377A6B3D" w14:textId="30CF25A3" w:rsidR="0005795C" w:rsidRPr="00F65403" w:rsidRDefault="00CB69B0">
            <w:pPr>
              <w:pStyle w:val="ListParagraph"/>
              <w:numPr>
                <w:ilvl w:val="0"/>
                <w:numId w:val="92"/>
              </w:numPr>
              <w:rPr>
                <w:rFonts w:eastAsia="Arial" w:cs="Arial"/>
                <w:sz w:val="20"/>
                <w:szCs w:val="20"/>
              </w:rPr>
            </w:pPr>
            <w:r>
              <w:rPr>
                <w:rFonts w:eastAsia="Arial" w:cs="Arial"/>
                <w:sz w:val="20"/>
                <w:szCs w:val="20"/>
              </w:rPr>
              <w:t>a</w:t>
            </w:r>
            <w:r w:rsidR="0005795C" w:rsidRPr="00F65403">
              <w:rPr>
                <w:rFonts w:eastAsia="Arial" w:cs="Arial"/>
                <w:sz w:val="20"/>
                <w:szCs w:val="20"/>
              </w:rPr>
              <w:t>dd new disclosure requirements to enable users of financial statements to better understand the effect of these contracts on an entity’s financial performance and cash flows.</w:t>
            </w:r>
          </w:p>
          <w:p w14:paraId="6E70E085" w14:textId="77777777" w:rsidR="0005795C" w:rsidRPr="00F65403" w:rsidRDefault="0005795C">
            <w:pPr>
              <w:rPr>
                <w:rFonts w:eastAsia="Arial" w:cs="Arial"/>
                <w:sz w:val="20"/>
                <w:szCs w:val="20"/>
              </w:rPr>
            </w:pPr>
          </w:p>
          <w:p w14:paraId="7B623497" w14:textId="77777777" w:rsidR="0005795C" w:rsidRPr="00F65403" w:rsidRDefault="0005795C">
            <w:pPr>
              <w:rPr>
                <w:rFonts w:eastAsia="Arial" w:cs="Arial"/>
                <w:sz w:val="20"/>
                <w:szCs w:val="20"/>
              </w:rPr>
            </w:pPr>
            <w:r w:rsidRPr="00F65403">
              <w:rPr>
                <w:rFonts w:eastAsia="Arial" w:cs="Arial"/>
                <w:sz w:val="20"/>
                <w:szCs w:val="20"/>
              </w:rPr>
              <w:t>When applying the “own-use” criteria, the sale of unused nature-dependent electricity will be in accordance with an entity’s expected purchase or usage requirements provided that specified criteria are met. In particular, an entity will be a net purchaser of electricity if it buys sufficient electricity to offset any sales of unused electricity - in the same market in which that electricity was sold. This would allow the contracts to remain outside the scope IFRS 9.</w:t>
            </w:r>
          </w:p>
          <w:p w14:paraId="018882D0" w14:textId="77777777" w:rsidR="0005795C" w:rsidRPr="00F65403" w:rsidRDefault="0005795C">
            <w:pPr>
              <w:rPr>
                <w:rFonts w:eastAsia="Arial" w:cs="Arial"/>
                <w:sz w:val="20"/>
                <w:szCs w:val="20"/>
              </w:rPr>
            </w:pPr>
          </w:p>
          <w:p w14:paraId="6D0F2613" w14:textId="77777777" w:rsidR="0005795C" w:rsidRPr="00F65403" w:rsidRDefault="0005795C">
            <w:pPr>
              <w:rPr>
                <w:rFonts w:eastAsia="Arial" w:cs="Arial"/>
                <w:sz w:val="20"/>
                <w:szCs w:val="20"/>
              </w:rPr>
            </w:pPr>
            <w:r w:rsidRPr="00F65403">
              <w:rPr>
                <w:rFonts w:eastAsia="Arial" w:cs="Arial"/>
                <w:sz w:val="20"/>
                <w:szCs w:val="20"/>
              </w:rPr>
              <w:t>The Amendments also allow an entity to designate a variable nominal volume of forecast electricity transactions as a hedged item, if specified criteria are met.</w:t>
            </w:r>
          </w:p>
          <w:p w14:paraId="79348FCD" w14:textId="77777777" w:rsidR="0005795C" w:rsidRPr="00F65403" w:rsidRDefault="0005795C">
            <w:pPr>
              <w:rPr>
                <w:rFonts w:eastAsia="Arial" w:cs="Arial"/>
                <w:sz w:val="20"/>
                <w:szCs w:val="20"/>
              </w:rPr>
            </w:pPr>
          </w:p>
          <w:p w14:paraId="707D9C3D" w14:textId="77777777" w:rsidR="0005795C" w:rsidRPr="00F65403" w:rsidRDefault="0005795C">
            <w:pPr>
              <w:rPr>
                <w:rFonts w:eastAsia="Arial" w:cs="Arial"/>
                <w:sz w:val="20"/>
                <w:szCs w:val="20"/>
              </w:rPr>
            </w:pPr>
            <w:r w:rsidRPr="00F65403">
              <w:rPr>
                <w:rFonts w:eastAsia="Arial" w:cs="Arial"/>
                <w:sz w:val="20"/>
                <w:szCs w:val="20"/>
              </w:rPr>
              <w:t>Earlier application is permitted.</w:t>
            </w:r>
          </w:p>
        </w:tc>
        <w:tc>
          <w:tcPr>
            <w:tcW w:w="1645" w:type="dxa"/>
          </w:tcPr>
          <w:p w14:paraId="1DDFB83D" w14:textId="77777777" w:rsidR="0005795C" w:rsidRPr="00F65403" w:rsidRDefault="0005795C">
            <w:pPr>
              <w:rPr>
                <w:rFonts w:eastAsia="Arial" w:cs="Arial"/>
                <w:sz w:val="20"/>
                <w:szCs w:val="20"/>
              </w:rPr>
            </w:pPr>
            <w:r w:rsidRPr="00F65403">
              <w:rPr>
                <w:rFonts w:eastAsia="Arial" w:cs="Arial"/>
                <w:sz w:val="20"/>
                <w:szCs w:val="20"/>
              </w:rPr>
              <w:t>Standard:</w:t>
            </w:r>
          </w:p>
          <w:p w14:paraId="2AABBB2D" w14:textId="77777777" w:rsidR="0005795C" w:rsidRPr="00F65403" w:rsidRDefault="0005795C">
            <w:pPr>
              <w:rPr>
                <w:rFonts w:eastAsia="Arial" w:cs="Arial"/>
                <w:sz w:val="20"/>
                <w:szCs w:val="20"/>
              </w:rPr>
            </w:pPr>
            <w:r w:rsidRPr="00F65403">
              <w:rPr>
                <w:rFonts w:eastAsia="Arial" w:cs="Arial"/>
                <w:sz w:val="20"/>
                <w:szCs w:val="20"/>
              </w:rPr>
              <w:t>1 January 2026</w:t>
            </w:r>
          </w:p>
          <w:p w14:paraId="19387DF9" w14:textId="77777777" w:rsidR="0005795C" w:rsidRPr="00F65403" w:rsidRDefault="0005795C">
            <w:pPr>
              <w:rPr>
                <w:rFonts w:eastAsia="Arial" w:cs="Arial"/>
                <w:sz w:val="20"/>
                <w:szCs w:val="20"/>
              </w:rPr>
            </w:pPr>
          </w:p>
          <w:p w14:paraId="27457E05" w14:textId="77777777" w:rsidR="0005795C" w:rsidRPr="00F65403" w:rsidRDefault="0005795C">
            <w:pPr>
              <w:rPr>
                <w:rFonts w:eastAsia="Arial" w:cs="Arial"/>
                <w:sz w:val="20"/>
                <w:szCs w:val="20"/>
              </w:rPr>
            </w:pPr>
            <w:r>
              <w:rPr>
                <w:rFonts w:eastAsia="Arial" w:cs="Arial"/>
                <w:sz w:val="20"/>
                <w:szCs w:val="20"/>
              </w:rPr>
              <w:t>Company</w:t>
            </w:r>
            <w:r w:rsidRPr="00F65403">
              <w:rPr>
                <w:rFonts w:eastAsia="Arial" w:cs="Arial"/>
                <w:sz w:val="20"/>
                <w:szCs w:val="20"/>
              </w:rPr>
              <w:t>:</w:t>
            </w:r>
          </w:p>
          <w:p w14:paraId="30004103" w14:textId="77777777" w:rsidR="0005795C" w:rsidRPr="00F65403" w:rsidRDefault="0005795C">
            <w:pPr>
              <w:rPr>
                <w:rFonts w:eastAsia="Arial" w:cs="Arial"/>
                <w:sz w:val="20"/>
                <w:szCs w:val="20"/>
              </w:rPr>
            </w:pPr>
            <w:r w:rsidRPr="00F65403">
              <w:rPr>
                <w:rFonts w:eastAsia="Arial" w:cs="Arial"/>
                <w:sz w:val="20"/>
                <w:szCs w:val="20"/>
              </w:rPr>
              <w:t>1 July 2026</w:t>
            </w:r>
          </w:p>
        </w:tc>
      </w:tr>
      <w:tr w:rsidR="0005795C" w:rsidRPr="00FC5D03" w14:paraId="6042E67E" w14:textId="77777777">
        <w:tc>
          <w:tcPr>
            <w:tcW w:w="1985" w:type="dxa"/>
          </w:tcPr>
          <w:p w14:paraId="44978280" w14:textId="15E39A4F" w:rsidR="0005795C" w:rsidRPr="00F65403" w:rsidRDefault="0005795C">
            <w:pPr>
              <w:rPr>
                <w:rFonts w:eastAsia="Arial" w:cs="Arial"/>
                <w:sz w:val="20"/>
                <w:szCs w:val="20"/>
              </w:rPr>
            </w:pPr>
            <w:r w:rsidRPr="00F65403">
              <w:rPr>
                <w:rFonts w:eastAsia="Arial" w:cs="Arial"/>
                <w:sz w:val="20"/>
                <w:szCs w:val="20"/>
              </w:rPr>
              <w:t xml:space="preserve">AASB 2024-2 Amendments to AASs </w:t>
            </w:r>
            <w:r w:rsidR="00104757">
              <w:rPr>
                <w:rFonts w:eastAsia="Arial" w:cs="Arial"/>
                <w:sz w:val="20"/>
                <w:szCs w:val="20"/>
              </w:rPr>
              <w:t>-</w:t>
            </w:r>
            <w:r w:rsidRPr="00F65403">
              <w:rPr>
                <w:rFonts w:eastAsia="Arial" w:cs="Arial"/>
                <w:sz w:val="20"/>
                <w:szCs w:val="20"/>
              </w:rPr>
              <w:t xml:space="preserve"> Classification and Measurement of Financial Instruments</w:t>
            </w:r>
          </w:p>
        </w:tc>
        <w:tc>
          <w:tcPr>
            <w:tcW w:w="5386" w:type="dxa"/>
          </w:tcPr>
          <w:p w14:paraId="037636F4" w14:textId="77777777" w:rsidR="0005795C" w:rsidRPr="00F65403" w:rsidRDefault="0005795C">
            <w:pPr>
              <w:rPr>
                <w:rFonts w:eastAsia="Arial" w:cs="Arial"/>
                <w:sz w:val="20"/>
                <w:szCs w:val="20"/>
              </w:rPr>
            </w:pPr>
            <w:r w:rsidRPr="00F65403">
              <w:rPr>
                <w:rFonts w:eastAsia="Arial" w:cs="Arial"/>
                <w:sz w:val="20"/>
                <w:szCs w:val="20"/>
              </w:rPr>
              <w:t xml:space="preserve">These amendments to AASB 7 and AASB 9 </w:t>
            </w:r>
            <w:r w:rsidRPr="00AA3AC5">
              <w:rPr>
                <w:rFonts w:eastAsia="Arial" w:cs="Arial"/>
                <w:i/>
                <w:iCs/>
                <w:sz w:val="20"/>
                <w:szCs w:val="20"/>
              </w:rPr>
              <w:t>Financial Instruments</w:t>
            </w:r>
            <w:r w:rsidRPr="00F65403">
              <w:rPr>
                <w:rFonts w:eastAsia="Arial" w:cs="Arial"/>
                <w:sz w:val="20"/>
                <w:szCs w:val="20"/>
              </w:rPr>
              <w:t>:</w:t>
            </w:r>
          </w:p>
          <w:p w14:paraId="6926E8EF" w14:textId="77777777" w:rsidR="0005795C" w:rsidRPr="00F65403" w:rsidRDefault="0005795C">
            <w:pPr>
              <w:rPr>
                <w:rFonts w:eastAsia="Arial" w:cs="Arial"/>
                <w:sz w:val="20"/>
                <w:szCs w:val="20"/>
              </w:rPr>
            </w:pPr>
          </w:p>
          <w:p w14:paraId="14C2FECE" w14:textId="4A9CE639" w:rsidR="0005795C" w:rsidRPr="00F65403" w:rsidRDefault="0020779F">
            <w:pPr>
              <w:pStyle w:val="ListParagraph"/>
              <w:numPr>
                <w:ilvl w:val="0"/>
                <w:numId w:val="93"/>
              </w:numPr>
              <w:rPr>
                <w:rFonts w:eastAsia="Arial" w:cs="Arial"/>
                <w:sz w:val="20"/>
                <w:szCs w:val="20"/>
              </w:rPr>
            </w:pPr>
            <w:r>
              <w:rPr>
                <w:rFonts w:eastAsia="Arial" w:cs="Arial"/>
                <w:sz w:val="20"/>
                <w:szCs w:val="20"/>
              </w:rPr>
              <w:t>c</w:t>
            </w:r>
            <w:r w:rsidR="0005795C" w:rsidRPr="00F65403">
              <w:rPr>
                <w:rFonts w:eastAsia="Arial" w:cs="Arial"/>
                <w:sz w:val="20"/>
                <w:szCs w:val="20"/>
              </w:rPr>
              <w:t xml:space="preserve">larify that a financial liability is derecognised on the ‘settlement date’, i.e., when the related obligation is discharged, cancelled, expires or the liability otherwise qualifies for derecognition. </w:t>
            </w:r>
          </w:p>
          <w:p w14:paraId="17B5E07B" w14:textId="0038F6AC" w:rsidR="0005795C" w:rsidRPr="00F65403" w:rsidRDefault="0020779F">
            <w:pPr>
              <w:pStyle w:val="ListParagraph"/>
              <w:numPr>
                <w:ilvl w:val="0"/>
                <w:numId w:val="93"/>
              </w:numPr>
              <w:rPr>
                <w:rFonts w:eastAsia="Arial" w:cs="Arial"/>
                <w:sz w:val="20"/>
                <w:szCs w:val="20"/>
              </w:rPr>
            </w:pPr>
            <w:r>
              <w:rPr>
                <w:rFonts w:eastAsia="Arial" w:cs="Arial"/>
                <w:sz w:val="20"/>
                <w:szCs w:val="20"/>
              </w:rPr>
              <w:t>i</w:t>
            </w:r>
            <w:r w:rsidR="0005795C" w:rsidRPr="00F65403">
              <w:rPr>
                <w:rFonts w:eastAsia="Arial" w:cs="Arial"/>
                <w:sz w:val="20"/>
                <w:szCs w:val="20"/>
              </w:rPr>
              <w:t xml:space="preserve">ntroduce an accounting policy option to derecognise financial liabilities that are settled through an electronic payment system before the settlement date if certain conditions are met </w:t>
            </w:r>
          </w:p>
          <w:p w14:paraId="377198A3" w14:textId="245BCF6C" w:rsidR="0005795C" w:rsidRPr="00F65403" w:rsidRDefault="0020779F">
            <w:pPr>
              <w:pStyle w:val="ListParagraph"/>
              <w:numPr>
                <w:ilvl w:val="0"/>
                <w:numId w:val="93"/>
              </w:numPr>
              <w:rPr>
                <w:rFonts w:eastAsia="Arial" w:cs="Arial"/>
                <w:sz w:val="20"/>
                <w:szCs w:val="20"/>
              </w:rPr>
            </w:pPr>
            <w:r>
              <w:rPr>
                <w:rFonts w:eastAsia="Arial" w:cs="Arial"/>
                <w:sz w:val="20"/>
                <w:szCs w:val="20"/>
              </w:rPr>
              <w:t>c</w:t>
            </w:r>
            <w:r w:rsidR="0005795C" w:rsidRPr="00F65403">
              <w:rPr>
                <w:rFonts w:eastAsia="Arial" w:cs="Arial"/>
                <w:sz w:val="20"/>
                <w:szCs w:val="20"/>
              </w:rPr>
              <w:t>larify how to assess contractual cash flow characteristics that include environmental, social and governance (ESG)-linked features and other similar contingent features when classifying financial assets</w:t>
            </w:r>
          </w:p>
          <w:p w14:paraId="1BF989C5" w14:textId="713118C8" w:rsidR="0005795C" w:rsidRPr="00F65403" w:rsidRDefault="0020779F">
            <w:pPr>
              <w:pStyle w:val="ListParagraph"/>
              <w:numPr>
                <w:ilvl w:val="0"/>
                <w:numId w:val="93"/>
              </w:numPr>
              <w:rPr>
                <w:rFonts w:eastAsia="Arial" w:cs="Arial"/>
                <w:sz w:val="20"/>
                <w:szCs w:val="20"/>
              </w:rPr>
            </w:pPr>
            <w:r>
              <w:rPr>
                <w:rFonts w:eastAsia="Arial" w:cs="Arial"/>
                <w:sz w:val="20"/>
                <w:szCs w:val="20"/>
              </w:rPr>
              <w:t>c</w:t>
            </w:r>
            <w:r w:rsidR="0005795C" w:rsidRPr="00F65403">
              <w:rPr>
                <w:rFonts w:eastAsia="Arial" w:cs="Arial"/>
                <w:sz w:val="20"/>
                <w:szCs w:val="20"/>
              </w:rPr>
              <w:t>larify how non-recourse features and contractually linked instruments are assessed for the purpose of applying the SPPI test when determining the measurement basis of financial assets.</w:t>
            </w:r>
          </w:p>
          <w:p w14:paraId="4F271B43" w14:textId="5E9ED388" w:rsidR="0005795C" w:rsidRPr="00F65403" w:rsidRDefault="0020779F">
            <w:pPr>
              <w:pStyle w:val="ListParagraph"/>
              <w:numPr>
                <w:ilvl w:val="0"/>
                <w:numId w:val="93"/>
              </w:numPr>
              <w:rPr>
                <w:rFonts w:eastAsia="Arial" w:cs="Arial"/>
                <w:sz w:val="20"/>
                <w:szCs w:val="20"/>
              </w:rPr>
            </w:pPr>
            <w:r>
              <w:rPr>
                <w:rFonts w:eastAsia="Arial" w:cs="Arial"/>
                <w:sz w:val="20"/>
                <w:szCs w:val="20"/>
              </w:rPr>
              <w:t>r</w:t>
            </w:r>
            <w:r w:rsidR="0005795C" w:rsidRPr="00F65403">
              <w:rPr>
                <w:rFonts w:eastAsia="Arial" w:cs="Arial"/>
                <w:sz w:val="20"/>
                <w:szCs w:val="20"/>
              </w:rPr>
              <w:t>equire additional disclosures in AASB 7 for financial assets and liabilities with contractual terms that reference a contingent event (including those that are ESG-linked), and equity instruments classified at fair value through other comprehensive income</w:t>
            </w:r>
            <w:r>
              <w:rPr>
                <w:rFonts w:eastAsia="Arial" w:cs="Arial"/>
                <w:sz w:val="20"/>
                <w:szCs w:val="20"/>
              </w:rPr>
              <w:t>.</w:t>
            </w:r>
          </w:p>
          <w:p w14:paraId="2A4DCB3C" w14:textId="77777777" w:rsidR="0005795C" w:rsidRPr="00F65403" w:rsidRDefault="0005795C">
            <w:pPr>
              <w:rPr>
                <w:rFonts w:eastAsia="Arial" w:cs="Arial"/>
                <w:sz w:val="20"/>
                <w:szCs w:val="20"/>
              </w:rPr>
            </w:pPr>
          </w:p>
          <w:p w14:paraId="057A73E0" w14:textId="77777777" w:rsidR="0005795C" w:rsidRPr="00F65403" w:rsidRDefault="0005795C">
            <w:pPr>
              <w:rPr>
                <w:rFonts w:eastAsia="Arial" w:cs="Arial"/>
                <w:sz w:val="20"/>
                <w:szCs w:val="20"/>
              </w:rPr>
            </w:pPr>
            <w:r w:rsidRPr="00F65403">
              <w:rPr>
                <w:rFonts w:eastAsia="Arial" w:cs="Arial"/>
                <w:sz w:val="20"/>
                <w:szCs w:val="20"/>
              </w:rPr>
              <w:t>The new requirements will be applied retrospectively with an adjustment to opening retained earnings. Prior periods are not required to be restated and can only be restated without using hindsight. An entity is required to disclose information about financial assets that change their measurement category due to the amendments.</w:t>
            </w:r>
          </w:p>
        </w:tc>
        <w:tc>
          <w:tcPr>
            <w:tcW w:w="1645" w:type="dxa"/>
          </w:tcPr>
          <w:p w14:paraId="45BBF8E5" w14:textId="77777777" w:rsidR="0005795C" w:rsidRPr="00F65403" w:rsidRDefault="0005795C">
            <w:pPr>
              <w:rPr>
                <w:rFonts w:eastAsia="Arial" w:cs="Arial"/>
                <w:sz w:val="20"/>
                <w:szCs w:val="20"/>
              </w:rPr>
            </w:pPr>
            <w:r w:rsidRPr="00F65403">
              <w:rPr>
                <w:rFonts w:eastAsia="Arial" w:cs="Arial"/>
                <w:sz w:val="20"/>
                <w:szCs w:val="20"/>
              </w:rPr>
              <w:t>Standard:</w:t>
            </w:r>
          </w:p>
          <w:p w14:paraId="57483C96" w14:textId="77777777" w:rsidR="0005795C" w:rsidRPr="00F65403" w:rsidRDefault="0005795C">
            <w:pPr>
              <w:rPr>
                <w:rFonts w:eastAsia="Arial" w:cs="Arial"/>
                <w:sz w:val="20"/>
                <w:szCs w:val="20"/>
              </w:rPr>
            </w:pPr>
            <w:r w:rsidRPr="00F65403">
              <w:rPr>
                <w:rFonts w:eastAsia="Arial" w:cs="Arial"/>
                <w:sz w:val="20"/>
                <w:szCs w:val="20"/>
              </w:rPr>
              <w:t>1 January 2026</w:t>
            </w:r>
          </w:p>
          <w:p w14:paraId="094926B4" w14:textId="77777777" w:rsidR="0005795C" w:rsidRPr="00F65403" w:rsidRDefault="0005795C">
            <w:pPr>
              <w:rPr>
                <w:rFonts w:eastAsia="Arial" w:cs="Arial"/>
                <w:sz w:val="20"/>
                <w:szCs w:val="20"/>
              </w:rPr>
            </w:pPr>
          </w:p>
          <w:p w14:paraId="565E838F" w14:textId="77777777" w:rsidR="0005795C" w:rsidRPr="00F65403" w:rsidRDefault="0005795C">
            <w:pPr>
              <w:rPr>
                <w:rFonts w:eastAsia="Arial" w:cs="Arial"/>
                <w:sz w:val="20"/>
                <w:szCs w:val="20"/>
              </w:rPr>
            </w:pPr>
            <w:r>
              <w:rPr>
                <w:rFonts w:eastAsia="Arial" w:cs="Arial"/>
                <w:sz w:val="20"/>
                <w:szCs w:val="20"/>
              </w:rPr>
              <w:t>Company</w:t>
            </w:r>
            <w:r w:rsidRPr="00F65403">
              <w:rPr>
                <w:rFonts w:eastAsia="Arial" w:cs="Arial"/>
                <w:sz w:val="20"/>
                <w:szCs w:val="20"/>
              </w:rPr>
              <w:t>:</w:t>
            </w:r>
          </w:p>
          <w:p w14:paraId="02E9D953" w14:textId="77777777" w:rsidR="0005795C" w:rsidRPr="00F65403" w:rsidRDefault="0005795C">
            <w:pPr>
              <w:rPr>
                <w:rFonts w:eastAsia="Arial" w:cs="Arial"/>
                <w:sz w:val="20"/>
                <w:szCs w:val="20"/>
              </w:rPr>
            </w:pPr>
            <w:r w:rsidRPr="00F65403">
              <w:rPr>
                <w:rFonts w:eastAsia="Arial" w:cs="Arial"/>
                <w:sz w:val="20"/>
                <w:szCs w:val="20"/>
              </w:rPr>
              <w:t>1 July 2026</w:t>
            </w:r>
          </w:p>
        </w:tc>
      </w:tr>
    </w:tbl>
    <w:p w14:paraId="01916977" w14:textId="77777777" w:rsidR="0005795C" w:rsidRPr="00F65403" w:rsidRDefault="0005795C" w:rsidP="0005795C">
      <w:pPr>
        <w:pStyle w:val="BodyText"/>
        <w:rPr>
          <w:lang w:val="en-AU"/>
        </w:rPr>
      </w:pPr>
    </w:p>
    <w:p w14:paraId="42879DBF" w14:textId="77777777" w:rsidR="0005795C" w:rsidRPr="00F65403" w:rsidRDefault="0005795C" w:rsidP="0005795C">
      <w:pPr>
        <w:pStyle w:val="BodyText"/>
        <w:rPr>
          <w:lang w:val="en-AU"/>
        </w:rPr>
      </w:pPr>
    </w:p>
    <w:p w14:paraId="67BB85F9" w14:textId="77777777" w:rsidR="0005795C" w:rsidRPr="00F65403" w:rsidRDefault="0005795C" w:rsidP="0005795C">
      <w:pPr>
        <w:rPr>
          <w:rFonts w:eastAsiaTheme="majorEastAsia" w:cstheme="majorBidi"/>
          <w:b/>
          <w:sz w:val="20"/>
        </w:rPr>
      </w:pPr>
      <w:r w:rsidRPr="00F65403">
        <w:br w:type="page"/>
      </w:r>
    </w:p>
    <w:p w14:paraId="200F81BE" w14:textId="77777777" w:rsidR="0005795C" w:rsidRPr="00F65403" w:rsidRDefault="0005795C" w:rsidP="0005795C">
      <w:pPr>
        <w:pStyle w:val="Heading7"/>
      </w:pPr>
      <w:r w:rsidRPr="00F65403">
        <w:t>Cash and cash equivalents</w:t>
      </w:r>
    </w:p>
    <w:tbl>
      <w:tblPr>
        <w:tblW w:w="9026" w:type="dxa"/>
        <w:tblCellMar>
          <w:top w:w="28" w:type="dxa"/>
          <w:left w:w="28" w:type="dxa"/>
          <w:bottom w:w="28" w:type="dxa"/>
          <w:right w:w="28" w:type="dxa"/>
        </w:tblCellMar>
        <w:tblLook w:val="04A0" w:firstRow="1" w:lastRow="0" w:firstColumn="1" w:lastColumn="0" w:noHBand="0" w:noVBand="1"/>
      </w:tblPr>
      <w:tblGrid>
        <w:gridCol w:w="6090"/>
        <w:gridCol w:w="1468"/>
        <w:gridCol w:w="1468"/>
      </w:tblGrid>
      <w:tr w:rsidR="0005795C" w:rsidRPr="002C760A" w14:paraId="711BE5A0" w14:textId="77777777" w:rsidTr="413EB596">
        <w:tc>
          <w:tcPr>
            <w:tcW w:w="6090" w:type="dxa"/>
            <w:tcBorders>
              <w:top w:val="nil"/>
              <w:left w:val="nil"/>
              <w:bottom w:val="nil"/>
              <w:right w:val="nil"/>
            </w:tcBorders>
            <w:noWrap/>
            <w:vAlign w:val="bottom"/>
            <w:hideMark/>
          </w:tcPr>
          <w:p w14:paraId="0DF1192A" w14:textId="77777777" w:rsidR="0005795C" w:rsidRPr="00F65403" w:rsidRDefault="0005795C">
            <w:pPr>
              <w:spacing w:after="0" w:line="240" w:lineRule="auto"/>
              <w:rPr>
                <w:rFonts w:eastAsia="Times New Roman" w:cs="Arial"/>
                <w:sz w:val="20"/>
                <w:szCs w:val="20"/>
                <w:lang w:eastAsia="en-AU"/>
              </w:rPr>
            </w:pPr>
          </w:p>
        </w:tc>
        <w:tc>
          <w:tcPr>
            <w:tcW w:w="1468" w:type="dxa"/>
            <w:tcBorders>
              <w:top w:val="nil"/>
              <w:left w:val="nil"/>
              <w:bottom w:val="nil"/>
              <w:right w:val="nil"/>
            </w:tcBorders>
            <w:noWrap/>
            <w:hideMark/>
          </w:tcPr>
          <w:p w14:paraId="755F0A2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2025</w:t>
            </w:r>
          </w:p>
        </w:tc>
        <w:tc>
          <w:tcPr>
            <w:tcW w:w="1468" w:type="dxa"/>
            <w:tcBorders>
              <w:top w:val="nil"/>
              <w:left w:val="nil"/>
              <w:bottom w:val="nil"/>
              <w:right w:val="nil"/>
            </w:tcBorders>
            <w:noWrap/>
            <w:hideMark/>
          </w:tcPr>
          <w:p w14:paraId="5A14F585"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05795C" w:rsidRPr="002C760A" w14:paraId="523F245A" w14:textId="77777777" w:rsidTr="413EB596">
        <w:trPr>
          <w:trHeight w:val="300"/>
        </w:trPr>
        <w:tc>
          <w:tcPr>
            <w:tcW w:w="6090" w:type="dxa"/>
            <w:tcBorders>
              <w:top w:val="nil"/>
              <w:left w:val="nil"/>
              <w:bottom w:val="nil"/>
              <w:right w:val="nil"/>
            </w:tcBorders>
            <w:noWrap/>
            <w:vAlign w:val="bottom"/>
            <w:hideMark/>
          </w:tcPr>
          <w:p w14:paraId="5645240F" w14:textId="77777777" w:rsidR="0005795C" w:rsidRPr="00F65403" w:rsidRDefault="0005795C">
            <w:pPr>
              <w:spacing w:after="0" w:line="240" w:lineRule="auto"/>
              <w:jc w:val="right"/>
              <w:rPr>
                <w:rFonts w:eastAsia="Times New Roman" w:cs="Arial"/>
                <w:b/>
                <w:color w:val="000000"/>
                <w:sz w:val="20"/>
                <w:szCs w:val="20"/>
                <w:lang w:eastAsia="en-AU"/>
              </w:rPr>
            </w:pPr>
          </w:p>
        </w:tc>
        <w:tc>
          <w:tcPr>
            <w:tcW w:w="1468" w:type="dxa"/>
            <w:tcBorders>
              <w:top w:val="nil"/>
              <w:left w:val="nil"/>
              <w:right w:val="nil"/>
            </w:tcBorders>
            <w:noWrap/>
            <w:hideMark/>
          </w:tcPr>
          <w:p w14:paraId="358533E2"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468" w:type="dxa"/>
            <w:tcBorders>
              <w:top w:val="nil"/>
              <w:left w:val="nil"/>
              <w:right w:val="nil"/>
            </w:tcBorders>
            <w:noWrap/>
            <w:hideMark/>
          </w:tcPr>
          <w:p w14:paraId="5224362C"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2C760A" w14:paraId="6934A236" w14:textId="77777777" w:rsidTr="413EB596">
        <w:trPr>
          <w:trHeight w:val="300"/>
        </w:trPr>
        <w:tc>
          <w:tcPr>
            <w:tcW w:w="6090" w:type="dxa"/>
            <w:tcBorders>
              <w:top w:val="nil"/>
              <w:left w:val="nil"/>
              <w:bottom w:val="nil"/>
              <w:right w:val="nil"/>
            </w:tcBorders>
            <w:noWrap/>
            <w:vAlign w:val="bottom"/>
          </w:tcPr>
          <w:p w14:paraId="5B627FE3"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on hand or on deposit</w:t>
            </w:r>
          </w:p>
        </w:tc>
        <w:tc>
          <w:tcPr>
            <w:tcW w:w="1468" w:type="dxa"/>
            <w:tcBorders>
              <w:top w:val="nil"/>
              <w:left w:val="nil"/>
              <w:bottom w:val="single" w:sz="4" w:space="0" w:color="auto"/>
              <w:right w:val="nil"/>
            </w:tcBorders>
            <w:noWrap/>
            <w:vAlign w:val="bottom"/>
          </w:tcPr>
          <w:p w14:paraId="6CD11695" w14:textId="77777777" w:rsidR="0005795C" w:rsidRPr="00F65403" w:rsidRDefault="0005795C">
            <w:pPr>
              <w:tabs>
                <w:tab w:val="decimal" w:pos="958"/>
              </w:tabs>
              <w:spacing w:after="0" w:line="240" w:lineRule="auto"/>
              <w:rPr>
                <w:rFonts w:eastAsia="Times New Roman" w:cs="Arial"/>
                <w:color w:val="000000"/>
                <w:sz w:val="20"/>
                <w:szCs w:val="20"/>
                <w:lang w:eastAsia="en-AU"/>
              </w:rPr>
            </w:pPr>
            <w:r>
              <w:rPr>
                <w:rFonts w:cs="Arial"/>
                <w:color w:val="000000"/>
                <w:sz w:val="20"/>
                <w:szCs w:val="20"/>
              </w:rPr>
              <w:t>20,399</w:t>
            </w:r>
          </w:p>
        </w:tc>
        <w:tc>
          <w:tcPr>
            <w:tcW w:w="1468" w:type="dxa"/>
            <w:tcBorders>
              <w:top w:val="nil"/>
              <w:left w:val="nil"/>
              <w:bottom w:val="single" w:sz="4" w:space="0" w:color="auto"/>
              <w:right w:val="nil"/>
            </w:tcBorders>
            <w:noWrap/>
            <w:vAlign w:val="bottom"/>
          </w:tcPr>
          <w:p w14:paraId="2C5C3A48" w14:textId="2C907B1E" w:rsidR="0005795C" w:rsidRPr="00F65403" w:rsidRDefault="1C0EBEF9">
            <w:pPr>
              <w:tabs>
                <w:tab w:val="decimal" w:pos="958"/>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50</w:t>
            </w:r>
          </w:p>
        </w:tc>
      </w:tr>
      <w:tr w:rsidR="0005795C" w:rsidRPr="002C760A" w14:paraId="0B186378" w14:textId="77777777" w:rsidTr="00E326C0">
        <w:trPr>
          <w:trHeight w:val="300"/>
        </w:trPr>
        <w:tc>
          <w:tcPr>
            <w:tcW w:w="6090" w:type="dxa"/>
            <w:tcBorders>
              <w:top w:val="nil"/>
              <w:left w:val="nil"/>
              <w:bottom w:val="nil"/>
              <w:right w:val="nil"/>
            </w:tcBorders>
            <w:noWrap/>
            <w:vAlign w:val="bottom"/>
          </w:tcPr>
          <w:p w14:paraId="233FEB74"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Cash and cash equivalents disclosed in the balance sheet</w:t>
            </w:r>
          </w:p>
        </w:tc>
        <w:tc>
          <w:tcPr>
            <w:tcW w:w="1468" w:type="dxa"/>
            <w:tcBorders>
              <w:top w:val="single" w:sz="4" w:space="0" w:color="auto"/>
              <w:left w:val="nil"/>
              <w:bottom w:val="single" w:sz="4" w:space="0" w:color="auto"/>
              <w:right w:val="nil"/>
            </w:tcBorders>
            <w:noWrap/>
            <w:vAlign w:val="bottom"/>
          </w:tcPr>
          <w:p w14:paraId="663881F4" w14:textId="77777777" w:rsidR="0005795C" w:rsidRPr="00591908" w:rsidRDefault="0005795C">
            <w:pPr>
              <w:tabs>
                <w:tab w:val="decimal" w:pos="958"/>
              </w:tabs>
              <w:spacing w:after="0" w:line="240" w:lineRule="auto"/>
              <w:rPr>
                <w:rFonts w:eastAsia="Times New Roman" w:cs="Arial"/>
                <w:b/>
                <w:bCs/>
                <w:color w:val="000000"/>
                <w:sz w:val="20"/>
                <w:szCs w:val="20"/>
                <w:lang w:eastAsia="en-AU"/>
              </w:rPr>
            </w:pPr>
            <w:r>
              <w:rPr>
                <w:rFonts w:cs="Arial"/>
                <w:b/>
                <w:color w:val="000000"/>
                <w:sz w:val="20"/>
                <w:szCs w:val="20"/>
              </w:rPr>
              <w:t>20,399</w:t>
            </w:r>
          </w:p>
        </w:tc>
        <w:tc>
          <w:tcPr>
            <w:tcW w:w="1468" w:type="dxa"/>
            <w:tcBorders>
              <w:top w:val="single" w:sz="4" w:space="0" w:color="auto"/>
              <w:left w:val="nil"/>
              <w:bottom w:val="single" w:sz="4" w:space="0" w:color="auto"/>
              <w:right w:val="nil"/>
            </w:tcBorders>
            <w:noWrap/>
            <w:vAlign w:val="bottom"/>
          </w:tcPr>
          <w:p w14:paraId="20DE4C0D" w14:textId="79B33F01" w:rsidR="0005795C" w:rsidRPr="00591908" w:rsidRDefault="783CCEAC" w:rsidP="413EB596">
            <w:pPr>
              <w:tabs>
                <w:tab w:val="decimal" w:pos="958"/>
              </w:tabs>
              <w:spacing w:after="0" w:line="240" w:lineRule="auto"/>
              <w:rPr>
                <w:rFonts w:cs="Arial"/>
                <w:b/>
                <w:bCs/>
                <w:color w:val="000000"/>
                <w:sz w:val="20"/>
                <w:szCs w:val="20"/>
                <w:lang w:eastAsia="en-AU"/>
              </w:rPr>
            </w:pPr>
            <w:r w:rsidRPr="413EB596">
              <w:rPr>
                <w:rFonts w:cs="Arial"/>
                <w:b/>
                <w:bCs/>
                <w:color w:val="000000" w:themeColor="text1"/>
                <w:sz w:val="20"/>
                <w:szCs w:val="20"/>
              </w:rPr>
              <w:t>50</w:t>
            </w:r>
          </w:p>
        </w:tc>
      </w:tr>
    </w:tbl>
    <w:p w14:paraId="41ACB6C7" w14:textId="77777777" w:rsidR="0005795C" w:rsidRPr="00F65403" w:rsidRDefault="0005795C" w:rsidP="0005795C">
      <w:pPr>
        <w:pStyle w:val="BodyText"/>
        <w:rPr>
          <w:lang w:val="en-AU"/>
        </w:rPr>
      </w:pPr>
    </w:p>
    <w:p w14:paraId="19ECD560" w14:textId="77777777" w:rsidR="0005795C" w:rsidRPr="00F65403" w:rsidDel="007B6AC9" w:rsidRDefault="0005795C" w:rsidP="0005795C">
      <w:pPr>
        <w:pStyle w:val="Heading8"/>
      </w:pPr>
      <w:proofErr w:type="spellStart"/>
      <w:r>
        <w:t>i</w:t>
      </w:r>
      <w:proofErr w:type="spellEnd"/>
      <w:r>
        <w:t>.</w:t>
      </w:r>
      <w:r>
        <w:tab/>
        <w:t>Accounting policy</w:t>
      </w:r>
    </w:p>
    <w:p w14:paraId="2DC278A0" w14:textId="77777777" w:rsidR="0005795C" w:rsidRPr="00F65403" w:rsidRDefault="0005795C" w:rsidP="0005795C">
      <w:pPr>
        <w:pStyle w:val="BodyText"/>
        <w:rPr>
          <w:lang w:val="en-AU"/>
        </w:rPr>
      </w:pPr>
      <w:r w:rsidRPr="00F65403">
        <w:rPr>
          <w:lang w:val="en-AU"/>
        </w:rPr>
        <w:t>Cash and cash equivalents comprise cash at bank and on hand and short-term deposits with an original maturity of three months or less that are readily convertible to known amounts of cash. The carrying amount represents fair value.</w:t>
      </w:r>
    </w:p>
    <w:p w14:paraId="189A672C" w14:textId="77777777" w:rsidR="0005795C" w:rsidRPr="00F65403" w:rsidRDefault="0005795C" w:rsidP="0005795C">
      <w:pPr>
        <w:pStyle w:val="BodyText"/>
        <w:rPr>
          <w:lang w:val="en-AU"/>
        </w:rPr>
      </w:pPr>
    </w:p>
    <w:p w14:paraId="7674BCAD" w14:textId="699C6360" w:rsidR="0005795C" w:rsidRPr="00F65403" w:rsidRDefault="0005795C" w:rsidP="0005795C">
      <w:pPr>
        <w:pStyle w:val="BodyText"/>
        <w:rPr>
          <w:lang w:val="en-AU"/>
        </w:rPr>
      </w:pPr>
      <w:r w:rsidRPr="193BDB44">
        <w:rPr>
          <w:lang w:val="en-AU"/>
        </w:rPr>
        <w:t xml:space="preserve">For the purposes of the </w:t>
      </w:r>
      <w:r w:rsidR="009456AE">
        <w:rPr>
          <w:lang w:val="en-AU"/>
        </w:rPr>
        <w:t>s</w:t>
      </w:r>
      <w:r w:rsidRPr="193BDB44">
        <w:rPr>
          <w:lang w:val="en-AU"/>
        </w:rPr>
        <w:t xml:space="preserve">tatement of </w:t>
      </w:r>
      <w:r w:rsidR="009456AE">
        <w:rPr>
          <w:lang w:val="en-AU"/>
        </w:rPr>
        <w:t>c</w:t>
      </w:r>
      <w:r w:rsidRPr="193BDB44">
        <w:rPr>
          <w:lang w:val="en-AU"/>
        </w:rPr>
        <w:t xml:space="preserve">ash </w:t>
      </w:r>
      <w:r w:rsidR="009456AE">
        <w:rPr>
          <w:lang w:val="en-AU"/>
        </w:rPr>
        <w:t>f</w:t>
      </w:r>
      <w:r w:rsidRPr="193BDB44">
        <w:rPr>
          <w:lang w:val="en-AU"/>
        </w:rPr>
        <w:t>lows, cash and cash equivalents consist of cash and cash equivalents as defined above.</w:t>
      </w:r>
    </w:p>
    <w:p w14:paraId="777733CD" w14:textId="77777777" w:rsidR="0005795C" w:rsidRPr="00F65403" w:rsidRDefault="0005795C" w:rsidP="0005795C">
      <w:pPr>
        <w:pStyle w:val="BodyText"/>
        <w:rPr>
          <w:lang w:val="en-AU"/>
        </w:rPr>
      </w:pPr>
    </w:p>
    <w:p w14:paraId="330B4286" w14:textId="77777777" w:rsidR="0005795C" w:rsidRPr="00F65403" w:rsidRDefault="0005795C" w:rsidP="0005795C">
      <w:pPr>
        <w:pStyle w:val="Heading8"/>
      </w:pPr>
      <w:r>
        <w:t>ii.</w:t>
      </w:r>
      <w:r>
        <w:tab/>
        <w:t>Reconciliation of net result for the period to cash flow from operating activities</w:t>
      </w:r>
      <w:r>
        <w:br/>
      </w:r>
    </w:p>
    <w:tbl>
      <w:tblPr>
        <w:tblW w:w="8906" w:type="dxa"/>
        <w:tblCellMar>
          <w:top w:w="28" w:type="dxa"/>
          <w:left w:w="28" w:type="dxa"/>
          <w:bottom w:w="28" w:type="dxa"/>
          <w:right w:w="28" w:type="dxa"/>
        </w:tblCellMar>
        <w:tblLook w:val="04A0" w:firstRow="1" w:lastRow="0" w:firstColumn="1" w:lastColumn="0" w:noHBand="0" w:noVBand="1"/>
      </w:tblPr>
      <w:tblGrid>
        <w:gridCol w:w="5972"/>
        <w:gridCol w:w="1683"/>
        <w:gridCol w:w="1251"/>
      </w:tblGrid>
      <w:tr w:rsidR="0005795C" w:rsidRPr="003D420E" w14:paraId="566E2E3C" w14:textId="77777777" w:rsidTr="413EB596">
        <w:tc>
          <w:tcPr>
            <w:tcW w:w="5972" w:type="dxa"/>
            <w:tcBorders>
              <w:top w:val="nil"/>
              <w:left w:val="nil"/>
              <w:bottom w:val="nil"/>
              <w:right w:val="nil"/>
            </w:tcBorders>
            <w:noWrap/>
            <w:vAlign w:val="bottom"/>
            <w:hideMark/>
          </w:tcPr>
          <w:p w14:paraId="5203DCAE" w14:textId="77777777" w:rsidR="0005795C" w:rsidRPr="00F65403" w:rsidRDefault="0005795C">
            <w:pPr>
              <w:spacing w:after="0" w:line="240" w:lineRule="auto"/>
              <w:rPr>
                <w:rFonts w:eastAsia="Times New Roman" w:cs="Arial"/>
                <w:sz w:val="20"/>
                <w:szCs w:val="20"/>
                <w:lang w:eastAsia="en-AU"/>
              </w:rPr>
            </w:pPr>
          </w:p>
        </w:tc>
        <w:tc>
          <w:tcPr>
            <w:tcW w:w="1683" w:type="dxa"/>
            <w:tcBorders>
              <w:top w:val="nil"/>
              <w:left w:val="nil"/>
              <w:bottom w:val="nil"/>
              <w:right w:val="nil"/>
            </w:tcBorders>
            <w:noWrap/>
            <w:hideMark/>
          </w:tcPr>
          <w:p w14:paraId="7935DC6B"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sz w:val="20"/>
                <w:szCs w:val="20"/>
                <w:lang w:eastAsia="en-AU"/>
              </w:rPr>
              <w:t>Year ended 30 June 2025</w:t>
            </w:r>
          </w:p>
        </w:tc>
        <w:tc>
          <w:tcPr>
            <w:tcW w:w="1251" w:type="dxa"/>
            <w:tcBorders>
              <w:top w:val="nil"/>
              <w:left w:val="nil"/>
              <w:bottom w:val="nil"/>
              <w:right w:val="nil"/>
            </w:tcBorders>
            <w:noWrap/>
            <w:hideMark/>
          </w:tcPr>
          <w:p w14:paraId="2255F394" w14:textId="2F9D36A3" w:rsidR="0005795C" w:rsidRPr="00F65403" w:rsidRDefault="008C4543">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26 October</w:t>
            </w:r>
            <w:r w:rsidR="0005795C" w:rsidRPr="00F65403">
              <w:rPr>
                <w:rFonts w:eastAsia="Times New Roman" w:cs="Arial"/>
                <w:b/>
                <w:color w:val="000000"/>
                <w:sz w:val="20"/>
                <w:szCs w:val="20"/>
                <w:lang w:eastAsia="en-AU"/>
              </w:rPr>
              <w:t xml:space="preserve"> 2023 to 30 June 2024</w:t>
            </w:r>
          </w:p>
        </w:tc>
      </w:tr>
      <w:tr w:rsidR="0005795C" w:rsidRPr="003D420E" w14:paraId="0B7768D7" w14:textId="77777777" w:rsidTr="413EB596">
        <w:tc>
          <w:tcPr>
            <w:tcW w:w="5972" w:type="dxa"/>
            <w:tcBorders>
              <w:top w:val="nil"/>
              <w:left w:val="nil"/>
              <w:bottom w:val="nil"/>
              <w:right w:val="nil"/>
            </w:tcBorders>
            <w:noWrap/>
            <w:vAlign w:val="bottom"/>
            <w:hideMark/>
          </w:tcPr>
          <w:p w14:paraId="5BF099D9" w14:textId="77777777" w:rsidR="0005795C" w:rsidRPr="00F65403" w:rsidRDefault="0005795C">
            <w:pPr>
              <w:spacing w:after="0" w:line="240" w:lineRule="auto"/>
              <w:jc w:val="right"/>
              <w:rPr>
                <w:rFonts w:eastAsia="Times New Roman" w:cs="Arial"/>
                <w:b/>
                <w:color w:val="000000"/>
                <w:sz w:val="20"/>
                <w:szCs w:val="20"/>
                <w:lang w:eastAsia="en-AU"/>
              </w:rPr>
            </w:pPr>
          </w:p>
        </w:tc>
        <w:tc>
          <w:tcPr>
            <w:tcW w:w="1683" w:type="dxa"/>
            <w:tcBorders>
              <w:top w:val="nil"/>
              <w:left w:val="nil"/>
              <w:bottom w:val="nil"/>
              <w:right w:val="nil"/>
            </w:tcBorders>
            <w:noWrap/>
            <w:hideMark/>
          </w:tcPr>
          <w:p w14:paraId="384B02C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1251" w:type="dxa"/>
            <w:tcBorders>
              <w:top w:val="nil"/>
              <w:left w:val="nil"/>
              <w:bottom w:val="nil"/>
              <w:right w:val="nil"/>
            </w:tcBorders>
            <w:noWrap/>
            <w:hideMark/>
          </w:tcPr>
          <w:p w14:paraId="30B78509"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3D420E" w14:paraId="57DF131D" w14:textId="77777777" w:rsidTr="413EB596">
        <w:tc>
          <w:tcPr>
            <w:tcW w:w="5972" w:type="dxa"/>
            <w:tcBorders>
              <w:top w:val="nil"/>
              <w:left w:val="nil"/>
              <w:bottom w:val="nil"/>
              <w:right w:val="nil"/>
            </w:tcBorders>
            <w:noWrap/>
            <w:vAlign w:val="bottom"/>
            <w:hideMark/>
          </w:tcPr>
          <w:p w14:paraId="7EFDA6EA"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Net result for the period</w:t>
            </w:r>
          </w:p>
        </w:tc>
        <w:tc>
          <w:tcPr>
            <w:tcW w:w="1683" w:type="dxa"/>
            <w:tcBorders>
              <w:top w:val="nil"/>
              <w:left w:val="nil"/>
              <w:bottom w:val="nil"/>
              <w:right w:val="nil"/>
            </w:tcBorders>
            <w:noWrap/>
            <w:vAlign w:val="bottom"/>
            <w:hideMark/>
          </w:tcPr>
          <w:p w14:paraId="63F962A8" w14:textId="3D45E01C" w:rsidR="0005795C" w:rsidRPr="00F65403" w:rsidRDefault="00A6368A">
            <w:pPr>
              <w:tabs>
                <w:tab w:val="decimal" w:pos="110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24,</w:t>
            </w:r>
            <w:r w:rsidR="008E0384" w:rsidRPr="413EB596">
              <w:rPr>
                <w:rFonts w:eastAsia="Times New Roman" w:cs="Arial"/>
                <w:color w:val="000000" w:themeColor="text1"/>
                <w:sz w:val="20"/>
                <w:szCs w:val="20"/>
                <w:lang w:eastAsia="en-AU"/>
              </w:rPr>
              <w:t>5</w:t>
            </w:r>
            <w:r w:rsidR="008E0384">
              <w:rPr>
                <w:rFonts w:eastAsia="Times New Roman" w:cs="Arial"/>
                <w:color w:val="000000" w:themeColor="text1"/>
                <w:sz w:val="20"/>
                <w:szCs w:val="20"/>
                <w:lang w:eastAsia="en-AU"/>
              </w:rPr>
              <w:t>83</w:t>
            </w:r>
          </w:p>
        </w:tc>
        <w:tc>
          <w:tcPr>
            <w:tcW w:w="1251" w:type="dxa"/>
            <w:tcBorders>
              <w:top w:val="nil"/>
              <w:left w:val="nil"/>
              <w:bottom w:val="nil"/>
              <w:right w:val="nil"/>
            </w:tcBorders>
            <w:noWrap/>
            <w:vAlign w:val="bottom"/>
            <w:hideMark/>
          </w:tcPr>
          <w:p w14:paraId="714AA66A" w14:textId="77777777" w:rsidR="0005795C" w:rsidRPr="00F65403" w:rsidRDefault="0005795C">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13,800</w:t>
            </w:r>
            <w:r w:rsidRPr="00F65403">
              <w:rPr>
                <w:rFonts w:eastAsia="Times New Roman" w:cs="Arial"/>
                <w:color w:val="000000"/>
                <w:sz w:val="20"/>
                <w:szCs w:val="20"/>
                <w:lang w:eastAsia="en-AU"/>
              </w:rPr>
              <w:t xml:space="preserve"> </w:t>
            </w:r>
          </w:p>
        </w:tc>
      </w:tr>
      <w:tr w:rsidR="0005795C" w:rsidRPr="003D420E" w14:paraId="71B7FE87" w14:textId="77777777" w:rsidTr="413EB596">
        <w:tc>
          <w:tcPr>
            <w:tcW w:w="5972" w:type="dxa"/>
            <w:tcBorders>
              <w:top w:val="nil"/>
              <w:left w:val="nil"/>
              <w:bottom w:val="nil"/>
              <w:right w:val="nil"/>
            </w:tcBorders>
            <w:noWrap/>
            <w:vAlign w:val="bottom"/>
            <w:hideMark/>
          </w:tcPr>
          <w:p w14:paraId="23ED1AE0"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Non-cash movements:</w:t>
            </w:r>
          </w:p>
        </w:tc>
        <w:tc>
          <w:tcPr>
            <w:tcW w:w="1683" w:type="dxa"/>
            <w:tcBorders>
              <w:top w:val="nil"/>
              <w:left w:val="nil"/>
              <w:bottom w:val="nil"/>
              <w:right w:val="nil"/>
            </w:tcBorders>
            <w:noWrap/>
            <w:vAlign w:val="bottom"/>
            <w:hideMark/>
          </w:tcPr>
          <w:p w14:paraId="5A2CC6F6" w14:textId="77777777" w:rsidR="0005795C" w:rsidRPr="00F65403" w:rsidRDefault="0005795C">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02D99F11"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3D420E" w14:paraId="22E2612E" w14:textId="77777777" w:rsidTr="413EB596">
        <w:tc>
          <w:tcPr>
            <w:tcW w:w="5972" w:type="dxa"/>
            <w:tcBorders>
              <w:top w:val="nil"/>
              <w:left w:val="nil"/>
              <w:bottom w:val="nil"/>
              <w:right w:val="nil"/>
            </w:tcBorders>
            <w:noWrap/>
            <w:vAlign w:val="bottom"/>
            <w:hideMark/>
          </w:tcPr>
          <w:p w14:paraId="3AAC7975" w14:textId="491B6E15"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Net gain on financial instruments at fair value</w:t>
            </w:r>
          </w:p>
        </w:tc>
        <w:tc>
          <w:tcPr>
            <w:tcW w:w="1683" w:type="dxa"/>
            <w:tcBorders>
              <w:top w:val="nil"/>
              <w:left w:val="nil"/>
              <w:bottom w:val="nil"/>
              <w:right w:val="nil"/>
            </w:tcBorders>
            <w:noWrap/>
            <w:vAlign w:val="bottom"/>
            <w:hideMark/>
          </w:tcPr>
          <w:p w14:paraId="05BC4404" w14:textId="77777777" w:rsidR="0005795C" w:rsidRPr="00F65403" w:rsidRDefault="0005795C">
            <w:pPr>
              <w:tabs>
                <w:tab w:val="decimal" w:pos="1100"/>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(40,821)</w:t>
            </w:r>
            <w:r w:rsidRPr="00F65403">
              <w:rPr>
                <w:rFonts w:eastAsia="Times New Roman" w:cs="Arial"/>
                <w:color w:val="000000"/>
                <w:sz w:val="20"/>
                <w:szCs w:val="20"/>
                <w:lang w:eastAsia="en-AU"/>
              </w:rPr>
              <w:t xml:space="preserve"> </w:t>
            </w:r>
          </w:p>
        </w:tc>
        <w:tc>
          <w:tcPr>
            <w:tcW w:w="1251" w:type="dxa"/>
            <w:tcBorders>
              <w:top w:val="nil"/>
              <w:left w:val="nil"/>
              <w:bottom w:val="nil"/>
              <w:right w:val="nil"/>
            </w:tcBorders>
            <w:noWrap/>
            <w:vAlign w:val="bottom"/>
            <w:hideMark/>
          </w:tcPr>
          <w:p w14:paraId="2289FE02" w14:textId="77777777" w:rsidR="0005795C" w:rsidRPr="00F65403" w:rsidRDefault="0005795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05795C" w:rsidRPr="003D420E" w14:paraId="37FD67FD" w14:textId="77777777" w:rsidTr="413EB596">
        <w:tc>
          <w:tcPr>
            <w:tcW w:w="5972" w:type="dxa"/>
            <w:tcBorders>
              <w:top w:val="nil"/>
              <w:left w:val="nil"/>
              <w:bottom w:val="nil"/>
              <w:right w:val="nil"/>
            </w:tcBorders>
            <w:noWrap/>
            <w:vAlign w:val="bottom"/>
            <w:hideMark/>
          </w:tcPr>
          <w:p w14:paraId="61B6DC01" w14:textId="77777777" w:rsidR="0005795C" w:rsidRPr="00F65403" w:rsidRDefault="0005795C">
            <w:pPr>
              <w:spacing w:after="0" w:line="240" w:lineRule="auto"/>
              <w:rPr>
                <w:rFonts w:eastAsia="Times New Roman" w:cs="Arial"/>
                <w:color w:val="000000"/>
                <w:sz w:val="20"/>
                <w:szCs w:val="20"/>
                <w:lang w:eastAsia="en-AU"/>
              </w:rPr>
            </w:pPr>
          </w:p>
        </w:tc>
        <w:tc>
          <w:tcPr>
            <w:tcW w:w="1683" w:type="dxa"/>
            <w:tcBorders>
              <w:top w:val="nil"/>
              <w:left w:val="nil"/>
              <w:bottom w:val="nil"/>
              <w:right w:val="nil"/>
            </w:tcBorders>
            <w:noWrap/>
            <w:vAlign w:val="bottom"/>
            <w:hideMark/>
          </w:tcPr>
          <w:p w14:paraId="3F22F857" w14:textId="77777777" w:rsidR="0005795C" w:rsidRPr="00F65403" w:rsidRDefault="0005795C">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3B9E039D"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3D420E" w14:paraId="404BF259" w14:textId="77777777" w:rsidTr="413EB596">
        <w:tc>
          <w:tcPr>
            <w:tcW w:w="5972" w:type="dxa"/>
            <w:tcBorders>
              <w:top w:val="nil"/>
              <w:left w:val="nil"/>
              <w:bottom w:val="nil"/>
              <w:right w:val="nil"/>
            </w:tcBorders>
            <w:noWrap/>
            <w:vAlign w:val="bottom"/>
            <w:hideMark/>
          </w:tcPr>
          <w:p w14:paraId="0F8B3978"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Movements in assets and liabilities:</w:t>
            </w:r>
          </w:p>
        </w:tc>
        <w:tc>
          <w:tcPr>
            <w:tcW w:w="1683" w:type="dxa"/>
            <w:tcBorders>
              <w:top w:val="nil"/>
              <w:left w:val="nil"/>
              <w:bottom w:val="nil"/>
              <w:right w:val="nil"/>
            </w:tcBorders>
            <w:noWrap/>
            <w:vAlign w:val="bottom"/>
            <w:hideMark/>
          </w:tcPr>
          <w:p w14:paraId="6B285AED" w14:textId="77777777" w:rsidR="0005795C" w:rsidRPr="00F65403" w:rsidRDefault="0005795C">
            <w:pPr>
              <w:tabs>
                <w:tab w:val="decimal" w:pos="1100"/>
              </w:tabs>
              <w:spacing w:after="0" w:line="240" w:lineRule="auto"/>
              <w:rPr>
                <w:rFonts w:eastAsia="Times New Roman" w:cs="Arial"/>
                <w:sz w:val="20"/>
                <w:szCs w:val="20"/>
                <w:lang w:eastAsia="en-AU"/>
              </w:rPr>
            </w:pPr>
          </w:p>
        </w:tc>
        <w:tc>
          <w:tcPr>
            <w:tcW w:w="1251" w:type="dxa"/>
            <w:tcBorders>
              <w:top w:val="nil"/>
              <w:left w:val="nil"/>
              <w:bottom w:val="nil"/>
              <w:right w:val="nil"/>
            </w:tcBorders>
            <w:noWrap/>
            <w:vAlign w:val="bottom"/>
            <w:hideMark/>
          </w:tcPr>
          <w:p w14:paraId="063527FE"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3D420E" w14:paraId="2189DB29" w14:textId="77777777" w:rsidTr="413EB596">
        <w:tc>
          <w:tcPr>
            <w:tcW w:w="5972" w:type="dxa"/>
            <w:tcBorders>
              <w:top w:val="nil"/>
              <w:left w:val="nil"/>
              <w:bottom w:val="nil"/>
              <w:right w:val="nil"/>
            </w:tcBorders>
            <w:noWrap/>
            <w:vAlign w:val="bottom"/>
            <w:hideMark/>
          </w:tcPr>
          <w:p w14:paraId="3C9D0737"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Decrease/(Increase) in receivables</w:t>
            </w:r>
          </w:p>
        </w:tc>
        <w:tc>
          <w:tcPr>
            <w:tcW w:w="1683" w:type="dxa"/>
            <w:tcBorders>
              <w:top w:val="nil"/>
              <w:left w:val="nil"/>
              <w:bottom w:val="nil"/>
              <w:right w:val="nil"/>
            </w:tcBorders>
            <w:noWrap/>
            <w:vAlign w:val="bottom"/>
            <w:hideMark/>
          </w:tcPr>
          <w:p w14:paraId="6F2A9C60" w14:textId="3C5AF77E" w:rsidR="0005795C" w:rsidRPr="00F65403" w:rsidRDefault="0005795C">
            <w:pPr>
              <w:tabs>
                <w:tab w:val="decimal" w:pos="1100"/>
              </w:tabs>
              <w:spacing w:after="0" w:line="240" w:lineRule="auto"/>
              <w:rPr>
                <w:rFonts w:eastAsia="Times New Roman" w:cs="Arial"/>
                <w:sz w:val="20"/>
                <w:szCs w:val="20"/>
                <w:lang w:eastAsia="en-AU"/>
              </w:rPr>
            </w:pPr>
            <w:r w:rsidRPr="413EB596">
              <w:rPr>
                <w:rFonts w:cs="Arial"/>
                <w:color w:val="000000" w:themeColor="text1"/>
                <w:sz w:val="20"/>
                <w:szCs w:val="20"/>
              </w:rPr>
              <w:t>(</w:t>
            </w:r>
            <w:r w:rsidR="00A6368A" w:rsidRPr="413EB596">
              <w:rPr>
                <w:rFonts w:cs="Arial"/>
                <w:color w:val="000000" w:themeColor="text1"/>
                <w:sz w:val="20"/>
                <w:szCs w:val="20"/>
              </w:rPr>
              <w:t>5,2</w:t>
            </w:r>
            <w:r w:rsidR="008E0384">
              <w:rPr>
                <w:rFonts w:cs="Arial"/>
                <w:color w:val="000000" w:themeColor="text1"/>
                <w:sz w:val="20"/>
                <w:szCs w:val="20"/>
              </w:rPr>
              <w:t>13</w:t>
            </w:r>
            <w:r w:rsidRPr="413EB596">
              <w:rPr>
                <w:rFonts w:cs="Arial"/>
                <w:color w:val="000000" w:themeColor="text1"/>
                <w:sz w:val="20"/>
                <w:szCs w:val="20"/>
              </w:rPr>
              <w:t>)</w:t>
            </w:r>
          </w:p>
        </w:tc>
        <w:tc>
          <w:tcPr>
            <w:tcW w:w="1251" w:type="dxa"/>
            <w:tcBorders>
              <w:top w:val="nil"/>
              <w:left w:val="nil"/>
              <w:bottom w:val="nil"/>
              <w:right w:val="nil"/>
            </w:tcBorders>
            <w:noWrap/>
            <w:vAlign w:val="bottom"/>
            <w:hideMark/>
          </w:tcPr>
          <w:p w14:paraId="50BDEF15" w14:textId="77777777" w:rsidR="0005795C" w:rsidRPr="00F65403" w:rsidRDefault="0005795C">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t>
            </w:r>
          </w:p>
        </w:tc>
      </w:tr>
      <w:tr w:rsidR="0005795C" w:rsidRPr="003D420E" w14:paraId="41690178" w14:textId="77777777" w:rsidTr="413EB596">
        <w:tc>
          <w:tcPr>
            <w:tcW w:w="5972" w:type="dxa"/>
            <w:tcBorders>
              <w:top w:val="nil"/>
              <w:left w:val="nil"/>
              <w:bottom w:val="nil"/>
              <w:right w:val="nil"/>
            </w:tcBorders>
            <w:noWrap/>
            <w:vAlign w:val="bottom"/>
            <w:hideMark/>
          </w:tcPr>
          <w:p w14:paraId="40A98844"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Decrease/(Increase) in financial assets</w:t>
            </w:r>
          </w:p>
        </w:tc>
        <w:tc>
          <w:tcPr>
            <w:tcW w:w="1683" w:type="dxa"/>
            <w:tcBorders>
              <w:top w:val="nil"/>
              <w:left w:val="nil"/>
              <w:bottom w:val="nil"/>
              <w:right w:val="nil"/>
            </w:tcBorders>
            <w:noWrap/>
            <w:vAlign w:val="bottom"/>
            <w:hideMark/>
          </w:tcPr>
          <w:p w14:paraId="42DD6069" w14:textId="77777777" w:rsidR="0005795C" w:rsidRPr="00F65403" w:rsidRDefault="0005795C">
            <w:pPr>
              <w:tabs>
                <w:tab w:val="decimal" w:pos="1100"/>
              </w:tabs>
              <w:spacing w:after="0" w:line="240" w:lineRule="auto"/>
              <w:rPr>
                <w:rFonts w:eastAsia="Times New Roman" w:cs="Arial"/>
                <w:sz w:val="20"/>
                <w:szCs w:val="20"/>
                <w:lang w:eastAsia="en-AU"/>
              </w:rPr>
            </w:pPr>
            <w:r>
              <w:rPr>
                <w:rFonts w:cs="Arial"/>
                <w:color w:val="000000"/>
                <w:sz w:val="20"/>
                <w:szCs w:val="20"/>
              </w:rPr>
              <w:t>(29,783)</w:t>
            </w:r>
          </w:p>
        </w:tc>
        <w:tc>
          <w:tcPr>
            <w:tcW w:w="1251" w:type="dxa"/>
            <w:tcBorders>
              <w:top w:val="nil"/>
              <w:left w:val="nil"/>
              <w:bottom w:val="nil"/>
              <w:right w:val="nil"/>
            </w:tcBorders>
            <w:noWrap/>
            <w:vAlign w:val="bottom"/>
            <w:hideMark/>
          </w:tcPr>
          <w:p w14:paraId="41C86F77" w14:textId="77777777" w:rsidR="0005795C" w:rsidRPr="00F65403" w:rsidRDefault="0005795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E32D9B" w:rsidRPr="003D420E" w14:paraId="0D206251" w14:textId="77777777" w:rsidTr="413EB596">
        <w:tc>
          <w:tcPr>
            <w:tcW w:w="5972" w:type="dxa"/>
            <w:tcBorders>
              <w:top w:val="nil"/>
              <w:left w:val="nil"/>
              <w:bottom w:val="nil"/>
              <w:right w:val="nil"/>
            </w:tcBorders>
            <w:noWrap/>
            <w:vAlign w:val="bottom"/>
            <w:hideMark/>
          </w:tcPr>
          <w:p w14:paraId="746A3F3E" w14:textId="77777777" w:rsidR="00E32D9B" w:rsidRPr="00F65403" w:rsidRDefault="00E32D9B" w:rsidP="00E32D9B">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Increase/(Decrease) in payables</w:t>
            </w:r>
          </w:p>
        </w:tc>
        <w:tc>
          <w:tcPr>
            <w:tcW w:w="1683" w:type="dxa"/>
            <w:tcBorders>
              <w:top w:val="nil"/>
              <w:left w:val="nil"/>
              <w:bottom w:val="nil"/>
              <w:right w:val="nil"/>
            </w:tcBorders>
            <w:noWrap/>
            <w:vAlign w:val="bottom"/>
            <w:hideMark/>
          </w:tcPr>
          <w:p w14:paraId="2B0927E2" w14:textId="77777777" w:rsidR="00E32D9B" w:rsidRPr="00F65403" w:rsidRDefault="00E32D9B" w:rsidP="00E32D9B">
            <w:pPr>
              <w:tabs>
                <w:tab w:val="decimal" w:pos="1100"/>
              </w:tabs>
              <w:spacing w:after="0" w:line="240" w:lineRule="auto"/>
              <w:rPr>
                <w:rFonts w:eastAsia="Times New Roman" w:cs="Arial"/>
                <w:sz w:val="20"/>
                <w:szCs w:val="20"/>
                <w:lang w:eastAsia="en-AU"/>
              </w:rPr>
            </w:pPr>
            <w:r>
              <w:rPr>
                <w:rFonts w:cs="Arial"/>
                <w:color w:val="000000"/>
                <w:sz w:val="20"/>
                <w:szCs w:val="20"/>
              </w:rPr>
              <w:t>75</w:t>
            </w:r>
          </w:p>
        </w:tc>
        <w:tc>
          <w:tcPr>
            <w:tcW w:w="1251" w:type="dxa"/>
            <w:tcBorders>
              <w:top w:val="nil"/>
              <w:left w:val="nil"/>
              <w:bottom w:val="nil"/>
              <w:right w:val="nil"/>
            </w:tcBorders>
            <w:noWrap/>
            <w:vAlign w:val="bottom"/>
            <w:hideMark/>
          </w:tcPr>
          <w:p w14:paraId="194BD468" w14:textId="77777777" w:rsidR="00E32D9B" w:rsidRPr="00F65403" w:rsidRDefault="00E32D9B" w:rsidP="00E32D9B">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3</w:t>
            </w:r>
            <w:r>
              <w:rPr>
                <w:rFonts w:eastAsia="Times New Roman" w:cs="Arial"/>
                <w:color w:val="000000"/>
                <w:sz w:val="20"/>
                <w:szCs w:val="20"/>
                <w:lang w:eastAsia="en-AU"/>
              </w:rPr>
              <w:t>0</w:t>
            </w:r>
          </w:p>
        </w:tc>
      </w:tr>
      <w:tr w:rsidR="00E32D9B" w:rsidRPr="003D420E" w14:paraId="2FEF6986" w14:textId="77777777" w:rsidTr="413EB596">
        <w:trPr>
          <w:trHeight w:val="300"/>
        </w:trPr>
        <w:tc>
          <w:tcPr>
            <w:tcW w:w="5972" w:type="dxa"/>
            <w:tcBorders>
              <w:top w:val="nil"/>
              <w:left w:val="nil"/>
              <w:bottom w:val="nil"/>
              <w:right w:val="nil"/>
            </w:tcBorders>
            <w:noWrap/>
            <w:vAlign w:val="bottom"/>
          </w:tcPr>
          <w:p w14:paraId="1F27C152" w14:textId="1CFE5495" w:rsidR="00E32D9B" w:rsidRPr="00F65403" w:rsidRDefault="00E32D9B" w:rsidP="00E32D9B">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Increase/(Decrease) in deferred tax </w:t>
            </w:r>
            <w:r w:rsidR="00BC5E74">
              <w:rPr>
                <w:rFonts w:eastAsia="Times New Roman" w:cs="Arial"/>
                <w:color w:val="000000" w:themeColor="text1"/>
                <w:sz w:val="20"/>
                <w:szCs w:val="20"/>
                <w:lang w:eastAsia="en-AU"/>
              </w:rPr>
              <w:t>liabilities</w:t>
            </w:r>
          </w:p>
        </w:tc>
        <w:tc>
          <w:tcPr>
            <w:tcW w:w="1683" w:type="dxa"/>
            <w:tcBorders>
              <w:top w:val="nil"/>
              <w:left w:val="nil"/>
              <w:bottom w:val="nil"/>
              <w:right w:val="nil"/>
            </w:tcBorders>
            <w:noWrap/>
            <w:vAlign w:val="bottom"/>
          </w:tcPr>
          <w:p w14:paraId="533029D9" w14:textId="63FF8D8D" w:rsidR="00E32D9B" w:rsidRDefault="002A18F8" w:rsidP="00E32D9B">
            <w:pPr>
              <w:tabs>
                <w:tab w:val="decimal" w:pos="1100"/>
              </w:tabs>
              <w:spacing w:after="0" w:line="240" w:lineRule="auto"/>
              <w:rPr>
                <w:rFonts w:cs="Arial"/>
                <w:color w:val="000000"/>
                <w:sz w:val="20"/>
                <w:szCs w:val="20"/>
              </w:rPr>
            </w:pPr>
            <w:r w:rsidRPr="413EB596">
              <w:rPr>
                <w:rFonts w:cs="Arial"/>
                <w:color w:val="000000" w:themeColor="text1"/>
                <w:sz w:val="20"/>
                <w:szCs w:val="20"/>
              </w:rPr>
              <w:t>21,</w:t>
            </w:r>
            <w:r w:rsidR="00E54434" w:rsidRPr="413EB596">
              <w:rPr>
                <w:rFonts w:cs="Arial"/>
                <w:color w:val="000000" w:themeColor="text1"/>
                <w:sz w:val="20"/>
                <w:szCs w:val="20"/>
              </w:rPr>
              <w:t>6</w:t>
            </w:r>
            <w:r w:rsidR="00E54434">
              <w:rPr>
                <w:rFonts w:cs="Arial"/>
                <w:color w:val="000000" w:themeColor="text1"/>
                <w:sz w:val="20"/>
                <w:szCs w:val="20"/>
              </w:rPr>
              <w:t>58</w:t>
            </w:r>
          </w:p>
        </w:tc>
        <w:tc>
          <w:tcPr>
            <w:tcW w:w="1251" w:type="dxa"/>
            <w:tcBorders>
              <w:top w:val="nil"/>
              <w:left w:val="nil"/>
              <w:bottom w:val="nil"/>
              <w:right w:val="nil"/>
            </w:tcBorders>
            <w:noWrap/>
            <w:vAlign w:val="bottom"/>
          </w:tcPr>
          <w:p w14:paraId="79C25979" w14:textId="09571A00" w:rsidR="00E32D9B" w:rsidRPr="00F65403" w:rsidRDefault="002A18F8" w:rsidP="00E32D9B">
            <w:pPr>
              <w:tabs>
                <w:tab w:val="decimal" w:pos="958"/>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E32D9B" w:rsidRPr="002C760A" w14:paraId="16955659" w14:textId="77777777" w:rsidTr="413EB596">
        <w:tc>
          <w:tcPr>
            <w:tcW w:w="5972" w:type="dxa"/>
            <w:tcBorders>
              <w:top w:val="single" w:sz="4" w:space="0" w:color="auto"/>
              <w:left w:val="nil"/>
              <w:bottom w:val="single" w:sz="4" w:space="0" w:color="auto"/>
              <w:right w:val="nil"/>
            </w:tcBorders>
            <w:noWrap/>
            <w:vAlign w:val="bottom"/>
          </w:tcPr>
          <w:p w14:paraId="2E686A4F" w14:textId="665659BA" w:rsidR="00E32D9B" w:rsidRPr="00F65403" w:rsidRDefault="00E32D9B" w:rsidP="00E32D9B">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cash flows used in operating activities</w:t>
            </w:r>
          </w:p>
        </w:tc>
        <w:tc>
          <w:tcPr>
            <w:tcW w:w="1683" w:type="dxa"/>
            <w:tcBorders>
              <w:top w:val="single" w:sz="4" w:space="0" w:color="auto"/>
              <w:left w:val="nil"/>
              <w:bottom w:val="single" w:sz="4" w:space="0" w:color="auto"/>
              <w:right w:val="nil"/>
            </w:tcBorders>
            <w:noWrap/>
            <w:vAlign w:val="bottom"/>
          </w:tcPr>
          <w:p w14:paraId="76C32AF8" w14:textId="77777777" w:rsidR="00E32D9B" w:rsidRPr="00F65403" w:rsidRDefault="00E32D9B" w:rsidP="00E32D9B">
            <w:pPr>
              <w:tabs>
                <w:tab w:val="decimal" w:pos="1100"/>
              </w:tabs>
              <w:spacing w:after="0" w:line="240" w:lineRule="auto"/>
              <w:rPr>
                <w:rFonts w:eastAsia="Times New Roman" w:cs="Arial"/>
                <w:sz w:val="20"/>
                <w:szCs w:val="20"/>
                <w:lang w:eastAsia="en-AU"/>
              </w:rPr>
            </w:pPr>
            <w:r>
              <w:rPr>
                <w:rFonts w:eastAsia="Times New Roman" w:cs="Arial"/>
                <w:b/>
                <w:color w:val="000000"/>
                <w:sz w:val="20"/>
                <w:szCs w:val="20"/>
                <w:lang w:eastAsia="en-AU"/>
              </w:rPr>
              <w:t>(29,501)</w:t>
            </w:r>
          </w:p>
        </w:tc>
        <w:tc>
          <w:tcPr>
            <w:tcW w:w="1251" w:type="dxa"/>
            <w:tcBorders>
              <w:top w:val="single" w:sz="4" w:space="0" w:color="auto"/>
              <w:left w:val="nil"/>
              <w:bottom w:val="single" w:sz="4" w:space="0" w:color="auto"/>
              <w:right w:val="nil"/>
            </w:tcBorders>
            <w:noWrap/>
            <w:vAlign w:val="bottom"/>
          </w:tcPr>
          <w:p w14:paraId="385456DE" w14:textId="77777777" w:rsidR="00E32D9B" w:rsidRPr="00F65403" w:rsidRDefault="00E32D9B" w:rsidP="00E32D9B">
            <w:pPr>
              <w:tabs>
                <w:tab w:val="decimal" w:pos="958"/>
              </w:tabs>
              <w:spacing w:after="0" w:line="240" w:lineRule="auto"/>
              <w:rPr>
                <w:rFonts w:eastAsia="Times New Roman" w:cs="Arial"/>
                <w:color w:val="000000"/>
                <w:sz w:val="20"/>
                <w:szCs w:val="20"/>
                <w:lang w:eastAsia="en-AU"/>
              </w:rPr>
            </w:pPr>
            <w:r>
              <w:rPr>
                <w:rFonts w:eastAsia="Times New Roman" w:cs="Arial"/>
                <w:b/>
                <w:color w:val="000000"/>
                <w:sz w:val="20"/>
                <w:szCs w:val="20"/>
                <w:lang w:eastAsia="en-AU"/>
              </w:rPr>
              <w:t>-</w:t>
            </w:r>
            <w:r w:rsidRPr="00F65403">
              <w:rPr>
                <w:rFonts w:eastAsia="Times New Roman" w:cs="Arial"/>
                <w:b/>
                <w:color w:val="000000"/>
                <w:sz w:val="20"/>
                <w:szCs w:val="20"/>
                <w:lang w:eastAsia="en-AU"/>
              </w:rPr>
              <w:t xml:space="preserve"> </w:t>
            </w:r>
          </w:p>
        </w:tc>
      </w:tr>
    </w:tbl>
    <w:p w14:paraId="7A1E43AF" w14:textId="77777777" w:rsidR="0005795C" w:rsidRPr="00F65403" w:rsidRDefault="0005795C" w:rsidP="0005795C">
      <w:pPr>
        <w:pStyle w:val="BodyText"/>
        <w:rPr>
          <w:sz w:val="24"/>
          <w:szCs w:val="24"/>
          <w:lang w:val="en-AU"/>
        </w:rPr>
      </w:pPr>
    </w:p>
    <w:p w14:paraId="761788FB" w14:textId="77777777" w:rsidR="0005795C" w:rsidRDefault="0005795C" w:rsidP="0005795C">
      <w:pPr>
        <w:rPr>
          <w:rFonts w:eastAsiaTheme="majorEastAsia" w:cstheme="majorBidi"/>
          <w:sz w:val="20"/>
          <w:szCs w:val="20"/>
        </w:rPr>
      </w:pPr>
      <w:r>
        <w:rPr>
          <w:rFonts w:eastAsiaTheme="majorEastAsia" w:cstheme="majorBidi"/>
        </w:rPr>
        <w:br w:type="page"/>
      </w:r>
    </w:p>
    <w:p w14:paraId="7FEF017C" w14:textId="77777777" w:rsidR="0005795C" w:rsidRPr="00F65403" w:rsidRDefault="0005795C" w:rsidP="0005795C">
      <w:pPr>
        <w:pStyle w:val="Heading7"/>
      </w:pPr>
      <w:bookmarkStart w:id="665" w:name="_Ref207630438"/>
      <w:r w:rsidRPr="00F65403">
        <w:t>Other financial assets and liabilities</w:t>
      </w:r>
      <w:bookmarkEnd w:id="665"/>
    </w:p>
    <w:tbl>
      <w:tblPr>
        <w:tblW w:w="4927" w:type="pct"/>
        <w:tblCellMar>
          <w:top w:w="28" w:type="dxa"/>
          <w:left w:w="28" w:type="dxa"/>
          <w:bottom w:w="28" w:type="dxa"/>
          <w:right w:w="28" w:type="dxa"/>
        </w:tblCellMar>
        <w:tblLook w:val="04A0" w:firstRow="1" w:lastRow="0" w:firstColumn="1" w:lastColumn="0" w:noHBand="0" w:noVBand="1"/>
      </w:tblPr>
      <w:tblGrid>
        <w:gridCol w:w="6294"/>
        <w:gridCol w:w="1309"/>
        <w:gridCol w:w="1291"/>
      </w:tblGrid>
      <w:tr w:rsidR="0005795C" w:rsidRPr="00276781" w14:paraId="7C69846D" w14:textId="77777777">
        <w:tc>
          <w:tcPr>
            <w:tcW w:w="3538" w:type="pct"/>
            <w:tcBorders>
              <w:top w:val="nil"/>
              <w:left w:val="nil"/>
              <w:bottom w:val="nil"/>
              <w:right w:val="nil"/>
            </w:tcBorders>
            <w:noWrap/>
            <w:vAlign w:val="bottom"/>
            <w:hideMark/>
          </w:tcPr>
          <w:p w14:paraId="0F18FF71" w14:textId="77777777" w:rsidR="0005795C" w:rsidRPr="00F65403" w:rsidRDefault="0005795C">
            <w:pPr>
              <w:spacing w:after="0" w:line="240" w:lineRule="auto"/>
              <w:rPr>
                <w:rFonts w:eastAsia="Times New Roman" w:cs="Arial"/>
                <w:sz w:val="20"/>
                <w:szCs w:val="20"/>
                <w:lang w:eastAsia="en-AU"/>
              </w:rPr>
            </w:pPr>
          </w:p>
        </w:tc>
        <w:tc>
          <w:tcPr>
            <w:tcW w:w="736" w:type="pct"/>
            <w:tcBorders>
              <w:top w:val="nil"/>
              <w:left w:val="nil"/>
              <w:bottom w:val="nil"/>
              <w:right w:val="nil"/>
            </w:tcBorders>
            <w:hideMark/>
          </w:tcPr>
          <w:p w14:paraId="4D0C3C3C"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26" w:type="pct"/>
            <w:tcBorders>
              <w:top w:val="nil"/>
              <w:left w:val="nil"/>
              <w:bottom w:val="nil"/>
              <w:right w:val="nil"/>
            </w:tcBorders>
            <w:noWrap/>
            <w:hideMark/>
          </w:tcPr>
          <w:p w14:paraId="696FADC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05795C" w:rsidRPr="00276781" w14:paraId="3F9C4F26" w14:textId="77777777">
        <w:tc>
          <w:tcPr>
            <w:tcW w:w="3538" w:type="pct"/>
            <w:tcBorders>
              <w:top w:val="nil"/>
              <w:left w:val="nil"/>
              <w:bottom w:val="nil"/>
              <w:right w:val="nil"/>
            </w:tcBorders>
            <w:noWrap/>
            <w:vAlign w:val="bottom"/>
            <w:hideMark/>
          </w:tcPr>
          <w:p w14:paraId="770A3617" w14:textId="77777777" w:rsidR="0005795C" w:rsidRPr="00F65403" w:rsidRDefault="0005795C">
            <w:pPr>
              <w:spacing w:after="0" w:line="240" w:lineRule="auto"/>
              <w:rPr>
                <w:rFonts w:eastAsia="Times New Roman" w:cs="Arial"/>
                <w:sz w:val="20"/>
                <w:szCs w:val="20"/>
                <w:lang w:eastAsia="en-AU"/>
              </w:rPr>
            </w:pPr>
          </w:p>
        </w:tc>
        <w:tc>
          <w:tcPr>
            <w:tcW w:w="736" w:type="pct"/>
            <w:tcBorders>
              <w:top w:val="nil"/>
              <w:left w:val="nil"/>
              <w:bottom w:val="nil"/>
              <w:right w:val="nil"/>
            </w:tcBorders>
            <w:noWrap/>
            <w:hideMark/>
          </w:tcPr>
          <w:p w14:paraId="5DCA112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6" w:type="pct"/>
            <w:tcBorders>
              <w:top w:val="nil"/>
              <w:left w:val="nil"/>
              <w:bottom w:val="nil"/>
              <w:right w:val="nil"/>
            </w:tcBorders>
            <w:noWrap/>
            <w:hideMark/>
          </w:tcPr>
          <w:p w14:paraId="2C010EAA"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276781" w14:paraId="315A1A6E" w14:textId="77777777">
        <w:tc>
          <w:tcPr>
            <w:tcW w:w="3538" w:type="pct"/>
            <w:tcBorders>
              <w:top w:val="nil"/>
              <w:left w:val="nil"/>
              <w:bottom w:val="nil"/>
              <w:right w:val="nil"/>
            </w:tcBorders>
            <w:noWrap/>
            <w:vAlign w:val="bottom"/>
            <w:hideMark/>
          </w:tcPr>
          <w:p w14:paraId="6A9531E7"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Other financial assets</w:t>
            </w:r>
          </w:p>
        </w:tc>
        <w:tc>
          <w:tcPr>
            <w:tcW w:w="736" w:type="pct"/>
            <w:tcBorders>
              <w:top w:val="nil"/>
              <w:left w:val="nil"/>
              <w:bottom w:val="nil"/>
              <w:right w:val="nil"/>
            </w:tcBorders>
            <w:noWrap/>
            <w:vAlign w:val="bottom"/>
            <w:hideMark/>
          </w:tcPr>
          <w:p w14:paraId="78A86798" w14:textId="77777777" w:rsidR="0005795C" w:rsidRPr="00F65403" w:rsidRDefault="0005795C">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noWrap/>
            <w:vAlign w:val="bottom"/>
            <w:hideMark/>
          </w:tcPr>
          <w:p w14:paraId="6F9B3C02"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276781" w14:paraId="17878EAA" w14:textId="77777777">
        <w:tc>
          <w:tcPr>
            <w:tcW w:w="3538" w:type="pct"/>
            <w:tcBorders>
              <w:top w:val="nil"/>
              <w:left w:val="nil"/>
              <w:bottom w:val="nil"/>
              <w:right w:val="nil"/>
            </w:tcBorders>
            <w:noWrap/>
            <w:vAlign w:val="bottom"/>
            <w:hideMark/>
          </w:tcPr>
          <w:p w14:paraId="68B4B19E"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Current</w:t>
            </w:r>
          </w:p>
        </w:tc>
        <w:tc>
          <w:tcPr>
            <w:tcW w:w="736" w:type="pct"/>
            <w:tcBorders>
              <w:top w:val="nil"/>
              <w:left w:val="nil"/>
              <w:bottom w:val="nil"/>
              <w:right w:val="nil"/>
            </w:tcBorders>
            <w:noWrap/>
            <w:vAlign w:val="bottom"/>
            <w:hideMark/>
          </w:tcPr>
          <w:p w14:paraId="770EFB6C" w14:textId="77777777" w:rsidR="0005795C" w:rsidRPr="00F65403" w:rsidRDefault="0005795C">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noWrap/>
            <w:vAlign w:val="bottom"/>
            <w:hideMark/>
          </w:tcPr>
          <w:p w14:paraId="14D05633"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276781" w14:paraId="326DBA5B" w14:textId="77777777">
        <w:tc>
          <w:tcPr>
            <w:tcW w:w="3538" w:type="pct"/>
            <w:tcBorders>
              <w:top w:val="nil"/>
              <w:left w:val="nil"/>
              <w:bottom w:val="nil"/>
              <w:right w:val="nil"/>
            </w:tcBorders>
            <w:noWrap/>
            <w:vAlign w:val="bottom"/>
            <w:hideMark/>
          </w:tcPr>
          <w:p w14:paraId="4678C2B6" w14:textId="77777777" w:rsidR="0005795C" w:rsidRPr="006A5A9F" w:rsidRDefault="0005795C">
            <w:pPr>
              <w:spacing w:after="0" w:line="240" w:lineRule="auto"/>
              <w:rPr>
                <w:rFonts w:eastAsia="Times New Roman" w:cs="Arial"/>
                <w:i/>
                <w:iCs/>
                <w:color w:val="000000"/>
                <w:sz w:val="20"/>
                <w:szCs w:val="20"/>
                <w:lang w:eastAsia="en-AU"/>
              </w:rPr>
            </w:pPr>
            <w:r w:rsidRPr="006A5A9F">
              <w:rPr>
                <w:rFonts w:eastAsia="Times New Roman" w:cs="Arial"/>
                <w:i/>
                <w:iCs/>
                <w:color w:val="000000"/>
                <w:sz w:val="20"/>
                <w:szCs w:val="20"/>
                <w:lang w:eastAsia="en-AU"/>
              </w:rPr>
              <w:t>Derivative financial instruments at fair value</w:t>
            </w:r>
          </w:p>
        </w:tc>
        <w:tc>
          <w:tcPr>
            <w:tcW w:w="736" w:type="pct"/>
            <w:tcBorders>
              <w:top w:val="nil"/>
              <w:left w:val="nil"/>
              <w:bottom w:val="nil"/>
              <w:right w:val="nil"/>
            </w:tcBorders>
            <w:noWrap/>
            <w:vAlign w:val="bottom"/>
            <w:hideMark/>
          </w:tcPr>
          <w:p w14:paraId="21D28760" w14:textId="77777777" w:rsidR="0005795C" w:rsidRPr="00F65403" w:rsidRDefault="0005795C">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noWrap/>
            <w:vAlign w:val="bottom"/>
            <w:hideMark/>
          </w:tcPr>
          <w:p w14:paraId="24A03DC0" w14:textId="77777777" w:rsidR="0005795C" w:rsidRPr="00F65403" w:rsidRDefault="0005795C">
            <w:pPr>
              <w:tabs>
                <w:tab w:val="decimal" w:pos="958"/>
              </w:tabs>
              <w:spacing w:after="0" w:line="240" w:lineRule="auto"/>
              <w:rPr>
                <w:rFonts w:eastAsia="Times New Roman" w:cs="Arial"/>
                <w:sz w:val="20"/>
                <w:szCs w:val="20"/>
                <w:lang w:eastAsia="en-AU"/>
              </w:rPr>
            </w:pPr>
          </w:p>
        </w:tc>
      </w:tr>
      <w:tr w:rsidR="0005795C" w:rsidRPr="005764B8" w14:paraId="12A9FADE" w14:textId="77777777">
        <w:tc>
          <w:tcPr>
            <w:tcW w:w="3538" w:type="pct"/>
            <w:tcBorders>
              <w:top w:val="nil"/>
              <w:left w:val="nil"/>
              <w:bottom w:val="nil"/>
              <w:right w:val="nil"/>
            </w:tcBorders>
            <w:noWrap/>
            <w:vAlign w:val="bottom"/>
          </w:tcPr>
          <w:p w14:paraId="3692F31A"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Energy derivatives - economic hedges</w:t>
            </w:r>
          </w:p>
        </w:tc>
        <w:tc>
          <w:tcPr>
            <w:tcW w:w="736" w:type="pct"/>
            <w:tcBorders>
              <w:top w:val="nil"/>
              <w:left w:val="nil"/>
              <w:bottom w:val="nil"/>
              <w:right w:val="nil"/>
            </w:tcBorders>
            <w:noWrap/>
          </w:tcPr>
          <w:p w14:paraId="3E84EF35" w14:textId="77777777" w:rsidR="0005795C" w:rsidRPr="009B06BD" w:rsidRDefault="0005795C">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2</w:t>
            </w:r>
            <w:r>
              <w:rPr>
                <w:rFonts w:eastAsia="Times New Roman" w:cs="Arial"/>
                <w:color w:val="000000"/>
                <w:sz w:val="20"/>
                <w:szCs w:val="20"/>
                <w:lang w:eastAsia="en-AU"/>
              </w:rPr>
              <w:t>1,729</w:t>
            </w:r>
            <w:r w:rsidRPr="009B06BD">
              <w:rPr>
                <w:rFonts w:eastAsia="Times New Roman" w:cs="Arial"/>
                <w:color w:val="000000"/>
                <w:sz w:val="20"/>
                <w:szCs w:val="20"/>
                <w:lang w:eastAsia="en-AU"/>
              </w:rPr>
              <w:t xml:space="preserve"> </w:t>
            </w:r>
          </w:p>
        </w:tc>
        <w:tc>
          <w:tcPr>
            <w:tcW w:w="726" w:type="pct"/>
            <w:tcBorders>
              <w:top w:val="nil"/>
              <w:left w:val="nil"/>
              <w:bottom w:val="nil"/>
              <w:right w:val="nil"/>
            </w:tcBorders>
            <w:noWrap/>
            <w:vAlign w:val="bottom"/>
          </w:tcPr>
          <w:p w14:paraId="0CD99807" w14:textId="77777777" w:rsidR="0005795C" w:rsidRPr="009B06BD" w:rsidRDefault="0005795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05795C" w:rsidRPr="005764B8" w14:paraId="36E1C5F4" w14:textId="77777777">
        <w:tc>
          <w:tcPr>
            <w:tcW w:w="3538" w:type="pct"/>
            <w:tcBorders>
              <w:top w:val="nil"/>
              <w:left w:val="nil"/>
              <w:bottom w:val="nil"/>
              <w:right w:val="nil"/>
            </w:tcBorders>
            <w:noWrap/>
            <w:vAlign w:val="bottom"/>
          </w:tcPr>
          <w:p w14:paraId="1E09E494"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Energy derivatives - other</w:t>
            </w:r>
            <w:r w:rsidRPr="00F65403">
              <w:rPr>
                <w:rFonts w:eastAsia="Times New Roman" w:cs="Arial"/>
                <w:color w:val="000000"/>
                <w:sz w:val="20"/>
                <w:szCs w:val="20"/>
                <w:vertAlign w:val="superscript"/>
                <w:lang w:eastAsia="en-AU"/>
              </w:rPr>
              <w:t>1</w:t>
            </w:r>
          </w:p>
        </w:tc>
        <w:tc>
          <w:tcPr>
            <w:tcW w:w="736" w:type="pct"/>
            <w:tcBorders>
              <w:top w:val="nil"/>
              <w:left w:val="nil"/>
              <w:bottom w:val="nil"/>
              <w:right w:val="nil"/>
            </w:tcBorders>
            <w:noWrap/>
          </w:tcPr>
          <w:p w14:paraId="7C92B1A4" w14:textId="77777777" w:rsidR="0005795C" w:rsidRPr="009B06BD" w:rsidRDefault="0005795C">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4,095</w:t>
            </w:r>
          </w:p>
        </w:tc>
        <w:tc>
          <w:tcPr>
            <w:tcW w:w="726" w:type="pct"/>
            <w:tcBorders>
              <w:top w:val="nil"/>
              <w:left w:val="nil"/>
              <w:bottom w:val="nil"/>
              <w:right w:val="nil"/>
            </w:tcBorders>
            <w:noWrap/>
            <w:vAlign w:val="bottom"/>
          </w:tcPr>
          <w:p w14:paraId="22B5E368" w14:textId="77777777" w:rsidR="0005795C" w:rsidRPr="00F65403" w:rsidRDefault="0005795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05795C" w:rsidRPr="00276781" w14:paraId="13FCC2A1" w14:textId="77777777" w:rsidTr="00AA3AC5">
        <w:tc>
          <w:tcPr>
            <w:tcW w:w="3538" w:type="pct"/>
            <w:tcBorders>
              <w:top w:val="nil"/>
              <w:left w:val="nil"/>
              <w:bottom w:val="nil"/>
              <w:right w:val="nil"/>
            </w:tcBorders>
            <w:noWrap/>
            <w:vAlign w:val="bottom"/>
            <w:hideMark/>
          </w:tcPr>
          <w:p w14:paraId="0E73EBD3"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color w:val="000000"/>
                <w:sz w:val="20"/>
                <w:szCs w:val="20"/>
                <w:lang w:eastAsia="en-AU"/>
              </w:rPr>
              <w:t>Futures deposits and margin calls</w:t>
            </w:r>
          </w:p>
        </w:tc>
        <w:tc>
          <w:tcPr>
            <w:tcW w:w="736" w:type="pct"/>
            <w:tcBorders>
              <w:top w:val="nil"/>
              <w:left w:val="nil"/>
              <w:bottom w:val="single" w:sz="4" w:space="0" w:color="auto"/>
              <w:right w:val="nil"/>
            </w:tcBorders>
            <w:noWrap/>
            <w:vAlign w:val="bottom"/>
            <w:hideMark/>
          </w:tcPr>
          <w:p w14:paraId="102AAA63" w14:textId="77777777" w:rsidR="0005795C" w:rsidRPr="009B06BD" w:rsidRDefault="0005795C">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12,210</w:t>
            </w:r>
          </w:p>
        </w:tc>
        <w:tc>
          <w:tcPr>
            <w:tcW w:w="726" w:type="pct"/>
            <w:tcBorders>
              <w:top w:val="nil"/>
              <w:left w:val="nil"/>
              <w:bottom w:val="single" w:sz="4" w:space="0" w:color="auto"/>
              <w:right w:val="nil"/>
            </w:tcBorders>
            <w:noWrap/>
            <w:vAlign w:val="bottom"/>
          </w:tcPr>
          <w:p w14:paraId="4FD75C4C" w14:textId="77777777" w:rsidR="0005795C" w:rsidRPr="00F65403" w:rsidRDefault="0005795C">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w:t>
            </w:r>
          </w:p>
        </w:tc>
      </w:tr>
      <w:tr w:rsidR="00BC5E74" w:rsidRPr="00276781" w14:paraId="62BE8313" w14:textId="77777777" w:rsidTr="00AA3AC5">
        <w:tc>
          <w:tcPr>
            <w:tcW w:w="3538" w:type="pct"/>
            <w:tcBorders>
              <w:top w:val="nil"/>
              <w:left w:val="nil"/>
              <w:bottom w:val="nil"/>
              <w:right w:val="nil"/>
            </w:tcBorders>
            <w:noWrap/>
            <w:vAlign w:val="bottom"/>
          </w:tcPr>
          <w:p w14:paraId="5F6089B1" w14:textId="39C5B547" w:rsidR="00BC5E74" w:rsidRPr="00F65403" w:rsidRDefault="00BC5E74" w:rsidP="00BC5E74">
            <w:pPr>
              <w:spacing w:after="0" w:line="240" w:lineRule="auto"/>
              <w:rPr>
                <w:rFonts w:eastAsia="Times New Roman" w:cs="Arial"/>
                <w:color w:val="000000"/>
                <w:sz w:val="20"/>
                <w:szCs w:val="20"/>
                <w:lang w:eastAsia="en-AU"/>
              </w:rPr>
            </w:pPr>
            <w:r w:rsidRPr="00F65403">
              <w:rPr>
                <w:rFonts w:eastAsia="Times New Roman" w:cs="Arial"/>
                <w:b/>
                <w:color w:val="000000"/>
                <w:sz w:val="20"/>
                <w:szCs w:val="20"/>
                <w:lang w:eastAsia="en-AU"/>
              </w:rPr>
              <w:t>Total</w:t>
            </w:r>
          </w:p>
        </w:tc>
        <w:tc>
          <w:tcPr>
            <w:tcW w:w="736" w:type="pct"/>
            <w:tcBorders>
              <w:top w:val="single" w:sz="4" w:space="0" w:color="auto"/>
              <w:left w:val="nil"/>
              <w:bottom w:val="single" w:sz="4" w:space="0" w:color="auto"/>
              <w:right w:val="nil"/>
            </w:tcBorders>
            <w:noWrap/>
          </w:tcPr>
          <w:p w14:paraId="158F3E8B" w14:textId="70EF18FF" w:rsidR="00BC5E74" w:rsidRPr="009B06BD" w:rsidRDefault="00BC5E74" w:rsidP="00BC5E74">
            <w:pPr>
              <w:tabs>
                <w:tab w:val="decimal" w:pos="958"/>
              </w:tabs>
              <w:spacing w:after="0" w:line="240" w:lineRule="auto"/>
              <w:rPr>
                <w:rFonts w:eastAsia="Times New Roman" w:cs="Arial"/>
                <w:color w:val="000000"/>
                <w:sz w:val="20"/>
                <w:szCs w:val="20"/>
                <w:lang w:eastAsia="en-AU"/>
              </w:rPr>
            </w:pPr>
            <w:r w:rsidRPr="009B06BD">
              <w:rPr>
                <w:rFonts w:eastAsia="Times New Roman" w:cs="Arial"/>
                <w:b/>
                <w:bCs/>
                <w:color w:val="000000"/>
                <w:sz w:val="20"/>
                <w:szCs w:val="20"/>
                <w:lang w:eastAsia="en-AU"/>
              </w:rPr>
              <w:t xml:space="preserve"> </w:t>
            </w:r>
            <w:r>
              <w:rPr>
                <w:rFonts w:eastAsia="Times New Roman" w:cs="Arial"/>
                <w:b/>
                <w:bCs/>
                <w:color w:val="000000"/>
                <w:sz w:val="20"/>
                <w:szCs w:val="20"/>
                <w:lang w:eastAsia="en-AU"/>
              </w:rPr>
              <w:t>38,034</w:t>
            </w:r>
            <w:r w:rsidRPr="009B06BD">
              <w:rPr>
                <w:rFonts w:eastAsia="Times New Roman" w:cs="Arial"/>
                <w:b/>
                <w:bCs/>
                <w:color w:val="000000"/>
                <w:sz w:val="20"/>
                <w:szCs w:val="20"/>
                <w:lang w:eastAsia="en-AU"/>
              </w:rPr>
              <w:t xml:space="preserve"> </w:t>
            </w:r>
          </w:p>
        </w:tc>
        <w:tc>
          <w:tcPr>
            <w:tcW w:w="726" w:type="pct"/>
            <w:tcBorders>
              <w:top w:val="single" w:sz="4" w:space="0" w:color="auto"/>
              <w:left w:val="nil"/>
              <w:bottom w:val="single" w:sz="4" w:space="0" w:color="auto"/>
              <w:right w:val="nil"/>
            </w:tcBorders>
            <w:noWrap/>
          </w:tcPr>
          <w:p w14:paraId="335F1BE9" w14:textId="087341F6" w:rsidR="00BC5E74" w:rsidRPr="00F65403" w:rsidRDefault="00BC5E74" w:rsidP="00AA3AC5">
            <w:pPr>
              <w:tabs>
                <w:tab w:val="decimal" w:pos="878"/>
              </w:tabs>
              <w:spacing w:after="0" w:line="240" w:lineRule="auto"/>
              <w:rPr>
                <w:rFonts w:eastAsia="Times New Roman" w:cs="Arial"/>
                <w:color w:val="000000"/>
                <w:sz w:val="20"/>
                <w:szCs w:val="20"/>
                <w:lang w:eastAsia="en-AU"/>
              </w:rPr>
            </w:pPr>
            <w:r w:rsidRPr="009B06BD">
              <w:rPr>
                <w:rFonts w:eastAsia="Times New Roman" w:cs="Arial"/>
                <w:b/>
                <w:bCs/>
                <w:color w:val="000000"/>
                <w:sz w:val="20"/>
                <w:szCs w:val="20"/>
                <w:lang w:eastAsia="en-AU"/>
              </w:rPr>
              <w:t xml:space="preserve"> </w:t>
            </w:r>
            <w:r>
              <w:rPr>
                <w:rFonts w:eastAsia="Times New Roman" w:cs="Arial"/>
                <w:b/>
                <w:bCs/>
                <w:color w:val="000000"/>
                <w:sz w:val="20"/>
                <w:szCs w:val="20"/>
                <w:lang w:eastAsia="en-AU"/>
              </w:rPr>
              <w:t>-</w:t>
            </w:r>
            <w:r w:rsidRPr="009B06BD">
              <w:rPr>
                <w:rFonts w:eastAsia="Times New Roman" w:cs="Arial"/>
                <w:b/>
                <w:bCs/>
                <w:color w:val="000000"/>
                <w:sz w:val="20"/>
                <w:szCs w:val="20"/>
                <w:lang w:eastAsia="en-AU"/>
              </w:rPr>
              <w:t xml:space="preserve"> </w:t>
            </w:r>
          </w:p>
        </w:tc>
      </w:tr>
      <w:tr w:rsidR="00BC5E74" w:rsidRPr="00276781" w14:paraId="7CC29690" w14:textId="77777777" w:rsidTr="00AA3AC5">
        <w:tc>
          <w:tcPr>
            <w:tcW w:w="3538" w:type="pct"/>
            <w:tcBorders>
              <w:top w:val="nil"/>
              <w:left w:val="nil"/>
              <w:bottom w:val="nil"/>
              <w:right w:val="nil"/>
            </w:tcBorders>
            <w:noWrap/>
            <w:vAlign w:val="bottom"/>
            <w:hideMark/>
          </w:tcPr>
          <w:p w14:paraId="62C346FE" w14:textId="77777777" w:rsidR="00BC5E74" w:rsidRPr="00F65403" w:rsidRDefault="00BC5E74" w:rsidP="00BC5E74">
            <w:pPr>
              <w:spacing w:after="0" w:line="240" w:lineRule="auto"/>
              <w:rPr>
                <w:rFonts w:eastAsia="Times New Roman" w:cs="Arial"/>
                <w:sz w:val="20"/>
                <w:szCs w:val="20"/>
                <w:lang w:eastAsia="en-AU"/>
              </w:rPr>
            </w:pPr>
            <w:r w:rsidRPr="00F65403">
              <w:rPr>
                <w:rFonts w:eastAsia="Times New Roman" w:cs="Arial"/>
                <w:b/>
                <w:color w:val="000000"/>
                <w:sz w:val="20"/>
                <w:szCs w:val="20"/>
                <w:lang w:eastAsia="en-AU"/>
              </w:rPr>
              <w:t>Non</w:t>
            </w:r>
            <w:r>
              <w:rPr>
                <w:rFonts w:eastAsia="Times New Roman" w:cs="Arial"/>
                <w:b/>
                <w:color w:val="000000"/>
                <w:sz w:val="20"/>
                <w:szCs w:val="20"/>
                <w:lang w:eastAsia="en-AU"/>
              </w:rPr>
              <w:t>-</w:t>
            </w:r>
            <w:r w:rsidRPr="00F65403">
              <w:rPr>
                <w:rFonts w:eastAsia="Times New Roman" w:cs="Arial"/>
                <w:b/>
                <w:color w:val="000000"/>
                <w:sz w:val="20"/>
                <w:szCs w:val="20"/>
                <w:lang w:eastAsia="en-AU"/>
              </w:rPr>
              <w:t>current</w:t>
            </w:r>
          </w:p>
        </w:tc>
        <w:tc>
          <w:tcPr>
            <w:tcW w:w="736" w:type="pct"/>
            <w:tcBorders>
              <w:top w:val="single" w:sz="4" w:space="0" w:color="auto"/>
              <w:left w:val="nil"/>
              <w:bottom w:val="nil"/>
              <w:right w:val="nil"/>
            </w:tcBorders>
            <w:noWrap/>
            <w:vAlign w:val="bottom"/>
            <w:hideMark/>
          </w:tcPr>
          <w:p w14:paraId="78877A6D"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p>
        </w:tc>
        <w:tc>
          <w:tcPr>
            <w:tcW w:w="726" w:type="pct"/>
            <w:tcBorders>
              <w:top w:val="single" w:sz="4" w:space="0" w:color="auto"/>
              <w:left w:val="nil"/>
              <w:bottom w:val="nil"/>
              <w:right w:val="nil"/>
            </w:tcBorders>
            <w:noWrap/>
            <w:vAlign w:val="bottom"/>
            <w:hideMark/>
          </w:tcPr>
          <w:p w14:paraId="0070A6FB"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p>
        </w:tc>
      </w:tr>
      <w:tr w:rsidR="00BC5E74" w:rsidRPr="00276781" w14:paraId="552EACFB" w14:textId="77777777">
        <w:tc>
          <w:tcPr>
            <w:tcW w:w="3538" w:type="pct"/>
            <w:tcBorders>
              <w:top w:val="nil"/>
              <w:left w:val="nil"/>
              <w:bottom w:val="nil"/>
              <w:right w:val="nil"/>
            </w:tcBorders>
            <w:noWrap/>
            <w:vAlign w:val="bottom"/>
            <w:hideMark/>
          </w:tcPr>
          <w:p w14:paraId="50171909" w14:textId="77777777" w:rsidR="00BC5E74" w:rsidRPr="006A5A9F" w:rsidRDefault="00BC5E74" w:rsidP="00BC5E74">
            <w:pPr>
              <w:spacing w:after="0" w:line="240" w:lineRule="auto"/>
              <w:ind w:left="720" w:hanging="720"/>
              <w:rPr>
                <w:rFonts w:eastAsia="Times New Roman" w:cs="Arial"/>
                <w:i/>
                <w:iCs/>
                <w:color w:val="000000"/>
                <w:sz w:val="20"/>
                <w:szCs w:val="20"/>
                <w:lang w:eastAsia="en-AU"/>
              </w:rPr>
            </w:pPr>
            <w:r w:rsidRPr="006A5A9F">
              <w:rPr>
                <w:rFonts w:eastAsia="Times New Roman" w:cs="Arial"/>
                <w:i/>
                <w:iCs/>
                <w:color w:val="000000"/>
                <w:sz w:val="20"/>
                <w:szCs w:val="20"/>
                <w:lang w:eastAsia="en-AU"/>
              </w:rPr>
              <w:t>Derivative financial instruments at fair value</w:t>
            </w:r>
          </w:p>
        </w:tc>
        <w:tc>
          <w:tcPr>
            <w:tcW w:w="736" w:type="pct"/>
            <w:tcBorders>
              <w:top w:val="nil"/>
              <w:left w:val="nil"/>
              <w:bottom w:val="nil"/>
              <w:right w:val="nil"/>
            </w:tcBorders>
            <w:noWrap/>
            <w:vAlign w:val="bottom"/>
            <w:hideMark/>
          </w:tcPr>
          <w:p w14:paraId="212843EA"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p>
        </w:tc>
        <w:tc>
          <w:tcPr>
            <w:tcW w:w="726" w:type="pct"/>
            <w:tcBorders>
              <w:top w:val="nil"/>
              <w:left w:val="nil"/>
              <w:bottom w:val="nil"/>
              <w:right w:val="nil"/>
            </w:tcBorders>
            <w:noWrap/>
            <w:vAlign w:val="bottom"/>
            <w:hideMark/>
          </w:tcPr>
          <w:p w14:paraId="20C23317"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p>
        </w:tc>
      </w:tr>
      <w:tr w:rsidR="00BC5E74" w:rsidRPr="00276781" w14:paraId="7D5DAA33" w14:textId="77777777">
        <w:tc>
          <w:tcPr>
            <w:tcW w:w="3538" w:type="pct"/>
            <w:tcBorders>
              <w:top w:val="nil"/>
              <w:left w:val="nil"/>
              <w:bottom w:val="nil"/>
              <w:right w:val="nil"/>
            </w:tcBorders>
            <w:noWrap/>
            <w:vAlign w:val="bottom"/>
            <w:hideMark/>
          </w:tcPr>
          <w:p w14:paraId="7AAEF8CA" w14:textId="77777777" w:rsidR="00BC5E74" w:rsidRPr="00F65403" w:rsidRDefault="00BC5E74" w:rsidP="00BC5E74">
            <w:pPr>
              <w:spacing w:after="0" w:line="240" w:lineRule="auto"/>
              <w:ind w:left="720" w:hanging="720"/>
              <w:rPr>
                <w:rFonts w:eastAsia="Times New Roman" w:cs="Arial"/>
                <w:sz w:val="20"/>
                <w:szCs w:val="20"/>
                <w:lang w:eastAsia="en-AU"/>
              </w:rPr>
            </w:pPr>
            <w:r w:rsidRPr="00F65403">
              <w:rPr>
                <w:rFonts w:eastAsia="Times New Roman" w:cs="Arial"/>
                <w:color w:val="000000"/>
                <w:sz w:val="20"/>
                <w:szCs w:val="20"/>
                <w:lang w:eastAsia="en-AU"/>
              </w:rPr>
              <w:t xml:space="preserve">   Energy derivatives - economic hedges</w:t>
            </w:r>
          </w:p>
        </w:tc>
        <w:tc>
          <w:tcPr>
            <w:tcW w:w="736" w:type="pct"/>
            <w:tcBorders>
              <w:top w:val="nil"/>
              <w:left w:val="nil"/>
              <w:bottom w:val="nil"/>
              <w:right w:val="nil"/>
            </w:tcBorders>
            <w:noWrap/>
            <w:hideMark/>
          </w:tcPr>
          <w:p w14:paraId="258B54E5"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5,980</w:t>
            </w:r>
          </w:p>
        </w:tc>
        <w:tc>
          <w:tcPr>
            <w:tcW w:w="726" w:type="pct"/>
            <w:tcBorders>
              <w:top w:val="nil"/>
              <w:left w:val="nil"/>
              <w:bottom w:val="nil"/>
              <w:right w:val="nil"/>
            </w:tcBorders>
            <w:noWrap/>
            <w:vAlign w:val="bottom"/>
            <w:hideMark/>
          </w:tcPr>
          <w:p w14:paraId="6D44A43D" w14:textId="77777777" w:rsidR="00BC5E74" w:rsidRPr="00F65403" w:rsidRDefault="00BC5E74" w:rsidP="00BC5E74">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w:t>
            </w:r>
          </w:p>
        </w:tc>
      </w:tr>
      <w:tr w:rsidR="00BC5E74" w:rsidRPr="00276781" w14:paraId="3145472E" w14:textId="77777777">
        <w:tc>
          <w:tcPr>
            <w:tcW w:w="3538" w:type="pct"/>
            <w:tcBorders>
              <w:top w:val="nil"/>
              <w:left w:val="nil"/>
              <w:bottom w:val="nil"/>
              <w:right w:val="nil"/>
            </w:tcBorders>
            <w:noWrap/>
            <w:vAlign w:val="bottom"/>
            <w:hideMark/>
          </w:tcPr>
          <w:p w14:paraId="0D57520E" w14:textId="77777777" w:rsidR="00BC5E74" w:rsidRPr="00F65403" w:rsidRDefault="00BC5E74" w:rsidP="00BC5E74">
            <w:pPr>
              <w:spacing w:after="0" w:line="240" w:lineRule="auto"/>
              <w:ind w:left="720" w:hanging="720"/>
              <w:rPr>
                <w:rFonts w:eastAsia="Times New Roman" w:cs="Arial"/>
                <w:sz w:val="20"/>
                <w:szCs w:val="20"/>
                <w:lang w:eastAsia="en-AU"/>
              </w:rPr>
            </w:pPr>
            <w:r w:rsidRPr="00F65403">
              <w:rPr>
                <w:rFonts w:eastAsia="Times New Roman" w:cs="Arial"/>
                <w:color w:val="000000"/>
                <w:sz w:val="20"/>
                <w:szCs w:val="20"/>
                <w:lang w:eastAsia="en-AU"/>
              </w:rPr>
              <w:t xml:space="preserve">   Energy derivatives - other</w:t>
            </w:r>
            <w:r w:rsidRPr="00F65403">
              <w:rPr>
                <w:rFonts w:eastAsia="Times New Roman" w:cs="Arial"/>
                <w:color w:val="000000"/>
                <w:sz w:val="20"/>
                <w:szCs w:val="20"/>
                <w:vertAlign w:val="superscript"/>
                <w:lang w:eastAsia="en-AU"/>
              </w:rPr>
              <w:t>1</w:t>
            </w:r>
          </w:p>
        </w:tc>
        <w:tc>
          <w:tcPr>
            <w:tcW w:w="736" w:type="pct"/>
            <w:tcBorders>
              <w:top w:val="nil"/>
              <w:left w:val="nil"/>
              <w:bottom w:val="nil"/>
              <w:right w:val="nil"/>
            </w:tcBorders>
            <w:noWrap/>
            <w:hideMark/>
          </w:tcPr>
          <w:p w14:paraId="69F3895F" w14:textId="77777777" w:rsidR="00BC5E74" w:rsidRPr="009B06BD" w:rsidRDefault="00BC5E74" w:rsidP="00BC5E74">
            <w:pPr>
              <w:tabs>
                <w:tab w:val="decimal" w:pos="958"/>
              </w:tabs>
              <w:spacing w:after="0" w:line="240" w:lineRule="auto"/>
              <w:rPr>
                <w:rFonts w:eastAsia="Times New Roman" w:cs="Arial"/>
                <w:color w:val="000000"/>
                <w:sz w:val="20"/>
                <w:szCs w:val="20"/>
                <w:lang w:eastAsia="en-AU"/>
              </w:rPr>
            </w:pPr>
            <w:r w:rsidRPr="009B06BD">
              <w:rPr>
                <w:rFonts w:eastAsia="Times New Roman" w:cs="Arial"/>
                <w:color w:val="000000"/>
                <w:sz w:val="20"/>
                <w:szCs w:val="20"/>
                <w:lang w:eastAsia="en-AU"/>
              </w:rPr>
              <w:t xml:space="preserve"> 4</w:t>
            </w:r>
            <w:r>
              <w:rPr>
                <w:rFonts w:eastAsia="Times New Roman" w:cs="Arial"/>
                <w:color w:val="000000"/>
                <w:sz w:val="20"/>
                <w:szCs w:val="20"/>
                <w:lang w:eastAsia="en-AU"/>
              </w:rPr>
              <w:t>0,420</w:t>
            </w:r>
            <w:r w:rsidRPr="009B06BD">
              <w:rPr>
                <w:rFonts w:eastAsia="Times New Roman" w:cs="Arial"/>
                <w:color w:val="000000"/>
                <w:sz w:val="20"/>
                <w:szCs w:val="20"/>
                <w:lang w:eastAsia="en-AU"/>
              </w:rPr>
              <w:t xml:space="preserve"> </w:t>
            </w:r>
          </w:p>
        </w:tc>
        <w:tc>
          <w:tcPr>
            <w:tcW w:w="726" w:type="pct"/>
            <w:tcBorders>
              <w:top w:val="nil"/>
              <w:left w:val="nil"/>
              <w:bottom w:val="nil"/>
              <w:right w:val="nil"/>
            </w:tcBorders>
            <w:noWrap/>
            <w:vAlign w:val="bottom"/>
            <w:hideMark/>
          </w:tcPr>
          <w:p w14:paraId="3EE9FABF" w14:textId="77777777" w:rsidR="00BC5E74" w:rsidRPr="00F65403" w:rsidRDefault="00BC5E74" w:rsidP="00BC5E74">
            <w:pPr>
              <w:tabs>
                <w:tab w:val="decimal" w:pos="958"/>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13,830 </w:t>
            </w:r>
          </w:p>
        </w:tc>
      </w:tr>
      <w:tr w:rsidR="00BC5E74" w:rsidRPr="00276781" w14:paraId="497DA120" w14:textId="77777777">
        <w:tc>
          <w:tcPr>
            <w:tcW w:w="3538" w:type="pct"/>
            <w:tcBorders>
              <w:top w:val="nil"/>
              <w:left w:val="nil"/>
              <w:bottom w:val="nil"/>
              <w:right w:val="nil"/>
            </w:tcBorders>
            <w:noWrap/>
            <w:vAlign w:val="bottom"/>
            <w:hideMark/>
          </w:tcPr>
          <w:p w14:paraId="49C888BA" w14:textId="77777777" w:rsidR="00BC5E74" w:rsidRPr="00F65403" w:rsidRDefault="00BC5E74" w:rsidP="00BC5E74">
            <w:pPr>
              <w:spacing w:after="0" w:line="240" w:lineRule="auto"/>
              <w:ind w:left="720" w:hanging="720"/>
              <w:rPr>
                <w:rFonts w:eastAsia="Times New Roman" w:cs="Arial"/>
                <w:sz w:val="20"/>
                <w:szCs w:val="20"/>
                <w:lang w:eastAsia="en-AU"/>
              </w:rPr>
            </w:pPr>
            <w:r w:rsidRPr="00F65403">
              <w:rPr>
                <w:rFonts w:eastAsia="Times New Roman" w:cs="Arial"/>
                <w:b/>
                <w:color w:val="000000"/>
                <w:sz w:val="20"/>
                <w:szCs w:val="20"/>
                <w:lang w:eastAsia="en-AU"/>
              </w:rPr>
              <w:t>Total</w:t>
            </w:r>
          </w:p>
        </w:tc>
        <w:tc>
          <w:tcPr>
            <w:tcW w:w="736" w:type="pct"/>
            <w:tcBorders>
              <w:top w:val="single" w:sz="4" w:space="0" w:color="auto"/>
              <w:left w:val="nil"/>
              <w:bottom w:val="single" w:sz="4" w:space="0" w:color="auto"/>
              <w:right w:val="nil"/>
            </w:tcBorders>
            <w:noWrap/>
            <w:hideMark/>
          </w:tcPr>
          <w:p w14:paraId="2D321952" w14:textId="19BD32E7" w:rsidR="00BC5E74" w:rsidRPr="009B06BD" w:rsidRDefault="00BC5E74" w:rsidP="00BC5E74">
            <w:pPr>
              <w:tabs>
                <w:tab w:val="decimal" w:pos="958"/>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46,400</w:t>
            </w:r>
            <w:r w:rsidRPr="009B06BD">
              <w:rPr>
                <w:rFonts w:eastAsia="Times New Roman" w:cs="Arial"/>
                <w:b/>
                <w:bCs/>
                <w:color w:val="000000"/>
                <w:sz w:val="20"/>
                <w:szCs w:val="20"/>
                <w:lang w:eastAsia="en-AU"/>
              </w:rPr>
              <w:t xml:space="preserve"> </w:t>
            </w:r>
          </w:p>
        </w:tc>
        <w:tc>
          <w:tcPr>
            <w:tcW w:w="726" w:type="pct"/>
            <w:tcBorders>
              <w:top w:val="single" w:sz="4" w:space="0" w:color="auto"/>
              <w:left w:val="nil"/>
              <w:bottom w:val="single" w:sz="4" w:space="0" w:color="auto"/>
              <w:right w:val="nil"/>
            </w:tcBorders>
            <w:noWrap/>
            <w:hideMark/>
          </w:tcPr>
          <w:p w14:paraId="760218C8" w14:textId="77777777" w:rsidR="00BC5E74" w:rsidRPr="009B06BD" w:rsidRDefault="00BC5E74" w:rsidP="00BC5E74">
            <w:pPr>
              <w:tabs>
                <w:tab w:val="decimal" w:pos="958"/>
              </w:tabs>
              <w:spacing w:after="0" w:line="240" w:lineRule="auto"/>
              <w:rPr>
                <w:rFonts w:eastAsia="Times New Roman" w:cs="Arial"/>
                <w:b/>
                <w:bCs/>
                <w:color w:val="000000"/>
                <w:sz w:val="20"/>
                <w:szCs w:val="20"/>
                <w:lang w:eastAsia="en-AU"/>
              </w:rPr>
            </w:pPr>
            <w:r w:rsidRPr="009B06BD">
              <w:rPr>
                <w:rFonts w:eastAsia="Times New Roman" w:cs="Arial"/>
                <w:b/>
                <w:bCs/>
                <w:color w:val="000000"/>
                <w:sz w:val="20"/>
                <w:szCs w:val="20"/>
                <w:lang w:eastAsia="en-AU"/>
              </w:rPr>
              <w:t xml:space="preserve"> 13,830 </w:t>
            </w:r>
          </w:p>
        </w:tc>
      </w:tr>
      <w:tr w:rsidR="00BC5E74" w:rsidRPr="00276781" w14:paraId="6EF5DB05" w14:textId="77777777">
        <w:tc>
          <w:tcPr>
            <w:tcW w:w="3538" w:type="pct"/>
            <w:tcBorders>
              <w:top w:val="nil"/>
              <w:left w:val="nil"/>
              <w:bottom w:val="nil"/>
              <w:right w:val="nil"/>
            </w:tcBorders>
            <w:noWrap/>
            <w:vAlign w:val="bottom"/>
            <w:hideMark/>
          </w:tcPr>
          <w:p w14:paraId="739B14D3" w14:textId="77777777" w:rsidR="00BC5E74" w:rsidRPr="00F65403" w:rsidRDefault="00BC5E74" w:rsidP="00BC5E74">
            <w:pPr>
              <w:spacing w:after="0" w:line="240" w:lineRule="auto"/>
              <w:ind w:left="720" w:hanging="720"/>
              <w:rPr>
                <w:rFonts w:eastAsia="Times New Roman" w:cs="Arial"/>
                <w:sz w:val="20"/>
                <w:szCs w:val="20"/>
                <w:lang w:eastAsia="en-AU"/>
              </w:rPr>
            </w:pPr>
          </w:p>
        </w:tc>
        <w:tc>
          <w:tcPr>
            <w:tcW w:w="736" w:type="pct"/>
            <w:tcBorders>
              <w:top w:val="nil"/>
              <w:left w:val="nil"/>
              <w:bottom w:val="nil"/>
              <w:right w:val="nil"/>
            </w:tcBorders>
            <w:noWrap/>
            <w:vAlign w:val="bottom"/>
            <w:hideMark/>
          </w:tcPr>
          <w:p w14:paraId="1F7AD871" w14:textId="77777777" w:rsidR="00BC5E74" w:rsidRPr="00F65403" w:rsidRDefault="00BC5E74" w:rsidP="00BC5E74">
            <w:pPr>
              <w:tabs>
                <w:tab w:val="decimal" w:pos="958"/>
              </w:tabs>
              <w:spacing w:after="0" w:line="240" w:lineRule="auto"/>
              <w:rPr>
                <w:rFonts w:eastAsia="Times New Roman" w:cs="Arial"/>
                <w:sz w:val="20"/>
                <w:szCs w:val="20"/>
                <w:lang w:eastAsia="en-AU"/>
              </w:rPr>
            </w:pPr>
          </w:p>
        </w:tc>
        <w:tc>
          <w:tcPr>
            <w:tcW w:w="726" w:type="pct"/>
            <w:tcBorders>
              <w:top w:val="nil"/>
              <w:left w:val="nil"/>
              <w:bottom w:val="nil"/>
              <w:right w:val="nil"/>
            </w:tcBorders>
            <w:noWrap/>
            <w:vAlign w:val="bottom"/>
            <w:hideMark/>
          </w:tcPr>
          <w:p w14:paraId="46CE2F35" w14:textId="77777777" w:rsidR="00BC5E74" w:rsidRPr="00F65403" w:rsidRDefault="00BC5E74" w:rsidP="00BC5E74">
            <w:pPr>
              <w:tabs>
                <w:tab w:val="decimal" w:pos="958"/>
              </w:tabs>
              <w:spacing w:after="0" w:line="240" w:lineRule="auto"/>
              <w:rPr>
                <w:rFonts w:eastAsia="Times New Roman" w:cs="Arial"/>
                <w:sz w:val="20"/>
                <w:szCs w:val="20"/>
                <w:lang w:eastAsia="en-AU"/>
              </w:rPr>
            </w:pPr>
          </w:p>
        </w:tc>
      </w:tr>
    </w:tbl>
    <w:p w14:paraId="68E035B1" w14:textId="77777777" w:rsidR="0005795C" w:rsidRPr="00F65403" w:rsidRDefault="0005795C" w:rsidP="0005795C">
      <w:pPr>
        <w:pStyle w:val="BodyText"/>
        <w:rPr>
          <w:lang w:val="en-AU"/>
        </w:rPr>
      </w:pPr>
    </w:p>
    <w:p w14:paraId="7C78B046" w14:textId="0A5684D7" w:rsidR="0005795C" w:rsidRPr="00F65403" w:rsidRDefault="0005795C" w:rsidP="0005795C">
      <w:pPr>
        <w:pStyle w:val="BodyText"/>
        <w:rPr>
          <w:lang w:val="en-AU"/>
        </w:rPr>
      </w:pPr>
      <w:r w:rsidRPr="00F65403">
        <w:rPr>
          <w:vertAlign w:val="superscript"/>
          <w:lang w:val="en-AU"/>
        </w:rPr>
        <w:t>1</w:t>
      </w:r>
      <w:r w:rsidRPr="00F65403">
        <w:rPr>
          <w:lang w:val="en-AU"/>
        </w:rPr>
        <w:t xml:space="preserve"> ‘Energy derivatives </w:t>
      </w:r>
      <w:r w:rsidR="00104757">
        <w:rPr>
          <w:lang w:val="en-AU"/>
        </w:rPr>
        <w:t>-</w:t>
      </w:r>
      <w:r w:rsidRPr="00F65403">
        <w:rPr>
          <w:lang w:val="en-AU"/>
        </w:rPr>
        <w:t xml:space="preserve"> other’ is a revenue support agreement executed as part of the investment into the MREH joint venture and is linked to wholesale energy prices.</w:t>
      </w:r>
    </w:p>
    <w:p w14:paraId="3D0F59A0" w14:textId="77777777" w:rsidR="0005795C" w:rsidRPr="00F65403" w:rsidRDefault="0005795C" w:rsidP="0005795C">
      <w:pPr>
        <w:pStyle w:val="BodyText"/>
        <w:rPr>
          <w:lang w:val="en-AU"/>
        </w:rPr>
      </w:pPr>
    </w:p>
    <w:p w14:paraId="10EE340E" w14:textId="77777777" w:rsidR="0005795C" w:rsidRPr="00F65403" w:rsidRDefault="0005795C" w:rsidP="0005795C">
      <w:pPr>
        <w:pStyle w:val="Heading8"/>
      </w:pPr>
      <w:proofErr w:type="spellStart"/>
      <w:r>
        <w:t>i</w:t>
      </w:r>
      <w:proofErr w:type="spellEnd"/>
      <w:r>
        <w:t>.</w:t>
      </w:r>
      <w:r>
        <w:tab/>
        <w:t>Accounting policy</w:t>
      </w:r>
    </w:p>
    <w:p w14:paraId="1D4FCA44" w14:textId="77777777" w:rsidR="0005795C" w:rsidRPr="00F65403" w:rsidRDefault="0005795C" w:rsidP="0005795C">
      <w:pPr>
        <w:pStyle w:val="BodyText"/>
        <w:rPr>
          <w:lang w:val="en-AU"/>
        </w:rPr>
      </w:pPr>
      <w:r w:rsidRPr="00F65403">
        <w:rPr>
          <w:lang w:val="en-AU"/>
        </w:rPr>
        <w:t xml:space="preserve">Derivative financial instruments are initially recognised when the </w:t>
      </w:r>
      <w:r>
        <w:rPr>
          <w:lang w:val="en-AU"/>
        </w:rPr>
        <w:t>Company</w:t>
      </w:r>
      <w:r w:rsidRPr="00F65403">
        <w:rPr>
          <w:lang w:val="en-AU"/>
        </w:rPr>
        <w:t xml:space="preserve"> becomes party to the contractual provisions of the agreement i.e. on commitment date. Derivatives are recognised at fair value, with changes in fair value recognised in the statement of profit or loss.</w:t>
      </w:r>
    </w:p>
    <w:p w14:paraId="190F49A1" w14:textId="77777777" w:rsidR="0005795C" w:rsidRPr="00F65403" w:rsidRDefault="0005795C" w:rsidP="0005795C">
      <w:pPr>
        <w:pStyle w:val="BodyText"/>
        <w:rPr>
          <w:lang w:val="en-AU"/>
        </w:rPr>
      </w:pPr>
    </w:p>
    <w:p w14:paraId="7A885E6E" w14:textId="77777777" w:rsidR="0005795C" w:rsidRPr="00F65403" w:rsidRDefault="0005795C" w:rsidP="0005795C">
      <w:pPr>
        <w:pStyle w:val="Heading8"/>
      </w:pPr>
      <w:r>
        <w:t>ii.</w:t>
      </w:r>
      <w:r>
        <w:tab/>
        <w:t xml:space="preserve">Significant judgement </w:t>
      </w:r>
    </w:p>
    <w:p w14:paraId="5C9BA3F6" w14:textId="11E8A540" w:rsidR="0005795C" w:rsidRDefault="0005795C" w:rsidP="0005795C">
      <w:pPr>
        <w:pStyle w:val="BodyText"/>
        <w:rPr>
          <w:lang w:val="en-AU"/>
        </w:rPr>
      </w:pPr>
      <w:r w:rsidRPr="00F65403">
        <w:rPr>
          <w:lang w:val="en-AU"/>
        </w:rPr>
        <w:t>Management uses their judgement in selecting an appropriate valuation technique for financial instruments not quoted in an active market. For derivative financial instruments, assumptions are made based on quoted market rates adjusted for specific features of the instrument. Other financial instruments are valued using a discounted cash flow analysis based on assumptions supported, where possible, by observable market prices and rates.</w:t>
      </w:r>
      <w:r w:rsidR="00094BD4">
        <w:rPr>
          <w:lang w:val="en-AU"/>
        </w:rPr>
        <w:t xml:space="preserve"> Refer to Note 8. Fair value of other financial assets and liabilities for more information.</w:t>
      </w:r>
    </w:p>
    <w:p w14:paraId="59EDF3E6" w14:textId="77777777" w:rsidR="0005795C" w:rsidRPr="00F65403" w:rsidRDefault="0005795C" w:rsidP="0005795C">
      <w:pPr>
        <w:pStyle w:val="BodyText"/>
        <w:rPr>
          <w:lang w:val="en-AU"/>
        </w:rPr>
      </w:pPr>
    </w:p>
    <w:p w14:paraId="18B2AF1A" w14:textId="2C88DC12" w:rsidR="004D20C8" w:rsidRDefault="004D20C8">
      <w:pPr>
        <w:rPr>
          <w:rFonts w:eastAsia="Arial" w:cs="Arial"/>
          <w:sz w:val="20"/>
          <w:szCs w:val="20"/>
        </w:rPr>
      </w:pPr>
      <w:r>
        <w:br w:type="page"/>
      </w:r>
    </w:p>
    <w:p w14:paraId="196F5923" w14:textId="77777777" w:rsidR="0005795C" w:rsidRPr="00F65403" w:rsidRDefault="0005795C" w:rsidP="0005795C">
      <w:pPr>
        <w:pStyle w:val="BodyText"/>
        <w:rPr>
          <w:lang w:val="en-AU"/>
        </w:rPr>
      </w:pPr>
    </w:p>
    <w:p w14:paraId="19F4252E" w14:textId="78D97B19" w:rsidR="0005795C" w:rsidRDefault="00883615" w:rsidP="0005795C">
      <w:pPr>
        <w:pStyle w:val="Heading7"/>
      </w:pPr>
      <w:r>
        <w:t>Other r</w:t>
      </w:r>
      <w:r w:rsidR="000F00F0">
        <w:t xml:space="preserve">eceivables and </w:t>
      </w:r>
      <w:r w:rsidR="00FC062F">
        <w:t>P</w:t>
      </w:r>
      <w:r w:rsidR="0005795C">
        <w:t>ayables</w:t>
      </w:r>
    </w:p>
    <w:tbl>
      <w:tblPr>
        <w:tblW w:w="5000" w:type="pct"/>
        <w:tblCellMar>
          <w:top w:w="28" w:type="dxa"/>
          <w:left w:w="28" w:type="dxa"/>
          <w:bottom w:w="28" w:type="dxa"/>
          <w:right w:w="28" w:type="dxa"/>
        </w:tblCellMar>
        <w:tblLook w:val="04A0" w:firstRow="1" w:lastRow="0" w:firstColumn="1" w:lastColumn="0" w:noHBand="0" w:noVBand="1"/>
      </w:tblPr>
      <w:tblGrid>
        <w:gridCol w:w="6660"/>
        <w:gridCol w:w="1184"/>
        <w:gridCol w:w="1182"/>
      </w:tblGrid>
      <w:tr w:rsidR="00446B2A" w:rsidRPr="002B1EBF" w14:paraId="62ECD749" w14:textId="77777777" w:rsidTr="413EB596">
        <w:trPr>
          <w:trHeight w:val="300"/>
        </w:trPr>
        <w:tc>
          <w:tcPr>
            <w:tcW w:w="3689" w:type="pct"/>
            <w:tcBorders>
              <w:top w:val="nil"/>
              <w:left w:val="nil"/>
              <w:bottom w:val="nil"/>
              <w:right w:val="nil"/>
            </w:tcBorders>
            <w:noWrap/>
            <w:vAlign w:val="bottom"/>
            <w:hideMark/>
          </w:tcPr>
          <w:p w14:paraId="27C89D0B" w14:textId="77777777" w:rsidR="00446B2A" w:rsidRPr="00F65403" w:rsidRDefault="00446B2A" w:rsidP="00CF77CC">
            <w:pPr>
              <w:spacing w:after="0" w:line="240" w:lineRule="auto"/>
              <w:rPr>
                <w:rFonts w:eastAsia="Times New Roman" w:cs="Arial"/>
                <w:sz w:val="20"/>
                <w:szCs w:val="20"/>
                <w:lang w:eastAsia="en-AU"/>
              </w:rPr>
            </w:pPr>
          </w:p>
        </w:tc>
        <w:tc>
          <w:tcPr>
            <w:tcW w:w="656" w:type="pct"/>
            <w:tcBorders>
              <w:top w:val="nil"/>
              <w:left w:val="nil"/>
              <w:bottom w:val="nil"/>
              <w:right w:val="nil"/>
            </w:tcBorders>
            <w:noWrap/>
            <w:vAlign w:val="bottom"/>
            <w:hideMark/>
          </w:tcPr>
          <w:p w14:paraId="563D834B" w14:textId="77777777" w:rsidR="00446B2A" w:rsidRPr="00F65403" w:rsidRDefault="00446B2A"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2025</w:t>
            </w:r>
          </w:p>
        </w:tc>
        <w:tc>
          <w:tcPr>
            <w:tcW w:w="655" w:type="pct"/>
            <w:tcBorders>
              <w:top w:val="nil"/>
              <w:left w:val="nil"/>
              <w:bottom w:val="nil"/>
              <w:right w:val="nil"/>
            </w:tcBorders>
            <w:noWrap/>
            <w:vAlign w:val="bottom"/>
            <w:hideMark/>
          </w:tcPr>
          <w:p w14:paraId="10E2ABFE" w14:textId="77777777" w:rsidR="00446B2A" w:rsidRPr="00F65403" w:rsidRDefault="00446B2A"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2024</w:t>
            </w:r>
          </w:p>
        </w:tc>
      </w:tr>
      <w:tr w:rsidR="00446B2A" w:rsidRPr="002B1EBF" w14:paraId="74D3F5FD" w14:textId="77777777" w:rsidTr="413EB596">
        <w:trPr>
          <w:trHeight w:val="300"/>
        </w:trPr>
        <w:tc>
          <w:tcPr>
            <w:tcW w:w="3689" w:type="pct"/>
            <w:tcBorders>
              <w:top w:val="nil"/>
              <w:left w:val="nil"/>
              <w:bottom w:val="nil"/>
              <w:right w:val="nil"/>
            </w:tcBorders>
            <w:noWrap/>
            <w:vAlign w:val="bottom"/>
            <w:hideMark/>
          </w:tcPr>
          <w:p w14:paraId="330BE536" w14:textId="77777777" w:rsidR="00446B2A" w:rsidRPr="00F65403" w:rsidRDefault="00446B2A" w:rsidP="413EB596">
            <w:pPr>
              <w:spacing w:after="0" w:line="240" w:lineRule="auto"/>
              <w:jc w:val="right"/>
              <w:rPr>
                <w:rFonts w:eastAsia="Times New Roman" w:cs="Arial"/>
                <w:b/>
                <w:bCs/>
                <w:color w:val="000000"/>
                <w:sz w:val="20"/>
                <w:szCs w:val="20"/>
                <w:lang w:eastAsia="en-AU"/>
              </w:rPr>
            </w:pPr>
          </w:p>
        </w:tc>
        <w:tc>
          <w:tcPr>
            <w:tcW w:w="656" w:type="pct"/>
            <w:tcBorders>
              <w:top w:val="nil"/>
              <w:left w:val="nil"/>
              <w:bottom w:val="nil"/>
              <w:right w:val="nil"/>
            </w:tcBorders>
            <w:noWrap/>
            <w:vAlign w:val="bottom"/>
            <w:hideMark/>
          </w:tcPr>
          <w:p w14:paraId="6A650C5A" w14:textId="77777777" w:rsidR="00446B2A" w:rsidRPr="00F65403" w:rsidRDefault="00446B2A"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655" w:type="pct"/>
            <w:tcBorders>
              <w:top w:val="nil"/>
              <w:left w:val="nil"/>
              <w:bottom w:val="nil"/>
              <w:right w:val="nil"/>
            </w:tcBorders>
            <w:noWrap/>
            <w:vAlign w:val="bottom"/>
            <w:hideMark/>
          </w:tcPr>
          <w:p w14:paraId="4197BA54" w14:textId="77777777" w:rsidR="00446B2A" w:rsidRPr="00F65403" w:rsidRDefault="00446B2A"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r>
      <w:tr w:rsidR="00446B2A" w:rsidRPr="002B1EBF" w14:paraId="77D888FD" w14:textId="77777777" w:rsidTr="413EB596">
        <w:trPr>
          <w:trHeight w:val="300"/>
        </w:trPr>
        <w:tc>
          <w:tcPr>
            <w:tcW w:w="3689" w:type="pct"/>
            <w:tcBorders>
              <w:top w:val="nil"/>
              <w:left w:val="nil"/>
              <w:bottom w:val="nil"/>
              <w:right w:val="nil"/>
            </w:tcBorders>
            <w:noWrap/>
            <w:vAlign w:val="bottom"/>
            <w:hideMark/>
          </w:tcPr>
          <w:p w14:paraId="0290E413" w14:textId="41971C44" w:rsidR="00446B2A" w:rsidRPr="00F65403" w:rsidRDefault="00446B2A"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Receivables from SEC Victoria Pty Ltd (parent entity of the Company)</w:t>
            </w:r>
          </w:p>
        </w:tc>
        <w:tc>
          <w:tcPr>
            <w:tcW w:w="656" w:type="pct"/>
            <w:tcBorders>
              <w:top w:val="nil"/>
              <w:left w:val="nil"/>
              <w:bottom w:val="nil"/>
              <w:right w:val="nil"/>
            </w:tcBorders>
            <w:noWrap/>
            <w:hideMark/>
          </w:tcPr>
          <w:p w14:paraId="0B8A5571" w14:textId="1CD81E67" w:rsidR="00446B2A" w:rsidRPr="00EA02CB" w:rsidRDefault="00EB1E4E" w:rsidP="00CF77CC">
            <w:pPr>
              <w:tabs>
                <w:tab w:val="decimal" w:pos="854"/>
              </w:tabs>
              <w:spacing w:after="0" w:line="240" w:lineRule="auto"/>
              <w:rPr>
                <w:rFonts w:eastAsia="Times New Roman" w:cs="Arial"/>
                <w:color w:val="000000"/>
                <w:sz w:val="20"/>
                <w:szCs w:val="20"/>
                <w:lang w:eastAsia="en-AU"/>
              </w:rPr>
            </w:pPr>
            <w:r w:rsidRPr="413EB596">
              <w:rPr>
                <w:sz w:val="20"/>
                <w:szCs w:val="20"/>
              </w:rPr>
              <w:t>5,</w:t>
            </w:r>
            <w:r w:rsidR="00094BD4" w:rsidRPr="413EB596">
              <w:rPr>
                <w:sz w:val="20"/>
                <w:szCs w:val="20"/>
              </w:rPr>
              <w:t>20</w:t>
            </w:r>
            <w:r w:rsidR="00094BD4">
              <w:rPr>
                <w:sz w:val="20"/>
                <w:szCs w:val="20"/>
              </w:rPr>
              <w:t>9</w:t>
            </w:r>
          </w:p>
        </w:tc>
        <w:tc>
          <w:tcPr>
            <w:tcW w:w="655" w:type="pct"/>
            <w:tcBorders>
              <w:top w:val="nil"/>
              <w:left w:val="nil"/>
              <w:bottom w:val="nil"/>
              <w:right w:val="nil"/>
            </w:tcBorders>
            <w:noWrap/>
            <w:hideMark/>
          </w:tcPr>
          <w:p w14:paraId="54FC8DCB" w14:textId="77777777" w:rsidR="00446B2A" w:rsidRPr="00EA02CB" w:rsidRDefault="00446B2A" w:rsidP="00CF77CC">
            <w:pPr>
              <w:tabs>
                <w:tab w:val="decimal" w:pos="854"/>
              </w:tabs>
              <w:spacing w:after="0" w:line="240" w:lineRule="auto"/>
              <w:rPr>
                <w:rFonts w:eastAsia="Times New Roman" w:cs="Arial"/>
                <w:color w:val="000000"/>
                <w:sz w:val="20"/>
                <w:szCs w:val="20"/>
                <w:lang w:eastAsia="en-AU"/>
              </w:rPr>
            </w:pPr>
            <w:r w:rsidRPr="413EB596">
              <w:rPr>
                <w:sz w:val="20"/>
                <w:szCs w:val="20"/>
              </w:rPr>
              <w:t>-</w:t>
            </w:r>
          </w:p>
        </w:tc>
      </w:tr>
      <w:tr w:rsidR="00446B2A" w:rsidRPr="002B1EBF" w14:paraId="764CA257" w14:textId="77777777" w:rsidTr="413EB596">
        <w:trPr>
          <w:trHeight w:val="300"/>
        </w:trPr>
        <w:tc>
          <w:tcPr>
            <w:tcW w:w="3689" w:type="pct"/>
            <w:tcBorders>
              <w:top w:val="nil"/>
              <w:left w:val="nil"/>
              <w:bottom w:val="nil"/>
              <w:right w:val="nil"/>
            </w:tcBorders>
            <w:noWrap/>
            <w:vAlign w:val="bottom"/>
            <w:hideMark/>
          </w:tcPr>
          <w:p w14:paraId="490C442D" w14:textId="5829DBC5" w:rsidR="00446B2A" w:rsidRPr="00F65403" w:rsidRDefault="00446B2A"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Other</w:t>
            </w:r>
          </w:p>
        </w:tc>
        <w:tc>
          <w:tcPr>
            <w:tcW w:w="656" w:type="pct"/>
            <w:tcBorders>
              <w:top w:val="nil"/>
              <w:left w:val="nil"/>
              <w:bottom w:val="nil"/>
              <w:right w:val="nil"/>
            </w:tcBorders>
            <w:noWrap/>
            <w:hideMark/>
          </w:tcPr>
          <w:p w14:paraId="76A04C55" w14:textId="11D37779" w:rsidR="00446B2A" w:rsidRPr="00EA02CB" w:rsidRDefault="00EB1E4E" w:rsidP="00CF77CC">
            <w:pPr>
              <w:tabs>
                <w:tab w:val="decimal" w:pos="854"/>
              </w:tabs>
              <w:spacing w:after="0" w:line="240" w:lineRule="auto"/>
              <w:rPr>
                <w:rFonts w:eastAsia="Times New Roman" w:cs="Arial"/>
                <w:color w:val="000000"/>
                <w:sz w:val="20"/>
                <w:szCs w:val="20"/>
                <w:lang w:eastAsia="en-AU"/>
              </w:rPr>
            </w:pPr>
            <w:r w:rsidRPr="413EB596">
              <w:rPr>
                <w:sz w:val="20"/>
                <w:szCs w:val="20"/>
              </w:rPr>
              <w:t>4</w:t>
            </w:r>
          </w:p>
        </w:tc>
        <w:tc>
          <w:tcPr>
            <w:tcW w:w="655" w:type="pct"/>
            <w:tcBorders>
              <w:top w:val="nil"/>
              <w:left w:val="nil"/>
              <w:bottom w:val="nil"/>
              <w:right w:val="nil"/>
            </w:tcBorders>
            <w:noWrap/>
            <w:hideMark/>
          </w:tcPr>
          <w:p w14:paraId="7E9D5ED9" w14:textId="2974AFB2" w:rsidR="00446B2A" w:rsidRPr="00EA02CB" w:rsidRDefault="0040744C" w:rsidP="00CF77CC">
            <w:pPr>
              <w:tabs>
                <w:tab w:val="decimal" w:pos="854"/>
              </w:tabs>
              <w:spacing w:after="0" w:line="240" w:lineRule="auto"/>
              <w:rPr>
                <w:rFonts w:eastAsia="Times New Roman" w:cs="Arial"/>
                <w:color w:val="000000"/>
                <w:sz w:val="20"/>
                <w:szCs w:val="20"/>
                <w:lang w:eastAsia="en-AU"/>
              </w:rPr>
            </w:pPr>
            <w:r w:rsidRPr="413EB596">
              <w:rPr>
                <w:sz w:val="20"/>
                <w:szCs w:val="20"/>
              </w:rPr>
              <w:t>-</w:t>
            </w:r>
          </w:p>
        </w:tc>
      </w:tr>
      <w:tr w:rsidR="00446B2A" w:rsidRPr="002B1EBF" w14:paraId="16257C86" w14:textId="77777777" w:rsidTr="413EB596">
        <w:trPr>
          <w:trHeight w:val="300"/>
        </w:trPr>
        <w:tc>
          <w:tcPr>
            <w:tcW w:w="3689" w:type="pct"/>
            <w:tcBorders>
              <w:top w:val="nil"/>
              <w:left w:val="nil"/>
              <w:bottom w:val="nil"/>
              <w:right w:val="nil"/>
            </w:tcBorders>
            <w:noWrap/>
            <w:vAlign w:val="bottom"/>
            <w:hideMark/>
          </w:tcPr>
          <w:p w14:paraId="62EC28A6" w14:textId="2FDC2374" w:rsidR="00446B2A" w:rsidRPr="00F65403" w:rsidRDefault="00446B2A"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w:t>
            </w:r>
            <w:r w:rsidR="00F14665" w:rsidRPr="413EB596">
              <w:rPr>
                <w:rFonts w:eastAsia="Times New Roman" w:cs="Arial"/>
                <w:b/>
                <w:bCs/>
                <w:color w:val="000000" w:themeColor="text1"/>
                <w:sz w:val="20"/>
                <w:szCs w:val="20"/>
                <w:lang w:eastAsia="en-AU"/>
              </w:rPr>
              <w:t xml:space="preserve">other receivables </w:t>
            </w:r>
          </w:p>
        </w:tc>
        <w:tc>
          <w:tcPr>
            <w:tcW w:w="656" w:type="pct"/>
            <w:tcBorders>
              <w:top w:val="single" w:sz="4" w:space="0" w:color="auto"/>
              <w:left w:val="nil"/>
              <w:bottom w:val="single" w:sz="4" w:space="0" w:color="auto"/>
              <w:right w:val="nil"/>
            </w:tcBorders>
            <w:noWrap/>
            <w:hideMark/>
          </w:tcPr>
          <w:p w14:paraId="18E064B0" w14:textId="2A13061F" w:rsidR="00446B2A" w:rsidRPr="00EA02CB" w:rsidRDefault="0040744C" w:rsidP="00CF77CC">
            <w:pPr>
              <w:tabs>
                <w:tab w:val="decimal" w:pos="854"/>
              </w:tabs>
              <w:spacing w:after="0" w:line="240" w:lineRule="auto"/>
              <w:rPr>
                <w:rFonts w:eastAsia="Times New Roman" w:cs="Arial"/>
                <w:b/>
                <w:bCs/>
                <w:color w:val="000000"/>
                <w:sz w:val="20"/>
                <w:szCs w:val="20"/>
                <w:lang w:eastAsia="en-AU"/>
              </w:rPr>
            </w:pPr>
            <w:r w:rsidRPr="413EB596">
              <w:rPr>
                <w:b/>
                <w:bCs/>
                <w:sz w:val="20"/>
                <w:szCs w:val="20"/>
              </w:rPr>
              <w:t>5,</w:t>
            </w:r>
            <w:r w:rsidR="00094BD4" w:rsidRPr="413EB596">
              <w:rPr>
                <w:b/>
                <w:bCs/>
                <w:sz w:val="20"/>
                <w:szCs w:val="20"/>
              </w:rPr>
              <w:t>2</w:t>
            </w:r>
            <w:r w:rsidR="00094BD4">
              <w:rPr>
                <w:b/>
                <w:bCs/>
                <w:sz w:val="20"/>
                <w:szCs w:val="20"/>
              </w:rPr>
              <w:t>13</w:t>
            </w:r>
          </w:p>
        </w:tc>
        <w:tc>
          <w:tcPr>
            <w:tcW w:w="655" w:type="pct"/>
            <w:tcBorders>
              <w:top w:val="single" w:sz="4" w:space="0" w:color="auto"/>
              <w:left w:val="nil"/>
              <w:bottom w:val="single" w:sz="4" w:space="0" w:color="auto"/>
              <w:right w:val="nil"/>
            </w:tcBorders>
            <w:noWrap/>
            <w:hideMark/>
          </w:tcPr>
          <w:p w14:paraId="73837B7E" w14:textId="47AAB49C" w:rsidR="00446B2A" w:rsidRPr="00EA02CB" w:rsidRDefault="0040744C" w:rsidP="00CF77CC">
            <w:pPr>
              <w:tabs>
                <w:tab w:val="decimal" w:pos="854"/>
              </w:tabs>
              <w:spacing w:after="0" w:line="240" w:lineRule="auto"/>
              <w:rPr>
                <w:rFonts w:eastAsia="Times New Roman" w:cs="Arial"/>
                <w:b/>
                <w:bCs/>
                <w:color w:val="000000"/>
                <w:sz w:val="20"/>
                <w:szCs w:val="20"/>
                <w:lang w:eastAsia="en-AU"/>
              </w:rPr>
            </w:pPr>
            <w:r w:rsidRPr="413EB596">
              <w:rPr>
                <w:b/>
                <w:bCs/>
                <w:sz w:val="20"/>
                <w:szCs w:val="20"/>
              </w:rPr>
              <w:t>-</w:t>
            </w:r>
          </w:p>
        </w:tc>
      </w:tr>
    </w:tbl>
    <w:p w14:paraId="11894D59" w14:textId="1F3F9B3F" w:rsidR="00446B2A" w:rsidRPr="00446B2A" w:rsidDel="00446B2A" w:rsidRDefault="00446B2A" w:rsidP="413EB596"/>
    <w:tbl>
      <w:tblPr>
        <w:tblW w:w="5000" w:type="pct"/>
        <w:tblCellMar>
          <w:top w:w="28" w:type="dxa"/>
          <w:left w:w="28" w:type="dxa"/>
          <w:bottom w:w="28" w:type="dxa"/>
          <w:right w:w="28" w:type="dxa"/>
        </w:tblCellMar>
        <w:tblLook w:val="04A0" w:firstRow="1" w:lastRow="0" w:firstColumn="1" w:lastColumn="0" w:noHBand="0" w:noVBand="1"/>
      </w:tblPr>
      <w:tblGrid>
        <w:gridCol w:w="6660"/>
        <w:gridCol w:w="1184"/>
        <w:gridCol w:w="1182"/>
      </w:tblGrid>
      <w:tr w:rsidR="0005795C" w:rsidRPr="002B1EBF" w14:paraId="4D4C6729" w14:textId="77777777" w:rsidTr="413EB596">
        <w:tc>
          <w:tcPr>
            <w:tcW w:w="3689" w:type="pct"/>
            <w:tcBorders>
              <w:top w:val="nil"/>
              <w:left w:val="nil"/>
              <w:bottom w:val="nil"/>
              <w:right w:val="nil"/>
            </w:tcBorders>
            <w:noWrap/>
            <w:vAlign w:val="bottom"/>
            <w:hideMark/>
          </w:tcPr>
          <w:p w14:paraId="4B0A7292" w14:textId="4E8B8AAD" w:rsidR="00F36526" w:rsidRDefault="00651FCB">
            <w:pPr>
              <w:spacing w:after="0" w:line="240" w:lineRule="auto"/>
              <w:rPr>
                <w:rFonts w:eastAsia="Times New Roman" w:cs="Arial"/>
                <w:sz w:val="20"/>
                <w:szCs w:val="20"/>
                <w:lang w:eastAsia="en-AU"/>
              </w:rPr>
            </w:pPr>
            <w:r>
              <w:br/>
            </w:r>
          </w:p>
          <w:p w14:paraId="46431A0C" w14:textId="77777777" w:rsidR="00F36526" w:rsidRPr="00F65403" w:rsidRDefault="00F36526">
            <w:pPr>
              <w:spacing w:after="0" w:line="240" w:lineRule="auto"/>
              <w:rPr>
                <w:rFonts w:eastAsia="Times New Roman" w:cs="Arial"/>
                <w:sz w:val="20"/>
                <w:szCs w:val="20"/>
                <w:lang w:eastAsia="en-AU"/>
              </w:rPr>
            </w:pPr>
          </w:p>
        </w:tc>
        <w:tc>
          <w:tcPr>
            <w:tcW w:w="656" w:type="pct"/>
            <w:tcBorders>
              <w:top w:val="nil"/>
              <w:left w:val="nil"/>
              <w:bottom w:val="nil"/>
              <w:right w:val="nil"/>
            </w:tcBorders>
            <w:noWrap/>
            <w:vAlign w:val="bottom"/>
            <w:hideMark/>
          </w:tcPr>
          <w:p w14:paraId="174B0B0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55" w:type="pct"/>
            <w:tcBorders>
              <w:top w:val="nil"/>
              <w:left w:val="nil"/>
              <w:bottom w:val="nil"/>
              <w:right w:val="nil"/>
            </w:tcBorders>
            <w:noWrap/>
            <w:vAlign w:val="bottom"/>
            <w:hideMark/>
          </w:tcPr>
          <w:p w14:paraId="34F244F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05795C" w:rsidRPr="002B1EBF" w14:paraId="0E0CBA0C" w14:textId="77777777" w:rsidTr="413EB596">
        <w:tc>
          <w:tcPr>
            <w:tcW w:w="3689" w:type="pct"/>
            <w:tcBorders>
              <w:top w:val="nil"/>
              <w:left w:val="nil"/>
              <w:bottom w:val="nil"/>
              <w:right w:val="nil"/>
            </w:tcBorders>
            <w:noWrap/>
            <w:vAlign w:val="bottom"/>
            <w:hideMark/>
          </w:tcPr>
          <w:p w14:paraId="071E68EA" w14:textId="77777777" w:rsidR="0005795C" w:rsidRPr="00F65403" w:rsidRDefault="0005795C">
            <w:pPr>
              <w:spacing w:after="0" w:line="240" w:lineRule="auto"/>
              <w:jc w:val="right"/>
              <w:rPr>
                <w:rFonts w:eastAsia="Times New Roman" w:cs="Arial"/>
                <w:b/>
                <w:color w:val="000000"/>
                <w:sz w:val="20"/>
                <w:szCs w:val="20"/>
                <w:lang w:eastAsia="en-AU"/>
              </w:rPr>
            </w:pPr>
          </w:p>
        </w:tc>
        <w:tc>
          <w:tcPr>
            <w:tcW w:w="656" w:type="pct"/>
            <w:tcBorders>
              <w:top w:val="nil"/>
              <w:left w:val="nil"/>
              <w:bottom w:val="nil"/>
              <w:right w:val="nil"/>
            </w:tcBorders>
            <w:noWrap/>
            <w:vAlign w:val="bottom"/>
            <w:hideMark/>
          </w:tcPr>
          <w:p w14:paraId="34AB846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55" w:type="pct"/>
            <w:tcBorders>
              <w:top w:val="nil"/>
              <w:left w:val="nil"/>
              <w:bottom w:val="nil"/>
              <w:right w:val="nil"/>
            </w:tcBorders>
            <w:noWrap/>
            <w:vAlign w:val="bottom"/>
            <w:hideMark/>
          </w:tcPr>
          <w:p w14:paraId="3302D0B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2B1EBF" w14:paraId="12636FAD" w14:textId="77777777" w:rsidTr="413EB596">
        <w:tc>
          <w:tcPr>
            <w:tcW w:w="3689" w:type="pct"/>
            <w:tcBorders>
              <w:top w:val="nil"/>
              <w:left w:val="nil"/>
              <w:bottom w:val="nil"/>
              <w:right w:val="nil"/>
            </w:tcBorders>
            <w:noWrap/>
            <w:vAlign w:val="bottom"/>
            <w:hideMark/>
          </w:tcPr>
          <w:p w14:paraId="194A0420"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Trade creditors</w:t>
            </w:r>
          </w:p>
        </w:tc>
        <w:tc>
          <w:tcPr>
            <w:tcW w:w="656" w:type="pct"/>
            <w:tcBorders>
              <w:top w:val="nil"/>
              <w:left w:val="nil"/>
              <w:bottom w:val="nil"/>
              <w:right w:val="nil"/>
            </w:tcBorders>
            <w:noWrap/>
            <w:hideMark/>
          </w:tcPr>
          <w:p w14:paraId="478D0815" w14:textId="77777777" w:rsidR="0005795C" w:rsidRPr="00EA02CB" w:rsidRDefault="0005795C">
            <w:pPr>
              <w:tabs>
                <w:tab w:val="decimal" w:pos="854"/>
              </w:tabs>
              <w:spacing w:after="0" w:line="240" w:lineRule="auto"/>
              <w:rPr>
                <w:rFonts w:eastAsia="Times New Roman" w:cs="Arial"/>
                <w:color w:val="000000"/>
                <w:sz w:val="20"/>
                <w:szCs w:val="18"/>
                <w:lang w:eastAsia="en-AU"/>
              </w:rPr>
            </w:pPr>
            <w:r w:rsidRPr="00D15AF6">
              <w:rPr>
                <w:sz w:val="20"/>
                <w:szCs w:val="18"/>
              </w:rPr>
              <w:t>1</w:t>
            </w:r>
          </w:p>
        </w:tc>
        <w:tc>
          <w:tcPr>
            <w:tcW w:w="655" w:type="pct"/>
            <w:tcBorders>
              <w:top w:val="nil"/>
              <w:left w:val="nil"/>
              <w:bottom w:val="nil"/>
              <w:right w:val="nil"/>
            </w:tcBorders>
            <w:noWrap/>
            <w:hideMark/>
          </w:tcPr>
          <w:p w14:paraId="087BD9E9" w14:textId="77777777" w:rsidR="0005795C" w:rsidRPr="00EA02CB" w:rsidRDefault="0005795C">
            <w:pPr>
              <w:tabs>
                <w:tab w:val="decimal" w:pos="854"/>
              </w:tabs>
              <w:spacing w:after="0" w:line="240" w:lineRule="auto"/>
              <w:rPr>
                <w:rFonts w:eastAsia="Times New Roman" w:cs="Arial"/>
                <w:color w:val="000000"/>
                <w:sz w:val="20"/>
                <w:szCs w:val="18"/>
                <w:lang w:eastAsia="en-AU"/>
              </w:rPr>
            </w:pPr>
            <w:r>
              <w:rPr>
                <w:sz w:val="20"/>
                <w:szCs w:val="18"/>
              </w:rPr>
              <w:t>-</w:t>
            </w:r>
          </w:p>
        </w:tc>
      </w:tr>
      <w:tr w:rsidR="0005795C" w:rsidRPr="002B1EBF" w14:paraId="51501108" w14:textId="77777777" w:rsidTr="413EB596">
        <w:tc>
          <w:tcPr>
            <w:tcW w:w="3689" w:type="pct"/>
            <w:tcBorders>
              <w:top w:val="nil"/>
              <w:left w:val="nil"/>
              <w:bottom w:val="nil"/>
              <w:right w:val="nil"/>
            </w:tcBorders>
            <w:noWrap/>
            <w:vAlign w:val="bottom"/>
            <w:hideMark/>
          </w:tcPr>
          <w:p w14:paraId="0BC003E3"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Accruals</w:t>
            </w:r>
          </w:p>
        </w:tc>
        <w:tc>
          <w:tcPr>
            <w:tcW w:w="656" w:type="pct"/>
            <w:tcBorders>
              <w:top w:val="nil"/>
              <w:left w:val="nil"/>
              <w:bottom w:val="nil"/>
              <w:right w:val="nil"/>
            </w:tcBorders>
            <w:noWrap/>
            <w:hideMark/>
          </w:tcPr>
          <w:p w14:paraId="6061CC3E" w14:textId="77777777" w:rsidR="0005795C" w:rsidRPr="00EA02CB" w:rsidRDefault="0005795C">
            <w:pPr>
              <w:tabs>
                <w:tab w:val="decimal" w:pos="854"/>
              </w:tabs>
              <w:spacing w:after="0" w:line="240" w:lineRule="auto"/>
              <w:rPr>
                <w:rFonts w:eastAsia="Times New Roman" w:cs="Arial"/>
                <w:color w:val="000000"/>
                <w:sz w:val="20"/>
                <w:szCs w:val="18"/>
                <w:lang w:eastAsia="en-AU"/>
              </w:rPr>
            </w:pPr>
            <w:r>
              <w:rPr>
                <w:sz w:val="20"/>
                <w:szCs w:val="18"/>
              </w:rPr>
              <w:t>32</w:t>
            </w:r>
          </w:p>
        </w:tc>
        <w:tc>
          <w:tcPr>
            <w:tcW w:w="655" w:type="pct"/>
            <w:tcBorders>
              <w:top w:val="nil"/>
              <w:left w:val="nil"/>
              <w:bottom w:val="nil"/>
              <w:right w:val="nil"/>
            </w:tcBorders>
            <w:noWrap/>
            <w:hideMark/>
          </w:tcPr>
          <w:p w14:paraId="22E549E1" w14:textId="77777777" w:rsidR="0005795C" w:rsidRPr="00EA02CB" w:rsidRDefault="0005795C">
            <w:pPr>
              <w:tabs>
                <w:tab w:val="decimal" w:pos="854"/>
              </w:tabs>
              <w:spacing w:after="0" w:line="240" w:lineRule="auto"/>
              <w:rPr>
                <w:rFonts w:eastAsia="Times New Roman" w:cs="Arial"/>
                <w:color w:val="000000"/>
                <w:sz w:val="20"/>
                <w:szCs w:val="18"/>
                <w:lang w:eastAsia="en-AU"/>
              </w:rPr>
            </w:pPr>
            <w:r>
              <w:rPr>
                <w:sz w:val="20"/>
                <w:szCs w:val="18"/>
              </w:rPr>
              <w:t>30</w:t>
            </w:r>
          </w:p>
        </w:tc>
      </w:tr>
      <w:tr w:rsidR="0005795C" w:rsidRPr="002B1EBF" w14:paraId="4DCE0838" w14:textId="77777777" w:rsidTr="413EB596">
        <w:tc>
          <w:tcPr>
            <w:tcW w:w="3689" w:type="pct"/>
            <w:tcBorders>
              <w:top w:val="nil"/>
              <w:left w:val="nil"/>
              <w:bottom w:val="nil"/>
              <w:right w:val="nil"/>
            </w:tcBorders>
            <w:noWrap/>
            <w:vAlign w:val="bottom"/>
            <w:hideMark/>
          </w:tcPr>
          <w:p w14:paraId="07AA4703" w14:textId="77777777" w:rsidR="0005795C" w:rsidRPr="00F65403" w:rsidRDefault="000579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Payables to SEC Victoria Pty Ltd (parent entity of the Company) </w:t>
            </w:r>
          </w:p>
        </w:tc>
        <w:tc>
          <w:tcPr>
            <w:tcW w:w="656" w:type="pct"/>
            <w:tcBorders>
              <w:top w:val="nil"/>
              <w:left w:val="nil"/>
              <w:bottom w:val="nil"/>
              <w:right w:val="nil"/>
            </w:tcBorders>
            <w:noWrap/>
            <w:hideMark/>
          </w:tcPr>
          <w:p w14:paraId="2A72EF2B" w14:textId="77777777" w:rsidR="0005795C" w:rsidRPr="00EA02CB" w:rsidRDefault="0005795C">
            <w:pPr>
              <w:tabs>
                <w:tab w:val="decimal" w:pos="854"/>
              </w:tabs>
              <w:spacing w:after="0" w:line="240" w:lineRule="auto"/>
              <w:rPr>
                <w:rFonts w:eastAsia="Times New Roman" w:cs="Arial"/>
                <w:color w:val="000000"/>
                <w:sz w:val="20"/>
                <w:szCs w:val="18"/>
                <w:lang w:eastAsia="en-AU"/>
              </w:rPr>
            </w:pPr>
            <w:r>
              <w:rPr>
                <w:sz w:val="20"/>
                <w:szCs w:val="18"/>
              </w:rPr>
              <w:t>72</w:t>
            </w:r>
          </w:p>
        </w:tc>
        <w:tc>
          <w:tcPr>
            <w:tcW w:w="655" w:type="pct"/>
            <w:tcBorders>
              <w:top w:val="nil"/>
              <w:left w:val="nil"/>
              <w:bottom w:val="nil"/>
              <w:right w:val="nil"/>
            </w:tcBorders>
            <w:noWrap/>
            <w:hideMark/>
          </w:tcPr>
          <w:p w14:paraId="164E1D7D" w14:textId="77777777" w:rsidR="0005795C" w:rsidRPr="00EA02CB" w:rsidRDefault="0005795C">
            <w:pPr>
              <w:tabs>
                <w:tab w:val="decimal" w:pos="854"/>
              </w:tabs>
              <w:spacing w:after="0" w:line="240" w:lineRule="auto"/>
              <w:rPr>
                <w:rFonts w:eastAsia="Times New Roman" w:cs="Arial"/>
                <w:color w:val="000000"/>
                <w:sz w:val="20"/>
                <w:szCs w:val="18"/>
                <w:lang w:eastAsia="en-AU"/>
              </w:rPr>
            </w:pPr>
            <w:r w:rsidRPr="00D15AF6">
              <w:rPr>
                <w:sz w:val="20"/>
                <w:szCs w:val="18"/>
              </w:rPr>
              <w:t>-</w:t>
            </w:r>
          </w:p>
        </w:tc>
      </w:tr>
      <w:tr w:rsidR="0005795C" w:rsidRPr="002B1EBF" w14:paraId="5F124A55" w14:textId="77777777" w:rsidTr="413EB596">
        <w:tc>
          <w:tcPr>
            <w:tcW w:w="3689" w:type="pct"/>
            <w:tcBorders>
              <w:top w:val="nil"/>
              <w:left w:val="nil"/>
              <w:bottom w:val="nil"/>
              <w:right w:val="nil"/>
            </w:tcBorders>
            <w:noWrap/>
            <w:vAlign w:val="bottom"/>
            <w:hideMark/>
          </w:tcPr>
          <w:p w14:paraId="741E34F1" w14:textId="18A1A094" w:rsidR="0005795C" w:rsidRPr="00F65403" w:rsidRDefault="0005795C"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r w:rsidR="00446B2A" w:rsidRPr="413EB596">
              <w:rPr>
                <w:rFonts w:eastAsia="Times New Roman" w:cs="Arial"/>
                <w:b/>
                <w:bCs/>
                <w:color w:val="000000" w:themeColor="text1"/>
                <w:sz w:val="20"/>
                <w:szCs w:val="20"/>
                <w:lang w:eastAsia="en-AU"/>
              </w:rPr>
              <w:t xml:space="preserve"> payables</w:t>
            </w:r>
          </w:p>
        </w:tc>
        <w:tc>
          <w:tcPr>
            <w:tcW w:w="656" w:type="pct"/>
            <w:tcBorders>
              <w:top w:val="single" w:sz="4" w:space="0" w:color="auto"/>
              <w:left w:val="nil"/>
              <w:bottom w:val="single" w:sz="4" w:space="0" w:color="auto"/>
              <w:right w:val="nil"/>
            </w:tcBorders>
            <w:noWrap/>
            <w:hideMark/>
          </w:tcPr>
          <w:p w14:paraId="45E1F145" w14:textId="77777777" w:rsidR="0005795C" w:rsidRPr="00EA02CB" w:rsidRDefault="0005795C">
            <w:pPr>
              <w:tabs>
                <w:tab w:val="decimal" w:pos="854"/>
              </w:tabs>
              <w:spacing w:after="0" w:line="240" w:lineRule="auto"/>
              <w:rPr>
                <w:rFonts w:eastAsia="Times New Roman" w:cs="Arial"/>
                <w:b/>
                <w:bCs/>
                <w:color w:val="000000"/>
                <w:sz w:val="20"/>
                <w:szCs w:val="18"/>
                <w:lang w:eastAsia="en-AU"/>
              </w:rPr>
            </w:pPr>
            <w:r>
              <w:rPr>
                <w:b/>
                <w:sz w:val="20"/>
                <w:szCs w:val="18"/>
              </w:rPr>
              <w:t>105</w:t>
            </w:r>
          </w:p>
        </w:tc>
        <w:tc>
          <w:tcPr>
            <w:tcW w:w="655" w:type="pct"/>
            <w:tcBorders>
              <w:top w:val="single" w:sz="4" w:space="0" w:color="auto"/>
              <w:left w:val="nil"/>
              <w:bottom w:val="single" w:sz="4" w:space="0" w:color="auto"/>
              <w:right w:val="nil"/>
            </w:tcBorders>
            <w:noWrap/>
            <w:hideMark/>
          </w:tcPr>
          <w:p w14:paraId="07F1B751" w14:textId="77777777" w:rsidR="0005795C" w:rsidRPr="00EA02CB" w:rsidRDefault="0005795C">
            <w:pPr>
              <w:tabs>
                <w:tab w:val="decimal" w:pos="854"/>
              </w:tabs>
              <w:spacing w:after="0" w:line="240" w:lineRule="auto"/>
              <w:rPr>
                <w:rFonts w:eastAsia="Times New Roman" w:cs="Arial"/>
                <w:b/>
                <w:bCs/>
                <w:color w:val="000000"/>
                <w:sz w:val="20"/>
                <w:szCs w:val="18"/>
                <w:lang w:eastAsia="en-AU"/>
              </w:rPr>
            </w:pPr>
            <w:r>
              <w:rPr>
                <w:b/>
                <w:sz w:val="20"/>
                <w:szCs w:val="18"/>
              </w:rPr>
              <w:t>30</w:t>
            </w:r>
          </w:p>
        </w:tc>
      </w:tr>
    </w:tbl>
    <w:p w14:paraId="5BBA89A6" w14:textId="77777777" w:rsidR="0005795C" w:rsidRPr="00F65403" w:rsidRDefault="0005795C" w:rsidP="0005795C">
      <w:pPr>
        <w:pStyle w:val="BodyText"/>
        <w:rPr>
          <w:lang w:val="en-AU"/>
        </w:rPr>
      </w:pPr>
    </w:p>
    <w:p w14:paraId="1E3F9F4A" w14:textId="77777777" w:rsidR="0005795C" w:rsidRPr="00F65403" w:rsidRDefault="0005795C" w:rsidP="0005795C">
      <w:pPr>
        <w:pStyle w:val="Heading8"/>
      </w:pPr>
      <w:proofErr w:type="spellStart"/>
      <w:r>
        <w:t>i</w:t>
      </w:r>
      <w:proofErr w:type="spellEnd"/>
      <w:r>
        <w:t>.</w:t>
      </w:r>
      <w:r>
        <w:tab/>
        <w:t>Accounting policy</w:t>
      </w:r>
    </w:p>
    <w:p w14:paraId="09CEA8A3" w14:textId="6350B68B" w:rsidR="0005795C" w:rsidRPr="00F65403" w:rsidRDefault="00F14665" w:rsidP="005C6A80">
      <w:pPr>
        <w:pStyle w:val="BodyText"/>
        <w:rPr>
          <w:lang w:val="en-AU"/>
        </w:rPr>
      </w:pPr>
      <w:r w:rsidRPr="413EB596">
        <w:rPr>
          <w:b/>
          <w:bCs/>
          <w:lang w:val="en-AU"/>
        </w:rPr>
        <w:t xml:space="preserve">Other receivables </w:t>
      </w:r>
      <w:r>
        <w:br/>
      </w:r>
      <w:r w:rsidRPr="413EB596">
        <w:rPr>
          <w:lang w:val="en-AU"/>
        </w:rPr>
        <w:t>These amounts generally arise from transactions outside the usual operating activities of the group</w:t>
      </w:r>
      <w:r w:rsidR="00C241DB" w:rsidRPr="413EB596">
        <w:rPr>
          <w:lang w:val="en-AU"/>
        </w:rPr>
        <w:t xml:space="preserve"> and are measured at amortised cost. </w:t>
      </w:r>
      <w:r w:rsidR="0047634E" w:rsidRPr="413EB596">
        <w:rPr>
          <w:lang w:val="en-AU"/>
        </w:rPr>
        <w:t>Receivables relate to t</w:t>
      </w:r>
      <w:r w:rsidR="001663A1" w:rsidRPr="413EB596">
        <w:rPr>
          <w:lang w:val="en-AU"/>
        </w:rPr>
        <w:t>ransfer of tax losses to the parent entity</w:t>
      </w:r>
      <w:r w:rsidR="00D53BA8" w:rsidRPr="413EB596">
        <w:rPr>
          <w:lang w:val="en-AU"/>
        </w:rPr>
        <w:t xml:space="preserve"> and are expected to be settled within twelve months from </w:t>
      </w:r>
      <w:r w:rsidR="00883615" w:rsidRPr="413EB596">
        <w:rPr>
          <w:lang w:val="en-AU"/>
        </w:rPr>
        <w:t>reporting date</w:t>
      </w:r>
      <w:r w:rsidR="001663A1" w:rsidRPr="413EB596">
        <w:rPr>
          <w:lang w:val="en-AU"/>
        </w:rPr>
        <w:t xml:space="preserve">. </w:t>
      </w:r>
      <w:r>
        <w:br/>
      </w:r>
      <w:r>
        <w:br/>
      </w:r>
      <w:r w:rsidR="00393BD5" w:rsidRPr="413EB596">
        <w:rPr>
          <w:b/>
          <w:bCs/>
          <w:lang w:val="en-AU"/>
        </w:rPr>
        <w:t>Payables</w:t>
      </w:r>
      <w:r>
        <w:br/>
      </w:r>
      <w:r w:rsidR="00AF1EEF" w:rsidRPr="413EB596">
        <w:rPr>
          <w:lang w:val="en-AU"/>
        </w:rPr>
        <w:t>P</w:t>
      </w:r>
      <w:r w:rsidR="0005795C" w:rsidRPr="413EB596">
        <w:rPr>
          <w:lang w:val="en-AU"/>
        </w:rPr>
        <w:t>ayables are classified as financial instruments and measured at amortised cost. Payables represent liabilities for goods/services provided to the Company prior to the end of the financial year that are unpaid.</w:t>
      </w:r>
    </w:p>
    <w:p w14:paraId="58282505" w14:textId="77777777" w:rsidR="0005795C" w:rsidRPr="00F65403" w:rsidRDefault="0005795C" w:rsidP="0005795C">
      <w:pPr>
        <w:pStyle w:val="BodyText"/>
        <w:rPr>
          <w:lang w:val="en-AU"/>
        </w:rPr>
      </w:pPr>
    </w:p>
    <w:p w14:paraId="03538520" w14:textId="0E25FB5A" w:rsidR="0005795C" w:rsidRDefault="0005795C" w:rsidP="413EB596">
      <w:pPr>
        <w:pStyle w:val="BodyText"/>
        <w:rPr>
          <w:rFonts w:eastAsiaTheme="majorEastAsia" w:cstheme="majorBidi"/>
          <w:b/>
          <w:bCs/>
        </w:rPr>
      </w:pPr>
      <w:r w:rsidRPr="413EB596">
        <w:rPr>
          <w:lang w:val="en-AU"/>
        </w:rPr>
        <w:t>Payables for supplies and services have an average credit period of 30 days.</w:t>
      </w:r>
      <w:r>
        <w:br/>
      </w:r>
    </w:p>
    <w:p w14:paraId="3626CE74" w14:textId="77777777" w:rsidR="0005795C" w:rsidRPr="00F65403" w:rsidRDefault="0005795C" w:rsidP="0005795C">
      <w:pPr>
        <w:pStyle w:val="Heading7"/>
      </w:pPr>
      <w:r w:rsidRPr="00F65403">
        <w:t>Contribution by owners</w:t>
      </w:r>
    </w:p>
    <w:p w14:paraId="09CB09F8" w14:textId="77777777" w:rsidR="0005795C" w:rsidRPr="00F65403" w:rsidRDefault="0005795C" w:rsidP="0005795C">
      <w:pPr>
        <w:pStyle w:val="Heading8"/>
        <w:spacing w:after="120"/>
      </w:pPr>
      <w:proofErr w:type="spellStart"/>
      <w:r>
        <w:t>i</w:t>
      </w:r>
      <w:proofErr w:type="spellEnd"/>
      <w:r>
        <w:t>.</w:t>
      </w:r>
      <w:r>
        <w:tab/>
        <w:t>Accounting policy</w:t>
      </w:r>
    </w:p>
    <w:p w14:paraId="4D4A20B2" w14:textId="77777777" w:rsidR="0005795C" w:rsidRPr="00F65403" w:rsidRDefault="0005795C" w:rsidP="0005795C">
      <w:pPr>
        <w:pStyle w:val="BodyText"/>
        <w:rPr>
          <w:lang w:val="en-AU"/>
        </w:rPr>
      </w:pPr>
      <w:r w:rsidRPr="04951629">
        <w:rPr>
          <w:lang w:val="en-AU"/>
        </w:rPr>
        <w:t>Consistent with the requirements of AASB 1004</w:t>
      </w:r>
      <w:r w:rsidRPr="04951629">
        <w:rPr>
          <w:i/>
          <w:iCs/>
          <w:lang w:val="en-AU"/>
        </w:rPr>
        <w:t xml:space="preserve"> Contributions</w:t>
      </w:r>
      <w:r w:rsidRPr="04951629">
        <w:rPr>
          <w:lang w:val="en-AU"/>
        </w:rPr>
        <w:t xml:space="preserve"> and FRD 119 </w:t>
      </w:r>
      <w:r w:rsidRPr="04951629">
        <w:rPr>
          <w:i/>
          <w:iCs/>
          <w:lang w:val="en-AU"/>
        </w:rPr>
        <w:t>Transfers through Contributed Capital</w:t>
      </w:r>
      <w:r w:rsidRPr="04951629">
        <w:rPr>
          <w:lang w:val="en-AU"/>
        </w:rPr>
        <w:t xml:space="preserve">, contributions by owners (that is, contributed capital and its repayment) are treated as equity transactions and, therefore, do not form part of the income and expenses of the Company. </w:t>
      </w:r>
    </w:p>
    <w:p w14:paraId="2FD52FF2" w14:textId="77777777" w:rsidR="0005795C" w:rsidRPr="00F65403" w:rsidRDefault="0005795C" w:rsidP="0005795C">
      <w:pPr>
        <w:pStyle w:val="BodyText"/>
        <w:rPr>
          <w:lang w:val="en-AU"/>
        </w:rPr>
      </w:pPr>
    </w:p>
    <w:p w14:paraId="209D243E" w14:textId="77777777" w:rsidR="0005795C" w:rsidRPr="00F65403" w:rsidRDefault="0005795C" w:rsidP="0005795C">
      <w:pPr>
        <w:pStyle w:val="BodyText"/>
        <w:rPr>
          <w:lang w:val="en-AU"/>
        </w:rPr>
      </w:pPr>
      <w:r w:rsidRPr="00F65403">
        <w:rPr>
          <w:lang w:val="en-AU"/>
        </w:rPr>
        <w:t xml:space="preserve">Additions to net assets that have been designated as contributions by owners are recognised as contributed capital. Other transfers that are in the nature of contributions to or distributions by owners have also been designated as contributions by owners. </w:t>
      </w:r>
    </w:p>
    <w:p w14:paraId="47842362" w14:textId="77777777" w:rsidR="0005795C" w:rsidRPr="00F65403" w:rsidRDefault="0005795C" w:rsidP="0005795C">
      <w:pPr>
        <w:pStyle w:val="BodyText"/>
        <w:rPr>
          <w:lang w:val="en-AU"/>
        </w:rPr>
      </w:pPr>
    </w:p>
    <w:p w14:paraId="334E3DAB" w14:textId="7397A624" w:rsidR="0005795C" w:rsidRPr="00F65403" w:rsidRDefault="0005795C" w:rsidP="0005795C">
      <w:pPr>
        <w:pStyle w:val="BodyText"/>
        <w:rPr>
          <w:lang w:val="en-AU"/>
        </w:rPr>
      </w:pPr>
      <w:r w:rsidRPr="413EB596">
        <w:rPr>
          <w:lang w:val="en-AU"/>
        </w:rPr>
        <w:t>Refer to equity contributions disclosed at Note 13</w:t>
      </w:r>
      <w:r w:rsidR="00E76DD2">
        <w:rPr>
          <w:lang w:val="en-AU"/>
        </w:rPr>
        <w:t>.</w:t>
      </w:r>
      <w:r w:rsidRPr="413EB596">
        <w:rPr>
          <w:lang w:val="en-AU"/>
        </w:rPr>
        <w:t xml:space="preserve"> Related parties.</w:t>
      </w:r>
    </w:p>
    <w:p w14:paraId="5BA0A582" w14:textId="06C949A6" w:rsidR="004D20C8" w:rsidRDefault="004D20C8">
      <w:pPr>
        <w:rPr>
          <w:rFonts w:eastAsia="Arial" w:cs="Arial"/>
          <w:sz w:val="20"/>
          <w:szCs w:val="20"/>
        </w:rPr>
      </w:pPr>
      <w:r>
        <w:br w:type="page"/>
      </w:r>
    </w:p>
    <w:p w14:paraId="731B0EBD" w14:textId="77777777" w:rsidR="0005795C" w:rsidRPr="00F65403" w:rsidRDefault="0005795C" w:rsidP="0005795C">
      <w:pPr>
        <w:pStyle w:val="BodyText"/>
        <w:rPr>
          <w:lang w:val="en-AU"/>
        </w:rPr>
      </w:pPr>
    </w:p>
    <w:p w14:paraId="3CFA44A4" w14:textId="77777777" w:rsidR="0005795C" w:rsidRPr="00F65403" w:rsidRDefault="0005795C" w:rsidP="0005795C">
      <w:pPr>
        <w:pStyle w:val="Heading7"/>
      </w:pPr>
      <w:r w:rsidRPr="00F65403">
        <w:t>Financial risk management</w:t>
      </w:r>
    </w:p>
    <w:p w14:paraId="68282E4D" w14:textId="77777777" w:rsidR="0005795C" w:rsidRPr="00F65403" w:rsidRDefault="0005795C" w:rsidP="0005795C">
      <w:pPr>
        <w:pStyle w:val="BodyText"/>
        <w:rPr>
          <w:lang w:val="en-AU"/>
        </w:rPr>
      </w:pPr>
      <w:r w:rsidRPr="00F65403">
        <w:rPr>
          <w:lang w:val="en-AU"/>
        </w:rPr>
        <w:t xml:space="preserve">The Board of Directors has overall responsibility for the establishment and oversight of the risk management policy and framework. The Board has established the Audit and Risk Committee (ARC), which is responsible for approving the </w:t>
      </w:r>
      <w:r>
        <w:rPr>
          <w:lang w:val="en-AU"/>
        </w:rPr>
        <w:t>Company’s</w:t>
      </w:r>
      <w:r w:rsidRPr="00F65403">
        <w:rPr>
          <w:lang w:val="en-AU"/>
        </w:rPr>
        <w:t xml:space="preserve"> risk management framework for identifying, assessing and managing risk. The ARC is also responsible for reviewing and updating the </w:t>
      </w:r>
      <w:r>
        <w:rPr>
          <w:lang w:val="en-AU"/>
        </w:rPr>
        <w:t>Company’s</w:t>
      </w:r>
      <w:r w:rsidRPr="00F65403">
        <w:rPr>
          <w:lang w:val="en-AU"/>
        </w:rPr>
        <w:t xml:space="preserve"> risk profile, monitoring the effectiveness of the risk management framework and reviewing, at least annually, the implementation of the risk management framework.</w:t>
      </w:r>
    </w:p>
    <w:p w14:paraId="6885414C" w14:textId="77777777" w:rsidR="0005795C" w:rsidRPr="00F65403" w:rsidRDefault="0005795C" w:rsidP="0005795C">
      <w:pPr>
        <w:pStyle w:val="BodyText"/>
        <w:rPr>
          <w:lang w:val="en-AU"/>
        </w:rPr>
      </w:pPr>
    </w:p>
    <w:p w14:paraId="5B26EE14" w14:textId="77777777" w:rsidR="0005795C" w:rsidRPr="00F65403" w:rsidRDefault="0005795C" w:rsidP="0005795C">
      <w:pPr>
        <w:pStyle w:val="BodyText"/>
        <w:rPr>
          <w:lang w:val="en-AU"/>
        </w:rPr>
      </w:pPr>
      <w:r w:rsidRPr="00F65403">
        <w:rPr>
          <w:lang w:val="en-AU"/>
        </w:rPr>
        <w:t xml:space="preserve">The </w:t>
      </w:r>
      <w:r>
        <w:rPr>
          <w:lang w:val="en-AU"/>
        </w:rPr>
        <w:t>Company</w:t>
      </w:r>
      <w:r w:rsidRPr="00F65403">
        <w:rPr>
          <w:lang w:val="en-AU"/>
        </w:rPr>
        <w:t xml:space="preserve"> has adopted or is in the process of developing policies covering specific areas, such as interest rate risk, foreign currency risk, energy price risk, credit risk, liquidity risk, and the use of derivative and non-derivative financial instruments as required for its operations. Compliance with policies and exposure limits is reviewed on a continuous basis.</w:t>
      </w:r>
    </w:p>
    <w:p w14:paraId="7F885D90" w14:textId="77777777" w:rsidR="0005795C" w:rsidRPr="00F65403" w:rsidRDefault="0005795C" w:rsidP="0005795C">
      <w:pPr>
        <w:pStyle w:val="BodyText"/>
        <w:rPr>
          <w:lang w:val="en-AU"/>
        </w:rPr>
      </w:pPr>
    </w:p>
    <w:p w14:paraId="2D7A5786" w14:textId="77777777" w:rsidR="0005795C" w:rsidRPr="00F65403" w:rsidRDefault="0005795C" w:rsidP="0005795C">
      <w:pPr>
        <w:pStyle w:val="Heading8"/>
      </w:pPr>
      <w:proofErr w:type="spellStart"/>
      <w:r>
        <w:t>i</w:t>
      </w:r>
      <w:proofErr w:type="spellEnd"/>
      <w:r>
        <w:t>.</w:t>
      </w:r>
      <w:r>
        <w:tab/>
        <w:t>Capital risk management</w:t>
      </w:r>
    </w:p>
    <w:p w14:paraId="497C6D0C" w14:textId="77777777" w:rsidR="0005795C" w:rsidRPr="00F65403" w:rsidRDefault="0005795C" w:rsidP="0005795C">
      <w:pPr>
        <w:pStyle w:val="BodyText"/>
        <w:rPr>
          <w:lang w:val="en-AU"/>
        </w:rPr>
      </w:pPr>
      <w:r w:rsidRPr="00F65403">
        <w:rPr>
          <w:lang w:val="en-AU"/>
        </w:rPr>
        <w:t xml:space="preserve">The </w:t>
      </w:r>
      <w:r>
        <w:rPr>
          <w:lang w:val="en-AU"/>
        </w:rPr>
        <w:t>Company’s</w:t>
      </w:r>
      <w:r w:rsidRPr="00F65403">
        <w:rPr>
          <w:lang w:val="en-AU"/>
        </w:rPr>
        <w:t xml:space="preserve"> objectives when managing capital are to safeguard its ability to continue as a going concern, so that it can continue to provide returns for shareholders and benefits for other stakeholders and to maintain an appropriate capital structure of debt and equity.</w:t>
      </w:r>
      <w:r>
        <w:rPr>
          <w:lang w:val="en-AU"/>
        </w:rPr>
        <w:t xml:space="preserve"> </w:t>
      </w:r>
      <w:r w:rsidRPr="001D5730">
        <w:rPr>
          <w:lang w:val="en-AU"/>
        </w:rPr>
        <w:t>The Company relies on its parent, SEC Victoria Pty Ltd, to unconditionally provide funding as and when required for operations and this has been formalised through a letter of financial support.</w:t>
      </w:r>
      <w:r w:rsidRPr="001D5730">
        <w:rPr>
          <w:lang w:val="en-AU"/>
        </w:rPr>
        <w:cr/>
      </w:r>
    </w:p>
    <w:p w14:paraId="45703622" w14:textId="77777777" w:rsidR="0005795C" w:rsidRPr="00F65403" w:rsidRDefault="0005795C" w:rsidP="0005795C">
      <w:pPr>
        <w:pStyle w:val="BodyText"/>
        <w:rPr>
          <w:lang w:val="en-AU"/>
        </w:rPr>
      </w:pPr>
      <w:r w:rsidRPr="00F65403">
        <w:rPr>
          <w:lang w:val="en-AU"/>
        </w:rPr>
        <w:t xml:space="preserve">The capital structure of </w:t>
      </w:r>
      <w:r>
        <w:rPr>
          <w:lang w:val="en-AU"/>
        </w:rPr>
        <w:t>the Company</w:t>
      </w:r>
      <w:r w:rsidRPr="00F65403">
        <w:rPr>
          <w:lang w:val="en-AU"/>
        </w:rPr>
        <w:t xml:space="preserve"> consists of cash and cash equivalents and total equity (comprising issued and contributed capital provided </w:t>
      </w:r>
      <w:r>
        <w:rPr>
          <w:lang w:val="en-AU"/>
        </w:rPr>
        <w:t>its parent</w:t>
      </w:r>
      <w:r w:rsidRPr="00F65403">
        <w:rPr>
          <w:lang w:val="en-AU"/>
        </w:rPr>
        <w:t xml:space="preserve"> and retained earnings). </w:t>
      </w:r>
      <w:r>
        <w:rPr>
          <w:lang w:val="en-AU"/>
        </w:rPr>
        <w:t>The Company</w:t>
      </w:r>
      <w:r w:rsidRPr="00F65403">
        <w:rPr>
          <w:lang w:val="en-AU"/>
        </w:rPr>
        <w:t xml:space="preserve"> monitors capital based on the funds received along with anticipated cash outflows.</w:t>
      </w:r>
    </w:p>
    <w:p w14:paraId="7CD988D8" w14:textId="77777777" w:rsidR="0005795C" w:rsidRPr="00F65403" w:rsidRDefault="0005795C" w:rsidP="0005795C">
      <w:pPr>
        <w:pStyle w:val="BodyText"/>
        <w:rPr>
          <w:lang w:val="en-AU"/>
        </w:rPr>
      </w:pPr>
    </w:p>
    <w:p w14:paraId="4063C626" w14:textId="77777777" w:rsidR="0005795C" w:rsidRPr="00F65403" w:rsidRDefault="0005795C" w:rsidP="0005795C">
      <w:pPr>
        <w:pStyle w:val="Heading8"/>
      </w:pPr>
      <w:r>
        <w:t>ii.</w:t>
      </w:r>
      <w:r>
        <w:tab/>
        <w:t>Energy price risk management</w:t>
      </w:r>
    </w:p>
    <w:p w14:paraId="493EBB74" w14:textId="672331BE" w:rsidR="00FC062F" w:rsidRPr="00FC062F" w:rsidRDefault="0005795C" w:rsidP="001513B5">
      <w:pPr>
        <w:pStyle w:val="BodyText"/>
      </w:pPr>
      <w:r w:rsidRPr="413EB596">
        <w:rPr>
          <w:lang w:val="en-AU"/>
        </w:rPr>
        <w:t>The Company is exposed to energy price risk associated with derivative contracts held - to hedge electricity price as an economic hedge and an energy price linked contract with a related party. The Company manages its energy price risk through an established risk management framework consisting of policies to place appropriate risk limits on overall energy market exposures and transaction limits for approved energy commodities, requirements for delegations of authority on trading, reporting of exposures and segregation of duties.</w:t>
      </w:r>
      <w:r w:rsidR="009B3C7F">
        <w:br/>
      </w:r>
    </w:p>
    <w:p w14:paraId="73D2D189" w14:textId="77777777" w:rsidR="0005795C" w:rsidRPr="00E326C0" w:rsidRDefault="0005795C" w:rsidP="413EB596">
      <w:pPr>
        <w:pStyle w:val="Heading8"/>
        <w:rPr>
          <w:i w:val="0"/>
          <w:iCs w:val="0"/>
        </w:rPr>
      </w:pPr>
      <w:r w:rsidRPr="413EB596">
        <w:rPr>
          <w:i w:val="0"/>
          <w:iCs w:val="0"/>
        </w:rPr>
        <w:t>Energy price sensitivity</w:t>
      </w:r>
    </w:p>
    <w:p w14:paraId="79BD5DE4" w14:textId="36DEAFA6" w:rsidR="0005795C" w:rsidRPr="00F65403" w:rsidRDefault="0005795C" w:rsidP="0005795C">
      <w:pPr>
        <w:pStyle w:val="BodyText"/>
        <w:rPr>
          <w:lang w:val="en-AU"/>
        </w:rPr>
      </w:pPr>
      <w:r w:rsidRPr="34A72D4E">
        <w:rPr>
          <w:lang w:val="en-AU"/>
        </w:rPr>
        <w:t>A sensitivity to a 10% increase or decrease in the energy market-related prices</w:t>
      </w:r>
      <w:r w:rsidR="00A36D1F">
        <w:rPr>
          <w:lang w:val="en-AU"/>
        </w:rPr>
        <w:t xml:space="preserve"> has been prepared in the table below</w:t>
      </w:r>
      <w:r w:rsidRPr="34A72D4E">
        <w:rPr>
          <w:lang w:val="en-AU"/>
        </w:rPr>
        <w:t xml:space="preserve">. A sensitivity of 10% has been used as this is considered </w:t>
      </w:r>
      <w:r w:rsidR="00A36D1F">
        <w:rPr>
          <w:lang w:val="en-AU"/>
        </w:rPr>
        <w:t xml:space="preserve">a </w:t>
      </w:r>
      <w:r w:rsidRPr="34A72D4E">
        <w:rPr>
          <w:lang w:val="en-AU"/>
        </w:rPr>
        <w:t>reasonably possible</w:t>
      </w:r>
      <w:r w:rsidR="00A36D1F">
        <w:rPr>
          <w:lang w:val="en-AU"/>
        </w:rPr>
        <w:t>.</w:t>
      </w:r>
      <w:r>
        <w:rPr>
          <w:lang w:val="en-AU"/>
        </w:rPr>
        <w:br/>
      </w:r>
    </w:p>
    <w:tbl>
      <w:tblPr>
        <w:tblW w:w="8985" w:type="dxa"/>
        <w:tblLayout w:type="fixed"/>
        <w:tblCellMar>
          <w:top w:w="28" w:type="dxa"/>
          <w:left w:w="28" w:type="dxa"/>
          <w:bottom w:w="28" w:type="dxa"/>
          <w:right w:w="28" w:type="dxa"/>
        </w:tblCellMar>
        <w:tblLook w:val="04A0" w:firstRow="1" w:lastRow="0" w:firstColumn="1" w:lastColumn="0" w:noHBand="0" w:noVBand="1"/>
      </w:tblPr>
      <w:tblGrid>
        <w:gridCol w:w="1984"/>
        <w:gridCol w:w="1166"/>
        <w:gridCol w:w="1167"/>
        <w:gridCol w:w="1157"/>
        <w:gridCol w:w="10"/>
        <w:gridCol w:w="1109"/>
        <w:gridCol w:w="1225"/>
        <w:gridCol w:w="1167"/>
      </w:tblGrid>
      <w:tr w:rsidR="0005795C" w:rsidRPr="006B5056" w14:paraId="29C3794C" w14:textId="77777777">
        <w:tc>
          <w:tcPr>
            <w:tcW w:w="1984" w:type="dxa"/>
            <w:tcBorders>
              <w:top w:val="nil"/>
              <w:left w:val="nil"/>
              <w:bottom w:val="nil"/>
              <w:right w:val="nil"/>
            </w:tcBorders>
            <w:noWrap/>
            <w:vAlign w:val="bottom"/>
            <w:hideMark/>
          </w:tcPr>
          <w:p w14:paraId="70C7EE09" w14:textId="77777777" w:rsidR="0005795C" w:rsidRPr="00F65403" w:rsidRDefault="0005795C">
            <w:pPr>
              <w:spacing w:after="0" w:line="240" w:lineRule="auto"/>
              <w:rPr>
                <w:rFonts w:eastAsia="Times New Roman" w:cs="Arial"/>
                <w:sz w:val="20"/>
                <w:szCs w:val="20"/>
                <w:lang w:eastAsia="en-AU"/>
              </w:rPr>
            </w:pPr>
          </w:p>
        </w:tc>
        <w:tc>
          <w:tcPr>
            <w:tcW w:w="3500" w:type="dxa"/>
            <w:gridSpan w:val="4"/>
            <w:tcBorders>
              <w:top w:val="nil"/>
              <w:left w:val="nil"/>
              <w:bottom w:val="nil"/>
              <w:right w:val="nil"/>
            </w:tcBorders>
            <w:noWrap/>
            <w:vAlign w:val="bottom"/>
            <w:hideMark/>
          </w:tcPr>
          <w:p w14:paraId="4103B300" w14:textId="77777777" w:rsidR="0005795C" w:rsidRPr="00F65403" w:rsidRDefault="0005795C">
            <w:pPr>
              <w:spacing w:after="0" w:line="240" w:lineRule="auto"/>
              <w:ind w:left="883" w:hanging="1102"/>
              <w:jc w:val="center"/>
              <w:rPr>
                <w:rFonts w:eastAsia="Times New Roman" w:cs="Arial"/>
                <w:b/>
                <w:sz w:val="20"/>
                <w:szCs w:val="20"/>
                <w:lang w:eastAsia="en-AU"/>
              </w:rPr>
            </w:pPr>
            <w:r w:rsidRPr="00F65403">
              <w:rPr>
                <w:rFonts w:eastAsia="Times New Roman" w:cs="Arial"/>
                <w:b/>
                <w:sz w:val="20"/>
                <w:szCs w:val="20"/>
                <w:lang w:eastAsia="en-AU"/>
              </w:rPr>
              <w:t>2025</w:t>
            </w:r>
          </w:p>
        </w:tc>
        <w:tc>
          <w:tcPr>
            <w:tcW w:w="3501" w:type="dxa"/>
            <w:gridSpan w:val="3"/>
            <w:tcBorders>
              <w:top w:val="nil"/>
              <w:left w:val="nil"/>
              <w:bottom w:val="nil"/>
              <w:right w:val="nil"/>
            </w:tcBorders>
            <w:noWrap/>
            <w:vAlign w:val="bottom"/>
            <w:hideMark/>
          </w:tcPr>
          <w:p w14:paraId="45F6D7D9"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2024</w:t>
            </w:r>
          </w:p>
        </w:tc>
      </w:tr>
      <w:tr w:rsidR="0005795C" w:rsidRPr="006B5056" w14:paraId="60005329" w14:textId="77777777">
        <w:tc>
          <w:tcPr>
            <w:tcW w:w="1984" w:type="dxa"/>
            <w:tcBorders>
              <w:top w:val="nil"/>
              <w:left w:val="nil"/>
              <w:bottom w:val="nil"/>
              <w:right w:val="nil"/>
            </w:tcBorders>
            <w:vAlign w:val="center"/>
            <w:hideMark/>
          </w:tcPr>
          <w:p w14:paraId="4B112DCD" w14:textId="77777777" w:rsidR="0005795C" w:rsidRPr="00F65403" w:rsidRDefault="0005795C">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center"/>
            <w:hideMark/>
          </w:tcPr>
          <w:p w14:paraId="6D16FF77"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Carrying amount</w:t>
            </w:r>
          </w:p>
        </w:tc>
        <w:tc>
          <w:tcPr>
            <w:tcW w:w="2324" w:type="dxa"/>
            <w:gridSpan w:val="2"/>
            <w:tcBorders>
              <w:top w:val="nil"/>
              <w:left w:val="nil"/>
              <w:bottom w:val="nil"/>
              <w:right w:val="nil"/>
            </w:tcBorders>
            <w:vAlign w:val="center"/>
            <w:hideMark/>
          </w:tcPr>
          <w:p w14:paraId="26536AF3"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Impact on net result</w:t>
            </w:r>
          </w:p>
        </w:tc>
        <w:tc>
          <w:tcPr>
            <w:tcW w:w="1119" w:type="dxa"/>
            <w:gridSpan w:val="2"/>
            <w:tcBorders>
              <w:top w:val="nil"/>
              <w:left w:val="nil"/>
              <w:bottom w:val="nil"/>
              <w:right w:val="nil"/>
            </w:tcBorders>
            <w:vAlign w:val="center"/>
            <w:hideMark/>
          </w:tcPr>
          <w:p w14:paraId="693AA359"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Carrying amount</w:t>
            </w:r>
          </w:p>
        </w:tc>
        <w:tc>
          <w:tcPr>
            <w:tcW w:w="2392" w:type="dxa"/>
            <w:gridSpan w:val="2"/>
            <w:tcBorders>
              <w:top w:val="nil"/>
              <w:left w:val="nil"/>
              <w:bottom w:val="nil"/>
              <w:right w:val="nil"/>
            </w:tcBorders>
            <w:vAlign w:val="center"/>
            <w:hideMark/>
          </w:tcPr>
          <w:p w14:paraId="09997A95"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Impact on net result</w:t>
            </w:r>
          </w:p>
        </w:tc>
      </w:tr>
      <w:tr w:rsidR="0005795C" w:rsidRPr="006B5056" w14:paraId="48214E41" w14:textId="77777777">
        <w:tc>
          <w:tcPr>
            <w:tcW w:w="1984" w:type="dxa"/>
            <w:tcBorders>
              <w:top w:val="nil"/>
              <w:left w:val="nil"/>
              <w:bottom w:val="nil"/>
              <w:right w:val="nil"/>
            </w:tcBorders>
            <w:vAlign w:val="center"/>
            <w:hideMark/>
          </w:tcPr>
          <w:p w14:paraId="07832C1B" w14:textId="77777777" w:rsidR="0005795C" w:rsidRPr="00F65403" w:rsidRDefault="0005795C">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bottom"/>
            <w:hideMark/>
          </w:tcPr>
          <w:p w14:paraId="4E3FC3FA" w14:textId="77777777" w:rsidR="0005795C" w:rsidRPr="00F65403" w:rsidRDefault="0005795C">
            <w:pPr>
              <w:spacing w:after="0" w:line="240" w:lineRule="auto"/>
              <w:rPr>
                <w:rFonts w:eastAsia="Times New Roman" w:cs="Arial"/>
                <w:sz w:val="20"/>
                <w:szCs w:val="20"/>
                <w:lang w:eastAsia="en-AU"/>
              </w:rPr>
            </w:pPr>
          </w:p>
        </w:tc>
        <w:tc>
          <w:tcPr>
            <w:tcW w:w="1167" w:type="dxa"/>
            <w:tcBorders>
              <w:top w:val="nil"/>
              <w:left w:val="nil"/>
              <w:bottom w:val="nil"/>
              <w:right w:val="nil"/>
            </w:tcBorders>
            <w:vAlign w:val="center"/>
            <w:hideMark/>
          </w:tcPr>
          <w:p w14:paraId="7F4E2230"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67" w:type="dxa"/>
            <w:gridSpan w:val="2"/>
            <w:tcBorders>
              <w:top w:val="nil"/>
              <w:left w:val="nil"/>
              <w:bottom w:val="nil"/>
              <w:right w:val="nil"/>
            </w:tcBorders>
            <w:vAlign w:val="center"/>
            <w:hideMark/>
          </w:tcPr>
          <w:p w14:paraId="73827981"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09" w:type="dxa"/>
            <w:tcBorders>
              <w:top w:val="nil"/>
              <w:left w:val="nil"/>
              <w:bottom w:val="nil"/>
              <w:right w:val="nil"/>
            </w:tcBorders>
            <w:vAlign w:val="bottom"/>
            <w:hideMark/>
          </w:tcPr>
          <w:p w14:paraId="6F7C439F" w14:textId="77777777" w:rsidR="0005795C" w:rsidRPr="00F65403" w:rsidRDefault="0005795C">
            <w:pPr>
              <w:spacing w:after="0" w:line="240" w:lineRule="auto"/>
              <w:jc w:val="center"/>
              <w:rPr>
                <w:rFonts w:eastAsia="Times New Roman" w:cs="Arial"/>
                <w:sz w:val="20"/>
                <w:szCs w:val="20"/>
                <w:lang w:eastAsia="en-AU"/>
              </w:rPr>
            </w:pPr>
          </w:p>
        </w:tc>
        <w:tc>
          <w:tcPr>
            <w:tcW w:w="1225" w:type="dxa"/>
            <w:tcBorders>
              <w:top w:val="nil"/>
              <w:left w:val="nil"/>
              <w:bottom w:val="nil"/>
              <w:right w:val="nil"/>
            </w:tcBorders>
            <w:vAlign w:val="center"/>
            <w:hideMark/>
          </w:tcPr>
          <w:p w14:paraId="0D3B0B0C"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c>
          <w:tcPr>
            <w:tcW w:w="1167" w:type="dxa"/>
            <w:tcBorders>
              <w:top w:val="nil"/>
              <w:left w:val="nil"/>
              <w:bottom w:val="nil"/>
              <w:right w:val="nil"/>
            </w:tcBorders>
            <w:vAlign w:val="center"/>
            <w:hideMark/>
          </w:tcPr>
          <w:p w14:paraId="2D238E92"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+10%</w:t>
            </w:r>
          </w:p>
        </w:tc>
      </w:tr>
      <w:tr w:rsidR="0005795C" w:rsidRPr="006B5056" w14:paraId="6FC20F00" w14:textId="77777777">
        <w:tc>
          <w:tcPr>
            <w:tcW w:w="1984" w:type="dxa"/>
            <w:tcBorders>
              <w:top w:val="nil"/>
              <w:left w:val="nil"/>
              <w:bottom w:val="nil"/>
              <w:right w:val="nil"/>
            </w:tcBorders>
            <w:vAlign w:val="center"/>
            <w:hideMark/>
          </w:tcPr>
          <w:p w14:paraId="40C3FDF0" w14:textId="77777777" w:rsidR="0005795C" w:rsidRPr="00F65403" w:rsidRDefault="0005795C">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vAlign w:val="center"/>
            <w:hideMark/>
          </w:tcPr>
          <w:p w14:paraId="39F1B05D"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tcBorders>
              <w:top w:val="nil"/>
              <w:left w:val="nil"/>
              <w:bottom w:val="nil"/>
              <w:right w:val="nil"/>
            </w:tcBorders>
            <w:vAlign w:val="center"/>
            <w:hideMark/>
          </w:tcPr>
          <w:p w14:paraId="0807A0E7"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gridSpan w:val="2"/>
            <w:tcBorders>
              <w:top w:val="nil"/>
              <w:left w:val="nil"/>
              <w:bottom w:val="nil"/>
              <w:right w:val="nil"/>
            </w:tcBorders>
            <w:vAlign w:val="center"/>
            <w:hideMark/>
          </w:tcPr>
          <w:p w14:paraId="27B46B7A"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09" w:type="dxa"/>
            <w:tcBorders>
              <w:top w:val="nil"/>
              <w:left w:val="nil"/>
              <w:bottom w:val="nil"/>
              <w:right w:val="nil"/>
            </w:tcBorders>
            <w:vAlign w:val="center"/>
            <w:hideMark/>
          </w:tcPr>
          <w:p w14:paraId="4F8BEB94"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225" w:type="dxa"/>
            <w:tcBorders>
              <w:top w:val="nil"/>
              <w:left w:val="nil"/>
              <w:bottom w:val="nil"/>
              <w:right w:val="nil"/>
            </w:tcBorders>
            <w:vAlign w:val="center"/>
            <w:hideMark/>
          </w:tcPr>
          <w:p w14:paraId="45D978D0"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c>
          <w:tcPr>
            <w:tcW w:w="1167" w:type="dxa"/>
            <w:tcBorders>
              <w:top w:val="nil"/>
              <w:left w:val="nil"/>
              <w:bottom w:val="nil"/>
              <w:right w:val="nil"/>
            </w:tcBorders>
            <w:vAlign w:val="center"/>
            <w:hideMark/>
          </w:tcPr>
          <w:p w14:paraId="42FC9A8E" w14:textId="77777777" w:rsidR="0005795C" w:rsidRPr="00F65403" w:rsidRDefault="0005795C">
            <w:pPr>
              <w:spacing w:after="0" w:line="240" w:lineRule="auto"/>
              <w:jc w:val="center"/>
              <w:rPr>
                <w:rFonts w:eastAsia="Times New Roman" w:cs="Arial"/>
                <w:b/>
                <w:sz w:val="20"/>
                <w:szCs w:val="20"/>
                <w:lang w:eastAsia="en-AU"/>
              </w:rPr>
            </w:pPr>
            <w:r w:rsidRPr="00F65403">
              <w:rPr>
                <w:rFonts w:eastAsia="Times New Roman" w:cs="Arial"/>
                <w:b/>
                <w:sz w:val="20"/>
                <w:szCs w:val="20"/>
                <w:lang w:eastAsia="en-AU"/>
              </w:rPr>
              <w:t>$000's</w:t>
            </w:r>
          </w:p>
        </w:tc>
      </w:tr>
      <w:tr w:rsidR="0005795C" w:rsidRPr="006B5056" w14:paraId="70BF6F58" w14:textId="77777777">
        <w:tc>
          <w:tcPr>
            <w:tcW w:w="1984" w:type="dxa"/>
            <w:tcBorders>
              <w:top w:val="nil"/>
              <w:left w:val="nil"/>
              <w:bottom w:val="nil"/>
              <w:right w:val="nil"/>
            </w:tcBorders>
            <w:noWrap/>
            <w:vAlign w:val="center"/>
            <w:hideMark/>
          </w:tcPr>
          <w:p w14:paraId="02C675E7" w14:textId="77777777" w:rsidR="0005795C" w:rsidRPr="00F65403" w:rsidRDefault="0005795C">
            <w:pPr>
              <w:spacing w:after="0" w:line="240" w:lineRule="auto"/>
              <w:jc w:val="center"/>
              <w:rPr>
                <w:rFonts w:eastAsia="Times New Roman" w:cs="Arial"/>
                <w:b/>
                <w:sz w:val="20"/>
                <w:szCs w:val="20"/>
                <w:lang w:eastAsia="en-AU"/>
              </w:rPr>
            </w:pPr>
          </w:p>
        </w:tc>
        <w:tc>
          <w:tcPr>
            <w:tcW w:w="1166" w:type="dxa"/>
            <w:tcBorders>
              <w:top w:val="nil"/>
              <w:left w:val="nil"/>
              <w:bottom w:val="nil"/>
              <w:right w:val="nil"/>
            </w:tcBorders>
            <w:noWrap/>
            <w:vAlign w:val="bottom"/>
            <w:hideMark/>
          </w:tcPr>
          <w:p w14:paraId="12A5DEFC" w14:textId="77777777" w:rsidR="0005795C" w:rsidRPr="00F65403" w:rsidRDefault="0005795C">
            <w:pPr>
              <w:spacing w:after="0" w:line="240" w:lineRule="auto"/>
              <w:rPr>
                <w:rFonts w:eastAsia="Times New Roman" w:cs="Arial"/>
                <w:sz w:val="20"/>
                <w:szCs w:val="20"/>
                <w:lang w:eastAsia="en-AU"/>
              </w:rPr>
            </w:pPr>
          </w:p>
        </w:tc>
        <w:tc>
          <w:tcPr>
            <w:tcW w:w="1167" w:type="dxa"/>
            <w:tcBorders>
              <w:top w:val="nil"/>
              <w:left w:val="nil"/>
              <w:bottom w:val="nil"/>
              <w:right w:val="nil"/>
            </w:tcBorders>
            <w:vAlign w:val="bottom"/>
            <w:hideMark/>
          </w:tcPr>
          <w:p w14:paraId="006828A5" w14:textId="77777777" w:rsidR="0005795C" w:rsidRPr="00F65403" w:rsidRDefault="0005795C">
            <w:pPr>
              <w:spacing w:after="0" w:line="240" w:lineRule="auto"/>
              <w:rPr>
                <w:rFonts w:eastAsia="Times New Roman" w:cs="Arial"/>
                <w:sz w:val="20"/>
                <w:szCs w:val="20"/>
                <w:lang w:eastAsia="en-AU"/>
              </w:rPr>
            </w:pPr>
          </w:p>
        </w:tc>
        <w:tc>
          <w:tcPr>
            <w:tcW w:w="1167" w:type="dxa"/>
            <w:gridSpan w:val="2"/>
            <w:tcBorders>
              <w:top w:val="nil"/>
              <w:left w:val="nil"/>
              <w:bottom w:val="nil"/>
              <w:right w:val="nil"/>
            </w:tcBorders>
            <w:vAlign w:val="bottom"/>
            <w:hideMark/>
          </w:tcPr>
          <w:p w14:paraId="36EBE3CF" w14:textId="77777777" w:rsidR="0005795C" w:rsidRPr="00F65403" w:rsidRDefault="0005795C">
            <w:pPr>
              <w:spacing w:after="0" w:line="240" w:lineRule="auto"/>
              <w:rPr>
                <w:rFonts w:eastAsia="Times New Roman" w:cs="Arial"/>
                <w:sz w:val="20"/>
                <w:szCs w:val="20"/>
                <w:lang w:eastAsia="en-AU"/>
              </w:rPr>
            </w:pPr>
          </w:p>
        </w:tc>
        <w:tc>
          <w:tcPr>
            <w:tcW w:w="1109" w:type="dxa"/>
            <w:tcBorders>
              <w:top w:val="nil"/>
              <w:left w:val="nil"/>
              <w:bottom w:val="nil"/>
              <w:right w:val="nil"/>
            </w:tcBorders>
            <w:noWrap/>
            <w:vAlign w:val="bottom"/>
            <w:hideMark/>
          </w:tcPr>
          <w:p w14:paraId="128F59F0" w14:textId="77777777" w:rsidR="0005795C" w:rsidRPr="00F65403" w:rsidRDefault="0005795C">
            <w:pPr>
              <w:spacing w:after="0" w:line="240" w:lineRule="auto"/>
              <w:rPr>
                <w:rFonts w:eastAsia="Times New Roman" w:cs="Arial"/>
                <w:sz w:val="20"/>
                <w:szCs w:val="20"/>
                <w:lang w:eastAsia="en-AU"/>
              </w:rPr>
            </w:pPr>
          </w:p>
        </w:tc>
        <w:tc>
          <w:tcPr>
            <w:tcW w:w="1225" w:type="dxa"/>
            <w:tcBorders>
              <w:top w:val="nil"/>
              <w:left w:val="nil"/>
              <w:bottom w:val="nil"/>
              <w:right w:val="nil"/>
            </w:tcBorders>
            <w:vAlign w:val="bottom"/>
            <w:hideMark/>
          </w:tcPr>
          <w:p w14:paraId="207A16F8" w14:textId="77777777" w:rsidR="0005795C" w:rsidRPr="00F65403" w:rsidRDefault="0005795C">
            <w:pPr>
              <w:spacing w:after="0" w:line="240" w:lineRule="auto"/>
              <w:rPr>
                <w:rFonts w:eastAsia="Times New Roman" w:cs="Arial"/>
                <w:sz w:val="20"/>
                <w:szCs w:val="20"/>
                <w:lang w:eastAsia="en-AU"/>
              </w:rPr>
            </w:pPr>
          </w:p>
        </w:tc>
        <w:tc>
          <w:tcPr>
            <w:tcW w:w="1167" w:type="dxa"/>
            <w:tcBorders>
              <w:top w:val="nil"/>
              <w:left w:val="nil"/>
              <w:bottom w:val="nil"/>
              <w:right w:val="nil"/>
            </w:tcBorders>
            <w:vAlign w:val="bottom"/>
            <w:hideMark/>
          </w:tcPr>
          <w:p w14:paraId="06CFE637" w14:textId="77777777" w:rsidR="0005795C" w:rsidRPr="00F65403" w:rsidRDefault="0005795C">
            <w:pPr>
              <w:spacing w:after="0" w:line="240" w:lineRule="auto"/>
              <w:rPr>
                <w:rFonts w:eastAsia="Times New Roman" w:cs="Arial"/>
                <w:sz w:val="20"/>
                <w:szCs w:val="20"/>
                <w:lang w:eastAsia="en-AU"/>
              </w:rPr>
            </w:pPr>
          </w:p>
        </w:tc>
      </w:tr>
      <w:tr w:rsidR="0005795C" w:rsidRPr="006B5056" w14:paraId="2AC3988F" w14:textId="77777777">
        <w:tc>
          <w:tcPr>
            <w:tcW w:w="1984" w:type="dxa"/>
            <w:tcBorders>
              <w:top w:val="nil"/>
              <w:left w:val="nil"/>
              <w:bottom w:val="nil"/>
              <w:right w:val="nil"/>
            </w:tcBorders>
            <w:vAlign w:val="center"/>
            <w:hideMark/>
          </w:tcPr>
          <w:p w14:paraId="7B1F78FA"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Energy derivatives - economic hedges</w:t>
            </w:r>
          </w:p>
        </w:tc>
        <w:tc>
          <w:tcPr>
            <w:tcW w:w="1166" w:type="dxa"/>
            <w:tcBorders>
              <w:top w:val="nil"/>
              <w:left w:val="nil"/>
              <w:bottom w:val="nil"/>
              <w:right w:val="nil"/>
            </w:tcBorders>
            <w:noWrap/>
            <w:vAlign w:val="bottom"/>
            <w:hideMark/>
          </w:tcPr>
          <w:p w14:paraId="01711253"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27,709</w:t>
            </w:r>
          </w:p>
        </w:tc>
        <w:tc>
          <w:tcPr>
            <w:tcW w:w="1167" w:type="dxa"/>
            <w:tcBorders>
              <w:top w:val="nil"/>
              <w:left w:val="nil"/>
              <w:bottom w:val="nil"/>
              <w:right w:val="nil"/>
            </w:tcBorders>
            <w:noWrap/>
            <w:vAlign w:val="bottom"/>
            <w:hideMark/>
          </w:tcPr>
          <w:p w14:paraId="69D8A53C"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(10,312)</w:t>
            </w:r>
          </w:p>
        </w:tc>
        <w:tc>
          <w:tcPr>
            <w:tcW w:w="1167" w:type="dxa"/>
            <w:gridSpan w:val="2"/>
            <w:tcBorders>
              <w:top w:val="nil"/>
              <w:left w:val="nil"/>
              <w:bottom w:val="nil"/>
              <w:right w:val="nil"/>
            </w:tcBorders>
            <w:vAlign w:val="bottom"/>
            <w:hideMark/>
          </w:tcPr>
          <w:p w14:paraId="3747D9A6"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9,957</w:t>
            </w:r>
          </w:p>
        </w:tc>
        <w:tc>
          <w:tcPr>
            <w:tcW w:w="1109" w:type="dxa"/>
            <w:tcBorders>
              <w:top w:val="nil"/>
              <w:left w:val="nil"/>
              <w:bottom w:val="nil"/>
              <w:right w:val="nil"/>
            </w:tcBorders>
            <w:vAlign w:val="bottom"/>
          </w:tcPr>
          <w:p w14:paraId="5A7574FE" w14:textId="77777777" w:rsidR="0005795C" w:rsidRPr="00F65403" w:rsidRDefault="0005795C">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c>
          <w:tcPr>
            <w:tcW w:w="1225" w:type="dxa"/>
            <w:tcBorders>
              <w:top w:val="nil"/>
              <w:left w:val="nil"/>
              <w:bottom w:val="nil"/>
              <w:right w:val="nil"/>
            </w:tcBorders>
            <w:vAlign w:val="bottom"/>
          </w:tcPr>
          <w:p w14:paraId="67161D3F" w14:textId="77777777" w:rsidR="0005795C" w:rsidRPr="00F65403" w:rsidRDefault="0005795C">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c>
          <w:tcPr>
            <w:tcW w:w="1167" w:type="dxa"/>
            <w:tcBorders>
              <w:top w:val="nil"/>
              <w:left w:val="nil"/>
              <w:bottom w:val="nil"/>
              <w:right w:val="nil"/>
            </w:tcBorders>
            <w:vAlign w:val="bottom"/>
          </w:tcPr>
          <w:p w14:paraId="566CE615" w14:textId="77777777" w:rsidR="0005795C" w:rsidRPr="00F65403" w:rsidRDefault="0005795C">
            <w:pPr>
              <w:tabs>
                <w:tab w:val="decimal" w:pos="967"/>
              </w:tabs>
              <w:spacing w:after="0" w:line="240" w:lineRule="auto"/>
              <w:rPr>
                <w:rFonts w:eastAsia="Times New Roman" w:cs="Arial"/>
                <w:sz w:val="20"/>
                <w:szCs w:val="20"/>
                <w:lang w:eastAsia="en-AU"/>
              </w:rPr>
            </w:pPr>
            <w:r>
              <w:rPr>
                <w:rFonts w:eastAsia="Times New Roman" w:cs="Arial"/>
                <w:sz w:val="20"/>
                <w:szCs w:val="20"/>
                <w:lang w:eastAsia="en-AU"/>
              </w:rPr>
              <w:t>-</w:t>
            </w:r>
          </w:p>
        </w:tc>
      </w:tr>
      <w:tr w:rsidR="0005795C" w:rsidRPr="006B5056" w14:paraId="1ED0D6FA" w14:textId="77777777">
        <w:tc>
          <w:tcPr>
            <w:tcW w:w="1984" w:type="dxa"/>
            <w:tcBorders>
              <w:top w:val="nil"/>
              <w:left w:val="nil"/>
              <w:bottom w:val="nil"/>
              <w:right w:val="nil"/>
            </w:tcBorders>
            <w:noWrap/>
            <w:vAlign w:val="center"/>
            <w:hideMark/>
          </w:tcPr>
          <w:p w14:paraId="2CC07320"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Energy derivatives - other</w:t>
            </w:r>
          </w:p>
        </w:tc>
        <w:tc>
          <w:tcPr>
            <w:tcW w:w="1166" w:type="dxa"/>
            <w:tcBorders>
              <w:top w:val="nil"/>
              <w:left w:val="nil"/>
              <w:bottom w:val="single" w:sz="4" w:space="0" w:color="auto"/>
              <w:right w:val="nil"/>
            </w:tcBorders>
            <w:vAlign w:val="bottom"/>
          </w:tcPr>
          <w:p w14:paraId="6E0D6FE9"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44,515</w:t>
            </w:r>
          </w:p>
        </w:tc>
        <w:tc>
          <w:tcPr>
            <w:tcW w:w="1167" w:type="dxa"/>
            <w:tcBorders>
              <w:top w:val="nil"/>
              <w:left w:val="nil"/>
              <w:bottom w:val="single" w:sz="4" w:space="0" w:color="auto"/>
              <w:right w:val="nil"/>
            </w:tcBorders>
            <w:vAlign w:val="bottom"/>
          </w:tcPr>
          <w:p w14:paraId="148B1CF5"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(4,732)</w:t>
            </w:r>
          </w:p>
        </w:tc>
        <w:tc>
          <w:tcPr>
            <w:tcW w:w="1167" w:type="dxa"/>
            <w:gridSpan w:val="2"/>
            <w:tcBorders>
              <w:top w:val="nil"/>
              <w:left w:val="nil"/>
              <w:bottom w:val="single" w:sz="4" w:space="0" w:color="auto"/>
              <w:right w:val="nil"/>
            </w:tcBorders>
            <w:vAlign w:val="bottom"/>
          </w:tcPr>
          <w:p w14:paraId="37E29847" w14:textId="77777777" w:rsidR="0005795C" w:rsidRPr="00F65403" w:rsidRDefault="0005795C">
            <w:pPr>
              <w:tabs>
                <w:tab w:val="decimal" w:pos="967"/>
              </w:tabs>
              <w:spacing w:after="0" w:line="240" w:lineRule="auto"/>
              <w:jc w:val="center"/>
              <w:rPr>
                <w:rFonts w:eastAsia="Times New Roman" w:cs="Arial"/>
                <w:sz w:val="20"/>
                <w:szCs w:val="20"/>
                <w:lang w:eastAsia="en-AU"/>
              </w:rPr>
            </w:pPr>
            <w:r w:rsidRPr="001C6E5B">
              <w:rPr>
                <w:rFonts w:eastAsia="Times New Roman" w:cs="Arial"/>
                <w:sz w:val="20"/>
                <w:szCs w:val="20"/>
                <w:lang w:eastAsia="en-AU"/>
              </w:rPr>
              <w:t>4,802</w:t>
            </w:r>
          </w:p>
        </w:tc>
        <w:tc>
          <w:tcPr>
            <w:tcW w:w="1109" w:type="dxa"/>
            <w:tcBorders>
              <w:top w:val="nil"/>
              <w:left w:val="nil"/>
              <w:bottom w:val="single" w:sz="4" w:space="0" w:color="auto"/>
              <w:right w:val="nil"/>
            </w:tcBorders>
            <w:noWrap/>
            <w:vAlign w:val="bottom"/>
            <w:hideMark/>
          </w:tcPr>
          <w:p w14:paraId="0AF8BB41" w14:textId="77777777" w:rsidR="0005795C" w:rsidRPr="00F65403" w:rsidRDefault="0005795C">
            <w:pPr>
              <w:tabs>
                <w:tab w:val="decimal" w:pos="967"/>
              </w:tabs>
              <w:spacing w:after="0" w:line="240" w:lineRule="auto"/>
              <w:rPr>
                <w:rFonts w:eastAsia="Times New Roman" w:cs="Arial"/>
                <w:sz w:val="20"/>
                <w:szCs w:val="20"/>
                <w:lang w:eastAsia="en-AU"/>
              </w:rPr>
            </w:pPr>
            <w:r w:rsidRPr="00F65403">
              <w:rPr>
                <w:rFonts w:eastAsia="Times New Roman" w:cs="Arial"/>
                <w:sz w:val="20"/>
                <w:szCs w:val="20"/>
                <w:lang w:eastAsia="en-AU"/>
              </w:rPr>
              <w:t>13,830</w:t>
            </w:r>
          </w:p>
        </w:tc>
        <w:tc>
          <w:tcPr>
            <w:tcW w:w="1225" w:type="dxa"/>
            <w:tcBorders>
              <w:top w:val="nil"/>
              <w:left w:val="nil"/>
              <w:bottom w:val="single" w:sz="4" w:space="0" w:color="auto"/>
              <w:right w:val="nil"/>
            </w:tcBorders>
            <w:noWrap/>
            <w:vAlign w:val="bottom"/>
            <w:hideMark/>
          </w:tcPr>
          <w:p w14:paraId="03346FD4" w14:textId="77777777" w:rsidR="0005795C" w:rsidRPr="00F65403" w:rsidRDefault="0005795C">
            <w:pPr>
              <w:tabs>
                <w:tab w:val="decimal" w:pos="967"/>
              </w:tabs>
              <w:spacing w:after="0" w:line="240" w:lineRule="auto"/>
              <w:rPr>
                <w:rFonts w:eastAsia="Times New Roman" w:cs="Arial"/>
                <w:sz w:val="20"/>
                <w:szCs w:val="20"/>
                <w:lang w:eastAsia="en-AU"/>
              </w:rPr>
            </w:pPr>
            <w:r w:rsidRPr="00F65403">
              <w:rPr>
                <w:rFonts w:eastAsia="Times New Roman" w:cs="Arial"/>
                <w:color w:val="000000"/>
                <w:sz w:val="20"/>
                <w:szCs w:val="20"/>
                <w:lang w:eastAsia="en-AU"/>
              </w:rPr>
              <w:t>(21,881)</w:t>
            </w:r>
          </w:p>
        </w:tc>
        <w:tc>
          <w:tcPr>
            <w:tcW w:w="1167" w:type="dxa"/>
            <w:tcBorders>
              <w:top w:val="nil"/>
              <w:left w:val="nil"/>
              <w:bottom w:val="single" w:sz="4" w:space="0" w:color="auto"/>
              <w:right w:val="nil"/>
            </w:tcBorders>
            <w:noWrap/>
            <w:vAlign w:val="bottom"/>
            <w:hideMark/>
          </w:tcPr>
          <w:p w14:paraId="0DB2C8DF" w14:textId="77777777" w:rsidR="0005795C" w:rsidRPr="00F65403" w:rsidRDefault="0005795C">
            <w:pPr>
              <w:tabs>
                <w:tab w:val="decimal" w:pos="967"/>
              </w:tabs>
              <w:spacing w:after="0" w:line="240" w:lineRule="auto"/>
              <w:rPr>
                <w:rFonts w:eastAsia="Times New Roman" w:cs="Arial"/>
                <w:sz w:val="20"/>
                <w:szCs w:val="20"/>
                <w:lang w:eastAsia="en-AU"/>
              </w:rPr>
            </w:pPr>
            <w:r w:rsidRPr="00F65403">
              <w:rPr>
                <w:rFonts w:eastAsia="Times New Roman" w:cs="Arial"/>
                <w:sz w:val="20"/>
                <w:szCs w:val="20"/>
                <w:lang w:eastAsia="en-AU"/>
              </w:rPr>
              <w:t>11,655</w:t>
            </w:r>
          </w:p>
        </w:tc>
      </w:tr>
      <w:tr w:rsidR="0005795C" w:rsidRPr="006B5056" w14:paraId="1588C353" w14:textId="77777777">
        <w:tc>
          <w:tcPr>
            <w:tcW w:w="1984" w:type="dxa"/>
            <w:tcBorders>
              <w:top w:val="nil"/>
              <w:left w:val="nil"/>
              <w:bottom w:val="nil"/>
              <w:right w:val="nil"/>
            </w:tcBorders>
            <w:noWrap/>
            <w:vAlign w:val="bottom"/>
            <w:hideMark/>
          </w:tcPr>
          <w:p w14:paraId="4CD3F5A2" w14:textId="77777777" w:rsidR="0005795C" w:rsidRPr="00F65403" w:rsidRDefault="0005795C">
            <w:pPr>
              <w:spacing w:after="0" w:line="240" w:lineRule="auto"/>
              <w:jc w:val="right"/>
              <w:rPr>
                <w:rFonts w:eastAsia="Times New Roman" w:cs="Arial"/>
                <w:sz w:val="20"/>
                <w:szCs w:val="20"/>
                <w:lang w:eastAsia="en-AU"/>
              </w:rPr>
            </w:pPr>
          </w:p>
        </w:tc>
        <w:tc>
          <w:tcPr>
            <w:tcW w:w="1166" w:type="dxa"/>
            <w:tcBorders>
              <w:top w:val="nil"/>
              <w:left w:val="nil"/>
              <w:bottom w:val="nil"/>
              <w:right w:val="nil"/>
            </w:tcBorders>
            <w:vAlign w:val="bottom"/>
          </w:tcPr>
          <w:p w14:paraId="7A832642" w14:textId="77777777" w:rsidR="0005795C" w:rsidRPr="001C6E5B" w:rsidRDefault="0005795C">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72,224</w:t>
            </w:r>
          </w:p>
        </w:tc>
        <w:tc>
          <w:tcPr>
            <w:tcW w:w="1167" w:type="dxa"/>
            <w:tcBorders>
              <w:top w:val="nil"/>
              <w:left w:val="nil"/>
              <w:bottom w:val="nil"/>
              <w:right w:val="nil"/>
            </w:tcBorders>
            <w:vAlign w:val="bottom"/>
          </w:tcPr>
          <w:p w14:paraId="145FAD16" w14:textId="77777777" w:rsidR="0005795C" w:rsidRPr="001C6E5B" w:rsidRDefault="0005795C">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(15,044)</w:t>
            </w:r>
          </w:p>
        </w:tc>
        <w:tc>
          <w:tcPr>
            <w:tcW w:w="1167" w:type="dxa"/>
            <w:gridSpan w:val="2"/>
            <w:tcBorders>
              <w:top w:val="nil"/>
              <w:left w:val="nil"/>
              <w:bottom w:val="nil"/>
              <w:right w:val="nil"/>
            </w:tcBorders>
            <w:vAlign w:val="bottom"/>
          </w:tcPr>
          <w:p w14:paraId="357FE941" w14:textId="77777777" w:rsidR="0005795C" w:rsidRPr="001C6E5B" w:rsidRDefault="0005795C">
            <w:pPr>
              <w:tabs>
                <w:tab w:val="decimal" w:pos="967"/>
              </w:tabs>
              <w:spacing w:after="0" w:line="240" w:lineRule="auto"/>
              <w:jc w:val="center"/>
              <w:rPr>
                <w:rFonts w:eastAsia="Times New Roman" w:cs="Arial"/>
                <w:b/>
                <w:bCs/>
                <w:sz w:val="20"/>
                <w:szCs w:val="20"/>
                <w:lang w:eastAsia="en-AU"/>
              </w:rPr>
            </w:pPr>
            <w:r w:rsidRPr="001C6E5B">
              <w:rPr>
                <w:rFonts w:eastAsia="Times New Roman" w:cs="Arial"/>
                <w:b/>
                <w:bCs/>
                <w:sz w:val="20"/>
                <w:szCs w:val="20"/>
                <w:lang w:eastAsia="en-AU"/>
              </w:rPr>
              <w:t>14,759</w:t>
            </w:r>
          </w:p>
        </w:tc>
        <w:tc>
          <w:tcPr>
            <w:tcW w:w="1109" w:type="dxa"/>
            <w:tcBorders>
              <w:top w:val="nil"/>
              <w:left w:val="nil"/>
              <w:bottom w:val="nil"/>
              <w:right w:val="nil"/>
            </w:tcBorders>
            <w:noWrap/>
            <w:vAlign w:val="bottom"/>
            <w:hideMark/>
          </w:tcPr>
          <w:p w14:paraId="0724284D" w14:textId="77777777" w:rsidR="0005795C" w:rsidRPr="00F65403" w:rsidRDefault="0005795C">
            <w:pPr>
              <w:tabs>
                <w:tab w:val="decimal" w:pos="967"/>
              </w:tabs>
              <w:spacing w:after="0" w:line="240" w:lineRule="auto"/>
              <w:rPr>
                <w:rFonts w:eastAsia="Times New Roman" w:cs="Arial"/>
                <w:b/>
                <w:sz w:val="20"/>
                <w:szCs w:val="20"/>
                <w:lang w:eastAsia="en-AU"/>
              </w:rPr>
            </w:pPr>
            <w:r w:rsidRPr="00F65403">
              <w:rPr>
                <w:rFonts w:eastAsia="Times New Roman" w:cs="Arial"/>
                <w:b/>
                <w:sz w:val="20"/>
                <w:szCs w:val="20"/>
                <w:lang w:eastAsia="en-AU"/>
              </w:rPr>
              <w:t>13,830</w:t>
            </w:r>
          </w:p>
        </w:tc>
        <w:tc>
          <w:tcPr>
            <w:tcW w:w="1225" w:type="dxa"/>
            <w:tcBorders>
              <w:top w:val="nil"/>
              <w:left w:val="nil"/>
              <w:bottom w:val="nil"/>
              <w:right w:val="nil"/>
            </w:tcBorders>
            <w:noWrap/>
            <w:vAlign w:val="bottom"/>
            <w:hideMark/>
          </w:tcPr>
          <w:p w14:paraId="112AC29B" w14:textId="77777777" w:rsidR="0005795C" w:rsidRPr="00F65403" w:rsidRDefault="0005795C">
            <w:pPr>
              <w:tabs>
                <w:tab w:val="decimal" w:pos="967"/>
              </w:tabs>
              <w:spacing w:after="0" w:line="240" w:lineRule="auto"/>
              <w:rPr>
                <w:rFonts w:eastAsia="Times New Roman" w:cs="Arial"/>
                <w:b/>
                <w:sz w:val="20"/>
                <w:szCs w:val="20"/>
                <w:lang w:eastAsia="en-AU"/>
              </w:rPr>
            </w:pPr>
            <w:r w:rsidRPr="00F65403">
              <w:rPr>
                <w:rFonts w:eastAsia="Times New Roman" w:cs="Arial"/>
                <w:b/>
                <w:color w:val="000000"/>
                <w:sz w:val="20"/>
                <w:szCs w:val="20"/>
                <w:lang w:eastAsia="en-AU"/>
              </w:rPr>
              <w:t>(21,881)</w:t>
            </w:r>
          </w:p>
        </w:tc>
        <w:tc>
          <w:tcPr>
            <w:tcW w:w="1167" w:type="dxa"/>
            <w:tcBorders>
              <w:top w:val="nil"/>
              <w:left w:val="nil"/>
              <w:bottom w:val="nil"/>
              <w:right w:val="nil"/>
            </w:tcBorders>
            <w:noWrap/>
            <w:vAlign w:val="bottom"/>
            <w:hideMark/>
          </w:tcPr>
          <w:p w14:paraId="3078635D" w14:textId="77777777" w:rsidR="0005795C" w:rsidRPr="00F65403" w:rsidRDefault="0005795C">
            <w:pPr>
              <w:tabs>
                <w:tab w:val="decimal" w:pos="967"/>
              </w:tabs>
              <w:spacing w:after="0" w:line="240" w:lineRule="auto"/>
              <w:rPr>
                <w:rFonts w:eastAsia="Times New Roman" w:cs="Arial"/>
                <w:b/>
                <w:sz w:val="20"/>
                <w:szCs w:val="20"/>
                <w:lang w:eastAsia="en-AU"/>
              </w:rPr>
            </w:pPr>
            <w:r w:rsidRPr="00F65403">
              <w:rPr>
                <w:rFonts w:eastAsia="Times New Roman" w:cs="Arial"/>
                <w:b/>
                <w:sz w:val="20"/>
                <w:szCs w:val="20"/>
                <w:lang w:eastAsia="en-AU"/>
              </w:rPr>
              <w:t>11,655</w:t>
            </w:r>
          </w:p>
        </w:tc>
      </w:tr>
    </w:tbl>
    <w:p w14:paraId="3ABA0724" w14:textId="6D85BF4D" w:rsidR="003D3157" w:rsidRDefault="003D3157" w:rsidP="0005795C">
      <w:pPr>
        <w:pStyle w:val="BodyText"/>
        <w:rPr>
          <w:lang w:val="en-AU"/>
        </w:rPr>
      </w:pPr>
    </w:p>
    <w:p w14:paraId="3F08EC20" w14:textId="77777777" w:rsidR="003D3157" w:rsidRDefault="003D3157">
      <w:pPr>
        <w:rPr>
          <w:rFonts w:eastAsia="Arial" w:cs="Arial"/>
          <w:sz w:val="20"/>
          <w:szCs w:val="20"/>
        </w:rPr>
      </w:pPr>
      <w:r>
        <w:br w:type="page"/>
      </w:r>
    </w:p>
    <w:p w14:paraId="77C8CDA2" w14:textId="77777777" w:rsidR="0005795C" w:rsidRPr="00F65403" w:rsidRDefault="0005795C" w:rsidP="0005795C">
      <w:pPr>
        <w:pStyle w:val="BodyText"/>
        <w:rPr>
          <w:lang w:val="en-AU"/>
        </w:rPr>
      </w:pPr>
    </w:p>
    <w:p w14:paraId="0DB0CE91" w14:textId="77777777" w:rsidR="0005795C" w:rsidRPr="00F65403" w:rsidRDefault="0005795C" w:rsidP="0005795C">
      <w:pPr>
        <w:pStyle w:val="Heading8"/>
      </w:pPr>
      <w:r>
        <w:t>iii.</w:t>
      </w:r>
      <w:r>
        <w:tab/>
        <w:t>Liquidity risk management</w:t>
      </w:r>
    </w:p>
    <w:p w14:paraId="52F14606" w14:textId="34539401" w:rsidR="0005795C" w:rsidRPr="00F65403" w:rsidRDefault="0005795C" w:rsidP="0005795C">
      <w:pPr>
        <w:pStyle w:val="BodyText"/>
        <w:rPr>
          <w:lang w:val="en-AU"/>
        </w:rPr>
      </w:pPr>
      <w:r w:rsidRPr="00F65403">
        <w:rPr>
          <w:lang w:val="en-AU"/>
        </w:rPr>
        <w:t xml:space="preserve">Liquidity risk is the risk that the </w:t>
      </w:r>
      <w:r>
        <w:rPr>
          <w:lang w:val="en-AU"/>
        </w:rPr>
        <w:t>Company</w:t>
      </w:r>
      <w:r w:rsidRPr="00F65403">
        <w:rPr>
          <w:lang w:val="en-AU"/>
        </w:rPr>
        <w:t xml:space="preserve"> will encounter difficulty in meeting its financial obligations as they fall due. </w:t>
      </w:r>
    </w:p>
    <w:p w14:paraId="0D183A9C" w14:textId="77777777" w:rsidR="0005795C" w:rsidRPr="00F65403" w:rsidRDefault="0005795C" w:rsidP="0005795C">
      <w:pPr>
        <w:pStyle w:val="BodyText"/>
        <w:rPr>
          <w:lang w:val="en-AU"/>
        </w:rPr>
      </w:pPr>
    </w:p>
    <w:p w14:paraId="758D31C2" w14:textId="77777777" w:rsidR="0005795C" w:rsidRPr="00F65403" w:rsidRDefault="0005795C" w:rsidP="0005795C">
      <w:pPr>
        <w:pStyle w:val="BodyText"/>
        <w:rPr>
          <w:lang w:val="en-AU"/>
        </w:rPr>
      </w:pPr>
      <w:r w:rsidRPr="00F65403">
        <w:rPr>
          <w:lang w:val="en-AU"/>
        </w:rPr>
        <w:t xml:space="preserve">The </w:t>
      </w:r>
      <w:r>
        <w:rPr>
          <w:lang w:val="en-AU"/>
        </w:rPr>
        <w:t>Company</w:t>
      </w:r>
      <w:r w:rsidRPr="00F65403">
        <w:rPr>
          <w:lang w:val="en-AU"/>
        </w:rPr>
        <w:t xml:space="preserve"> is exposed to liquidity risk mainly through the financial liabilities as disclosed in the face of the statement of financial position. The </w:t>
      </w:r>
      <w:r>
        <w:rPr>
          <w:lang w:val="en-AU"/>
        </w:rPr>
        <w:t>Company</w:t>
      </w:r>
      <w:r w:rsidRPr="00F65403">
        <w:rPr>
          <w:lang w:val="en-AU"/>
        </w:rPr>
        <w:t xml:space="preserve"> manages its liquidity risk through monitoring future cash flows and planning of its financial obligations based on forecasts of future cash flows. </w:t>
      </w:r>
    </w:p>
    <w:p w14:paraId="44BADD6E" w14:textId="77777777" w:rsidR="0005795C" w:rsidRPr="00F65403" w:rsidRDefault="0005795C" w:rsidP="0005795C">
      <w:pPr>
        <w:pStyle w:val="BodyText"/>
        <w:rPr>
          <w:lang w:val="en-AU"/>
        </w:rPr>
      </w:pPr>
    </w:p>
    <w:p w14:paraId="4FCDABD6" w14:textId="77777777" w:rsidR="0005795C" w:rsidRPr="00F65403" w:rsidRDefault="0005795C" w:rsidP="0005795C">
      <w:pPr>
        <w:pStyle w:val="BodyText"/>
        <w:rPr>
          <w:lang w:val="en-AU"/>
        </w:rPr>
      </w:pPr>
      <w:r w:rsidRPr="00F65403">
        <w:rPr>
          <w:lang w:val="en-AU"/>
        </w:rPr>
        <w:t>Cash for unexpected events is generally sourced from cash and cash equivalents</w:t>
      </w:r>
      <w:r>
        <w:rPr>
          <w:lang w:val="en-AU"/>
        </w:rPr>
        <w:t xml:space="preserve">, or </w:t>
      </w:r>
      <w:r w:rsidRPr="004458C2">
        <w:rPr>
          <w:lang w:val="en-AU"/>
        </w:rPr>
        <w:t xml:space="preserve">funding </w:t>
      </w:r>
      <w:r>
        <w:rPr>
          <w:lang w:val="en-AU"/>
        </w:rPr>
        <w:t xml:space="preserve">provided by its Parent SEC Victoria </w:t>
      </w:r>
      <w:r w:rsidRPr="004458C2">
        <w:rPr>
          <w:lang w:val="en-AU"/>
        </w:rPr>
        <w:t>as and when required for operations.</w:t>
      </w:r>
    </w:p>
    <w:p w14:paraId="204619A5" w14:textId="77777777" w:rsidR="0005795C" w:rsidRPr="00F65403" w:rsidRDefault="0005795C" w:rsidP="0005795C">
      <w:pPr>
        <w:pStyle w:val="BodyText"/>
        <w:rPr>
          <w:lang w:val="en-AU"/>
        </w:rPr>
      </w:pPr>
    </w:p>
    <w:p w14:paraId="3C528DCF" w14:textId="77777777" w:rsidR="0005795C" w:rsidRDefault="0005795C" w:rsidP="0005795C">
      <w:pPr>
        <w:pStyle w:val="BodyText"/>
        <w:rPr>
          <w:lang w:val="en-AU"/>
        </w:rPr>
      </w:pPr>
      <w:r w:rsidRPr="00274F8A">
        <w:rPr>
          <w:lang w:val="en-AU"/>
        </w:rPr>
        <w:t xml:space="preserve">The table below sets out the timing of the </w:t>
      </w:r>
      <w:r>
        <w:rPr>
          <w:lang w:val="en-AU"/>
        </w:rPr>
        <w:t>Company’s</w:t>
      </w:r>
      <w:r w:rsidRPr="00274F8A">
        <w:rPr>
          <w:lang w:val="en-AU"/>
        </w:rPr>
        <w:t xml:space="preserve"> payment obligations, as compared to the receipts expected from the </w:t>
      </w:r>
      <w:r>
        <w:rPr>
          <w:lang w:val="en-AU"/>
        </w:rPr>
        <w:t>Company’s</w:t>
      </w:r>
      <w:r w:rsidRPr="00274F8A">
        <w:rPr>
          <w:lang w:val="en-AU"/>
        </w:rPr>
        <w:t xml:space="preserve"> financial assets. Amounts are presented on an undiscounted basis.</w:t>
      </w:r>
    </w:p>
    <w:p w14:paraId="461700E3" w14:textId="77777777" w:rsidR="0005795C" w:rsidRPr="00F65403" w:rsidRDefault="0005795C" w:rsidP="0005795C">
      <w:pPr>
        <w:pStyle w:val="BodyText"/>
        <w:rPr>
          <w:lang w:val="en-AU"/>
        </w:rPr>
      </w:pPr>
    </w:p>
    <w:tbl>
      <w:tblPr>
        <w:tblW w:w="4869" w:type="pct"/>
        <w:tblCellMar>
          <w:top w:w="28" w:type="dxa"/>
          <w:left w:w="28" w:type="dxa"/>
          <w:bottom w:w="28" w:type="dxa"/>
          <w:right w:w="28" w:type="dxa"/>
        </w:tblCellMar>
        <w:tblLook w:val="04A0" w:firstRow="1" w:lastRow="0" w:firstColumn="1" w:lastColumn="0" w:noHBand="0" w:noVBand="1"/>
      </w:tblPr>
      <w:tblGrid>
        <w:gridCol w:w="3106"/>
        <w:gridCol w:w="995"/>
        <w:gridCol w:w="142"/>
        <w:gridCol w:w="1137"/>
        <w:gridCol w:w="1137"/>
        <w:gridCol w:w="1137"/>
        <w:gridCol w:w="1136"/>
      </w:tblGrid>
      <w:tr w:rsidR="0005795C" w:rsidRPr="003C0D78" w14:paraId="33C4AC0B" w14:textId="77777777">
        <w:trPr>
          <w:trHeight w:val="264"/>
        </w:trPr>
        <w:tc>
          <w:tcPr>
            <w:tcW w:w="1766" w:type="pct"/>
            <w:tcBorders>
              <w:top w:val="nil"/>
              <w:left w:val="nil"/>
              <w:bottom w:val="nil"/>
              <w:right w:val="nil"/>
            </w:tcBorders>
            <w:noWrap/>
            <w:vAlign w:val="bottom"/>
            <w:hideMark/>
          </w:tcPr>
          <w:p w14:paraId="7B89D143" w14:textId="77777777" w:rsidR="0005795C" w:rsidRPr="00F65403" w:rsidRDefault="0005795C">
            <w:pPr>
              <w:spacing w:after="0" w:line="240" w:lineRule="auto"/>
              <w:rPr>
                <w:rFonts w:eastAsia="Times New Roman" w:cs="Arial"/>
                <w:sz w:val="20"/>
                <w:szCs w:val="20"/>
                <w:lang w:eastAsia="en-AU"/>
              </w:rPr>
            </w:pPr>
          </w:p>
        </w:tc>
        <w:tc>
          <w:tcPr>
            <w:tcW w:w="566" w:type="pct"/>
            <w:tcBorders>
              <w:top w:val="nil"/>
              <w:left w:val="nil"/>
              <w:bottom w:val="nil"/>
              <w:right w:val="nil"/>
            </w:tcBorders>
            <w:noWrap/>
            <w:vAlign w:val="bottom"/>
            <w:hideMark/>
          </w:tcPr>
          <w:p w14:paraId="712DFE82" w14:textId="77777777" w:rsidR="0005795C" w:rsidRPr="00F65403" w:rsidRDefault="0005795C">
            <w:pPr>
              <w:spacing w:after="0" w:line="240" w:lineRule="auto"/>
              <w:rPr>
                <w:rFonts w:eastAsia="Times New Roman" w:cs="Arial"/>
                <w:sz w:val="20"/>
                <w:szCs w:val="20"/>
                <w:lang w:eastAsia="en-AU"/>
              </w:rPr>
            </w:pPr>
          </w:p>
        </w:tc>
        <w:tc>
          <w:tcPr>
            <w:tcW w:w="728" w:type="pct"/>
            <w:gridSpan w:val="2"/>
            <w:tcBorders>
              <w:top w:val="nil"/>
              <w:left w:val="nil"/>
              <w:bottom w:val="nil"/>
              <w:right w:val="nil"/>
            </w:tcBorders>
            <w:noWrap/>
            <w:vAlign w:val="bottom"/>
            <w:hideMark/>
          </w:tcPr>
          <w:p w14:paraId="0C89B525" w14:textId="77777777" w:rsidR="0005795C" w:rsidRPr="00F65403" w:rsidRDefault="0005795C">
            <w:pPr>
              <w:spacing w:after="0" w:line="240" w:lineRule="auto"/>
              <w:rPr>
                <w:rFonts w:eastAsia="Times New Roman" w:cs="Arial"/>
                <w:sz w:val="20"/>
                <w:szCs w:val="20"/>
                <w:lang w:eastAsia="en-AU"/>
              </w:rPr>
            </w:pPr>
          </w:p>
        </w:tc>
        <w:tc>
          <w:tcPr>
            <w:tcW w:w="1940" w:type="pct"/>
            <w:gridSpan w:val="3"/>
            <w:tcBorders>
              <w:top w:val="nil"/>
              <w:left w:val="nil"/>
              <w:bottom w:val="nil"/>
              <w:right w:val="nil"/>
            </w:tcBorders>
            <w:noWrap/>
            <w:vAlign w:val="bottom"/>
            <w:hideMark/>
          </w:tcPr>
          <w:p w14:paraId="19F6FFEB"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05795C" w:rsidRPr="003C0D78" w14:paraId="1802FF38" w14:textId="77777777">
        <w:trPr>
          <w:trHeight w:val="528"/>
        </w:trPr>
        <w:tc>
          <w:tcPr>
            <w:tcW w:w="1766" w:type="pct"/>
            <w:tcBorders>
              <w:top w:val="nil"/>
              <w:left w:val="nil"/>
              <w:bottom w:val="nil"/>
              <w:right w:val="nil"/>
            </w:tcBorders>
            <w:noWrap/>
            <w:vAlign w:val="bottom"/>
            <w:hideMark/>
          </w:tcPr>
          <w:p w14:paraId="1B08FB63"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47" w:type="pct"/>
            <w:gridSpan w:val="2"/>
            <w:tcBorders>
              <w:top w:val="nil"/>
              <w:left w:val="nil"/>
              <w:bottom w:val="nil"/>
              <w:right w:val="nil"/>
            </w:tcBorders>
            <w:vAlign w:val="bottom"/>
            <w:hideMark/>
          </w:tcPr>
          <w:p w14:paraId="42A0D33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47" w:type="pct"/>
            <w:tcBorders>
              <w:top w:val="nil"/>
              <w:left w:val="nil"/>
              <w:bottom w:val="nil"/>
              <w:right w:val="nil"/>
            </w:tcBorders>
            <w:vAlign w:val="bottom"/>
            <w:hideMark/>
          </w:tcPr>
          <w:p w14:paraId="2ED2CA8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647" w:type="pct"/>
            <w:tcBorders>
              <w:top w:val="nil"/>
              <w:left w:val="nil"/>
              <w:bottom w:val="nil"/>
              <w:right w:val="nil"/>
            </w:tcBorders>
            <w:vAlign w:val="bottom"/>
            <w:hideMark/>
          </w:tcPr>
          <w:p w14:paraId="67B1759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647" w:type="pct"/>
            <w:tcBorders>
              <w:top w:val="nil"/>
              <w:left w:val="nil"/>
              <w:bottom w:val="nil"/>
              <w:right w:val="nil"/>
            </w:tcBorders>
            <w:vAlign w:val="bottom"/>
            <w:hideMark/>
          </w:tcPr>
          <w:p w14:paraId="1DF7F632" w14:textId="4C383B23"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sidR="00D465D6">
              <w:rPr>
                <w:rFonts w:eastAsia="Times New Roman" w:cs="Arial"/>
                <w:b/>
                <w:color w:val="000000"/>
                <w:sz w:val="20"/>
                <w:szCs w:val="20"/>
                <w:lang w:eastAsia="en-AU"/>
              </w:rPr>
              <w:t>5</w:t>
            </w:r>
            <w:r w:rsidR="00D465D6" w:rsidRPr="00F65403">
              <w:rPr>
                <w:rFonts w:eastAsia="Times New Roman" w:cs="Arial"/>
                <w:b/>
                <w:color w:val="000000"/>
                <w:sz w:val="20"/>
                <w:szCs w:val="20"/>
                <w:lang w:eastAsia="en-AU"/>
              </w:rPr>
              <w:t xml:space="preserve"> </w:t>
            </w:r>
            <w:r w:rsidRPr="00F65403">
              <w:rPr>
                <w:rFonts w:eastAsia="Times New Roman" w:cs="Arial"/>
                <w:b/>
                <w:color w:val="000000"/>
                <w:sz w:val="20"/>
                <w:szCs w:val="20"/>
                <w:lang w:eastAsia="en-AU"/>
              </w:rPr>
              <w:t>years</w:t>
            </w:r>
          </w:p>
        </w:tc>
        <w:tc>
          <w:tcPr>
            <w:tcW w:w="646" w:type="pct"/>
            <w:tcBorders>
              <w:top w:val="nil"/>
              <w:left w:val="nil"/>
              <w:bottom w:val="nil"/>
              <w:right w:val="nil"/>
            </w:tcBorders>
            <w:vAlign w:val="bottom"/>
            <w:hideMark/>
          </w:tcPr>
          <w:p w14:paraId="4CACB0A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05795C" w:rsidRPr="003C0D78" w14:paraId="03CF5769" w14:textId="77777777">
        <w:trPr>
          <w:trHeight w:val="264"/>
        </w:trPr>
        <w:tc>
          <w:tcPr>
            <w:tcW w:w="1766" w:type="pct"/>
            <w:tcBorders>
              <w:top w:val="nil"/>
              <w:left w:val="nil"/>
              <w:bottom w:val="nil"/>
              <w:right w:val="nil"/>
            </w:tcBorders>
            <w:noWrap/>
            <w:vAlign w:val="bottom"/>
            <w:hideMark/>
          </w:tcPr>
          <w:p w14:paraId="4605D26C" w14:textId="77777777" w:rsidR="0005795C" w:rsidRPr="00F65403" w:rsidRDefault="0005795C">
            <w:pPr>
              <w:spacing w:after="0" w:line="240" w:lineRule="auto"/>
              <w:jc w:val="center"/>
              <w:rPr>
                <w:rFonts w:eastAsia="Times New Roman" w:cs="Arial"/>
                <w:b/>
                <w:color w:val="000000"/>
                <w:sz w:val="20"/>
                <w:szCs w:val="20"/>
                <w:lang w:eastAsia="en-AU"/>
              </w:rPr>
            </w:pPr>
          </w:p>
        </w:tc>
        <w:tc>
          <w:tcPr>
            <w:tcW w:w="647" w:type="pct"/>
            <w:gridSpan w:val="2"/>
            <w:tcBorders>
              <w:top w:val="nil"/>
              <w:left w:val="nil"/>
              <w:bottom w:val="nil"/>
              <w:right w:val="nil"/>
            </w:tcBorders>
            <w:noWrap/>
            <w:vAlign w:val="bottom"/>
            <w:hideMark/>
          </w:tcPr>
          <w:p w14:paraId="68665339"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3893915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103AA19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3455536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6" w:type="pct"/>
            <w:tcBorders>
              <w:top w:val="nil"/>
              <w:left w:val="nil"/>
              <w:bottom w:val="nil"/>
              <w:right w:val="nil"/>
            </w:tcBorders>
            <w:noWrap/>
            <w:vAlign w:val="bottom"/>
            <w:hideMark/>
          </w:tcPr>
          <w:p w14:paraId="486C74F3"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3C0D78" w14:paraId="256D5804" w14:textId="77777777">
        <w:trPr>
          <w:trHeight w:val="264"/>
        </w:trPr>
        <w:tc>
          <w:tcPr>
            <w:tcW w:w="1766" w:type="pct"/>
            <w:tcBorders>
              <w:top w:val="nil"/>
              <w:left w:val="nil"/>
              <w:bottom w:val="nil"/>
              <w:right w:val="nil"/>
            </w:tcBorders>
            <w:noWrap/>
            <w:vAlign w:val="bottom"/>
            <w:hideMark/>
          </w:tcPr>
          <w:p w14:paraId="44591569"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Pr>
                <w:rFonts w:eastAsia="Times New Roman" w:cs="Arial"/>
                <w:color w:val="000000"/>
                <w:sz w:val="20"/>
                <w:szCs w:val="20"/>
                <w:lang w:eastAsia="en-AU"/>
              </w:rPr>
              <w:t>and other payables</w:t>
            </w:r>
          </w:p>
        </w:tc>
        <w:tc>
          <w:tcPr>
            <w:tcW w:w="647" w:type="pct"/>
            <w:gridSpan w:val="2"/>
            <w:tcBorders>
              <w:top w:val="nil"/>
              <w:left w:val="nil"/>
              <w:bottom w:val="nil"/>
              <w:right w:val="nil"/>
            </w:tcBorders>
            <w:noWrap/>
            <w:hideMark/>
          </w:tcPr>
          <w:p w14:paraId="289734D0"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105</w:t>
            </w:r>
            <w:r w:rsidRPr="00C64A81">
              <w:rPr>
                <w:rFonts w:eastAsia="Times New Roman" w:cs="Arial"/>
                <w:color w:val="000000"/>
                <w:sz w:val="20"/>
                <w:szCs w:val="20"/>
                <w:lang w:eastAsia="en-AU"/>
              </w:rPr>
              <w:t>)</w:t>
            </w:r>
          </w:p>
        </w:tc>
        <w:tc>
          <w:tcPr>
            <w:tcW w:w="647" w:type="pct"/>
            <w:tcBorders>
              <w:top w:val="nil"/>
              <w:left w:val="nil"/>
              <w:bottom w:val="nil"/>
              <w:right w:val="nil"/>
            </w:tcBorders>
            <w:noWrap/>
            <w:hideMark/>
          </w:tcPr>
          <w:p w14:paraId="4BD1D6F8"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105</w:t>
            </w:r>
            <w:r w:rsidRPr="00C64A81">
              <w:rPr>
                <w:rFonts w:eastAsia="Times New Roman" w:cs="Arial"/>
                <w:color w:val="000000"/>
                <w:sz w:val="20"/>
                <w:szCs w:val="20"/>
                <w:lang w:eastAsia="en-AU"/>
              </w:rPr>
              <w:t>)</w:t>
            </w:r>
          </w:p>
        </w:tc>
        <w:tc>
          <w:tcPr>
            <w:tcW w:w="647" w:type="pct"/>
            <w:tcBorders>
              <w:top w:val="nil"/>
              <w:left w:val="nil"/>
              <w:bottom w:val="nil"/>
              <w:right w:val="nil"/>
            </w:tcBorders>
            <w:noWrap/>
          </w:tcPr>
          <w:p w14:paraId="4C30C5E7"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w:t>
            </w:r>
            <w:r>
              <w:rPr>
                <w:rFonts w:eastAsia="Times New Roman" w:cs="Arial"/>
                <w:color w:val="000000"/>
                <w:sz w:val="20"/>
                <w:szCs w:val="20"/>
                <w:lang w:eastAsia="en-AU"/>
              </w:rPr>
              <w:t>105</w:t>
            </w:r>
            <w:r w:rsidRPr="00C64A81">
              <w:rPr>
                <w:rFonts w:eastAsia="Times New Roman" w:cs="Arial"/>
                <w:color w:val="000000"/>
                <w:sz w:val="20"/>
                <w:szCs w:val="20"/>
                <w:lang w:eastAsia="en-AU"/>
              </w:rPr>
              <w:t>)</w:t>
            </w:r>
          </w:p>
        </w:tc>
        <w:tc>
          <w:tcPr>
            <w:tcW w:w="647" w:type="pct"/>
            <w:tcBorders>
              <w:top w:val="nil"/>
              <w:left w:val="nil"/>
              <w:bottom w:val="nil"/>
              <w:right w:val="nil"/>
            </w:tcBorders>
            <w:noWrap/>
            <w:hideMark/>
          </w:tcPr>
          <w:p w14:paraId="062518A5"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c>
          <w:tcPr>
            <w:tcW w:w="646" w:type="pct"/>
            <w:tcBorders>
              <w:top w:val="nil"/>
              <w:left w:val="nil"/>
              <w:bottom w:val="nil"/>
              <w:right w:val="nil"/>
            </w:tcBorders>
            <w:noWrap/>
            <w:hideMark/>
          </w:tcPr>
          <w:p w14:paraId="582F30BB"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   </w:t>
            </w:r>
          </w:p>
        </w:tc>
      </w:tr>
      <w:tr w:rsidR="0005795C" w:rsidRPr="003C0D78" w14:paraId="07E5D76F" w14:textId="77777777">
        <w:trPr>
          <w:trHeight w:val="264"/>
        </w:trPr>
        <w:tc>
          <w:tcPr>
            <w:tcW w:w="1766" w:type="pct"/>
            <w:tcBorders>
              <w:top w:val="nil"/>
              <w:left w:val="nil"/>
              <w:bottom w:val="nil"/>
              <w:right w:val="nil"/>
            </w:tcBorders>
            <w:noWrap/>
            <w:vAlign w:val="bottom"/>
          </w:tcPr>
          <w:p w14:paraId="6ED66260"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Derivative </w:t>
            </w:r>
            <w:r>
              <w:rPr>
                <w:rFonts w:eastAsia="Times New Roman" w:cs="Arial"/>
                <w:color w:val="000000"/>
                <w:sz w:val="20"/>
                <w:szCs w:val="20"/>
                <w:lang w:eastAsia="en-AU"/>
              </w:rPr>
              <w:t>assets</w:t>
            </w:r>
          </w:p>
        </w:tc>
        <w:tc>
          <w:tcPr>
            <w:tcW w:w="647" w:type="pct"/>
            <w:gridSpan w:val="2"/>
            <w:tcBorders>
              <w:top w:val="nil"/>
              <w:left w:val="nil"/>
              <w:right w:val="nil"/>
            </w:tcBorders>
            <w:noWrap/>
          </w:tcPr>
          <w:p w14:paraId="3188DD4F"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C64A81">
              <w:rPr>
                <w:rFonts w:eastAsia="Times New Roman" w:cs="Arial"/>
                <w:color w:val="000000"/>
                <w:sz w:val="20"/>
                <w:szCs w:val="20"/>
                <w:lang w:eastAsia="en-AU"/>
              </w:rPr>
              <w:t xml:space="preserve"> 72,224 </w:t>
            </w:r>
          </w:p>
        </w:tc>
        <w:tc>
          <w:tcPr>
            <w:tcW w:w="647" w:type="pct"/>
            <w:tcBorders>
              <w:top w:val="nil"/>
              <w:left w:val="nil"/>
              <w:right w:val="nil"/>
            </w:tcBorders>
            <w:noWrap/>
          </w:tcPr>
          <w:p w14:paraId="6A9EF0D8"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71,81</w:t>
            </w:r>
            <w:r>
              <w:rPr>
                <w:rFonts w:eastAsia="Times New Roman" w:cs="Arial"/>
                <w:color w:val="000000" w:themeColor="text1"/>
                <w:sz w:val="20"/>
                <w:szCs w:val="20"/>
                <w:lang w:eastAsia="en-AU"/>
              </w:rPr>
              <w:t>4</w:t>
            </w:r>
          </w:p>
        </w:tc>
        <w:tc>
          <w:tcPr>
            <w:tcW w:w="647" w:type="pct"/>
            <w:tcBorders>
              <w:top w:val="nil"/>
              <w:left w:val="nil"/>
              <w:right w:val="nil"/>
            </w:tcBorders>
            <w:noWrap/>
          </w:tcPr>
          <w:p w14:paraId="6E8A83CE"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17,911</w:t>
            </w:r>
          </w:p>
        </w:tc>
        <w:tc>
          <w:tcPr>
            <w:tcW w:w="647" w:type="pct"/>
            <w:tcBorders>
              <w:top w:val="nil"/>
              <w:left w:val="nil"/>
              <w:right w:val="nil"/>
            </w:tcBorders>
            <w:noWrap/>
          </w:tcPr>
          <w:p w14:paraId="52EF60E8"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730623">
              <w:rPr>
                <w:rFonts w:eastAsia="Times New Roman" w:cs="Arial"/>
                <w:color w:val="000000"/>
                <w:sz w:val="20"/>
                <w:szCs w:val="20"/>
                <w:lang w:eastAsia="en-AU"/>
              </w:rPr>
              <w:t xml:space="preserve"> 19,993</w:t>
            </w:r>
          </w:p>
        </w:tc>
        <w:tc>
          <w:tcPr>
            <w:tcW w:w="646" w:type="pct"/>
            <w:tcBorders>
              <w:top w:val="nil"/>
              <w:left w:val="nil"/>
              <w:right w:val="nil"/>
            </w:tcBorders>
            <w:noWrap/>
          </w:tcPr>
          <w:p w14:paraId="446593D9"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49BCD735">
              <w:rPr>
                <w:rFonts w:eastAsia="Times New Roman" w:cs="Arial"/>
                <w:color w:val="000000" w:themeColor="text1"/>
                <w:sz w:val="20"/>
                <w:szCs w:val="20"/>
                <w:lang w:eastAsia="en-AU"/>
              </w:rPr>
              <w:t xml:space="preserve"> 33,91</w:t>
            </w:r>
            <w:r>
              <w:rPr>
                <w:rFonts w:eastAsia="Times New Roman" w:cs="Arial"/>
                <w:color w:val="000000" w:themeColor="text1"/>
                <w:sz w:val="20"/>
                <w:szCs w:val="20"/>
                <w:lang w:eastAsia="en-AU"/>
              </w:rPr>
              <w:t>0</w:t>
            </w:r>
            <w:r w:rsidRPr="49BCD735">
              <w:rPr>
                <w:rFonts w:eastAsia="Times New Roman" w:cs="Arial"/>
                <w:color w:val="000000" w:themeColor="text1"/>
                <w:sz w:val="20"/>
                <w:szCs w:val="20"/>
                <w:lang w:eastAsia="en-AU"/>
              </w:rPr>
              <w:t xml:space="preserve"> </w:t>
            </w:r>
          </w:p>
        </w:tc>
      </w:tr>
      <w:tr w:rsidR="0005795C" w:rsidRPr="003C0D78" w14:paraId="474C8F71" w14:textId="77777777">
        <w:trPr>
          <w:trHeight w:val="264"/>
        </w:trPr>
        <w:tc>
          <w:tcPr>
            <w:tcW w:w="1766" w:type="pct"/>
            <w:tcBorders>
              <w:top w:val="nil"/>
              <w:left w:val="nil"/>
              <w:bottom w:val="nil"/>
              <w:right w:val="nil"/>
            </w:tcBorders>
            <w:noWrap/>
            <w:vAlign w:val="bottom"/>
            <w:hideMark/>
          </w:tcPr>
          <w:p w14:paraId="17866A82"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47" w:type="pct"/>
            <w:gridSpan w:val="2"/>
            <w:tcBorders>
              <w:top w:val="single" w:sz="4" w:space="0" w:color="auto"/>
              <w:left w:val="nil"/>
              <w:bottom w:val="single" w:sz="4" w:space="0" w:color="auto"/>
              <w:right w:val="nil"/>
            </w:tcBorders>
            <w:noWrap/>
          </w:tcPr>
          <w:p w14:paraId="1AB0C503" w14:textId="77777777" w:rsidR="0005795C" w:rsidRPr="00730623" w:rsidRDefault="0005795C">
            <w:pPr>
              <w:tabs>
                <w:tab w:val="decimal" w:pos="871"/>
              </w:tabs>
              <w:spacing w:after="0" w:line="240" w:lineRule="auto"/>
              <w:rPr>
                <w:rFonts w:eastAsia="Times New Roman" w:cs="Arial"/>
                <w:b/>
                <w:bCs/>
                <w:color w:val="000000"/>
                <w:sz w:val="20"/>
                <w:szCs w:val="20"/>
                <w:lang w:eastAsia="en-AU"/>
              </w:rPr>
            </w:pPr>
            <w:r w:rsidRPr="00D21755">
              <w:rPr>
                <w:rFonts w:eastAsia="Times New Roman" w:cs="Arial"/>
                <w:b/>
                <w:bCs/>
                <w:color w:val="000000"/>
                <w:sz w:val="20"/>
                <w:szCs w:val="20"/>
                <w:lang w:eastAsia="en-AU"/>
              </w:rPr>
              <w:t>72,119</w:t>
            </w:r>
          </w:p>
        </w:tc>
        <w:tc>
          <w:tcPr>
            <w:tcW w:w="647" w:type="pct"/>
            <w:tcBorders>
              <w:top w:val="single" w:sz="4" w:space="0" w:color="auto"/>
              <w:left w:val="nil"/>
              <w:bottom w:val="single" w:sz="4" w:space="0" w:color="auto"/>
              <w:right w:val="nil"/>
            </w:tcBorders>
            <w:noWrap/>
          </w:tcPr>
          <w:p w14:paraId="0A82B805" w14:textId="77777777" w:rsidR="0005795C" w:rsidRPr="00730623" w:rsidRDefault="0005795C">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71,709</w:t>
            </w:r>
          </w:p>
        </w:tc>
        <w:tc>
          <w:tcPr>
            <w:tcW w:w="647" w:type="pct"/>
            <w:tcBorders>
              <w:top w:val="single" w:sz="4" w:space="0" w:color="auto"/>
              <w:left w:val="nil"/>
              <w:bottom w:val="single" w:sz="4" w:space="0" w:color="auto"/>
              <w:right w:val="nil"/>
            </w:tcBorders>
            <w:noWrap/>
          </w:tcPr>
          <w:p w14:paraId="53DA4692" w14:textId="77777777" w:rsidR="0005795C" w:rsidRPr="00730623" w:rsidRDefault="0005795C">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17,806</w:t>
            </w:r>
          </w:p>
        </w:tc>
        <w:tc>
          <w:tcPr>
            <w:tcW w:w="647" w:type="pct"/>
            <w:tcBorders>
              <w:top w:val="single" w:sz="4" w:space="0" w:color="auto"/>
              <w:left w:val="nil"/>
              <w:bottom w:val="single" w:sz="4" w:space="0" w:color="auto"/>
              <w:right w:val="nil"/>
            </w:tcBorders>
            <w:noWrap/>
          </w:tcPr>
          <w:p w14:paraId="77D23610" w14:textId="77777777" w:rsidR="0005795C" w:rsidRPr="00730623" w:rsidRDefault="0005795C">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19,993</w:t>
            </w:r>
          </w:p>
        </w:tc>
        <w:tc>
          <w:tcPr>
            <w:tcW w:w="646" w:type="pct"/>
            <w:tcBorders>
              <w:top w:val="single" w:sz="4" w:space="0" w:color="auto"/>
              <w:left w:val="nil"/>
              <w:bottom w:val="single" w:sz="4" w:space="0" w:color="auto"/>
              <w:right w:val="nil"/>
            </w:tcBorders>
            <w:noWrap/>
          </w:tcPr>
          <w:p w14:paraId="5670FAA6" w14:textId="77777777" w:rsidR="0005795C" w:rsidRPr="00730623" w:rsidRDefault="0005795C">
            <w:pPr>
              <w:tabs>
                <w:tab w:val="decimal" w:pos="871"/>
              </w:tabs>
              <w:spacing w:after="0" w:line="240" w:lineRule="auto"/>
              <w:rPr>
                <w:rFonts w:eastAsia="Times New Roman" w:cs="Arial"/>
                <w:b/>
                <w:bCs/>
                <w:color w:val="000000"/>
                <w:sz w:val="20"/>
                <w:szCs w:val="20"/>
                <w:lang w:eastAsia="en-AU"/>
              </w:rPr>
            </w:pPr>
            <w:r w:rsidRPr="49BCD735">
              <w:rPr>
                <w:rFonts w:eastAsia="Times New Roman" w:cs="Arial"/>
                <w:b/>
                <w:bCs/>
                <w:color w:val="000000" w:themeColor="text1"/>
                <w:sz w:val="20"/>
                <w:szCs w:val="20"/>
                <w:lang w:eastAsia="en-AU"/>
              </w:rPr>
              <w:t>33,91</w:t>
            </w:r>
            <w:r>
              <w:rPr>
                <w:rFonts w:eastAsia="Times New Roman" w:cs="Arial"/>
                <w:b/>
                <w:bCs/>
                <w:color w:val="000000" w:themeColor="text1"/>
                <w:sz w:val="20"/>
                <w:szCs w:val="20"/>
                <w:lang w:eastAsia="en-AU"/>
              </w:rPr>
              <w:t>0</w:t>
            </w:r>
          </w:p>
        </w:tc>
      </w:tr>
    </w:tbl>
    <w:p w14:paraId="5F27B36C" w14:textId="77777777" w:rsidR="0005795C" w:rsidRDefault="0005795C" w:rsidP="0005795C">
      <w:pPr>
        <w:pStyle w:val="BodyText"/>
        <w:rPr>
          <w:sz w:val="24"/>
          <w:szCs w:val="24"/>
          <w:lang w:val="en-AU"/>
        </w:rPr>
      </w:pPr>
    </w:p>
    <w:p w14:paraId="111B1A1E" w14:textId="0561B179" w:rsidR="0005795C" w:rsidRDefault="0005795C" w:rsidP="0005795C">
      <w:pPr>
        <w:pStyle w:val="BodyText"/>
        <w:rPr>
          <w:szCs w:val="24"/>
        </w:rPr>
      </w:pPr>
      <w:r w:rsidRPr="0053091E">
        <w:rPr>
          <w:lang w:val="en-AU"/>
        </w:rPr>
        <w:t xml:space="preserve">The </w:t>
      </w:r>
      <w:r>
        <w:rPr>
          <w:lang w:val="en-AU"/>
        </w:rPr>
        <w:t>Company</w:t>
      </w:r>
      <w:r w:rsidRPr="0053091E">
        <w:rPr>
          <w:lang w:val="en-AU"/>
        </w:rPr>
        <w:t xml:space="preserve"> had $</w:t>
      </w:r>
      <w:r>
        <w:rPr>
          <w:lang w:val="en-AU"/>
        </w:rPr>
        <w:t>20</w:t>
      </w:r>
      <w:r w:rsidRPr="0053091E">
        <w:rPr>
          <w:lang w:val="en-AU"/>
        </w:rPr>
        <w:t xml:space="preserve"> million of cash </w:t>
      </w:r>
      <w:r>
        <w:rPr>
          <w:lang w:val="en-AU"/>
        </w:rPr>
        <w:t xml:space="preserve">available </w:t>
      </w:r>
      <w:r w:rsidRPr="00F71AAE">
        <w:rPr>
          <w:lang w:val="en-AU"/>
        </w:rPr>
        <w:t>at 30 June 2025</w:t>
      </w:r>
      <w:r>
        <w:rPr>
          <w:lang w:val="en-AU"/>
        </w:rPr>
        <w:t>.</w:t>
      </w:r>
      <w:r w:rsidR="003D3157">
        <w:rPr>
          <w:sz w:val="24"/>
          <w:szCs w:val="24"/>
          <w:lang w:val="en-AU"/>
        </w:rPr>
        <w:br/>
      </w:r>
    </w:p>
    <w:tbl>
      <w:tblPr>
        <w:tblW w:w="4869" w:type="pct"/>
        <w:tblCellMar>
          <w:top w:w="28" w:type="dxa"/>
          <w:left w:w="28" w:type="dxa"/>
          <w:bottom w:w="28" w:type="dxa"/>
          <w:right w:w="28" w:type="dxa"/>
        </w:tblCellMar>
        <w:tblLook w:val="04A0" w:firstRow="1" w:lastRow="0" w:firstColumn="1" w:lastColumn="0" w:noHBand="0" w:noVBand="1"/>
      </w:tblPr>
      <w:tblGrid>
        <w:gridCol w:w="3106"/>
        <w:gridCol w:w="995"/>
        <w:gridCol w:w="142"/>
        <w:gridCol w:w="1137"/>
        <w:gridCol w:w="1137"/>
        <w:gridCol w:w="1137"/>
        <w:gridCol w:w="1136"/>
      </w:tblGrid>
      <w:tr w:rsidR="0005795C" w:rsidRPr="003C0D78" w14:paraId="38A8D00F" w14:textId="77777777">
        <w:trPr>
          <w:trHeight w:val="264"/>
        </w:trPr>
        <w:tc>
          <w:tcPr>
            <w:tcW w:w="1766" w:type="pct"/>
            <w:tcBorders>
              <w:top w:val="nil"/>
              <w:left w:val="nil"/>
              <w:bottom w:val="nil"/>
              <w:right w:val="nil"/>
            </w:tcBorders>
            <w:noWrap/>
            <w:vAlign w:val="bottom"/>
            <w:hideMark/>
          </w:tcPr>
          <w:p w14:paraId="57C5A93E" w14:textId="77777777" w:rsidR="0005795C" w:rsidRPr="00F65403" w:rsidRDefault="0005795C">
            <w:pPr>
              <w:spacing w:after="0" w:line="240" w:lineRule="auto"/>
              <w:rPr>
                <w:rFonts w:eastAsia="Times New Roman" w:cs="Arial"/>
                <w:sz w:val="20"/>
                <w:szCs w:val="20"/>
                <w:lang w:eastAsia="en-AU"/>
              </w:rPr>
            </w:pPr>
          </w:p>
        </w:tc>
        <w:tc>
          <w:tcPr>
            <w:tcW w:w="566" w:type="pct"/>
            <w:tcBorders>
              <w:top w:val="nil"/>
              <w:left w:val="nil"/>
              <w:bottom w:val="nil"/>
              <w:right w:val="nil"/>
            </w:tcBorders>
            <w:noWrap/>
            <w:vAlign w:val="bottom"/>
            <w:hideMark/>
          </w:tcPr>
          <w:p w14:paraId="54FAA024" w14:textId="77777777" w:rsidR="0005795C" w:rsidRPr="00F65403" w:rsidRDefault="0005795C">
            <w:pPr>
              <w:spacing w:after="0" w:line="240" w:lineRule="auto"/>
              <w:rPr>
                <w:rFonts w:eastAsia="Times New Roman" w:cs="Arial"/>
                <w:sz w:val="20"/>
                <w:szCs w:val="20"/>
                <w:lang w:eastAsia="en-AU"/>
              </w:rPr>
            </w:pPr>
          </w:p>
        </w:tc>
        <w:tc>
          <w:tcPr>
            <w:tcW w:w="728" w:type="pct"/>
            <w:gridSpan w:val="2"/>
            <w:tcBorders>
              <w:top w:val="nil"/>
              <w:left w:val="nil"/>
              <w:bottom w:val="nil"/>
              <w:right w:val="nil"/>
            </w:tcBorders>
            <w:noWrap/>
            <w:vAlign w:val="bottom"/>
            <w:hideMark/>
          </w:tcPr>
          <w:p w14:paraId="2DDE5F25" w14:textId="77777777" w:rsidR="0005795C" w:rsidRPr="00F65403" w:rsidRDefault="0005795C">
            <w:pPr>
              <w:spacing w:after="0" w:line="240" w:lineRule="auto"/>
              <w:rPr>
                <w:rFonts w:eastAsia="Times New Roman" w:cs="Arial"/>
                <w:sz w:val="20"/>
                <w:szCs w:val="20"/>
                <w:lang w:eastAsia="en-AU"/>
              </w:rPr>
            </w:pPr>
          </w:p>
        </w:tc>
        <w:tc>
          <w:tcPr>
            <w:tcW w:w="1940" w:type="pct"/>
            <w:gridSpan w:val="3"/>
            <w:tcBorders>
              <w:top w:val="nil"/>
              <w:left w:val="nil"/>
              <w:bottom w:val="nil"/>
              <w:right w:val="nil"/>
            </w:tcBorders>
            <w:noWrap/>
            <w:vAlign w:val="bottom"/>
            <w:hideMark/>
          </w:tcPr>
          <w:p w14:paraId="46F4CEA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Maturity dates</w:t>
            </w:r>
          </w:p>
        </w:tc>
      </w:tr>
      <w:tr w:rsidR="0005795C" w:rsidRPr="003C0D78" w14:paraId="2246EB0E" w14:textId="77777777">
        <w:trPr>
          <w:trHeight w:val="528"/>
        </w:trPr>
        <w:tc>
          <w:tcPr>
            <w:tcW w:w="1766" w:type="pct"/>
            <w:tcBorders>
              <w:top w:val="nil"/>
              <w:left w:val="nil"/>
              <w:bottom w:val="nil"/>
              <w:right w:val="nil"/>
            </w:tcBorders>
            <w:noWrap/>
            <w:vAlign w:val="bottom"/>
            <w:hideMark/>
          </w:tcPr>
          <w:p w14:paraId="3F429ECC"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w:t>
            </w:r>
            <w:r>
              <w:rPr>
                <w:rFonts w:eastAsia="Times New Roman" w:cs="Arial"/>
                <w:b/>
                <w:color w:val="000000"/>
                <w:sz w:val="20"/>
                <w:szCs w:val="20"/>
                <w:lang w:eastAsia="en-AU"/>
              </w:rPr>
              <w:t>4</w:t>
            </w:r>
          </w:p>
        </w:tc>
        <w:tc>
          <w:tcPr>
            <w:tcW w:w="647" w:type="pct"/>
            <w:gridSpan w:val="2"/>
            <w:tcBorders>
              <w:top w:val="nil"/>
              <w:left w:val="nil"/>
              <w:bottom w:val="nil"/>
              <w:right w:val="nil"/>
            </w:tcBorders>
            <w:vAlign w:val="bottom"/>
            <w:hideMark/>
          </w:tcPr>
          <w:p w14:paraId="79D2DFA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47" w:type="pct"/>
            <w:tcBorders>
              <w:top w:val="nil"/>
              <w:left w:val="nil"/>
              <w:bottom w:val="nil"/>
              <w:right w:val="nil"/>
            </w:tcBorders>
            <w:vAlign w:val="bottom"/>
            <w:hideMark/>
          </w:tcPr>
          <w:p w14:paraId="29DB3149"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Nominal Amount</w:t>
            </w:r>
          </w:p>
        </w:tc>
        <w:tc>
          <w:tcPr>
            <w:tcW w:w="647" w:type="pct"/>
            <w:tcBorders>
              <w:top w:val="nil"/>
              <w:left w:val="nil"/>
              <w:bottom w:val="nil"/>
              <w:right w:val="nil"/>
            </w:tcBorders>
            <w:vAlign w:val="bottom"/>
            <w:hideMark/>
          </w:tcPr>
          <w:p w14:paraId="58FE7DBB"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Less than 1 year</w:t>
            </w:r>
          </w:p>
        </w:tc>
        <w:tc>
          <w:tcPr>
            <w:tcW w:w="647" w:type="pct"/>
            <w:tcBorders>
              <w:top w:val="nil"/>
              <w:left w:val="nil"/>
              <w:bottom w:val="nil"/>
              <w:right w:val="nil"/>
            </w:tcBorders>
            <w:vAlign w:val="bottom"/>
            <w:hideMark/>
          </w:tcPr>
          <w:p w14:paraId="362A6253" w14:textId="244183E2"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 xml:space="preserve">1 - </w:t>
            </w:r>
            <w:r w:rsidR="00A1219F">
              <w:rPr>
                <w:rFonts w:eastAsia="Times New Roman" w:cs="Arial"/>
                <w:b/>
                <w:color w:val="000000"/>
                <w:sz w:val="20"/>
                <w:szCs w:val="20"/>
                <w:lang w:eastAsia="en-AU"/>
              </w:rPr>
              <w:t xml:space="preserve">5 </w:t>
            </w:r>
            <w:r w:rsidRPr="00F65403">
              <w:rPr>
                <w:rFonts w:eastAsia="Times New Roman" w:cs="Arial"/>
                <w:b/>
                <w:color w:val="000000"/>
                <w:sz w:val="20"/>
                <w:szCs w:val="20"/>
                <w:lang w:eastAsia="en-AU"/>
              </w:rPr>
              <w:t>years</w:t>
            </w:r>
          </w:p>
        </w:tc>
        <w:tc>
          <w:tcPr>
            <w:tcW w:w="646" w:type="pct"/>
            <w:tcBorders>
              <w:top w:val="nil"/>
              <w:left w:val="nil"/>
              <w:bottom w:val="nil"/>
              <w:right w:val="nil"/>
            </w:tcBorders>
            <w:vAlign w:val="bottom"/>
            <w:hideMark/>
          </w:tcPr>
          <w:p w14:paraId="130AD98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5 years +</w:t>
            </w:r>
          </w:p>
        </w:tc>
      </w:tr>
      <w:tr w:rsidR="0005795C" w:rsidRPr="003C0D78" w14:paraId="4AC2CB78" w14:textId="77777777">
        <w:trPr>
          <w:trHeight w:val="264"/>
        </w:trPr>
        <w:tc>
          <w:tcPr>
            <w:tcW w:w="1766" w:type="pct"/>
            <w:tcBorders>
              <w:top w:val="nil"/>
              <w:left w:val="nil"/>
              <w:bottom w:val="nil"/>
              <w:right w:val="nil"/>
            </w:tcBorders>
            <w:noWrap/>
            <w:vAlign w:val="bottom"/>
            <w:hideMark/>
          </w:tcPr>
          <w:p w14:paraId="15B42C9D" w14:textId="77777777" w:rsidR="0005795C" w:rsidRPr="00F65403" w:rsidRDefault="0005795C">
            <w:pPr>
              <w:spacing w:after="0" w:line="240" w:lineRule="auto"/>
              <w:jc w:val="center"/>
              <w:rPr>
                <w:rFonts w:eastAsia="Times New Roman" w:cs="Arial"/>
                <w:b/>
                <w:color w:val="000000"/>
                <w:sz w:val="20"/>
                <w:szCs w:val="20"/>
                <w:lang w:eastAsia="en-AU"/>
              </w:rPr>
            </w:pPr>
          </w:p>
        </w:tc>
        <w:tc>
          <w:tcPr>
            <w:tcW w:w="647" w:type="pct"/>
            <w:gridSpan w:val="2"/>
            <w:tcBorders>
              <w:top w:val="nil"/>
              <w:left w:val="nil"/>
              <w:bottom w:val="nil"/>
              <w:right w:val="nil"/>
            </w:tcBorders>
            <w:noWrap/>
            <w:vAlign w:val="bottom"/>
            <w:hideMark/>
          </w:tcPr>
          <w:p w14:paraId="3C20432D"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3CBDDB6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5A96F84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7" w:type="pct"/>
            <w:tcBorders>
              <w:top w:val="nil"/>
              <w:left w:val="nil"/>
              <w:bottom w:val="nil"/>
              <w:right w:val="nil"/>
            </w:tcBorders>
            <w:noWrap/>
            <w:vAlign w:val="bottom"/>
            <w:hideMark/>
          </w:tcPr>
          <w:p w14:paraId="6CBE966D"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646" w:type="pct"/>
            <w:tcBorders>
              <w:top w:val="nil"/>
              <w:left w:val="nil"/>
              <w:bottom w:val="nil"/>
              <w:right w:val="nil"/>
            </w:tcBorders>
            <w:noWrap/>
            <w:vAlign w:val="bottom"/>
            <w:hideMark/>
          </w:tcPr>
          <w:p w14:paraId="669DB20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3C0D78" w14:paraId="6A0F15F6" w14:textId="77777777">
        <w:trPr>
          <w:trHeight w:val="264"/>
        </w:trPr>
        <w:tc>
          <w:tcPr>
            <w:tcW w:w="1766" w:type="pct"/>
            <w:tcBorders>
              <w:top w:val="nil"/>
              <w:left w:val="nil"/>
              <w:bottom w:val="nil"/>
              <w:right w:val="nil"/>
            </w:tcBorders>
            <w:noWrap/>
            <w:vAlign w:val="bottom"/>
            <w:hideMark/>
          </w:tcPr>
          <w:p w14:paraId="2E04A525"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Trade </w:t>
            </w:r>
            <w:r>
              <w:rPr>
                <w:rFonts w:eastAsia="Times New Roman" w:cs="Arial"/>
                <w:color w:val="000000"/>
                <w:sz w:val="20"/>
                <w:szCs w:val="20"/>
                <w:lang w:eastAsia="en-AU"/>
              </w:rPr>
              <w:t>and other payables</w:t>
            </w:r>
          </w:p>
        </w:tc>
        <w:tc>
          <w:tcPr>
            <w:tcW w:w="647" w:type="pct"/>
            <w:gridSpan w:val="2"/>
            <w:tcBorders>
              <w:top w:val="nil"/>
              <w:left w:val="nil"/>
              <w:bottom w:val="nil"/>
              <w:right w:val="nil"/>
            </w:tcBorders>
            <w:noWrap/>
            <w:hideMark/>
          </w:tcPr>
          <w:p w14:paraId="03403B29"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(3</w:t>
            </w:r>
            <w:r>
              <w:rPr>
                <w:rFonts w:eastAsia="Times New Roman" w:cs="Arial"/>
                <w:color w:val="000000"/>
                <w:sz w:val="20"/>
                <w:szCs w:val="20"/>
                <w:lang w:eastAsia="en-AU"/>
              </w:rPr>
              <w:t>0</w:t>
            </w:r>
            <w:r w:rsidRPr="003C4101">
              <w:rPr>
                <w:rFonts w:eastAsia="Times New Roman" w:cs="Arial"/>
                <w:color w:val="000000"/>
                <w:sz w:val="20"/>
                <w:szCs w:val="20"/>
                <w:lang w:eastAsia="en-AU"/>
              </w:rPr>
              <w:t>)</w:t>
            </w:r>
          </w:p>
        </w:tc>
        <w:tc>
          <w:tcPr>
            <w:tcW w:w="647" w:type="pct"/>
            <w:tcBorders>
              <w:top w:val="nil"/>
              <w:left w:val="nil"/>
              <w:bottom w:val="nil"/>
              <w:right w:val="nil"/>
            </w:tcBorders>
            <w:noWrap/>
            <w:hideMark/>
          </w:tcPr>
          <w:p w14:paraId="522A48A5"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w:t>
            </w:r>
            <w:r>
              <w:rPr>
                <w:rFonts w:eastAsia="Times New Roman" w:cs="Arial"/>
                <w:color w:val="000000"/>
                <w:sz w:val="20"/>
                <w:szCs w:val="20"/>
                <w:lang w:eastAsia="en-AU"/>
              </w:rPr>
              <w:t>30</w:t>
            </w:r>
            <w:r w:rsidRPr="003C4101">
              <w:rPr>
                <w:rFonts w:eastAsia="Times New Roman" w:cs="Arial"/>
                <w:color w:val="000000"/>
                <w:sz w:val="20"/>
                <w:szCs w:val="20"/>
                <w:lang w:eastAsia="en-AU"/>
              </w:rPr>
              <w:t>)</w:t>
            </w:r>
          </w:p>
        </w:tc>
        <w:tc>
          <w:tcPr>
            <w:tcW w:w="647" w:type="pct"/>
            <w:tcBorders>
              <w:top w:val="nil"/>
              <w:left w:val="nil"/>
              <w:bottom w:val="nil"/>
              <w:right w:val="nil"/>
            </w:tcBorders>
            <w:noWrap/>
          </w:tcPr>
          <w:p w14:paraId="3B31B6FD" w14:textId="77777777" w:rsidR="0005795C" w:rsidRPr="00F65403" w:rsidRDefault="0005795C">
            <w:pPr>
              <w:tabs>
                <w:tab w:val="decimal" w:pos="87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p>
        </w:tc>
        <w:tc>
          <w:tcPr>
            <w:tcW w:w="647" w:type="pct"/>
            <w:tcBorders>
              <w:top w:val="nil"/>
              <w:left w:val="nil"/>
              <w:bottom w:val="nil"/>
              <w:right w:val="nil"/>
            </w:tcBorders>
            <w:noWrap/>
            <w:hideMark/>
          </w:tcPr>
          <w:p w14:paraId="7D45D89B"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c>
          <w:tcPr>
            <w:tcW w:w="646" w:type="pct"/>
            <w:tcBorders>
              <w:top w:val="nil"/>
              <w:left w:val="nil"/>
              <w:bottom w:val="nil"/>
              <w:right w:val="nil"/>
            </w:tcBorders>
            <w:noWrap/>
            <w:hideMark/>
          </w:tcPr>
          <w:p w14:paraId="7B93A432"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r>
      <w:tr w:rsidR="0005795C" w:rsidRPr="003C0D78" w14:paraId="02292DC9" w14:textId="77777777">
        <w:trPr>
          <w:trHeight w:val="264"/>
        </w:trPr>
        <w:tc>
          <w:tcPr>
            <w:tcW w:w="1766" w:type="pct"/>
            <w:tcBorders>
              <w:top w:val="nil"/>
              <w:left w:val="nil"/>
              <w:bottom w:val="nil"/>
              <w:right w:val="nil"/>
            </w:tcBorders>
            <w:noWrap/>
            <w:vAlign w:val="bottom"/>
          </w:tcPr>
          <w:p w14:paraId="5FCA6BB0"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Derivative </w:t>
            </w:r>
            <w:r>
              <w:rPr>
                <w:rFonts w:eastAsia="Times New Roman" w:cs="Arial"/>
                <w:color w:val="000000"/>
                <w:sz w:val="20"/>
                <w:szCs w:val="20"/>
                <w:lang w:eastAsia="en-AU"/>
              </w:rPr>
              <w:t>assets</w:t>
            </w:r>
          </w:p>
        </w:tc>
        <w:tc>
          <w:tcPr>
            <w:tcW w:w="647" w:type="pct"/>
            <w:gridSpan w:val="2"/>
            <w:tcBorders>
              <w:top w:val="nil"/>
              <w:left w:val="nil"/>
              <w:right w:val="nil"/>
            </w:tcBorders>
            <w:noWrap/>
          </w:tcPr>
          <w:p w14:paraId="7392194C"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13,830</w:t>
            </w:r>
          </w:p>
        </w:tc>
        <w:tc>
          <w:tcPr>
            <w:tcW w:w="647" w:type="pct"/>
            <w:tcBorders>
              <w:top w:val="nil"/>
              <w:left w:val="nil"/>
              <w:right w:val="nil"/>
            </w:tcBorders>
            <w:noWrap/>
          </w:tcPr>
          <w:p w14:paraId="46E17B0F"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29,56</w:t>
            </w:r>
            <w:r>
              <w:rPr>
                <w:rFonts w:eastAsia="Times New Roman" w:cs="Arial"/>
                <w:color w:val="000000"/>
                <w:sz w:val="20"/>
                <w:szCs w:val="20"/>
                <w:lang w:eastAsia="en-AU"/>
              </w:rPr>
              <w:t>0</w:t>
            </w:r>
          </w:p>
        </w:tc>
        <w:tc>
          <w:tcPr>
            <w:tcW w:w="647" w:type="pct"/>
            <w:tcBorders>
              <w:top w:val="nil"/>
              <w:left w:val="nil"/>
              <w:right w:val="nil"/>
            </w:tcBorders>
            <w:noWrap/>
          </w:tcPr>
          <w:p w14:paraId="533AD16E"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 xml:space="preserve"> -   </w:t>
            </w:r>
          </w:p>
        </w:tc>
        <w:tc>
          <w:tcPr>
            <w:tcW w:w="647" w:type="pct"/>
            <w:tcBorders>
              <w:top w:val="nil"/>
              <w:left w:val="nil"/>
              <w:right w:val="nil"/>
            </w:tcBorders>
            <w:noWrap/>
          </w:tcPr>
          <w:p w14:paraId="128140C8"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6,569</w:t>
            </w:r>
          </w:p>
        </w:tc>
        <w:tc>
          <w:tcPr>
            <w:tcW w:w="646" w:type="pct"/>
            <w:tcBorders>
              <w:top w:val="nil"/>
              <w:left w:val="nil"/>
              <w:right w:val="nil"/>
            </w:tcBorders>
            <w:noWrap/>
          </w:tcPr>
          <w:p w14:paraId="039EE7A4" w14:textId="77777777" w:rsidR="0005795C" w:rsidRPr="00F65403" w:rsidRDefault="0005795C">
            <w:pPr>
              <w:tabs>
                <w:tab w:val="decimal" w:pos="871"/>
              </w:tabs>
              <w:spacing w:after="0" w:line="240" w:lineRule="auto"/>
              <w:rPr>
                <w:rFonts w:eastAsia="Times New Roman" w:cs="Arial"/>
                <w:color w:val="000000"/>
                <w:sz w:val="20"/>
                <w:szCs w:val="20"/>
                <w:lang w:eastAsia="en-AU"/>
              </w:rPr>
            </w:pPr>
            <w:r w:rsidRPr="003C4101">
              <w:rPr>
                <w:rFonts w:eastAsia="Times New Roman" w:cs="Arial"/>
                <w:color w:val="000000"/>
                <w:sz w:val="20"/>
                <w:szCs w:val="20"/>
                <w:lang w:eastAsia="en-AU"/>
              </w:rPr>
              <w:t>22,991</w:t>
            </w:r>
          </w:p>
        </w:tc>
      </w:tr>
      <w:tr w:rsidR="0005795C" w:rsidRPr="003C0D78" w14:paraId="16B3978E" w14:textId="77777777">
        <w:trPr>
          <w:trHeight w:val="264"/>
        </w:trPr>
        <w:tc>
          <w:tcPr>
            <w:tcW w:w="1766" w:type="pct"/>
            <w:tcBorders>
              <w:top w:val="nil"/>
              <w:left w:val="nil"/>
              <w:bottom w:val="nil"/>
              <w:right w:val="nil"/>
            </w:tcBorders>
            <w:noWrap/>
            <w:vAlign w:val="bottom"/>
            <w:hideMark/>
          </w:tcPr>
          <w:p w14:paraId="00CE3C22"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Net liquidity exposure</w:t>
            </w:r>
          </w:p>
        </w:tc>
        <w:tc>
          <w:tcPr>
            <w:tcW w:w="647" w:type="pct"/>
            <w:gridSpan w:val="2"/>
            <w:tcBorders>
              <w:top w:val="single" w:sz="4" w:space="0" w:color="auto"/>
              <w:left w:val="nil"/>
              <w:bottom w:val="single" w:sz="4" w:space="0" w:color="auto"/>
              <w:right w:val="nil"/>
            </w:tcBorders>
            <w:noWrap/>
          </w:tcPr>
          <w:p w14:paraId="02E59C1B" w14:textId="77777777" w:rsidR="0005795C" w:rsidRPr="003C4101" w:rsidRDefault="0005795C">
            <w:pPr>
              <w:tabs>
                <w:tab w:val="decimal" w:pos="871"/>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13,800</w:t>
            </w:r>
          </w:p>
        </w:tc>
        <w:tc>
          <w:tcPr>
            <w:tcW w:w="647" w:type="pct"/>
            <w:tcBorders>
              <w:top w:val="single" w:sz="4" w:space="0" w:color="auto"/>
              <w:left w:val="nil"/>
              <w:bottom w:val="single" w:sz="4" w:space="0" w:color="auto"/>
              <w:right w:val="nil"/>
            </w:tcBorders>
            <w:noWrap/>
          </w:tcPr>
          <w:p w14:paraId="3DA26150" w14:textId="77777777" w:rsidR="0005795C" w:rsidRPr="003C4101" w:rsidRDefault="0005795C">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2</w:t>
            </w:r>
            <w:r>
              <w:rPr>
                <w:rFonts w:eastAsia="Times New Roman" w:cs="Arial"/>
                <w:b/>
                <w:bCs/>
                <w:color w:val="000000"/>
                <w:sz w:val="20"/>
                <w:szCs w:val="20"/>
                <w:lang w:eastAsia="en-AU"/>
              </w:rPr>
              <w:t>9,530</w:t>
            </w:r>
          </w:p>
        </w:tc>
        <w:tc>
          <w:tcPr>
            <w:tcW w:w="647" w:type="pct"/>
            <w:tcBorders>
              <w:top w:val="single" w:sz="4" w:space="0" w:color="auto"/>
              <w:left w:val="nil"/>
              <w:bottom w:val="single" w:sz="4" w:space="0" w:color="auto"/>
              <w:right w:val="nil"/>
            </w:tcBorders>
            <w:noWrap/>
          </w:tcPr>
          <w:p w14:paraId="197C18E8" w14:textId="77777777" w:rsidR="0005795C" w:rsidRPr="003C4101" w:rsidRDefault="0005795C">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(3</w:t>
            </w:r>
            <w:r>
              <w:rPr>
                <w:rFonts w:eastAsia="Times New Roman" w:cs="Arial"/>
                <w:b/>
                <w:bCs/>
                <w:color w:val="000000"/>
                <w:sz w:val="20"/>
                <w:szCs w:val="20"/>
                <w:lang w:eastAsia="en-AU"/>
              </w:rPr>
              <w:t>0</w:t>
            </w:r>
            <w:r w:rsidRPr="003C4101">
              <w:rPr>
                <w:rFonts w:eastAsia="Times New Roman" w:cs="Arial"/>
                <w:b/>
                <w:bCs/>
                <w:color w:val="000000"/>
                <w:sz w:val="20"/>
                <w:szCs w:val="20"/>
                <w:lang w:eastAsia="en-AU"/>
              </w:rPr>
              <w:t>)</w:t>
            </w:r>
          </w:p>
        </w:tc>
        <w:tc>
          <w:tcPr>
            <w:tcW w:w="647" w:type="pct"/>
            <w:tcBorders>
              <w:top w:val="single" w:sz="4" w:space="0" w:color="auto"/>
              <w:left w:val="nil"/>
              <w:bottom w:val="single" w:sz="4" w:space="0" w:color="auto"/>
              <w:right w:val="nil"/>
            </w:tcBorders>
            <w:noWrap/>
          </w:tcPr>
          <w:p w14:paraId="48D44CFB" w14:textId="77777777" w:rsidR="0005795C" w:rsidRPr="003C4101" w:rsidRDefault="0005795C">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6,569</w:t>
            </w:r>
          </w:p>
        </w:tc>
        <w:tc>
          <w:tcPr>
            <w:tcW w:w="646" w:type="pct"/>
            <w:tcBorders>
              <w:top w:val="single" w:sz="4" w:space="0" w:color="auto"/>
              <w:left w:val="nil"/>
              <w:bottom w:val="single" w:sz="4" w:space="0" w:color="auto"/>
              <w:right w:val="nil"/>
            </w:tcBorders>
            <w:noWrap/>
          </w:tcPr>
          <w:p w14:paraId="139A04B7" w14:textId="77777777" w:rsidR="0005795C" w:rsidRPr="003C4101" w:rsidRDefault="0005795C">
            <w:pPr>
              <w:tabs>
                <w:tab w:val="decimal" w:pos="871"/>
              </w:tabs>
              <w:spacing w:after="0" w:line="240" w:lineRule="auto"/>
              <w:rPr>
                <w:rFonts w:eastAsia="Times New Roman" w:cs="Arial"/>
                <w:b/>
                <w:bCs/>
                <w:color w:val="000000"/>
                <w:sz w:val="20"/>
                <w:szCs w:val="20"/>
                <w:lang w:eastAsia="en-AU"/>
              </w:rPr>
            </w:pPr>
            <w:r w:rsidRPr="003C4101">
              <w:rPr>
                <w:rFonts w:eastAsia="Times New Roman" w:cs="Arial"/>
                <w:b/>
                <w:bCs/>
                <w:color w:val="000000"/>
                <w:sz w:val="20"/>
                <w:szCs w:val="20"/>
                <w:lang w:eastAsia="en-AU"/>
              </w:rPr>
              <w:t>22,991</w:t>
            </w:r>
          </w:p>
        </w:tc>
      </w:tr>
    </w:tbl>
    <w:p w14:paraId="02C9E979" w14:textId="0FE230E6" w:rsidR="0005795C" w:rsidRPr="003C4101" w:rsidRDefault="0005795C" w:rsidP="0005795C">
      <w:pPr>
        <w:pStyle w:val="BodyText"/>
        <w:rPr>
          <w:lang w:val="en-AU"/>
        </w:rPr>
      </w:pPr>
      <w:r w:rsidRPr="003C4101">
        <w:rPr>
          <w:lang w:val="en-AU"/>
        </w:rPr>
        <w:br/>
        <w:t xml:space="preserve">The </w:t>
      </w:r>
      <w:r>
        <w:rPr>
          <w:lang w:val="en-AU"/>
        </w:rPr>
        <w:t>Company</w:t>
      </w:r>
      <w:r w:rsidRPr="003C4101">
        <w:rPr>
          <w:lang w:val="en-AU"/>
        </w:rPr>
        <w:t xml:space="preserve"> had $</w:t>
      </w:r>
      <w:r>
        <w:rPr>
          <w:lang w:val="en-AU"/>
        </w:rPr>
        <w:t>50</w:t>
      </w:r>
      <w:r w:rsidR="007D494F">
        <w:rPr>
          <w:lang w:val="en-AU"/>
        </w:rPr>
        <w:t>,000</w:t>
      </w:r>
      <w:r w:rsidRPr="003C4101">
        <w:rPr>
          <w:lang w:val="en-AU"/>
        </w:rPr>
        <w:t xml:space="preserve"> of cash</w:t>
      </w:r>
      <w:r>
        <w:rPr>
          <w:lang w:val="en-AU"/>
        </w:rPr>
        <w:t xml:space="preserve"> available at 30 June 2024</w:t>
      </w:r>
      <w:r w:rsidRPr="003C4101">
        <w:rPr>
          <w:lang w:val="en-AU"/>
        </w:rPr>
        <w:t>.</w:t>
      </w:r>
    </w:p>
    <w:p w14:paraId="170E73FE" w14:textId="77777777" w:rsidR="0005795C" w:rsidRDefault="0005795C" w:rsidP="0005795C">
      <w:pPr>
        <w:pStyle w:val="BodyText"/>
        <w:rPr>
          <w:lang w:val="en-AU"/>
        </w:rPr>
      </w:pPr>
    </w:p>
    <w:p w14:paraId="2084911F" w14:textId="77777777" w:rsidR="0005795C" w:rsidRPr="00F65403" w:rsidRDefault="0005795C" w:rsidP="0005795C">
      <w:pPr>
        <w:pStyle w:val="Heading8"/>
      </w:pPr>
      <w:r>
        <w:t>iv.</w:t>
      </w:r>
      <w:r>
        <w:tab/>
        <w:t>Credit risk management</w:t>
      </w:r>
    </w:p>
    <w:p w14:paraId="18C0256F" w14:textId="77777777" w:rsidR="0005795C" w:rsidRPr="00F65403" w:rsidRDefault="0005795C" w:rsidP="0005795C">
      <w:pPr>
        <w:pStyle w:val="BodyText"/>
        <w:rPr>
          <w:lang w:val="en-AU"/>
        </w:rPr>
      </w:pPr>
      <w:r w:rsidRPr="00F65403">
        <w:rPr>
          <w:lang w:val="en-AU"/>
        </w:rPr>
        <w:t xml:space="preserve">Credit risk refers to the possibility that a customer or borrower will default on their financial obligations as and when they fall due. The </w:t>
      </w:r>
      <w:r>
        <w:rPr>
          <w:lang w:val="en-AU"/>
        </w:rPr>
        <w:t>Company’s</w:t>
      </w:r>
      <w:r w:rsidRPr="00F65403">
        <w:rPr>
          <w:lang w:val="en-AU"/>
        </w:rPr>
        <w:t xml:space="preserve"> exposure to credit risk arises from the potential default of a counterparty on their contractual obligations resulting in financial loss to the </w:t>
      </w:r>
      <w:r>
        <w:rPr>
          <w:lang w:val="en-AU"/>
        </w:rPr>
        <w:t>Company</w:t>
      </w:r>
      <w:r w:rsidRPr="00F65403">
        <w:rPr>
          <w:lang w:val="en-AU"/>
        </w:rPr>
        <w:t xml:space="preserve">. </w:t>
      </w:r>
    </w:p>
    <w:p w14:paraId="1E68DEA1" w14:textId="77777777" w:rsidR="0005795C" w:rsidRPr="00F65403" w:rsidRDefault="0005795C" w:rsidP="0005795C">
      <w:pPr>
        <w:pStyle w:val="BodyText"/>
        <w:rPr>
          <w:lang w:val="en-AU"/>
        </w:rPr>
      </w:pPr>
    </w:p>
    <w:p w14:paraId="38318F05" w14:textId="6FF364F5" w:rsidR="0005795C" w:rsidRPr="00F65403" w:rsidRDefault="0005795C" w:rsidP="0005795C">
      <w:pPr>
        <w:pStyle w:val="BodyText"/>
        <w:rPr>
          <w:lang w:val="en-AU"/>
        </w:rPr>
      </w:pPr>
      <w:r w:rsidRPr="00F65403">
        <w:rPr>
          <w:lang w:val="en-AU"/>
        </w:rPr>
        <w:t xml:space="preserve">For the </w:t>
      </w:r>
      <w:r w:rsidR="009852ED">
        <w:rPr>
          <w:lang w:val="en-AU"/>
        </w:rPr>
        <w:t xml:space="preserve">current and prior </w:t>
      </w:r>
      <w:r w:rsidRPr="00F65403">
        <w:rPr>
          <w:lang w:val="en-AU"/>
        </w:rPr>
        <w:t xml:space="preserve">period, the </w:t>
      </w:r>
      <w:r>
        <w:rPr>
          <w:lang w:val="en-AU"/>
        </w:rPr>
        <w:t>Company’s</w:t>
      </w:r>
      <w:r w:rsidRPr="00F65403">
        <w:rPr>
          <w:lang w:val="en-AU"/>
        </w:rPr>
        <w:t xml:space="preserve"> exposure to credit risk is not material. </w:t>
      </w:r>
    </w:p>
    <w:p w14:paraId="6048860F" w14:textId="77777777" w:rsidR="0005795C" w:rsidRPr="00F65403" w:rsidRDefault="0005795C" w:rsidP="0005795C">
      <w:pPr>
        <w:pStyle w:val="BodyText"/>
        <w:rPr>
          <w:lang w:val="en-AU"/>
        </w:rPr>
      </w:pPr>
    </w:p>
    <w:p w14:paraId="594BE615" w14:textId="77777777" w:rsidR="0005795C" w:rsidRPr="00F65403" w:rsidRDefault="0005795C" w:rsidP="0005795C">
      <w:pPr>
        <w:pStyle w:val="Heading8"/>
      </w:pPr>
      <w:r>
        <w:t>v.</w:t>
      </w:r>
      <w:r>
        <w:tab/>
        <w:t>Foreign currency risk</w:t>
      </w:r>
    </w:p>
    <w:p w14:paraId="4FC69E67" w14:textId="77777777" w:rsidR="0005795C" w:rsidRDefault="0005795C" w:rsidP="0005795C">
      <w:pPr>
        <w:pStyle w:val="BodyText"/>
        <w:rPr>
          <w:lang w:val="en-AU"/>
        </w:rPr>
      </w:pPr>
      <w:r w:rsidRPr="00F65403">
        <w:rPr>
          <w:lang w:val="en-AU"/>
        </w:rPr>
        <w:t xml:space="preserve">The </w:t>
      </w:r>
      <w:r>
        <w:rPr>
          <w:lang w:val="en-AU"/>
        </w:rPr>
        <w:t>Company</w:t>
      </w:r>
      <w:r w:rsidRPr="00F65403">
        <w:rPr>
          <w:lang w:val="en-AU"/>
        </w:rPr>
        <w:t xml:space="preserve"> is exposed to foreign currency risk mainly through its payables relating to purchases of supplies and consumables from overseas. Exposures are against the US dollar (USD) and are managed through hedging instruments that allow the </w:t>
      </w:r>
      <w:r>
        <w:rPr>
          <w:lang w:val="en-AU"/>
        </w:rPr>
        <w:t>Company</w:t>
      </w:r>
      <w:r w:rsidRPr="00F65403">
        <w:rPr>
          <w:lang w:val="en-AU"/>
        </w:rPr>
        <w:t xml:space="preserve"> to fix its foreign currency transactions at acceptable rates. </w:t>
      </w:r>
    </w:p>
    <w:p w14:paraId="11B7A90B" w14:textId="77777777" w:rsidR="0005795C" w:rsidRDefault="0005795C" w:rsidP="0005795C">
      <w:pPr>
        <w:pStyle w:val="BodyText"/>
        <w:rPr>
          <w:lang w:val="en-AU"/>
        </w:rPr>
      </w:pPr>
    </w:p>
    <w:p w14:paraId="4DDCB362" w14:textId="0BAC5845" w:rsidR="0005795C" w:rsidRPr="00F65403" w:rsidRDefault="0005795C" w:rsidP="0005795C">
      <w:pPr>
        <w:pStyle w:val="BodyText"/>
        <w:rPr>
          <w:lang w:val="en-AU"/>
        </w:rPr>
      </w:pPr>
      <w:r w:rsidRPr="003E4816">
        <w:rPr>
          <w:lang w:val="en-AU"/>
        </w:rPr>
        <w:t xml:space="preserve">For the </w:t>
      </w:r>
      <w:r w:rsidR="009852ED">
        <w:rPr>
          <w:lang w:val="en-AU"/>
        </w:rPr>
        <w:t xml:space="preserve">current and prior </w:t>
      </w:r>
      <w:r w:rsidRPr="003E4816">
        <w:rPr>
          <w:lang w:val="en-AU"/>
        </w:rPr>
        <w:t xml:space="preserve">period, the </w:t>
      </w:r>
      <w:r>
        <w:rPr>
          <w:lang w:val="en-AU"/>
        </w:rPr>
        <w:t>Company’s</w:t>
      </w:r>
      <w:r w:rsidRPr="003E4816">
        <w:rPr>
          <w:lang w:val="en-AU"/>
        </w:rPr>
        <w:t xml:space="preserve"> exposure to </w:t>
      </w:r>
      <w:r>
        <w:rPr>
          <w:lang w:val="en-AU"/>
        </w:rPr>
        <w:t>foreign currency</w:t>
      </w:r>
      <w:r w:rsidRPr="003E4816">
        <w:rPr>
          <w:lang w:val="en-AU"/>
        </w:rPr>
        <w:t xml:space="preserve"> risk is not material</w:t>
      </w:r>
      <w:r>
        <w:rPr>
          <w:lang w:val="en-AU"/>
        </w:rPr>
        <w:t>.</w:t>
      </w:r>
    </w:p>
    <w:p w14:paraId="26DA8CC5" w14:textId="77777777" w:rsidR="0005795C" w:rsidRPr="00F65403" w:rsidRDefault="0005795C" w:rsidP="0005795C">
      <w:pPr>
        <w:pStyle w:val="BodyText"/>
        <w:rPr>
          <w:lang w:val="en-AU"/>
        </w:rPr>
      </w:pPr>
    </w:p>
    <w:p w14:paraId="29573710" w14:textId="77777777" w:rsidR="0005795C" w:rsidRPr="00F65403" w:rsidRDefault="0005795C" w:rsidP="0005795C">
      <w:pPr>
        <w:pStyle w:val="Heading8"/>
      </w:pPr>
      <w:r>
        <w:t>vi.</w:t>
      </w:r>
      <w:r>
        <w:tab/>
        <w:t>Interest rate risk</w:t>
      </w:r>
    </w:p>
    <w:p w14:paraId="11E81DF5" w14:textId="77777777" w:rsidR="0005795C" w:rsidRPr="00F65403" w:rsidRDefault="0005795C" w:rsidP="0005795C">
      <w:pPr>
        <w:pStyle w:val="BodyText"/>
        <w:rPr>
          <w:lang w:val="en-AU"/>
        </w:rPr>
      </w:pPr>
      <w:r w:rsidRPr="00F65403">
        <w:rPr>
          <w:lang w:val="en-AU"/>
        </w:rPr>
        <w:t xml:space="preserve">Cash flow interest rate risk is the risk that the future cash flows of a financial instrument will fluctuate because of changes in market interest rates. The </w:t>
      </w:r>
      <w:r>
        <w:rPr>
          <w:lang w:val="en-AU"/>
        </w:rPr>
        <w:t>Company</w:t>
      </w:r>
      <w:r w:rsidRPr="00F65403">
        <w:rPr>
          <w:lang w:val="en-AU"/>
        </w:rPr>
        <w:t xml:space="preserve"> has exposure to cash flow interest rate risks through cash and cash equivalents that are at floating rate.</w:t>
      </w:r>
    </w:p>
    <w:p w14:paraId="10D1FBE0" w14:textId="77777777" w:rsidR="0005795C" w:rsidRPr="00F65403" w:rsidRDefault="0005795C" w:rsidP="0005795C">
      <w:pPr>
        <w:pStyle w:val="BodyText"/>
        <w:rPr>
          <w:lang w:val="en-AU"/>
        </w:rPr>
      </w:pPr>
    </w:p>
    <w:p w14:paraId="14432BB7" w14:textId="75B498A7" w:rsidR="0005795C" w:rsidRDefault="0005795C" w:rsidP="001513B5">
      <w:pPr>
        <w:pStyle w:val="BodyText"/>
        <w:rPr>
          <w:rFonts w:eastAsiaTheme="majorEastAsia" w:cstheme="majorBidi"/>
          <w:b/>
          <w:i/>
          <w:iCs/>
          <w:color w:val="272727" w:themeColor="text1" w:themeTint="D8"/>
        </w:rPr>
      </w:pPr>
      <w:r>
        <w:rPr>
          <w:lang w:val="en-AU"/>
        </w:rPr>
        <w:t xml:space="preserve">For the </w:t>
      </w:r>
      <w:r w:rsidR="00E01181">
        <w:rPr>
          <w:lang w:val="en-AU"/>
        </w:rPr>
        <w:t xml:space="preserve">current and prior </w:t>
      </w:r>
      <w:r>
        <w:rPr>
          <w:lang w:val="en-AU"/>
        </w:rPr>
        <w:t>period, the Company’s exposure to interest rate risk is not material.</w:t>
      </w:r>
      <w:r w:rsidR="009B3C7F">
        <w:rPr>
          <w:lang w:val="en-AU"/>
        </w:rPr>
        <w:t xml:space="preserve"> </w:t>
      </w:r>
    </w:p>
    <w:p w14:paraId="6FF0CC71" w14:textId="77777777" w:rsidR="0005795C" w:rsidRPr="00F65403" w:rsidRDefault="0005795C" w:rsidP="0005795C">
      <w:pPr>
        <w:pStyle w:val="BodyText"/>
        <w:rPr>
          <w:lang w:val="en-AU"/>
        </w:rPr>
      </w:pPr>
    </w:p>
    <w:p w14:paraId="03DFF767" w14:textId="77777777" w:rsidR="0005795C" w:rsidRPr="00F65403" w:rsidRDefault="0005795C" w:rsidP="0005795C">
      <w:pPr>
        <w:pStyle w:val="Heading7"/>
      </w:pPr>
      <w:r w:rsidRPr="00F65403">
        <w:t>Fair value of other financial assets and liabilities</w:t>
      </w:r>
    </w:p>
    <w:p w14:paraId="4222D0B5" w14:textId="77777777" w:rsidR="0005795C" w:rsidRPr="00F65403" w:rsidRDefault="0005795C" w:rsidP="0005795C">
      <w:pPr>
        <w:pStyle w:val="Heading8"/>
      </w:pPr>
      <w:proofErr w:type="spellStart"/>
      <w:r>
        <w:t>i</w:t>
      </w:r>
      <w:proofErr w:type="spellEnd"/>
      <w:r>
        <w:t>.</w:t>
      </w:r>
      <w:r>
        <w:tab/>
        <w:t>Classes and categories of financial instruments and their fair values</w:t>
      </w:r>
    </w:p>
    <w:p w14:paraId="4CAD82A0" w14:textId="77777777" w:rsidR="0005795C" w:rsidRPr="00F65403" w:rsidRDefault="0005795C" w:rsidP="0005795C">
      <w:pPr>
        <w:pStyle w:val="BodyText"/>
        <w:rPr>
          <w:lang w:val="en-AU"/>
        </w:rPr>
      </w:pPr>
      <w:r w:rsidRPr="00F65403">
        <w:rPr>
          <w:lang w:val="en-AU"/>
        </w:rPr>
        <w:t>The following table combines information about:</w:t>
      </w:r>
    </w:p>
    <w:p w14:paraId="377909EB" w14:textId="77777777" w:rsidR="0005795C" w:rsidRPr="00F65403" w:rsidRDefault="0005795C" w:rsidP="0005795C">
      <w:pPr>
        <w:pStyle w:val="ListBullet"/>
        <w:rPr>
          <w:lang w:val="en-AU"/>
        </w:rPr>
      </w:pPr>
      <w:r w:rsidRPr="00F65403">
        <w:rPr>
          <w:lang w:val="en-AU"/>
        </w:rPr>
        <w:t>classes of financial instruments based on their nature and characteristics</w:t>
      </w:r>
    </w:p>
    <w:p w14:paraId="397E5563" w14:textId="77777777" w:rsidR="0005795C" w:rsidRPr="00F65403" w:rsidRDefault="0005795C" w:rsidP="0005795C">
      <w:pPr>
        <w:pStyle w:val="ListBullet"/>
        <w:numPr>
          <w:ilvl w:val="1"/>
          <w:numId w:val="12"/>
        </w:numPr>
        <w:ind w:left="1134" w:hanging="425"/>
        <w:rPr>
          <w:lang w:val="en-AU"/>
        </w:rPr>
      </w:pPr>
      <w:r w:rsidRPr="00F65403">
        <w:rPr>
          <w:lang w:val="en-AU"/>
        </w:rPr>
        <w:t>amortised cost</w:t>
      </w:r>
    </w:p>
    <w:p w14:paraId="3E9E88B6" w14:textId="77777777" w:rsidR="0005795C" w:rsidRPr="00F65403" w:rsidRDefault="0005795C" w:rsidP="0005795C">
      <w:pPr>
        <w:pStyle w:val="ListBullet"/>
        <w:numPr>
          <w:ilvl w:val="1"/>
          <w:numId w:val="12"/>
        </w:numPr>
        <w:ind w:left="1134" w:hanging="425"/>
        <w:rPr>
          <w:lang w:val="en-AU"/>
        </w:rPr>
      </w:pPr>
      <w:r w:rsidRPr="00F65403">
        <w:rPr>
          <w:lang w:val="en-AU"/>
        </w:rPr>
        <w:t>fair value through profit or loss (‘FVTPL’)</w:t>
      </w:r>
    </w:p>
    <w:p w14:paraId="62EF8E79" w14:textId="77777777" w:rsidR="0005795C" w:rsidRPr="00F65403" w:rsidRDefault="0005795C" w:rsidP="0005795C">
      <w:pPr>
        <w:pStyle w:val="ListBullet"/>
        <w:numPr>
          <w:ilvl w:val="1"/>
          <w:numId w:val="12"/>
        </w:numPr>
        <w:ind w:left="1134" w:hanging="425"/>
        <w:rPr>
          <w:lang w:val="en-AU"/>
        </w:rPr>
      </w:pPr>
      <w:r w:rsidRPr="00F65403">
        <w:rPr>
          <w:lang w:val="en-AU"/>
        </w:rPr>
        <w:t>fair value through other comprehensive income (‘FVOCI’)</w:t>
      </w:r>
    </w:p>
    <w:p w14:paraId="1B39A86D" w14:textId="77777777" w:rsidR="0005795C" w:rsidRPr="00F65403" w:rsidRDefault="0005795C" w:rsidP="0005795C">
      <w:pPr>
        <w:pStyle w:val="ListBullet"/>
        <w:rPr>
          <w:lang w:val="en-AU"/>
        </w:rPr>
      </w:pPr>
      <w:r w:rsidRPr="00F65403">
        <w:rPr>
          <w:lang w:val="en-AU"/>
        </w:rPr>
        <w:t>the carrying amounts of financial instruments</w:t>
      </w:r>
    </w:p>
    <w:p w14:paraId="0DFF29BA" w14:textId="77777777" w:rsidR="0005795C" w:rsidRPr="00F65403" w:rsidRDefault="0005795C" w:rsidP="0005795C">
      <w:pPr>
        <w:pStyle w:val="ListBullet"/>
        <w:rPr>
          <w:lang w:val="en-AU"/>
        </w:rPr>
      </w:pPr>
      <w:r w:rsidRPr="00F65403">
        <w:rPr>
          <w:lang w:val="en-AU"/>
        </w:rPr>
        <w:t>fair values of financial instruments (except financial instruments when carrying amount approximates their fair value).</w:t>
      </w:r>
    </w:p>
    <w:p w14:paraId="10F08D07" w14:textId="77777777" w:rsidR="0005795C" w:rsidRPr="00F65403" w:rsidRDefault="0005795C" w:rsidP="0005795C">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7"/>
        <w:gridCol w:w="1412"/>
        <w:gridCol w:w="1412"/>
        <w:gridCol w:w="1412"/>
        <w:gridCol w:w="1413"/>
      </w:tblGrid>
      <w:tr w:rsidR="0005795C" w:rsidRPr="00D31D72" w14:paraId="2604ACB0" w14:textId="77777777">
        <w:tc>
          <w:tcPr>
            <w:tcW w:w="1871" w:type="pct"/>
            <w:tcBorders>
              <w:top w:val="nil"/>
              <w:left w:val="nil"/>
              <w:bottom w:val="nil"/>
              <w:right w:val="nil"/>
            </w:tcBorders>
            <w:noWrap/>
            <w:vAlign w:val="bottom"/>
            <w:hideMark/>
          </w:tcPr>
          <w:p w14:paraId="775F11D1" w14:textId="77777777" w:rsidR="0005795C" w:rsidRPr="00F65403" w:rsidRDefault="0005795C">
            <w:pPr>
              <w:spacing w:after="0" w:line="240" w:lineRule="auto"/>
              <w:rPr>
                <w:rFonts w:eastAsia="Times New Roman" w:cs="Arial"/>
                <w:sz w:val="20"/>
                <w:szCs w:val="20"/>
                <w:lang w:eastAsia="en-AU"/>
              </w:rPr>
            </w:pPr>
          </w:p>
        </w:tc>
        <w:tc>
          <w:tcPr>
            <w:tcW w:w="3129" w:type="pct"/>
            <w:gridSpan w:val="4"/>
            <w:tcBorders>
              <w:top w:val="nil"/>
              <w:left w:val="nil"/>
              <w:bottom w:val="nil"/>
              <w:right w:val="nil"/>
            </w:tcBorders>
            <w:vAlign w:val="center"/>
            <w:hideMark/>
          </w:tcPr>
          <w:p w14:paraId="153B7BA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value</w:t>
            </w:r>
          </w:p>
        </w:tc>
      </w:tr>
      <w:tr w:rsidR="0005795C" w:rsidRPr="00D31D72" w14:paraId="4512FCDE" w14:textId="77777777">
        <w:trPr>
          <w:trHeight w:val="300"/>
        </w:trPr>
        <w:tc>
          <w:tcPr>
            <w:tcW w:w="1871" w:type="pct"/>
            <w:tcBorders>
              <w:top w:val="nil"/>
              <w:left w:val="nil"/>
              <w:bottom w:val="nil"/>
              <w:right w:val="nil"/>
            </w:tcBorders>
            <w:noWrap/>
            <w:vAlign w:val="center"/>
            <w:hideMark/>
          </w:tcPr>
          <w:p w14:paraId="1C6193B0" w14:textId="77777777" w:rsidR="0005795C" w:rsidRPr="00F65403" w:rsidRDefault="0005795C">
            <w:pPr>
              <w:spacing w:after="0" w:line="240" w:lineRule="auto"/>
              <w:rPr>
                <w:rFonts w:eastAsia="Times New Roman" w:cs="Arial"/>
                <w:b/>
                <w:color w:val="000000"/>
                <w:sz w:val="20"/>
                <w:szCs w:val="20"/>
                <w:lang w:eastAsia="en-AU"/>
              </w:rPr>
            </w:pPr>
          </w:p>
        </w:tc>
        <w:tc>
          <w:tcPr>
            <w:tcW w:w="3129" w:type="pct"/>
            <w:gridSpan w:val="4"/>
            <w:tcBorders>
              <w:top w:val="nil"/>
              <w:left w:val="nil"/>
              <w:bottom w:val="nil"/>
              <w:right w:val="nil"/>
            </w:tcBorders>
            <w:hideMark/>
          </w:tcPr>
          <w:p w14:paraId="666B7FC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D31D72" w14:paraId="36F09091" w14:textId="77777777">
        <w:tc>
          <w:tcPr>
            <w:tcW w:w="1871" w:type="pct"/>
            <w:tcBorders>
              <w:top w:val="nil"/>
              <w:left w:val="nil"/>
              <w:bottom w:val="nil"/>
              <w:right w:val="nil"/>
            </w:tcBorders>
            <w:vAlign w:val="bottom"/>
            <w:hideMark/>
          </w:tcPr>
          <w:p w14:paraId="047BB43B"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82" w:type="pct"/>
            <w:tcBorders>
              <w:top w:val="nil"/>
              <w:left w:val="nil"/>
              <w:bottom w:val="nil"/>
              <w:right w:val="nil"/>
            </w:tcBorders>
            <w:vAlign w:val="center"/>
            <w:hideMark/>
          </w:tcPr>
          <w:p w14:paraId="18BDFE4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FVTPL</w:t>
            </w:r>
          </w:p>
        </w:tc>
        <w:tc>
          <w:tcPr>
            <w:tcW w:w="782" w:type="pct"/>
            <w:tcBorders>
              <w:top w:val="nil"/>
              <w:left w:val="nil"/>
              <w:bottom w:val="nil"/>
              <w:right w:val="nil"/>
            </w:tcBorders>
            <w:vAlign w:val="center"/>
            <w:hideMark/>
          </w:tcPr>
          <w:p w14:paraId="4BD077C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782" w:type="pct"/>
            <w:tcBorders>
              <w:top w:val="nil"/>
              <w:left w:val="nil"/>
              <w:bottom w:val="nil"/>
              <w:right w:val="nil"/>
            </w:tcBorders>
            <w:vAlign w:val="center"/>
            <w:hideMark/>
          </w:tcPr>
          <w:p w14:paraId="1790F267"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783" w:type="pct"/>
            <w:tcBorders>
              <w:top w:val="nil"/>
              <w:left w:val="nil"/>
              <w:bottom w:val="nil"/>
              <w:right w:val="nil"/>
            </w:tcBorders>
            <w:vAlign w:val="center"/>
            <w:hideMark/>
          </w:tcPr>
          <w:p w14:paraId="2EB027B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05795C" w:rsidRPr="00D31D72" w14:paraId="19C7B9AA" w14:textId="77777777">
        <w:tc>
          <w:tcPr>
            <w:tcW w:w="1871" w:type="pct"/>
            <w:tcBorders>
              <w:top w:val="nil"/>
              <w:left w:val="nil"/>
              <w:bottom w:val="nil"/>
              <w:right w:val="nil"/>
            </w:tcBorders>
            <w:noWrap/>
            <w:vAlign w:val="center"/>
            <w:hideMark/>
          </w:tcPr>
          <w:p w14:paraId="45E6D288"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782" w:type="pct"/>
            <w:tcBorders>
              <w:top w:val="nil"/>
              <w:left w:val="nil"/>
              <w:bottom w:val="nil"/>
              <w:right w:val="nil"/>
            </w:tcBorders>
            <w:vAlign w:val="bottom"/>
            <w:hideMark/>
          </w:tcPr>
          <w:p w14:paraId="43278CAA"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5F4C26C1"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0777A185"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137C11E8" w14:textId="77777777" w:rsidR="0005795C" w:rsidRPr="00F65403" w:rsidRDefault="0005795C">
            <w:pPr>
              <w:tabs>
                <w:tab w:val="decimal" w:pos="1096"/>
              </w:tabs>
              <w:spacing w:after="0" w:line="240" w:lineRule="auto"/>
              <w:rPr>
                <w:rFonts w:eastAsia="Times New Roman" w:cs="Arial"/>
                <w:sz w:val="20"/>
                <w:szCs w:val="20"/>
                <w:lang w:eastAsia="en-AU"/>
              </w:rPr>
            </w:pPr>
          </w:p>
        </w:tc>
      </w:tr>
      <w:tr w:rsidR="0005795C" w:rsidRPr="00D31D72" w14:paraId="3A972A49" w14:textId="77777777">
        <w:tc>
          <w:tcPr>
            <w:tcW w:w="1871" w:type="pct"/>
            <w:tcBorders>
              <w:top w:val="nil"/>
              <w:left w:val="nil"/>
              <w:bottom w:val="nil"/>
              <w:right w:val="nil"/>
            </w:tcBorders>
            <w:noWrap/>
            <w:vAlign w:val="center"/>
            <w:hideMark/>
          </w:tcPr>
          <w:p w14:paraId="1E2A7412"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782" w:type="pct"/>
            <w:tcBorders>
              <w:top w:val="nil"/>
              <w:left w:val="nil"/>
              <w:bottom w:val="nil"/>
              <w:right w:val="nil"/>
            </w:tcBorders>
            <w:hideMark/>
          </w:tcPr>
          <w:p w14:paraId="5DB38AB0" w14:textId="77777777" w:rsidR="0005795C" w:rsidRPr="00360719" w:rsidRDefault="0005795C">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4BDC6BF6" w14:textId="77777777" w:rsidR="0005795C" w:rsidRPr="00360719" w:rsidRDefault="0005795C">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62269707" w14:textId="77777777" w:rsidR="0005795C" w:rsidRPr="00360719" w:rsidRDefault="0005795C">
            <w:pPr>
              <w:tabs>
                <w:tab w:val="decimal" w:pos="114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20,399</w:t>
            </w:r>
          </w:p>
        </w:tc>
        <w:tc>
          <w:tcPr>
            <w:tcW w:w="783" w:type="pct"/>
            <w:tcBorders>
              <w:top w:val="nil"/>
              <w:left w:val="nil"/>
              <w:bottom w:val="nil"/>
              <w:right w:val="nil"/>
            </w:tcBorders>
            <w:hideMark/>
          </w:tcPr>
          <w:p w14:paraId="7D7CDF80" w14:textId="77777777" w:rsidR="0005795C" w:rsidRPr="00907CB5" w:rsidRDefault="0005795C">
            <w:pPr>
              <w:tabs>
                <w:tab w:val="decimal" w:pos="1003"/>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20,399</w:t>
            </w:r>
          </w:p>
        </w:tc>
      </w:tr>
      <w:tr w:rsidR="0005795C" w:rsidRPr="00D31D72" w14:paraId="6676D388" w14:textId="77777777">
        <w:tc>
          <w:tcPr>
            <w:tcW w:w="1871" w:type="pct"/>
            <w:tcBorders>
              <w:top w:val="nil"/>
              <w:left w:val="nil"/>
              <w:bottom w:val="nil"/>
              <w:right w:val="nil"/>
            </w:tcBorders>
            <w:noWrap/>
            <w:vAlign w:val="center"/>
            <w:hideMark/>
          </w:tcPr>
          <w:p w14:paraId="543E04DD"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Receivables</w:t>
            </w:r>
          </w:p>
        </w:tc>
        <w:tc>
          <w:tcPr>
            <w:tcW w:w="782" w:type="pct"/>
            <w:tcBorders>
              <w:top w:val="nil"/>
              <w:left w:val="nil"/>
              <w:bottom w:val="nil"/>
              <w:right w:val="nil"/>
            </w:tcBorders>
            <w:hideMark/>
          </w:tcPr>
          <w:p w14:paraId="6A4D8406" w14:textId="77777777" w:rsidR="0005795C" w:rsidRPr="00360719" w:rsidRDefault="0005795C">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3ACED00B" w14:textId="77777777" w:rsidR="0005795C" w:rsidRPr="00360719" w:rsidRDefault="0005795C">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2B10051F" w14:textId="737A9509" w:rsidR="0005795C" w:rsidRPr="00360719" w:rsidRDefault="007D494F">
            <w:pPr>
              <w:tabs>
                <w:tab w:val="decimal" w:pos="114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5,213</w:t>
            </w:r>
          </w:p>
        </w:tc>
        <w:tc>
          <w:tcPr>
            <w:tcW w:w="783" w:type="pct"/>
            <w:tcBorders>
              <w:top w:val="nil"/>
              <w:left w:val="nil"/>
              <w:bottom w:val="nil"/>
              <w:right w:val="nil"/>
            </w:tcBorders>
            <w:hideMark/>
          </w:tcPr>
          <w:p w14:paraId="20A148E9" w14:textId="40B45DED" w:rsidR="0005795C" w:rsidRPr="00907CB5" w:rsidRDefault="007D494F">
            <w:pPr>
              <w:tabs>
                <w:tab w:val="decimal" w:pos="100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5,213</w:t>
            </w:r>
          </w:p>
        </w:tc>
      </w:tr>
      <w:tr w:rsidR="0005795C" w:rsidRPr="00D31D72" w14:paraId="61BC292E" w14:textId="77777777">
        <w:tc>
          <w:tcPr>
            <w:tcW w:w="1871" w:type="pct"/>
            <w:tcBorders>
              <w:top w:val="nil"/>
              <w:left w:val="nil"/>
              <w:bottom w:val="nil"/>
              <w:right w:val="nil"/>
            </w:tcBorders>
            <w:noWrap/>
            <w:vAlign w:val="center"/>
            <w:hideMark/>
          </w:tcPr>
          <w:p w14:paraId="779DEDC8"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financial instruments</w:t>
            </w:r>
          </w:p>
        </w:tc>
        <w:tc>
          <w:tcPr>
            <w:tcW w:w="782" w:type="pct"/>
            <w:tcBorders>
              <w:top w:val="nil"/>
              <w:left w:val="nil"/>
              <w:bottom w:val="nil"/>
              <w:right w:val="nil"/>
            </w:tcBorders>
            <w:hideMark/>
          </w:tcPr>
          <w:p w14:paraId="00B808A6" w14:textId="77777777" w:rsidR="0005795C" w:rsidRPr="00360719" w:rsidRDefault="0005795C">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72,224 </w:t>
            </w:r>
          </w:p>
        </w:tc>
        <w:tc>
          <w:tcPr>
            <w:tcW w:w="782" w:type="pct"/>
            <w:tcBorders>
              <w:top w:val="nil"/>
              <w:left w:val="nil"/>
              <w:bottom w:val="nil"/>
              <w:right w:val="nil"/>
            </w:tcBorders>
            <w:hideMark/>
          </w:tcPr>
          <w:p w14:paraId="2F306681" w14:textId="77777777" w:rsidR="0005795C" w:rsidRPr="00360719" w:rsidRDefault="0005795C">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6ED91E0E" w14:textId="77777777" w:rsidR="0005795C" w:rsidRPr="00360719" w:rsidRDefault="0005795C">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3" w:type="pct"/>
            <w:tcBorders>
              <w:top w:val="nil"/>
              <w:left w:val="nil"/>
              <w:bottom w:val="nil"/>
              <w:right w:val="nil"/>
            </w:tcBorders>
            <w:hideMark/>
          </w:tcPr>
          <w:p w14:paraId="1A62F776" w14:textId="77777777" w:rsidR="0005795C" w:rsidRPr="00907CB5" w:rsidRDefault="0005795C">
            <w:pPr>
              <w:tabs>
                <w:tab w:val="decimal" w:pos="1003"/>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 xml:space="preserve"> 72,224 </w:t>
            </w:r>
          </w:p>
        </w:tc>
      </w:tr>
      <w:tr w:rsidR="0005795C" w:rsidRPr="00D31D72" w14:paraId="648FFE3E" w14:textId="77777777">
        <w:tc>
          <w:tcPr>
            <w:tcW w:w="1871" w:type="pct"/>
            <w:tcBorders>
              <w:top w:val="nil"/>
              <w:left w:val="nil"/>
              <w:bottom w:val="nil"/>
              <w:right w:val="nil"/>
            </w:tcBorders>
            <w:noWrap/>
            <w:vAlign w:val="center"/>
          </w:tcPr>
          <w:p w14:paraId="0A84B636" w14:textId="77777777" w:rsidR="0005795C" w:rsidRPr="00F65403" w:rsidRDefault="0005795C">
            <w:pPr>
              <w:spacing w:after="0" w:line="240" w:lineRule="auto"/>
              <w:rPr>
                <w:rFonts w:eastAsia="Times New Roman" w:cs="Arial"/>
                <w:color w:val="000000"/>
                <w:sz w:val="20"/>
                <w:szCs w:val="20"/>
                <w:lang w:eastAsia="en-AU"/>
              </w:rPr>
            </w:pPr>
            <w:r w:rsidRPr="00AB757B">
              <w:rPr>
                <w:rFonts w:eastAsia="Times New Roman" w:cs="Arial"/>
                <w:color w:val="000000"/>
                <w:sz w:val="20"/>
                <w:szCs w:val="20"/>
                <w:lang w:eastAsia="en-AU"/>
              </w:rPr>
              <w:t>Futures deposits and margin calls</w:t>
            </w:r>
          </w:p>
        </w:tc>
        <w:tc>
          <w:tcPr>
            <w:tcW w:w="782" w:type="pct"/>
            <w:tcBorders>
              <w:top w:val="nil"/>
              <w:left w:val="nil"/>
              <w:bottom w:val="nil"/>
              <w:right w:val="nil"/>
            </w:tcBorders>
          </w:tcPr>
          <w:p w14:paraId="204EE9B2" w14:textId="77777777" w:rsidR="0005795C" w:rsidRPr="00360719" w:rsidRDefault="0005795C">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tcPr>
          <w:p w14:paraId="0E680E5C" w14:textId="77777777" w:rsidR="0005795C" w:rsidRPr="00360719" w:rsidRDefault="0005795C">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tcPr>
          <w:p w14:paraId="48FB97D8" w14:textId="77777777" w:rsidR="0005795C" w:rsidRPr="00360719" w:rsidRDefault="0005795C">
            <w:pPr>
              <w:tabs>
                <w:tab w:val="decimal" w:pos="1143"/>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12,210 </w:t>
            </w:r>
          </w:p>
        </w:tc>
        <w:tc>
          <w:tcPr>
            <w:tcW w:w="783" w:type="pct"/>
            <w:tcBorders>
              <w:top w:val="nil"/>
              <w:left w:val="nil"/>
              <w:bottom w:val="nil"/>
              <w:right w:val="nil"/>
            </w:tcBorders>
          </w:tcPr>
          <w:p w14:paraId="76FD0AB0" w14:textId="77777777" w:rsidR="0005795C" w:rsidRPr="00907CB5" w:rsidRDefault="0005795C">
            <w:pPr>
              <w:tabs>
                <w:tab w:val="decimal" w:pos="1003"/>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 xml:space="preserve"> 12,210 </w:t>
            </w:r>
          </w:p>
        </w:tc>
      </w:tr>
      <w:tr w:rsidR="0005795C" w:rsidRPr="00D31D72" w14:paraId="4C104E75" w14:textId="77777777">
        <w:tc>
          <w:tcPr>
            <w:tcW w:w="1871" w:type="pct"/>
            <w:tcBorders>
              <w:top w:val="nil"/>
              <w:left w:val="nil"/>
              <w:bottom w:val="nil"/>
              <w:right w:val="nil"/>
            </w:tcBorders>
            <w:noWrap/>
            <w:vAlign w:val="center"/>
            <w:hideMark/>
          </w:tcPr>
          <w:p w14:paraId="0319778E"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8" w:space="0" w:color="auto"/>
              <w:left w:val="nil"/>
              <w:bottom w:val="single" w:sz="8" w:space="0" w:color="auto"/>
              <w:right w:val="nil"/>
            </w:tcBorders>
            <w:hideMark/>
          </w:tcPr>
          <w:p w14:paraId="030C2CB3" w14:textId="77777777" w:rsidR="0005795C" w:rsidRPr="00360719" w:rsidRDefault="0005795C">
            <w:pPr>
              <w:tabs>
                <w:tab w:val="decimal" w:pos="987"/>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72,224 </w:t>
            </w:r>
          </w:p>
        </w:tc>
        <w:tc>
          <w:tcPr>
            <w:tcW w:w="782" w:type="pct"/>
            <w:tcBorders>
              <w:top w:val="single" w:sz="8" w:space="0" w:color="auto"/>
              <w:left w:val="nil"/>
              <w:bottom w:val="single" w:sz="8" w:space="0" w:color="auto"/>
              <w:right w:val="nil"/>
            </w:tcBorders>
            <w:hideMark/>
          </w:tcPr>
          <w:p w14:paraId="051B85A8" w14:textId="77777777" w:rsidR="0005795C" w:rsidRPr="00360719" w:rsidRDefault="0005795C">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   </w:t>
            </w:r>
          </w:p>
        </w:tc>
        <w:tc>
          <w:tcPr>
            <w:tcW w:w="782" w:type="pct"/>
            <w:tcBorders>
              <w:top w:val="single" w:sz="8" w:space="0" w:color="auto"/>
              <w:left w:val="nil"/>
              <w:bottom w:val="single" w:sz="8" w:space="0" w:color="auto"/>
              <w:right w:val="nil"/>
            </w:tcBorders>
            <w:hideMark/>
          </w:tcPr>
          <w:p w14:paraId="0BE3321B" w14:textId="6284170D" w:rsidR="0005795C" w:rsidRPr="00360719" w:rsidRDefault="007D494F">
            <w:pPr>
              <w:tabs>
                <w:tab w:val="decimal" w:pos="1143"/>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37,822</w:t>
            </w:r>
          </w:p>
        </w:tc>
        <w:tc>
          <w:tcPr>
            <w:tcW w:w="783" w:type="pct"/>
            <w:tcBorders>
              <w:top w:val="single" w:sz="8" w:space="0" w:color="auto"/>
              <w:left w:val="nil"/>
              <w:bottom w:val="single" w:sz="8" w:space="0" w:color="auto"/>
              <w:right w:val="nil"/>
            </w:tcBorders>
            <w:hideMark/>
          </w:tcPr>
          <w:p w14:paraId="2605EAE0" w14:textId="00753248" w:rsidR="0005795C" w:rsidRPr="00360719" w:rsidRDefault="007D494F">
            <w:pPr>
              <w:tabs>
                <w:tab w:val="decimal" w:pos="1003"/>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110,046</w:t>
            </w:r>
          </w:p>
        </w:tc>
      </w:tr>
      <w:tr w:rsidR="0005795C" w:rsidRPr="00D31D72" w14:paraId="23A6D788" w14:textId="77777777">
        <w:tc>
          <w:tcPr>
            <w:tcW w:w="1871" w:type="pct"/>
            <w:tcBorders>
              <w:top w:val="nil"/>
              <w:left w:val="nil"/>
              <w:bottom w:val="nil"/>
              <w:right w:val="nil"/>
            </w:tcBorders>
            <w:noWrap/>
            <w:vAlign w:val="center"/>
            <w:hideMark/>
          </w:tcPr>
          <w:p w14:paraId="289EADBE" w14:textId="77777777" w:rsidR="0005795C" w:rsidRPr="00F65403" w:rsidRDefault="0005795C">
            <w:pPr>
              <w:spacing w:after="0" w:line="240" w:lineRule="auto"/>
              <w:jc w:val="right"/>
              <w:rPr>
                <w:rFonts w:eastAsia="Times New Roman" w:cs="Arial"/>
                <w:b/>
                <w:color w:val="000000"/>
                <w:sz w:val="20"/>
                <w:szCs w:val="20"/>
                <w:lang w:eastAsia="en-AU"/>
              </w:rPr>
            </w:pPr>
          </w:p>
        </w:tc>
        <w:tc>
          <w:tcPr>
            <w:tcW w:w="782" w:type="pct"/>
            <w:tcBorders>
              <w:top w:val="nil"/>
              <w:left w:val="nil"/>
              <w:bottom w:val="nil"/>
              <w:right w:val="nil"/>
            </w:tcBorders>
            <w:vAlign w:val="bottom"/>
            <w:hideMark/>
          </w:tcPr>
          <w:p w14:paraId="6A7C1BE7" w14:textId="77777777" w:rsidR="0005795C" w:rsidRPr="00360719" w:rsidRDefault="0005795C">
            <w:pPr>
              <w:tabs>
                <w:tab w:val="decimal" w:pos="987"/>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36474A81" w14:textId="77777777" w:rsidR="0005795C" w:rsidRPr="00360719" w:rsidRDefault="0005795C">
            <w:pPr>
              <w:tabs>
                <w:tab w:val="decimal" w:pos="1000"/>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68020BAE" w14:textId="77777777" w:rsidR="0005795C" w:rsidRPr="00360719" w:rsidRDefault="0005795C">
            <w:pPr>
              <w:tabs>
                <w:tab w:val="decimal" w:pos="1143"/>
              </w:tabs>
              <w:spacing w:after="0" w:line="240" w:lineRule="auto"/>
              <w:rPr>
                <w:rFonts w:eastAsia="Times New Roman" w:cs="Arial"/>
                <w:color w:val="000000"/>
                <w:sz w:val="20"/>
                <w:szCs w:val="20"/>
                <w:lang w:eastAsia="en-AU"/>
              </w:rPr>
            </w:pPr>
          </w:p>
        </w:tc>
        <w:tc>
          <w:tcPr>
            <w:tcW w:w="783" w:type="pct"/>
            <w:tcBorders>
              <w:top w:val="nil"/>
              <w:left w:val="nil"/>
              <w:bottom w:val="nil"/>
              <w:right w:val="nil"/>
            </w:tcBorders>
            <w:vAlign w:val="bottom"/>
            <w:hideMark/>
          </w:tcPr>
          <w:p w14:paraId="318703BA" w14:textId="77777777" w:rsidR="0005795C" w:rsidRPr="00360719" w:rsidRDefault="0005795C">
            <w:pPr>
              <w:tabs>
                <w:tab w:val="decimal" w:pos="1003"/>
              </w:tabs>
              <w:spacing w:after="0" w:line="240" w:lineRule="auto"/>
              <w:rPr>
                <w:rFonts w:eastAsia="Times New Roman" w:cs="Arial"/>
                <w:b/>
                <w:bCs/>
                <w:color w:val="000000"/>
                <w:sz w:val="20"/>
                <w:szCs w:val="20"/>
                <w:lang w:eastAsia="en-AU"/>
              </w:rPr>
            </w:pPr>
          </w:p>
        </w:tc>
      </w:tr>
      <w:tr w:rsidR="0005795C" w:rsidRPr="00D31D72" w14:paraId="3DF96B10" w14:textId="77777777">
        <w:tc>
          <w:tcPr>
            <w:tcW w:w="1871" w:type="pct"/>
            <w:tcBorders>
              <w:top w:val="nil"/>
              <w:left w:val="nil"/>
              <w:bottom w:val="nil"/>
              <w:right w:val="nil"/>
            </w:tcBorders>
            <w:noWrap/>
            <w:vAlign w:val="center"/>
            <w:hideMark/>
          </w:tcPr>
          <w:p w14:paraId="52A73188"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782" w:type="pct"/>
            <w:tcBorders>
              <w:top w:val="nil"/>
              <w:left w:val="nil"/>
              <w:bottom w:val="nil"/>
              <w:right w:val="nil"/>
            </w:tcBorders>
            <w:vAlign w:val="bottom"/>
            <w:hideMark/>
          </w:tcPr>
          <w:p w14:paraId="7323FFED" w14:textId="77777777" w:rsidR="0005795C" w:rsidRPr="00360719" w:rsidRDefault="0005795C">
            <w:pPr>
              <w:tabs>
                <w:tab w:val="decimal" w:pos="987"/>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471E18EA" w14:textId="77777777" w:rsidR="0005795C" w:rsidRPr="00360719" w:rsidRDefault="0005795C">
            <w:pPr>
              <w:tabs>
                <w:tab w:val="decimal" w:pos="1000"/>
              </w:tabs>
              <w:spacing w:after="0" w:line="240" w:lineRule="auto"/>
              <w:rPr>
                <w:rFonts w:eastAsia="Times New Roman" w:cs="Arial"/>
                <w:color w:val="000000"/>
                <w:sz w:val="20"/>
                <w:szCs w:val="20"/>
                <w:lang w:eastAsia="en-AU"/>
              </w:rPr>
            </w:pPr>
          </w:p>
        </w:tc>
        <w:tc>
          <w:tcPr>
            <w:tcW w:w="782" w:type="pct"/>
            <w:tcBorders>
              <w:top w:val="nil"/>
              <w:left w:val="nil"/>
              <w:bottom w:val="nil"/>
              <w:right w:val="nil"/>
            </w:tcBorders>
            <w:vAlign w:val="bottom"/>
            <w:hideMark/>
          </w:tcPr>
          <w:p w14:paraId="68AE9F8C" w14:textId="77777777" w:rsidR="0005795C" w:rsidRPr="00360719" w:rsidRDefault="0005795C">
            <w:pPr>
              <w:tabs>
                <w:tab w:val="decimal" w:pos="1143"/>
              </w:tabs>
              <w:spacing w:after="0" w:line="240" w:lineRule="auto"/>
              <w:rPr>
                <w:rFonts w:eastAsia="Times New Roman" w:cs="Arial"/>
                <w:color w:val="000000"/>
                <w:sz w:val="20"/>
                <w:szCs w:val="20"/>
                <w:lang w:eastAsia="en-AU"/>
              </w:rPr>
            </w:pPr>
          </w:p>
        </w:tc>
        <w:tc>
          <w:tcPr>
            <w:tcW w:w="783" w:type="pct"/>
            <w:tcBorders>
              <w:top w:val="nil"/>
              <w:left w:val="nil"/>
              <w:bottom w:val="nil"/>
              <w:right w:val="nil"/>
            </w:tcBorders>
            <w:vAlign w:val="bottom"/>
            <w:hideMark/>
          </w:tcPr>
          <w:p w14:paraId="0E2BB633" w14:textId="77777777" w:rsidR="0005795C" w:rsidRPr="00360719" w:rsidRDefault="0005795C">
            <w:pPr>
              <w:tabs>
                <w:tab w:val="decimal" w:pos="1003"/>
              </w:tabs>
              <w:spacing w:after="0" w:line="240" w:lineRule="auto"/>
              <w:rPr>
                <w:rFonts w:eastAsia="Times New Roman" w:cs="Arial"/>
                <w:b/>
                <w:bCs/>
                <w:color w:val="000000"/>
                <w:sz w:val="20"/>
                <w:szCs w:val="20"/>
                <w:lang w:eastAsia="en-AU"/>
              </w:rPr>
            </w:pPr>
          </w:p>
        </w:tc>
      </w:tr>
      <w:tr w:rsidR="0005795C" w:rsidRPr="00D31D72" w14:paraId="51BFC7CB" w14:textId="77777777">
        <w:tc>
          <w:tcPr>
            <w:tcW w:w="1871" w:type="pct"/>
            <w:tcBorders>
              <w:top w:val="nil"/>
              <w:left w:val="nil"/>
              <w:bottom w:val="nil"/>
              <w:right w:val="nil"/>
            </w:tcBorders>
            <w:noWrap/>
            <w:vAlign w:val="center"/>
            <w:hideMark/>
          </w:tcPr>
          <w:p w14:paraId="248D28EB"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782" w:type="pct"/>
            <w:tcBorders>
              <w:top w:val="nil"/>
              <w:left w:val="nil"/>
              <w:bottom w:val="nil"/>
              <w:right w:val="nil"/>
            </w:tcBorders>
            <w:hideMark/>
          </w:tcPr>
          <w:p w14:paraId="56678C9F" w14:textId="77777777" w:rsidR="0005795C" w:rsidRPr="00F65403" w:rsidRDefault="0005795C">
            <w:pPr>
              <w:tabs>
                <w:tab w:val="decimal" w:pos="987"/>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5D8A9404" w14:textId="77777777" w:rsidR="0005795C" w:rsidRPr="00F65403" w:rsidRDefault="0005795C">
            <w:pPr>
              <w:tabs>
                <w:tab w:val="decimal" w:pos="1000"/>
              </w:tabs>
              <w:spacing w:after="0" w:line="240" w:lineRule="auto"/>
              <w:rPr>
                <w:rFonts w:eastAsia="Times New Roman" w:cs="Arial"/>
                <w:color w:val="000000"/>
                <w:sz w:val="20"/>
                <w:szCs w:val="20"/>
                <w:lang w:eastAsia="en-AU"/>
              </w:rPr>
            </w:pPr>
            <w:r w:rsidRPr="00360719">
              <w:rPr>
                <w:rFonts w:eastAsia="Times New Roman" w:cs="Arial"/>
                <w:color w:val="000000"/>
                <w:sz w:val="20"/>
                <w:szCs w:val="20"/>
                <w:lang w:eastAsia="en-AU"/>
              </w:rPr>
              <w:t xml:space="preserve"> - </w:t>
            </w:r>
          </w:p>
        </w:tc>
        <w:tc>
          <w:tcPr>
            <w:tcW w:w="782" w:type="pct"/>
            <w:tcBorders>
              <w:top w:val="nil"/>
              <w:left w:val="nil"/>
              <w:bottom w:val="nil"/>
              <w:right w:val="nil"/>
            </w:tcBorders>
            <w:hideMark/>
          </w:tcPr>
          <w:p w14:paraId="285D38A5" w14:textId="77777777" w:rsidR="0005795C" w:rsidRPr="00F65403" w:rsidRDefault="0005795C">
            <w:pPr>
              <w:tabs>
                <w:tab w:val="decimal" w:pos="1143"/>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105</w:t>
            </w:r>
          </w:p>
        </w:tc>
        <w:tc>
          <w:tcPr>
            <w:tcW w:w="783" w:type="pct"/>
            <w:tcBorders>
              <w:top w:val="nil"/>
              <w:left w:val="nil"/>
              <w:bottom w:val="nil"/>
              <w:right w:val="nil"/>
            </w:tcBorders>
            <w:hideMark/>
          </w:tcPr>
          <w:p w14:paraId="1B52C798" w14:textId="77777777" w:rsidR="0005795C" w:rsidRPr="00907CB5" w:rsidRDefault="0005795C">
            <w:pPr>
              <w:tabs>
                <w:tab w:val="decimal" w:pos="1003"/>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105</w:t>
            </w:r>
          </w:p>
        </w:tc>
      </w:tr>
      <w:tr w:rsidR="0005795C" w:rsidRPr="00D31D72" w14:paraId="7BECFB1A" w14:textId="77777777">
        <w:tc>
          <w:tcPr>
            <w:tcW w:w="1871" w:type="pct"/>
            <w:tcBorders>
              <w:top w:val="nil"/>
              <w:left w:val="nil"/>
              <w:bottom w:val="nil"/>
              <w:right w:val="nil"/>
            </w:tcBorders>
            <w:vAlign w:val="center"/>
            <w:hideMark/>
          </w:tcPr>
          <w:p w14:paraId="45608BB7"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8" w:space="0" w:color="auto"/>
              <w:left w:val="nil"/>
              <w:bottom w:val="single" w:sz="8" w:space="0" w:color="auto"/>
              <w:right w:val="nil"/>
            </w:tcBorders>
            <w:hideMark/>
          </w:tcPr>
          <w:p w14:paraId="23DCC492" w14:textId="77777777" w:rsidR="0005795C" w:rsidRPr="00360719" w:rsidRDefault="0005795C">
            <w:pPr>
              <w:tabs>
                <w:tab w:val="decimal" w:pos="987"/>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 </w:t>
            </w:r>
          </w:p>
        </w:tc>
        <w:tc>
          <w:tcPr>
            <w:tcW w:w="782" w:type="pct"/>
            <w:tcBorders>
              <w:top w:val="single" w:sz="8" w:space="0" w:color="auto"/>
              <w:left w:val="nil"/>
              <w:bottom w:val="single" w:sz="8" w:space="0" w:color="auto"/>
              <w:right w:val="nil"/>
            </w:tcBorders>
            <w:hideMark/>
          </w:tcPr>
          <w:p w14:paraId="676DEDC1" w14:textId="77777777" w:rsidR="0005795C" w:rsidRPr="00360719" w:rsidRDefault="0005795C">
            <w:pPr>
              <w:tabs>
                <w:tab w:val="decimal" w:pos="1000"/>
              </w:tabs>
              <w:spacing w:after="0" w:line="240" w:lineRule="auto"/>
              <w:rPr>
                <w:rFonts w:eastAsia="Times New Roman" w:cs="Arial"/>
                <w:b/>
                <w:bCs/>
                <w:color w:val="000000"/>
                <w:sz w:val="20"/>
                <w:szCs w:val="20"/>
                <w:lang w:eastAsia="en-AU"/>
              </w:rPr>
            </w:pPr>
            <w:r w:rsidRPr="00360719">
              <w:rPr>
                <w:rFonts w:eastAsia="Times New Roman" w:cs="Arial"/>
                <w:b/>
                <w:bCs/>
                <w:color w:val="000000"/>
                <w:sz w:val="20"/>
                <w:szCs w:val="20"/>
                <w:lang w:eastAsia="en-AU"/>
              </w:rPr>
              <w:t xml:space="preserve"> </w:t>
            </w:r>
            <w:r>
              <w:rPr>
                <w:rFonts w:eastAsia="Times New Roman" w:cs="Arial"/>
                <w:b/>
                <w:bCs/>
                <w:color w:val="000000"/>
                <w:sz w:val="20"/>
                <w:szCs w:val="20"/>
                <w:lang w:eastAsia="en-AU"/>
              </w:rPr>
              <w:t>-</w:t>
            </w:r>
            <w:r w:rsidRPr="00360719">
              <w:rPr>
                <w:rFonts w:eastAsia="Times New Roman" w:cs="Arial"/>
                <w:b/>
                <w:bCs/>
                <w:color w:val="000000"/>
                <w:sz w:val="20"/>
                <w:szCs w:val="20"/>
                <w:lang w:eastAsia="en-AU"/>
              </w:rPr>
              <w:t xml:space="preserve"> </w:t>
            </w:r>
          </w:p>
        </w:tc>
        <w:tc>
          <w:tcPr>
            <w:tcW w:w="782" w:type="pct"/>
            <w:tcBorders>
              <w:top w:val="single" w:sz="8" w:space="0" w:color="auto"/>
              <w:left w:val="nil"/>
              <w:bottom w:val="single" w:sz="8" w:space="0" w:color="auto"/>
              <w:right w:val="nil"/>
            </w:tcBorders>
            <w:hideMark/>
          </w:tcPr>
          <w:p w14:paraId="7F46E159" w14:textId="77777777" w:rsidR="0005795C" w:rsidRPr="00360719" w:rsidRDefault="0005795C">
            <w:pPr>
              <w:tabs>
                <w:tab w:val="decimal" w:pos="1143"/>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105</w:t>
            </w:r>
          </w:p>
        </w:tc>
        <w:tc>
          <w:tcPr>
            <w:tcW w:w="783" w:type="pct"/>
            <w:tcBorders>
              <w:top w:val="single" w:sz="8" w:space="0" w:color="auto"/>
              <w:left w:val="nil"/>
              <w:bottom w:val="single" w:sz="8" w:space="0" w:color="auto"/>
              <w:right w:val="nil"/>
            </w:tcBorders>
            <w:hideMark/>
          </w:tcPr>
          <w:p w14:paraId="5D40042C" w14:textId="77777777" w:rsidR="0005795C" w:rsidRPr="00360719" w:rsidRDefault="0005795C">
            <w:pPr>
              <w:tabs>
                <w:tab w:val="decimal" w:pos="1003"/>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105</w:t>
            </w:r>
          </w:p>
        </w:tc>
      </w:tr>
      <w:tr w:rsidR="0005795C" w:rsidRPr="00D31D72" w14:paraId="4023983D" w14:textId="77777777">
        <w:tc>
          <w:tcPr>
            <w:tcW w:w="1871" w:type="pct"/>
            <w:tcBorders>
              <w:top w:val="nil"/>
              <w:left w:val="nil"/>
              <w:bottom w:val="nil"/>
              <w:right w:val="nil"/>
            </w:tcBorders>
            <w:noWrap/>
            <w:vAlign w:val="bottom"/>
            <w:hideMark/>
          </w:tcPr>
          <w:p w14:paraId="4D69FC98" w14:textId="77777777" w:rsidR="0005795C" w:rsidRPr="00F65403" w:rsidRDefault="0005795C">
            <w:pPr>
              <w:spacing w:after="0" w:line="240" w:lineRule="auto"/>
              <w:jc w:val="right"/>
              <w:rPr>
                <w:rFonts w:eastAsia="Times New Roman" w:cs="Arial"/>
                <w:b/>
                <w:color w:val="000000"/>
                <w:sz w:val="20"/>
                <w:szCs w:val="20"/>
                <w:lang w:eastAsia="en-AU"/>
              </w:rPr>
            </w:pPr>
          </w:p>
        </w:tc>
        <w:tc>
          <w:tcPr>
            <w:tcW w:w="782" w:type="pct"/>
            <w:tcBorders>
              <w:top w:val="nil"/>
              <w:left w:val="nil"/>
              <w:bottom w:val="nil"/>
              <w:right w:val="nil"/>
            </w:tcBorders>
            <w:noWrap/>
            <w:vAlign w:val="bottom"/>
            <w:hideMark/>
          </w:tcPr>
          <w:p w14:paraId="760C3FA3"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noWrap/>
            <w:vAlign w:val="bottom"/>
            <w:hideMark/>
          </w:tcPr>
          <w:p w14:paraId="4EF24A0C"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2" w:type="pct"/>
            <w:tcBorders>
              <w:top w:val="nil"/>
              <w:left w:val="nil"/>
              <w:bottom w:val="nil"/>
              <w:right w:val="nil"/>
            </w:tcBorders>
            <w:noWrap/>
            <w:vAlign w:val="bottom"/>
            <w:hideMark/>
          </w:tcPr>
          <w:p w14:paraId="400F95B0" w14:textId="77777777" w:rsidR="0005795C" w:rsidRPr="00F65403" w:rsidRDefault="0005795C">
            <w:pPr>
              <w:tabs>
                <w:tab w:val="decimal" w:pos="1096"/>
              </w:tabs>
              <w:spacing w:after="0" w:line="240" w:lineRule="auto"/>
              <w:rPr>
                <w:rFonts w:eastAsia="Times New Roman" w:cs="Arial"/>
                <w:sz w:val="20"/>
                <w:szCs w:val="20"/>
                <w:lang w:eastAsia="en-AU"/>
              </w:rPr>
            </w:pPr>
          </w:p>
        </w:tc>
        <w:tc>
          <w:tcPr>
            <w:tcW w:w="783" w:type="pct"/>
            <w:tcBorders>
              <w:top w:val="nil"/>
              <w:left w:val="nil"/>
              <w:bottom w:val="nil"/>
              <w:right w:val="nil"/>
            </w:tcBorders>
            <w:noWrap/>
            <w:vAlign w:val="bottom"/>
            <w:hideMark/>
          </w:tcPr>
          <w:p w14:paraId="30EE46EC" w14:textId="77777777" w:rsidR="0005795C" w:rsidRPr="00F65403" w:rsidRDefault="0005795C">
            <w:pPr>
              <w:tabs>
                <w:tab w:val="decimal" w:pos="1096"/>
              </w:tabs>
              <w:spacing w:after="0" w:line="240" w:lineRule="auto"/>
              <w:rPr>
                <w:rFonts w:eastAsia="Times New Roman" w:cs="Arial"/>
                <w:sz w:val="20"/>
                <w:szCs w:val="20"/>
                <w:lang w:eastAsia="en-AU"/>
              </w:rPr>
            </w:pPr>
          </w:p>
        </w:tc>
      </w:tr>
    </w:tbl>
    <w:p w14:paraId="30942118" w14:textId="77777777" w:rsidR="0005795C" w:rsidRDefault="0005795C" w:rsidP="0005795C">
      <w:pPr>
        <w:pStyle w:val="BodyText"/>
      </w:pPr>
    </w:p>
    <w:p w14:paraId="3DC673C1" w14:textId="77777777" w:rsidR="0005795C" w:rsidRDefault="0005795C" w:rsidP="0005795C">
      <w:pPr>
        <w:pStyle w:val="BodyText"/>
      </w:pPr>
    </w:p>
    <w:tbl>
      <w:tblPr>
        <w:tblW w:w="5000" w:type="pct"/>
        <w:tblCellMar>
          <w:top w:w="28" w:type="dxa"/>
          <w:left w:w="28" w:type="dxa"/>
          <w:bottom w:w="28" w:type="dxa"/>
          <w:right w:w="28" w:type="dxa"/>
        </w:tblCellMar>
        <w:tblLook w:val="04A0" w:firstRow="1" w:lastRow="0" w:firstColumn="1" w:lastColumn="0" w:noHBand="0" w:noVBand="1"/>
      </w:tblPr>
      <w:tblGrid>
        <w:gridCol w:w="3377"/>
        <w:gridCol w:w="1412"/>
        <w:gridCol w:w="1412"/>
        <w:gridCol w:w="1412"/>
        <w:gridCol w:w="1413"/>
      </w:tblGrid>
      <w:tr w:rsidR="0005795C" w:rsidRPr="00D31D72" w14:paraId="71C3ACBF" w14:textId="77777777">
        <w:tc>
          <w:tcPr>
            <w:tcW w:w="1871" w:type="pct"/>
            <w:tcBorders>
              <w:top w:val="nil"/>
              <w:left w:val="nil"/>
              <w:bottom w:val="nil"/>
              <w:right w:val="nil"/>
            </w:tcBorders>
            <w:noWrap/>
            <w:vAlign w:val="bottom"/>
            <w:hideMark/>
          </w:tcPr>
          <w:p w14:paraId="01538B62" w14:textId="77777777" w:rsidR="0005795C" w:rsidRPr="00F65403" w:rsidRDefault="0005795C">
            <w:pPr>
              <w:spacing w:after="0" w:line="240" w:lineRule="auto"/>
              <w:rPr>
                <w:rFonts w:eastAsia="Times New Roman" w:cs="Arial"/>
                <w:sz w:val="20"/>
                <w:szCs w:val="20"/>
                <w:lang w:eastAsia="en-AU"/>
              </w:rPr>
            </w:pPr>
          </w:p>
        </w:tc>
        <w:tc>
          <w:tcPr>
            <w:tcW w:w="3129" w:type="pct"/>
            <w:gridSpan w:val="4"/>
            <w:tcBorders>
              <w:top w:val="nil"/>
              <w:left w:val="nil"/>
              <w:bottom w:val="nil"/>
              <w:right w:val="nil"/>
            </w:tcBorders>
            <w:vAlign w:val="center"/>
            <w:hideMark/>
          </w:tcPr>
          <w:p w14:paraId="7D16E10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value</w:t>
            </w:r>
          </w:p>
        </w:tc>
      </w:tr>
      <w:tr w:rsidR="0005795C" w:rsidRPr="00D31D72" w14:paraId="1B0BB8F8" w14:textId="77777777">
        <w:tc>
          <w:tcPr>
            <w:tcW w:w="1871" w:type="pct"/>
            <w:tcBorders>
              <w:top w:val="nil"/>
              <w:left w:val="nil"/>
              <w:bottom w:val="nil"/>
              <w:right w:val="nil"/>
            </w:tcBorders>
            <w:noWrap/>
            <w:vAlign w:val="bottom"/>
            <w:hideMark/>
          </w:tcPr>
          <w:p w14:paraId="7AC713A5" w14:textId="77777777" w:rsidR="0005795C" w:rsidRPr="00F65403" w:rsidRDefault="0005795C">
            <w:pPr>
              <w:spacing w:after="0" w:line="240" w:lineRule="auto"/>
              <w:jc w:val="center"/>
              <w:rPr>
                <w:rFonts w:eastAsia="Times New Roman" w:cs="Arial"/>
                <w:b/>
                <w:color w:val="000000"/>
                <w:sz w:val="20"/>
                <w:szCs w:val="20"/>
                <w:lang w:eastAsia="en-AU"/>
              </w:rPr>
            </w:pPr>
          </w:p>
        </w:tc>
        <w:tc>
          <w:tcPr>
            <w:tcW w:w="3129" w:type="pct"/>
            <w:gridSpan w:val="4"/>
            <w:tcBorders>
              <w:top w:val="nil"/>
              <w:left w:val="nil"/>
              <w:bottom w:val="nil"/>
              <w:right w:val="nil"/>
            </w:tcBorders>
            <w:hideMark/>
          </w:tcPr>
          <w:p w14:paraId="42498F5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D31D72" w14:paraId="34B6CCE6" w14:textId="77777777">
        <w:tc>
          <w:tcPr>
            <w:tcW w:w="1871" w:type="pct"/>
            <w:tcBorders>
              <w:top w:val="nil"/>
              <w:left w:val="nil"/>
              <w:bottom w:val="nil"/>
              <w:right w:val="nil"/>
            </w:tcBorders>
            <w:vAlign w:val="bottom"/>
            <w:hideMark/>
          </w:tcPr>
          <w:p w14:paraId="2BC3D1D2"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782" w:type="pct"/>
            <w:tcBorders>
              <w:top w:val="nil"/>
              <w:left w:val="nil"/>
              <w:bottom w:val="nil"/>
              <w:right w:val="nil"/>
            </w:tcBorders>
            <w:vAlign w:val="center"/>
            <w:hideMark/>
          </w:tcPr>
          <w:p w14:paraId="125522F5"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FVTPL</w:t>
            </w:r>
          </w:p>
        </w:tc>
        <w:tc>
          <w:tcPr>
            <w:tcW w:w="782" w:type="pct"/>
            <w:tcBorders>
              <w:top w:val="nil"/>
              <w:left w:val="nil"/>
              <w:bottom w:val="nil"/>
              <w:right w:val="nil"/>
            </w:tcBorders>
            <w:vAlign w:val="center"/>
            <w:hideMark/>
          </w:tcPr>
          <w:p w14:paraId="672AD749"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FVOCI</w:t>
            </w:r>
          </w:p>
        </w:tc>
        <w:tc>
          <w:tcPr>
            <w:tcW w:w="782" w:type="pct"/>
            <w:tcBorders>
              <w:top w:val="nil"/>
              <w:left w:val="nil"/>
              <w:bottom w:val="nil"/>
              <w:right w:val="nil"/>
            </w:tcBorders>
            <w:vAlign w:val="center"/>
            <w:hideMark/>
          </w:tcPr>
          <w:p w14:paraId="7191F3E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Amortised cost</w:t>
            </w:r>
          </w:p>
        </w:tc>
        <w:tc>
          <w:tcPr>
            <w:tcW w:w="783" w:type="pct"/>
            <w:tcBorders>
              <w:top w:val="nil"/>
              <w:left w:val="nil"/>
              <w:bottom w:val="nil"/>
              <w:right w:val="nil"/>
            </w:tcBorders>
            <w:vAlign w:val="center"/>
            <w:hideMark/>
          </w:tcPr>
          <w:p w14:paraId="07467302"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05795C" w:rsidRPr="00D31D72" w14:paraId="4BB3C810" w14:textId="77777777">
        <w:tc>
          <w:tcPr>
            <w:tcW w:w="1871" w:type="pct"/>
            <w:tcBorders>
              <w:top w:val="nil"/>
              <w:left w:val="nil"/>
              <w:bottom w:val="nil"/>
              <w:right w:val="nil"/>
            </w:tcBorders>
            <w:noWrap/>
            <w:vAlign w:val="center"/>
            <w:hideMark/>
          </w:tcPr>
          <w:p w14:paraId="63DF5DBB"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assets</w:t>
            </w:r>
          </w:p>
        </w:tc>
        <w:tc>
          <w:tcPr>
            <w:tcW w:w="782" w:type="pct"/>
            <w:tcBorders>
              <w:top w:val="nil"/>
              <w:left w:val="nil"/>
              <w:bottom w:val="nil"/>
              <w:right w:val="nil"/>
            </w:tcBorders>
            <w:vAlign w:val="bottom"/>
            <w:hideMark/>
          </w:tcPr>
          <w:p w14:paraId="0B1BC865"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43E38F07"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0BF2CC33"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7C906D08" w14:textId="77777777" w:rsidR="0005795C" w:rsidRPr="00F65403" w:rsidRDefault="0005795C">
            <w:pPr>
              <w:tabs>
                <w:tab w:val="decimal" w:pos="1101"/>
              </w:tabs>
              <w:spacing w:after="0" w:line="240" w:lineRule="auto"/>
              <w:rPr>
                <w:rFonts w:eastAsia="Times New Roman" w:cs="Arial"/>
                <w:sz w:val="20"/>
                <w:szCs w:val="20"/>
                <w:lang w:eastAsia="en-AU"/>
              </w:rPr>
            </w:pPr>
          </w:p>
        </w:tc>
      </w:tr>
      <w:tr w:rsidR="0005795C" w:rsidRPr="00D31D72" w14:paraId="52CA718B" w14:textId="77777777">
        <w:tc>
          <w:tcPr>
            <w:tcW w:w="1871" w:type="pct"/>
            <w:tcBorders>
              <w:top w:val="nil"/>
              <w:left w:val="nil"/>
              <w:bottom w:val="nil"/>
              <w:right w:val="nil"/>
            </w:tcBorders>
            <w:noWrap/>
            <w:vAlign w:val="center"/>
            <w:hideMark/>
          </w:tcPr>
          <w:p w14:paraId="4B0EE6E7"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Cash and cash equivalents</w:t>
            </w:r>
          </w:p>
        </w:tc>
        <w:tc>
          <w:tcPr>
            <w:tcW w:w="782" w:type="pct"/>
            <w:tcBorders>
              <w:top w:val="nil"/>
              <w:left w:val="nil"/>
              <w:bottom w:val="nil"/>
              <w:right w:val="nil"/>
            </w:tcBorders>
            <w:vAlign w:val="bottom"/>
            <w:hideMark/>
          </w:tcPr>
          <w:p w14:paraId="15BD04A3"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0F679717"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141C17D6"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50</w:t>
            </w:r>
          </w:p>
        </w:tc>
        <w:tc>
          <w:tcPr>
            <w:tcW w:w="783" w:type="pct"/>
            <w:tcBorders>
              <w:top w:val="nil"/>
              <w:left w:val="nil"/>
              <w:bottom w:val="nil"/>
              <w:right w:val="nil"/>
            </w:tcBorders>
            <w:vAlign w:val="bottom"/>
            <w:hideMark/>
          </w:tcPr>
          <w:p w14:paraId="14CB355A" w14:textId="77777777" w:rsidR="0005795C" w:rsidRPr="00907CB5" w:rsidRDefault="0005795C">
            <w:pPr>
              <w:tabs>
                <w:tab w:val="decimal" w:pos="1101"/>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50</w:t>
            </w:r>
          </w:p>
        </w:tc>
      </w:tr>
      <w:tr w:rsidR="0005795C" w:rsidRPr="00D31D72" w14:paraId="00CF9652" w14:textId="77777777">
        <w:tc>
          <w:tcPr>
            <w:tcW w:w="1871" w:type="pct"/>
            <w:tcBorders>
              <w:top w:val="nil"/>
              <w:left w:val="nil"/>
              <w:bottom w:val="nil"/>
              <w:right w:val="nil"/>
            </w:tcBorders>
            <w:noWrap/>
            <w:vAlign w:val="center"/>
            <w:hideMark/>
          </w:tcPr>
          <w:p w14:paraId="3B72D603"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Derivative financial instruments</w:t>
            </w:r>
          </w:p>
        </w:tc>
        <w:tc>
          <w:tcPr>
            <w:tcW w:w="782" w:type="pct"/>
            <w:tcBorders>
              <w:top w:val="nil"/>
              <w:left w:val="nil"/>
              <w:bottom w:val="nil"/>
              <w:right w:val="nil"/>
            </w:tcBorders>
            <w:vAlign w:val="bottom"/>
            <w:hideMark/>
          </w:tcPr>
          <w:p w14:paraId="3F88F5E0"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782" w:type="pct"/>
            <w:tcBorders>
              <w:top w:val="nil"/>
              <w:left w:val="nil"/>
              <w:bottom w:val="nil"/>
              <w:right w:val="nil"/>
            </w:tcBorders>
            <w:vAlign w:val="bottom"/>
            <w:hideMark/>
          </w:tcPr>
          <w:p w14:paraId="044D627A"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27C79C77"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3" w:type="pct"/>
            <w:tcBorders>
              <w:top w:val="nil"/>
              <w:left w:val="nil"/>
              <w:bottom w:val="nil"/>
              <w:right w:val="nil"/>
            </w:tcBorders>
            <w:vAlign w:val="bottom"/>
            <w:hideMark/>
          </w:tcPr>
          <w:p w14:paraId="2FCA5946" w14:textId="77777777" w:rsidR="0005795C" w:rsidRPr="00907CB5" w:rsidRDefault="0005795C">
            <w:pPr>
              <w:tabs>
                <w:tab w:val="decimal" w:pos="1101"/>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13,830</w:t>
            </w:r>
          </w:p>
        </w:tc>
      </w:tr>
      <w:tr w:rsidR="0005795C" w:rsidRPr="00D31D72" w14:paraId="11C7ECC1" w14:textId="77777777">
        <w:tc>
          <w:tcPr>
            <w:tcW w:w="1871" w:type="pct"/>
            <w:tcBorders>
              <w:top w:val="nil"/>
              <w:left w:val="nil"/>
              <w:bottom w:val="nil"/>
              <w:right w:val="nil"/>
            </w:tcBorders>
            <w:noWrap/>
            <w:vAlign w:val="center"/>
            <w:hideMark/>
          </w:tcPr>
          <w:p w14:paraId="36C66AA2"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vAlign w:val="bottom"/>
            <w:hideMark/>
          </w:tcPr>
          <w:p w14:paraId="74F58E15"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782" w:type="pct"/>
            <w:tcBorders>
              <w:top w:val="single" w:sz="4" w:space="0" w:color="auto"/>
              <w:left w:val="nil"/>
              <w:bottom w:val="single" w:sz="4" w:space="0" w:color="auto"/>
              <w:right w:val="nil"/>
            </w:tcBorders>
            <w:vAlign w:val="bottom"/>
            <w:hideMark/>
          </w:tcPr>
          <w:p w14:paraId="0B58C101"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82" w:type="pct"/>
            <w:tcBorders>
              <w:top w:val="single" w:sz="4" w:space="0" w:color="auto"/>
              <w:left w:val="nil"/>
              <w:bottom w:val="single" w:sz="4" w:space="0" w:color="auto"/>
              <w:right w:val="nil"/>
            </w:tcBorders>
            <w:vAlign w:val="bottom"/>
            <w:hideMark/>
          </w:tcPr>
          <w:p w14:paraId="66F10320"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50</w:t>
            </w:r>
          </w:p>
        </w:tc>
        <w:tc>
          <w:tcPr>
            <w:tcW w:w="783" w:type="pct"/>
            <w:tcBorders>
              <w:top w:val="single" w:sz="4" w:space="0" w:color="auto"/>
              <w:left w:val="nil"/>
              <w:bottom w:val="single" w:sz="4" w:space="0" w:color="auto"/>
              <w:right w:val="nil"/>
            </w:tcBorders>
            <w:vAlign w:val="bottom"/>
            <w:hideMark/>
          </w:tcPr>
          <w:p w14:paraId="4711D291"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13,880</w:t>
            </w:r>
          </w:p>
        </w:tc>
      </w:tr>
      <w:tr w:rsidR="0005795C" w:rsidRPr="00D31D72" w14:paraId="711DA07B" w14:textId="77777777">
        <w:tc>
          <w:tcPr>
            <w:tcW w:w="1871" w:type="pct"/>
            <w:tcBorders>
              <w:top w:val="nil"/>
              <w:left w:val="nil"/>
              <w:bottom w:val="nil"/>
              <w:right w:val="nil"/>
            </w:tcBorders>
            <w:noWrap/>
            <w:vAlign w:val="center"/>
            <w:hideMark/>
          </w:tcPr>
          <w:p w14:paraId="3DD2670E" w14:textId="77777777" w:rsidR="0005795C" w:rsidRPr="00F65403" w:rsidRDefault="0005795C">
            <w:pPr>
              <w:spacing w:after="0" w:line="240" w:lineRule="auto"/>
              <w:jc w:val="right"/>
              <w:rPr>
                <w:rFonts w:eastAsia="Times New Roman" w:cs="Arial"/>
                <w:b/>
                <w:color w:val="000000"/>
                <w:sz w:val="20"/>
                <w:szCs w:val="20"/>
                <w:lang w:eastAsia="en-AU"/>
              </w:rPr>
            </w:pPr>
          </w:p>
        </w:tc>
        <w:tc>
          <w:tcPr>
            <w:tcW w:w="782" w:type="pct"/>
            <w:tcBorders>
              <w:top w:val="nil"/>
              <w:left w:val="nil"/>
              <w:bottom w:val="nil"/>
              <w:right w:val="nil"/>
            </w:tcBorders>
            <w:vAlign w:val="bottom"/>
            <w:hideMark/>
          </w:tcPr>
          <w:p w14:paraId="4BC84DBD"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5E5B3AB4"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6CE7EC92"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186B8D6F" w14:textId="77777777" w:rsidR="0005795C" w:rsidRPr="00F65403" w:rsidRDefault="0005795C">
            <w:pPr>
              <w:tabs>
                <w:tab w:val="decimal" w:pos="1101"/>
              </w:tabs>
              <w:spacing w:after="0" w:line="240" w:lineRule="auto"/>
              <w:rPr>
                <w:rFonts w:eastAsia="Times New Roman" w:cs="Arial"/>
                <w:sz w:val="20"/>
                <w:szCs w:val="20"/>
                <w:lang w:eastAsia="en-AU"/>
              </w:rPr>
            </w:pPr>
          </w:p>
        </w:tc>
      </w:tr>
      <w:tr w:rsidR="0005795C" w:rsidRPr="00D31D72" w14:paraId="4CA33D53" w14:textId="77777777">
        <w:tc>
          <w:tcPr>
            <w:tcW w:w="1871" w:type="pct"/>
            <w:tcBorders>
              <w:top w:val="nil"/>
              <w:left w:val="nil"/>
              <w:bottom w:val="nil"/>
              <w:right w:val="nil"/>
            </w:tcBorders>
            <w:noWrap/>
            <w:vAlign w:val="center"/>
            <w:hideMark/>
          </w:tcPr>
          <w:p w14:paraId="18A281A0"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Financial liabilities</w:t>
            </w:r>
          </w:p>
        </w:tc>
        <w:tc>
          <w:tcPr>
            <w:tcW w:w="782" w:type="pct"/>
            <w:tcBorders>
              <w:top w:val="nil"/>
              <w:left w:val="nil"/>
              <w:bottom w:val="nil"/>
              <w:right w:val="nil"/>
            </w:tcBorders>
            <w:vAlign w:val="bottom"/>
            <w:hideMark/>
          </w:tcPr>
          <w:p w14:paraId="2D53A32E"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7CA7DD32"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2" w:type="pct"/>
            <w:tcBorders>
              <w:top w:val="nil"/>
              <w:left w:val="nil"/>
              <w:bottom w:val="nil"/>
              <w:right w:val="nil"/>
            </w:tcBorders>
            <w:vAlign w:val="bottom"/>
            <w:hideMark/>
          </w:tcPr>
          <w:p w14:paraId="4EDDBDED" w14:textId="77777777" w:rsidR="0005795C" w:rsidRPr="00F65403" w:rsidRDefault="0005795C">
            <w:pPr>
              <w:tabs>
                <w:tab w:val="decimal" w:pos="1101"/>
              </w:tabs>
              <w:spacing w:after="0" w:line="240" w:lineRule="auto"/>
              <w:rPr>
                <w:rFonts w:eastAsia="Times New Roman" w:cs="Arial"/>
                <w:sz w:val="20"/>
                <w:szCs w:val="20"/>
                <w:lang w:eastAsia="en-AU"/>
              </w:rPr>
            </w:pPr>
          </w:p>
        </w:tc>
        <w:tc>
          <w:tcPr>
            <w:tcW w:w="783" w:type="pct"/>
            <w:tcBorders>
              <w:top w:val="nil"/>
              <w:left w:val="nil"/>
              <w:bottom w:val="nil"/>
              <w:right w:val="nil"/>
            </w:tcBorders>
            <w:vAlign w:val="bottom"/>
            <w:hideMark/>
          </w:tcPr>
          <w:p w14:paraId="2BCC0331" w14:textId="77777777" w:rsidR="0005795C" w:rsidRPr="00F65403" w:rsidRDefault="0005795C">
            <w:pPr>
              <w:tabs>
                <w:tab w:val="decimal" w:pos="1101"/>
              </w:tabs>
              <w:spacing w:after="0" w:line="240" w:lineRule="auto"/>
              <w:rPr>
                <w:rFonts w:eastAsia="Times New Roman" w:cs="Arial"/>
                <w:sz w:val="20"/>
                <w:szCs w:val="20"/>
                <w:lang w:eastAsia="en-AU"/>
              </w:rPr>
            </w:pPr>
          </w:p>
        </w:tc>
      </w:tr>
      <w:tr w:rsidR="0005795C" w:rsidRPr="00D31D72" w14:paraId="26C11FF1" w14:textId="77777777">
        <w:tc>
          <w:tcPr>
            <w:tcW w:w="1871" w:type="pct"/>
            <w:tcBorders>
              <w:top w:val="nil"/>
              <w:left w:val="nil"/>
              <w:bottom w:val="nil"/>
              <w:right w:val="nil"/>
            </w:tcBorders>
            <w:noWrap/>
            <w:vAlign w:val="center"/>
            <w:hideMark/>
          </w:tcPr>
          <w:p w14:paraId="2D7480C8"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Payables</w:t>
            </w:r>
          </w:p>
        </w:tc>
        <w:tc>
          <w:tcPr>
            <w:tcW w:w="782" w:type="pct"/>
            <w:tcBorders>
              <w:top w:val="nil"/>
              <w:left w:val="nil"/>
              <w:bottom w:val="nil"/>
              <w:right w:val="nil"/>
            </w:tcBorders>
            <w:vAlign w:val="bottom"/>
            <w:hideMark/>
          </w:tcPr>
          <w:p w14:paraId="697D3426"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03467831"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2" w:type="pct"/>
            <w:tcBorders>
              <w:top w:val="nil"/>
              <w:left w:val="nil"/>
              <w:bottom w:val="nil"/>
              <w:right w:val="nil"/>
            </w:tcBorders>
            <w:vAlign w:val="bottom"/>
            <w:hideMark/>
          </w:tcPr>
          <w:p w14:paraId="417D8FDF" w14:textId="77777777" w:rsidR="0005795C" w:rsidRPr="00F65403" w:rsidRDefault="0005795C">
            <w:pPr>
              <w:tabs>
                <w:tab w:val="decimal" w:pos="1101"/>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p>
        </w:tc>
        <w:tc>
          <w:tcPr>
            <w:tcW w:w="783" w:type="pct"/>
            <w:tcBorders>
              <w:top w:val="nil"/>
              <w:left w:val="nil"/>
              <w:bottom w:val="nil"/>
              <w:right w:val="nil"/>
            </w:tcBorders>
            <w:vAlign w:val="bottom"/>
            <w:hideMark/>
          </w:tcPr>
          <w:p w14:paraId="09052DF7" w14:textId="77777777" w:rsidR="0005795C" w:rsidRPr="00907CB5" w:rsidRDefault="0005795C">
            <w:pPr>
              <w:tabs>
                <w:tab w:val="decimal" w:pos="1101"/>
              </w:tabs>
              <w:spacing w:after="0" w:line="240" w:lineRule="auto"/>
              <w:rPr>
                <w:rFonts w:eastAsia="Times New Roman" w:cs="Arial"/>
                <w:color w:val="000000"/>
                <w:sz w:val="20"/>
                <w:szCs w:val="20"/>
                <w:lang w:eastAsia="en-AU"/>
              </w:rPr>
            </w:pPr>
            <w:r w:rsidRPr="00907CB5">
              <w:rPr>
                <w:rFonts w:eastAsia="Times New Roman" w:cs="Arial"/>
                <w:color w:val="000000"/>
                <w:sz w:val="20"/>
                <w:szCs w:val="20"/>
                <w:lang w:eastAsia="en-AU"/>
              </w:rPr>
              <w:t>30</w:t>
            </w:r>
          </w:p>
        </w:tc>
      </w:tr>
      <w:tr w:rsidR="0005795C" w:rsidRPr="00D31D72" w14:paraId="706A2DCD" w14:textId="77777777">
        <w:tc>
          <w:tcPr>
            <w:tcW w:w="1871" w:type="pct"/>
            <w:tcBorders>
              <w:top w:val="nil"/>
              <w:left w:val="nil"/>
              <w:bottom w:val="nil"/>
              <w:right w:val="nil"/>
            </w:tcBorders>
            <w:vAlign w:val="center"/>
            <w:hideMark/>
          </w:tcPr>
          <w:p w14:paraId="59F337C4"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Total </w:t>
            </w:r>
          </w:p>
        </w:tc>
        <w:tc>
          <w:tcPr>
            <w:tcW w:w="782" w:type="pct"/>
            <w:tcBorders>
              <w:top w:val="single" w:sz="4" w:space="0" w:color="auto"/>
              <w:left w:val="nil"/>
              <w:bottom w:val="single" w:sz="4" w:space="0" w:color="auto"/>
              <w:right w:val="nil"/>
            </w:tcBorders>
            <w:vAlign w:val="bottom"/>
            <w:hideMark/>
          </w:tcPr>
          <w:p w14:paraId="62AF4486"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 xml:space="preserve">- </w:t>
            </w:r>
          </w:p>
        </w:tc>
        <w:tc>
          <w:tcPr>
            <w:tcW w:w="782" w:type="pct"/>
            <w:tcBorders>
              <w:top w:val="single" w:sz="4" w:space="0" w:color="auto"/>
              <w:left w:val="nil"/>
              <w:bottom w:val="single" w:sz="4" w:space="0" w:color="auto"/>
              <w:right w:val="nil"/>
            </w:tcBorders>
            <w:vAlign w:val="bottom"/>
            <w:hideMark/>
          </w:tcPr>
          <w:p w14:paraId="78E4BF37"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82" w:type="pct"/>
            <w:tcBorders>
              <w:top w:val="single" w:sz="4" w:space="0" w:color="auto"/>
              <w:left w:val="nil"/>
              <w:bottom w:val="single" w:sz="4" w:space="0" w:color="auto"/>
              <w:right w:val="nil"/>
            </w:tcBorders>
            <w:vAlign w:val="bottom"/>
            <w:hideMark/>
          </w:tcPr>
          <w:p w14:paraId="7A888874"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30</w:t>
            </w:r>
          </w:p>
        </w:tc>
        <w:tc>
          <w:tcPr>
            <w:tcW w:w="783" w:type="pct"/>
            <w:tcBorders>
              <w:top w:val="single" w:sz="4" w:space="0" w:color="auto"/>
              <w:left w:val="nil"/>
              <w:bottom w:val="single" w:sz="4" w:space="0" w:color="auto"/>
              <w:right w:val="nil"/>
            </w:tcBorders>
            <w:vAlign w:val="bottom"/>
            <w:hideMark/>
          </w:tcPr>
          <w:p w14:paraId="62E7C47F" w14:textId="77777777" w:rsidR="0005795C" w:rsidRPr="00F65403" w:rsidRDefault="0005795C">
            <w:pPr>
              <w:tabs>
                <w:tab w:val="decimal" w:pos="1101"/>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30</w:t>
            </w:r>
          </w:p>
        </w:tc>
      </w:tr>
    </w:tbl>
    <w:p w14:paraId="346C005E" w14:textId="25DF11BB" w:rsidR="00EF1A95" w:rsidRDefault="00EF1A95" w:rsidP="0005795C">
      <w:pPr>
        <w:pStyle w:val="BodyText"/>
        <w:rPr>
          <w:lang w:val="en-AU"/>
        </w:rPr>
      </w:pPr>
    </w:p>
    <w:p w14:paraId="79B7EC2D" w14:textId="77777777" w:rsidR="00EF1A95" w:rsidRDefault="00EF1A95">
      <w:pPr>
        <w:rPr>
          <w:rFonts w:eastAsia="Arial" w:cs="Arial"/>
          <w:sz w:val="20"/>
          <w:szCs w:val="20"/>
        </w:rPr>
      </w:pPr>
      <w:r>
        <w:br w:type="page"/>
      </w:r>
    </w:p>
    <w:p w14:paraId="196A80E2" w14:textId="77777777" w:rsidR="0005795C" w:rsidRPr="00F65403" w:rsidRDefault="0005795C" w:rsidP="0005795C">
      <w:pPr>
        <w:pStyle w:val="BodyText"/>
        <w:rPr>
          <w:lang w:val="en-AU"/>
        </w:rPr>
      </w:pPr>
    </w:p>
    <w:p w14:paraId="2E56E965" w14:textId="77777777" w:rsidR="0005795C" w:rsidRPr="00F65403" w:rsidRDefault="0005795C" w:rsidP="0005795C">
      <w:pPr>
        <w:pStyle w:val="Heading8"/>
      </w:pPr>
      <w:r>
        <w:t>ii.</w:t>
      </w:r>
      <w:r>
        <w:tab/>
        <w:t>Fair value measurements</w:t>
      </w:r>
    </w:p>
    <w:p w14:paraId="574499F6" w14:textId="77777777" w:rsidR="0005795C" w:rsidRPr="00F65403" w:rsidRDefault="0005795C" w:rsidP="0005795C">
      <w:pPr>
        <w:pStyle w:val="BodyText"/>
        <w:rPr>
          <w:lang w:val="en-AU"/>
        </w:rPr>
      </w:pPr>
      <w:r w:rsidRPr="00F65403">
        <w:rPr>
          <w:lang w:val="en-AU"/>
        </w:rPr>
        <w:t>The following table provides an analysis of financial instruments that are measured after initial recognition at fair value, grouped into Levels 1 to 3 based on the degree to which the fair value is observable:</w:t>
      </w:r>
    </w:p>
    <w:p w14:paraId="7DD35D23" w14:textId="77777777" w:rsidR="0005795C" w:rsidRPr="00F65403" w:rsidRDefault="0005795C" w:rsidP="0005795C">
      <w:pPr>
        <w:pStyle w:val="ListBullet"/>
        <w:rPr>
          <w:lang w:val="en-AU"/>
        </w:rPr>
      </w:pPr>
      <w:r w:rsidRPr="00F65403">
        <w:rPr>
          <w:lang w:val="en-AU"/>
        </w:rPr>
        <w:t>level 1 fair value measurements are those derived from quoted prices (unadjusted) in active markets for identical assets or liabilities</w:t>
      </w:r>
    </w:p>
    <w:p w14:paraId="30A901B3" w14:textId="77777777" w:rsidR="0005795C" w:rsidRPr="00F65403" w:rsidRDefault="0005795C" w:rsidP="0005795C">
      <w:pPr>
        <w:pStyle w:val="ListBullet"/>
        <w:rPr>
          <w:lang w:val="en-AU"/>
        </w:rPr>
      </w:pPr>
      <w:r w:rsidRPr="00F65403">
        <w:rPr>
          <w:lang w:val="en-AU"/>
        </w:rPr>
        <w:t>level 2 fair value measurements are those derived from inputs other than quoted prices included within level 1 that are observable for the asset or liability, either directly (as prices) or indirectly (derived from prices)</w:t>
      </w:r>
    </w:p>
    <w:p w14:paraId="5EB2FEC7" w14:textId="77777777" w:rsidR="0005795C" w:rsidRPr="00F65403" w:rsidRDefault="0005795C" w:rsidP="0005795C">
      <w:pPr>
        <w:pStyle w:val="ListBullet"/>
        <w:rPr>
          <w:lang w:val="en-AU"/>
        </w:rPr>
      </w:pPr>
      <w:r w:rsidRPr="00F65403">
        <w:rPr>
          <w:lang w:val="en-AU"/>
        </w:rPr>
        <w:t>level 3 fair value measurements are those derived from valuation techniques that include inputs for the asset or liability that are not based on observable market data (unobservable inputs).</w:t>
      </w:r>
    </w:p>
    <w:p w14:paraId="13E4EE77" w14:textId="77777777" w:rsidR="0005795C" w:rsidRPr="00F65403" w:rsidRDefault="0005795C" w:rsidP="0005795C">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72"/>
        <w:gridCol w:w="1158"/>
        <w:gridCol w:w="1125"/>
        <w:gridCol w:w="1126"/>
        <w:gridCol w:w="1126"/>
        <w:gridCol w:w="1119"/>
      </w:tblGrid>
      <w:tr w:rsidR="0005795C" w:rsidRPr="00E5651C" w14:paraId="1F3B2C55" w14:textId="77777777">
        <w:tc>
          <w:tcPr>
            <w:tcW w:w="1868" w:type="pct"/>
            <w:tcBorders>
              <w:top w:val="nil"/>
              <w:left w:val="nil"/>
              <w:bottom w:val="nil"/>
              <w:right w:val="nil"/>
            </w:tcBorders>
            <w:noWrap/>
            <w:vAlign w:val="bottom"/>
            <w:hideMark/>
          </w:tcPr>
          <w:p w14:paraId="509CFA5C" w14:textId="77777777" w:rsidR="0005795C" w:rsidRPr="00F65403" w:rsidRDefault="0005795C">
            <w:pPr>
              <w:spacing w:after="0" w:line="240" w:lineRule="auto"/>
              <w:rPr>
                <w:rFonts w:eastAsia="Times New Roman" w:cs="Arial"/>
                <w:sz w:val="20"/>
                <w:szCs w:val="20"/>
                <w:lang w:eastAsia="en-AU"/>
              </w:rPr>
            </w:pPr>
          </w:p>
        </w:tc>
        <w:tc>
          <w:tcPr>
            <w:tcW w:w="3132" w:type="pct"/>
            <w:gridSpan w:val="5"/>
            <w:tcBorders>
              <w:top w:val="nil"/>
              <w:left w:val="nil"/>
              <w:bottom w:val="nil"/>
              <w:right w:val="nil"/>
            </w:tcBorders>
            <w:hideMark/>
          </w:tcPr>
          <w:p w14:paraId="313D7EE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E5651C" w14:paraId="5703415F" w14:textId="77777777">
        <w:tc>
          <w:tcPr>
            <w:tcW w:w="1868" w:type="pct"/>
            <w:tcBorders>
              <w:top w:val="nil"/>
              <w:left w:val="nil"/>
              <w:bottom w:val="nil"/>
              <w:right w:val="nil"/>
            </w:tcBorders>
            <w:vAlign w:val="bottom"/>
            <w:hideMark/>
          </w:tcPr>
          <w:p w14:paraId="3C207160"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641" w:type="pct"/>
            <w:tcBorders>
              <w:top w:val="nil"/>
              <w:left w:val="nil"/>
              <w:bottom w:val="nil"/>
              <w:right w:val="nil"/>
            </w:tcBorders>
            <w:vAlign w:val="center"/>
            <w:hideMark/>
          </w:tcPr>
          <w:p w14:paraId="43AA481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23" w:type="pct"/>
            <w:tcBorders>
              <w:top w:val="nil"/>
              <w:left w:val="nil"/>
              <w:bottom w:val="nil"/>
              <w:right w:val="nil"/>
            </w:tcBorders>
            <w:vAlign w:val="center"/>
            <w:hideMark/>
          </w:tcPr>
          <w:p w14:paraId="769B85F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24" w:type="pct"/>
            <w:tcBorders>
              <w:top w:val="nil"/>
              <w:left w:val="nil"/>
              <w:bottom w:val="nil"/>
              <w:right w:val="nil"/>
            </w:tcBorders>
            <w:vAlign w:val="center"/>
            <w:hideMark/>
          </w:tcPr>
          <w:p w14:paraId="47706EF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24" w:type="pct"/>
            <w:tcBorders>
              <w:top w:val="nil"/>
              <w:left w:val="nil"/>
              <w:bottom w:val="nil"/>
              <w:right w:val="nil"/>
            </w:tcBorders>
            <w:vAlign w:val="center"/>
            <w:hideMark/>
          </w:tcPr>
          <w:p w14:paraId="3F5DBFCA"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20" w:type="pct"/>
            <w:tcBorders>
              <w:top w:val="nil"/>
              <w:left w:val="nil"/>
              <w:bottom w:val="nil"/>
              <w:right w:val="nil"/>
            </w:tcBorders>
            <w:vAlign w:val="center"/>
            <w:hideMark/>
          </w:tcPr>
          <w:p w14:paraId="0A937BDB"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05795C" w:rsidRPr="00E5651C" w14:paraId="20A87575" w14:textId="77777777">
        <w:tc>
          <w:tcPr>
            <w:tcW w:w="1868" w:type="pct"/>
            <w:tcBorders>
              <w:top w:val="nil"/>
              <w:left w:val="nil"/>
              <w:bottom w:val="nil"/>
              <w:right w:val="nil"/>
            </w:tcBorders>
            <w:noWrap/>
            <w:vAlign w:val="bottom"/>
          </w:tcPr>
          <w:p w14:paraId="32EFB7EC"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41" w:type="pct"/>
            <w:tcBorders>
              <w:top w:val="nil"/>
              <w:left w:val="nil"/>
              <w:bottom w:val="nil"/>
              <w:right w:val="nil"/>
            </w:tcBorders>
            <w:noWrap/>
            <w:vAlign w:val="bottom"/>
          </w:tcPr>
          <w:p w14:paraId="316FAD7B" w14:textId="77777777" w:rsidR="0005795C" w:rsidRPr="00F65403" w:rsidRDefault="0005795C">
            <w:pPr>
              <w:tabs>
                <w:tab w:val="decimal" w:pos="931"/>
              </w:tabs>
              <w:spacing w:after="0" w:line="240" w:lineRule="auto"/>
              <w:rPr>
                <w:rFonts w:eastAsia="Times New Roman" w:cs="Arial"/>
                <w:b/>
                <w:color w:val="000000"/>
                <w:sz w:val="20"/>
                <w:szCs w:val="20"/>
                <w:lang w:eastAsia="en-AU"/>
              </w:rPr>
            </w:pPr>
          </w:p>
        </w:tc>
        <w:tc>
          <w:tcPr>
            <w:tcW w:w="623" w:type="pct"/>
            <w:tcBorders>
              <w:top w:val="nil"/>
              <w:left w:val="nil"/>
              <w:bottom w:val="nil"/>
              <w:right w:val="nil"/>
            </w:tcBorders>
            <w:vAlign w:val="bottom"/>
          </w:tcPr>
          <w:p w14:paraId="245F0BDF"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6D5728B9"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tcPr>
          <w:p w14:paraId="43C242AF"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0" w:type="pct"/>
            <w:tcBorders>
              <w:top w:val="nil"/>
              <w:left w:val="nil"/>
              <w:bottom w:val="nil"/>
              <w:right w:val="nil"/>
            </w:tcBorders>
            <w:vAlign w:val="bottom"/>
          </w:tcPr>
          <w:p w14:paraId="0E85089F" w14:textId="77777777" w:rsidR="0005795C" w:rsidRPr="00F65403" w:rsidRDefault="0005795C">
            <w:pPr>
              <w:tabs>
                <w:tab w:val="decimal" w:pos="931"/>
              </w:tabs>
              <w:spacing w:after="0" w:line="240" w:lineRule="auto"/>
              <w:rPr>
                <w:rFonts w:eastAsia="Times New Roman" w:cs="Arial"/>
                <w:sz w:val="20"/>
                <w:szCs w:val="20"/>
                <w:lang w:eastAsia="en-AU"/>
              </w:rPr>
            </w:pPr>
          </w:p>
        </w:tc>
      </w:tr>
      <w:tr w:rsidR="0005795C" w:rsidRPr="00E5651C" w14:paraId="3BAD10E6" w14:textId="77777777">
        <w:tc>
          <w:tcPr>
            <w:tcW w:w="1868" w:type="pct"/>
            <w:tcBorders>
              <w:top w:val="nil"/>
              <w:left w:val="nil"/>
              <w:bottom w:val="nil"/>
              <w:right w:val="nil"/>
            </w:tcBorders>
            <w:noWrap/>
            <w:vAlign w:val="bottom"/>
            <w:hideMark/>
          </w:tcPr>
          <w:p w14:paraId="79AEDE18"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Assets</w:t>
            </w:r>
          </w:p>
        </w:tc>
        <w:tc>
          <w:tcPr>
            <w:tcW w:w="641" w:type="pct"/>
            <w:tcBorders>
              <w:top w:val="nil"/>
              <w:left w:val="nil"/>
              <w:bottom w:val="nil"/>
              <w:right w:val="nil"/>
            </w:tcBorders>
            <w:noWrap/>
            <w:vAlign w:val="bottom"/>
            <w:hideMark/>
          </w:tcPr>
          <w:p w14:paraId="448B41B2" w14:textId="77777777" w:rsidR="0005795C" w:rsidRPr="00F65403" w:rsidRDefault="0005795C">
            <w:pPr>
              <w:tabs>
                <w:tab w:val="decimal" w:pos="931"/>
              </w:tabs>
              <w:spacing w:after="0" w:line="240" w:lineRule="auto"/>
              <w:rPr>
                <w:rFonts w:eastAsia="Times New Roman" w:cs="Arial"/>
                <w:b/>
                <w:color w:val="000000"/>
                <w:sz w:val="20"/>
                <w:szCs w:val="20"/>
                <w:lang w:eastAsia="en-AU"/>
              </w:rPr>
            </w:pPr>
          </w:p>
        </w:tc>
        <w:tc>
          <w:tcPr>
            <w:tcW w:w="623" w:type="pct"/>
            <w:tcBorders>
              <w:top w:val="nil"/>
              <w:left w:val="nil"/>
              <w:bottom w:val="nil"/>
              <w:right w:val="nil"/>
            </w:tcBorders>
            <w:vAlign w:val="bottom"/>
            <w:hideMark/>
          </w:tcPr>
          <w:p w14:paraId="2D64109F"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hideMark/>
          </w:tcPr>
          <w:p w14:paraId="72DE7E1F"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4" w:type="pct"/>
            <w:tcBorders>
              <w:top w:val="nil"/>
              <w:left w:val="nil"/>
              <w:bottom w:val="nil"/>
              <w:right w:val="nil"/>
            </w:tcBorders>
            <w:vAlign w:val="bottom"/>
            <w:hideMark/>
          </w:tcPr>
          <w:p w14:paraId="5C996DB6"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20" w:type="pct"/>
            <w:tcBorders>
              <w:top w:val="nil"/>
              <w:left w:val="nil"/>
              <w:bottom w:val="nil"/>
              <w:right w:val="nil"/>
            </w:tcBorders>
            <w:vAlign w:val="bottom"/>
            <w:hideMark/>
          </w:tcPr>
          <w:p w14:paraId="0512C21A" w14:textId="77777777" w:rsidR="0005795C" w:rsidRPr="00F65403" w:rsidRDefault="0005795C">
            <w:pPr>
              <w:tabs>
                <w:tab w:val="decimal" w:pos="931"/>
              </w:tabs>
              <w:spacing w:after="0" w:line="240" w:lineRule="auto"/>
              <w:rPr>
                <w:rFonts w:eastAsia="Times New Roman" w:cs="Arial"/>
                <w:sz w:val="20"/>
                <w:szCs w:val="20"/>
                <w:lang w:eastAsia="en-AU"/>
              </w:rPr>
            </w:pPr>
          </w:p>
        </w:tc>
      </w:tr>
      <w:tr w:rsidR="0005795C" w:rsidRPr="00E5651C" w14:paraId="0C940095" w14:textId="77777777">
        <w:tc>
          <w:tcPr>
            <w:tcW w:w="1868" w:type="pct"/>
            <w:tcBorders>
              <w:top w:val="nil"/>
              <w:left w:val="nil"/>
              <w:bottom w:val="nil"/>
              <w:right w:val="nil"/>
            </w:tcBorders>
            <w:vAlign w:val="bottom"/>
            <w:hideMark/>
          </w:tcPr>
          <w:p w14:paraId="796E1CE5"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economic hedges</w:t>
            </w:r>
          </w:p>
        </w:tc>
        <w:tc>
          <w:tcPr>
            <w:tcW w:w="641" w:type="pct"/>
            <w:tcBorders>
              <w:top w:val="nil"/>
              <w:left w:val="nil"/>
              <w:bottom w:val="nil"/>
              <w:right w:val="nil"/>
            </w:tcBorders>
            <w:noWrap/>
            <w:vAlign w:val="bottom"/>
            <w:hideMark/>
          </w:tcPr>
          <w:p w14:paraId="10577920" w14:textId="77777777" w:rsidR="0005795C" w:rsidRPr="00F65403"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27,709 </w:t>
            </w:r>
          </w:p>
        </w:tc>
        <w:tc>
          <w:tcPr>
            <w:tcW w:w="623" w:type="pct"/>
            <w:tcBorders>
              <w:top w:val="nil"/>
              <w:left w:val="nil"/>
              <w:bottom w:val="nil"/>
              <w:right w:val="nil"/>
            </w:tcBorders>
            <w:vAlign w:val="bottom"/>
            <w:hideMark/>
          </w:tcPr>
          <w:p w14:paraId="06CE84E3"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5,575 </w:t>
            </w:r>
          </w:p>
        </w:tc>
        <w:tc>
          <w:tcPr>
            <w:tcW w:w="624" w:type="pct"/>
            <w:tcBorders>
              <w:top w:val="nil"/>
              <w:left w:val="nil"/>
              <w:bottom w:val="nil"/>
              <w:right w:val="nil"/>
            </w:tcBorders>
            <w:vAlign w:val="bottom"/>
            <w:hideMark/>
          </w:tcPr>
          <w:p w14:paraId="3BCCBE26"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22,134 </w:t>
            </w:r>
          </w:p>
        </w:tc>
        <w:tc>
          <w:tcPr>
            <w:tcW w:w="624" w:type="pct"/>
            <w:tcBorders>
              <w:top w:val="nil"/>
              <w:left w:val="nil"/>
              <w:bottom w:val="nil"/>
              <w:right w:val="nil"/>
            </w:tcBorders>
            <w:vAlign w:val="bottom"/>
            <w:hideMark/>
          </w:tcPr>
          <w:p w14:paraId="38A78ECC"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0" w:type="pct"/>
            <w:tcBorders>
              <w:top w:val="nil"/>
              <w:left w:val="nil"/>
              <w:bottom w:val="nil"/>
              <w:right w:val="nil"/>
            </w:tcBorders>
            <w:vAlign w:val="bottom"/>
            <w:hideMark/>
          </w:tcPr>
          <w:p w14:paraId="0F1DFD88" w14:textId="77777777" w:rsidR="0005795C" w:rsidRPr="00907CB5" w:rsidRDefault="0005795C">
            <w:pPr>
              <w:tabs>
                <w:tab w:val="decimal" w:pos="1101"/>
              </w:tabs>
              <w:spacing w:after="0" w:line="240" w:lineRule="auto"/>
              <w:jc w:val="right"/>
              <w:rPr>
                <w:rFonts w:eastAsia="Times New Roman" w:cs="Arial"/>
                <w:color w:val="000000"/>
                <w:sz w:val="20"/>
                <w:szCs w:val="20"/>
                <w:lang w:eastAsia="en-AU"/>
              </w:rPr>
            </w:pPr>
            <w:r w:rsidRPr="00907CB5">
              <w:rPr>
                <w:rFonts w:eastAsia="Times New Roman" w:cs="Arial"/>
                <w:color w:val="000000"/>
                <w:sz w:val="20"/>
                <w:szCs w:val="20"/>
                <w:lang w:eastAsia="en-AU"/>
              </w:rPr>
              <w:t xml:space="preserve"> 27,709 </w:t>
            </w:r>
          </w:p>
        </w:tc>
      </w:tr>
      <w:tr w:rsidR="0005795C" w:rsidRPr="00E5651C" w14:paraId="3EA1102D" w14:textId="77777777">
        <w:tc>
          <w:tcPr>
            <w:tcW w:w="1868" w:type="pct"/>
            <w:tcBorders>
              <w:top w:val="nil"/>
              <w:left w:val="nil"/>
              <w:bottom w:val="nil"/>
              <w:right w:val="nil"/>
            </w:tcBorders>
            <w:noWrap/>
            <w:vAlign w:val="bottom"/>
            <w:hideMark/>
          </w:tcPr>
          <w:p w14:paraId="24E7141F"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other</w:t>
            </w:r>
          </w:p>
        </w:tc>
        <w:tc>
          <w:tcPr>
            <w:tcW w:w="641" w:type="pct"/>
            <w:tcBorders>
              <w:top w:val="nil"/>
              <w:left w:val="nil"/>
              <w:bottom w:val="nil"/>
              <w:right w:val="nil"/>
            </w:tcBorders>
            <w:noWrap/>
            <w:vAlign w:val="bottom"/>
            <w:hideMark/>
          </w:tcPr>
          <w:p w14:paraId="4FFBA162" w14:textId="77777777" w:rsidR="0005795C" w:rsidRPr="00F65403"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44,515 </w:t>
            </w:r>
          </w:p>
        </w:tc>
        <w:tc>
          <w:tcPr>
            <w:tcW w:w="623" w:type="pct"/>
            <w:tcBorders>
              <w:top w:val="nil"/>
              <w:left w:val="nil"/>
              <w:bottom w:val="nil"/>
              <w:right w:val="nil"/>
            </w:tcBorders>
            <w:vAlign w:val="bottom"/>
            <w:hideMark/>
          </w:tcPr>
          <w:p w14:paraId="036B0851"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3C2ACB7D"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   </w:t>
            </w:r>
          </w:p>
        </w:tc>
        <w:tc>
          <w:tcPr>
            <w:tcW w:w="624" w:type="pct"/>
            <w:tcBorders>
              <w:top w:val="nil"/>
              <w:left w:val="nil"/>
              <w:bottom w:val="nil"/>
              <w:right w:val="nil"/>
            </w:tcBorders>
            <w:vAlign w:val="bottom"/>
            <w:hideMark/>
          </w:tcPr>
          <w:p w14:paraId="50CD5FDD" w14:textId="77777777" w:rsidR="0005795C" w:rsidRPr="0071574A" w:rsidRDefault="0005795C">
            <w:pPr>
              <w:tabs>
                <w:tab w:val="decimal" w:pos="1101"/>
              </w:tabs>
              <w:spacing w:after="0" w:line="240" w:lineRule="auto"/>
              <w:jc w:val="right"/>
              <w:rPr>
                <w:rFonts w:eastAsia="Times New Roman" w:cs="Arial"/>
                <w:color w:val="000000"/>
                <w:sz w:val="20"/>
                <w:szCs w:val="20"/>
                <w:lang w:eastAsia="en-AU"/>
              </w:rPr>
            </w:pPr>
            <w:r w:rsidRPr="0071574A">
              <w:rPr>
                <w:rFonts w:eastAsia="Times New Roman" w:cs="Arial"/>
                <w:color w:val="000000"/>
                <w:sz w:val="20"/>
                <w:szCs w:val="20"/>
                <w:lang w:eastAsia="en-AU"/>
              </w:rPr>
              <w:t xml:space="preserve"> 44,515 </w:t>
            </w:r>
          </w:p>
        </w:tc>
        <w:tc>
          <w:tcPr>
            <w:tcW w:w="620" w:type="pct"/>
            <w:tcBorders>
              <w:top w:val="nil"/>
              <w:left w:val="nil"/>
              <w:bottom w:val="nil"/>
              <w:right w:val="nil"/>
            </w:tcBorders>
            <w:vAlign w:val="bottom"/>
            <w:hideMark/>
          </w:tcPr>
          <w:p w14:paraId="71E378E0" w14:textId="77777777" w:rsidR="0005795C" w:rsidRPr="00907CB5" w:rsidRDefault="0005795C">
            <w:pPr>
              <w:tabs>
                <w:tab w:val="decimal" w:pos="1101"/>
              </w:tabs>
              <w:spacing w:after="0" w:line="240" w:lineRule="auto"/>
              <w:jc w:val="right"/>
              <w:rPr>
                <w:rFonts w:eastAsia="Times New Roman" w:cs="Arial"/>
                <w:color w:val="000000"/>
                <w:sz w:val="20"/>
                <w:szCs w:val="20"/>
                <w:lang w:eastAsia="en-AU"/>
              </w:rPr>
            </w:pPr>
            <w:r w:rsidRPr="00907CB5">
              <w:rPr>
                <w:rFonts w:eastAsia="Times New Roman" w:cs="Arial"/>
                <w:color w:val="000000"/>
                <w:sz w:val="20"/>
                <w:szCs w:val="20"/>
                <w:lang w:eastAsia="en-AU"/>
              </w:rPr>
              <w:t xml:space="preserve"> 44,515 </w:t>
            </w:r>
          </w:p>
        </w:tc>
      </w:tr>
      <w:tr w:rsidR="0005795C" w:rsidRPr="00E5651C" w14:paraId="513B459D" w14:textId="77777777">
        <w:tc>
          <w:tcPr>
            <w:tcW w:w="1868" w:type="pct"/>
            <w:tcBorders>
              <w:top w:val="nil"/>
              <w:left w:val="nil"/>
              <w:bottom w:val="nil"/>
              <w:right w:val="nil"/>
            </w:tcBorders>
            <w:noWrap/>
            <w:vAlign w:val="bottom"/>
            <w:hideMark/>
          </w:tcPr>
          <w:p w14:paraId="43F67047"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financial assets</w:t>
            </w:r>
          </w:p>
        </w:tc>
        <w:tc>
          <w:tcPr>
            <w:tcW w:w="641" w:type="pct"/>
            <w:tcBorders>
              <w:top w:val="single" w:sz="4" w:space="0" w:color="auto"/>
              <w:left w:val="nil"/>
              <w:bottom w:val="single" w:sz="4" w:space="0" w:color="auto"/>
              <w:right w:val="nil"/>
            </w:tcBorders>
            <w:vAlign w:val="bottom"/>
            <w:hideMark/>
          </w:tcPr>
          <w:p w14:paraId="603E3D24" w14:textId="77777777" w:rsidR="0005795C" w:rsidRPr="0071574A" w:rsidRDefault="0005795C">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72,224 </w:t>
            </w:r>
          </w:p>
        </w:tc>
        <w:tc>
          <w:tcPr>
            <w:tcW w:w="623" w:type="pct"/>
            <w:tcBorders>
              <w:top w:val="single" w:sz="4" w:space="0" w:color="auto"/>
              <w:left w:val="nil"/>
              <w:bottom w:val="single" w:sz="4" w:space="0" w:color="auto"/>
              <w:right w:val="nil"/>
            </w:tcBorders>
            <w:vAlign w:val="bottom"/>
            <w:hideMark/>
          </w:tcPr>
          <w:p w14:paraId="4EBC76C1" w14:textId="77777777" w:rsidR="0005795C" w:rsidRPr="0071574A" w:rsidRDefault="0005795C">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5,575 </w:t>
            </w:r>
          </w:p>
        </w:tc>
        <w:tc>
          <w:tcPr>
            <w:tcW w:w="624" w:type="pct"/>
            <w:tcBorders>
              <w:top w:val="single" w:sz="4" w:space="0" w:color="auto"/>
              <w:left w:val="nil"/>
              <w:bottom w:val="single" w:sz="4" w:space="0" w:color="auto"/>
              <w:right w:val="nil"/>
            </w:tcBorders>
            <w:vAlign w:val="bottom"/>
            <w:hideMark/>
          </w:tcPr>
          <w:p w14:paraId="2F249A70" w14:textId="77777777" w:rsidR="0005795C" w:rsidRPr="0071574A" w:rsidRDefault="0005795C">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22,134 </w:t>
            </w:r>
          </w:p>
        </w:tc>
        <w:tc>
          <w:tcPr>
            <w:tcW w:w="624" w:type="pct"/>
            <w:tcBorders>
              <w:top w:val="single" w:sz="4" w:space="0" w:color="auto"/>
              <w:left w:val="nil"/>
              <w:bottom w:val="single" w:sz="4" w:space="0" w:color="auto"/>
              <w:right w:val="nil"/>
            </w:tcBorders>
            <w:vAlign w:val="bottom"/>
            <w:hideMark/>
          </w:tcPr>
          <w:p w14:paraId="2A4589BD" w14:textId="77777777" w:rsidR="0005795C" w:rsidRPr="0071574A" w:rsidRDefault="0005795C">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44,515 </w:t>
            </w:r>
          </w:p>
        </w:tc>
        <w:tc>
          <w:tcPr>
            <w:tcW w:w="620" w:type="pct"/>
            <w:tcBorders>
              <w:top w:val="single" w:sz="4" w:space="0" w:color="auto"/>
              <w:left w:val="nil"/>
              <w:bottom w:val="single" w:sz="4" w:space="0" w:color="auto"/>
              <w:right w:val="nil"/>
            </w:tcBorders>
            <w:vAlign w:val="bottom"/>
            <w:hideMark/>
          </w:tcPr>
          <w:p w14:paraId="48C1E356" w14:textId="77777777" w:rsidR="0005795C" w:rsidRPr="0071574A" w:rsidRDefault="0005795C">
            <w:pPr>
              <w:tabs>
                <w:tab w:val="decimal" w:pos="1101"/>
              </w:tabs>
              <w:spacing w:after="0" w:line="240" w:lineRule="auto"/>
              <w:jc w:val="right"/>
              <w:rPr>
                <w:rFonts w:eastAsia="Times New Roman" w:cs="Arial"/>
                <w:b/>
                <w:bCs/>
                <w:color w:val="000000"/>
                <w:sz w:val="20"/>
                <w:szCs w:val="20"/>
                <w:lang w:eastAsia="en-AU"/>
              </w:rPr>
            </w:pPr>
            <w:r w:rsidRPr="0071574A">
              <w:rPr>
                <w:rFonts w:eastAsia="Times New Roman" w:cs="Arial"/>
                <w:b/>
                <w:bCs/>
                <w:color w:val="000000"/>
                <w:sz w:val="20"/>
                <w:szCs w:val="20"/>
                <w:lang w:eastAsia="en-AU"/>
              </w:rPr>
              <w:t xml:space="preserve"> 72,224 </w:t>
            </w:r>
          </w:p>
        </w:tc>
      </w:tr>
    </w:tbl>
    <w:p w14:paraId="69EA7D09" w14:textId="77777777" w:rsidR="0005795C" w:rsidRDefault="0005795C" w:rsidP="0005795C">
      <w:pPr>
        <w:rPr>
          <w:rFonts w:eastAsia="Arial" w:cs="Arial"/>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3378"/>
        <w:gridCol w:w="1172"/>
        <w:gridCol w:w="1173"/>
        <w:gridCol w:w="1101"/>
        <w:gridCol w:w="1101"/>
        <w:gridCol w:w="1101"/>
      </w:tblGrid>
      <w:tr w:rsidR="0005795C" w:rsidRPr="005E3536" w14:paraId="7429C08D" w14:textId="77777777">
        <w:tc>
          <w:tcPr>
            <w:tcW w:w="1871" w:type="pct"/>
            <w:tcBorders>
              <w:top w:val="nil"/>
              <w:left w:val="nil"/>
              <w:bottom w:val="nil"/>
              <w:right w:val="nil"/>
            </w:tcBorders>
            <w:noWrap/>
            <w:vAlign w:val="bottom"/>
            <w:hideMark/>
          </w:tcPr>
          <w:p w14:paraId="1A15F776" w14:textId="77777777" w:rsidR="0005795C" w:rsidRPr="00F65403" w:rsidRDefault="0005795C">
            <w:pPr>
              <w:spacing w:after="0" w:line="240" w:lineRule="auto"/>
              <w:jc w:val="right"/>
              <w:rPr>
                <w:rFonts w:eastAsia="Times New Roman" w:cs="Arial"/>
                <w:sz w:val="20"/>
                <w:szCs w:val="20"/>
                <w:lang w:eastAsia="en-AU"/>
              </w:rPr>
            </w:pPr>
          </w:p>
        </w:tc>
        <w:tc>
          <w:tcPr>
            <w:tcW w:w="3129" w:type="pct"/>
            <w:gridSpan w:val="5"/>
            <w:tcBorders>
              <w:top w:val="nil"/>
              <w:left w:val="nil"/>
              <w:bottom w:val="nil"/>
              <w:right w:val="nil"/>
            </w:tcBorders>
            <w:hideMark/>
          </w:tcPr>
          <w:p w14:paraId="57C32330"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5E3536" w14:paraId="496AAEEE" w14:textId="77777777">
        <w:tc>
          <w:tcPr>
            <w:tcW w:w="1871" w:type="pct"/>
            <w:tcBorders>
              <w:top w:val="nil"/>
              <w:left w:val="nil"/>
              <w:bottom w:val="nil"/>
              <w:right w:val="nil"/>
            </w:tcBorders>
            <w:vAlign w:val="bottom"/>
            <w:hideMark/>
          </w:tcPr>
          <w:p w14:paraId="00CCD272"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649" w:type="pct"/>
            <w:tcBorders>
              <w:top w:val="nil"/>
              <w:left w:val="nil"/>
              <w:bottom w:val="nil"/>
              <w:right w:val="nil"/>
            </w:tcBorders>
            <w:vAlign w:val="center"/>
            <w:hideMark/>
          </w:tcPr>
          <w:p w14:paraId="4CB1FE3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Carrying amount</w:t>
            </w:r>
          </w:p>
        </w:tc>
        <w:tc>
          <w:tcPr>
            <w:tcW w:w="650" w:type="pct"/>
            <w:tcBorders>
              <w:top w:val="nil"/>
              <w:left w:val="nil"/>
              <w:bottom w:val="nil"/>
              <w:right w:val="nil"/>
            </w:tcBorders>
            <w:vAlign w:val="center"/>
            <w:hideMark/>
          </w:tcPr>
          <w:p w14:paraId="63722A3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1</w:t>
            </w:r>
          </w:p>
        </w:tc>
        <w:tc>
          <w:tcPr>
            <w:tcW w:w="610" w:type="pct"/>
            <w:tcBorders>
              <w:top w:val="nil"/>
              <w:left w:val="nil"/>
              <w:bottom w:val="nil"/>
              <w:right w:val="nil"/>
            </w:tcBorders>
            <w:vAlign w:val="center"/>
            <w:hideMark/>
          </w:tcPr>
          <w:p w14:paraId="2DC99788"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2</w:t>
            </w:r>
          </w:p>
        </w:tc>
        <w:tc>
          <w:tcPr>
            <w:tcW w:w="610" w:type="pct"/>
            <w:tcBorders>
              <w:top w:val="nil"/>
              <w:left w:val="nil"/>
              <w:bottom w:val="nil"/>
              <w:right w:val="nil"/>
            </w:tcBorders>
            <w:vAlign w:val="center"/>
            <w:hideMark/>
          </w:tcPr>
          <w:p w14:paraId="29C70E4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Level 3</w:t>
            </w:r>
          </w:p>
        </w:tc>
        <w:tc>
          <w:tcPr>
            <w:tcW w:w="610" w:type="pct"/>
            <w:tcBorders>
              <w:top w:val="nil"/>
              <w:left w:val="nil"/>
              <w:bottom w:val="nil"/>
              <w:right w:val="nil"/>
            </w:tcBorders>
            <w:vAlign w:val="center"/>
            <w:hideMark/>
          </w:tcPr>
          <w:p w14:paraId="547C8E44"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r>
      <w:tr w:rsidR="0005795C" w:rsidRPr="005E3536" w14:paraId="1B7BEF0C" w14:textId="77777777">
        <w:tc>
          <w:tcPr>
            <w:tcW w:w="1871" w:type="pct"/>
            <w:tcBorders>
              <w:top w:val="nil"/>
              <w:left w:val="nil"/>
              <w:bottom w:val="nil"/>
              <w:right w:val="nil"/>
            </w:tcBorders>
            <w:noWrap/>
            <w:vAlign w:val="bottom"/>
          </w:tcPr>
          <w:p w14:paraId="1CC5AD57"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Derivative financial instruments</w:t>
            </w:r>
          </w:p>
        </w:tc>
        <w:tc>
          <w:tcPr>
            <w:tcW w:w="649" w:type="pct"/>
            <w:tcBorders>
              <w:top w:val="nil"/>
              <w:left w:val="nil"/>
              <w:bottom w:val="nil"/>
              <w:right w:val="nil"/>
            </w:tcBorders>
            <w:noWrap/>
            <w:vAlign w:val="bottom"/>
          </w:tcPr>
          <w:p w14:paraId="6697A404" w14:textId="77777777" w:rsidR="0005795C" w:rsidRPr="00F65403" w:rsidRDefault="0005795C">
            <w:pPr>
              <w:tabs>
                <w:tab w:val="decimal" w:pos="931"/>
              </w:tabs>
              <w:spacing w:after="0" w:line="240" w:lineRule="auto"/>
              <w:rPr>
                <w:rFonts w:eastAsia="Times New Roman" w:cs="Arial"/>
                <w:b/>
                <w:color w:val="000000"/>
                <w:sz w:val="20"/>
                <w:szCs w:val="20"/>
                <w:lang w:eastAsia="en-AU"/>
              </w:rPr>
            </w:pPr>
          </w:p>
        </w:tc>
        <w:tc>
          <w:tcPr>
            <w:tcW w:w="650" w:type="pct"/>
            <w:tcBorders>
              <w:top w:val="nil"/>
              <w:left w:val="nil"/>
              <w:bottom w:val="nil"/>
              <w:right w:val="nil"/>
            </w:tcBorders>
            <w:vAlign w:val="bottom"/>
          </w:tcPr>
          <w:p w14:paraId="627C1D3F"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4E7AD406"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5924D7B9"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tcPr>
          <w:p w14:paraId="7574C379" w14:textId="77777777" w:rsidR="0005795C" w:rsidRPr="00F65403" w:rsidRDefault="0005795C">
            <w:pPr>
              <w:tabs>
                <w:tab w:val="decimal" w:pos="931"/>
              </w:tabs>
              <w:spacing w:after="0" w:line="240" w:lineRule="auto"/>
              <w:rPr>
                <w:rFonts w:eastAsia="Times New Roman" w:cs="Arial"/>
                <w:sz w:val="20"/>
                <w:szCs w:val="20"/>
                <w:lang w:eastAsia="en-AU"/>
              </w:rPr>
            </w:pPr>
          </w:p>
        </w:tc>
      </w:tr>
      <w:tr w:rsidR="0005795C" w:rsidRPr="005E3536" w14:paraId="7DC91316" w14:textId="77777777">
        <w:tc>
          <w:tcPr>
            <w:tcW w:w="1871" w:type="pct"/>
            <w:tcBorders>
              <w:top w:val="nil"/>
              <w:left w:val="nil"/>
              <w:bottom w:val="nil"/>
              <w:right w:val="nil"/>
            </w:tcBorders>
            <w:noWrap/>
            <w:vAlign w:val="bottom"/>
            <w:hideMark/>
          </w:tcPr>
          <w:p w14:paraId="7C8E5D06"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Assets</w:t>
            </w:r>
          </w:p>
        </w:tc>
        <w:tc>
          <w:tcPr>
            <w:tcW w:w="649" w:type="pct"/>
            <w:tcBorders>
              <w:top w:val="nil"/>
              <w:left w:val="nil"/>
              <w:bottom w:val="nil"/>
              <w:right w:val="nil"/>
            </w:tcBorders>
            <w:noWrap/>
            <w:vAlign w:val="bottom"/>
            <w:hideMark/>
          </w:tcPr>
          <w:p w14:paraId="7C939BD3" w14:textId="77777777" w:rsidR="0005795C" w:rsidRPr="00F65403" w:rsidRDefault="0005795C">
            <w:pPr>
              <w:tabs>
                <w:tab w:val="decimal" w:pos="931"/>
              </w:tabs>
              <w:spacing w:after="0" w:line="240" w:lineRule="auto"/>
              <w:rPr>
                <w:rFonts w:eastAsia="Times New Roman" w:cs="Arial"/>
                <w:b/>
                <w:color w:val="000000"/>
                <w:sz w:val="20"/>
                <w:szCs w:val="20"/>
                <w:lang w:eastAsia="en-AU"/>
              </w:rPr>
            </w:pPr>
          </w:p>
        </w:tc>
        <w:tc>
          <w:tcPr>
            <w:tcW w:w="650" w:type="pct"/>
            <w:tcBorders>
              <w:top w:val="nil"/>
              <w:left w:val="nil"/>
              <w:bottom w:val="nil"/>
              <w:right w:val="nil"/>
            </w:tcBorders>
            <w:vAlign w:val="bottom"/>
            <w:hideMark/>
          </w:tcPr>
          <w:p w14:paraId="45CDD62D"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049E652D"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4B9C273E" w14:textId="77777777" w:rsidR="0005795C" w:rsidRPr="00F65403" w:rsidRDefault="0005795C">
            <w:pPr>
              <w:tabs>
                <w:tab w:val="decimal" w:pos="931"/>
              </w:tabs>
              <w:spacing w:after="0" w:line="240" w:lineRule="auto"/>
              <w:rPr>
                <w:rFonts w:eastAsia="Times New Roman" w:cs="Arial"/>
                <w:sz w:val="20"/>
                <w:szCs w:val="20"/>
                <w:lang w:eastAsia="en-AU"/>
              </w:rPr>
            </w:pPr>
          </w:p>
        </w:tc>
        <w:tc>
          <w:tcPr>
            <w:tcW w:w="610" w:type="pct"/>
            <w:tcBorders>
              <w:top w:val="nil"/>
              <w:left w:val="nil"/>
              <w:bottom w:val="nil"/>
              <w:right w:val="nil"/>
            </w:tcBorders>
            <w:vAlign w:val="bottom"/>
            <w:hideMark/>
          </w:tcPr>
          <w:p w14:paraId="409A62B2" w14:textId="77777777" w:rsidR="0005795C" w:rsidRPr="00F65403" w:rsidRDefault="0005795C">
            <w:pPr>
              <w:tabs>
                <w:tab w:val="decimal" w:pos="931"/>
              </w:tabs>
              <w:spacing w:after="0" w:line="240" w:lineRule="auto"/>
              <w:rPr>
                <w:rFonts w:eastAsia="Times New Roman" w:cs="Arial"/>
                <w:sz w:val="20"/>
                <w:szCs w:val="20"/>
                <w:lang w:eastAsia="en-AU"/>
              </w:rPr>
            </w:pPr>
          </w:p>
        </w:tc>
      </w:tr>
      <w:tr w:rsidR="0005795C" w:rsidRPr="005E3536" w14:paraId="60B14A6B" w14:textId="77777777">
        <w:tc>
          <w:tcPr>
            <w:tcW w:w="1871" w:type="pct"/>
            <w:tcBorders>
              <w:top w:val="nil"/>
              <w:left w:val="nil"/>
              <w:bottom w:val="nil"/>
              <w:right w:val="nil"/>
            </w:tcBorders>
            <w:noWrap/>
            <w:vAlign w:val="bottom"/>
            <w:hideMark/>
          </w:tcPr>
          <w:p w14:paraId="25EE3DB0"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Energy derivatives - other</w:t>
            </w:r>
          </w:p>
        </w:tc>
        <w:tc>
          <w:tcPr>
            <w:tcW w:w="649" w:type="pct"/>
            <w:tcBorders>
              <w:top w:val="nil"/>
              <w:left w:val="nil"/>
              <w:bottom w:val="nil"/>
              <w:right w:val="nil"/>
            </w:tcBorders>
            <w:vAlign w:val="bottom"/>
            <w:hideMark/>
          </w:tcPr>
          <w:p w14:paraId="3FC144CE" w14:textId="77777777" w:rsidR="0005795C" w:rsidRPr="00F65403" w:rsidRDefault="0005795C">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650" w:type="pct"/>
            <w:tcBorders>
              <w:top w:val="nil"/>
              <w:left w:val="nil"/>
              <w:bottom w:val="nil"/>
              <w:right w:val="nil"/>
            </w:tcBorders>
            <w:vAlign w:val="bottom"/>
            <w:hideMark/>
          </w:tcPr>
          <w:p w14:paraId="747971B1" w14:textId="77777777" w:rsidR="0005795C" w:rsidRPr="00F65403" w:rsidRDefault="0005795C">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10" w:type="pct"/>
            <w:tcBorders>
              <w:top w:val="nil"/>
              <w:left w:val="nil"/>
              <w:bottom w:val="nil"/>
              <w:right w:val="nil"/>
            </w:tcBorders>
            <w:vAlign w:val="bottom"/>
            <w:hideMark/>
          </w:tcPr>
          <w:p w14:paraId="720B91DA" w14:textId="77777777" w:rsidR="0005795C" w:rsidRPr="00F65403" w:rsidRDefault="0005795C">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610" w:type="pct"/>
            <w:tcBorders>
              <w:top w:val="nil"/>
              <w:left w:val="nil"/>
              <w:bottom w:val="nil"/>
              <w:right w:val="nil"/>
            </w:tcBorders>
            <w:vAlign w:val="bottom"/>
            <w:hideMark/>
          </w:tcPr>
          <w:p w14:paraId="40E75075" w14:textId="77777777" w:rsidR="0005795C" w:rsidRPr="00F65403" w:rsidRDefault="0005795C">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610" w:type="pct"/>
            <w:tcBorders>
              <w:top w:val="nil"/>
              <w:left w:val="nil"/>
              <w:bottom w:val="nil"/>
              <w:right w:val="nil"/>
            </w:tcBorders>
            <w:vAlign w:val="bottom"/>
            <w:hideMark/>
          </w:tcPr>
          <w:p w14:paraId="05066084" w14:textId="77777777" w:rsidR="0005795C" w:rsidRPr="00F65403" w:rsidRDefault="0005795C">
            <w:pPr>
              <w:tabs>
                <w:tab w:val="decimal" w:pos="931"/>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05795C" w:rsidRPr="005E3536" w14:paraId="49CD5562" w14:textId="77777777">
        <w:tc>
          <w:tcPr>
            <w:tcW w:w="1871" w:type="pct"/>
            <w:tcBorders>
              <w:top w:val="nil"/>
              <w:left w:val="nil"/>
              <w:bottom w:val="nil"/>
              <w:right w:val="nil"/>
            </w:tcBorders>
            <w:noWrap/>
            <w:vAlign w:val="bottom"/>
            <w:hideMark/>
          </w:tcPr>
          <w:p w14:paraId="0C80D9FE"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 financial assets</w:t>
            </w:r>
          </w:p>
        </w:tc>
        <w:tc>
          <w:tcPr>
            <w:tcW w:w="649" w:type="pct"/>
            <w:tcBorders>
              <w:top w:val="single" w:sz="4" w:space="0" w:color="auto"/>
              <w:left w:val="nil"/>
              <w:bottom w:val="single" w:sz="4" w:space="0" w:color="auto"/>
              <w:right w:val="nil"/>
            </w:tcBorders>
            <w:vAlign w:val="bottom"/>
            <w:hideMark/>
          </w:tcPr>
          <w:p w14:paraId="4637A70F" w14:textId="77777777" w:rsidR="0005795C" w:rsidRPr="00F65403" w:rsidRDefault="0005795C">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650" w:type="pct"/>
            <w:tcBorders>
              <w:top w:val="single" w:sz="4" w:space="0" w:color="auto"/>
              <w:left w:val="nil"/>
              <w:bottom w:val="single" w:sz="4" w:space="0" w:color="auto"/>
              <w:right w:val="nil"/>
            </w:tcBorders>
            <w:vAlign w:val="bottom"/>
            <w:hideMark/>
          </w:tcPr>
          <w:p w14:paraId="6010D6B8" w14:textId="77777777" w:rsidR="0005795C" w:rsidRPr="00F65403" w:rsidRDefault="0005795C">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610" w:type="pct"/>
            <w:tcBorders>
              <w:top w:val="single" w:sz="4" w:space="0" w:color="auto"/>
              <w:left w:val="nil"/>
              <w:bottom w:val="single" w:sz="4" w:space="0" w:color="auto"/>
              <w:right w:val="nil"/>
            </w:tcBorders>
            <w:vAlign w:val="bottom"/>
            <w:hideMark/>
          </w:tcPr>
          <w:p w14:paraId="010A3CBF" w14:textId="77777777" w:rsidR="0005795C" w:rsidRPr="00F65403" w:rsidRDefault="0005795C">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610" w:type="pct"/>
            <w:tcBorders>
              <w:top w:val="single" w:sz="4" w:space="0" w:color="auto"/>
              <w:left w:val="nil"/>
              <w:bottom w:val="single" w:sz="4" w:space="0" w:color="auto"/>
              <w:right w:val="nil"/>
            </w:tcBorders>
            <w:vAlign w:val="bottom"/>
            <w:hideMark/>
          </w:tcPr>
          <w:p w14:paraId="00C90E15" w14:textId="77777777" w:rsidR="0005795C" w:rsidRPr="00F65403" w:rsidRDefault="0005795C">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c>
          <w:tcPr>
            <w:tcW w:w="610" w:type="pct"/>
            <w:tcBorders>
              <w:top w:val="single" w:sz="4" w:space="0" w:color="auto"/>
              <w:left w:val="nil"/>
              <w:bottom w:val="single" w:sz="4" w:space="0" w:color="auto"/>
              <w:right w:val="nil"/>
            </w:tcBorders>
            <w:vAlign w:val="bottom"/>
            <w:hideMark/>
          </w:tcPr>
          <w:p w14:paraId="3C2DF2ED" w14:textId="77777777" w:rsidR="0005795C" w:rsidRPr="00F65403" w:rsidRDefault="0005795C">
            <w:pPr>
              <w:tabs>
                <w:tab w:val="decimal" w:pos="931"/>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r>
    </w:tbl>
    <w:p w14:paraId="655175AE" w14:textId="77777777" w:rsidR="0005795C" w:rsidRPr="00F65403" w:rsidRDefault="0005795C" w:rsidP="0005795C">
      <w:pPr>
        <w:pStyle w:val="BodyText"/>
        <w:rPr>
          <w:lang w:val="en-AU"/>
        </w:rPr>
      </w:pPr>
    </w:p>
    <w:p w14:paraId="011C6F54" w14:textId="77777777" w:rsidR="0005795C" w:rsidRPr="00F65403" w:rsidRDefault="0005795C" w:rsidP="0005795C">
      <w:pPr>
        <w:pStyle w:val="BodyText"/>
        <w:rPr>
          <w:lang w:val="en-AU"/>
        </w:rPr>
      </w:pPr>
      <w:r w:rsidRPr="00F65403">
        <w:rPr>
          <w:lang w:val="en-AU"/>
        </w:rPr>
        <w:t>There have been no transfers between levels during the period. Management has assessed that the carrying value of financial assets and financial liabilities to be comparable to fair value.</w:t>
      </w:r>
    </w:p>
    <w:p w14:paraId="3AE79832" w14:textId="77777777" w:rsidR="0005795C" w:rsidRPr="00F65403" w:rsidRDefault="0005795C" w:rsidP="0005795C">
      <w:pPr>
        <w:pStyle w:val="BodyText"/>
        <w:rPr>
          <w:lang w:val="en-AU"/>
        </w:rPr>
      </w:pPr>
    </w:p>
    <w:p w14:paraId="61C69639" w14:textId="77777777" w:rsidR="0005795C" w:rsidRPr="00F65403" w:rsidRDefault="0005795C" w:rsidP="0005795C">
      <w:pPr>
        <w:pStyle w:val="Heading8"/>
      </w:pPr>
      <w:r>
        <w:t>iii.</w:t>
      </w:r>
      <w:r>
        <w:tab/>
        <w:t>Estimation of fair values</w:t>
      </w:r>
    </w:p>
    <w:p w14:paraId="1A7DE8C5" w14:textId="77777777" w:rsidR="0005795C" w:rsidRPr="00F65403" w:rsidRDefault="0005795C" w:rsidP="0005795C">
      <w:pPr>
        <w:pStyle w:val="BodyText"/>
        <w:rPr>
          <w:lang w:val="en-AU"/>
        </w:rPr>
      </w:pPr>
      <w:r w:rsidRPr="00F65403">
        <w:rPr>
          <w:lang w:val="en-AU"/>
        </w:rPr>
        <w:t xml:space="preserve">The following summarises the major methods and assumptions used in estimating the fair values of financial instruments: </w:t>
      </w:r>
    </w:p>
    <w:p w14:paraId="6B577BCB" w14:textId="77777777" w:rsidR="0005795C" w:rsidRPr="00F65403" w:rsidRDefault="0005795C" w:rsidP="0005795C">
      <w:pPr>
        <w:pStyle w:val="ListBullet"/>
        <w:rPr>
          <w:lang w:val="en-AU"/>
        </w:rPr>
      </w:pPr>
      <w:r w:rsidRPr="00F65403">
        <w:rPr>
          <w:lang w:val="en-AU"/>
        </w:rPr>
        <w:t xml:space="preserve">receivables/payables with a remaining life of less than twelve months, the notional amount is deemed to reflect the fair value. All other receivables/payables are discounted to determine the fair value if the effect of discounting is material </w:t>
      </w:r>
    </w:p>
    <w:p w14:paraId="16351DB9" w14:textId="77777777" w:rsidR="0005795C" w:rsidRPr="00F65403" w:rsidRDefault="0005795C" w:rsidP="0005795C">
      <w:pPr>
        <w:pStyle w:val="ListBullet"/>
        <w:rPr>
          <w:lang w:val="en-AU"/>
        </w:rPr>
      </w:pPr>
      <w:r w:rsidRPr="00F65403">
        <w:rPr>
          <w:lang w:val="en-AU"/>
        </w:rPr>
        <w:t>the fair value of forward foreign exchange contracts is calculated as the present value of expected future cash flows estimated and discounted based on the applicable yield curves derived from quoted interest rates that reflect the credit risk of various counterparties.</w:t>
      </w:r>
    </w:p>
    <w:p w14:paraId="0EC2092B" w14:textId="77777777" w:rsidR="0005795C" w:rsidRPr="00F65403" w:rsidRDefault="0005795C" w:rsidP="0005795C">
      <w:pPr>
        <w:pStyle w:val="ListBullet"/>
        <w:rPr>
          <w:lang w:val="en-AU"/>
        </w:rPr>
      </w:pPr>
      <w:r w:rsidRPr="00F65403">
        <w:rPr>
          <w:lang w:val="en-AU"/>
        </w:rPr>
        <w:t xml:space="preserve">the fair value of energy derivatives is determined as the present value of future contracted cash flows and credit adjustments. Cash flows are discounted using standard valuation techniques at applicable market yield having regard to timing of cash flows. </w:t>
      </w:r>
    </w:p>
    <w:p w14:paraId="44E66A9F" w14:textId="77777777" w:rsidR="0005795C" w:rsidRDefault="0005795C" w:rsidP="0005795C">
      <w:pPr>
        <w:pStyle w:val="ListBullet"/>
        <w:rPr>
          <w:lang w:val="en-AU"/>
        </w:rPr>
      </w:pPr>
      <w:r w:rsidRPr="00F65403">
        <w:rPr>
          <w:lang w:val="en-AU"/>
        </w:rPr>
        <w:t>the fair value of lease liabilities is estimated as the present value of future cash flows discounted where the effect of discounting is material.</w:t>
      </w:r>
    </w:p>
    <w:p w14:paraId="569531D9" w14:textId="77777777" w:rsidR="0005795C" w:rsidRPr="00F65403" w:rsidRDefault="0005795C" w:rsidP="0005795C">
      <w:pPr>
        <w:pStyle w:val="ListBullet"/>
        <w:numPr>
          <w:ilvl w:val="0"/>
          <w:numId w:val="0"/>
        </w:numPr>
        <w:ind w:left="360"/>
        <w:rPr>
          <w:lang w:val="en-AU"/>
        </w:rPr>
      </w:pPr>
    </w:p>
    <w:p w14:paraId="1FF821C4" w14:textId="77777777" w:rsidR="00EF1A95" w:rsidRDefault="00EF1A95">
      <w:pPr>
        <w:rPr>
          <w:rFonts w:eastAsia="Arial" w:cs="Arial"/>
          <w:sz w:val="20"/>
          <w:szCs w:val="20"/>
        </w:rPr>
      </w:pPr>
      <w:r>
        <w:br w:type="page"/>
      </w:r>
    </w:p>
    <w:p w14:paraId="34A634BD" w14:textId="14E7E991" w:rsidR="0005795C" w:rsidRPr="00F65403" w:rsidRDefault="0005795C" w:rsidP="0005795C">
      <w:pPr>
        <w:pStyle w:val="BodyText"/>
        <w:rPr>
          <w:lang w:val="en-AU"/>
        </w:rPr>
      </w:pPr>
      <w:r w:rsidRPr="00F65403">
        <w:rPr>
          <w:lang w:val="en-AU"/>
        </w:rPr>
        <w:t>The following table provides a reconciliation of fair value movements in Level 3 financial instruments:</w:t>
      </w:r>
    </w:p>
    <w:p w14:paraId="67420781" w14:textId="77777777" w:rsidR="0005795C" w:rsidRPr="00F65403" w:rsidRDefault="0005795C" w:rsidP="0005795C">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6184"/>
        <w:gridCol w:w="1421"/>
        <w:gridCol w:w="1421"/>
      </w:tblGrid>
      <w:tr w:rsidR="0005795C" w:rsidRPr="005E3536" w14:paraId="368532CA" w14:textId="77777777">
        <w:tc>
          <w:tcPr>
            <w:tcW w:w="3426" w:type="pct"/>
            <w:tcBorders>
              <w:top w:val="nil"/>
              <w:left w:val="nil"/>
              <w:bottom w:val="nil"/>
              <w:right w:val="nil"/>
            </w:tcBorders>
            <w:noWrap/>
            <w:vAlign w:val="bottom"/>
            <w:hideMark/>
          </w:tcPr>
          <w:p w14:paraId="6B26DFB0" w14:textId="77777777" w:rsidR="0005795C" w:rsidRPr="00F65403" w:rsidRDefault="0005795C">
            <w:pPr>
              <w:spacing w:after="0" w:line="240" w:lineRule="auto"/>
              <w:rPr>
                <w:rFonts w:eastAsia="Times New Roman" w:cs="Arial"/>
                <w:sz w:val="20"/>
                <w:szCs w:val="20"/>
                <w:lang w:eastAsia="en-AU"/>
              </w:rPr>
            </w:pPr>
          </w:p>
        </w:tc>
        <w:tc>
          <w:tcPr>
            <w:tcW w:w="787" w:type="pct"/>
            <w:tcBorders>
              <w:top w:val="nil"/>
              <w:left w:val="nil"/>
              <w:bottom w:val="nil"/>
              <w:right w:val="nil"/>
            </w:tcBorders>
            <w:vAlign w:val="bottom"/>
            <w:hideMark/>
          </w:tcPr>
          <w:p w14:paraId="4D605E7E"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787" w:type="pct"/>
            <w:tcBorders>
              <w:top w:val="nil"/>
              <w:left w:val="nil"/>
              <w:bottom w:val="nil"/>
              <w:right w:val="nil"/>
            </w:tcBorders>
            <w:noWrap/>
            <w:vAlign w:val="bottom"/>
            <w:hideMark/>
          </w:tcPr>
          <w:p w14:paraId="0515F5D9"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r>
      <w:tr w:rsidR="0005795C" w:rsidRPr="005E3536" w14:paraId="35DDB018" w14:textId="77777777">
        <w:tc>
          <w:tcPr>
            <w:tcW w:w="3426" w:type="pct"/>
            <w:tcBorders>
              <w:top w:val="nil"/>
              <w:left w:val="nil"/>
              <w:bottom w:val="nil"/>
              <w:right w:val="nil"/>
            </w:tcBorders>
            <w:noWrap/>
            <w:vAlign w:val="bottom"/>
            <w:hideMark/>
          </w:tcPr>
          <w:p w14:paraId="2EFA48A0" w14:textId="77777777" w:rsidR="0005795C" w:rsidRPr="00F65403" w:rsidRDefault="0005795C">
            <w:pPr>
              <w:spacing w:after="0" w:line="240" w:lineRule="auto"/>
              <w:jc w:val="right"/>
              <w:rPr>
                <w:rFonts w:eastAsia="Times New Roman" w:cs="Arial"/>
                <w:b/>
                <w:color w:val="000000"/>
                <w:sz w:val="20"/>
                <w:szCs w:val="20"/>
                <w:lang w:eastAsia="en-AU"/>
              </w:rPr>
            </w:pPr>
          </w:p>
        </w:tc>
        <w:tc>
          <w:tcPr>
            <w:tcW w:w="787" w:type="pct"/>
            <w:tcBorders>
              <w:top w:val="nil"/>
              <w:left w:val="nil"/>
              <w:bottom w:val="nil"/>
              <w:right w:val="nil"/>
            </w:tcBorders>
            <w:noWrap/>
            <w:vAlign w:val="bottom"/>
            <w:hideMark/>
          </w:tcPr>
          <w:p w14:paraId="52C0E26A"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87" w:type="pct"/>
            <w:tcBorders>
              <w:top w:val="nil"/>
              <w:left w:val="nil"/>
              <w:bottom w:val="nil"/>
              <w:right w:val="nil"/>
            </w:tcBorders>
            <w:noWrap/>
            <w:vAlign w:val="bottom"/>
            <w:hideMark/>
          </w:tcPr>
          <w:p w14:paraId="4CBAD081"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05795C" w:rsidRPr="005E3536" w14:paraId="56135EB2" w14:textId="77777777">
        <w:tc>
          <w:tcPr>
            <w:tcW w:w="3426" w:type="pct"/>
            <w:tcBorders>
              <w:top w:val="nil"/>
              <w:left w:val="nil"/>
              <w:bottom w:val="nil"/>
              <w:right w:val="nil"/>
            </w:tcBorders>
            <w:noWrap/>
            <w:vAlign w:val="bottom"/>
            <w:hideMark/>
          </w:tcPr>
          <w:p w14:paraId="14B94A49"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Opening balance</w:t>
            </w:r>
          </w:p>
        </w:tc>
        <w:tc>
          <w:tcPr>
            <w:tcW w:w="787" w:type="pct"/>
            <w:tcBorders>
              <w:top w:val="nil"/>
              <w:left w:val="nil"/>
              <w:bottom w:val="nil"/>
              <w:right w:val="nil"/>
            </w:tcBorders>
            <w:noWrap/>
            <w:vAlign w:val="bottom"/>
            <w:hideMark/>
          </w:tcPr>
          <w:p w14:paraId="23638386" w14:textId="77777777" w:rsidR="0005795C" w:rsidRPr="00F65403" w:rsidRDefault="0005795C">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c>
          <w:tcPr>
            <w:tcW w:w="787" w:type="pct"/>
            <w:tcBorders>
              <w:top w:val="nil"/>
              <w:left w:val="nil"/>
              <w:bottom w:val="nil"/>
              <w:right w:val="nil"/>
            </w:tcBorders>
            <w:noWrap/>
            <w:vAlign w:val="bottom"/>
            <w:hideMark/>
          </w:tcPr>
          <w:p w14:paraId="3BB97D94" w14:textId="77777777" w:rsidR="0005795C" w:rsidRPr="00F65403" w:rsidRDefault="0005795C">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05795C" w:rsidRPr="005E3536" w14:paraId="7138890C" w14:textId="77777777">
        <w:tc>
          <w:tcPr>
            <w:tcW w:w="3426" w:type="pct"/>
            <w:tcBorders>
              <w:top w:val="nil"/>
              <w:left w:val="nil"/>
              <w:bottom w:val="nil"/>
              <w:right w:val="nil"/>
            </w:tcBorders>
            <w:noWrap/>
            <w:vAlign w:val="bottom"/>
            <w:hideMark/>
          </w:tcPr>
          <w:p w14:paraId="4024BAE4" w14:textId="77777777" w:rsidR="0005795C" w:rsidRPr="00F65403" w:rsidRDefault="0005795C">
            <w:pPr>
              <w:spacing w:after="0" w:line="240" w:lineRule="auto"/>
              <w:rPr>
                <w:rFonts w:eastAsia="Times New Roman" w:cs="Arial"/>
                <w:i/>
                <w:color w:val="000000"/>
                <w:sz w:val="20"/>
                <w:szCs w:val="20"/>
                <w:lang w:eastAsia="en-AU"/>
              </w:rPr>
            </w:pPr>
            <w:r w:rsidRPr="00F65403">
              <w:rPr>
                <w:rFonts w:eastAsia="Times New Roman" w:cs="Arial"/>
                <w:i/>
                <w:color w:val="000000"/>
                <w:sz w:val="20"/>
                <w:szCs w:val="20"/>
                <w:lang w:eastAsia="en-AU"/>
              </w:rPr>
              <w:t>Total gains or losses recognised in profit or loss:</w:t>
            </w:r>
          </w:p>
        </w:tc>
        <w:tc>
          <w:tcPr>
            <w:tcW w:w="787" w:type="pct"/>
            <w:tcBorders>
              <w:top w:val="nil"/>
              <w:left w:val="nil"/>
              <w:bottom w:val="nil"/>
              <w:right w:val="nil"/>
            </w:tcBorders>
            <w:noWrap/>
            <w:vAlign w:val="bottom"/>
            <w:hideMark/>
          </w:tcPr>
          <w:p w14:paraId="5C2289B4" w14:textId="77777777" w:rsidR="0005795C" w:rsidRPr="00F65403" w:rsidRDefault="0005795C">
            <w:pPr>
              <w:tabs>
                <w:tab w:val="decimal" w:pos="1020"/>
              </w:tabs>
              <w:spacing w:after="0" w:line="240" w:lineRule="auto"/>
              <w:rPr>
                <w:rFonts w:eastAsia="Times New Roman" w:cs="Arial"/>
                <w:sz w:val="20"/>
                <w:szCs w:val="20"/>
                <w:lang w:eastAsia="en-AU"/>
              </w:rPr>
            </w:pPr>
          </w:p>
        </w:tc>
        <w:tc>
          <w:tcPr>
            <w:tcW w:w="787" w:type="pct"/>
            <w:tcBorders>
              <w:top w:val="nil"/>
              <w:left w:val="nil"/>
              <w:bottom w:val="nil"/>
              <w:right w:val="nil"/>
            </w:tcBorders>
            <w:noWrap/>
            <w:vAlign w:val="bottom"/>
            <w:hideMark/>
          </w:tcPr>
          <w:p w14:paraId="3409A62B" w14:textId="77777777" w:rsidR="0005795C" w:rsidRPr="00F65403" w:rsidRDefault="0005795C">
            <w:pPr>
              <w:tabs>
                <w:tab w:val="decimal" w:pos="1020"/>
              </w:tabs>
              <w:spacing w:after="0" w:line="240" w:lineRule="auto"/>
              <w:rPr>
                <w:rFonts w:eastAsia="Times New Roman" w:cs="Arial"/>
                <w:sz w:val="20"/>
                <w:szCs w:val="20"/>
                <w:lang w:eastAsia="en-AU"/>
              </w:rPr>
            </w:pPr>
          </w:p>
        </w:tc>
      </w:tr>
      <w:tr w:rsidR="0005795C" w:rsidRPr="005E3536" w14:paraId="11B63E44" w14:textId="77777777">
        <w:tc>
          <w:tcPr>
            <w:tcW w:w="3426" w:type="pct"/>
            <w:tcBorders>
              <w:top w:val="nil"/>
              <w:left w:val="nil"/>
              <w:bottom w:val="nil"/>
              <w:right w:val="nil"/>
            </w:tcBorders>
            <w:noWrap/>
            <w:vAlign w:val="bottom"/>
            <w:hideMark/>
          </w:tcPr>
          <w:p w14:paraId="20EE91DD"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Settlements during the period</w:t>
            </w:r>
          </w:p>
        </w:tc>
        <w:tc>
          <w:tcPr>
            <w:tcW w:w="787" w:type="pct"/>
            <w:tcBorders>
              <w:top w:val="nil"/>
              <w:left w:val="nil"/>
              <w:bottom w:val="nil"/>
              <w:right w:val="nil"/>
            </w:tcBorders>
            <w:noWrap/>
            <w:vAlign w:val="bottom"/>
            <w:hideMark/>
          </w:tcPr>
          <w:p w14:paraId="7B5E928A" w14:textId="77777777" w:rsidR="0005795C" w:rsidRPr="00F65403" w:rsidRDefault="0005795C">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c>
          <w:tcPr>
            <w:tcW w:w="787" w:type="pct"/>
            <w:tcBorders>
              <w:top w:val="nil"/>
              <w:left w:val="nil"/>
              <w:bottom w:val="nil"/>
              <w:right w:val="nil"/>
            </w:tcBorders>
            <w:noWrap/>
            <w:vAlign w:val="bottom"/>
            <w:hideMark/>
          </w:tcPr>
          <w:p w14:paraId="7628AE5E" w14:textId="77777777" w:rsidR="0005795C" w:rsidRPr="00F65403" w:rsidRDefault="0005795C">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w:t>
            </w:r>
          </w:p>
        </w:tc>
      </w:tr>
      <w:tr w:rsidR="0005795C" w:rsidRPr="005E3536" w14:paraId="3C4F0102" w14:textId="77777777">
        <w:tc>
          <w:tcPr>
            <w:tcW w:w="3426" w:type="pct"/>
            <w:tcBorders>
              <w:top w:val="nil"/>
              <w:left w:val="nil"/>
              <w:bottom w:val="nil"/>
              <w:right w:val="nil"/>
            </w:tcBorders>
            <w:noWrap/>
            <w:vAlign w:val="bottom"/>
            <w:hideMark/>
          </w:tcPr>
          <w:p w14:paraId="177F82C2"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 - Changes in fair value</w:t>
            </w:r>
          </w:p>
        </w:tc>
        <w:tc>
          <w:tcPr>
            <w:tcW w:w="787" w:type="pct"/>
            <w:tcBorders>
              <w:top w:val="nil"/>
              <w:left w:val="nil"/>
              <w:bottom w:val="nil"/>
              <w:right w:val="nil"/>
            </w:tcBorders>
            <w:noWrap/>
            <w:vAlign w:val="bottom"/>
            <w:hideMark/>
          </w:tcPr>
          <w:p w14:paraId="11C80DF8" w14:textId="77777777" w:rsidR="0005795C" w:rsidRPr="00F65403" w:rsidRDefault="0005795C">
            <w:pPr>
              <w:tabs>
                <w:tab w:val="decimal" w:pos="1020"/>
              </w:tabs>
              <w:spacing w:after="0" w:line="240" w:lineRule="auto"/>
              <w:rPr>
                <w:rFonts w:eastAsia="Times New Roman" w:cs="Arial"/>
                <w:sz w:val="20"/>
                <w:szCs w:val="20"/>
                <w:lang w:eastAsia="en-AU"/>
              </w:rPr>
            </w:pPr>
            <w:r>
              <w:rPr>
                <w:rFonts w:eastAsia="Times New Roman" w:cs="Arial"/>
                <w:sz w:val="20"/>
                <w:szCs w:val="20"/>
                <w:lang w:eastAsia="en-AU"/>
              </w:rPr>
              <w:t>30,685</w:t>
            </w:r>
          </w:p>
        </w:tc>
        <w:tc>
          <w:tcPr>
            <w:tcW w:w="787" w:type="pct"/>
            <w:tcBorders>
              <w:top w:val="nil"/>
              <w:left w:val="nil"/>
              <w:bottom w:val="nil"/>
              <w:right w:val="nil"/>
            </w:tcBorders>
            <w:noWrap/>
            <w:vAlign w:val="bottom"/>
            <w:hideMark/>
          </w:tcPr>
          <w:p w14:paraId="42CC8D21" w14:textId="77777777" w:rsidR="0005795C" w:rsidRPr="00F65403" w:rsidRDefault="0005795C">
            <w:pPr>
              <w:tabs>
                <w:tab w:val="decimal" w:pos="1020"/>
              </w:tabs>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13,830</w:t>
            </w:r>
          </w:p>
        </w:tc>
      </w:tr>
      <w:tr w:rsidR="0005795C" w:rsidRPr="005E3536" w14:paraId="3A3DA3F5" w14:textId="77777777">
        <w:tc>
          <w:tcPr>
            <w:tcW w:w="3426" w:type="pct"/>
            <w:tcBorders>
              <w:top w:val="nil"/>
              <w:left w:val="nil"/>
              <w:bottom w:val="nil"/>
              <w:right w:val="nil"/>
            </w:tcBorders>
            <w:noWrap/>
            <w:vAlign w:val="bottom"/>
            <w:hideMark/>
          </w:tcPr>
          <w:p w14:paraId="3DE67149"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Closing balance</w:t>
            </w:r>
          </w:p>
        </w:tc>
        <w:tc>
          <w:tcPr>
            <w:tcW w:w="787" w:type="pct"/>
            <w:tcBorders>
              <w:top w:val="single" w:sz="4" w:space="0" w:color="auto"/>
              <w:left w:val="nil"/>
              <w:bottom w:val="single" w:sz="4" w:space="0" w:color="auto"/>
              <w:right w:val="nil"/>
            </w:tcBorders>
            <w:noWrap/>
            <w:vAlign w:val="bottom"/>
            <w:hideMark/>
          </w:tcPr>
          <w:p w14:paraId="4C94C2E7" w14:textId="77777777" w:rsidR="0005795C" w:rsidRPr="00F65403" w:rsidRDefault="0005795C">
            <w:pPr>
              <w:tabs>
                <w:tab w:val="decimal" w:pos="1020"/>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44,515</w:t>
            </w:r>
          </w:p>
        </w:tc>
        <w:tc>
          <w:tcPr>
            <w:tcW w:w="787" w:type="pct"/>
            <w:tcBorders>
              <w:top w:val="single" w:sz="4" w:space="0" w:color="auto"/>
              <w:left w:val="nil"/>
              <w:bottom w:val="single" w:sz="4" w:space="0" w:color="auto"/>
              <w:right w:val="nil"/>
            </w:tcBorders>
            <w:noWrap/>
            <w:vAlign w:val="bottom"/>
            <w:hideMark/>
          </w:tcPr>
          <w:p w14:paraId="0205F967" w14:textId="77777777" w:rsidR="0005795C" w:rsidRPr="00F65403" w:rsidRDefault="0005795C">
            <w:pPr>
              <w:tabs>
                <w:tab w:val="decimal" w:pos="1020"/>
              </w:tabs>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13,830</w:t>
            </w:r>
          </w:p>
        </w:tc>
      </w:tr>
    </w:tbl>
    <w:p w14:paraId="30789013" w14:textId="57173327" w:rsidR="0005795C" w:rsidRDefault="0005795C" w:rsidP="0005795C">
      <w:pPr>
        <w:rPr>
          <w:rFonts w:eastAsiaTheme="majorEastAsia" w:cstheme="majorBidi"/>
          <w:b/>
          <w:i/>
          <w:iCs/>
          <w:color w:val="272727" w:themeColor="text1" w:themeTint="D8"/>
          <w:sz w:val="20"/>
        </w:rPr>
      </w:pPr>
    </w:p>
    <w:p w14:paraId="1C3C0405" w14:textId="77777777" w:rsidR="0005795C" w:rsidRPr="00F65403" w:rsidRDefault="0005795C" w:rsidP="0005795C">
      <w:pPr>
        <w:pStyle w:val="Heading8"/>
      </w:pPr>
      <w:r>
        <w:t>iv.</w:t>
      </w:r>
      <w:r>
        <w:tab/>
        <w:t>Valuation inputs and relationships to fair values</w:t>
      </w:r>
    </w:p>
    <w:p w14:paraId="4572E27F" w14:textId="77777777" w:rsidR="0005795C" w:rsidRPr="00F65403" w:rsidRDefault="0005795C" w:rsidP="0005795C">
      <w:pPr>
        <w:pStyle w:val="BodyText"/>
        <w:rPr>
          <w:lang w:val="en-AU"/>
        </w:rPr>
      </w:pPr>
      <w:r w:rsidRPr="00F65403">
        <w:rPr>
          <w:lang w:val="en-AU"/>
        </w:rPr>
        <w:t xml:space="preserve">The following table summarises the quantitative information about the significant unobservable inputs used in level 3 fair value measurement of the energy </w:t>
      </w:r>
      <w:r w:rsidRPr="00ED7A17">
        <w:rPr>
          <w:lang w:val="en-AU"/>
        </w:rPr>
        <w:t>derivative (see iii. above for the valuation</w:t>
      </w:r>
      <w:r w:rsidRPr="00F65403">
        <w:rPr>
          <w:lang w:val="en-AU"/>
        </w:rPr>
        <w:t xml:space="preserve"> technique adopted):</w:t>
      </w:r>
    </w:p>
    <w:p w14:paraId="63680231" w14:textId="77777777" w:rsidR="0005795C" w:rsidRPr="00F65403" w:rsidRDefault="0005795C" w:rsidP="0005795C">
      <w:pPr>
        <w:pStyle w:val="BodyText"/>
        <w:rPr>
          <w:lang w:val="en-AU"/>
        </w:rPr>
      </w:pPr>
    </w:p>
    <w:tbl>
      <w:tblPr>
        <w:tblW w:w="5000" w:type="pct"/>
        <w:tblCellMar>
          <w:top w:w="28" w:type="dxa"/>
          <w:left w:w="28" w:type="dxa"/>
          <w:bottom w:w="28" w:type="dxa"/>
          <w:right w:w="28" w:type="dxa"/>
        </w:tblCellMar>
        <w:tblLook w:val="04A0" w:firstRow="1" w:lastRow="0" w:firstColumn="1" w:lastColumn="0" w:noHBand="0" w:noVBand="1"/>
      </w:tblPr>
      <w:tblGrid>
        <w:gridCol w:w="3349"/>
        <w:gridCol w:w="1599"/>
        <w:gridCol w:w="1432"/>
        <w:gridCol w:w="1323"/>
        <w:gridCol w:w="1323"/>
      </w:tblGrid>
      <w:tr w:rsidR="0005795C" w:rsidRPr="00217E47" w14:paraId="78BF84D5" w14:textId="77777777">
        <w:tc>
          <w:tcPr>
            <w:tcW w:w="1855" w:type="pct"/>
            <w:tcBorders>
              <w:top w:val="nil"/>
              <w:left w:val="nil"/>
              <w:bottom w:val="nil"/>
              <w:right w:val="nil"/>
            </w:tcBorders>
            <w:noWrap/>
            <w:vAlign w:val="bottom"/>
            <w:hideMark/>
          </w:tcPr>
          <w:p w14:paraId="28290CC3"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2025</w:t>
            </w:r>
          </w:p>
        </w:tc>
        <w:tc>
          <w:tcPr>
            <w:tcW w:w="886" w:type="pct"/>
            <w:tcBorders>
              <w:top w:val="nil"/>
              <w:left w:val="nil"/>
              <w:bottom w:val="single" w:sz="4" w:space="0" w:color="auto"/>
              <w:right w:val="nil"/>
            </w:tcBorders>
            <w:vAlign w:val="bottom"/>
            <w:hideMark/>
          </w:tcPr>
          <w:p w14:paraId="49DB4B1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 of inputs</w:t>
            </w:r>
          </w:p>
        </w:tc>
        <w:tc>
          <w:tcPr>
            <w:tcW w:w="793" w:type="pct"/>
            <w:tcBorders>
              <w:top w:val="nil"/>
              <w:left w:val="nil"/>
              <w:bottom w:val="single" w:sz="4" w:space="0" w:color="auto"/>
              <w:right w:val="nil"/>
            </w:tcBorders>
            <w:noWrap/>
            <w:vAlign w:val="bottom"/>
            <w:hideMark/>
          </w:tcPr>
          <w:p w14:paraId="7CDC784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Sensitivity</w:t>
            </w:r>
          </w:p>
        </w:tc>
        <w:tc>
          <w:tcPr>
            <w:tcW w:w="1466" w:type="pct"/>
            <w:gridSpan w:val="2"/>
            <w:tcBorders>
              <w:top w:val="nil"/>
              <w:left w:val="nil"/>
              <w:bottom w:val="single" w:sz="4" w:space="0" w:color="auto"/>
              <w:right w:val="nil"/>
            </w:tcBorders>
            <w:vAlign w:val="bottom"/>
            <w:hideMark/>
          </w:tcPr>
          <w:p w14:paraId="31006F6D"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 $000's</w:t>
            </w:r>
          </w:p>
        </w:tc>
      </w:tr>
      <w:tr w:rsidR="0005795C" w:rsidRPr="00217E47" w14:paraId="75F2F42D" w14:textId="77777777">
        <w:tc>
          <w:tcPr>
            <w:tcW w:w="1855" w:type="pct"/>
            <w:tcBorders>
              <w:top w:val="nil"/>
              <w:left w:val="nil"/>
              <w:bottom w:val="nil"/>
              <w:right w:val="nil"/>
            </w:tcBorders>
            <w:noWrap/>
            <w:vAlign w:val="bottom"/>
            <w:hideMark/>
          </w:tcPr>
          <w:p w14:paraId="6657D038"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Unobservable input</w:t>
            </w:r>
          </w:p>
        </w:tc>
        <w:tc>
          <w:tcPr>
            <w:tcW w:w="886" w:type="pct"/>
            <w:tcBorders>
              <w:top w:val="nil"/>
              <w:left w:val="nil"/>
              <w:bottom w:val="nil"/>
              <w:right w:val="nil"/>
            </w:tcBorders>
            <w:vAlign w:val="bottom"/>
            <w:hideMark/>
          </w:tcPr>
          <w:p w14:paraId="51DBE376" w14:textId="77777777" w:rsidR="0005795C" w:rsidRPr="00F65403" w:rsidRDefault="0005795C">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7BB20E04" w14:textId="77777777" w:rsidR="0005795C" w:rsidRPr="00F65403" w:rsidRDefault="0005795C">
            <w:pPr>
              <w:spacing w:after="0" w:line="240" w:lineRule="auto"/>
              <w:rPr>
                <w:rFonts w:eastAsia="Times New Roman" w:cs="Arial"/>
                <w:sz w:val="20"/>
                <w:szCs w:val="20"/>
                <w:lang w:eastAsia="en-AU"/>
              </w:rPr>
            </w:pPr>
          </w:p>
        </w:tc>
        <w:tc>
          <w:tcPr>
            <w:tcW w:w="1466" w:type="pct"/>
            <w:gridSpan w:val="2"/>
            <w:tcBorders>
              <w:top w:val="nil"/>
              <w:left w:val="nil"/>
              <w:bottom w:val="nil"/>
              <w:right w:val="nil"/>
            </w:tcBorders>
            <w:vAlign w:val="bottom"/>
            <w:hideMark/>
          </w:tcPr>
          <w:p w14:paraId="78D09BB9" w14:textId="77777777" w:rsidR="0005795C" w:rsidRPr="00F65403" w:rsidRDefault="0005795C">
            <w:pPr>
              <w:spacing w:after="0" w:line="240" w:lineRule="auto"/>
              <w:jc w:val="center"/>
              <w:rPr>
                <w:rFonts w:eastAsia="Times New Roman" w:cs="Arial"/>
                <w:b/>
                <w:color w:val="000000"/>
                <w:sz w:val="20"/>
                <w:szCs w:val="20"/>
                <w:lang w:eastAsia="en-AU"/>
              </w:rPr>
            </w:pPr>
          </w:p>
        </w:tc>
      </w:tr>
      <w:tr w:rsidR="0005795C" w:rsidRPr="00217E47" w14:paraId="31159B13" w14:textId="77777777">
        <w:tc>
          <w:tcPr>
            <w:tcW w:w="1855" w:type="pct"/>
            <w:tcBorders>
              <w:top w:val="nil"/>
              <w:left w:val="nil"/>
              <w:bottom w:val="nil"/>
              <w:right w:val="nil"/>
            </w:tcBorders>
            <w:noWrap/>
            <w:vAlign w:val="center"/>
            <w:hideMark/>
          </w:tcPr>
          <w:p w14:paraId="048E58D0" w14:textId="30125285"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Energy derivatives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other:</w:t>
            </w:r>
          </w:p>
        </w:tc>
        <w:tc>
          <w:tcPr>
            <w:tcW w:w="886" w:type="pct"/>
            <w:tcBorders>
              <w:top w:val="nil"/>
              <w:left w:val="nil"/>
              <w:bottom w:val="nil"/>
              <w:right w:val="nil"/>
            </w:tcBorders>
            <w:vAlign w:val="bottom"/>
            <w:hideMark/>
          </w:tcPr>
          <w:p w14:paraId="63F1DDC8" w14:textId="77777777" w:rsidR="0005795C" w:rsidRPr="00F65403" w:rsidRDefault="0005795C">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50D620AA"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41AFFFE3"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17F8710C" w14:textId="77777777" w:rsidR="0005795C" w:rsidRPr="00F65403" w:rsidRDefault="0005795C">
            <w:pPr>
              <w:spacing w:after="0" w:line="240" w:lineRule="auto"/>
              <w:rPr>
                <w:rFonts w:eastAsia="Times New Roman" w:cs="Arial"/>
                <w:sz w:val="20"/>
                <w:szCs w:val="20"/>
                <w:lang w:eastAsia="en-AU"/>
              </w:rPr>
            </w:pPr>
          </w:p>
        </w:tc>
      </w:tr>
      <w:tr w:rsidR="0005795C" w:rsidRPr="00217E47" w14:paraId="05F0467F" w14:textId="77777777">
        <w:tc>
          <w:tcPr>
            <w:tcW w:w="1855" w:type="pct"/>
            <w:tcBorders>
              <w:top w:val="nil"/>
              <w:left w:val="nil"/>
              <w:bottom w:val="nil"/>
              <w:right w:val="nil"/>
            </w:tcBorders>
            <w:noWrap/>
            <w:vAlign w:val="bottom"/>
            <w:hideMark/>
          </w:tcPr>
          <w:p w14:paraId="24EAE6D8"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Quarterly BESS</w:t>
            </w:r>
            <w:r>
              <w:rPr>
                <w:rFonts w:eastAsia="Times New Roman" w:cs="Arial"/>
                <w:color w:val="000000"/>
                <w:sz w:val="20"/>
                <w:szCs w:val="20"/>
                <w:lang w:eastAsia="en-AU"/>
              </w:rPr>
              <w:t>*</w:t>
            </w:r>
            <w:r w:rsidRPr="00F65403">
              <w:rPr>
                <w:rFonts w:eastAsia="Times New Roman" w:cs="Arial"/>
                <w:color w:val="000000"/>
                <w:sz w:val="20"/>
                <w:szCs w:val="20"/>
                <w:lang w:eastAsia="en-AU"/>
              </w:rPr>
              <w:t xml:space="preserve"> revenue ($/MW) </w:t>
            </w:r>
          </w:p>
        </w:tc>
        <w:tc>
          <w:tcPr>
            <w:tcW w:w="886" w:type="pct"/>
            <w:tcBorders>
              <w:top w:val="nil"/>
              <w:left w:val="nil"/>
              <w:bottom w:val="nil"/>
              <w:right w:val="nil"/>
            </w:tcBorders>
            <w:vAlign w:val="center"/>
            <w:hideMark/>
          </w:tcPr>
          <w:p w14:paraId="62A6B61F" w14:textId="49F49753" w:rsidR="0005795C" w:rsidRPr="00F65403"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 xml:space="preserve">18,443 </w:t>
            </w:r>
            <w:r w:rsidR="00104757">
              <w:rPr>
                <w:rFonts w:eastAsia="Times New Roman" w:cs="Arial"/>
                <w:color w:val="000000"/>
                <w:sz w:val="20"/>
                <w:szCs w:val="20"/>
                <w:lang w:eastAsia="en-AU"/>
              </w:rPr>
              <w:t>-</w:t>
            </w:r>
            <w:r>
              <w:rPr>
                <w:rFonts w:eastAsia="Times New Roman" w:cs="Arial"/>
                <w:color w:val="000000"/>
                <w:sz w:val="20"/>
                <w:szCs w:val="20"/>
                <w:lang w:eastAsia="en-AU"/>
              </w:rPr>
              <w:t xml:space="preserve"> 52,876</w:t>
            </w:r>
          </w:p>
        </w:tc>
        <w:tc>
          <w:tcPr>
            <w:tcW w:w="793" w:type="pct"/>
            <w:tcBorders>
              <w:top w:val="nil"/>
              <w:left w:val="nil"/>
              <w:bottom w:val="nil"/>
              <w:right w:val="nil"/>
            </w:tcBorders>
            <w:vAlign w:val="center"/>
            <w:hideMark/>
          </w:tcPr>
          <w:p w14:paraId="30A5B24F"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+/-10% </w:t>
            </w:r>
          </w:p>
        </w:tc>
        <w:tc>
          <w:tcPr>
            <w:tcW w:w="733" w:type="pct"/>
            <w:tcBorders>
              <w:top w:val="nil"/>
              <w:left w:val="nil"/>
              <w:bottom w:val="nil"/>
              <w:right w:val="nil"/>
            </w:tcBorders>
            <w:vAlign w:val="center"/>
            <w:hideMark/>
          </w:tcPr>
          <w:p w14:paraId="5FB63B84" w14:textId="475E3148"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 </w:t>
            </w:r>
            <w:r>
              <w:rPr>
                <w:rFonts w:eastAsia="Times New Roman" w:cs="Arial"/>
                <w:sz w:val="20"/>
                <w:szCs w:val="20"/>
                <w:lang w:eastAsia="en-AU"/>
              </w:rPr>
              <w:t>4,</w:t>
            </w:r>
            <w:r w:rsidR="0093355B">
              <w:rPr>
                <w:rFonts w:eastAsia="Times New Roman" w:cs="Arial"/>
                <w:sz w:val="20"/>
                <w:szCs w:val="20"/>
                <w:lang w:eastAsia="en-AU"/>
              </w:rPr>
              <w:t>801</w:t>
            </w:r>
          </w:p>
        </w:tc>
        <w:tc>
          <w:tcPr>
            <w:tcW w:w="733" w:type="pct"/>
            <w:tcBorders>
              <w:top w:val="nil"/>
              <w:left w:val="nil"/>
              <w:bottom w:val="nil"/>
              <w:right w:val="nil"/>
            </w:tcBorders>
            <w:vAlign w:val="center"/>
            <w:hideMark/>
          </w:tcPr>
          <w:p w14:paraId="6D162758" w14:textId="039560BD" w:rsidR="0005795C" w:rsidRPr="00F65403" w:rsidRDefault="0005795C">
            <w:pPr>
              <w:spacing w:after="0" w:line="240" w:lineRule="auto"/>
              <w:jc w:val="center"/>
              <w:rPr>
                <w:rFonts w:eastAsia="Times New Roman" w:cs="Arial"/>
                <w:sz w:val="20"/>
                <w:szCs w:val="20"/>
                <w:lang w:eastAsia="en-AU"/>
              </w:rPr>
            </w:pPr>
            <w:r>
              <w:rPr>
                <w:rFonts w:eastAsia="Times New Roman" w:cs="Arial"/>
                <w:sz w:val="20"/>
                <w:szCs w:val="20"/>
                <w:lang w:eastAsia="en-AU"/>
              </w:rPr>
              <w:t>(4,</w:t>
            </w:r>
            <w:r w:rsidR="0093355B">
              <w:rPr>
                <w:rFonts w:eastAsia="Times New Roman" w:cs="Arial"/>
                <w:sz w:val="20"/>
                <w:szCs w:val="20"/>
                <w:lang w:eastAsia="en-AU"/>
              </w:rPr>
              <w:t>731</w:t>
            </w:r>
            <w:r>
              <w:rPr>
                <w:rFonts w:eastAsia="Times New Roman" w:cs="Arial"/>
                <w:sz w:val="20"/>
                <w:szCs w:val="20"/>
                <w:lang w:eastAsia="en-AU"/>
              </w:rPr>
              <w:t>)</w:t>
            </w:r>
            <w:r w:rsidRPr="00F65403">
              <w:rPr>
                <w:rFonts w:eastAsia="Times New Roman" w:cs="Arial"/>
                <w:sz w:val="20"/>
                <w:szCs w:val="20"/>
                <w:lang w:eastAsia="en-AU"/>
              </w:rPr>
              <w:t> </w:t>
            </w:r>
          </w:p>
        </w:tc>
      </w:tr>
      <w:tr w:rsidR="0005795C" w:rsidRPr="00217E47" w14:paraId="0321D21E" w14:textId="77777777">
        <w:tc>
          <w:tcPr>
            <w:tcW w:w="1855" w:type="pct"/>
            <w:tcBorders>
              <w:top w:val="nil"/>
              <w:left w:val="nil"/>
              <w:bottom w:val="nil"/>
              <w:right w:val="nil"/>
            </w:tcBorders>
            <w:hideMark/>
          </w:tcPr>
          <w:p w14:paraId="6DCD1C6C"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Discount rate - risk free rates of zero-coupon government bond yield (2-</w:t>
            </w:r>
            <w:r>
              <w:rPr>
                <w:rFonts w:eastAsia="Times New Roman" w:cs="Arial"/>
                <w:color w:val="000000"/>
                <w:sz w:val="20"/>
                <w:szCs w:val="20"/>
                <w:lang w:eastAsia="en-AU"/>
              </w:rPr>
              <w:t>10</w:t>
            </w:r>
            <w:r w:rsidRPr="00F65403">
              <w:rPr>
                <w:rFonts w:eastAsia="Times New Roman" w:cs="Arial"/>
                <w:color w:val="000000"/>
                <w:sz w:val="20"/>
                <w:szCs w:val="20"/>
                <w:lang w:eastAsia="en-AU"/>
              </w:rPr>
              <w:t xml:space="preserve"> year bond) </w:t>
            </w:r>
          </w:p>
        </w:tc>
        <w:tc>
          <w:tcPr>
            <w:tcW w:w="886" w:type="pct"/>
            <w:tcBorders>
              <w:top w:val="nil"/>
              <w:left w:val="nil"/>
              <w:bottom w:val="nil"/>
              <w:right w:val="nil"/>
            </w:tcBorders>
            <w:vAlign w:val="center"/>
            <w:hideMark/>
          </w:tcPr>
          <w:p w14:paraId="70C85477" w14:textId="14ACF460" w:rsidR="0005795C" w:rsidRPr="00F65403"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 xml:space="preserve">3.41 </w:t>
            </w:r>
            <w:r w:rsidR="00104757">
              <w:rPr>
                <w:rFonts w:eastAsia="Times New Roman" w:cs="Arial"/>
                <w:color w:val="000000"/>
                <w:sz w:val="20"/>
                <w:szCs w:val="20"/>
                <w:lang w:eastAsia="en-AU"/>
              </w:rPr>
              <w:t>-</w:t>
            </w:r>
            <w:r>
              <w:rPr>
                <w:rFonts w:eastAsia="Times New Roman" w:cs="Arial"/>
                <w:color w:val="000000"/>
                <w:sz w:val="20"/>
                <w:szCs w:val="20"/>
                <w:lang w:eastAsia="en-AU"/>
              </w:rPr>
              <w:t xml:space="preserve"> 4.35%</w:t>
            </w:r>
          </w:p>
        </w:tc>
        <w:tc>
          <w:tcPr>
            <w:tcW w:w="793" w:type="pct"/>
            <w:tcBorders>
              <w:top w:val="nil"/>
              <w:left w:val="nil"/>
              <w:bottom w:val="nil"/>
              <w:right w:val="nil"/>
            </w:tcBorders>
            <w:vAlign w:val="center"/>
            <w:hideMark/>
          </w:tcPr>
          <w:p w14:paraId="505D5589"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 </w:t>
            </w:r>
          </w:p>
        </w:tc>
        <w:tc>
          <w:tcPr>
            <w:tcW w:w="733" w:type="pct"/>
            <w:tcBorders>
              <w:top w:val="nil"/>
              <w:left w:val="nil"/>
              <w:bottom w:val="nil"/>
              <w:right w:val="nil"/>
            </w:tcBorders>
            <w:vAlign w:val="center"/>
            <w:hideMark/>
          </w:tcPr>
          <w:p w14:paraId="27A74FCC" w14:textId="77777777" w:rsidR="0005795C" w:rsidRPr="00F65403" w:rsidRDefault="0005795C">
            <w:pPr>
              <w:spacing w:after="0" w:line="240" w:lineRule="auto"/>
              <w:jc w:val="center"/>
              <w:rPr>
                <w:rFonts w:eastAsia="Times New Roman" w:cs="Arial"/>
                <w:sz w:val="20"/>
                <w:szCs w:val="20"/>
                <w:lang w:eastAsia="en-AU"/>
              </w:rPr>
            </w:pPr>
            <w:r>
              <w:rPr>
                <w:rFonts w:eastAsia="Times New Roman" w:cs="Arial"/>
                <w:sz w:val="20"/>
                <w:szCs w:val="20"/>
                <w:lang w:eastAsia="en-AU"/>
              </w:rPr>
              <w:t>(125)</w:t>
            </w:r>
            <w:r w:rsidRPr="00F65403">
              <w:rPr>
                <w:rFonts w:eastAsia="Times New Roman" w:cs="Arial"/>
                <w:sz w:val="20"/>
                <w:szCs w:val="20"/>
                <w:lang w:eastAsia="en-AU"/>
              </w:rPr>
              <w:t> </w:t>
            </w:r>
          </w:p>
        </w:tc>
        <w:tc>
          <w:tcPr>
            <w:tcW w:w="733" w:type="pct"/>
            <w:tcBorders>
              <w:top w:val="nil"/>
              <w:left w:val="nil"/>
              <w:bottom w:val="nil"/>
              <w:right w:val="nil"/>
            </w:tcBorders>
            <w:vAlign w:val="center"/>
            <w:hideMark/>
          </w:tcPr>
          <w:p w14:paraId="58AD1595" w14:textId="77777777" w:rsidR="0005795C" w:rsidRPr="00F65403" w:rsidRDefault="0005795C">
            <w:pPr>
              <w:spacing w:after="0" w:line="240" w:lineRule="auto"/>
              <w:jc w:val="center"/>
              <w:rPr>
                <w:rFonts w:eastAsia="Times New Roman" w:cs="Arial"/>
                <w:sz w:val="20"/>
                <w:szCs w:val="20"/>
                <w:lang w:eastAsia="en-AU"/>
              </w:rPr>
            </w:pPr>
            <w:r>
              <w:rPr>
                <w:rFonts w:eastAsia="Times New Roman" w:cs="Arial"/>
                <w:sz w:val="20"/>
                <w:szCs w:val="20"/>
                <w:lang w:eastAsia="en-AU"/>
              </w:rPr>
              <w:t>126</w:t>
            </w:r>
            <w:r w:rsidRPr="00F65403">
              <w:rPr>
                <w:rFonts w:eastAsia="Times New Roman" w:cs="Arial"/>
                <w:sz w:val="20"/>
                <w:szCs w:val="20"/>
                <w:lang w:eastAsia="en-AU"/>
              </w:rPr>
              <w:t> </w:t>
            </w:r>
          </w:p>
        </w:tc>
      </w:tr>
      <w:tr w:rsidR="0005795C" w:rsidRPr="00217E47" w14:paraId="3F0D7347" w14:textId="77777777">
        <w:tc>
          <w:tcPr>
            <w:tcW w:w="1855" w:type="pct"/>
            <w:tcBorders>
              <w:top w:val="nil"/>
              <w:left w:val="nil"/>
              <w:bottom w:val="nil"/>
              <w:right w:val="nil"/>
            </w:tcBorders>
            <w:hideMark/>
          </w:tcPr>
          <w:p w14:paraId="43868C56" w14:textId="4A27C5D1"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Credit value adjustment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w:t>
            </w:r>
            <w:r>
              <w:rPr>
                <w:rFonts w:eastAsia="Times New Roman" w:cs="Arial"/>
                <w:color w:val="000000"/>
                <w:sz w:val="20"/>
                <w:szCs w:val="20"/>
                <w:lang w:eastAsia="en-AU"/>
              </w:rPr>
              <w:t>probability of default</w:t>
            </w:r>
            <w:r w:rsidRPr="00F65403">
              <w:rPr>
                <w:rFonts w:eastAsia="Times New Roman" w:cs="Arial"/>
                <w:color w:val="000000"/>
                <w:sz w:val="20"/>
                <w:szCs w:val="20"/>
                <w:lang w:eastAsia="en-AU"/>
              </w:rPr>
              <w:t> </w:t>
            </w:r>
          </w:p>
        </w:tc>
        <w:tc>
          <w:tcPr>
            <w:tcW w:w="886" w:type="pct"/>
            <w:tcBorders>
              <w:top w:val="nil"/>
              <w:left w:val="nil"/>
              <w:bottom w:val="nil"/>
              <w:right w:val="nil"/>
            </w:tcBorders>
            <w:vAlign w:val="center"/>
            <w:hideMark/>
          </w:tcPr>
          <w:p w14:paraId="1BC28501" w14:textId="77777777" w:rsidR="0005795C" w:rsidRPr="00F65403" w:rsidRDefault="0005795C">
            <w:pPr>
              <w:spacing w:after="0" w:line="240" w:lineRule="auto"/>
              <w:jc w:val="center"/>
              <w:rPr>
                <w:rFonts w:eastAsia="Times New Roman" w:cs="Arial"/>
                <w:color w:val="000000"/>
                <w:sz w:val="20"/>
                <w:szCs w:val="20"/>
                <w:lang w:eastAsia="en-AU"/>
              </w:rPr>
            </w:pPr>
            <w:r>
              <w:rPr>
                <w:rFonts w:eastAsia="Times New Roman" w:cs="Arial"/>
                <w:color w:val="000000"/>
                <w:sz w:val="20"/>
                <w:szCs w:val="20"/>
                <w:lang w:eastAsia="en-AU"/>
              </w:rPr>
              <w:t>2%</w:t>
            </w:r>
          </w:p>
        </w:tc>
        <w:tc>
          <w:tcPr>
            <w:tcW w:w="793" w:type="pct"/>
            <w:tcBorders>
              <w:top w:val="nil"/>
              <w:left w:val="nil"/>
              <w:bottom w:val="nil"/>
              <w:right w:val="nil"/>
            </w:tcBorders>
            <w:vAlign w:val="center"/>
            <w:hideMark/>
          </w:tcPr>
          <w:p w14:paraId="107545F7"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 </w:t>
            </w:r>
          </w:p>
        </w:tc>
        <w:tc>
          <w:tcPr>
            <w:tcW w:w="733" w:type="pct"/>
            <w:tcBorders>
              <w:top w:val="nil"/>
              <w:left w:val="nil"/>
              <w:bottom w:val="nil"/>
              <w:right w:val="nil"/>
            </w:tcBorders>
            <w:vAlign w:val="center"/>
            <w:hideMark/>
          </w:tcPr>
          <w:p w14:paraId="7E09DCF5"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 </w:t>
            </w:r>
            <w:r>
              <w:rPr>
                <w:rFonts w:eastAsia="Times New Roman" w:cs="Arial"/>
                <w:sz w:val="20"/>
                <w:szCs w:val="20"/>
                <w:lang w:eastAsia="en-AU"/>
              </w:rPr>
              <w:t>(135)</w:t>
            </w:r>
          </w:p>
        </w:tc>
        <w:tc>
          <w:tcPr>
            <w:tcW w:w="733" w:type="pct"/>
            <w:tcBorders>
              <w:top w:val="nil"/>
              <w:left w:val="nil"/>
              <w:bottom w:val="nil"/>
              <w:right w:val="nil"/>
            </w:tcBorders>
            <w:vAlign w:val="center"/>
            <w:hideMark/>
          </w:tcPr>
          <w:p w14:paraId="5B6EA71A" w14:textId="77777777" w:rsidR="0005795C" w:rsidRPr="00F65403" w:rsidRDefault="0005795C">
            <w:pPr>
              <w:spacing w:after="0" w:line="240" w:lineRule="auto"/>
              <w:jc w:val="center"/>
              <w:rPr>
                <w:rFonts w:eastAsia="Times New Roman" w:cs="Arial"/>
                <w:sz w:val="20"/>
                <w:szCs w:val="20"/>
                <w:lang w:eastAsia="en-AU"/>
              </w:rPr>
            </w:pPr>
            <w:r>
              <w:rPr>
                <w:rFonts w:eastAsia="Times New Roman" w:cs="Arial"/>
                <w:sz w:val="20"/>
                <w:szCs w:val="20"/>
                <w:lang w:eastAsia="en-AU"/>
              </w:rPr>
              <w:t>(117)</w:t>
            </w:r>
            <w:r w:rsidRPr="00F65403">
              <w:rPr>
                <w:rFonts w:eastAsia="Times New Roman" w:cs="Arial"/>
                <w:sz w:val="20"/>
                <w:szCs w:val="20"/>
                <w:lang w:eastAsia="en-AU"/>
              </w:rPr>
              <w:t> </w:t>
            </w:r>
          </w:p>
        </w:tc>
      </w:tr>
      <w:tr w:rsidR="0005795C" w:rsidRPr="00217E47" w14:paraId="0E95C859" w14:textId="77777777">
        <w:tc>
          <w:tcPr>
            <w:tcW w:w="1855" w:type="pct"/>
            <w:tcBorders>
              <w:top w:val="nil"/>
              <w:left w:val="nil"/>
              <w:bottom w:val="nil"/>
              <w:right w:val="nil"/>
            </w:tcBorders>
            <w:noWrap/>
            <w:vAlign w:val="bottom"/>
            <w:hideMark/>
          </w:tcPr>
          <w:p w14:paraId="020C34AD" w14:textId="77777777" w:rsidR="0005795C" w:rsidRPr="00F65403" w:rsidRDefault="0005795C">
            <w:pPr>
              <w:spacing w:after="0" w:line="240" w:lineRule="auto"/>
              <w:rPr>
                <w:rFonts w:eastAsia="Times New Roman" w:cs="Arial"/>
                <w:sz w:val="20"/>
                <w:szCs w:val="20"/>
                <w:lang w:eastAsia="en-AU"/>
              </w:rPr>
            </w:pPr>
          </w:p>
        </w:tc>
        <w:tc>
          <w:tcPr>
            <w:tcW w:w="886" w:type="pct"/>
            <w:tcBorders>
              <w:top w:val="nil"/>
              <w:left w:val="nil"/>
              <w:bottom w:val="nil"/>
              <w:right w:val="nil"/>
            </w:tcBorders>
            <w:vAlign w:val="bottom"/>
            <w:hideMark/>
          </w:tcPr>
          <w:p w14:paraId="294D8812" w14:textId="77777777" w:rsidR="0005795C" w:rsidRPr="00F65403" w:rsidRDefault="0005795C">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1E69EF5D"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61107E94"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50D4CBA8" w14:textId="77777777" w:rsidR="0005795C" w:rsidRPr="00F65403" w:rsidRDefault="0005795C">
            <w:pPr>
              <w:spacing w:after="0" w:line="240" w:lineRule="auto"/>
              <w:rPr>
                <w:rFonts w:eastAsia="Times New Roman" w:cs="Arial"/>
                <w:sz w:val="20"/>
                <w:szCs w:val="20"/>
                <w:lang w:eastAsia="en-AU"/>
              </w:rPr>
            </w:pPr>
          </w:p>
        </w:tc>
      </w:tr>
      <w:tr w:rsidR="0005795C" w:rsidRPr="00217E47" w14:paraId="4D14885E" w14:textId="77777777">
        <w:tc>
          <w:tcPr>
            <w:tcW w:w="1855" w:type="pct"/>
            <w:tcBorders>
              <w:top w:val="nil"/>
              <w:left w:val="nil"/>
              <w:bottom w:val="nil"/>
              <w:right w:val="nil"/>
            </w:tcBorders>
            <w:noWrap/>
            <w:vAlign w:val="bottom"/>
            <w:hideMark/>
          </w:tcPr>
          <w:p w14:paraId="2333A96B"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2024</w:t>
            </w:r>
          </w:p>
        </w:tc>
        <w:tc>
          <w:tcPr>
            <w:tcW w:w="886" w:type="pct"/>
            <w:tcBorders>
              <w:top w:val="nil"/>
              <w:left w:val="nil"/>
              <w:bottom w:val="single" w:sz="4" w:space="0" w:color="auto"/>
              <w:right w:val="nil"/>
            </w:tcBorders>
            <w:vAlign w:val="bottom"/>
            <w:hideMark/>
          </w:tcPr>
          <w:p w14:paraId="0FF7325C"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Range of inputs</w:t>
            </w:r>
          </w:p>
        </w:tc>
        <w:tc>
          <w:tcPr>
            <w:tcW w:w="793" w:type="pct"/>
            <w:tcBorders>
              <w:top w:val="nil"/>
              <w:left w:val="nil"/>
              <w:bottom w:val="single" w:sz="4" w:space="0" w:color="auto"/>
              <w:right w:val="nil"/>
            </w:tcBorders>
            <w:noWrap/>
            <w:vAlign w:val="bottom"/>
            <w:hideMark/>
          </w:tcPr>
          <w:p w14:paraId="1953A7A6"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Sensitivity</w:t>
            </w:r>
          </w:p>
        </w:tc>
        <w:tc>
          <w:tcPr>
            <w:tcW w:w="1466" w:type="pct"/>
            <w:gridSpan w:val="2"/>
            <w:tcBorders>
              <w:top w:val="nil"/>
              <w:left w:val="nil"/>
              <w:bottom w:val="single" w:sz="4" w:space="0" w:color="auto"/>
              <w:right w:val="nil"/>
            </w:tcBorders>
            <w:vAlign w:val="bottom"/>
            <w:hideMark/>
          </w:tcPr>
          <w:p w14:paraId="395355EF" w14:textId="77777777"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Impact on fair value $000's</w:t>
            </w:r>
          </w:p>
        </w:tc>
      </w:tr>
      <w:tr w:rsidR="0005795C" w:rsidRPr="00217E47" w14:paraId="75EA9980" w14:textId="77777777">
        <w:tc>
          <w:tcPr>
            <w:tcW w:w="1855" w:type="pct"/>
            <w:tcBorders>
              <w:top w:val="nil"/>
              <w:left w:val="nil"/>
              <w:bottom w:val="nil"/>
              <w:right w:val="nil"/>
            </w:tcBorders>
            <w:noWrap/>
            <w:vAlign w:val="bottom"/>
            <w:hideMark/>
          </w:tcPr>
          <w:p w14:paraId="27C0501F"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i/>
                <w:color w:val="000000"/>
                <w:sz w:val="20"/>
                <w:szCs w:val="20"/>
                <w:lang w:eastAsia="en-AU"/>
              </w:rPr>
              <w:t>Unobservable input</w:t>
            </w:r>
          </w:p>
        </w:tc>
        <w:tc>
          <w:tcPr>
            <w:tcW w:w="886" w:type="pct"/>
            <w:tcBorders>
              <w:top w:val="nil"/>
              <w:left w:val="nil"/>
              <w:bottom w:val="nil"/>
              <w:right w:val="nil"/>
            </w:tcBorders>
            <w:noWrap/>
            <w:vAlign w:val="bottom"/>
            <w:hideMark/>
          </w:tcPr>
          <w:p w14:paraId="17CE842A" w14:textId="77777777" w:rsidR="0005795C" w:rsidRPr="00F65403" w:rsidRDefault="0005795C">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68B0FCFF" w14:textId="77777777" w:rsidR="0005795C" w:rsidRPr="00F65403" w:rsidRDefault="0005795C">
            <w:pPr>
              <w:spacing w:after="0" w:line="240" w:lineRule="auto"/>
              <w:rPr>
                <w:rFonts w:eastAsia="Times New Roman" w:cs="Arial"/>
                <w:sz w:val="20"/>
                <w:szCs w:val="20"/>
                <w:lang w:eastAsia="en-AU"/>
              </w:rPr>
            </w:pPr>
          </w:p>
        </w:tc>
        <w:tc>
          <w:tcPr>
            <w:tcW w:w="1466" w:type="pct"/>
            <w:gridSpan w:val="2"/>
            <w:tcBorders>
              <w:top w:val="nil"/>
              <w:left w:val="nil"/>
              <w:bottom w:val="nil"/>
              <w:right w:val="nil"/>
            </w:tcBorders>
            <w:vAlign w:val="bottom"/>
            <w:hideMark/>
          </w:tcPr>
          <w:p w14:paraId="68E6B640" w14:textId="77777777" w:rsidR="0005795C" w:rsidRPr="00F65403" w:rsidRDefault="0005795C">
            <w:pPr>
              <w:spacing w:after="0" w:line="240" w:lineRule="auto"/>
              <w:jc w:val="center"/>
              <w:rPr>
                <w:rFonts w:eastAsia="Times New Roman" w:cs="Arial"/>
                <w:b/>
                <w:color w:val="000000"/>
                <w:sz w:val="20"/>
                <w:szCs w:val="20"/>
                <w:lang w:eastAsia="en-AU"/>
              </w:rPr>
            </w:pPr>
          </w:p>
        </w:tc>
      </w:tr>
      <w:tr w:rsidR="0005795C" w:rsidRPr="00217E47" w14:paraId="49D5DE54" w14:textId="77777777">
        <w:tc>
          <w:tcPr>
            <w:tcW w:w="1855" w:type="pct"/>
            <w:tcBorders>
              <w:top w:val="nil"/>
              <w:left w:val="nil"/>
              <w:bottom w:val="nil"/>
              <w:right w:val="nil"/>
            </w:tcBorders>
            <w:noWrap/>
            <w:vAlign w:val="center"/>
            <w:hideMark/>
          </w:tcPr>
          <w:p w14:paraId="440FC50D" w14:textId="72DCAC94"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Energy derivatives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other:</w:t>
            </w:r>
          </w:p>
        </w:tc>
        <w:tc>
          <w:tcPr>
            <w:tcW w:w="886" w:type="pct"/>
            <w:tcBorders>
              <w:top w:val="nil"/>
              <w:left w:val="nil"/>
              <w:bottom w:val="nil"/>
              <w:right w:val="nil"/>
            </w:tcBorders>
            <w:noWrap/>
            <w:vAlign w:val="bottom"/>
            <w:hideMark/>
          </w:tcPr>
          <w:p w14:paraId="2C075FD0" w14:textId="77777777" w:rsidR="0005795C" w:rsidRPr="00F65403" w:rsidRDefault="0005795C">
            <w:pPr>
              <w:spacing w:after="0" w:line="240" w:lineRule="auto"/>
              <w:rPr>
                <w:rFonts w:eastAsia="Times New Roman" w:cs="Arial"/>
                <w:sz w:val="20"/>
                <w:szCs w:val="20"/>
                <w:lang w:eastAsia="en-AU"/>
              </w:rPr>
            </w:pPr>
          </w:p>
        </w:tc>
        <w:tc>
          <w:tcPr>
            <w:tcW w:w="793" w:type="pct"/>
            <w:tcBorders>
              <w:top w:val="nil"/>
              <w:left w:val="nil"/>
              <w:bottom w:val="nil"/>
              <w:right w:val="nil"/>
            </w:tcBorders>
            <w:noWrap/>
            <w:vAlign w:val="bottom"/>
            <w:hideMark/>
          </w:tcPr>
          <w:p w14:paraId="31F36B1B"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6260BBA8" w14:textId="77777777" w:rsidR="0005795C" w:rsidRPr="00F65403" w:rsidRDefault="0005795C">
            <w:pPr>
              <w:spacing w:after="0" w:line="240" w:lineRule="auto"/>
              <w:rPr>
                <w:rFonts w:eastAsia="Times New Roman" w:cs="Arial"/>
                <w:sz w:val="20"/>
                <w:szCs w:val="20"/>
                <w:lang w:eastAsia="en-AU"/>
              </w:rPr>
            </w:pPr>
          </w:p>
        </w:tc>
        <w:tc>
          <w:tcPr>
            <w:tcW w:w="733" w:type="pct"/>
            <w:tcBorders>
              <w:top w:val="nil"/>
              <w:left w:val="nil"/>
              <w:bottom w:val="nil"/>
              <w:right w:val="nil"/>
            </w:tcBorders>
            <w:noWrap/>
            <w:vAlign w:val="bottom"/>
            <w:hideMark/>
          </w:tcPr>
          <w:p w14:paraId="340BF57F" w14:textId="77777777" w:rsidR="0005795C" w:rsidRPr="00F65403" w:rsidRDefault="0005795C">
            <w:pPr>
              <w:spacing w:after="0" w:line="240" w:lineRule="auto"/>
              <w:rPr>
                <w:rFonts w:eastAsia="Times New Roman" w:cs="Arial"/>
                <w:sz w:val="20"/>
                <w:szCs w:val="20"/>
                <w:lang w:eastAsia="en-AU"/>
              </w:rPr>
            </w:pPr>
          </w:p>
        </w:tc>
      </w:tr>
      <w:tr w:rsidR="0005795C" w:rsidRPr="00217E47" w14:paraId="7EFCC914" w14:textId="77777777">
        <w:tc>
          <w:tcPr>
            <w:tcW w:w="1855" w:type="pct"/>
            <w:tcBorders>
              <w:top w:val="nil"/>
              <w:left w:val="nil"/>
              <w:bottom w:val="nil"/>
              <w:right w:val="nil"/>
            </w:tcBorders>
            <w:noWrap/>
            <w:vAlign w:val="bottom"/>
            <w:hideMark/>
          </w:tcPr>
          <w:p w14:paraId="2CBF2A83"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Quarterly BESS</w:t>
            </w:r>
            <w:r>
              <w:rPr>
                <w:rFonts w:eastAsia="Times New Roman" w:cs="Arial"/>
                <w:color w:val="000000"/>
                <w:sz w:val="20"/>
                <w:szCs w:val="20"/>
                <w:lang w:eastAsia="en-AU"/>
              </w:rPr>
              <w:t>*</w:t>
            </w:r>
            <w:r w:rsidRPr="00F65403">
              <w:rPr>
                <w:rFonts w:eastAsia="Times New Roman" w:cs="Arial"/>
                <w:color w:val="000000"/>
                <w:sz w:val="20"/>
                <w:szCs w:val="20"/>
                <w:lang w:eastAsia="en-AU"/>
              </w:rPr>
              <w:t xml:space="preserve"> revenue ($/MW) </w:t>
            </w:r>
          </w:p>
        </w:tc>
        <w:tc>
          <w:tcPr>
            <w:tcW w:w="886" w:type="pct"/>
            <w:tcBorders>
              <w:top w:val="nil"/>
              <w:left w:val="nil"/>
              <w:bottom w:val="nil"/>
              <w:right w:val="nil"/>
            </w:tcBorders>
            <w:noWrap/>
            <w:vAlign w:val="center"/>
            <w:hideMark/>
          </w:tcPr>
          <w:p w14:paraId="3CCEAFF1"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11,380 - 86,679</w:t>
            </w:r>
          </w:p>
        </w:tc>
        <w:tc>
          <w:tcPr>
            <w:tcW w:w="793" w:type="pct"/>
            <w:tcBorders>
              <w:top w:val="nil"/>
              <w:left w:val="nil"/>
              <w:bottom w:val="nil"/>
              <w:right w:val="nil"/>
            </w:tcBorders>
            <w:vAlign w:val="center"/>
            <w:hideMark/>
          </w:tcPr>
          <w:p w14:paraId="60408DE9"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+/-10%</w:t>
            </w:r>
          </w:p>
        </w:tc>
        <w:tc>
          <w:tcPr>
            <w:tcW w:w="733" w:type="pct"/>
            <w:tcBorders>
              <w:top w:val="nil"/>
              <w:left w:val="nil"/>
              <w:bottom w:val="nil"/>
              <w:right w:val="nil"/>
            </w:tcBorders>
            <w:noWrap/>
            <w:vAlign w:val="center"/>
            <w:hideMark/>
          </w:tcPr>
          <w:p w14:paraId="279109EC"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11,655</w:t>
            </w:r>
          </w:p>
        </w:tc>
        <w:tc>
          <w:tcPr>
            <w:tcW w:w="733" w:type="pct"/>
            <w:tcBorders>
              <w:top w:val="nil"/>
              <w:left w:val="nil"/>
              <w:bottom w:val="nil"/>
              <w:right w:val="nil"/>
            </w:tcBorders>
            <w:noWrap/>
            <w:vAlign w:val="center"/>
            <w:hideMark/>
          </w:tcPr>
          <w:p w14:paraId="02367A41"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(21,881)</w:t>
            </w:r>
          </w:p>
        </w:tc>
      </w:tr>
      <w:tr w:rsidR="0005795C" w:rsidRPr="00217E47" w14:paraId="0FF6EF81" w14:textId="77777777">
        <w:tc>
          <w:tcPr>
            <w:tcW w:w="1855" w:type="pct"/>
            <w:tcBorders>
              <w:top w:val="nil"/>
              <w:left w:val="nil"/>
              <w:bottom w:val="nil"/>
              <w:right w:val="nil"/>
            </w:tcBorders>
            <w:hideMark/>
          </w:tcPr>
          <w:p w14:paraId="42BB10AF"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Discount rate - risk free rates of zero-coupon government bond yield (2-</w:t>
            </w:r>
            <w:r>
              <w:rPr>
                <w:rFonts w:eastAsia="Times New Roman" w:cs="Arial"/>
                <w:color w:val="000000"/>
                <w:sz w:val="20"/>
                <w:szCs w:val="20"/>
                <w:lang w:eastAsia="en-AU"/>
              </w:rPr>
              <w:t>10</w:t>
            </w:r>
            <w:r w:rsidRPr="00F65403">
              <w:rPr>
                <w:rFonts w:eastAsia="Times New Roman" w:cs="Arial"/>
                <w:color w:val="000000"/>
                <w:sz w:val="20"/>
                <w:szCs w:val="20"/>
                <w:lang w:eastAsia="en-AU"/>
              </w:rPr>
              <w:t xml:space="preserve"> year bond) </w:t>
            </w:r>
          </w:p>
        </w:tc>
        <w:tc>
          <w:tcPr>
            <w:tcW w:w="886" w:type="pct"/>
            <w:tcBorders>
              <w:top w:val="nil"/>
              <w:left w:val="nil"/>
              <w:bottom w:val="nil"/>
              <w:right w:val="nil"/>
            </w:tcBorders>
            <w:noWrap/>
            <w:vAlign w:val="center"/>
            <w:hideMark/>
          </w:tcPr>
          <w:p w14:paraId="1D7BE344"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3.9 - 4.1%</w:t>
            </w:r>
          </w:p>
        </w:tc>
        <w:tc>
          <w:tcPr>
            <w:tcW w:w="793" w:type="pct"/>
            <w:tcBorders>
              <w:top w:val="nil"/>
              <w:left w:val="nil"/>
              <w:bottom w:val="nil"/>
              <w:right w:val="nil"/>
            </w:tcBorders>
            <w:vAlign w:val="center"/>
            <w:hideMark/>
          </w:tcPr>
          <w:p w14:paraId="34CA6B70"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w:t>
            </w:r>
          </w:p>
        </w:tc>
        <w:tc>
          <w:tcPr>
            <w:tcW w:w="733" w:type="pct"/>
            <w:tcBorders>
              <w:top w:val="nil"/>
              <w:left w:val="nil"/>
              <w:bottom w:val="nil"/>
              <w:right w:val="nil"/>
            </w:tcBorders>
            <w:noWrap/>
            <w:vAlign w:val="center"/>
            <w:hideMark/>
          </w:tcPr>
          <w:p w14:paraId="54888951"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1,109</w:t>
            </w:r>
          </w:p>
        </w:tc>
        <w:tc>
          <w:tcPr>
            <w:tcW w:w="733" w:type="pct"/>
            <w:tcBorders>
              <w:top w:val="nil"/>
              <w:left w:val="nil"/>
              <w:bottom w:val="nil"/>
              <w:right w:val="nil"/>
            </w:tcBorders>
            <w:noWrap/>
            <w:vAlign w:val="center"/>
            <w:hideMark/>
          </w:tcPr>
          <w:p w14:paraId="1508DC45"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(1,154)</w:t>
            </w:r>
          </w:p>
        </w:tc>
      </w:tr>
      <w:tr w:rsidR="0005795C" w:rsidRPr="00217E47" w14:paraId="0BDA7D4E" w14:textId="77777777">
        <w:tc>
          <w:tcPr>
            <w:tcW w:w="1855" w:type="pct"/>
            <w:tcBorders>
              <w:top w:val="nil"/>
              <w:left w:val="nil"/>
              <w:bottom w:val="nil"/>
              <w:right w:val="nil"/>
            </w:tcBorders>
            <w:hideMark/>
          </w:tcPr>
          <w:p w14:paraId="0F4ED054"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Credit value adjustment - non-financial corporate BBB-rated bond yield (3-10 year) </w:t>
            </w:r>
          </w:p>
        </w:tc>
        <w:tc>
          <w:tcPr>
            <w:tcW w:w="886" w:type="pct"/>
            <w:tcBorders>
              <w:top w:val="nil"/>
              <w:left w:val="nil"/>
              <w:bottom w:val="nil"/>
              <w:right w:val="nil"/>
            </w:tcBorders>
            <w:noWrap/>
            <w:vAlign w:val="center"/>
            <w:hideMark/>
          </w:tcPr>
          <w:p w14:paraId="5D9ADD49" w14:textId="16D598D0"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 xml:space="preserve">5.4 </w:t>
            </w:r>
            <w:r w:rsidR="00104757">
              <w:rPr>
                <w:rFonts w:eastAsia="Times New Roman" w:cs="Arial"/>
                <w:color w:val="000000"/>
                <w:sz w:val="20"/>
                <w:szCs w:val="20"/>
                <w:lang w:eastAsia="en-AU"/>
              </w:rPr>
              <w:t>-</w:t>
            </w:r>
            <w:r w:rsidRPr="00F65403">
              <w:rPr>
                <w:rFonts w:eastAsia="Times New Roman" w:cs="Arial"/>
                <w:color w:val="000000"/>
                <w:sz w:val="20"/>
                <w:szCs w:val="20"/>
                <w:lang w:eastAsia="en-AU"/>
              </w:rPr>
              <w:t xml:space="preserve"> 6.1%</w:t>
            </w:r>
          </w:p>
        </w:tc>
        <w:tc>
          <w:tcPr>
            <w:tcW w:w="793" w:type="pct"/>
            <w:tcBorders>
              <w:top w:val="nil"/>
              <w:left w:val="nil"/>
              <w:bottom w:val="nil"/>
              <w:right w:val="nil"/>
            </w:tcBorders>
            <w:vAlign w:val="center"/>
            <w:hideMark/>
          </w:tcPr>
          <w:p w14:paraId="19283142" w14:textId="77777777" w:rsidR="0005795C" w:rsidRPr="00F65403" w:rsidRDefault="0005795C">
            <w:pPr>
              <w:spacing w:after="0" w:line="240" w:lineRule="auto"/>
              <w:jc w:val="center"/>
              <w:rPr>
                <w:rFonts w:eastAsia="Times New Roman" w:cs="Arial"/>
                <w:sz w:val="20"/>
                <w:szCs w:val="20"/>
                <w:lang w:eastAsia="en-AU"/>
              </w:rPr>
            </w:pPr>
            <w:r w:rsidRPr="00F65403">
              <w:rPr>
                <w:rFonts w:eastAsia="Times New Roman" w:cs="Arial"/>
                <w:sz w:val="20"/>
                <w:szCs w:val="20"/>
                <w:lang w:eastAsia="en-AU"/>
              </w:rPr>
              <w:t>+/-0.5%</w:t>
            </w:r>
          </w:p>
        </w:tc>
        <w:tc>
          <w:tcPr>
            <w:tcW w:w="733" w:type="pct"/>
            <w:tcBorders>
              <w:top w:val="nil"/>
              <w:left w:val="nil"/>
              <w:bottom w:val="nil"/>
              <w:right w:val="nil"/>
            </w:tcBorders>
            <w:noWrap/>
            <w:vAlign w:val="center"/>
            <w:hideMark/>
          </w:tcPr>
          <w:p w14:paraId="35F66E7E"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1,657</w:t>
            </w:r>
          </w:p>
        </w:tc>
        <w:tc>
          <w:tcPr>
            <w:tcW w:w="733" w:type="pct"/>
            <w:tcBorders>
              <w:top w:val="nil"/>
              <w:left w:val="nil"/>
              <w:bottom w:val="nil"/>
              <w:right w:val="nil"/>
            </w:tcBorders>
            <w:noWrap/>
            <w:vAlign w:val="center"/>
            <w:hideMark/>
          </w:tcPr>
          <w:p w14:paraId="49F9B67C" w14:textId="77777777" w:rsidR="0005795C" w:rsidRPr="00F65403" w:rsidRDefault="0005795C">
            <w:pPr>
              <w:spacing w:after="0" w:line="240" w:lineRule="auto"/>
              <w:jc w:val="center"/>
              <w:rPr>
                <w:rFonts w:eastAsia="Times New Roman" w:cs="Arial"/>
                <w:color w:val="000000"/>
                <w:sz w:val="20"/>
                <w:szCs w:val="20"/>
                <w:lang w:eastAsia="en-AU"/>
              </w:rPr>
            </w:pPr>
            <w:r w:rsidRPr="00F65403">
              <w:rPr>
                <w:rFonts w:eastAsia="Times New Roman" w:cs="Arial"/>
                <w:color w:val="000000"/>
                <w:sz w:val="20"/>
                <w:szCs w:val="20"/>
                <w:lang w:eastAsia="en-AU"/>
              </w:rPr>
              <w:t>1,733</w:t>
            </w:r>
          </w:p>
        </w:tc>
      </w:tr>
    </w:tbl>
    <w:p w14:paraId="5805CD09" w14:textId="77777777" w:rsidR="0005795C" w:rsidRPr="00F65403" w:rsidRDefault="0005795C" w:rsidP="0005795C">
      <w:pPr>
        <w:pStyle w:val="BodyText"/>
        <w:rPr>
          <w:lang w:val="en-AU"/>
        </w:rPr>
      </w:pPr>
      <w:r>
        <w:rPr>
          <w:lang w:val="en-AU"/>
        </w:rPr>
        <w:br/>
        <w:t>* Battery Energy Storage System</w:t>
      </w:r>
    </w:p>
    <w:p w14:paraId="7197B8D8" w14:textId="77777777" w:rsidR="0005795C" w:rsidRPr="00F65403" w:rsidRDefault="0005795C" w:rsidP="0005795C">
      <w:pPr>
        <w:pStyle w:val="BodyText"/>
        <w:rPr>
          <w:sz w:val="24"/>
          <w:szCs w:val="24"/>
          <w:lang w:val="en-AU"/>
        </w:rPr>
      </w:pPr>
      <w:r w:rsidRPr="00F65403">
        <w:rPr>
          <w:sz w:val="24"/>
          <w:szCs w:val="24"/>
          <w:lang w:val="en-AU"/>
        </w:rPr>
        <w:br w:type="page"/>
      </w:r>
    </w:p>
    <w:p w14:paraId="649B29DB" w14:textId="77777777" w:rsidR="0005795C" w:rsidRDefault="0005795C" w:rsidP="0005795C">
      <w:pPr>
        <w:pStyle w:val="Heading7"/>
      </w:pPr>
      <w:r w:rsidRPr="00F65403">
        <w:t>Income tax</w:t>
      </w:r>
    </w:p>
    <w:p w14:paraId="2FA1AC46" w14:textId="77777777" w:rsidR="0005795C" w:rsidRPr="00F65403" w:rsidRDefault="0005795C" w:rsidP="0005795C">
      <w:pPr>
        <w:pStyle w:val="BodyText"/>
        <w:rPr>
          <w:lang w:val="en-AU"/>
        </w:rPr>
      </w:pPr>
      <w:r w:rsidRPr="00F65403">
        <w:rPr>
          <w:lang w:val="en-AU"/>
        </w:rPr>
        <w:t xml:space="preserve">On 17 December 2024, the </w:t>
      </w:r>
      <w:r>
        <w:rPr>
          <w:lang w:val="en-AU"/>
        </w:rPr>
        <w:t>Company</w:t>
      </w:r>
      <w:r w:rsidRPr="00F65403">
        <w:rPr>
          <w:lang w:val="en-AU"/>
        </w:rPr>
        <w:t xml:space="preserve"> entered into the National Tax Equivalent Regime (NTER), pursuant to section 88(1) of the </w:t>
      </w:r>
      <w:r w:rsidRPr="00AA3AC5">
        <w:rPr>
          <w:i/>
          <w:iCs/>
          <w:lang w:val="en-AU"/>
        </w:rPr>
        <w:t>State Owned Enterprises Act 1992</w:t>
      </w:r>
      <w:r w:rsidRPr="00F65403">
        <w:rPr>
          <w:lang w:val="en-AU"/>
        </w:rPr>
        <w:t xml:space="preserve">, which is administered by the Australian Taxation Office (ATO). The difference between the NTER and the Commonwealth legislation is that the tax liability is paid to the Victorian State Government rather than the Commonwealth Government. </w:t>
      </w:r>
    </w:p>
    <w:p w14:paraId="685ABA9D" w14:textId="77777777" w:rsidR="0005795C" w:rsidRPr="00F65403" w:rsidRDefault="0005795C" w:rsidP="0005795C">
      <w:pPr>
        <w:pStyle w:val="BodyText"/>
        <w:rPr>
          <w:lang w:val="en-AU"/>
        </w:rPr>
      </w:pPr>
    </w:p>
    <w:p w14:paraId="7BB61A48" w14:textId="77777777" w:rsidR="0005795C" w:rsidRPr="00F65403" w:rsidRDefault="0005795C" w:rsidP="0005795C">
      <w:pPr>
        <w:pStyle w:val="BodyText"/>
        <w:rPr>
          <w:lang w:val="en-AU"/>
        </w:rPr>
      </w:pPr>
      <w:r w:rsidRPr="00F65403">
        <w:rPr>
          <w:lang w:val="en-AU"/>
        </w:rPr>
        <w:t xml:space="preserve">The regime is applied to all open income tax periods and consequently, an income tax return was prepared and lodged for the period from incorporation to 30 June 2024. </w:t>
      </w:r>
    </w:p>
    <w:p w14:paraId="59598FE2" w14:textId="77777777" w:rsidR="00CF12B6" w:rsidRPr="00404285" w:rsidRDefault="00CF12B6" w:rsidP="00CF12B6">
      <w:pPr>
        <w:pStyle w:val="Heading8"/>
        <w:tabs>
          <w:tab w:val="clear" w:pos="357"/>
          <w:tab w:val="left" w:pos="567"/>
        </w:tabs>
        <w:ind w:left="284" w:hanging="284"/>
        <w:rPr>
          <w:rFonts w:eastAsia="Arial" w:cs="Arial"/>
          <w:bCs/>
          <w:szCs w:val="20"/>
        </w:rPr>
      </w:pPr>
      <w:r>
        <w:br/>
      </w:r>
      <w:proofErr w:type="spellStart"/>
      <w:r w:rsidRPr="00404285">
        <w:rPr>
          <w:rFonts w:eastAsia="Arial" w:cs="Arial"/>
          <w:bCs/>
          <w:szCs w:val="20"/>
        </w:rPr>
        <w:t>i</w:t>
      </w:r>
      <w:proofErr w:type="spellEnd"/>
      <w:r w:rsidRPr="00404285">
        <w:rPr>
          <w:rFonts w:eastAsia="Arial" w:cs="Arial"/>
          <w:bCs/>
          <w:szCs w:val="20"/>
        </w:rPr>
        <w:t>.</w:t>
      </w:r>
      <w:r w:rsidRPr="00404285">
        <w:rPr>
          <w:rFonts w:eastAsia="Arial" w:cs="Arial"/>
          <w:bCs/>
          <w:szCs w:val="20"/>
        </w:rPr>
        <w:tab/>
        <w:t>Accounting policy</w:t>
      </w:r>
    </w:p>
    <w:p w14:paraId="75CD313C" w14:textId="1B541E89" w:rsidR="0005795C" w:rsidRPr="00F65403" w:rsidRDefault="0005795C" w:rsidP="0005795C">
      <w:pPr>
        <w:pStyle w:val="BodyText"/>
        <w:rPr>
          <w:lang w:val="en-AU"/>
        </w:rPr>
      </w:pPr>
      <w:r w:rsidRPr="00F65403">
        <w:rPr>
          <w:lang w:val="en-AU"/>
        </w:rPr>
        <w:t xml:space="preserve">Income tax on the statement of </w:t>
      </w:r>
      <w:r w:rsidR="00CF12B6">
        <w:rPr>
          <w:lang w:val="en-AU"/>
        </w:rPr>
        <w:t>profit or loss</w:t>
      </w:r>
      <w:r w:rsidRPr="00F65403">
        <w:rPr>
          <w:lang w:val="en-AU"/>
        </w:rPr>
        <w:t xml:space="preserve"> for the year comprises current and deferred tax. Income tax is recognised in the statement of </w:t>
      </w:r>
      <w:r w:rsidR="00CF12B6">
        <w:rPr>
          <w:lang w:val="en-AU"/>
        </w:rPr>
        <w:t>profit or loss</w:t>
      </w:r>
      <w:r w:rsidRPr="00F65403">
        <w:rPr>
          <w:lang w:val="en-AU"/>
        </w:rPr>
        <w:t xml:space="preserve"> except to the extent that it relates to items recognised directly in equity.</w:t>
      </w:r>
    </w:p>
    <w:p w14:paraId="5BE6C4A1" w14:textId="77777777" w:rsidR="0005795C" w:rsidRPr="00F65403" w:rsidRDefault="0005795C" w:rsidP="0005795C">
      <w:pPr>
        <w:pStyle w:val="BodyText"/>
        <w:rPr>
          <w:lang w:val="en-AU"/>
        </w:rPr>
      </w:pPr>
    </w:p>
    <w:p w14:paraId="3F123BD1" w14:textId="77777777" w:rsidR="0005795C" w:rsidRPr="00F65403" w:rsidRDefault="0005795C" w:rsidP="0005795C">
      <w:pPr>
        <w:pStyle w:val="BodyText"/>
        <w:rPr>
          <w:lang w:val="en-AU"/>
        </w:rPr>
      </w:pPr>
      <w:r w:rsidRPr="00F65403">
        <w:rPr>
          <w:lang w:val="en-AU"/>
        </w:rPr>
        <w:t>Current tax is the expected tax payable on the taxable income for the year, based on the notional corporate income tax rate of 30%, adjusted by changes in deferred tax assets and liabilities and any adjustment to tax payable in respect of previous years.</w:t>
      </w:r>
    </w:p>
    <w:p w14:paraId="398D86E9" w14:textId="77777777" w:rsidR="0005795C" w:rsidRPr="00F65403" w:rsidRDefault="0005795C" w:rsidP="0005795C">
      <w:pPr>
        <w:pStyle w:val="BodyText"/>
        <w:rPr>
          <w:lang w:val="en-AU"/>
        </w:rPr>
      </w:pPr>
    </w:p>
    <w:p w14:paraId="057D6526" w14:textId="77777777" w:rsidR="0005795C" w:rsidRPr="00F65403" w:rsidRDefault="0005795C" w:rsidP="0005795C">
      <w:pPr>
        <w:pStyle w:val="BodyText"/>
        <w:rPr>
          <w:lang w:val="en-AU"/>
        </w:rPr>
      </w:pPr>
      <w:r w:rsidRPr="00F65403">
        <w:rPr>
          <w:lang w:val="en-AU"/>
        </w:rPr>
        <w:t>Deferred tax is providing for temporary differences between the carrying amounts of assets and liabilities for financial reporting purposes and the amounts used for taxation purposes at balance date. Deferred tax assets and liabilities are recognised at the tax rates expected to apply when the assets are recovered or liabilities are settled based on those tax rates which are enacted or substantially enacted at balance date.</w:t>
      </w:r>
    </w:p>
    <w:p w14:paraId="369E27BD" w14:textId="77777777" w:rsidR="0005795C" w:rsidRPr="00F65403" w:rsidRDefault="0005795C" w:rsidP="0005795C">
      <w:pPr>
        <w:pStyle w:val="BodyText"/>
        <w:rPr>
          <w:lang w:val="en-AU"/>
        </w:rPr>
      </w:pPr>
    </w:p>
    <w:p w14:paraId="6C675BB1" w14:textId="77777777" w:rsidR="0005795C" w:rsidRPr="00F65403" w:rsidRDefault="0005795C" w:rsidP="0005795C">
      <w:pPr>
        <w:pStyle w:val="BodyText"/>
        <w:rPr>
          <w:lang w:val="en-AU"/>
        </w:rPr>
      </w:pPr>
      <w:r w:rsidRPr="00F65403">
        <w:rPr>
          <w:lang w:val="en-AU"/>
        </w:rPr>
        <w:t>A deferred tax asset is recognised only to the extent that it is probable that future taxable profits will be available against which the asset can be utilised. Deferred tax assets are reviewed at each reporting date and are reduced to the extent that it is no longer probable that the related tax benefit will be realised. Deferred tax liabilities are reported net of any deferred tax assets.</w:t>
      </w:r>
    </w:p>
    <w:p w14:paraId="543593EE" w14:textId="77777777" w:rsidR="0005795C" w:rsidRPr="00F65403" w:rsidRDefault="0005795C" w:rsidP="0005795C">
      <w:pPr>
        <w:pStyle w:val="BodyText"/>
        <w:rPr>
          <w:lang w:val="en-AU"/>
        </w:rPr>
      </w:pPr>
    </w:p>
    <w:p w14:paraId="15DAAC66" w14:textId="05241F60" w:rsidR="000C67C9" w:rsidRPr="00F65403" w:rsidRDefault="000C67C9" w:rsidP="000C67C9">
      <w:pPr>
        <w:pStyle w:val="BodyText"/>
        <w:rPr>
          <w:lang w:val="en-AU"/>
        </w:rPr>
      </w:pPr>
      <w:r w:rsidRPr="00F65403">
        <w:rPr>
          <w:lang w:val="en-AU"/>
        </w:rPr>
        <w:t xml:space="preserve">The </w:t>
      </w:r>
      <w:r>
        <w:rPr>
          <w:lang w:val="en-AU"/>
        </w:rPr>
        <w:t>company became a party to</w:t>
      </w:r>
      <w:r w:rsidRPr="00F65403">
        <w:rPr>
          <w:lang w:val="en-AU"/>
        </w:rPr>
        <w:t xml:space="preserve"> an income tax consolidated group consisting of SEC Victoria </w:t>
      </w:r>
      <w:r>
        <w:rPr>
          <w:lang w:val="en-AU"/>
        </w:rPr>
        <w:t xml:space="preserve">(the company’s parent) </w:t>
      </w:r>
      <w:r w:rsidRPr="00F65403">
        <w:rPr>
          <w:lang w:val="en-AU"/>
        </w:rPr>
        <w:t>and its controlled entities. SEC Victoria is the head entity of the tax consolidated group.</w:t>
      </w:r>
      <w:r>
        <w:rPr>
          <w:lang w:val="en-AU"/>
        </w:rPr>
        <w:t xml:space="preserve"> As a part of the tax consolidated group, </w:t>
      </w:r>
      <w:r w:rsidRPr="007C2F83">
        <w:rPr>
          <w:lang w:val="en-AU"/>
        </w:rPr>
        <w:t xml:space="preserve">each </w:t>
      </w:r>
      <w:r>
        <w:rPr>
          <w:lang w:val="en-AU"/>
        </w:rPr>
        <w:t xml:space="preserve">entity </w:t>
      </w:r>
      <w:r w:rsidRPr="007C2F83">
        <w:rPr>
          <w:lang w:val="en-AU"/>
        </w:rPr>
        <w:t>account</w:t>
      </w:r>
      <w:r>
        <w:rPr>
          <w:lang w:val="en-AU"/>
        </w:rPr>
        <w:t>s</w:t>
      </w:r>
      <w:r w:rsidRPr="007C2F83">
        <w:rPr>
          <w:lang w:val="en-AU"/>
        </w:rPr>
        <w:t xml:space="preserve"> for their own current and deferred tax amounts. These tax amounts are measured as if each entity in the tax consolidated group continues to be a standalone tax payer in its own right. In addition to its own current and deferred tax amounts the head entity </w:t>
      </w:r>
      <w:r>
        <w:rPr>
          <w:lang w:val="en-AU"/>
        </w:rPr>
        <w:t xml:space="preserve">(SEC Victoria) </w:t>
      </w:r>
      <w:r w:rsidRPr="007C2F83">
        <w:rPr>
          <w:lang w:val="en-AU"/>
        </w:rPr>
        <w:t>also recognises the current tax liabilities (or assets) and the deferred tax assets it has assumed from unused tax losses from controlled entities in the tax consolidated group.</w:t>
      </w:r>
    </w:p>
    <w:p w14:paraId="07C53C33" w14:textId="77777777" w:rsidR="0005795C" w:rsidRPr="00F65403" w:rsidRDefault="0005795C" w:rsidP="0005795C">
      <w:pPr>
        <w:pStyle w:val="BodyText"/>
        <w:rPr>
          <w:highlight w:val="yellow"/>
          <w:lang w:val="en-AU"/>
        </w:rPr>
      </w:pPr>
    </w:p>
    <w:p w14:paraId="34A32EA5" w14:textId="61260ED4" w:rsidR="0005795C" w:rsidRPr="00E326C0" w:rsidRDefault="00F63A42" w:rsidP="413EB596">
      <w:pPr>
        <w:pStyle w:val="BodyText"/>
        <w:rPr>
          <w:b/>
          <w:bCs/>
          <w:i/>
          <w:iCs/>
          <w:lang w:val="en-AU"/>
        </w:rPr>
      </w:pPr>
      <w:r w:rsidRPr="413EB596">
        <w:rPr>
          <w:b/>
          <w:bCs/>
          <w:i/>
          <w:iCs/>
          <w:lang w:val="en-AU"/>
        </w:rPr>
        <w:t>i</w:t>
      </w:r>
      <w:r w:rsidR="006079AC">
        <w:rPr>
          <w:b/>
          <w:bCs/>
          <w:i/>
          <w:iCs/>
          <w:lang w:val="en-AU"/>
        </w:rPr>
        <w:t>i</w:t>
      </w:r>
      <w:r w:rsidRPr="413EB596">
        <w:rPr>
          <w:b/>
          <w:bCs/>
          <w:i/>
          <w:iCs/>
          <w:lang w:val="en-AU"/>
        </w:rPr>
        <w:t xml:space="preserve">. </w:t>
      </w:r>
      <w:r w:rsidR="009B2864" w:rsidRPr="413EB596">
        <w:rPr>
          <w:b/>
          <w:bCs/>
          <w:i/>
          <w:iCs/>
          <w:lang w:val="en-AU"/>
        </w:rPr>
        <w:t xml:space="preserve">    </w:t>
      </w:r>
      <w:r w:rsidR="006079AC">
        <w:rPr>
          <w:b/>
          <w:bCs/>
          <w:i/>
          <w:iCs/>
          <w:lang w:val="en-AU"/>
        </w:rPr>
        <w:t>Components of i</w:t>
      </w:r>
      <w:r w:rsidR="00997A2A" w:rsidRPr="413EB596">
        <w:rPr>
          <w:b/>
          <w:bCs/>
          <w:i/>
          <w:iCs/>
          <w:lang w:val="en-AU"/>
        </w:rPr>
        <w:t>ncome tax</w:t>
      </w:r>
      <w:r w:rsidR="006079AC">
        <w:rPr>
          <w:b/>
          <w:bCs/>
          <w:i/>
          <w:iCs/>
          <w:lang w:val="en-AU"/>
        </w:rPr>
        <w:t xml:space="preserve"> expense</w:t>
      </w:r>
      <w:r w:rsidR="00997A2A" w:rsidRPr="413EB596">
        <w:rPr>
          <w:b/>
          <w:bCs/>
          <w:i/>
          <w:iCs/>
          <w:lang w:val="en-AU"/>
        </w:rPr>
        <w:t xml:space="preserve"> </w:t>
      </w:r>
    </w:p>
    <w:p w14:paraId="7E7D6084" w14:textId="4FEC3EBD" w:rsidR="008C1229" w:rsidRDefault="008C1229" w:rsidP="413EB596">
      <w:pPr>
        <w:pStyle w:val="BodyText"/>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D17E92" w:rsidRPr="0073009A" w14:paraId="737DA629" w14:textId="77777777" w:rsidTr="413EB596">
        <w:trPr>
          <w:trHeight w:val="300"/>
        </w:trPr>
        <w:tc>
          <w:tcPr>
            <w:tcW w:w="3525" w:type="pct"/>
            <w:tcBorders>
              <w:top w:val="nil"/>
              <w:left w:val="nil"/>
              <w:bottom w:val="nil"/>
              <w:right w:val="nil"/>
            </w:tcBorders>
            <w:noWrap/>
            <w:vAlign w:val="bottom"/>
            <w:hideMark/>
          </w:tcPr>
          <w:p w14:paraId="2AECA529" w14:textId="0380BAB6" w:rsidR="00D17E92" w:rsidRPr="00E326C0" w:rsidRDefault="00D17E92" w:rsidP="004A08EC">
            <w:pPr>
              <w:spacing w:after="0" w:line="240" w:lineRule="auto"/>
              <w:rPr>
                <w:rFonts w:eastAsia="Times New Roman" w:cs="Arial"/>
                <w:b/>
                <w:bCs/>
                <w:sz w:val="20"/>
                <w:szCs w:val="20"/>
                <w:lang w:eastAsia="en-AU"/>
              </w:rPr>
            </w:pPr>
          </w:p>
        </w:tc>
        <w:tc>
          <w:tcPr>
            <w:tcW w:w="738" w:type="pct"/>
            <w:tcBorders>
              <w:top w:val="nil"/>
              <w:left w:val="nil"/>
              <w:bottom w:val="nil"/>
              <w:right w:val="nil"/>
            </w:tcBorders>
            <w:noWrap/>
            <w:vAlign w:val="bottom"/>
            <w:hideMark/>
          </w:tcPr>
          <w:p w14:paraId="5388DD73" w14:textId="352FBDE4" w:rsidR="00D17E92" w:rsidRPr="00F65403" w:rsidRDefault="006079AC"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44A47086" w14:textId="55D462CA" w:rsidR="00D17E92" w:rsidRPr="00F65403" w:rsidRDefault="006079AC"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w:t>
            </w:r>
            <w:r w:rsidR="00F851B5">
              <w:rPr>
                <w:rFonts w:eastAsia="Times New Roman" w:cs="Arial"/>
                <w:b/>
                <w:bCs/>
                <w:color w:val="000000" w:themeColor="text1"/>
                <w:sz w:val="20"/>
                <w:szCs w:val="20"/>
                <w:lang w:eastAsia="en-AU"/>
              </w:rPr>
              <w:t>6</w:t>
            </w:r>
            <w:r>
              <w:rPr>
                <w:rFonts w:eastAsia="Times New Roman" w:cs="Arial"/>
                <w:b/>
                <w:bCs/>
                <w:color w:val="000000" w:themeColor="text1"/>
                <w:sz w:val="20"/>
                <w:szCs w:val="20"/>
                <w:lang w:eastAsia="en-AU"/>
              </w:rPr>
              <w:t xml:space="preserve"> October 2023 to 30 June </w:t>
            </w:r>
            <w:r w:rsidRPr="413EB596">
              <w:rPr>
                <w:rFonts w:eastAsia="Times New Roman" w:cs="Arial"/>
                <w:b/>
                <w:bCs/>
                <w:color w:val="000000" w:themeColor="text1"/>
                <w:sz w:val="20"/>
                <w:szCs w:val="20"/>
                <w:lang w:eastAsia="en-AU"/>
              </w:rPr>
              <w:t>2024</w:t>
            </w:r>
          </w:p>
        </w:tc>
      </w:tr>
      <w:tr w:rsidR="00D17E92" w:rsidRPr="0073009A" w14:paraId="23E00BEB" w14:textId="77777777" w:rsidTr="413EB596">
        <w:trPr>
          <w:trHeight w:val="300"/>
        </w:trPr>
        <w:tc>
          <w:tcPr>
            <w:tcW w:w="3525" w:type="pct"/>
            <w:tcBorders>
              <w:top w:val="nil"/>
              <w:left w:val="nil"/>
              <w:bottom w:val="nil"/>
              <w:right w:val="nil"/>
            </w:tcBorders>
            <w:noWrap/>
            <w:vAlign w:val="bottom"/>
            <w:hideMark/>
          </w:tcPr>
          <w:p w14:paraId="365C58CC" w14:textId="01E4A36E" w:rsidR="00D17E92" w:rsidRPr="00F65403" w:rsidRDefault="00D17E92"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0FC76527" w14:textId="39ABD97B" w:rsidR="00D17E92" w:rsidRPr="00F65403" w:rsidRDefault="00D17E92"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6F8030E1" w14:textId="10C30BFE" w:rsidR="00D17E92" w:rsidRPr="00F65403" w:rsidRDefault="00D17E92" w:rsidP="00D17E92">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8C1229" w:rsidRPr="0073009A" w14:paraId="7D588DA6" w14:textId="77777777" w:rsidTr="413EB596">
        <w:trPr>
          <w:trHeight w:val="300"/>
        </w:trPr>
        <w:tc>
          <w:tcPr>
            <w:tcW w:w="3525" w:type="pct"/>
            <w:tcBorders>
              <w:top w:val="nil"/>
              <w:left w:val="nil"/>
              <w:bottom w:val="nil"/>
              <w:right w:val="nil"/>
            </w:tcBorders>
            <w:noWrap/>
            <w:vAlign w:val="bottom"/>
            <w:hideMark/>
          </w:tcPr>
          <w:p w14:paraId="65360AAA" w14:textId="57C5F7E5" w:rsidR="008C1229" w:rsidRPr="00F65403" w:rsidRDefault="00CE48FF"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Current tax</w:t>
            </w:r>
            <w:r w:rsidR="008C1229" w:rsidRPr="413EB596">
              <w:rPr>
                <w:rFonts w:eastAsia="Times New Roman" w:cs="Arial"/>
                <w:color w:val="000000" w:themeColor="text1"/>
                <w:sz w:val="20"/>
                <w:szCs w:val="20"/>
                <w:lang w:eastAsia="en-AU"/>
              </w:rPr>
              <w:t> </w:t>
            </w:r>
          </w:p>
        </w:tc>
        <w:tc>
          <w:tcPr>
            <w:tcW w:w="738" w:type="pct"/>
            <w:tcBorders>
              <w:top w:val="nil"/>
              <w:left w:val="nil"/>
              <w:bottom w:val="nil"/>
              <w:right w:val="nil"/>
            </w:tcBorders>
            <w:noWrap/>
            <w:vAlign w:val="bottom"/>
            <w:hideMark/>
          </w:tcPr>
          <w:p w14:paraId="654402DB" w14:textId="77777777" w:rsidR="008C1229" w:rsidRPr="00F65403" w:rsidRDefault="008C1229"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c>
          <w:tcPr>
            <w:tcW w:w="737" w:type="pct"/>
            <w:tcBorders>
              <w:top w:val="nil"/>
              <w:left w:val="nil"/>
              <w:bottom w:val="nil"/>
              <w:right w:val="nil"/>
            </w:tcBorders>
            <w:noWrap/>
            <w:vAlign w:val="bottom"/>
            <w:hideMark/>
          </w:tcPr>
          <w:p w14:paraId="7D2E895C" w14:textId="780762E1" w:rsidR="008C1229" w:rsidRPr="00F65403" w:rsidRDefault="00C1617E"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24B86" w:rsidRPr="0073009A" w14:paraId="59B739D2" w14:textId="77777777" w:rsidTr="413EB596">
        <w:trPr>
          <w:trHeight w:val="300"/>
        </w:trPr>
        <w:tc>
          <w:tcPr>
            <w:tcW w:w="3525" w:type="pct"/>
            <w:tcBorders>
              <w:top w:val="nil"/>
              <w:left w:val="nil"/>
              <w:bottom w:val="nil"/>
              <w:right w:val="nil"/>
            </w:tcBorders>
            <w:noWrap/>
            <w:vAlign w:val="bottom"/>
            <w:hideMark/>
          </w:tcPr>
          <w:p w14:paraId="493F03A1" w14:textId="385E6ADD" w:rsidR="00B24B86" w:rsidRPr="00F65403" w:rsidRDefault="00B24B86" w:rsidP="00B24B86">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Deferred tax </w:t>
            </w:r>
          </w:p>
        </w:tc>
        <w:tc>
          <w:tcPr>
            <w:tcW w:w="738" w:type="pct"/>
            <w:tcBorders>
              <w:top w:val="nil"/>
              <w:left w:val="nil"/>
              <w:bottom w:val="nil"/>
              <w:right w:val="nil"/>
            </w:tcBorders>
            <w:noWrap/>
            <w:vAlign w:val="bottom"/>
            <w:hideMark/>
          </w:tcPr>
          <w:p w14:paraId="117B07BD" w14:textId="3AE43ABA" w:rsidR="00B24B86" w:rsidRPr="00F65403" w:rsidRDefault="00B24B86"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12,309</w:t>
            </w:r>
          </w:p>
        </w:tc>
        <w:tc>
          <w:tcPr>
            <w:tcW w:w="737" w:type="pct"/>
            <w:tcBorders>
              <w:top w:val="nil"/>
              <w:left w:val="nil"/>
              <w:bottom w:val="nil"/>
              <w:right w:val="nil"/>
            </w:tcBorders>
            <w:noWrap/>
            <w:vAlign w:val="bottom"/>
            <w:hideMark/>
          </w:tcPr>
          <w:p w14:paraId="37E4A5BE" w14:textId="567994D3" w:rsidR="00B24B86" w:rsidRPr="00F65403" w:rsidRDefault="00B24B86"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24B86" w:rsidRPr="0073009A" w14:paraId="452FE5AE" w14:textId="77777777" w:rsidTr="00E326C0">
        <w:trPr>
          <w:trHeight w:val="300"/>
        </w:trPr>
        <w:tc>
          <w:tcPr>
            <w:tcW w:w="3525" w:type="pct"/>
            <w:tcBorders>
              <w:top w:val="nil"/>
              <w:left w:val="nil"/>
              <w:bottom w:val="nil"/>
              <w:right w:val="nil"/>
            </w:tcBorders>
            <w:noWrap/>
            <w:vAlign w:val="bottom"/>
            <w:hideMark/>
          </w:tcPr>
          <w:p w14:paraId="65321849" w14:textId="4B0C655B" w:rsidR="00B24B86" w:rsidRPr="00F65403" w:rsidRDefault="00B24B86" w:rsidP="00B24B86">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Over/(under) provision in respect of prior years</w:t>
            </w:r>
          </w:p>
        </w:tc>
        <w:tc>
          <w:tcPr>
            <w:tcW w:w="738" w:type="pct"/>
            <w:tcBorders>
              <w:top w:val="nil"/>
              <w:left w:val="nil"/>
              <w:bottom w:val="single" w:sz="4" w:space="0" w:color="auto"/>
              <w:right w:val="nil"/>
            </w:tcBorders>
            <w:noWrap/>
            <w:vAlign w:val="bottom"/>
            <w:hideMark/>
          </w:tcPr>
          <w:p w14:paraId="4DDA910B" w14:textId="2793B82C" w:rsidR="00B24B86" w:rsidRPr="00F65403" w:rsidRDefault="00B24B86"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4,140</w:t>
            </w:r>
          </w:p>
        </w:tc>
        <w:tc>
          <w:tcPr>
            <w:tcW w:w="737" w:type="pct"/>
            <w:tcBorders>
              <w:top w:val="nil"/>
              <w:left w:val="nil"/>
              <w:bottom w:val="single" w:sz="4" w:space="0" w:color="auto"/>
              <w:right w:val="nil"/>
            </w:tcBorders>
            <w:noWrap/>
            <w:vAlign w:val="bottom"/>
            <w:hideMark/>
          </w:tcPr>
          <w:p w14:paraId="54FB3BBF" w14:textId="77777777" w:rsidR="00B24B86" w:rsidRPr="00F65403" w:rsidRDefault="00B24B86" w:rsidP="413EB596">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24B86" w:rsidRPr="0073009A" w14:paraId="56D887B7" w14:textId="77777777" w:rsidTr="00E326C0">
        <w:trPr>
          <w:trHeight w:val="300"/>
        </w:trPr>
        <w:tc>
          <w:tcPr>
            <w:tcW w:w="3525" w:type="pct"/>
            <w:tcBorders>
              <w:top w:val="nil"/>
              <w:left w:val="nil"/>
              <w:bottom w:val="nil"/>
              <w:right w:val="nil"/>
            </w:tcBorders>
            <w:noWrap/>
            <w:vAlign w:val="bottom"/>
            <w:hideMark/>
          </w:tcPr>
          <w:p w14:paraId="45A23FC5" w14:textId="765F12C0" w:rsidR="00B24B86" w:rsidRPr="00F65403" w:rsidRDefault="00B24B86"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 income tax expense</w:t>
            </w:r>
            <w:r w:rsidR="009A3346">
              <w:rPr>
                <w:rFonts w:eastAsia="Times New Roman" w:cs="Arial"/>
                <w:b/>
                <w:bCs/>
                <w:color w:val="000000" w:themeColor="text1"/>
                <w:sz w:val="20"/>
                <w:szCs w:val="20"/>
                <w:lang w:eastAsia="en-AU"/>
              </w:rPr>
              <w:t xml:space="preserve"> reported in profit or loss</w:t>
            </w:r>
          </w:p>
        </w:tc>
        <w:tc>
          <w:tcPr>
            <w:tcW w:w="738" w:type="pct"/>
            <w:tcBorders>
              <w:top w:val="single" w:sz="4" w:space="0" w:color="auto"/>
              <w:left w:val="nil"/>
              <w:bottom w:val="single" w:sz="4" w:space="0" w:color="auto"/>
              <w:right w:val="nil"/>
            </w:tcBorders>
            <w:noWrap/>
            <w:vAlign w:val="bottom"/>
            <w:hideMark/>
          </w:tcPr>
          <w:p w14:paraId="7C75471F" w14:textId="7DB67A45" w:rsidR="00B24B86" w:rsidRPr="00B24B86" w:rsidRDefault="00B24B86" w:rsidP="413EB596">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16,449</w:t>
            </w:r>
          </w:p>
        </w:tc>
        <w:tc>
          <w:tcPr>
            <w:tcW w:w="737" w:type="pct"/>
            <w:tcBorders>
              <w:top w:val="single" w:sz="4" w:space="0" w:color="auto"/>
              <w:left w:val="nil"/>
              <w:bottom w:val="single" w:sz="4" w:space="0" w:color="auto"/>
              <w:right w:val="nil"/>
            </w:tcBorders>
            <w:noWrap/>
            <w:vAlign w:val="bottom"/>
            <w:hideMark/>
          </w:tcPr>
          <w:p w14:paraId="3A36794E" w14:textId="6DCB34F1" w:rsidR="00B24B86" w:rsidRPr="00B24B86" w:rsidRDefault="00B24B86" w:rsidP="413EB596">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bl>
    <w:p w14:paraId="254FBFE2" w14:textId="77777777" w:rsidR="00D21191" w:rsidRDefault="00D21191" w:rsidP="0005795C"/>
    <w:p w14:paraId="15B44F95" w14:textId="77777777" w:rsidR="00D21191" w:rsidRDefault="00D21191">
      <w:r>
        <w:br w:type="page"/>
      </w:r>
    </w:p>
    <w:p w14:paraId="04D0706C" w14:textId="7F81129F" w:rsidR="007671FE" w:rsidRPr="001513B5" w:rsidRDefault="00DC39E8" w:rsidP="0005795C">
      <w:pPr>
        <w:rPr>
          <w:b/>
          <w:i/>
        </w:rPr>
      </w:pPr>
      <w:r>
        <w:br/>
      </w:r>
      <w:r w:rsidRPr="001513B5">
        <w:rPr>
          <w:rFonts w:eastAsia="Times New Roman" w:cs="Arial"/>
          <w:b/>
          <w:bCs/>
          <w:i/>
          <w:iCs/>
          <w:sz w:val="20"/>
          <w:szCs w:val="20"/>
          <w:lang w:eastAsia="en-AU"/>
        </w:rPr>
        <w:t>iii.</w:t>
      </w:r>
      <w:r w:rsidR="006622A3" w:rsidRPr="001513B5">
        <w:rPr>
          <w:rFonts w:eastAsia="Times New Roman" w:cs="Arial"/>
          <w:b/>
          <w:i/>
          <w:sz w:val="20"/>
          <w:szCs w:val="20"/>
          <w:lang w:eastAsia="en-AU"/>
        </w:rPr>
        <w:t xml:space="preserve"> Numerical reconciliation of income tax expense to prima facie tax payable</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7671FE" w:rsidRPr="0073009A" w14:paraId="1DEE1092" w14:textId="77777777" w:rsidTr="413EB596">
        <w:trPr>
          <w:trHeight w:val="300"/>
        </w:trPr>
        <w:tc>
          <w:tcPr>
            <w:tcW w:w="3525" w:type="pct"/>
            <w:tcBorders>
              <w:top w:val="nil"/>
              <w:left w:val="nil"/>
              <w:bottom w:val="nil"/>
              <w:right w:val="nil"/>
            </w:tcBorders>
            <w:noWrap/>
            <w:vAlign w:val="bottom"/>
            <w:hideMark/>
          </w:tcPr>
          <w:p w14:paraId="4B75A13F" w14:textId="5BE58FCD" w:rsidR="007671FE" w:rsidRPr="00E326C0" w:rsidRDefault="007671FE" w:rsidP="004A08EC">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7AB7C8B2" w14:textId="7151EF48" w:rsidR="007671FE" w:rsidRPr="00F65403" w:rsidRDefault="00DC39E8"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 xml:space="preserve">Year ended 30 June </w:t>
            </w:r>
            <w:r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779B5A8F" w14:textId="4FDED312" w:rsidR="007671FE" w:rsidRPr="00F65403" w:rsidRDefault="008C4543" w:rsidP="413EB596">
            <w:pPr>
              <w:spacing w:after="0" w:line="240" w:lineRule="auto"/>
              <w:jc w:val="center"/>
              <w:rPr>
                <w:rFonts w:eastAsia="Times New Roman" w:cs="Arial"/>
                <w:b/>
                <w:bCs/>
                <w:color w:val="000000"/>
                <w:sz w:val="20"/>
                <w:szCs w:val="20"/>
                <w:lang w:eastAsia="en-AU"/>
              </w:rPr>
            </w:pPr>
            <w:r>
              <w:rPr>
                <w:rFonts w:eastAsia="Times New Roman" w:cs="Arial"/>
                <w:b/>
                <w:bCs/>
                <w:color w:val="000000" w:themeColor="text1"/>
                <w:sz w:val="20"/>
                <w:szCs w:val="20"/>
                <w:lang w:eastAsia="en-AU"/>
              </w:rPr>
              <w:t>26 October</w:t>
            </w:r>
            <w:r w:rsidR="00DC39E8">
              <w:rPr>
                <w:rFonts w:eastAsia="Times New Roman" w:cs="Arial"/>
                <w:b/>
                <w:bCs/>
                <w:color w:val="000000" w:themeColor="text1"/>
                <w:sz w:val="20"/>
                <w:szCs w:val="20"/>
                <w:lang w:eastAsia="en-AU"/>
              </w:rPr>
              <w:t xml:space="preserve"> 2023 to 30 June </w:t>
            </w:r>
            <w:r w:rsidR="00DC39E8" w:rsidRPr="413EB596">
              <w:rPr>
                <w:rFonts w:eastAsia="Times New Roman" w:cs="Arial"/>
                <w:b/>
                <w:bCs/>
                <w:color w:val="000000" w:themeColor="text1"/>
                <w:sz w:val="20"/>
                <w:szCs w:val="20"/>
                <w:lang w:eastAsia="en-AU"/>
              </w:rPr>
              <w:t>2024</w:t>
            </w:r>
          </w:p>
        </w:tc>
      </w:tr>
      <w:tr w:rsidR="007671FE" w:rsidRPr="0073009A" w14:paraId="3FA992FD" w14:textId="77777777" w:rsidTr="413EB596">
        <w:trPr>
          <w:trHeight w:val="300"/>
        </w:trPr>
        <w:tc>
          <w:tcPr>
            <w:tcW w:w="3525" w:type="pct"/>
            <w:tcBorders>
              <w:top w:val="nil"/>
              <w:left w:val="nil"/>
              <w:bottom w:val="nil"/>
              <w:right w:val="nil"/>
            </w:tcBorders>
            <w:noWrap/>
            <w:vAlign w:val="bottom"/>
            <w:hideMark/>
          </w:tcPr>
          <w:p w14:paraId="50FE64D0" w14:textId="77777777" w:rsidR="007671FE" w:rsidRPr="00F65403" w:rsidRDefault="007671FE" w:rsidP="413EB596">
            <w:pPr>
              <w:spacing w:after="0" w:line="240" w:lineRule="auto"/>
              <w:rPr>
                <w:rFonts w:eastAsia="Times New Roman" w:cs="Arial"/>
                <w:b/>
                <w:bCs/>
                <w:color w:val="000000"/>
                <w:sz w:val="20"/>
                <w:szCs w:val="20"/>
                <w:lang w:eastAsia="en-AU"/>
              </w:rPr>
            </w:pPr>
          </w:p>
        </w:tc>
        <w:tc>
          <w:tcPr>
            <w:tcW w:w="738" w:type="pct"/>
            <w:tcBorders>
              <w:top w:val="nil"/>
              <w:left w:val="nil"/>
              <w:bottom w:val="nil"/>
              <w:right w:val="nil"/>
            </w:tcBorders>
            <w:noWrap/>
            <w:vAlign w:val="bottom"/>
            <w:hideMark/>
          </w:tcPr>
          <w:p w14:paraId="4A6E6D1B" w14:textId="77777777" w:rsidR="007671FE" w:rsidRPr="00F65403" w:rsidRDefault="007671FE"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095C9415" w14:textId="77777777" w:rsidR="007671FE" w:rsidRPr="00F65403" w:rsidRDefault="007671FE" w:rsidP="00CF77CC">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7671FE" w:rsidRPr="0073009A" w14:paraId="1211DBEE" w14:textId="77777777" w:rsidTr="413EB596">
        <w:trPr>
          <w:trHeight w:val="300"/>
        </w:trPr>
        <w:tc>
          <w:tcPr>
            <w:tcW w:w="3525" w:type="pct"/>
            <w:tcBorders>
              <w:top w:val="nil"/>
              <w:left w:val="nil"/>
              <w:bottom w:val="nil"/>
              <w:right w:val="nil"/>
            </w:tcBorders>
            <w:noWrap/>
            <w:vAlign w:val="bottom"/>
            <w:hideMark/>
          </w:tcPr>
          <w:p w14:paraId="6778D7F0" w14:textId="2C285FA9" w:rsidR="007671FE" w:rsidRPr="00F65403" w:rsidRDefault="00F06674"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Profit from continuing operations before income tax expense</w:t>
            </w:r>
          </w:p>
        </w:tc>
        <w:tc>
          <w:tcPr>
            <w:tcW w:w="738" w:type="pct"/>
            <w:tcBorders>
              <w:top w:val="nil"/>
              <w:left w:val="nil"/>
              <w:bottom w:val="nil"/>
              <w:right w:val="nil"/>
            </w:tcBorders>
            <w:noWrap/>
            <w:vAlign w:val="bottom"/>
            <w:hideMark/>
          </w:tcPr>
          <w:p w14:paraId="2200FED6" w14:textId="7EC4198A" w:rsidR="007671FE" w:rsidRPr="00F65403" w:rsidRDefault="00F06674"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41,03</w:t>
            </w:r>
            <w:r w:rsidR="00E02228" w:rsidRPr="413EB596">
              <w:rPr>
                <w:rFonts w:eastAsia="Times New Roman" w:cs="Arial"/>
                <w:color w:val="000000" w:themeColor="text1"/>
                <w:sz w:val="20"/>
                <w:szCs w:val="20"/>
                <w:lang w:eastAsia="en-AU"/>
              </w:rPr>
              <w:t>2</w:t>
            </w:r>
          </w:p>
        </w:tc>
        <w:tc>
          <w:tcPr>
            <w:tcW w:w="737" w:type="pct"/>
            <w:tcBorders>
              <w:top w:val="nil"/>
              <w:left w:val="nil"/>
              <w:bottom w:val="nil"/>
              <w:right w:val="nil"/>
            </w:tcBorders>
            <w:noWrap/>
            <w:vAlign w:val="bottom"/>
            <w:hideMark/>
          </w:tcPr>
          <w:p w14:paraId="1B3D19C2" w14:textId="2ADBB1AC" w:rsidR="007671FE" w:rsidRPr="00F65403" w:rsidRDefault="009C45DB" w:rsidP="00CF77CC">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13,</w:t>
            </w:r>
            <w:r w:rsidR="00994DE2">
              <w:rPr>
                <w:rFonts w:eastAsia="Times New Roman" w:cs="Arial"/>
                <w:color w:val="000000" w:themeColor="text1"/>
                <w:sz w:val="20"/>
                <w:szCs w:val="20"/>
                <w:lang w:eastAsia="en-AU"/>
              </w:rPr>
              <w:t>800</w:t>
            </w:r>
            <w:r w:rsidR="007671FE" w:rsidRPr="413EB596">
              <w:rPr>
                <w:rFonts w:eastAsia="Times New Roman" w:cs="Arial"/>
                <w:color w:val="000000" w:themeColor="text1"/>
                <w:sz w:val="20"/>
                <w:szCs w:val="20"/>
                <w:lang w:eastAsia="en-AU"/>
              </w:rPr>
              <w:t>-</w:t>
            </w:r>
          </w:p>
        </w:tc>
      </w:tr>
      <w:tr w:rsidR="007671FE" w:rsidRPr="0073009A" w14:paraId="1EAB2BC6" w14:textId="77777777" w:rsidTr="00E326C0">
        <w:trPr>
          <w:trHeight w:val="300"/>
        </w:trPr>
        <w:tc>
          <w:tcPr>
            <w:tcW w:w="3525" w:type="pct"/>
            <w:tcBorders>
              <w:top w:val="nil"/>
              <w:left w:val="nil"/>
              <w:bottom w:val="nil"/>
              <w:right w:val="nil"/>
            </w:tcBorders>
            <w:noWrap/>
            <w:vAlign w:val="bottom"/>
            <w:hideMark/>
          </w:tcPr>
          <w:p w14:paraId="522EF2A1" w14:textId="4397391E" w:rsidR="007671FE" w:rsidRPr="00F65403" w:rsidRDefault="00E02228"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at the Australian tax rate of 30%</w:t>
            </w:r>
            <w:r w:rsidR="007671FE" w:rsidRPr="413EB596">
              <w:rPr>
                <w:rFonts w:eastAsia="Times New Roman" w:cs="Arial"/>
                <w:color w:val="000000" w:themeColor="text1"/>
                <w:sz w:val="20"/>
                <w:szCs w:val="20"/>
                <w:lang w:eastAsia="en-AU"/>
              </w:rPr>
              <w:t> </w:t>
            </w:r>
            <w:r w:rsidR="00EF2F63">
              <w:rPr>
                <w:rFonts w:eastAsia="Times New Roman" w:cs="Arial"/>
                <w:color w:val="000000" w:themeColor="text1"/>
                <w:sz w:val="20"/>
                <w:szCs w:val="20"/>
                <w:lang w:eastAsia="en-AU"/>
              </w:rPr>
              <w:t>(2024: not applicable)</w:t>
            </w:r>
          </w:p>
        </w:tc>
        <w:tc>
          <w:tcPr>
            <w:tcW w:w="738" w:type="pct"/>
            <w:tcBorders>
              <w:top w:val="nil"/>
              <w:left w:val="nil"/>
              <w:right w:val="nil"/>
            </w:tcBorders>
            <w:noWrap/>
            <w:vAlign w:val="bottom"/>
            <w:hideMark/>
          </w:tcPr>
          <w:p w14:paraId="6E1EFB07" w14:textId="535040EF" w:rsidR="007671FE" w:rsidRPr="00F65403" w:rsidRDefault="007671FE"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12,3</w:t>
            </w:r>
            <w:r w:rsidR="003B768A" w:rsidRPr="413EB596">
              <w:rPr>
                <w:rFonts w:eastAsia="Times New Roman" w:cs="Arial"/>
                <w:color w:val="000000" w:themeColor="text1"/>
                <w:sz w:val="20"/>
                <w:szCs w:val="20"/>
                <w:lang w:eastAsia="en-AU"/>
              </w:rPr>
              <w:t>09</w:t>
            </w:r>
          </w:p>
        </w:tc>
        <w:tc>
          <w:tcPr>
            <w:tcW w:w="737" w:type="pct"/>
            <w:tcBorders>
              <w:top w:val="nil"/>
              <w:left w:val="nil"/>
              <w:right w:val="nil"/>
            </w:tcBorders>
            <w:noWrap/>
            <w:vAlign w:val="bottom"/>
            <w:hideMark/>
          </w:tcPr>
          <w:p w14:paraId="35913501" w14:textId="77777777" w:rsidR="007671FE" w:rsidRPr="00F65403" w:rsidRDefault="007671FE"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7671FE" w:rsidRPr="0073009A" w14:paraId="4A2FDA9E" w14:textId="77777777" w:rsidTr="00E326C0">
        <w:trPr>
          <w:trHeight w:val="300"/>
        </w:trPr>
        <w:tc>
          <w:tcPr>
            <w:tcW w:w="3525" w:type="pct"/>
            <w:tcBorders>
              <w:top w:val="nil"/>
              <w:left w:val="nil"/>
              <w:bottom w:val="nil"/>
              <w:right w:val="nil"/>
            </w:tcBorders>
            <w:noWrap/>
            <w:vAlign w:val="bottom"/>
            <w:hideMark/>
          </w:tcPr>
          <w:p w14:paraId="27BB1E8D" w14:textId="0DEEA1A2" w:rsidR="007671FE" w:rsidRPr="00F65403" w:rsidRDefault="00581329"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Tax effect of amounts which are not deductible (taxable) in calculating taxable income:</w:t>
            </w:r>
          </w:p>
        </w:tc>
        <w:tc>
          <w:tcPr>
            <w:tcW w:w="738" w:type="pct"/>
            <w:tcBorders>
              <w:top w:val="nil"/>
              <w:left w:val="nil"/>
              <w:right w:val="nil"/>
            </w:tcBorders>
            <w:noWrap/>
            <w:vAlign w:val="bottom"/>
            <w:hideMark/>
          </w:tcPr>
          <w:p w14:paraId="508FD5F9" w14:textId="3710F688" w:rsidR="007671FE" w:rsidRPr="00F65403" w:rsidRDefault="007671FE" w:rsidP="00CF77CC">
            <w:pPr>
              <w:tabs>
                <w:tab w:val="decimal" w:pos="1020"/>
              </w:tabs>
              <w:spacing w:after="0" w:line="240" w:lineRule="auto"/>
              <w:rPr>
                <w:rFonts w:eastAsia="Times New Roman" w:cs="Arial"/>
                <w:color w:val="000000"/>
                <w:sz w:val="20"/>
                <w:szCs w:val="20"/>
                <w:lang w:eastAsia="en-AU"/>
              </w:rPr>
            </w:pPr>
          </w:p>
        </w:tc>
        <w:tc>
          <w:tcPr>
            <w:tcW w:w="737" w:type="pct"/>
            <w:tcBorders>
              <w:top w:val="nil"/>
              <w:left w:val="nil"/>
              <w:right w:val="nil"/>
            </w:tcBorders>
            <w:noWrap/>
            <w:vAlign w:val="bottom"/>
            <w:hideMark/>
          </w:tcPr>
          <w:p w14:paraId="391087A0" w14:textId="4B87A374" w:rsidR="007671FE" w:rsidRPr="00F65403" w:rsidRDefault="007671FE" w:rsidP="00CF77CC">
            <w:pPr>
              <w:tabs>
                <w:tab w:val="decimal" w:pos="1020"/>
              </w:tabs>
              <w:spacing w:after="0" w:line="240" w:lineRule="auto"/>
              <w:rPr>
                <w:rFonts w:eastAsia="Times New Roman" w:cs="Arial"/>
                <w:color w:val="000000"/>
                <w:sz w:val="20"/>
                <w:szCs w:val="20"/>
                <w:lang w:eastAsia="en-AU"/>
              </w:rPr>
            </w:pPr>
          </w:p>
        </w:tc>
      </w:tr>
      <w:tr w:rsidR="00581329" w:rsidRPr="0073009A" w14:paraId="4FE1A9C6" w14:textId="77777777" w:rsidTr="00E326C0">
        <w:trPr>
          <w:trHeight w:val="300"/>
        </w:trPr>
        <w:tc>
          <w:tcPr>
            <w:tcW w:w="3525" w:type="pct"/>
            <w:tcBorders>
              <w:top w:val="nil"/>
              <w:left w:val="nil"/>
              <w:bottom w:val="nil"/>
              <w:right w:val="nil"/>
            </w:tcBorders>
            <w:noWrap/>
            <w:vAlign w:val="bottom"/>
          </w:tcPr>
          <w:p w14:paraId="74AC85CC" w14:textId="0274F62F" w:rsidR="00581329" w:rsidRDefault="00581329"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 xml:space="preserve">  Under/(over) from prior </w:t>
            </w:r>
            <w:r w:rsidR="007314A8" w:rsidRPr="413EB596">
              <w:rPr>
                <w:rFonts w:eastAsia="Times New Roman" w:cs="Arial"/>
                <w:color w:val="000000" w:themeColor="text1"/>
                <w:sz w:val="20"/>
                <w:szCs w:val="20"/>
                <w:lang w:eastAsia="en-AU"/>
              </w:rPr>
              <w:t>years</w:t>
            </w:r>
          </w:p>
        </w:tc>
        <w:tc>
          <w:tcPr>
            <w:tcW w:w="738" w:type="pct"/>
            <w:tcBorders>
              <w:left w:val="nil"/>
              <w:bottom w:val="single" w:sz="4" w:space="0" w:color="auto"/>
              <w:right w:val="nil"/>
            </w:tcBorders>
            <w:noWrap/>
            <w:vAlign w:val="bottom"/>
          </w:tcPr>
          <w:p w14:paraId="1995DE5E" w14:textId="64AD5FE9" w:rsidR="00581329" w:rsidRDefault="002515F8"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4,</w:t>
            </w:r>
            <w:r w:rsidR="003B768A" w:rsidRPr="413EB596">
              <w:rPr>
                <w:rFonts w:eastAsia="Times New Roman" w:cs="Arial"/>
                <w:color w:val="000000" w:themeColor="text1"/>
                <w:sz w:val="20"/>
                <w:szCs w:val="20"/>
                <w:lang w:eastAsia="en-AU"/>
              </w:rPr>
              <w:t>140</w:t>
            </w:r>
          </w:p>
        </w:tc>
        <w:tc>
          <w:tcPr>
            <w:tcW w:w="737" w:type="pct"/>
            <w:tcBorders>
              <w:left w:val="nil"/>
              <w:bottom w:val="single" w:sz="4" w:space="0" w:color="auto"/>
              <w:right w:val="nil"/>
            </w:tcBorders>
            <w:noWrap/>
            <w:vAlign w:val="bottom"/>
          </w:tcPr>
          <w:p w14:paraId="25808E59" w14:textId="1B19B78A" w:rsidR="00581329" w:rsidRPr="00F65403" w:rsidRDefault="003B768A"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7671FE" w:rsidRPr="0073009A" w14:paraId="760DEBF2" w14:textId="77777777" w:rsidTr="413EB596">
        <w:trPr>
          <w:trHeight w:val="300"/>
        </w:trPr>
        <w:tc>
          <w:tcPr>
            <w:tcW w:w="3525" w:type="pct"/>
            <w:tcBorders>
              <w:top w:val="nil"/>
              <w:left w:val="nil"/>
              <w:bottom w:val="nil"/>
              <w:right w:val="nil"/>
            </w:tcBorders>
            <w:noWrap/>
            <w:vAlign w:val="bottom"/>
            <w:hideMark/>
          </w:tcPr>
          <w:p w14:paraId="28E2C2E8" w14:textId="77777777" w:rsidR="007671FE" w:rsidRPr="00F65403" w:rsidRDefault="007671FE"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 income tax expense</w:t>
            </w:r>
          </w:p>
        </w:tc>
        <w:tc>
          <w:tcPr>
            <w:tcW w:w="738" w:type="pct"/>
            <w:tcBorders>
              <w:top w:val="single" w:sz="4" w:space="0" w:color="auto"/>
              <w:left w:val="nil"/>
              <w:bottom w:val="single" w:sz="4" w:space="0" w:color="auto"/>
              <w:right w:val="nil"/>
            </w:tcBorders>
            <w:noWrap/>
            <w:vAlign w:val="bottom"/>
            <w:hideMark/>
          </w:tcPr>
          <w:p w14:paraId="1E5BFA27" w14:textId="4F080535" w:rsidR="007671FE" w:rsidRPr="00E326C0" w:rsidRDefault="007671FE" w:rsidP="00CF77CC">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16,4</w:t>
            </w:r>
            <w:r w:rsidR="00B24B86" w:rsidRPr="413EB596">
              <w:rPr>
                <w:rFonts w:eastAsia="Times New Roman" w:cs="Arial"/>
                <w:b/>
                <w:bCs/>
                <w:color w:val="000000" w:themeColor="text1"/>
                <w:sz w:val="20"/>
                <w:szCs w:val="20"/>
                <w:lang w:eastAsia="en-AU"/>
              </w:rPr>
              <w:t>49</w:t>
            </w:r>
          </w:p>
        </w:tc>
        <w:tc>
          <w:tcPr>
            <w:tcW w:w="737" w:type="pct"/>
            <w:tcBorders>
              <w:top w:val="single" w:sz="4" w:space="0" w:color="auto"/>
              <w:left w:val="nil"/>
              <w:bottom w:val="single" w:sz="4" w:space="0" w:color="auto"/>
              <w:right w:val="nil"/>
            </w:tcBorders>
            <w:noWrap/>
            <w:vAlign w:val="bottom"/>
            <w:hideMark/>
          </w:tcPr>
          <w:p w14:paraId="499862AA" w14:textId="0AA5A932" w:rsidR="007671FE" w:rsidRPr="00E326C0" w:rsidRDefault="003B768A" w:rsidP="00CF77CC">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bl>
    <w:p w14:paraId="313C6C4F" w14:textId="403DFE4B" w:rsidR="00BB3113" w:rsidRPr="001513B5" w:rsidRDefault="00BB3113" w:rsidP="00BB3113">
      <w:pPr>
        <w:rPr>
          <w:b/>
          <w:i/>
        </w:rPr>
      </w:pPr>
      <w:r>
        <w:br/>
      </w:r>
      <w:r w:rsidR="0027399B">
        <w:rPr>
          <w:rFonts w:eastAsia="Times New Roman" w:cs="Arial"/>
          <w:b/>
          <w:bCs/>
          <w:i/>
          <w:iCs/>
          <w:sz w:val="20"/>
          <w:szCs w:val="20"/>
          <w:lang w:eastAsia="en-AU"/>
        </w:rPr>
        <w:t>iv.</w:t>
      </w:r>
      <w:r w:rsidRPr="001513B5">
        <w:rPr>
          <w:rFonts w:eastAsia="Times New Roman" w:cs="Arial"/>
          <w:b/>
          <w:bCs/>
          <w:i/>
          <w:iCs/>
          <w:sz w:val="20"/>
          <w:szCs w:val="20"/>
          <w:lang w:eastAsia="en-AU"/>
        </w:rPr>
        <w:t xml:space="preserve"> </w:t>
      </w:r>
      <w:r w:rsidR="0027399B">
        <w:rPr>
          <w:rFonts w:eastAsia="Times New Roman" w:cs="Arial"/>
          <w:b/>
          <w:bCs/>
          <w:i/>
          <w:iCs/>
          <w:sz w:val="20"/>
          <w:szCs w:val="20"/>
          <w:lang w:eastAsia="en-AU"/>
        </w:rPr>
        <w:t xml:space="preserve">  </w:t>
      </w:r>
      <w:r>
        <w:rPr>
          <w:rFonts w:eastAsia="Times New Roman" w:cs="Arial"/>
          <w:b/>
          <w:i/>
          <w:sz w:val="20"/>
          <w:szCs w:val="20"/>
          <w:lang w:eastAsia="en-AU"/>
        </w:rPr>
        <w:t xml:space="preserve"> </w:t>
      </w:r>
      <w:r w:rsidRPr="001513B5">
        <w:rPr>
          <w:rFonts w:eastAsia="Times New Roman" w:cs="Arial"/>
          <w:b/>
          <w:i/>
          <w:sz w:val="20"/>
          <w:szCs w:val="20"/>
          <w:lang w:eastAsia="en-AU"/>
        </w:rPr>
        <w:t>Deferred tax balances</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64"/>
        <w:gridCol w:w="1332"/>
        <w:gridCol w:w="1330"/>
      </w:tblGrid>
      <w:tr w:rsidR="00BB3113" w:rsidRPr="0073009A" w14:paraId="7A46781E" w14:textId="77777777" w:rsidTr="413EB596">
        <w:trPr>
          <w:trHeight w:val="300"/>
        </w:trPr>
        <w:tc>
          <w:tcPr>
            <w:tcW w:w="3525" w:type="pct"/>
            <w:tcBorders>
              <w:top w:val="nil"/>
              <w:left w:val="nil"/>
              <w:bottom w:val="nil"/>
              <w:right w:val="nil"/>
            </w:tcBorders>
            <w:noWrap/>
            <w:vAlign w:val="bottom"/>
            <w:hideMark/>
          </w:tcPr>
          <w:p w14:paraId="7613E5CB" w14:textId="77777777" w:rsidR="00BB3113" w:rsidRPr="005568AC" w:rsidRDefault="00BB3113" w:rsidP="00CF77CC">
            <w:pPr>
              <w:spacing w:after="0" w:line="240" w:lineRule="auto"/>
              <w:rPr>
                <w:rFonts w:eastAsia="Times New Roman" w:cs="Arial"/>
                <w:sz w:val="20"/>
                <w:szCs w:val="20"/>
                <w:lang w:eastAsia="en-AU"/>
              </w:rPr>
            </w:pPr>
          </w:p>
        </w:tc>
        <w:tc>
          <w:tcPr>
            <w:tcW w:w="738" w:type="pct"/>
            <w:tcBorders>
              <w:top w:val="nil"/>
              <w:left w:val="nil"/>
              <w:bottom w:val="nil"/>
              <w:right w:val="nil"/>
            </w:tcBorders>
            <w:noWrap/>
            <w:vAlign w:val="bottom"/>
            <w:hideMark/>
          </w:tcPr>
          <w:p w14:paraId="74638771" w14:textId="77777777" w:rsidR="00BB3113" w:rsidRPr="00F65403" w:rsidRDefault="00BB3113"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2025</w:t>
            </w:r>
          </w:p>
        </w:tc>
        <w:tc>
          <w:tcPr>
            <w:tcW w:w="737" w:type="pct"/>
            <w:tcBorders>
              <w:top w:val="nil"/>
              <w:left w:val="nil"/>
              <w:bottom w:val="nil"/>
              <w:right w:val="nil"/>
            </w:tcBorders>
            <w:noWrap/>
            <w:vAlign w:val="bottom"/>
            <w:hideMark/>
          </w:tcPr>
          <w:p w14:paraId="294FED11" w14:textId="77777777" w:rsidR="00BB3113" w:rsidRPr="00F65403" w:rsidRDefault="00BB3113"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2024</w:t>
            </w:r>
          </w:p>
        </w:tc>
      </w:tr>
      <w:tr w:rsidR="00BB3113" w:rsidRPr="0073009A" w14:paraId="0E3EEAAC" w14:textId="77777777" w:rsidTr="413EB596">
        <w:trPr>
          <w:trHeight w:val="300"/>
        </w:trPr>
        <w:tc>
          <w:tcPr>
            <w:tcW w:w="3525" w:type="pct"/>
            <w:tcBorders>
              <w:top w:val="nil"/>
              <w:left w:val="nil"/>
              <w:bottom w:val="nil"/>
              <w:right w:val="nil"/>
            </w:tcBorders>
            <w:noWrap/>
            <w:vAlign w:val="bottom"/>
            <w:hideMark/>
          </w:tcPr>
          <w:p w14:paraId="7C7B1A05" w14:textId="45094603" w:rsidR="00BB3113" w:rsidRPr="00E326C0" w:rsidRDefault="00BB3113" w:rsidP="413EB596">
            <w:pPr>
              <w:spacing w:after="0" w:line="240" w:lineRule="auto"/>
              <w:rPr>
                <w:rFonts w:eastAsia="Times New Roman" w:cs="Arial"/>
                <w:b/>
                <w:bCs/>
                <w:i/>
                <w:iCs/>
                <w:color w:val="000000"/>
                <w:sz w:val="20"/>
                <w:szCs w:val="20"/>
                <w:lang w:eastAsia="en-AU"/>
              </w:rPr>
            </w:pPr>
          </w:p>
        </w:tc>
        <w:tc>
          <w:tcPr>
            <w:tcW w:w="738" w:type="pct"/>
            <w:tcBorders>
              <w:top w:val="nil"/>
              <w:left w:val="nil"/>
              <w:bottom w:val="nil"/>
              <w:right w:val="nil"/>
            </w:tcBorders>
            <w:noWrap/>
            <w:vAlign w:val="bottom"/>
            <w:hideMark/>
          </w:tcPr>
          <w:p w14:paraId="19A22D3A" w14:textId="77777777" w:rsidR="00BB3113" w:rsidRPr="00F65403" w:rsidRDefault="00BB3113" w:rsidP="413EB596">
            <w:pPr>
              <w:spacing w:after="0" w:line="240" w:lineRule="auto"/>
              <w:jc w:val="center"/>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$000's</w:t>
            </w:r>
          </w:p>
        </w:tc>
        <w:tc>
          <w:tcPr>
            <w:tcW w:w="737" w:type="pct"/>
            <w:tcBorders>
              <w:top w:val="nil"/>
              <w:left w:val="nil"/>
              <w:bottom w:val="nil"/>
              <w:right w:val="nil"/>
            </w:tcBorders>
            <w:noWrap/>
            <w:vAlign w:val="bottom"/>
            <w:hideMark/>
          </w:tcPr>
          <w:p w14:paraId="7DADC3D6" w14:textId="77777777" w:rsidR="00BB3113" w:rsidRPr="00F65403" w:rsidRDefault="00BB3113" w:rsidP="00CF77CC">
            <w:pPr>
              <w:spacing w:after="0" w:line="240" w:lineRule="auto"/>
              <w:jc w:val="center"/>
              <w:rPr>
                <w:rFonts w:eastAsia="Times New Roman" w:cs="Arial"/>
                <w:sz w:val="20"/>
                <w:szCs w:val="20"/>
                <w:lang w:eastAsia="en-AU"/>
              </w:rPr>
            </w:pPr>
            <w:r w:rsidRPr="413EB596">
              <w:rPr>
                <w:rFonts w:eastAsia="Times New Roman" w:cs="Arial"/>
                <w:b/>
                <w:bCs/>
                <w:color w:val="000000" w:themeColor="text1"/>
                <w:sz w:val="20"/>
                <w:szCs w:val="20"/>
                <w:lang w:eastAsia="en-AU"/>
              </w:rPr>
              <w:t>$000's</w:t>
            </w:r>
          </w:p>
        </w:tc>
      </w:tr>
      <w:tr w:rsidR="0063124E" w:rsidRPr="0073009A" w14:paraId="01D8FEDC" w14:textId="77777777" w:rsidTr="413EB596">
        <w:trPr>
          <w:trHeight w:val="300"/>
        </w:trPr>
        <w:tc>
          <w:tcPr>
            <w:tcW w:w="3525" w:type="pct"/>
            <w:tcBorders>
              <w:top w:val="nil"/>
              <w:left w:val="nil"/>
              <w:bottom w:val="nil"/>
              <w:right w:val="nil"/>
            </w:tcBorders>
            <w:noWrap/>
            <w:vAlign w:val="bottom"/>
          </w:tcPr>
          <w:p w14:paraId="16173017" w14:textId="0FCFA906" w:rsidR="0063124E" w:rsidRDefault="0063124E" w:rsidP="00CF77CC">
            <w:pPr>
              <w:spacing w:after="0" w:line="240" w:lineRule="auto"/>
              <w:rPr>
                <w:rFonts w:eastAsia="Times New Roman" w:cs="Arial"/>
                <w:color w:val="000000"/>
                <w:sz w:val="20"/>
                <w:szCs w:val="20"/>
                <w:lang w:eastAsia="en-AU"/>
              </w:rPr>
            </w:pPr>
            <w:r w:rsidRPr="413EB596">
              <w:rPr>
                <w:rFonts w:eastAsia="Times New Roman" w:cs="Arial"/>
                <w:b/>
                <w:bCs/>
                <w:i/>
                <w:iCs/>
                <w:color w:val="000000" w:themeColor="text1"/>
                <w:sz w:val="20"/>
                <w:szCs w:val="20"/>
                <w:lang w:eastAsia="en-AU"/>
              </w:rPr>
              <w:t>Deferred tax assets</w:t>
            </w:r>
          </w:p>
        </w:tc>
        <w:tc>
          <w:tcPr>
            <w:tcW w:w="738" w:type="pct"/>
            <w:tcBorders>
              <w:top w:val="nil"/>
              <w:left w:val="nil"/>
              <w:bottom w:val="nil"/>
              <w:right w:val="nil"/>
            </w:tcBorders>
            <w:noWrap/>
            <w:vAlign w:val="bottom"/>
          </w:tcPr>
          <w:p w14:paraId="129CA725" w14:textId="77777777" w:rsidR="0063124E" w:rsidRPr="00F65403" w:rsidRDefault="0063124E" w:rsidP="00CF77CC">
            <w:pPr>
              <w:tabs>
                <w:tab w:val="decimal" w:pos="1020"/>
              </w:tabs>
              <w:spacing w:after="0" w:line="240" w:lineRule="auto"/>
              <w:rPr>
                <w:rFonts w:eastAsia="Times New Roman" w:cs="Arial"/>
                <w:color w:val="000000"/>
                <w:sz w:val="20"/>
                <w:szCs w:val="20"/>
                <w:lang w:eastAsia="en-AU"/>
              </w:rPr>
            </w:pPr>
          </w:p>
        </w:tc>
        <w:tc>
          <w:tcPr>
            <w:tcW w:w="737" w:type="pct"/>
            <w:tcBorders>
              <w:top w:val="nil"/>
              <w:left w:val="nil"/>
              <w:bottom w:val="nil"/>
              <w:right w:val="nil"/>
            </w:tcBorders>
            <w:noWrap/>
            <w:vAlign w:val="bottom"/>
          </w:tcPr>
          <w:p w14:paraId="1EC4E02E" w14:textId="77777777" w:rsidR="0063124E" w:rsidRPr="00F65403" w:rsidRDefault="0063124E" w:rsidP="00CF77CC">
            <w:pPr>
              <w:tabs>
                <w:tab w:val="decimal" w:pos="1020"/>
              </w:tabs>
              <w:spacing w:after="0" w:line="240" w:lineRule="auto"/>
              <w:rPr>
                <w:rFonts w:eastAsia="Times New Roman" w:cs="Arial"/>
                <w:color w:val="000000"/>
                <w:sz w:val="20"/>
                <w:szCs w:val="20"/>
                <w:lang w:eastAsia="en-AU"/>
              </w:rPr>
            </w:pPr>
          </w:p>
        </w:tc>
      </w:tr>
      <w:tr w:rsidR="00BB3113" w:rsidRPr="0073009A" w14:paraId="7707DDB4" w14:textId="77777777" w:rsidTr="413EB596">
        <w:trPr>
          <w:trHeight w:val="300"/>
        </w:trPr>
        <w:tc>
          <w:tcPr>
            <w:tcW w:w="3525" w:type="pct"/>
            <w:tcBorders>
              <w:top w:val="nil"/>
              <w:left w:val="nil"/>
              <w:bottom w:val="nil"/>
              <w:right w:val="nil"/>
            </w:tcBorders>
            <w:noWrap/>
            <w:vAlign w:val="bottom"/>
            <w:hideMark/>
          </w:tcPr>
          <w:p w14:paraId="159906A2" w14:textId="04C92985" w:rsidR="00BB3113" w:rsidRPr="00F65403" w:rsidRDefault="0092238B" w:rsidP="00CF77CC">
            <w:pPr>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Accruals</w:t>
            </w:r>
            <w:r w:rsidR="00BB3113" w:rsidRPr="413EB596">
              <w:rPr>
                <w:rFonts w:eastAsia="Times New Roman" w:cs="Arial"/>
                <w:color w:val="000000" w:themeColor="text1"/>
                <w:sz w:val="20"/>
                <w:szCs w:val="20"/>
                <w:lang w:eastAsia="en-AU"/>
              </w:rPr>
              <w:t> </w:t>
            </w:r>
          </w:p>
        </w:tc>
        <w:tc>
          <w:tcPr>
            <w:tcW w:w="738" w:type="pct"/>
            <w:tcBorders>
              <w:top w:val="nil"/>
              <w:left w:val="nil"/>
              <w:right w:val="nil"/>
            </w:tcBorders>
            <w:noWrap/>
            <w:vAlign w:val="bottom"/>
            <w:hideMark/>
          </w:tcPr>
          <w:p w14:paraId="2AA03152" w14:textId="4B73A09A" w:rsidR="00BB3113" w:rsidRPr="00F65403" w:rsidRDefault="00477A0F" w:rsidP="00CF77CC">
            <w:pPr>
              <w:tabs>
                <w:tab w:val="decimal" w:pos="1020"/>
              </w:tabs>
              <w:spacing w:after="0" w:line="240" w:lineRule="auto"/>
              <w:rPr>
                <w:rFonts w:eastAsia="Times New Roman" w:cs="Arial"/>
                <w:color w:val="000000"/>
                <w:sz w:val="20"/>
                <w:szCs w:val="20"/>
                <w:lang w:eastAsia="en-AU"/>
              </w:rPr>
            </w:pPr>
            <w:r>
              <w:rPr>
                <w:rFonts w:eastAsia="Times New Roman" w:cs="Arial"/>
                <w:color w:val="000000" w:themeColor="text1"/>
                <w:sz w:val="20"/>
                <w:szCs w:val="20"/>
                <w:lang w:eastAsia="en-AU"/>
              </w:rPr>
              <w:t>11</w:t>
            </w:r>
          </w:p>
        </w:tc>
        <w:tc>
          <w:tcPr>
            <w:tcW w:w="737" w:type="pct"/>
            <w:tcBorders>
              <w:top w:val="nil"/>
              <w:left w:val="nil"/>
              <w:right w:val="nil"/>
            </w:tcBorders>
            <w:noWrap/>
            <w:vAlign w:val="bottom"/>
            <w:hideMark/>
          </w:tcPr>
          <w:p w14:paraId="5E90E0AB" w14:textId="77777777" w:rsidR="00BB3113" w:rsidRPr="00F65403" w:rsidRDefault="00BB3113" w:rsidP="00CF77CC">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w:t>
            </w:r>
          </w:p>
        </w:tc>
      </w:tr>
      <w:tr w:rsidR="00BB3113" w:rsidRPr="0073009A" w14:paraId="1D75E1CE" w14:textId="77777777" w:rsidTr="413EB596">
        <w:trPr>
          <w:trHeight w:val="300"/>
        </w:trPr>
        <w:tc>
          <w:tcPr>
            <w:tcW w:w="3525" w:type="pct"/>
            <w:tcBorders>
              <w:top w:val="nil"/>
              <w:left w:val="nil"/>
              <w:bottom w:val="nil"/>
              <w:right w:val="nil"/>
            </w:tcBorders>
            <w:noWrap/>
            <w:vAlign w:val="bottom"/>
            <w:hideMark/>
          </w:tcPr>
          <w:p w14:paraId="1363814F" w14:textId="22BBCEF2" w:rsidR="00BB3113" w:rsidRPr="00F65403" w:rsidRDefault="00BB3113"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 xml:space="preserve">Total </w:t>
            </w:r>
          </w:p>
        </w:tc>
        <w:tc>
          <w:tcPr>
            <w:tcW w:w="738" w:type="pct"/>
            <w:tcBorders>
              <w:top w:val="single" w:sz="4" w:space="0" w:color="auto"/>
              <w:left w:val="nil"/>
              <w:bottom w:val="single" w:sz="4" w:space="0" w:color="auto"/>
              <w:right w:val="nil"/>
            </w:tcBorders>
            <w:noWrap/>
            <w:vAlign w:val="bottom"/>
            <w:hideMark/>
          </w:tcPr>
          <w:p w14:paraId="6B6468D2" w14:textId="2DE5210B" w:rsidR="00BB3113" w:rsidRPr="005568AC" w:rsidRDefault="00477A0F" w:rsidP="00CF77CC">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themeColor="text1"/>
                <w:sz w:val="20"/>
                <w:szCs w:val="20"/>
                <w:lang w:eastAsia="en-AU"/>
              </w:rPr>
              <w:t>11</w:t>
            </w:r>
          </w:p>
        </w:tc>
        <w:tc>
          <w:tcPr>
            <w:tcW w:w="737" w:type="pct"/>
            <w:tcBorders>
              <w:top w:val="single" w:sz="4" w:space="0" w:color="auto"/>
              <w:left w:val="nil"/>
              <w:bottom w:val="single" w:sz="4" w:space="0" w:color="auto"/>
              <w:right w:val="nil"/>
            </w:tcBorders>
            <w:noWrap/>
            <w:vAlign w:val="bottom"/>
            <w:hideMark/>
          </w:tcPr>
          <w:p w14:paraId="0616382E" w14:textId="77777777" w:rsidR="00BB3113" w:rsidRPr="005568AC" w:rsidRDefault="00BB3113" w:rsidP="00CF77CC">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r w:rsidR="0063124E" w:rsidRPr="0073009A" w14:paraId="6759DF82" w14:textId="77777777" w:rsidTr="00E326C0">
        <w:trPr>
          <w:trHeight w:val="300"/>
        </w:trPr>
        <w:tc>
          <w:tcPr>
            <w:tcW w:w="3525" w:type="pct"/>
            <w:tcBorders>
              <w:top w:val="nil"/>
              <w:left w:val="nil"/>
              <w:bottom w:val="nil"/>
              <w:right w:val="nil"/>
            </w:tcBorders>
            <w:noWrap/>
            <w:vAlign w:val="bottom"/>
          </w:tcPr>
          <w:p w14:paraId="66B0FDDF" w14:textId="77777777" w:rsidR="0063124E" w:rsidRPr="00F65403" w:rsidRDefault="0063124E" w:rsidP="413EB596">
            <w:pPr>
              <w:spacing w:after="0" w:line="240" w:lineRule="auto"/>
              <w:rPr>
                <w:rFonts w:eastAsia="Times New Roman" w:cs="Arial"/>
                <w:b/>
                <w:bCs/>
                <w:color w:val="000000"/>
                <w:sz w:val="20"/>
                <w:szCs w:val="20"/>
                <w:lang w:eastAsia="en-AU"/>
              </w:rPr>
            </w:pPr>
          </w:p>
        </w:tc>
        <w:tc>
          <w:tcPr>
            <w:tcW w:w="738" w:type="pct"/>
            <w:tcBorders>
              <w:top w:val="single" w:sz="4" w:space="0" w:color="auto"/>
              <w:left w:val="nil"/>
              <w:right w:val="nil"/>
            </w:tcBorders>
            <w:noWrap/>
            <w:vAlign w:val="bottom"/>
          </w:tcPr>
          <w:p w14:paraId="2F084FCB" w14:textId="77777777" w:rsidR="0063124E" w:rsidRDefault="0063124E" w:rsidP="00CF77CC">
            <w:pPr>
              <w:tabs>
                <w:tab w:val="decimal" w:pos="1020"/>
              </w:tabs>
              <w:spacing w:after="0" w:line="240" w:lineRule="auto"/>
              <w:rPr>
                <w:rFonts w:eastAsia="Times New Roman" w:cs="Arial"/>
                <w:b/>
                <w:bCs/>
                <w:color w:val="000000"/>
                <w:sz w:val="20"/>
                <w:szCs w:val="20"/>
                <w:lang w:eastAsia="en-AU"/>
              </w:rPr>
            </w:pPr>
          </w:p>
        </w:tc>
        <w:tc>
          <w:tcPr>
            <w:tcW w:w="737" w:type="pct"/>
            <w:tcBorders>
              <w:top w:val="single" w:sz="4" w:space="0" w:color="auto"/>
              <w:left w:val="nil"/>
              <w:right w:val="nil"/>
            </w:tcBorders>
            <w:noWrap/>
            <w:vAlign w:val="bottom"/>
          </w:tcPr>
          <w:p w14:paraId="6CE9FB48" w14:textId="77777777" w:rsidR="0063124E" w:rsidRPr="005568AC" w:rsidRDefault="0063124E" w:rsidP="00CF77CC">
            <w:pPr>
              <w:tabs>
                <w:tab w:val="decimal" w:pos="1020"/>
              </w:tabs>
              <w:spacing w:after="0" w:line="240" w:lineRule="auto"/>
              <w:rPr>
                <w:rFonts w:eastAsia="Times New Roman" w:cs="Arial"/>
                <w:b/>
                <w:bCs/>
                <w:color w:val="000000"/>
                <w:sz w:val="20"/>
                <w:szCs w:val="20"/>
                <w:lang w:eastAsia="en-AU"/>
              </w:rPr>
            </w:pPr>
          </w:p>
        </w:tc>
      </w:tr>
      <w:tr w:rsidR="0063124E" w:rsidRPr="0073009A" w14:paraId="457908A7" w14:textId="77777777" w:rsidTr="00E326C0">
        <w:trPr>
          <w:trHeight w:val="300"/>
        </w:trPr>
        <w:tc>
          <w:tcPr>
            <w:tcW w:w="3525" w:type="pct"/>
            <w:tcBorders>
              <w:top w:val="nil"/>
              <w:left w:val="nil"/>
              <w:bottom w:val="nil"/>
              <w:right w:val="nil"/>
            </w:tcBorders>
            <w:noWrap/>
            <w:vAlign w:val="bottom"/>
          </w:tcPr>
          <w:p w14:paraId="7DE05CDC" w14:textId="7D908F27" w:rsidR="0063124E" w:rsidRPr="00F65403" w:rsidRDefault="0063124E" w:rsidP="413EB596">
            <w:pPr>
              <w:spacing w:after="0" w:line="240" w:lineRule="auto"/>
              <w:rPr>
                <w:rFonts w:eastAsia="Times New Roman" w:cs="Arial"/>
                <w:b/>
                <w:bCs/>
                <w:color w:val="000000"/>
                <w:sz w:val="20"/>
                <w:szCs w:val="20"/>
                <w:lang w:eastAsia="en-AU"/>
              </w:rPr>
            </w:pPr>
            <w:r w:rsidRPr="413EB596">
              <w:rPr>
                <w:rFonts w:eastAsia="Times New Roman" w:cs="Arial"/>
                <w:b/>
                <w:bCs/>
                <w:i/>
                <w:iCs/>
                <w:color w:val="000000" w:themeColor="text1"/>
                <w:sz w:val="20"/>
                <w:szCs w:val="20"/>
                <w:lang w:eastAsia="en-AU"/>
              </w:rPr>
              <w:t>Deferred tax liabilities</w:t>
            </w:r>
          </w:p>
        </w:tc>
        <w:tc>
          <w:tcPr>
            <w:tcW w:w="738" w:type="pct"/>
            <w:tcBorders>
              <w:left w:val="nil"/>
              <w:right w:val="nil"/>
            </w:tcBorders>
            <w:noWrap/>
            <w:vAlign w:val="bottom"/>
          </w:tcPr>
          <w:p w14:paraId="23574D93" w14:textId="77777777" w:rsidR="0063124E" w:rsidRDefault="0063124E" w:rsidP="00CF77CC">
            <w:pPr>
              <w:tabs>
                <w:tab w:val="decimal" w:pos="1020"/>
              </w:tabs>
              <w:spacing w:after="0" w:line="240" w:lineRule="auto"/>
              <w:rPr>
                <w:rFonts w:eastAsia="Times New Roman" w:cs="Arial"/>
                <w:b/>
                <w:bCs/>
                <w:color w:val="000000"/>
                <w:sz w:val="20"/>
                <w:szCs w:val="20"/>
                <w:lang w:eastAsia="en-AU"/>
              </w:rPr>
            </w:pPr>
          </w:p>
        </w:tc>
        <w:tc>
          <w:tcPr>
            <w:tcW w:w="737" w:type="pct"/>
            <w:tcBorders>
              <w:left w:val="nil"/>
              <w:right w:val="nil"/>
            </w:tcBorders>
            <w:noWrap/>
            <w:vAlign w:val="bottom"/>
          </w:tcPr>
          <w:p w14:paraId="6747B85F" w14:textId="77777777" w:rsidR="0063124E" w:rsidRPr="005568AC" w:rsidRDefault="0063124E" w:rsidP="00CF77CC">
            <w:pPr>
              <w:tabs>
                <w:tab w:val="decimal" w:pos="1020"/>
              </w:tabs>
              <w:spacing w:after="0" w:line="240" w:lineRule="auto"/>
              <w:rPr>
                <w:rFonts w:eastAsia="Times New Roman" w:cs="Arial"/>
                <w:b/>
                <w:bCs/>
                <w:color w:val="000000"/>
                <w:sz w:val="20"/>
                <w:szCs w:val="20"/>
                <w:lang w:eastAsia="en-AU"/>
              </w:rPr>
            </w:pPr>
          </w:p>
        </w:tc>
      </w:tr>
      <w:tr w:rsidR="0063124E" w:rsidRPr="0073009A" w14:paraId="360B595D" w14:textId="77777777" w:rsidTr="00E326C0">
        <w:trPr>
          <w:trHeight w:val="300"/>
        </w:trPr>
        <w:tc>
          <w:tcPr>
            <w:tcW w:w="3525" w:type="pct"/>
            <w:tcBorders>
              <w:top w:val="nil"/>
              <w:left w:val="nil"/>
              <w:bottom w:val="nil"/>
              <w:right w:val="nil"/>
            </w:tcBorders>
            <w:noWrap/>
            <w:vAlign w:val="bottom"/>
          </w:tcPr>
          <w:p w14:paraId="1CBF525C" w14:textId="16367141" w:rsidR="0063124E" w:rsidRPr="00F65403" w:rsidRDefault="004E0C26" w:rsidP="413EB596">
            <w:pPr>
              <w:spacing w:after="0" w:line="240" w:lineRule="auto"/>
              <w:rPr>
                <w:rFonts w:eastAsia="Times New Roman" w:cs="Arial"/>
                <w:b/>
                <w:bCs/>
                <w:color w:val="000000"/>
                <w:sz w:val="20"/>
                <w:szCs w:val="20"/>
                <w:lang w:eastAsia="en-AU"/>
              </w:rPr>
            </w:pPr>
            <w:r w:rsidRPr="413EB596">
              <w:rPr>
                <w:rFonts w:eastAsia="Times New Roman" w:cs="Arial"/>
                <w:color w:val="000000" w:themeColor="text1"/>
                <w:sz w:val="20"/>
                <w:szCs w:val="20"/>
                <w:lang w:eastAsia="en-AU"/>
              </w:rPr>
              <w:t>Other financial assets</w:t>
            </w:r>
          </w:p>
        </w:tc>
        <w:tc>
          <w:tcPr>
            <w:tcW w:w="738" w:type="pct"/>
            <w:tcBorders>
              <w:left w:val="nil"/>
              <w:right w:val="nil"/>
            </w:tcBorders>
            <w:noWrap/>
            <w:vAlign w:val="bottom"/>
          </w:tcPr>
          <w:p w14:paraId="72C74F49" w14:textId="60799FE9" w:rsidR="0063124E" w:rsidRPr="00E326C0" w:rsidRDefault="00594CE7" w:rsidP="0063124E">
            <w:pPr>
              <w:tabs>
                <w:tab w:val="decimal" w:pos="1020"/>
              </w:tabs>
              <w:spacing w:after="0" w:line="240" w:lineRule="auto"/>
              <w:rPr>
                <w:rFonts w:eastAsia="Times New Roman" w:cs="Arial"/>
                <w:color w:val="000000"/>
                <w:sz w:val="20"/>
                <w:szCs w:val="20"/>
                <w:lang w:eastAsia="en-AU"/>
              </w:rPr>
            </w:pPr>
            <w:r w:rsidRPr="413EB596">
              <w:rPr>
                <w:rFonts w:eastAsia="Times New Roman" w:cs="Arial"/>
                <w:color w:val="000000" w:themeColor="text1"/>
                <w:sz w:val="20"/>
                <w:szCs w:val="20"/>
                <w:lang w:eastAsia="en-AU"/>
              </w:rPr>
              <w:t>(21,667)</w:t>
            </w:r>
          </w:p>
        </w:tc>
        <w:tc>
          <w:tcPr>
            <w:tcW w:w="737" w:type="pct"/>
            <w:tcBorders>
              <w:left w:val="nil"/>
              <w:right w:val="nil"/>
            </w:tcBorders>
            <w:noWrap/>
            <w:vAlign w:val="bottom"/>
          </w:tcPr>
          <w:p w14:paraId="6339A8BD" w14:textId="7F49FCC9" w:rsidR="0063124E" w:rsidRPr="005568AC" w:rsidRDefault="00594CE7" w:rsidP="0063124E">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r w:rsidR="0063124E" w:rsidRPr="0073009A" w14:paraId="1B20D5E1" w14:textId="77777777" w:rsidTr="413EB596">
        <w:trPr>
          <w:trHeight w:val="300"/>
        </w:trPr>
        <w:tc>
          <w:tcPr>
            <w:tcW w:w="3525" w:type="pct"/>
            <w:tcBorders>
              <w:top w:val="nil"/>
              <w:left w:val="nil"/>
              <w:bottom w:val="nil"/>
              <w:right w:val="nil"/>
            </w:tcBorders>
            <w:noWrap/>
            <w:vAlign w:val="bottom"/>
          </w:tcPr>
          <w:p w14:paraId="2EF4AD1A" w14:textId="79FDA8F7" w:rsidR="0063124E" w:rsidRPr="00F65403" w:rsidRDefault="00594CE7"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Total</w:t>
            </w:r>
          </w:p>
        </w:tc>
        <w:tc>
          <w:tcPr>
            <w:tcW w:w="738" w:type="pct"/>
            <w:tcBorders>
              <w:top w:val="single" w:sz="4" w:space="0" w:color="auto"/>
              <w:left w:val="nil"/>
              <w:bottom w:val="single" w:sz="4" w:space="0" w:color="auto"/>
              <w:right w:val="nil"/>
            </w:tcBorders>
            <w:noWrap/>
            <w:vAlign w:val="bottom"/>
          </w:tcPr>
          <w:p w14:paraId="7BA19A9B" w14:textId="5A1E9FD5" w:rsidR="0063124E" w:rsidRDefault="00594CE7" w:rsidP="0063124E">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(21,667)</w:t>
            </w:r>
          </w:p>
        </w:tc>
        <w:tc>
          <w:tcPr>
            <w:tcW w:w="737" w:type="pct"/>
            <w:tcBorders>
              <w:top w:val="single" w:sz="4" w:space="0" w:color="auto"/>
              <w:left w:val="nil"/>
              <w:bottom w:val="single" w:sz="4" w:space="0" w:color="auto"/>
              <w:right w:val="nil"/>
            </w:tcBorders>
            <w:noWrap/>
            <w:vAlign w:val="bottom"/>
          </w:tcPr>
          <w:p w14:paraId="01B51630" w14:textId="7DD136B4" w:rsidR="0063124E" w:rsidRPr="005568AC" w:rsidRDefault="00994DE2" w:rsidP="0063124E">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3502FA" w:rsidRPr="0073009A" w14:paraId="62180F04" w14:textId="77777777" w:rsidTr="00E326C0">
        <w:trPr>
          <w:trHeight w:val="300"/>
        </w:trPr>
        <w:tc>
          <w:tcPr>
            <w:tcW w:w="3525" w:type="pct"/>
            <w:tcBorders>
              <w:top w:val="nil"/>
              <w:left w:val="nil"/>
              <w:bottom w:val="nil"/>
              <w:right w:val="nil"/>
            </w:tcBorders>
            <w:noWrap/>
            <w:vAlign w:val="bottom"/>
          </w:tcPr>
          <w:p w14:paraId="0961078F" w14:textId="4EEFC8F9" w:rsidR="003502FA" w:rsidRDefault="00994DE2" w:rsidP="413EB59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Set</w:t>
            </w:r>
            <w:r w:rsidR="00455029">
              <w:rPr>
                <w:rFonts w:eastAsia="Times New Roman" w:cs="Arial"/>
                <w:b/>
                <w:bCs/>
                <w:color w:val="000000"/>
                <w:sz w:val="20"/>
                <w:szCs w:val="20"/>
                <w:lang w:eastAsia="en-AU"/>
              </w:rPr>
              <w:t>-</w:t>
            </w:r>
            <w:r>
              <w:rPr>
                <w:rFonts w:eastAsia="Times New Roman" w:cs="Arial"/>
                <w:b/>
                <w:bCs/>
                <w:color w:val="000000"/>
                <w:sz w:val="20"/>
                <w:szCs w:val="20"/>
                <w:lang w:eastAsia="en-AU"/>
              </w:rPr>
              <w:t>off of deferred tax assets</w:t>
            </w:r>
          </w:p>
        </w:tc>
        <w:tc>
          <w:tcPr>
            <w:tcW w:w="738" w:type="pct"/>
            <w:tcBorders>
              <w:top w:val="single" w:sz="4" w:space="0" w:color="auto"/>
              <w:left w:val="nil"/>
              <w:bottom w:val="single" w:sz="4" w:space="0" w:color="auto"/>
              <w:right w:val="nil"/>
            </w:tcBorders>
            <w:noWrap/>
            <w:vAlign w:val="bottom"/>
          </w:tcPr>
          <w:p w14:paraId="6A6BACB9" w14:textId="41EF407F" w:rsidR="003502FA" w:rsidRDefault="00994DE2" w:rsidP="0063124E">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11</w:t>
            </w:r>
          </w:p>
        </w:tc>
        <w:tc>
          <w:tcPr>
            <w:tcW w:w="737" w:type="pct"/>
            <w:tcBorders>
              <w:top w:val="single" w:sz="4" w:space="0" w:color="auto"/>
              <w:left w:val="nil"/>
              <w:bottom w:val="single" w:sz="4" w:space="0" w:color="auto"/>
              <w:right w:val="nil"/>
            </w:tcBorders>
            <w:noWrap/>
            <w:vAlign w:val="bottom"/>
          </w:tcPr>
          <w:p w14:paraId="3FCE22C1" w14:textId="47664CA9" w:rsidR="003502FA" w:rsidRPr="005568AC" w:rsidRDefault="00994DE2" w:rsidP="0063124E">
            <w:pPr>
              <w:tabs>
                <w:tab w:val="decimal" w:pos="1020"/>
              </w:tabs>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3502FA" w:rsidRPr="0073009A" w14:paraId="69636FA8" w14:textId="77777777" w:rsidTr="00E326C0">
        <w:trPr>
          <w:trHeight w:val="300"/>
        </w:trPr>
        <w:tc>
          <w:tcPr>
            <w:tcW w:w="3525" w:type="pct"/>
            <w:tcBorders>
              <w:top w:val="nil"/>
              <w:left w:val="nil"/>
              <w:bottom w:val="nil"/>
              <w:right w:val="nil"/>
            </w:tcBorders>
            <w:noWrap/>
            <w:vAlign w:val="bottom"/>
          </w:tcPr>
          <w:p w14:paraId="5005028A" w14:textId="2A61FDCA" w:rsidR="003502FA" w:rsidRDefault="003502FA" w:rsidP="413EB596">
            <w:pPr>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Net deferred tax liabilities</w:t>
            </w:r>
          </w:p>
        </w:tc>
        <w:tc>
          <w:tcPr>
            <w:tcW w:w="738" w:type="pct"/>
            <w:tcBorders>
              <w:top w:val="single" w:sz="4" w:space="0" w:color="auto"/>
              <w:left w:val="nil"/>
              <w:bottom w:val="double" w:sz="4" w:space="0" w:color="auto"/>
              <w:right w:val="nil"/>
            </w:tcBorders>
            <w:noWrap/>
            <w:vAlign w:val="bottom"/>
          </w:tcPr>
          <w:p w14:paraId="6B3F4C29" w14:textId="4630AE00" w:rsidR="003502FA" w:rsidRDefault="00606AC9" w:rsidP="0063124E">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(21,</w:t>
            </w:r>
            <w:r w:rsidR="00FC74F7" w:rsidRPr="413EB596">
              <w:rPr>
                <w:rFonts w:eastAsia="Times New Roman" w:cs="Arial"/>
                <w:b/>
                <w:bCs/>
                <w:color w:val="000000" w:themeColor="text1"/>
                <w:sz w:val="20"/>
                <w:szCs w:val="20"/>
                <w:lang w:eastAsia="en-AU"/>
              </w:rPr>
              <w:t>65</w:t>
            </w:r>
            <w:r w:rsidR="00FC74F7">
              <w:rPr>
                <w:rFonts w:eastAsia="Times New Roman" w:cs="Arial"/>
                <w:b/>
                <w:bCs/>
                <w:color w:val="000000" w:themeColor="text1"/>
                <w:sz w:val="20"/>
                <w:szCs w:val="20"/>
                <w:lang w:eastAsia="en-AU"/>
              </w:rPr>
              <w:t>8</w:t>
            </w:r>
            <w:r w:rsidRPr="413EB596">
              <w:rPr>
                <w:rFonts w:eastAsia="Times New Roman" w:cs="Arial"/>
                <w:b/>
                <w:bCs/>
                <w:color w:val="000000" w:themeColor="text1"/>
                <w:sz w:val="20"/>
                <w:szCs w:val="20"/>
                <w:lang w:eastAsia="en-AU"/>
              </w:rPr>
              <w:t>)</w:t>
            </w:r>
          </w:p>
        </w:tc>
        <w:tc>
          <w:tcPr>
            <w:tcW w:w="737" w:type="pct"/>
            <w:tcBorders>
              <w:top w:val="single" w:sz="4" w:space="0" w:color="auto"/>
              <w:left w:val="nil"/>
              <w:bottom w:val="double" w:sz="4" w:space="0" w:color="auto"/>
              <w:right w:val="nil"/>
            </w:tcBorders>
            <w:noWrap/>
            <w:vAlign w:val="bottom"/>
          </w:tcPr>
          <w:p w14:paraId="7659AD8A" w14:textId="436C0682" w:rsidR="003502FA" w:rsidRPr="005568AC" w:rsidRDefault="003502FA" w:rsidP="0063124E">
            <w:pPr>
              <w:tabs>
                <w:tab w:val="decimal" w:pos="1020"/>
              </w:tabs>
              <w:spacing w:after="0" w:line="240" w:lineRule="auto"/>
              <w:rPr>
                <w:rFonts w:eastAsia="Times New Roman" w:cs="Arial"/>
                <w:b/>
                <w:bCs/>
                <w:color w:val="000000"/>
                <w:sz w:val="20"/>
                <w:szCs w:val="20"/>
                <w:lang w:eastAsia="en-AU"/>
              </w:rPr>
            </w:pPr>
            <w:r w:rsidRPr="413EB596">
              <w:rPr>
                <w:rFonts w:eastAsia="Times New Roman" w:cs="Arial"/>
                <w:b/>
                <w:bCs/>
                <w:color w:val="000000" w:themeColor="text1"/>
                <w:sz w:val="20"/>
                <w:szCs w:val="20"/>
                <w:lang w:eastAsia="en-AU"/>
              </w:rPr>
              <w:t>-</w:t>
            </w:r>
          </w:p>
        </w:tc>
      </w:tr>
      <w:tr w:rsidR="00A3162F" w14:paraId="64619E32" w14:textId="77777777" w:rsidTr="001513B5">
        <w:trPr>
          <w:trHeight w:val="300"/>
        </w:trPr>
        <w:tc>
          <w:tcPr>
            <w:tcW w:w="3525" w:type="pct"/>
            <w:tcBorders>
              <w:top w:val="nil"/>
              <w:left w:val="nil"/>
              <w:bottom w:val="nil"/>
              <w:right w:val="nil"/>
            </w:tcBorders>
            <w:noWrap/>
            <w:vAlign w:val="bottom"/>
          </w:tcPr>
          <w:p w14:paraId="0322576E" w14:textId="16662B79" w:rsidR="00A3162F" w:rsidRPr="00A3162F" w:rsidRDefault="00A3162F">
            <w:pPr>
              <w:spacing w:after="0" w:line="240" w:lineRule="auto"/>
              <w:rPr>
                <w:rFonts w:eastAsia="Times New Roman" w:cs="Arial"/>
                <w:b/>
                <w:bCs/>
                <w:color w:val="000000" w:themeColor="text1"/>
                <w:sz w:val="20"/>
                <w:szCs w:val="20"/>
                <w:lang w:eastAsia="en-AU"/>
              </w:rPr>
            </w:pPr>
          </w:p>
        </w:tc>
        <w:tc>
          <w:tcPr>
            <w:tcW w:w="738" w:type="pct"/>
            <w:tcBorders>
              <w:top w:val="single" w:sz="4" w:space="0" w:color="auto"/>
              <w:left w:val="nil"/>
              <w:right w:val="nil"/>
            </w:tcBorders>
            <w:noWrap/>
            <w:vAlign w:val="bottom"/>
          </w:tcPr>
          <w:p w14:paraId="5780DA9F" w14:textId="77777777" w:rsidR="00A3162F" w:rsidRPr="413EB596" w:rsidRDefault="00A3162F">
            <w:pPr>
              <w:tabs>
                <w:tab w:val="decimal" w:pos="1020"/>
              </w:tabs>
              <w:spacing w:after="0" w:line="240" w:lineRule="auto"/>
              <w:rPr>
                <w:rFonts w:eastAsia="Times New Roman" w:cs="Arial"/>
                <w:b/>
                <w:bCs/>
                <w:color w:val="000000" w:themeColor="text1"/>
                <w:sz w:val="20"/>
                <w:szCs w:val="20"/>
                <w:lang w:eastAsia="en-AU"/>
              </w:rPr>
            </w:pPr>
          </w:p>
        </w:tc>
        <w:tc>
          <w:tcPr>
            <w:tcW w:w="737" w:type="pct"/>
            <w:tcBorders>
              <w:top w:val="single" w:sz="4" w:space="0" w:color="auto"/>
              <w:left w:val="nil"/>
              <w:right w:val="nil"/>
            </w:tcBorders>
            <w:noWrap/>
            <w:vAlign w:val="bottom"/>
          </w:tcPr>
          <w:p w14:paraId="054FE06E" w14:textId="77777777" w:rsidR="00A3162F" w:rsidRDefault="00A3162F">
            <w:pPr>
              <w:tabs>
                <w:tab w:val="decimal" w:pos="1020"/>
              </w:tabs>
              <w:spacing w:after="0" w:line="240" w:lineRule="auto"/>
              <w:rPr>
                <w:rFonts w:eastAsia="Times New Roman" w:cs="Arial"/>
                <w:b/>
                <w:bCs/>
                <w:color w:val="000000" w:themeColor="text1"/>
                <w:sz w:val="20"/>
                <w:szCs w:val="20"/>
                <w:lang w:eastAsia="en-AU"/>
              </w:rPr>
            </w:pPr>
          </w:p>
        </w:tc>
      </w:tr>
      <w:tr w:rsidR="00A3162F" w:rsidRPr="00A50760" w14:paraId="0F0F592D" w14:textId="77777777" w:rsidTr="001513B5">
        <w:trPr>
          <w:trHeight w:val="300"/>
        </w:trPr>
        <w:tc>
          <w:tcPr>
            <w:tcW w:w="3525" w:type="pct"/>
            <w:tcBorders>
              <w:top w:val="nil"/>
              <w:left w:val="nil"/>
              <w:bottom w:val="nil"/>
              <w:right w:val="nil"/>
            </w:tcBorders>
            <w:noWrap/>
            <w:vAlign w:val="bottom"/>
          </w:tcPr>
          <w:p w14:paraId="44992795" w14:textId="689E7A93" w:rsidR="00A3162F" w:rsidRPr="001513B5" w:rsidRDefault="00A3162F">
            <w:pPr>
              <w:spacing w:after="0" w:line="240" w:lineRule="auto"/>
              <w:rPr>
                <w:rFonts w:eastAsia="Times New Roman" w:cs="Arial"/>
                <w:b/>
                <w:bCs/>
                <w:i/>
                <w:iCs/>
                <w:color w:val="000000" w:themeColor="text1"/>
                <w:sz w:val="20"/>
                <w:szCs w:val="20"/>
                <w:lang w:eastAsia="en-AU"/>
              </w:rPr>
            </w:pPr>
            <w:r w:rsidRPr="001513B5">
              <w:rPr>
                <w:rFonts w:eastAsia="Times New Roman" w:cs="Arial"/>
                <w:b/>
                <w:bCs/>
                <w:i/>
                <w:iCs/>
                <w:color w:val="000000" w:themeColor="text1"/>
                <w:sz w:val="20"/>
                <w:szCs w:val="20"/>
                <w:lang w:eastAsia="en-AU"/>
              </w:rPr>
              <w:t>Movement in deferred taxes</w:t>
            </w:r>
          </w:p>
        </w:tc>
        <w:tc>
          <w:tcPr>
            <w:tcW w:w="738" w:type="pct"/>
            <w:tcBorders>
              <w:left w:val="nil"/>
              <w:right w:val="nil"/>
            </w:tcBorders>
            <w:noWrap/>
            <w:vAlign w:val="bottom"/>
          </w:tcPr>
          <w:p w14:paraId="42905EBD"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p>
        </w:tc>
        <w:tc>
          <w:tcPr>
            <w:tcW w:w="737" w:type="pct"/>
            <w:tcBorders>
              <w:left w:val="nil"/>
              <w:right w:val="nil"/>
            </w:tcBorders>
            <w:noWrap/>
            <w:vAlign w:val="bottom"/>
          </w:tcPr>
          <w:p w14:paraId="378F49CF"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p>
        </w:tc>
      </w:tr>
      <w:tr w:rsidR="00A3162F" w:rsidRPr="00A50760" w14:paraId="147634D5" w14:textId="77777777" w:rsidTr="001513B5">
        <w:trPr>
          <w:trHeight w:val="300"/>
        </w:trPr>
        <w:tc>
          <w:tcPr>
            <w:tcW w:w="3525" w:type="pct"/>
            <w:tcBorders>
              <w:top w:val="nil"/>
              <w:left w:val="nil"/>
              <w:bottom w:val="nil"/>
              <w:right w:val="nil"/>
            </w:tcBorders>
            <w:noWrap/>
            <w:vAlign w:val="bottom"/>
          </w:tcPr>
          <w:p w14:paraId="0FFED3E3" w14:textId="77777777" w:rsidR="00A3162F" w:rsidRPr="001513B5" w:rsidRDefault="00A3162F">
            <w:pPr>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Opening net deferred tax assets/(liabilities)</w:t>
            </w:r>
          </w:p>
        </w:tc>
        <w:tc>
          <w:tcPr>
            <w:tcW w:w="738" w:type="pct"/>
            <w:tcBorders>
              <w:left w:val="nil"/>
              <w:right w:val="nil"/>
            </w:tcBorders>
            <w:noWrap/>
            <w:vAlign w:val="bottom"/>
          </w:tcPr>
          <w:p w14:paraId="3E135846"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r w:rsidRPr="00A3162F">
              <w:rPr>
                <w:rFonts w:eastAsia="Times New Roman" w:cs="Arial"/>
                <w:b/>
                <w:bCs/>
                <w:color w:val="000000" w:themeColor="text1"/>
                <w:sz w:val="20"/>
                <w:szCs w:val="20"/>
                <w:lang w:eastAsia="en-AU"/>
              </w:rPr>
              <w:t>-</w:t>
            </w:r>
          </w:p>
        </w:tc>
        <w:tc>
          <w:tcPr>
            <w:tcW w:w="737" w:type="pct"/>
            <w:tcBorders>
              <w:left w:val="nil"/>
              <w:right w:val="nil"/>
            </w:tcBorders>
            <w:noWrap/>
            <w:vAlign w:val="bottom"/>
          </w:tcPr>
          <w:p w14:paraId="072E40BD"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r w:rsidRPr="00A3162F">
              <w:rPr>
                <w:rFonts w:eastAsia="Times New Roman" w:cs="Arial"/>
                <w:b/>
                <w:bCs/>
                <w:color w:val="000000" w:themeColor="text1"/>
                <w:sz w:val="20"/>
                <w:szCs w:val="20"/>
                <w:lang w:eastAsia="en-AU"/>
              </w:rPr>
              <w:t>-</w:t>
            </w:r>
          </w:p>
        </w:tc>
      </w:tr>
      <w:tr w:rsidR="00A3162F" w:rsidRPr="00A50760" w14:paraId="0DD9500A" w14:textId="77777777" w:rsidTr="001513B5">
        <w:trPr>
          <w:trHeight w:val="300"/>
        </w:trPr>
        <w:tc>
          <w:tcPr>
            <w:tcW w:w="3525" w:type="pct"/>
            <w:tcBorders>
              <w:top w:val="nil"/>
              <w:left w:val="nil"/>
              <w:bottom w:val="nil"/>
              <w:right w:val="nil"/>
            </w:tcBorders>
            <w:noWrap/>
            <w:vAlign w:val="bottom"/>
          </w:tcPr>
          <w:p w14:paraId="15D57C44" w14:textId="77777777" w:rsidR="00A3162F" w:rsidRPr="001513B5" w:rsidRDefault="00A3162F">
            <w:pPr>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Charged to the statement of profit or loss</w:t>
            </w:r>
          </w:p>
        </w:tc>
        <w:tc>
          <w:tcPr>
            <w:tcW w:w="738" w:type="pct"/>
            <w:tcBorders>
              <w:left w:val="nil"/>
              <w:right w:val="nil"/>
            </w:tcBorders>
            <w:noWrap/>
            <w:vAlign w:val="bottom"/>
          </w:tcPr>
          <w:p w14:paraId="3A0CE89D" w14:textId="79510A9F" w:rsidR="00A3162F" w:rsidRPr="001513B5" w:rsidRDefault="00E01143">
            <w:pPr>
              <w:tabs>
                <w:tab w:val="decimal" w:pos="1020"/>
              </w:tabs>
              <w:spacing w:after="0" w:line="240" w:lineRule="auto"/>
              <w:rPr>
                <w:rFonts w:eastAsia="Times New Roman" w:cs="Arial"/>
                <w:color w:val="000000" w:themeColor="text1"/>
                <w:sz w:val="20"/>
                <w:szCs w:val="20"/>
                <w:lang w:eastAsia="en-AU"/>
              </w:rPr>
            </w:pPr>
            <w:r>
              <w:rPr>
                <w:rFonts w:eastAsia="Times New Roman" w:cs="Arial"/>
                <w:color w:val="000000" w:themeColor="text1"/>
                <w:sz w:val="20"/>
                <w:szCs w:val="20"/>
                <w:lang w:eastAsia="en-AU"/>
              </w:rPr>
              <w:t>(</w:t>
            </w:r>
            <w:r w:rsidR="00A3162F" w:rsidRPr="00A3162F">
              <w:rPr>
                <w:rFonts w:eastAsia="Times New Roman" w:cs="Arial"/>
                <w:color w:val="000000" w:themeColor="text1"/>
                <w:sz w:val="20"/>
                <w:szCs w:val="20"/>
                <w:lang w:eastAsia="en-AU"/>
              </w:rPr>
              <w:t>16,449</w:t>
            </w:r>
            <w:r>
              <w:rPr>
                <w:rFonts w:eastAsia="Times New Roman" w:cs="Arial"/>
                <w:color w:val="000000" w:themeColor="text1"/>
                <w:sz w:val="20"/>
                <w:szCs w:val="20"/>
                <w:lang w:eastAsia="en-AU"/>
              </w:rPr>
              <w:t>)</w:t>
            </w:r>
          </w:p>
        </w:tc>
        <w:tc>
          <w:tcPr>
            <w:tcW w:w="737" w:type="pct"/>
            <w:tcBorders>
              <w:left w:val="nil"/>
              <w:right w:val="nil"/>
            </w:tcBorders>
            <w:noWrap/>
            <w:vAlign w:val="bottom"/>
          </w:tcPr>
          <w:p w14:paraId="1C449372"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r w:rsidRPr="00A3162F">
              <w:rPr>
                <w:rFonts w:eastAsia="Times New Roman" w:cs="Arial"/>
                <w:b/>
                <w:bCs/>
                <w:color w:val="000000" w:themeColor="text1"/>
                <w:sz w:val="20"/>
                <w:szCs w:val="20"/>
                <w:lang w:eastAsia="en-AU"/>
              </w:rPr>
              <w:t>-</w:t>
            </w:r>
          </w:p>
        </w:tc>
      </w:tr>
      <w:tr w:rsidR="00A3162F" w:rsidRPr="00A50760" w14:paraId="3AF20D23" w14:textId="77777777" w:rsidTr="00AA3AC5">
        <w:trPr>
          <w:trHeight w:val="300"/>
        </w:trPr>
        <w:tc>
          <w:tcPr>
            <w:tcW w:w="3525" w:type="pct"/>
            <w:tcBorders>
              <w:top w:val="nil"/>
              <w:left w:val="nil"/>
              <w:bottom w:val="nil"/>
              <w:right w:val="nil"/>
            </w:tcBorders>
            <w:noWrap/>
            <w:vAlign w:val="bottom"/>
          </w:tcPr>
          <w:p w14:paraId="64E03804" w14:textId="643F49C7" w:rsidR="00A3162F" w:rsidRPr="001513B5" w:rsidRDefault="00A3162F">
            <w:pPr>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Transferred to head</w:t>
            </w:r>
            <w:r w:rsidR="00994DE2">
              <w:rPr>
                <w:rFonts w:eastAsia="Times New Roman" w:cs="Arial"/>
                <w:color w:val="000000" w:themeColor="text1"/>
                <w:sz w:val="20"/>
                <w:szCs w:val="20"/>
                <w:lang w:eastAsia="en-AU"/>
              </w:rPr>
              <w:t xml:space="preserve"> company</w:t>
            </w:r>
            <w:r w:rsidRPr="001513B5">
              <w:rPr>
                <w:rFonts w:eastAsia="Times New Roman" w:cs="Arial"/>
                <w:color w:val="000000" w:themeColor="text1"/>
                <w:sz w:val="20"/>
                <w:szCs w:val="20"/>
                <w:lang w:eastAsia="en-AU"/>
              </w:rPr>
              <w:t xml:space="preserve"> of tax consolidated group</w:t>
            </w:r>
          </w:p>
        </w:tc>
        <w:tc>
          <w:tcPr>
            <w:tcW w:w="738" w:type="pct"/>
            <w:tcBorders>
              <w:left w:val="nil"/>
              <w:bottom w:val="single" w:sz="4" w:space="0" w:color="auto"/>
              <w:right w:val="nil"/>
            </w:tcBorders>
            <w:noWrap/>
            <w:vAlign w:val="bottom"/>
          </w:tcPr>
          <w:p w14:paraId="08D1EDFD" w14:textId="05C26EBE" w:rsidR="00A3162F" w:rsidRPr="001513B5" w:rsidRDefault="00A3162F">
            <w:pPr>
              <w:tabs>
                <w:tab w:val="decimal" w:pos="1020"/>
              </w:tabs>
              <w:spacing w:after="0" w:line="240" w:lineRule="auto"/>
              <w:rPr>
                <w:rFonts w:eastAsia="Times New Roman" w:cs="Arial"/>
                <w:color w:val="000000" w:themeColor="text1"/>
                <w:sz w:val="20"/>
                <w:szCs w:val="20"/>
                <w:lang w:eastAsia="en-AU"/>
              </w:rPr>
            </w:pPr>
            <w:r w:rsidRPr="001513B5">
              <w:rPr>
                <w:rFonts w:eastAsia="Times New Roman" w:cs="Arial"/>
                <w:color w:val="000000" w:themeColor="text1"/>
                <w:sz w:val="20"/>
                <w:szCs w:val="20"/>
                <w:lang w:eastAsia="en-AU"/>
              </w:rPr>
              <w:t>(5</w:t>
            </w:r>
            <w:r w:rsidR="007A312B">
              <w:rPr>
                <w:rFonts w:eastAsia="Times New Roman" w:cs="Arial"/>
                <w:color w:val="000000" w:themeColor="text1"/>
                <w:sz w:val="20"/>
                <w:szCs w:val="20"/>
                <w:lang w:eastAsia="en-AU"/>
              </w:rPr>
              <w:t>,20</w:t>
            </w:r>
            <w:r w:rsidR="00B5615F">
              <w:rPr>
                <w:rFonts w:eastAsia="Times New Roman" w:cs="Arial"/>
                <w:color w:val="000000" w:themeColor="text1"/>
                <w:sz w:val="20"/>
                <w:szCs w:val="20"/>
                <w:lang w:eastAsia="en-AU"/>
              </w:rPr>
              <w:t>9</w:t>
            </w:r>
            <w:r w:rsidRPr="001513B5">
              <w:rPr>
                <w:rFonts w:eastAsia="Times New Roman" w:cs="Arial"/>
                <w:color w:val="000000" w:themeColor="text1"/>
                <w:sz w:val="20"/>
                <w:szCs w:val="20"/>
                <w:lang w:eastAsia="en-AU"/>
              </w:rPr>
              <w:t>)</w:t>
            </w:r>
          </w:p>
        </w:tc>
        <w:tc>
          <w:tcPr>
            <w:tcW w:w="737" w:type="pct"/>
            <w:tcBorders>
              <w:left w:val="nil"/>
              <w:bottom w:val="single" w:sz="4" w:space="0" w:color="auto"/>
              <w:right w:val="nil"/>
            </w:tcBorders>
            <w:noWrap/>
            <w:vAlign w:val="bottom"/>
          </w:tcPr>
          <w:p w14:paraId="78A3B209" w14:textId="77777777" w:rsidR="00A3162F" w:rsidRPr="00A3162F" w:rsidRDefault="00A3162F">
            <w:pPr>
              <w:tabs>
                <w:tab w:val="decimal" w:pos="1020"/>
              </w:tabs>
              <w:spacing w:after="0" w:line="240" w:lineRule="auto"/>
              <w:rPr>
                <w:rFonts w:eastAsia="Times New Roman" w:cs="Arial"/>
                <w:b/>
                <w:bCs/>
                <w:color w:val="000000" w:themeColor="text1"/>
                <w:sz w:val="20"/>
                <w:szCs w:val="20"/>
                <w:lang w:eastAsia="en-AU"/>
              </w:rPr>
            </w:pPr>
            <w:r w:rsidRPr="00A3162F">
              <w:rPr>
                <w:rFonts w:eastAsia="Times New Roman" w:cs="Arial"/>
                <w:b/>
                <w:bCs/>
                <w:color w:val="000000" w:themeColor="text1"/>
                <w:sz w:val="20"/>
                <w:szCs w:val="20"/>
                <w:lang w:eastAsia="en-AU"/>
              </w:rPr>
              <w:t>-</w:t>
            </w:r>
          </w:p>
        </w:tc>
      </w:tr>
      <w:tr w:rsidR="00A3162F" w14:paraId="5520C725" w14:textId="77777777" w:rsidTr="001513B5">
        <w:trPr>
          <w:trHeight w:val="300"/>
        </w:trPr>
        <w:tc>
          <w:tcPr>
            <w:tcW w:w="3525" w:type="pct"/>
            <w:tcBorders>
              <w:top w:val="nil"/>
              <w:left w:val="nil"/>
              <w:bottom w:val="nil"/>
              <w:right w:val="nil"/>
            </w:tcBorders>
            <w:noWrap/>
            <w:vAlign w:val="bottom"/>
          </w:tcPr>
          <w:p w14:paraId="174892BD" w14:textId="3D46DB9A" w:rsidR="00A3162F" w:rsidRPr="413EB596" w:rsidRDefault="00A3162F">
            <w:pPr>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Closing net deferred tax liabilities</w:t>
            </w:r>
          </w:p>
        </w:tc>
        <w:tc>
          <w:tcPr>
            <w:tcW w:w="738" w:type="pct"/>
            <w:tcBorders>
              <w:top w:val="single" w:sz="4" w:space="0" w:color="auto"/>
              <w:left w:val="nil"/>
              <w:bottom w:val="double" w:sz="4" w:space="0" w:color="auto"/>
              <w:right w:val="nil"/>
            </w:tcBorders>
            <w:noWrap/>
            <w:vAlign w:val="bottom"/>
          </w:tcPr>
          <w:p w14:paraId="56322377" w14:textId="6E472779" w:rsidR="00A3162F" w:rsidRPr="413EB596" w:rsidRDefault="00E01143">
            <w:pPr>
              <w:tabs>
                <w:tab w:val="decimal" w:pos="1020"/>
              </w:tabs>
              <w:spacing w:after="0" w:line="240" w:lineRule="auto"/>
              <w:rPr>
                <w:rFonts w:eastAsia="Times New Roman" w:cs="Arial"/>
                <w:b/>
                <w:bCs/>
                <w:color w:val="000000" w:themeColor="text1"/>
                <w:sz w:val="20"/>
                <w:szCs w:val="20"/>
                <w:lang w:eastAsia="en-AU"/>
              </w:rPr>
            </w:pPr>
            <w:r w:rsidRPr="413EB596">
              <w:rPr>
                <w:rFonts w:eastAsia="Times New Roman" w:cs="Arial"/>
                <w:b/>
                <w:bCs/>
                <w:color w:val="000000" w:themeColor="text1"/>
                <w:sz w:val="20"/>
                <w:szCs w:val="20"/>
                <w:lang w:eastAsia="en-AU"/>
              </w:rPr>
              <w:t>(21,65</w:t>
            </w:r>
            <w:r>
              <w:rPr>
                <w:rFonts w:eastAsia="Times New Roman" w:cs="Arial"/>
                <w:b/>
                <w:bCs/>
                <w:color w:val="000000" w:themeColor="text1"/>
                <w:sz w:val="20"/>
                <w:szCs w:val="20"/>
                <w:lang w:eastAsia="en-AU"/>
              </w:rPr>
              <w:t>8</w:t>
            </w:r>
            <w:r w:rsidRPr="413EB596">
              <w:rPr>
                <w:rFonts w:eastAsia="Times New Roman" w:cs="Arial"/>
                <w:b/>
                <w:bCs/>
                <w:color w:val="000000" w:themeColor="text1"/>
                <w:sz w:val="20"/>
                <w:szCs w:val="20"/>
                <w:lang w:eastAsia="en-AU"/>
              </w:rPr>
              <w:t>)</w:t>
            </w:r>
          </w:p>
        </w:tc>
        <w:tc>
          <w:tcPr>
            <w:tcW w:w="737" w:type="pct"/>
            <w:tcBorders>
              <w:top w:val="single" w:sz="4" w:space="0" w:color="auto"/>
              <w:left w:val="nil"/>
              <w:bottom w:val="double" w:sz="4" w:space="0" w:color="auto"/>
              <w:right w:val="nil"/>
            </w:tcBorders>
            <w:noWrap/>
            <w:vAlign w:val="bottom"/>
          </w:tcPr>
          <w:p w14:paraId="5C877F05" w14:textId="77777777" w:rsidR="00A3162F" w:rsidRDefault="00A3162F">
            <w:pPr>
              <w:tabs>
                <w:tab w:val="decimal" w:pos="1020"/>
              </w:tabs>
              <w:spacing w:after="0" w:line="240" w:lineRule="auto"/>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t>-</w:t>
            </w:r>
          </w:p>
        </w:tc>
      </w:tr>
    </w:tbl>
    <w:p w14:paraId="284E4B23" w14:textId="05EAA71E" w:rsidR="0005795C" w:rsidRPr="00BD3F4E" w:rsidRDefault="00120040" w:rsidP="413EB596">
      <w:pPr>
        <w:pStyle w:val="BodyText"/>
        <w:rPr>
          <w:rFonts w:eastAsiaTheme="majorEastAsia"/>
          <w:b/>
          <w:bCs/>
        </w:rPr>
      </w:pPr>
      <w:r>
        <w:br/>
      </w:r>
      <w:r w:rsidR="00094FF2">
        <w:t>All deferred tax balances have been charged to the profit or loss.</w:t>
      </w:r>
      <w:r>
        <w:br/>
      </w:r>
      <w:r>
        <w:br w:type="page"/>
      </w:r>
    </w:p>
    <w:p w14:paraId="5EA5347C" w14:textId="77777777" w:rsidR="0005795C" w:rsidRPr="007C0130" w:rsidRDefault="0005795C" w:rsidP="0005795C">
      <w:pPr>
        <w:pStyle w:val="Heading7"/>
      </w:pPr>
      <w:r w:rsidRPr="00F65403">
        <w:t xml:space="preserve">Commitments </w:t>
      </w:r>
    </w:p>
    <w:p w14:paraId="02DB70C9" w14:textId="6E71DE8C" w:rsidR="0005795C" w:rsidRPr="00F65403" w:rsidRDefault="0005795C" w:rsidP="0005795C">
      <w:pPr>
        <w:pStyle w:val="BodyText"/>
        <w:rPr>
          <w:lang w:val="en-AU"/>
        </w:rPr>
      </w:pPr>
      <w:r w:rsidRPr="413EB596">
        <w:rPr>
          <w:lang w:val="en-AU"/>
        </w:rPr>
        <w:t>As part of the Melbourne Renewable Energy Hub (MREH) transaction entered into by SEC Infrastructure Pty Ltd, a lease was contracted by the Company for the rights to operate the battery energy storage system (BESS). The total anticipated lease liability to be recognised once the plant is available for the Company’s use is $478 million. The estimated future lease payments for this lease contract are $28 million within one year, $196 million within two to five years and $927 million thereafter.</w:t>
      </w:r>
    </w:p>
    <w:p w14:paraId="37828C89" w14:textId="77777777" w:rsidR="0005795C" w:rsidRPr="00F65403" w:rsidRDefault="0005795C" w:rsidP="0005795C">
      <w:pPr>
        <w:pStyle w:val="BodyText"/>
        <w:rPr>
          <w:lang w:val="en-AU"/>
        </w:rPr>
      </w:pPr>
    </w:p>
    <w:p w14:paraId="2656427C" w14:textId="77777777" w:rsidR="0005795C" w:rsidRPr="00F65403" w:rsidRDefault="0005795C" w:rsidP="0005795C">
      <w:pPr>
        <w:pStyle w:val="Heading7"/>
      </w:pPr>
      <w:bookmarkStart w:id="666" w:name="_Ref207630665"/>
      <w:r w:rsidRPr="00F65403">
        <w:t>Subsequent events</w:t>
      </w:r>
      <w:bookmarkEnd w:id="666"/>
    </w:p>
    <w:p w14:paraId="564149F1" w14:textId="77777777" w:rsidR="0005795C" w:rsidRDefault="0005795C" w:rsidP="0005795C">
      <w:pPr>
        <w:pStyle w:val="BodyText"/>
        <w:rPr>
          <w:lang w:val="en-AU"/>
        </w:rPr>
      </w:pPr>
      <w:r w:rsidRPr="00F65403">
        <w:rPr>
          <w:lang w:val="en-AU"/>
        </w:rPr>
        <w:t xml:space="preserve">Other than the matters described below, no item, transaction or event of a material nature has arisen since 30 June 2025 that would significantly affect the operations of the </w:t>
      </w:r>
      <w:r>
        <w:rPr>
          <w:lang w:val="en-AU"/>
        </w:rPr>
        <w:t>Company</w:t>
      </w:r>
      <w:r w:rsidRPr="00F65403">
        <w:rPr>
          <w:lang w:val="en-AU"/>
        </w:rPr>
        <w:t xml:space="preserve">, the results of those operations, or the state of affairs of the </w:t>
      </w:r>
      <w:r>
        <w:rPr>
          <w:lang w:val="en-AU"/>
        </w:rPr>
        <w:t>Company</w:t>
      </w:r>
      <w:r w:rsidRPr="00F65403">
        <w:rPr>
          <w:lang w:val="en-AU"/>
        </w:rPr>
        <w:t>, in future financial periods.</w:t>
      </w:r>
    </w:p>
    <w:p w14:paraId="21BE738D" w14:textId="77777777" w:rsidR="0005795C" w:rsidRPr="00F65403" w:rsidRDefault="0005795C" w:rsidP="0005795C">
      <w:pPr>
        <w:pStyle w:val="BodyText"/>
        <w:rPr>
          <w:lang w:val="en-AU"/>
        </w:rPr>
      </w:pPr>
    </w:p>
    <w:p w14:paraId="6140D2CC" w14:textId="77777777" w:rsidR="0005795C" w:rsidRPr="00C4756A" w:rsidRDefault="0005795C" w:rsidP="001513B5">
      <w:pPr>
        <w:pStyle w:val="BodyText"/>
      </w:pPr>
      <w:r w:rsidRPr="001513B5">
        <w:rPr>
          <w:i/>
          <w:lang w:val="en-AU"/>
        </w:rPr>
        <w:t>Retail operations commenced</w:t>
      </w:r>
    </w:p>
    <w:p w14:paraId="50E1E740" w14:textId="08DA1E14" w:rsidR="0005795C" w:rsidRPr="00FE18A8" w:rsidRDefault="0005795C" w:rsidP="0005795C">
      <w:pPr>
        <w:pStyle w:val="Heading9"/>
        <w:rPr>
          <w:highlight w:val="yellow"/>
        </w:rPr>
      </w:pPr>
      <w:r w:rsidRPr="00AA3AC5">
        <w:rPr>
          <w:i w:val="0"/>
          <w:iCs/>
        </w:rPr>
        <w:t xml:space="preserve">From 1 July 2025, SEC commenced retailing operations to government commercial and industrial sites, servicing around 5% of Victoria’s total energy load. </w:t>
      </w:r>
      <w:r w:rsidR="00B00548" w:rsidRPr="00AA3AC5">
        <w:rPr>
          <w:i w:val="0"/>
          <w:iCs/>
        </w:rPr>
        <w:t>Effective from the same date, Victorian Renewable Energy Target (VRET) and Bulgana power purchase contracts were novated from the Department of Energy, Environment and Climate Action (DEECA) to SEC Energy to act as a synthetic hedge against the cost of energy for this load, as described below.</w:t>
      </w:r>
      <w:r w:rsidR="00B00548" w:rsidRPr="00971A95">
        <w:t xml:space="preserve"> </w:t>
      </w:r>
      <w:r w:rsidR="00B00548" w:rsidRPr="00971A95">
        <w:br/>
      </w:r>
      <w:r w:rsidR="00B00548" w:rsidRPr="00971A95">
        <w:br/>
      </w:r>
      <w:r w:rsidRPr="00FE18A8">
        <w:t>VRET novation</w:t>
      </w:r>
    </w:p>
    <w:p w14:paraId="057154E6" w14:textId="62637750" w:rsidR="0005795C" w:rsidRDefault="0005795C" w:rsidP="0005795C">
      <w:pPr>
        <w:pStyle w:val="BodyText"/>
        <w:rPr>
          <w:lang w:val="en-AU"/>
        </w:rPr>
      </w:pPr>
      <w:r w:rsidRPr="00F65403">
        <w:rPr>
          <w:lang w:val="en-AU"/>
        </w:rPr>
        <w:t xml:space="preserve">To support the VRET, (DEECA) (formerly the Department of Environment, Land, Water and Planning) entered contracts to support the construction of renewable energy projects in Victoria. These contracts were entered into between </w:t>
      </w:r>
      <w:r w:rsidR="00054C95" w:rsidRPr="00F65403">
        <w:rPr>
          <w:lang w:val="en-AU"/>
        </w:rPr>
        <w:t>201</w:t>
      </w:r>
      <w:r w:rsidR="00054C95">
        <w:rPr>
          <w:lang w:val="en-AU"/>
        </w:rPr>
        <w:t>7</w:t>
      </w:r>
      <w:r w:rsidR="00054C95" w:rsidRPr="00F65403">
        <w:rPr>
          <w:lang w:val="en-AU"/>
        </w:rPr>
        <w:t xml:space="preserve"> </w:t>
      </w:r>
      <w:r w:rsidRPr="00F65403">
        <w:rPr>
          <w:lang w:val="en-AU"/>
        </w:rPr>
        <w:t xml:space="preserve">and 2024 and are contracts for difference for purchase of electricity and large-scale generation certificates (LGCs) from/to private sector parties.  </w:t>
      </w:r>
    </w:p>
    <w:p w14:paraId="67D2BC71" w14:textId="77777777" w:rsidR="0005795C" w:rsidRPr="00F65403" w:rsidRDefault="0005795C" w:rsidP="0005795C">
      <w:pPr>
        <w:pStyle w:val="BodyText"/>
        <w:rPr>
          <w:lang w:val="en-AU"/>
        </w:rPr>
      </w:pPr>
    </w:p>
    <w:p w14:paraId="1A94206E" w14:textId="5B643123" w:rsidR="0005795C" w:rsidRPr="00F65403" w:rsidRDefault="0005795C" w:rsidP="0005795C">
      <w:pPr>
        <w:pStyle w:val="BodyText"/>
        <w:rPr>
          <w:lang w:val="en-AU"/>
        </w:rPr>
      </w:pPr>
      <w:r w:rsidRPr="00F65403">
        <w:rPr>
          <w:lang w:val="en-AU"/>
        </w:rPr>
        <w:t xml:space="preserve">Effective from 1 July 2025, </w:t>
      </w:r>
      <w:r w:rsidRPr="000F4961">
        <w:rPr>
          <w:lang w:val="en-AU"/>
        </w:rPr>
        <w:t xml:space="preserve">to align with the commencement of retailing operations, </w:t>
      </w:r>
      <w:r w:rsidRPr="00F65403">
        <w:rPr>
          <w:lang w:val="en-AU"/>
        </w:rPr>
        <w:t>the rights and obligations under 6 VRET</w:t>
      </w:r>
      <w:r w:rsidR="00054C95">
        <w:rPr>
          <w:lang w:val="en-AU"/>
        </w:rPr>
        <w:t xml:space="preserve"> and Bulgana</w:t>
      </w:r>
      <w:r w:rsidRPr="00F65403">
        <w:rPr>
          <w:lang w:val="en-AU"/>
        </w:rPr>
        <w:t xml:space="preserve"> contracts transfer from DEECA to SEC</w:t>
      </w:r>
      <w:r>
        <w:rPr>
          <w:lang w:val="en-AU"/>
        </w:rPr>
        <w:t xml:space="preserve"> Energy Pty Ltd</w:t>
      </w:r>
      <w:r w:rsidRPr="00F65403">
        <w:rPr>
          <w:lang w:val="en-AU"/>
        </w:rPr>
        <w:t>.</w:t>
      </w:r>
    </w:p>
    <w:p w14:paraId="3FACEC96" w14:textId="77777777" w:rsidR="0005795C" w:rsidRDefault="0005795C" w:rsidP="0005795C">
      <w:pPr>
        <w:pStyle w:val="BodyText"/>
        <w:rPr>
          <w:lang w:val="en-AU"/>
        </w:rPr>
      </w:pPr>
    </w:p>
    <w:p w14:paraId="0CD1DBAA" w14:textId="60521D1E" w:rsidR="00B775CA" w:rsidRPr="00267979" w:rsidRDefault="0005795C" w:rsidP="001513B5">
      <w:pPr>
        <w:pStyle w:val="ListBullet"/>
        <w:numPr>
          <w:ilvl w:val="0"/>
          <w:numId w:val="0"/>
        </w:numPr>
        <w:rPr>
          <w:lang w:val="en-AU"/>
        </w:rPr>
      </w:pPr>
      <w:r w:rsidRPr="00F65403">
        <w:rPr>
          <w:lang w:val="en-AU"/>
        </w:rPr>
        <w:t>The</w:t>
      </w:r>
      <w:r w:rsidR="009D3AA5">
        <w:rPr>
          <w:lang w:val="en-AU"/>
        </w:rPr>
        <w:t xml:space="preserve"> $381.1 million</w:t>
      </w:r>
      <w:r w:rsidRPr="00F65403">
        <w:rPr>
          <w:lang w:val="en-AU"/>
        </w:rPr>
        <w:t xml:space="preserve"> fair value of the contracts transferred at 1 July 2025 will be recognised as a capital contribution </w:t>
      </w:r>
      <w:r w:rsidRPr="00267979">
        <w:t xml:space="preserve">from DEECA with corresponding </w:t>
      </w:r>
      <w:r w:rsidR="00B92643" w:rsidRPr="00267979">
        <w:t>other</w:t>
      </w:r>
      <w:r w:rsidRPr="00267979">
        <w:t xml:space="preserve"> financial asset recognised in the statement of financial position</w:t>
      </w:r>
      <w:r w:rsidR="009D3AA5" w:rsidRPr="001513B5">
        <w:rPr>
          <w:szCs w:val="20"/>
        </w:rPr>
        <w:t>.</w:t>
      </w:r>
    </w:p>
    <w:p w14:paraId="2A34CA2B" w14:textId="77777777" w:rsidR="0005795C" w:rsidRDefault="0005795C" w:rsidP="0005795C">
      <w:pPr>
        <w:pStyle w:val="BodyText"/>
        <w:rPr>
          <w:lang w:val="en-AU"/>
        </w:rPr>
      </w:pPr>
    </w:p>
    <w:p w14:paraId="463CB028" w14:textId="682E0CE5" w:rsidR="0005795C" w:rsidRPr="00F65403" w:rsidRDefault="0005795C" w:rsidP="0005795C">
      <w:pPr>
        <w:pStyle w:val="BodyText"/>
        <w:rPr>
          <w:lang w:val="en-AU"/>
        </w:rPr>
      </w:pPr>
      <w:r w:rsidRPr="00F65403">
        <w:rPr>
          <w:lang w:val="en-AU"/>
        </w:rPr>
        <w:t>Subsequent changes in fair value</w:t>
      </w:r>
      <w:r w:rsidR="00B30252" w:rsidRPr="00B30252">
        <w:rPr>
          <w:lang w:val="en-AU"/>
        </w:rPr>
        <w:t xml:space="preserve">, using SEC’s valuation techniques, inputs and assumptions, </w:t>
      </w:r>
      <w:r w:rsidRPr="00F65403">
        <w:rPr>
          <w:lang w:val="en-AU"/>
        </w:rPr>
        <w:t xml:space="preserve">will be recognised through profit </w:t>
      </w:r>
      <w:r w:rsidR="00FE18A8">
        <w:rPr>
          <w:lang w:val="en-AU"/>
        </w:rPr>
        <w:t>or</w:t>
      </w:r>
      <w:r w:rsidR="00FE18A8" w:rsidRPr="00F65403">
        <w:rPr>
          <w:lang w:val="en-AU"/>
        </w:rPr>
        <w:t xml:space="preserve"> </w:t>
      </w:r>
      <w:r w:rsidRPr="00F65403">
        <w:rPr>
          <w:lang w:val="en-AU"/>
        </w:rPr>
        <w:t>loss.</w:t>
      </w:r>
    </w:p>
    <w:p w14:paraId="213ED4E3" w14:textId="77777777" w:rsidR="0005795C" w:rsidRDefault="0005795C" w:rsidP="0005795C">
      <w:pPr>
        <w:pStyle w:val="BodyText"/>
      </w:pPr>
    </w:p>
    <w:p w14:paraId="4A06AF52" w14:textId="0CCB5997" w:rsidR="00D21191" w:rsidRDefault="00D21191">
      <w:pPr>
        <w:rPr>
          <w:rFonts w:eastAsia="Arial" w:cs="Arial"/>
          <w:sz w:val="20"/>
          <w:szCs w:val="20"/>
        </w:rPr>
      </w:pPr>
      <w:r>
        <w:br w:type="page"/>
      </w:r>
    </w:p>
    <w:p w14:paraId="7038A402" w14:textId="77777777" w:rsidR="0005795C" w:rsidRPr="00F65403" w:rsidRDefault="0005795C" w:rsidP="0005795C">
      <w:pPr>
        <w:pStyle w:val="BodyText"/>
        <w:rPr>
          <w:lang w:val="en-AU"/>
        </w:rPr>
      </w:pPr>
    </w:p>
    <w:p w14:paraId="7D80B2E1" w14:textId="77777777" w:rsidR="0005795C" w:rsidRPr="00F65403" w:rsidRDefault="0005795C" w:rsidP="0005795C">
      <w:pPr>
        <w:pStyle w:val="Heading7"/>
      </w:pPr>
      <w:bookmarkStart w:id="667" w:name="_Ref207630507"/>
      <w:r w:rsidRPr="00F65403">
        <w:t>Responsible persons</w:t>
      </w:r>
      <w:bookmarkEnd w:id="667"/>
    </w:p>
    <w:p w14:paraId="4D5B56A0" w14:textId="77777777" w:rsidR="0005795C" w:rsidRPr="00F65403" w:rsidRDefault="0005795C" w:rsidP="0005795C">
      <w:pPr>
        <w:pStyle w:val="BodyText"/>
        <w:rPr>
          <w:lang w:val="en-AU"/>
        </w:rPr>
      </w:pPr>
      <w:r w:rsidRPr="00F65403">
        <w:rPr>
          <w:lang w:val="en-AU"/>
        </w:rPr>
        <w:t>In accordance with the Ministerial Directions issued by the Assistant Treasurer under the FMA, the following disclosures are made about responsible persons for the reporting period.</w:t>
      </w:r>
    </w:p>
    <w:p w14:paraId="44171FC0" w14:textId="77777777" w:rsidR="0005795C" w:rsidRPr="00F65403" w:rsidRDefault="0005795C" w:rsidP="0005795C">
      <w:pPr>
        <w:pStyle w:val="BodyText"/>
        <w:rPr>
          <w:lang w:val="en-AU"/>
        </w:rPr>
      </w:pPr>
    </w:p>
    <w:p w14:paraId="4629EA9B" w14:textId="77777777" w:rsidR="0005795C" w:rsidRPr="00F65403" w:rsidRDefault="0005795C" w:rsidP="0005795C">
      <w:pPr>
        <w:pStyle w:val="BodyText"/>
        <w:rPr>
          <w:lang w:val="en-AU"/>
        </w:rPr>
      </w:pPr>
      <w:r w:rsidRPr="00F65403">
        <w:rPr>
          <w:lang w:val="en-AU"/>
        </w:rPr>
        <w:t>The names of persons who were responsible persons at any time during the period are as follows:</w:t>
      </w:r>
    </w:p>
    <w:p w14:paraId="511A1EB0" w14:textId="77777777" w:rsidR="0005795C" w:rsidRPr="00F65403" w:rsidRDefault="0005795C" w:rsidP="0005795C">
      <w:pPr>
        <w:pStyle w:val="BodyText"/>
        <w:rPr>
          <w:lang w:val="en-AU"/>
        </w:rPr>
      </w:pPr>
    </w:p>
    <w:tbl>
      <w:tblPr>
        <w:tblW w:w="8761" w:type="dxa"/>
        <w:tblCellMar>
          <w:top w:w="28" w:type="dxa"/>
          <w:left w:w="28" w:type="dxa"/>
          <w:bottom w:w="28" w:type="dxa"/>
          <w:right w:w="28" w:type="dxa"/>
        </w:tblCellMar>
        <w:tblLook w:val="04A0" w:firstRow="1" w:lastRow="0" w:firstColumn="1" w:lastColumn="0" w:noHBand="0" w:noVBand="1"/>
      </w:tblPr>
      <w:tblGrid>
        <w:gridCol w:w="2100"/>
        <w:gridCol w:w="6661"/>
      </w:tblGrid>
      <w:tr w:rsidR="0005795C" w:rsidRPr="00027D53" w14:paraId="4E4B1188" w14:textId="77777777">
        <w:tc>
          <w:tcPr>
            <w:tcW w:w="2100" w:type="dxa"/>
            <w:tcBorders>
              <w:top w:val="nil"/>
              <w:left w:val="nil"/>
              <w:bottom w:val="nil"/>
              <w:right w:val="nil"/>
            </w:tcBorders>
            <w:noWrap/>
            <w:vAlign w:val="bottom"/>
            <w:hideMark/>
          </w:tcPr>
          <w:p w14:paraId="721832BB"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Position</w:t>
            </w:r>
          </w:p>
        </w:tc>
        <w:tc>
          <w:tcPr>
            <w:tcW w:w="6661" w:type="dxa"/>
            <w:tcBorders>
              <w:top w:val="nil"/>
              <w:left w:val="nil"/>
              <w:bottom w:val="nil"/>
              <w:right w:val="nil"/>
            </w:tcBorders>
            <w:noWrap/>
            <w:vAlign w:val="bottom"/>
            <w:hideMark/>
          </w:tcPr>
          <w:p w14:paraId="255F263F"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Responsible Person</w:t>
            </w:r>
          </w:p>
        </w:tc>
      </w:tr>
      <w:tr w:rsidR="0005795C" w:rsidRPr="00027D53" w14:paraId="65A5F3C4" w14:textId="77777777">
        <w:tc>
          <w:tcPr>
            <w:tcW w:w="2100" w:type="dxa"/>
            <w:tcBorders>
              <w:top w:val="nil"/>
              <w:left w:val="nil"/>
              <w:bottom w:val="nil"/>
              <w:right w:val="nil"/>
            </w:tcBorders>
            <w:noWrap/>
            <w:hideMark/>
          </w:tcPr>
          <w:p w14:paraId="30EC75A9"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Responsible Minister</w:t>
            </w:r>
          </w:p>
        </w:tc>
        <w:tc>
          <w:tcPr>
            <w:tcW w:w="6661" w:type="dxa"/>
            <w:tcBorders>
              <w:top w:val="nil"/>
              <w:left w:val="nil"/>
              <w:bottom w:val="nil"/>
              <w:right w:val="nil"/>
            </w:tcBorders>
            <w:noWrap/>
            <w:hideMark/>
          </w:tcPr>
          <w:p w14:paraId="7A6A9368"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The Hon. Lily D’Ambrosio MP, Minister for the State Electricity Commission </w:t>
            </w:r>
          </w:p>
        </w:tc>
      </w:tr>
      <w:tr w:rsidR="0005795C" w:rsidRPr="00027D53" w14:paraId="3E198395" w14:textId="77777777">
        <w:tc>
          <w:tcPr>
            <w:tcW w:w="2100" w:type="dxa"/>
            <w:tcBorders>
              <w:top w:val="nil"/>
              <w:left w:val="nil"/>
              <w:bottom w:val="nil"/>
              <w:right w:val="nil"/>
            </w:tcBorders>
            <w:noWrap/>
            <w:hideMark/>
          </w:tcPr>
          <w:p w14:paraId="2A859121"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Accountable Officer</w:t>
            </w:r>
          </w:p>
        </w:tc>
        <w:tc>
          <w:tcPr>
            <w:tcW w:w="6661" w:type="dxa"/>
            <w:tcBorders>
              <w:top w:val="nil"/>
              <w:left w:val="nil"/>
              <w:bottom w:val="nil"/>
              <w:right w:val="nil"/>
            </w:tcBorders>
            <w:noWrap/>
            <w:hideMark/>
          </w:tcPr>
          <w:p w14:paraId="611D5A2E"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Christopher Francis Miller </w:t>
            </w:r>
          </w:p>
        </w:tc>
      </w:tr>
      <w:tr w:rsidR="0005795C" w:rsidRPr="00027D53" w14:paraId="128929EF" w14:textId="77777777">
        <w:tc>
          <w:tcPr>
            <w:tcW w:w="2100" w:type="dxa"/>
            <w:tcBorders>
              <w:top w:val="nil"/>
              <w:left w:val="nil"/>
              <w:bottom w:val="nil"/>
              <w:right w:val="nil"/>
            </w:tcBorders>
            <w:noWrap/>
            <w:hideMark/>
          </w:tcPr>
          <w:p w14:paraId="73D9C20B" w14:textId="1386E8B8" w:rsidR="0005795C" w:rsidRPr="00F65403" w:rsidRDefault="001F1BF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Board Chair</w:t>
            </w:r>
          </w:p>
        </w:tc>
        <w:tc>
          <w:tcPr>
            <w:tcW w:w="6661" w:type="dxa"/>
            <w:tcBorders>
              <w:top w:val="nil"/>
              <w:left w:val="nil"/>
              <w:bottom w:val="nil"/>
              <w:right w:val="nil"/>
            </w:tcBorders>
            <w:noWrap/>
            <w:hideMark/>
          </w:tcPr>
          <w:p w14:paraId="03F614D0"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Simon Corbell </w:t>
            </w:r>
          </w:p>
        </w:tc>
      </w:tr>
      <w:tr w:rsidR="0005795C" w:rsidRPr="00027D53" w14:paraId="5EE58D73" w14:textId="77777777">
        <w:tc>
          <w:tcPr>
            <w:tcW w:w="2100" w:type="dxa"/>
            <w:tcBorders>
              <w:top w:val="nil"/>
              <w:left w:val="nil"/>
              <w:bottom w:val="nil"/>
              <w:right w:val="nil"/>
            </w:tcBorders>
            <w:noWrap/>
            <w:hideMark/>
          </w:tcPr>
          <w:p w14:paraId="331A7C68"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Board Members</w:t>
            </w:r>
          </w:p>
        </w:tc>
        <w:tc>
          <w:tcPr>
            <w:tcW w:w="6661" w:type="dxa"/>
            <w:tcBorders>
              <w:top w:val="nil"/>
              <w:left w:val="nil"/>
              <w:bottom w:val="nil"/>
              <w:right w:val="nil"/>
            </w:tcBorders>
            <w:noWrap/>
            <w:vAlign w:val="center"/>
            <w:hideMark/>
          </w:tcPr>
          <w:p w14:paraId="1A237FAB"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Joycelyn Morton</w:t>
            </w:r>
          </w:p>
        </w:tc>
      </w:tr>
      <w:tr w:rsidR="0005795C" w:rsidRPr="00027D53" w14:paraId="4F56A26E" w14:textId="77777777">
        <w:tc>
          <w:tcPr>
            <w:tcW w:w="2100" w:type="dxa"/>
            <w:tcBorders>
              <w:top w:val="nil"/>
              <w:left w:val="nil"/>
              <w:bottom w:val="nil"/>
              <w:right w:val="nil"/>
            </w:tcBorders>
            <w:noWrap/>
            <w:vAlign w:val="bottom"/>
            <w:hideMark/>
          </w:tcPr>
          <w:p w14:paraId="277055D0" w14:textId="77777777" w:rsidR="0005795C" w:rsidRPr="00F65403" w:rsidRDefault="0005795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1B98C8A8"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Damien Barnes</w:t>
            </w:r>
          </w:p>
        </w:tc>
      </w:tr>
      <w:tr w:rsidR="0005795C" w:rsidRPr="00027D53" w14:paraId="0DCDDC4D" w14:textId="77777777">
        <w:tc>
          <w:tcPr>
            <w:tcW w:w="2100" w:type="dxa"/>
            <w:tcBorders>
              <w:top w:val="nil"/>
              <w:left w:val="nil"/>
              <w:bottom w:val="nil"/>
              <w:right w:val="nil"/>
            </w:tcBorders>
            <w:noWrap/>
            <w:vAlign w:val="bottom"/>
            <w:hideMark/>
          </w:tcPr>
          <w:p w14:paraId="49A24827" w14:textId="77777777" w:rsidR="0005795C" w:rsidRPr="00F65403" w:rsidRDefault="0005795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71B6D31C"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Joanne Benvenuti</w:t>
            </w:r>
          </w:p>
        </w:tc>
      </w:tr>
      <w:tr w:rsidR="0005795C" w:rsidRPr="00027D53" w14:paraId="74528629" w14:textId="77777777">
        <w:tc>
          <w:tcPr>
            <w:tcW w:w="2100" w:type="dxa"/>
            <w:tcBorders>
              <w:top w:val="nil"/>
              <w:left w:val="nil"/>
              <w:bottom w:val="nil"/>
              <w:right w:val="nil"/>
            </w:tcBorders>
            <w:noWrap/>
            <w:vAlign w:val="bottom"/>
            <w:hideMark/>
          </w:tcPr>
          <w:p w14:paraId="2D8924A8" w14:textId="77777777" w:rsidR="0005795C" w:rsidRPr="00F65403" w:rsidRDefault="0005795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014FFABB" w14:textId="739F906F"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Sharan Burrow (appointed 1 October 2024)</w:t>
            </w:r>
          </w:p>
        </w:tc>
      </w:tr>
      <w:tr w:rsidR="0005795C" w:rsidRPr="00027D53" w14:paraId="071BBA8B" w14:textId="77777777">
        <w:tc>
          <w:tcPr>
            <w:tcW w:w="2100" w:type="dxa"/>
            <w:tcBorders>
              <w:top w:val="nil"/>
              <w:left w:val="nil"/>
              <w:bottom w:val="nil"/>
              <w:right w:val="nil"/>
            </w:tcBorders>
            <w:noWrap/>
            <w:vAlign w:val="bottom"/>
            <w:hideMark/>
          </w:tcPr>
          <w:p w14:paraId="1CF1D5DF" w14:textId="77777777" w:rsidR="0005795C" w:rsidRPr="00F65403" w:rsidRDefault="0005795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04A69E83"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Cameron Garnsworthy (appointed 1 October 2024)</w:t>
            </w:r>
          </w:p>
        </w:tc>
      </w:tr>
      <w:tr w:rsidR="0005795C" w:rsidRPr="00027D53" w14:paraId="07C9F984" w14:textId="77777777">
        <w:tc>
          <w:tcPr>
            <w:tcW w:w="2100" w:type="dxa"/>
            <w:tcBorders>
              <w:top w:val="nil"/>
              <w:left w:val="nil"/>
              <w:bottom w:val="nil"/>
              <w:right w:val="nil"/>
            </w:tcBorders>
            <w:noWrap/>
            <w:vAlign w:val="bottom"/>
            <w:hideMark/>
          </w:tcPr>
          <w:p w14:paraId="4DD02DC1" w14:textId="77777777" w:rsidR="0005795C" w:rsidRPr="00F65403" w:rsidRDefault="0005795C">
            <w:pPr>
              <w:spacing w:after="0" w:line="240" w:lineRule="auto"/>
              <w:rPr>
                <w:rFonts w:eastAsia="Times New Roman" w:cs="Arial"/>
                <w:sz w:val="20"/>
                <w:szCs w:val="20"/>
                <w:lang w:eastAsia="en-AU"/>
              </w:rPr>
            </w:pPr>
          </w:p>
        </w:tc>
        <w:tc>
          <w:tcPr>
            <w:tcW w:w="6661" w:type="dxa"/>
            <w:tcBorders>
              <w:top w:val="nil"/>
              <w:left w:val="nil"/>
              <w:bottom w:val="nil"/>
              <w:right w:val="nil"/>
            </w:tcBorders>
            <w:noWrap/>
            <w:vAlign w:val="center"/>
            <w:hideMark/>
          </w:tcPr>
          <w:p w14:paraId="467814FD" w14:textId="77777777" w:rsidR="0005795C" w:rsidRPr="00F65403" w:rsidRDefault="0005795C">
            <w:pPr>
              <w:spacing w:after="0" w:line="240" w:lineRule="auto"/>
              <w:rPr>
                <w:rFonts w:eastAsia="Times New Roman" w:cs="Arial"/>
                <w:sz w:val="20"/>
                <w:szCs w:val="20"/>
                <w:lang w:eastAsia="en-AU"/>
              </w:rPr>
            </w:pPr>
            <w:r w:rsidRPr="00F65403">
              <w:rPr>
                <w:rFonts w:eastAsia="Times New Roman" w:cs="Arial"/>
                <w:sz w:val="20"/>
                <w:szCs w:val="20"/>
                <w:lang w:eastAsia="en-AU"/>
              </w:rPr>
              <w:t>Anna Skarbek</w:t>
            </w:r>
          </w:p>
        </w:tc>
      </w:tr>
    </w:tbl>
    <w:p w14:paraId="6A75FAFE" w14:textId="77777777" w:rsidR="0005795C" w:rsidRPr="00F65403" w:rsidRDefault="0005795C" w:rsidP="0005795C">
      <w:pPr>
        <w:pStyle w:val="BodyText"/>
        <w:rPr>
          <w:lang w:val="en-AU"/>
        </w:rPr>
      </w:pPr>
    </w:p>
    <w:p w14:paraId="4B2ACB66" w14:textId="77777777" w:rsidR="0005795C" w:rsidRPr="00F65403" w:rsidRDefault="0005795C" w:rsidP="0005795C">
      <w:pPr>
        <w:pStyle w:val="Heading8"/>
      </w:pPr>
      <w:proofErr w:type="spellStart"/>
      <w:r>
        <w:t>i</w:t>
      </w:r>
      <w:proofErr w:type="spellEnd"/>
      <w:r>
        <w:t>.</w:t>
      </w:r>
      <w:r>
        <w:tab/>
        <w:t>Remuneration of responsible persons</w:t>
      </w:r>
    </w:p>
    <w:p w14:paraId="7FB40549" w14:textId="527DA12C" w:rsidR="004F3A87" w:rsidRPr="00F65403" w:rsidRDefault="0005795C" w:rsidP="004F3A87">
      <w:pPr>
        <w:pStyle w:val="BodyText"/>
        <w:rPr>
          <w:lang w:val="en-AU"/>
        </w:rPr>
      </w:pPr>
      <w:r w:rsidRPr="76FD273D">
        <w:rPr>
          <w:lang w:val="en-AU"/>
        </w:rPr>
        <w:t>Remuneration received or receivable by each director of the Board in connection with the management of the Company during the reporting period is</w:t>
      </w:r>
      <w:r w:rsidR="004F3A87" w:rsidRPr="004F3A87">
        <w:rPr>
          <w:lang w:val="en-AU"/>
        </w:rPr>
        <w:t xml:space="preserve"> </w:t>
      </w:r>
      <w:r w:rsidR="004F3A87">
        <w:rPr>
          <w:lang w:val="en-AU"/>
        </w:rPr>
        <w:t xml:space="preserve">paid for and </w:t>
      </w:r>
      <w:r w:rsidR="004F3A87" w:rsidRPr="00B91C38">
        <w:rPr>
          <w:lang w:val="en-AU"/>
        </w:rPr>
        <w:t>recorded in the statement of profit or loss of the Group’s ultimate parent, SEC Victoria Pty Ltd.</w:t>
      </w:r>
    </w:p>
    <w:p w14:paraId="19D65F23" w14:textId="77777777" w:rsidR="0005795C" w:rsidRDefault="0005795C" w:rsidP="0005795C">
      <w:pPr>
        <w:pStyle w:val="BodyText"/>
        <w:rPr>
          <w:lang w:val="en-AU"/>
        </w:rPr>
      </w:pPr>
    </w:p>
    <w:p w14:paraId="0B572F30" w14:textId="77777777" w:rsidR="0005795C" w:rsidRPr="00F65403" w:rsidRDefault="0005795C" w:rsidP="0005795C">
      <w:pPr>
        <w:pStyle w:val="Heading8"/>
      </w:pPr>
      <w:r>
        <w:t>ii.</w:t>
      </w:r>
      <w:r>
        <w:tab/>
        <w:t>Remuneration of Accountable Officer</w:t>
      </w:r>
    </w:p>
    <w:p w14:paraId="2ABA0447" w14:textId="77777777" w:rsidR="0005795C" w:rsidRPr="00F65403" w:rsidRDefault="0005795C" w:rsidP="0005795C">
      <w:pPr>
        <w:pStyle w:val="BodyText"/>
        <w:rPr>
          <w:lang w:val="en-AU"/>
        </w:rPr>
      </w:pPr>
      <w:r w:rsidRPr="76FD273D">
        <w:rPr>
          <w:lang w:val="en-AU"/>
        </w:rPr>
        <w:t>The Accountable Officer (CEO) was formally appointed by the Board on 12 August 2024. Prior to this date, remuneration was paid for by the Department of Energy, Environment and Climate Action (DEECA), as an interim Accountable Officer and as such the remuneration costs incurred up to this date are reflected in DEECA’s annual report.</w:t>
      </w:r>
      <w:r>
        <w:rPr>
          <w:lang w:val="en-AU"/>
        </w:rPr>
        <w:t xml:space="preserve"> </w:t>
      </w:r>
    </w:p>
    <w:p w14:paraId="3E66BF95" w14:textId="77777777" w:rsidR="0005795C" w:rsidRDefault="0005795C" w:rsidP="0005795C">
      <w:pPr>
        <w:pStyle w:val="BodyText"/>
        <w:rPr>
          <w:sz w:val="24"/>
          <w:szCs w:val="24"/>
          <w:lang w:val="en-AU"/>
        </w:rPr>
      </w:pPr>
    </w:p>
    <w:p w14:paraId="06D08C7A" w14:textId="0A4AE927" w:rsidR="0005795C" w:rsidRPr="007C3B00" w:rsidRDefault="0005795C" w:rsidP="0005795C">
      <w:pPr>
        <w:pStyle w:val="BodyText"/>
        <w:rPr>
          <w:lang w:val="en-AU"/>
        </w:rPr>
      </w:pPr>
      <w:r>
        <w:rPr>
          <w:lang w:val="en-AU"/>
        </w:rPr>
        <w:t xml:space="preserve">The remuneration from 12 August 2024 onwards for the Accountable Officer was </w:t>
      </w:r>
      <w:r w:rsidR="0096748D">
        <w:rPr>
          <w:lang w:val="en-AU"/>
        </w:rPr>
        <w:t xml:space="preserve">paid for </w:t>
      </w:r>
      <w:r>
        <w:rPr>
          <w:lang w:val="en-AU"/>
        </w:rPr>
        <w:t xml:space="preserve">recorded in </w:t>
      </w:r>
      <w:r w:rsidRPr="00EC23CD">
        <w:t>the statement of profit or loss of the Company’s parent, SEC Victoria Pty Ltd</w:t>
      </w:r>
      <w:r>
        <w:t>.</w:t>
      </w:r>
      <w:r w:rsidR="0096748D">
        <w:t xml:space="preserve"> </w:t>
      </w:r>
    </w:p>
    <w:p w14:paraId="09A9D387" w14:textId="77777777" w:rsidR="0005795C" w:rsidRPr="00F65403" w:rsidRDefault="0005795C" w:rsidP="0005795C">
      <w:pPr>
        <w:pStyle w:val="BodyText"/>
        <w:rPr>
          <w:sz w:val="24"/>
          <w:szCs w:val="24"/>
          <w:lang w:val="en-AU"/>
        </w:rPr>
      </w:pPr>
    </w:p>
    <w:p w14:paraId="5324A627" w14:textId="77777777" w:rsidR="0005795C" w:rsidRPr="00F65403" w:rsidRDefault="0005795C" w:rsidP="0005795C">
      <w:pPr>
        <w:pStyle w:val="Heading8"/>
      </w:pPr>
      <w:r>
        <w:t>iii.</w:t>
      </w:r>
      <w:r>
        <w:tab/>
        <w:t>Remuneration of responsible Minister</w:t>
      </w:r>
    </w:p>
    <w:p w14:paraId="40070447" w14:textId="77777777" w:rsidR="0005795C" w:rsidRPr="00F65403" w:rsidRDefault="0005795C" w:rsidP="0005795C">
      <w:pPr>
        <w:pStyle w:val="BodyText"/>
        <w:rPr>
          <w:lang w:val="en-AU"/>
        </w:rPr>
      </w:pPr>
      <w:r w:rsidRPr="00F65403">
        <w:rPr>
          <w:lang w:val="en-AU"/>
        </w:rPr>
        <w:t xml:space="preserve">The Responsible Minister did not receive any remuneration from the Company. The Ministers’ remuneration and allowances are set in accordance with the </w:t>
      </w:r>
      <w:r w:rsidRPr="00096EF7">
        <w:rPr>
          <w:i/>
          <w:lang w:val="en-AU"/>
        </w:rPr>
        <w:t>Parliamentary Salaries and Superannuation Act 1968</w:t>
      </w:r>
      <w:r w:rsidRPr="00F65403">
        <w:rPr>
          <w:lang w:val="en-AU"/>
        </w:rPr>
        <w:t xml:space="preserve"> and reported in the State’s Annual Financial Report.</w:t>
      </w:r>
    </w:p>
    <w:p w14:paraId="683BF706" w14:textId="77777777" w:rsidR="0005795C" w:rsidRPr="00F65403" w:rsidRDefault="0005795C" w:rsidP="0005795C">
      <w:pPr>
        <w:pStyle w:val="BodyText"/>
        <w:rPr>
          <w:lang w:val="en-AU"/>
        </w:rPr>
      </w:pPr>
    </w:p>
    <w:p w14:paraId="5F809C36" w14:textId="77777777" w:rsidR="0005795C" w:rsidRPr="00F65403" w:rsidRDefault="0005795C" w:rsidP="0005795C">
      <w:pPr>
        <w:pStyle w:val="Heading7"/>
      </w:pPr>
      <w:r w:rsidRPr="00F65403">
        <w:t>Related parties</w:t>
      </w:r>
    </w:p>
    <w:p w14:paraId="63F5A732" w14:textId="77777777" w:rsidR="0005795C" w:rsidRDefault="0005795C" w:rsidP="0005795C">
      <w:pPr>
        <w:pStyle w:val="BodyText"/>
        <w:rPr>
          <w:lang w:val="en-AU"/>
        </w:rPr>
      </w:pPr>
      <w:r w:rsidRPr="00F65403">
        <w:rPr>
          <w:lang w:val="en-AU"/>
        </w:rPr>
        <w:t xml:space="preserve">The related parties of the Company include: </w:t>
      </w:r>
    </w:p>
    <w:p w14:paraId="621C125D" w14:textId="77777777" w:rsidR="0005795C" w:rsidRPr="00F65403" w:rsidRDefault="0005795C" w:rsidP="0005795C">
      <w:pPr>
        <w:pStyle w:val="BodyText"/>
        <w:rPr>
          <w:lang w:val="en-AU"/>
        </w:rPr>
      </w:pPr>
    </w:p>
    <w:p w14:paraId="69F95485" w14:textId="77777777" w:rsidR="0005795C" w:rsidRPr="00F65403" w:rsidRDefault="0005795C" w:rsidP="0005795C">
      <w:pPr>
        <w:pStyle w:val="ListBullet"/>
        <w:rPr>
          <w:lang w:val="en-AU"/>
        </w:rPr>
      </w:pPr>
      <w:r w:rsidRPr="00F65403">
        <w:rPr>
          <w:lang w:val="en-AU"/>
        </w:rPr>
        <w:t xml:space="preserve">all key management personnel and their close family members and personal business interests (controlled entities, joint ventures and entities they have significant influence over) </w:t>
      </w:r>
    </w:p>
    <w:p w14:paraId="1D2C713F" w14:textId="77777777" w:rsidR="0005795C" w:rsidRPr="00F65403" w:rsidRDefault="0005795C" w:rsidP="0005795C">
      <w:pPr>
        <w:pStyle w:val="ListBullet"/>
        <w:rPr>
          <w:lang w:val="en-AU"/>
        </w:rPr>
      </w:pPr>
      <w:r w:rsidRPr="00F65403">
        <w:rPr>
          <w:lang w:val="en-AU"/>
        </w:rPr>
        <w:t xml:space="preserve">all cabinet ministers and their close family members; and </w:t>
      </w:r>
    </w:p>
    <w:p w14:paraId="4D014C30" w14:textId="77777777" w:rsidR="0005795C" w:rsidRPr="00F65403" w:rsidRDefault="0005795C" w:rsidP="0005795C">
      <w:pPr>
        <w:pStyle w:val="ListBullet"/>
        <w:rPr>
          <w:lang w:val="en-AU"/>
        </w:rPr>
      </w:pPr>
      <w:r w:rsidRPr="00F65403">
        <w:rPr>
          <w:lang w:val="en-AU"/>
        </w:rPr>
        <w:t xml:space="preserve">all departments and public sector entities that are controlled and consolidated into the whole of state consolidated financial statements. </w:t>
      </w:r>
    </w:p>
    <w:p w14:paraId="503734B9" w14:textId="0453CC66" w:rsidR="0005795C" w:rsidRDefault="0005795C" w:rsidP="0005795C">
      <w:pPr>
        <w:pStyle w:val="BodyText"/>
        <w:rPr>
          <w:highlight w:val="yellow"/>
          <w:lang w:val="en-AU"/>
        </w:rPr>
      </w:pPr>
      <w:r>
        <w:rPr>
          <w:lang w:val="en-AU"/>
        </w:rPr>
        <w:br/>
      </w:r>
      <w:r w:rsidRPr="00F65403">
        <w:rPr>
          <w:lang w:val="en-AU"/>
        </w:rPr>
        <w:t xml:space="preserve">For information pertaining to related party transactions of ministers, the register of members’ interests is publicly available from: </w:t>
      </w:r>
      <w:hyperlink r:id="rId24" w:history="1">
        <w:r w:rsidRPr="00CC2A74">
          <w:rPr>
            <w:rStyle w:val="Hyperlink"/>
            <w:lang w:val="en-AU"/>
          </w:rPr>
          <w:t>https://www.parliament.vic.gov.au</w:t>
        </w:r>
      </w:hyperlink>
      <w:r>
        <w:rPr>
          <w:lang w:val="en-AU"/>
        </w:rPr>
        <w:t xml:space="preserve"> within the Tabled documents database</w:t>
      </w:r>
      <w:r w:rsidRPr="00F65403">
        <w:rPr>
          <w:lang w:val="en-AU"/>
        </w:rPr>
        <w:t>.</w:t>
      </w:r>
      <w:r w:rsidR="009B3C7F">
        <w:rPr>
          <w:lang w:val="en-AU"/>
        </w:rPr>
        <w:t xml:space="preserve"> </w:t>
      </w:r>
    </w:p>
    <w:p w14:paraId="5EFBF3BD" w14:textId="7B8AAD46" w:rsidR="00D21191" w:rsidRDefault="00D21191">
      <w:pPr>
        <w:rPr>
          <w:rFonts w:eastAsiaTheme="majorEastAsia" w:cstheme="majorBidi"/>
          <w:b/>
          <w:i/>
          <w:iCs/>
          <w:color w:val="272727" w:themeColor="text1" w:themeTint="D8"/>
          <w:sz w:val="20"/>
        </w:rPr>
      </w:pPr>
      <w:r>
        <w:rPr>
          <w:rFonts w:eastAsiaTheme="majorEastAsia" w:cstheme="majorBidi"/>
          <w:b/>
          <w:i/>
          <w:iCs/>
          <w:color w:val="272727" w:themeColor="text1" w:themeTint="D8"/>
          <w:sz w:val="20"/>
        </w:rPr>
        <w:br w:type="page"/>
      </w:r>
    </w:p>
    <w:p w14:paraId="12265177" w14:textId="77777777" w:rsidR="0005795C" w:rsidRDefault="0005795C" w:rsidP="0005795C">
      <w:pPr>
        <w:rPr>
          <w:rFonts w:eastAsiaTheme="majorEastAsia" w:cstheme="majorBidi"/>
          <w:b/>
          <w:i/>
          <w:iCs/>
          <w:color w:val="272727" w:themeColor="text1" w:themeTint="D8"/>
          <w:sz w:val="20"/>
        </w:rPr>
      </w:pPr>
    </w:p>
    <w:p w14:paraId="02C270A9" w14:textId="77777777" w:rsidR="0005795C" w:rsidRDefault="0005795C" w:rsidP="0005795C">
      <w:pPr>
        <w:pStyle w:val="Heading8"/>
        <w:spacing w:after="120"/>
      </w:pPr>
      <w:proofErr w:type="spellStart"/>
      <w:r>
        <w:t>i</w:t>
      </w:r>
      <w:proofErr w:type="spellEnd"/>
      <w:r>
        <w:t>.</w:t>
      </w:r>
      <w:r>
        <w:tab/>
        <w:t>Key management personnel remuneration</w:t>
      </w:r>
    </w:p>
    <w:p w14:paraId="2FBDBEA7" w14:textId="692C68DD" w:rsidR="004762A8" w:rsidRDefault="0005795C" w:rsidP="004762A8">
      <w:pPr>
        <w:pStyle w:val="BodyText"/>
      </w:pPr>
      <w:r>
        <w:t>Key management personnel are those persons having authority and responsibility for planning, directing and controlling the activities of the Company, directly or indirectly.</w:t>
      </w:r>
      <w:r w:rsidR="004762A8" w:rsidRPr="004762A8">
        <w:t xml:space="preserve"> </w:t>
      </w:r>
      <w:r w:rsidR="004762A8" w:rsidRPr="00606F94">
        <w:t xml:space="preserve">The remuneration, including the superannuation guarantee contribution, received or receivable by key management personnel of the Company was </w:t>
      </w:r>
      <w:r w:rsidR="004762A8">
        <w:t xml:space="preserve">paid for and </w:t>
      </w:r>
      <w:r w:rsidR="004762A8" w:rsidRPr="00606F94">
        <w:t>recorded in the statement of profit or loss of the Company’s parent, SEC Victoria Pty Ltd.</w:t>
      </w:r>
    </w:p>
    <w:p w14:paraId="1F59270B" w14:textId="77777777" w:rsidR="0005795C" w:rsidRPr="00DF7D31" w:rsidRDefault="0005795C" w:rsidP="004762A8">
      <w:pPr>
        <w:pStyle w:val="BodyText"/>
      </w:pPr>
    </w:p>
    <w:p w14:paraId="3A3BA06C" w14:textId="77777777" w:rsidR="0005795C" w:rsidRPr="00F65403" w:rsidRDefault="0005795C" w:rsidP="0005795C">
      <w:pPr>
        <w:pStyle w:val="Heading8"/>
      </w:pPr>
      <w:r>
        <w:t>ii.</w:t>
      </w:r>
      <w:r>
        <w:tab/>
        <w:t xml:space="preserve">Transactions and balances with other related parties </w:t>
      </w:r>
    </w:p>
    <w:p w14:paraId="1C861765" w14:textId="77777777" w:rsidR="0005795C" w:rsidRPr="00F65403" w:rsidRDefault="0005795C" w:rsidP="0005795C">
      <w:pPr>
        <w:pStyle w:val="BodyText"/>
        <w:rPr>
          <w:lang w:val="en-AU"/>
        </w:rPr>
      </w:pPr>
      <w:r w:rsidRPr="76FD273D">
        <w:rPr>
          <w:lang w:val="en-AU"/>
        </w:rPr>
        <w:t xml:space="preserve">The Company’s employment policies and procedures have been created to support the application of the Code of Conduct Victorian Public Sector Employees, and employees are required to comply with the public sector values under </w:t>
      </w:r>
      <w:r w:rsidRPr="00907CB5">
        <w:rPr>
          <w:i/>
          <w:iCs/>
          <w:lang w:val="en-AU"/>
        </w:rPr>
        <w:t>Public Administration Act 2004</w:t>
      </w:r>
      <w:r w:rsidRPr="76FD273D">
        <w:rPr>
          <w:lang w:val="en-AU"/>
        </w:rPr>
        <w:t xml:space="preserve"> (Vic). Procurement processes are based on terms and conditions consistent with the Victorian Government Procurement Board requirements.</w:t>
      </w:r>
    </w:p>
    <w:p w14:paraId="5F3C2E18" w14:textId="77777777" w:rsidR="0005795C" w:rsidRPr="00F65403" w:rsidRDefault="0005795C" w:rsidP="0005795C">
      <w:pPr>
        <w:pStyle w:val="BodyText"/>
        <w:rPr>
          <w:lang w:val="en-AU"/>
        </w:rPr>
      </w:pPr>
    </w:p>
    <w:p w14:paraId="3BFBF121" w14:textId="4638BA59" w:rsidR="0005795C" w:rsidRPr="00F65403" w:rsidRDefault="0005795C" w:rsidP="0005795C">
      <w:pPr>
        <w:pStyle w:val="BodyText"/>
        <w:rPr>
          <w:lang w:val="en-AU"/>
        </w:rPr>
      </w:pPr>
      <w:r w:rsidRPr="00F65403">
        <w:rPr>
          <w:lang w:val="en-AU"/>
        </w:rPr>
        <w:t>Any transactions or issues that involve related parties are dealt with on normal commercial terms and conditions and without reference to the key management personnel concerned. All income and expense transactions exclude GST.</w:t>
      </w:r>
    </w:p>
    <w:p w14:paraId="4B5E41AD" w14:textId="77777777" w:rsidR="0005795C" w:rsidRPr="00F65403" w:rsidRDefault="0005795C" w:rsidP="0005795C">
      <w:pPr>
        <w:pStyle w:val="BodyText"/>
        <w:rPr>
          <w:lang w:val="en-AU"/>
        </w:rPr>
      </w:pPr>
    </w:p>
    <w:p w14:paraId="7A0A56A5" w14:textId="77777777" w:rsidR="0005795C" w:rsidRPr="00F65403" w:rsidRDefault="0005795C" w:rsidP="0005795C">
      <w:pPr>
        <w:pStyle w:val="Heading8"/>
      </w:pPr>
      <w:r>
        <w:t>iii.</w:t>
      </w:r>
      <w:r>
        <w:tab/>
        <w:t xml:space="preserve">Transactions with companies in the SEC Group </w:t>
      </w:r>
    </w:p>
    <w:p w14:paraId="79AAFF1C" w14:textId="77777777" w:rsidR="0005795C" w:rsidRPr="00F65403" w:rsidRDefault="0005795C" w:rsidP="0005795C">
      <w:pPr>
        <w:pStyle w:val="BodyText"/>
        <w:rPr>
          <w:lang w:val="en-AU"/>
        </w:rPr>
      </w:pPr>
      <w:r>
        <w:rPr>
          <w:lang w:val="en-AU"/>
        </w:rPr>
        <w:t xml:space="preserve">The following transactions were identified for the reporting period: </w:t>
      </w:r>
    </w:p>
    <w:p w14:paraId="02742AD6" w14:textId="0951C9E4" w:rsidR="0005795C" w:rsidRPr="00F65403" w:rsidRDefault="0005795C" w:rsidP="00AA3AC5">
      <w:pPr>
        <w:pStyle w:val="ListBullet"/>
        <w:numPr>
          <w:ilvl w:val="0"/>
          <w:numId w:val="0"/>
        </w:numPr>
        <w:ind w:left="360"/>
        <w:rPr>
          <w:lang w:val="en-AU"/>
        </w:rPr>
      </w:pP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98"/>
        <w:gridCol w:w="1314"/>
        <w:gridCol w:w="1314"/>
      </w:tblGrid>
      <w:tr w:rsidR="00FF240B" w:rsidRPr="00F65403" w14:paraId="087D51D6" w14:textId="77777777" w:rsidTr="006218C3">
        <w:tc>
          <w:tcPr>
            <w:tcW w:w="3544" w:type="pct"/>
            <w:tcBorders>
              <w:top w:val="nil"/>
              <w:left w:val="nil"/>
              <w:bottom w:val="nil"/>
              <w:right w:val="nil"/>
            </w:tcBorders>
            <w:noWrap/>
            <w:vAlign w:val="bottom"/>
            <w:hideMark/>
          </w:tcPr>
          <w:p w14:paraId="10C823B3" w14:textId="77777777" w:rsidR="00FF240B" w:rsidRPr="00F65403" w:rsidRDefault="00FF240B" w:rsidP="006218C3">
            <w:pPr>
              <w:spacing w:after="0" w:line="240" w:lineRule="auto"/>
              <w:rPr>
                <w:rFonts w:eastAsia="Times New Roman" w:cs="Arial"/>
                <w:sz w:val="20"/>
                <w:szCs w:val="20"/>
                <w:lang w:eastAsia="en-AU"/>
              </w:rPr>
            </w:pPr>
          </w:p>
        </w:tc>
        <w:tc>
          <w:tcPr>
            <w:tcW w:w="728" w:type="pct"/>
            <w:tcBorders>
              <w:top w:val="nil"/>
              <w:left w:val="nil"/>
              <w:bottom w:val="nil"/>
              <w:right w:val="nil"/>
            </w:tcBorders>
            <w:vAlign w:val="bottom"/>
            <w:hideMark/>
          </w:tcPr>
          <w:p w14:paraId="690E3DBA" w14:textId="77777777" w:rsidR="00FF240B" w:rsidRPr="00F65403" w:rsidRDefault="00FF240B" w:rsidP="006218C3">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28" w:type="pct"/>
            <w:tcBorders>
              <w:top w:val="nil"/>
              <w:left w:val="nil"/>
              <w:bottom w:val="nil"/>
              <w:right w:val="nil"/>
            </w:tcBorders>
            <w:noWrap/>
            <w:vAlign w:val="bottom"/>
            <w:hideMark/>
          </w:tcPr>
          <w:p w14:paraId="6262EF25" w14:textId="21BAF656" w:rsidR="00FF240B" w:rsidRPr="00F65403" w:rsidRDefault="00FF240B" w:rsidP="006218C3">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w:t>
            </w:r>
            <w:r w:rsidR="00C85165">
              <w:rPr>
                <w:rFonts w:eastAsia="Times New Roman" w:cs="Arial"/>
                <w:b/>
                <w:color w:val="000000"/>
                <w:sz w:val="20"/>
                <w:szCs w:val="20"/>
                <w:lang w:eastAsia="en-AU"/>
              </w:rPr>
              <w:t>6</w:t>
            </w:r>
            <w:r>
              <w:rPr>
                <w:rFonts w:eastAsia="Times New Roman" w:cs="Arial"/>
                <w:b/>
                <w:color w:val="000000"/>
                <w:sz w:val="20"/>
                <w:szCs w:val="20"/>
                <w:lang w:eastAsia="en-AU"/>
              </w:rPr>
              <w:t xml:space="preserve"> October 2023 to 30 June 2024</w:t>
            </w:r>
          </w:p>
        </w:tc>
      </w:tr>
      <w:tr w:rsidR="00FF240B" w:rsidRPr="00F65403" w14:paraId="31731A4F" w14:textId="77777777" w:rsidTr="006218C3">
        <w:tc>
          <w:tcPr>
            <w:tcW w:w="3544" w:type="pct"/>
            <w:tcBorders>
              <w:top w:val="nil"/>
              <w:left w:val="nil"/>
              <w:bottom w:val="nil"/>
              <w:right w:val="nil"/>
            </w:tcBorders>
            <w:noWrap/>
            <w:vAlign w:val="bottom"/>
            <w:hideMark/>
          </w:tcPr>
          <w:p w14:paraId="4AB927BA" w14:textId="77777777" w:rsidR="00FF240B" w:rsidRPr="00F65403" w:rsidRDefault="00FF240B" w:rsidP="006218C3">
            <w:pPr>
              <w:spacing w:after="0" w:line="240" w:lineRule="auto"/>
              <w:jc w:val="right"/>
              <w:rPr>
                <w:rFonts w:eastAsia="Times New Roman" w:cs="Arial"/>
                <w:b/>
                <w:color w:val="000000"/>
                <w:sz w:val="20"/>
                <w:szCs w:val="20"/>
                <w:lang w:eastAsia="en-AU"/>
              </w:rPr>
            </w:pPr>
          </w:p>
        </w:tc>
        <w:tc>
          <w:tcPr>
            <w:tcW w:w="728" w:type="pct"/>
            <w:tcBorders>
              <w:top w:val="nil"/>
              <w:left w:val="nil"/>
              <w:bottom w:val="nil"/>
              <w:right w:val="nil"/>
            </w:tcBorders>
            <w:noWrap/>
            <w:vAlign w:val="bottom"/>
            <w:hideMark/>
          </w:tcPr>
          <w:p w14:paraId="3C35F21F" w14:textId="77777777" w:rsidR="00FF240B" w:rsidRPr="00F65403" w:rsidRDefault="00FF240B" w:rsidP="006218C3">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c>
          <w:tcPr>
            <w:tcW w:w="728" w:type="pct"/>
            <w:tcBorders>
              <w:top w:val="nil"/>
              <w:left w:val="nil"/>
              <w:bottom w:val="nil"/>
              <w:right w:val="nil"/>
            </w:tcBorders>
            <w:noWrap/>
            <w:vAlign w:val="bottom"/>
            <w:hideMark/>
          </w:tcPr>
          <w:p w14:paraId="7C966A25" w14:textId="77777777" w:rsidR="00FF240B" w:rsidRPr="00F65403" w:rsidRDefault="00FF240B" w:rsidP="006218C3">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$000's</w:t>
            </w:r>
          </w:p>
        </w:tc>
      </w:tr>
      <w:tr w:rsidR="00FF240B" w:rsidRPr="00F65403" w14:paraId="290E02C4" w14:textId="77777777" w:rsidTr="001513B5">
        <w:tc>
          <w:tcPr>
            <w:tcW w:w="3544" w:type="pct"/>
            <w:tcBorders>
              <w:top w:val="nil"/>
              <w:left w:val="nil"/>
              <w:bottom w:val="nil"/>
              <w:right w:val="nil"/>
            </w:tcBorders>
            <w:vAlign w:val="bottom"/>
            <w:hideMark/>
          </w:tcPr>
          <w:p w14:paraId="27C50EC2" w14:textId="78D02280" w:rsidR="00FF240B" w:rsidRPr="00F65403" w:rsidRDefault="00AB7900" w:rsidP="006218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Contributed capital from </w:t>
            </w:r>
            <w:r w:rsidR="00FF6C64">
              <w:rPr>
                <w:rFonts w:eastAsia="Times New Roman" w:cs="Arial"/>
                <w:color w:val="000000"/>
                <w:sz w:val="20"/>
                <w:szCs w:val="20"/>
                <w:lang w:eastAsia="en-AU"/>
              </w:rPr>
              <w:t>SEC Victoria Pty Ltd (parent company)</w:t>
            </w:r>
          </w:p>
        </w:tc>
        <w:tc>
          <w:tcPr>
            <w:tcW w:w="728" w:type="pct"/>
            <w:tcBorders>
              <w:top w:val="nil"/>
              <w:left w:val="nil"/>
              <w:right w:val="nil"/>
            </w:tcBorders>
            <w:vAlign w:val="bottom"/>
            <w:hideMark/>
          </w:tcPr>
          <w:p w14:paraId="4DD3FBF2" w14:textId="3A73D4DB" w:rsidR="00FF240B" w:rsidRPr="00F65403" w:rsidRDefault="00FF6C64" w:rsidP="006218C3">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49,850</w:t>
            </w:r>
          </w:p>
        </w:tc>
        <w:tc>
          <w:tcPr>
            <w:tcW w:w="728" w:type="pct"/>
            <w:tcBorders>
              <w:top w:val="nil"/>
              <w:left w:val="nil"/>
              <w:right w:val="nil"/>
            </w:tcBorders>
            <w:vAlign w:val="bottom"/>
            <w:hideMark/>
          </w:tcPr>
          <w:p w14:paraId="58755A17" w14:textId="57BE7B65" w:rsidR="00FF240B" w:rsidRPr="00F65403" w:rsidRDefault="00FF6C64" w:rsidP="006218C3">
            <w:pPr>
              <w:tabs>
                <w:tab w:val="decimal" w:pos="964"/>
              </w:tabs>
              <w:spacing w:after="0" w:line="240" w:lineRule="auto"/>
              <w:rPr>
                <w:rFonts w:eastAsia="Times New Roman" w:cs="Arial"/>
                <w:sz w:val="20"/>
                <w:szCs w:val="20"/>
                <w:lang w:eastAsia="en-AU"/>
              </w:rPr>
            </w:pPr>
            <w:r>
              <w:rPr>
                <w:rFonts w:eastAsia="Times New Roman" w:cs="Arial"/>
                <w:sz w:val="20"/>
                <w:szCs w:val="20"/>
                <w:lang w:eastAsia="en-AU"/>
              </w:rPr>
              <w:t>50</w:t>
            </w:r>
          </w:p>
        </w:tc>
      </w:tr>
      <w:tr w:rsidR="00770DF4" w:rsidRPr="00F65403" w14:paraId="6065EDAE" w14:textId="77777777" w:rsidTr="001513B5">
        <w:tc>
          <w:tcPr>
            <w:tcW w:w="3544" w:type="pct"/>
            <w:tcBorders>
              <w:top w:val="nil"/>
              <w:left w:val="nil"/>
              <w:bottom w:val="nil"/>
              <w:right w:val="nil"/>
            </w:tcBorders>
            <w:noWrap/>
            <w:vAlign w:val="bottom"/>
          </w:tcPr>
          <w:p w14:paraId="60DB9AE3" w14:textId="6B590F73" w:rsidR="00770DF4" w:rsidRPr="00655EE5" w:rsidRDefault="00077955" w:rsidP="006218C3">
            <w:pPr>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Receivable</w:t>
            </w:r>
            <w:r w:rsidR="007E31F7">
              <w:rPr>
                <w:rFonts w:eastAsia="Times New Roman" w:cs="Arial"/>
                <w:bCs/>
                <w:color w:val="000000"/>
                <w:sz w:val="20"/>
                <w:szCs w:val="20"/>
                <w:lang w:eastAsia="en-AU"/>
              </w:rPr>
              <w:t xml:space="preserve"> from SEC Victoria Pty Ltd </w:t>
            </w:r>
            <w:r w:rsidR="0005505B">
              <w:rPr>
                <w:rFonts w:eastAsia="Times New Roman" w:cs="Arial"/>
                <w:bCs/>
                <w:color w:val="000000"/>
                <w:sz w:val="20"/>
                <w:szCs w:val="20"/>
                <w:lang w:eastAsia="en-AU"/>
              </w:rPr>
              <w:t>for transfer of tax losses</w:t>
            </w:r>
          </w:p>
        </w:tc>
        <w:tc>
          <w:tcPr>
            <w:tcW w:w="728" w:type="pct"/>
            <w:tcBorders>
              <w:left w:val="nil"/>
              <w:right w:val="nil"/>
            </w:tcBorders>
            <w:noWrap/>
            <w:vAlign w:val="bottom"/>
          </w:tcPr>
          <w:p w14:paraId="63D1F17F" w14:textId="1C891829" w:rsidR="00770DF4" w:rsidRDefault="007E31F7" w:rsidP="006218C3">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5,20</w:t>
            </w:r>
            <w:r w:rsidR="00C85165">
              <w:rPr>
                <w:rFonts w:eastAsia="Times New Roman" w:cs="Arial"/>
                <w:bCs/>
                <w:color w:val="000000"/>
                <w:sz w:val="20"/>
                <w:szCs w:val="20"/>
                <w:lang w:eastAsia="en-AU"/>
              </w:rPr>
              <w:t>9</w:t>
            </w:r>
          </w:p>
        </w:tc>
        <w:tc>
          <w:tcPr>
            <w:tcW w:w="728" w:type="pct"/>
            <w:tcBorders>
              <w:left w:val="nil"/>
              <w:right w:val="nil"/>
            </w:tcBorders>
            <w:noWrap/>
            <w:vAlign w:val="bottom"/>
          </w:tcPr>
          <w:p w14:paraId="082A78B8" w14:textId="7AFDA9FC" w:rsidR="00770DF4" w:rsidRDefault="00770DF4" w:rsidP="006218C3">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w:t>
            </w:r>
          </w:p>
        </w:tc>
      </w:tr>
      <w:tr w:rsidR="00FF240B" w:rsidRPr="00F65403" w14:paraId="0C7E7B72" w14:textId="77777777" w:rsidTr="001513B5">
        <w:tc>
          <w:tcPr>
            <w:tcW w:w="3544" w:type="pct"/>
            <w:tcBorders>
              <w:top w:val="nil"/>
              <w:left w:val="nil"/>
              <w:bottom w:val="nil"/>
              <w:right w:val="nil"/>
            </w:tcBorders>
            <w:noWrap/>
            <w:vAlign w:val="bottom"/>
          </w:tcPr>
          <w:p w14:paraId="47E6DC17" w14:textId="1EBBEE4A" w:rsidR="00FF240B" w:rsidRPr="001513B5" w:rsidRDefault="00FF240B" w:rsidP="006218C3">
            <w:pPr>
              <w:spacing w:after="0" w:line="240" w:lineRule="auto"/>
              <w:rPr>
                <w:rFonts w:eastAsia="Times New Roman" w:cs="Arial"/>
                <w:bCs/>
                <w:color w:val="000000"/>
                <w:sz w:val="20"/>
                <w:szCs w:val="20"/>
                <w:vertAlign w:val="superscript"/>
                <w:lang w:eastAsia="en-AU"/>
              </w:rPr>
            </w:pPr>
            <w:r w:rsidRPr="00655EE5">
              <w:rPr>
                <w:rFonts w:eastAsia="Times New Roman" w:cs="Arial"/>
                <w:bCs/>
                <w:color w:val="000000"/>
                <w:sz w:val="20"/>
                <w:szCs w:val="20"/>
                <w:lang w:eastAsia="en-AU"/>
              </w:rPr>
              <w:t>Operating expenditure</w:t>
            </w:r>
            <w:r w:rsidR="00F76ECA">
              <w:rPr>
                <w:rFonts w:eastAsia="Times New Roman" w:cs="Arial"/>
                <w:bCs/>
                <w:color w:val="000000"/>
                <w:sz w:val="20"/>
                <w:szCs w:val="20"/>
                <w:lang w:eastAsia="en-AU"/>
              </w:rPr>
              <w:t xml:space="preserve"> paid for by SEC Victoria Pty Ltd</w:t>
            </w:r>
            <w:r w:rsidR="00632765">
              <w:rPr>
                <w:rFonts w:eastAsia="Times New Roman" w:cs="Arial"/>
                <w:bCs/>
                <w:color w:val="000000"/>
                <w:sz w:val="20"/>
                <w:szCs w:val="20"/>
                <w:vertAlign w:val="superscript"/>
                <w:lang w:eastAsia="en-AU"/>
              </w:rPr>
              <w:t>1</w:t>
            </w:r>
          </w:p>
        </w:tc>
        <w:tc>
          <w:tcPr>
            <w:tcW w:w="728" w:type="pct"/>
            <w:tcBorders>
              <w:left w:val="nil"/>
              <w:right w:val="nil"/>
            </w:tcBorders>
            <w:noWrap/>
            <w:vAlign w:val="bottom"/>
          </w:tcPr>
          <w:p w14:paraId="7E9638B7" w14:textId="101D9069" w:rsidR="00FF240B" w:rsidRPr="00655EE5" w:rsidRDefault="00632765" w:rsidP="006218C3">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72</w:t>
            </w:r>
          </w:p>
        </w:tc>
        <w:tc>
          <w:tcPr>
            <w:tcW w:w="728" w:type="pct"/>
            <w:tcBorders>
              <w:left w:val="nil"/>
              <w:right w:val="nil"/>
            </w:tcBorders>
            <w:noWrap/>
            <w:vAlign w:val="bottom"/>
          </w:tcPr>
          <w:p w14:paraId="640AC6EE" w14:textId="2FA58C93" w:rsidR="00FF240B" w:rsidRPr="00655EE5" w:rsidRDefault="00F521AD" w:rsidP="006218C3">
            <w:pPr>
              <w:tabs>
                <w:tab w:val="decimal" w:pos="964"/>
              </w:tabs>
              <w:spacing w:after="0" w:line="240" w:lineRule="auto"/>
              <w:rPr>
                <w:rFonts w:eastAsia="Times New Roman" w:cs="Arial"/>
                <w:bCs/>
                <w:color w:val="000000"/>
                <w:sz w:val="20"/>
                <w:szCs w:val="20"/>
                <w:lang w:eastAsia="en-AU"/>
              </w:rPr>
            </w:pPr>
            <w:r>
              <w:rPr>
                <w:rFonts w:eastAsia="Times New Roman" w:cs="Arial"/>
                <w:bCs/>
                <w:color w:val="000000"/>
                <w:sz w:val="20"/>
                <w:szCs w:val="20"/>
                <w:lang w:eastAsia="en-AU"/>
              </w:rPr>
              <w:t>-</w:t>
            </w:r>
          </w:p>
        </w:tc>
      </w:tr>
      <w:tr w:rsidR="007A0323" w:rsidRPr="00F65403" w14:paraId="14580FE4" w14:textId="77777777" w:rsidTr="007A0323">
        <w:tc>
          <w:tcPr>
            <w:tcW w:w="3544" w:type="pct"/>
            <w:tcBorders>
              <w:top w:val="nil"/>
              <w:left w:val="nil"/>
              <w:bottom w:val="nil"/>
              <w:right w:val="nil"/>
            </w:tcBorders>
            <w:noWrap/>
            <w:vAlign w:val="bottom"/>
          </w:tcPr>
          <w:p w14:paraId="11D90853" w14:textId="77777777" w:rsidR="007A0323" w:rsidRPr="00655EE5" w:rsidRDefault="007A0323" w:rsidP="006218C3">
            <w:pPr>
              <w:spacing w:after="0" w:line="240" w:lineRule="auto"/>
              <w:rPr>
                <w:rFonts w:eastAsia="Times New Roman" w:cs="Arial"/>
                <w:bCs/>
                <w:color w:val="000000"/>
                <w:sz w:val="20"/>
                <w:szCs w:val="20"/>
                <w:lang w:eastAsia="en-AU"/>
              </w:rPr>
            </w:pPr>
          </w:p>
        </w:tc>
        <w:tc>
          <w:tcPr>
            <w:tcW w:w="728" w:type="pct"/>
            <w:tcBorders>
              <w:left w:val="nil"/>
              <w:right w:val="nil"/>
            </w:tcBorders>
            <w:noWrap/>
            <w:vAlign w:val="bottom"/>
          </w:tcPr>
          <w:p w14:paraId="4E211BAA" w14:textId="77777777" w:rsidR="007A0323" w:rsidRDefault="007A0323" w:rsidP="006218C3">
            <w:pPr>
              <w:tabs>
                <w:tab w:val="decimal" w:pos="964"/>
              </w:tabs>
              <w:spacing w:after="0" w:line="240" w:lineRule="auto"/>
              <w:rPr>
                <w:rFonts w:eastAsia="Times New Roman" w:cs="Arial"/>
                <w:bCs/>
                <w:color w:val="000000"/>
                <w:sz w:val="20"/>
                <w:szCs w:val="20"/>
                <w:lang w:eastAsia="en-AU"/>
              </w:rPr>
            </w:pPr>
          </w:p>
        </w:tc>
        <w:tc>
          <w:tcPr>
            <w:tcW w:w="728" w:type="pct"/>
            <w:tcBorders>
              <w:left w:val="nil"/>
              <w:right w:val="nil"/>
            </w:tcBorders>
            <w:noWrap/>
            <w:vAlign w:val="bottom"/>
          </w:tcPr>
          <w:p w14:paraId="672F157B" w14:textId="77777777" w:rsidR="007A0323" w:rsidRDefault="007A0323" w:rsidP="006218C3">
            <w:pPr>
              <w:tabs>
                <w:tab w:val="decimal" w:pos="964"/>
              </w:tabs>
              <w:spacing w:after="0" w:line="240" w:lineRule="auto"/>
              <w:rPr>
                <w:rFonts w:eastAsia="Times New Roman" w:cs="Arial"/>
                <w:bCs/>
                <w:color w:val="000000"/>
                <w:sz w:val="20"/>
                <w:szCs w:val="20"/>
                <w:lang w:eastAsia="en-AU"/>
              </w:rPr>
            </w:pPr>
          </w:p>
        </w:tc>
      </w:tr>
    </w:tbl>
    <w:p w14:paraId="3D9BFF0D" w14:textId="6CD05F5B" w:rsidR="0005795C" w:rsidRPr="001513B5" w:rsidRDefault="000071F1" w:rsidP="0005795C">
      <w:pPr>
        <w:rPr>
          <w:rFonts w:eastAsiaTheme="majorEastAsia" w:cstheme="majorBidi"/>
          <w:sz w:val="20"/>
          <w:szCs w:val="20"/>
        </w:rPr>
      </w:pPr>
      <w:r>
        <w:rPr>
          <w:rFonts w:eastAsiaTheme="majorEastAsia" w:cstheme="majorBidi"/>
          <w:b/>
          <w:bCs/>
          <w:sz w:val="20"/>
          <w:szCs w:val="20"/>
          <w:vertAlign w:val="superscript"/>
        </w:rPr>
        <w:t>1</w:t>
      </w:r>
      <w:r w:rsidR="00EA6A29">
        <w:rPr>
          <w:rFonts w:eastAsiaTheme="majorEastAsia" w:cstheme="majorBidi"/>
          <w:b/>
          <w:bCs/>
          <w:sz w:val="20"/>
          <w:szCs w:val="20"/>
          <w:vertAlign w:val="superscript"/>
        </w:rPr>
        <w:t xml:space="preserve"> </w:t>
      </w:r>
      <w:r>
        <w:rPr>
          <w:rFonts w:eastAsiaTheme="majorEastAsia" w:cstheme="majorBidi"/>
          <w:sz w:val="20"/>
          <w:szCs w:val="20"/>
        </w:rPr>
        <w:t>Remains as a payable to SEC Victoria Pty Ltd at 30 June 2025</w:t>
      </w:r>
      <w:r w:rsidR="009B4B53">
        <w:rPr>
          <w:rFonts w:eastAsiaTheme="majorEastAsia" w:cstheme="majorBidi"/>
          <w:sz w:val="20"/>
          <w:szCs w:val="20"/>
        </w:rPr>
        <w:br/>
      </w:r>
    </w:p>
    <w:p w14:paraId="24946F1E" w14:textId="3F7A58C2" w:rsidR="0005795C" w:rsidRPr="00F65403" w:rsidRDefault="0005795C" w:rsidP="0005795C">
      <w:pPr>
        <w:pStyle w:val="Heading7"/>
      </w:pPr>
      <w:r w:rsidRPr="00F65403">
        <w:t>Auditors’ remuneration</w:t>
      </w:r>
    </w:p>
    <w:p w14:paraId="6D7790C3" w14:textId="77777777" w:rsidR="0005795C" w:rsidRPr="00F65403" w:rsidRDefault="0005795C" w:rsidP="0005795C">
      <w:pPr>
        <w:pStyle w:val="BodyText"/>
        <w:rPr>
          <w:lang w:val="en-AU"/>
        </w:rPr>
      </w:pPr>
      <w:r w:rsidRPr="00F65403">
        <w:rPr>
          <w:lang w:val="en-AU"/>
        </w:rPr>
        <w:t xml:space="preserve">During the year, the following fees were paid or payable for services provided by the auditor of the </w:t>
      </w:r>
      <w:r>
        <w:rPr>
          <w:lang w:val="en-AU"/>
        </w:rPr>
        <w:t>Company</w:t>
      </w:r>
      <w:r w:rsidRPr="00F65403">
        <w:rPr>
          <w:lang w:val="en-AU"/>
        </w:rPr>
        <w:t>:</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6398"/>
        <w:gridCol w:w="1314"/>
        <w:gridCol w:w="1314"/>
      </w:tblGrid>
      <w:tr w:rsidR="0005795C" w:rsidRPr="0073009A" w14:paraId="3D9E85F1" w14:textId="77777777">
        <w:tc>
          <w:tcPr>
            <w:tcW w:w="3544" w:type="pct"/>
            <w:tcBorders>
              <w:top w:val="nil"/>
              <w:left w:val="nil"/>
              <w:bottom w:val="nil"/>
              <w:right w:val="nil"/>
            </w:tcBorders>
            <w:noWrap/>
            <w:vAlign w:val="bottom"/>
            <w:hideMark/>
          </w:tcPr>
          <w:p w14:paraId="1EF971E4" w14:textId="77777777" w:rsidR="0005795C" w:rsidRPr="00F65403" w:rsidRDefault="0005795C">
            <w:pPr>
              <w:spacing w:after="0" w:line="240" w:lineRule="auto"/>
              <w:rPr>
                <w:rFonts w:eastAsia="Times New Roman" w:cs="Arial"/>
                <w:sz w:val="20"/>
                <w:szCs w:val="20"/>
                <w:lang w:eastAsia="en-AU"/>
              </w:rPr>
            </w:pPr>
          </w:p>
        </w:tc>
        <w:tc>
          <w:tcPr>
            <w:tcW w:w="728" w:type="pct"/>
            <w:tcBorders>
              <w:top w:val="nil"/>
              <w:left w:val="nil"/>
              <w:bottom w:val="nil"/>
              <w:right w:val="nil"/>
            </w:tcBorders>
            <w:vAlign w:val="bottom"/>
            <w:hideMark/>
          </w:tcPr>
          <w:p w14:paraId="629304C7" w14:textId="77777777" w:rsidR="0005795C" w:rsidRPr="00F65403" w:rsidRDefault="0005795C">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 xml:space="preserve">Year ended 30 June </w:t>
            </w:r>
            <w:r w:rsidRPr="00F65403">
              <w:rPr>
                <w:rFonts w:eastAsia="Times New Roman" w:cs="Arial"/>
                <w:b/>
                <w:color w:val="000000"/>
                <w:sz w:val="20"/>
                <w:szCs w:val="20"/>
                <w:lang w:eastAsia="en-AU"/>
              </w:rPr>
              <w:t>2025</w:t>
            </w:r>
          </w:p>
        </w:tc>
        <w:tc>
          <w:tcPr>
            <w:tcW w:w="728" w:type="pct"/>
            <w:tcBorders>
              <w:top w:val="nil"/>
              <w:left w:val="nil"/>
              <w:bottom w:val="nil"/>
              <w:right w:val="nil"/>
            </w:tcBorders>
            <w:noWrap/>
            <w:vAlign w:val="bottom"/>
            <w:hideMark/>
          </w:tcPr>
          <w:p w14:paraId="3D2B350A" w14:textId="5270AB58" w:rsidR="0005795C" w:rsidRPr="00F65403" w:rsidRDefault="0005795C">
            <w:pPr>
              <w:spacing w:after="0" w:line="240" w:lineRule="auto"/>
              <w:jc w:val="center"/>
              <w:rPr>
                <w:rFonts w:eastAsia="Times New Roman" w:cs="Arial"/>
                <w:b/>
                <w:color w:val="000000"/>
                <w:sz w:val="20"/>
                <w:szCs w:val="20"/>
                <w:lang w:eastAsia="en-AU"/>
              </w:rPr>
            </w:pPr>
            <w:r>
              <w:rPr>
                <w:rFonts w:eastAsia="Times New Roman" w:cs="Arial"/>
                <w:b/>
                <w:color w:val="000000"/>
                <w:sz w:val="20"/>
                <w:szCs w:val="20"/>
                <w:lang w:eastAsia="en-AU"/>
              </w:rPr>
              <w:t>2</w:t>
            </w:r>
            <w:r w:rsidR="00C85165">
              <w:rPr>
                <w:rFonts w:eastAsia="Times New Roman" w:cs="Arial"/>
                <w:b/>
                <w:color w:val="000000"/>
                <w:sz w:val="20"/>
                <w:szCs w:val="20"/>
                <w:lang w:eastAsia="en-AU"/>
              </w:rPr>
              <w:t>6</w:t>
            </w:r>
            <w:r>
              <w:rPr>
                <w:rFonts w:eastAsia="Times New Roman" w:cs="Arial"/>
                <w:b/>
                <w:color w:val="000000"/>
                <w:sz w:val="20"/>
                <w:szCs w:val="20"/>
                <w:lang w:eastAsia="en-AU"/>
              </w:rPr>
              <w:t xml:space="preserve"> October 2023 to 30 June 2024</w:t>
            </w:r>
          </w:p>
        </w:tc>
      </w:tr>
      <w:tr w:rsidR="0005795C" w:rsidRPr="0073009A" w14:paraId="0A709762" w14:textId="77777777">
        <w:tc>
          <w:tcPr>
            <w:tcW w:w="3544" w:type="pct"/>
            <w:tcBorders>
              <w:top w:val="nil"/>
              <w:left w:val="nil"/>
              <w:bottom w:val="nil"/>
              <w:right w:val="nil"/>
            </w:tcBorders>
            <w:noWrap/>
            <w:vAlign w:val="bottom"/>
            <w:hideMark/>
          </w:tcPr>
          <w:p w14:paraId="05854911" w14:textId="77777777" w:rsidR="0005795C" w:rsidRPr="00F65403" w:rsidRDefault="0005795C">
            <w:pPr>
              <w:spacing w:after="0" w:line="240" w:lineRule="auto"/>
              <w:jc w:val="right"/>
              <w:rPr>
                <w:rFonts w:eastAsia="Times New Roman" w:cs="Arial"/>
                <w:b/>
                <w:color w:val="000000"/>
                <w:sz w:val="20"/>
                <w:szCs w:val="20"/>
                <w:lang w:eastAsia="en-AU"/>
              </w:rPr>
            </w:pPr>
          </w:p>
        </w:tc>
        <w:tc>
          <w:tcPr>
            <w:tcW w:w="728" w:type="pct"/>
            <w:tcBorders>
              <w:top w:val="nil"/>
              <w:left w:val="nil"/>
              <w:bottom w:val="nil"/>
              <w:right w:val="nil"/>
            </w:tcBorders>
            <w:noWrap/>
            <w:vAlign w:val="bottom"/>
            <w:hideMark/>
          </w:tcPr>
          <w:p w14:paraId="6550D4D6" w14:textId="52B29FFE"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c>
          <w:tcPr>
            <w:tcW w:w="728" w:type="pct"/>
            <w:tcBorders>
              <w:top w:val="nil"/>
              <w:left w:val="nil"/>
              <w:bottom w:val="nil"/>
              <w:right w:val="nil"/>
            </w:tcBorders>
            <w:noWrap/>
            <w:vAlign w:val="bottom"/>
            <w:hideMark/>
          </w:tcPr>
          <w:p w14:paraId="6901F067" w14:textId="29B0BECC" w:rsidR="0005795C" w:rsidRPr="00F65403" w:rsidRDefault="0005795C">
            <w:pPr>
              <w:spacing w:after="0" w:line="240" w:lineRule="auto"/>
              <w:jc w:val="center"/>
              <w:rPr>
                <w:rFonts w:eastAsia="Times New Roman" w:cs="Arial"/>
                <w:b/>
                <w:color w:val="000000"/>
                <w:sz w:val="20"/>
                <w:szCs w:val="20"/>
                <w:lang w:eastAsia="en-AU"/>
              </w:rPr>
            </w:pPr>
            <w:r w:rsidRPr="00F65403">
              <w:rPr>
                <w:rFonts w:eastAsia="Times New Roman" w:cs="Arial"/>
                <w:b/>
                <w:color w:val="000000"/>
                <w:sz w:val="20"/>
                <w:szCs w:val="20"/>
                <w:lang w:eastAsia="en-AU"/>
              </w:rPr>
              <w:t>$</w:t>
            </w:r>
          </w:p>
        </w:tc>
      </w:tr>
      <w:tr w:rsidR="0005795C" w:rsidRPr="0073009A" w14:paraId="48C30E11" w14:textId="77777777">
        <w:tc>
          <w:tcPr>
            <w:tcW w:w="3544" w:type="pct"/>
            <w:tcBorders>
              <w:top w:val="nil"/>
              <w:left w:val="nil"/>
              <w:bottom w:val="nil"/>
              <w:right w:val="nil"/>
            </w:tcBorders>
            <w:vAlign w:val="bottom"/>
            <w:hideMark/>
          </w:tcPr>
          <w:p w14:paraId="1C6C36A9"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 xml:space="preserve">Amounts received or due and receivable by the auditor: </w:t>
            </w:r>
          </w:p>
        </w:tc>
        <w:tc>
          <w:tcPr>
            <w:tcW w:w="728" w:type="pct"/>
            <w:tcBorders>
              <w:top w:val="nil"/>
              <w:left w:val="nil"/>
              <w:bottom w:val="nil"/>
              <w:right w:val="nil"/>
            </w:tcBorders>
            <w:vAlign w:val="bottom"/>
            <w:hideMark/>
          </w:tcPr>
          <w:p w14:paraId="7E79C3BD" w14:textId="77777777" w:rsidR="0005795C" w:rsidRPr="00F65403" w:rsidRDefault="0005795C">
            <w:pPr>
              <w:tabs>
                <w:tab w:val="decimal" w:pos="964"/>
              </w:tabs>
              <w:spacing w:after="0" w:line="240" w:lineRule="auto"/>
              <w:rPr>
                <w:rFonts w:eastAsia="Times New Roman" w:cs="Arial"/>
                <w:color w:val="000000"/>
                <w:sz w:val="20"/>
                <w:szCs w:val="20"/>
                <w:lang w:eastAsia="en-AU"/>
              </w:rPr>
            </w:pPr>
          </w:p>
        </w:tc>
        <w:tc>
          <w:tcPr>
            <w:tcW w:w="728" w:type="pct"/>
            <w:tcBorders>
              <w:top w:val="nil"/>
              <w:left w:val="nil"/>
              <w:bottom w:val="nil"/>
              <w:right w:val="nil"/>
            </w:tcBorders>
            <w:vAlign w:val="bottom"/>
            <w:hideMark/>
          </w:tcPr>
          <w:p w14:paraId="20571B67" w14:textId="77777777" w:rsidR="0005795C" w:rsidRPr="00F65403" w:rsidRDefault="0005795C">
            <w:pPr>
              <w:tabs>
                <w:tab w:val="decimal" w:pos="964"/>
              </w:tabs>
              <w:spacing w:after="0" w:line="240" w:lineRule="auto"/>
              <w:rPr>
                <w:rFonts w:eastAsia="Times New Roman" w:cs="Arial"/>
                <w:sz w:val="20"/>
                <w:szCs w:val="20"/>
                <w:lang w:eastAsia="en-AU"/>
              </w:rPr>
            </w:pPr>
          </w:p>
        </w:tc>
      </w:tr>
      <w:tr w:rsidR="0005795C" w:rsidRPr="0073009A" w14:paraId="5A2E2044" w14:textId="77777777">
        <w:tc>
          <w:tcPr>
            <w:tcW w:w="3544" w:type="pct"/>
            <w:tcBorders>
              <w:top w:val="nil"/>
              <w:left w:val="nil"/>
              <w:bottom w:val="nil"/>
              <w:right w:val="nil"/>
            </w:tcBorders>
            <w:vAlign w:val="bottom"/>
            <w:hideMark/>
          </w:tcPr>
          <w:p w14:paraId="7DFF7F3C" w14:textId="77777777" w:rsidR="0005795C" w:rsidRPr="00F65403" w:rsidRDefault="0005795C">
            <w:pPr>
              <w:spacing w:after="0" w:line="240" w:lineRule="auto"/>
              <w:rPr>
                <w:rFonts w:eastAsia="Times New Roman" w:cs="Arial"/>
                <w:color w:val="000000"/>
                <w:sz w:val="20"/>
                <w:szCs w:val="20"/>
                <w:lang w:eastAsia="en-AU"/>
              </w:rPr>
            </w:pPr>
            <w:r w:rsidRPr="00F65403">
              <w:rPr>
                <w:rFonts w:eastAsia="Times New Roman" w:cs="Arial"/>
                <w:color w:val="000000"/>
                <w:sz w:val="20"/>
                <w:szCs w:val="20"/>
                <w:lang w:eastAsia="en-AU"/>
              </w:rPr>
              <w:t>Auditing the statutory financial report of the Company</w:t>
            </w:r>
          </w:p>
        </w:tc>
        <w:tc>
          <w:tcPr>
            <w:tcW w:w="728" w:type="pct"/>
            <w:tcBorders>
              <w:top w:val="nil"/>
              <w:left w:val="nil"/>
              <w:bottom w:val="nil"/>
              <w:right w:val="nil"/>
            </w:tcBorders>
            <w:noWrap/>
            <w:vAlign w:val="bottom"/>
            <w:hideMark/>
          </w:tcPr>
          <w:p w14:paraId="4DC11190" w14:textId="115C12D8" w:rsidR="0005795C" w:rsidRPr="00F65403" w:rsidRDefault="0005795C">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32</w:t>
            </w:r>
            <w:r w:rsidR="00045420">
              <w:rPr>
                <w:rFonts w:eastAsia="Times New Roman" w:cs="Arial"/>
                <w:color w:val="000000"/>
                <w:sz w:val="20"/>
                <w:szCs w:val="20"/>
                <w:lang w:eastAsia="en-AU"/>
              </w:rPr>
              <w:t>,000</w:t>
            </w:r>
          </w:p>
        </w:tc>
        <w:tc>
          <w:tcPr>
            <w:tcW w:w="728" w:type="pct"/>
            <w:tcBorders>
              <w:top w:val="nil"/>
              <w:left w:val="nil"/>
              <w:bottom w:val="nil"/>
              <w:right w:val="nil"/>
            </w:tcBorders>
            <w:noWrap/>
            <w:vAlign w:val="bottom"/>
            <w:hideMark/>
          </w:tcPr>
          <w:p w14:paraId="02CBA964" w14:textId="6839D1E9" w:rsidR="0005795C" w:rsidRPr="00F65403" w:rsidRDefault="0005795C">
            <w:pPr>
              <w:tabs>
                <w:tab w:val="decimal" w:pos="964"/>
              </w:tabs>
              <w:spacing w:after="0" w:line="240" w:lineRule="auto"/>
              <w:rPr>
                <w:rFonts w:eastAsia="Times New Roman" w:cs="Arial"/>
                <w:color w:val="000000"/>
                <w:sz w:val="20"/>
                <w:szCs w:val="20"/>
                <w:lang w:eastAsia="en-AU"/>
              </w:rPr>
            </w:pPr>
            <w:r>
              <w:rPr>
                <w:rFonts w:eastAsia="Times New Roman" w:cs="Arial"/>
                <w:color w:val="000000"/>
                <w:sz w:val="20"/>
                <w:szCs w:val="20"/>
                <w:lang w:eastAsia="en-AU"/>
              </w:rPr>
              <w:t>30</w:t>
            </w:r>
            <w:r w:rsidR="00045420">
              <w:rPr>
                <w:rFonts w:eastAsia="Times New Roman" w:cs="Arial"/>
                <w:color w:val="000000"/>
                <w:sz w:val="20"/>
                <w:szCs w:val="20"/>
                <w:lang w:eastAsia="en-AU"/>
              </w:rPr>
              <w:t>,000</w:t>
            </w:r>
          </w:p>
        </w:tc>
      </w:tr>
      <w:tr w:rsidR="0005795C" w:rsidRPr="0073009A" w14:paraId="4FA3E0C4" w14:textId="77777777">
        <w:tc>
          <w:tcPr>
            <w:tcW w:w="3544" w:type="pct"/>
            <w:tcBorders>
              <w:top w:val="nil"/>
              <w:left w:val="nil"/>
              <w:bottom w:val="nil"/>
              <w:right w:val="nil"/>
            </w:tcBorders>
            <w:noWrap/>
            <w:vAlign w:val="bottom"/>
            <w:hideMark/>
          </w:tcPr>
          <w:p w14:paraId="3698C0B9" w14:textId="77777777" w:rsidR="0005795C" w:rsidRPr="00F65403" w:rsidRDefault="0005795C">
            <w:pPr>
              <w:spacing w:after="0" w:line="240" w:lineRule="auto"/>
              <w:rPr>
                <w:rFonts w:eastAsia="Times New Roman" w:cs="Arial"/>
                <w:b/>
                <w:color w:val="000000"/>
                <w:sz w:val="20"/>
                <w:szCs w:val="20"/>
                <w:lang w:eastAsia="en-AU"/>
              </w:rPr>
            </w:pPr>
            <w:r w:rsidRPr="00F65403">
              <w:rPr>
                <w:rFonts w:eastAsia="Times New Roman" w:cs="Arial"/>
                <w:b/>
                <w:color w:val="000000"/>
                <w:sz w:val="20"/>
                <w:szCs w:val="20"/>
                <w:lang w:eastAsia="en-AU"/>
              </w:rPr>
              <w:t>Total</w:t>
            </w:r>
          </w:p>
        </w:tc>
        <w:tc>
          <w:tcPr>
            <w:tcW w:w="728" w:type="pct"/>
            <w:tcBorders>
              <w:top w:val="single" w:sz="4" w:space="0" w:color="auto"/>
              <w:left w:val="nil"/>
              <w:bottom w:val="single" w:sz="4" w:space="0" w:color="auto"/>
              <w:right w:val="nil"/>
            </w:tcBorders>
            <w:noWrap/>
            <w:vAlign w:val="bottom"/>
            <w:hideMark/>
          </w:tcPr>
          <w:p w14:paraId="1D2658E5" w14:textId="0E11F693" w:rsidR="0005795C" w:rsidRPr="00F65403" w:rsidRDefault="0005795C">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32</w:t>
            </w:r>
            <w:r w:rsidR="00045420">
              <w:rPr>
                <w:rFonts w:eastAsia="Times New Roman" w:cs="Arial"/>
                <w:b/>
                <w:color w:val="000000"/>
                <w:sz w:val="20"/>
                <w:szCs w:val="20"/>
                <w:lang w:eastAsia="en-AU"/>
              </w:rPr>
              <w:t>,000</w:t>
            </w:r>
          </w:p>
        </w:tc>
        <w:tc>
          <w:tcPr>
            <w:tcW w:w="728" w:type="pct"/>
            <w:tcBorders>
              <w:top w:val="single" w:sz="4" w:space="0" w:color="auto"/>
              <w:left w:val="nil"/>
              <w:bottom w:val="single" w:sz="4" w:space="0" w:color="auto"/>
              <w:right w:val="nil"/>
            </w:tcBorders>
            <w:noWrap/>
            <w:vAlign w:val="bottom"/>
            <w:hideMark/>
          </w:tcPr>
          <w:p w14:paraId="632CFAF1" w14:textId="7BC8681E" w:rsidR="0005795C" w:rsidRPr="00F65403" w:rsidRDefault="0005795C">
            <w:pPr>
              <w:tabs>
                <w:tab w:val="decimal" w:pos="964"/>
              </w:tabs>
              <w:spacing w:after="0" w:line="240" w:lineRule="auto"/>
              <w:rPr>
                <w:rFonts w:eastAsia="Times New Roman" w:cs="Arial"/>
                <w:b/>
                <w:color w:val="000000"/>
                <w:sz w:val="20"/>
                <w:szCs w:val="20"/>
                <w:lang w:eastAsia="en-AU"/>
              </w:rPr>
            </w:pPr>
            <w:r>
              <w:rPr>
                <w:rFonts w:eastAsia="Times New Roman" w:cs="Arial"/>
                <w:b/>
                <w:color w:val="000000"/>
                <w:sz w:val="20"/>
                <w:szCs w:val="20"/>
                <w:lang w:eastAsia="en-AU"/>
              </w:rPr>
              <w:t>30</w:t>
            </w:r>
            <w:r w:rsidR="00045420">
              <w:rPr>
                <w:rFonts w:eastAsia="Times New Roman" w:cs="Arial"/>
                <w:b/>
                <w:color w:val="000000"/>
                <w:sz w:val="20"/>
                <w:szCs w:val="20"/>
                <w:lang w:eastAsia="en-AU"/>
              </w:rPr>
              <w:t>,000</w:t>
            </w:r>
          </w:p>
        </w:tc>
      </w:tr>
    </w:tbl>
    <w:p w14:paraId="5CF2AAA6" w14:textId="77777777" w:rsidR="0005795C" w:rsidRPr="00F65403" w:rsidRDefault="0005795C" w:rsidP="0005795C">
      <w:pPr>
        <w:pStyle w:val="BodyText"/>
        <w:rPr>
          <w:lang w:val="en-AU"/>
        </w:rPr>
      </w:pPr>
    </w:p>
    <w:p w14:paraId="64898E46" w14:textId="77777777" w:rsidR="0005795C" w:rsidRPr="00F65403" w:rsidRDefault="0005795C" w:rsidP="0005795C">
      <w:pPr>
        <w:pStyle w:val="BodyText"/>
        <w:rPr>
          <w:lang w:val="en-AU"/>
        </w:rPr>
      </w:pPr>
    </w:p>
    <w:p w14:paraId="0C2409D2" w14:textId="77777777" w:rsidR="0005795C" w:rsidRPr="00F65403" w:rsidRDefault="0005795C" w:rsidP="0005795C">
      <w:pPr>
        <w:pStyle w:val="BodyText"/>
        <w:rPr>
          <w:lang w:val="en-AU"/>
        </w:rPr>
      </w:pPr>
      <w:r w:rsidRPr="00F65403">
        <w:rPr>
          <w:lang w:val="en-AU"/>
        </w:rPr>
        <w:br w:type="page"/>
      </w:r>
    </w:p>
    <w:p w14:paraId="5D997077" w14:textId="77777777" w:rsidR="0005795C" w:rsidRPr="00B94E93" w:rsidRDefault="0005795C" w:rsidP="00B254AC">
      <w:pPr>
        <w:pStyle w:val="Heading1"/>
      </w:pPr>
      <w:bookmarkStart w:id="668" w:name="_Toc208418069"/>
      <w:bookmarkStart w:id="669" w:name="_Toc209080433"/>
      <w:bookmarkStart w:id="670" w:name="_Toc209704003"/>
      <w:bookmarkStart w:id="671" w:name="_Toc209704056"/>
      <w:bookmarkStart w:id="672" w:name="_Toc209704109"/>
      <w:r>
        <w:t>Directors’ declaration</w:t>
      </w:r>
      <w:bookmarkEnd w:id="668"/>
      <w:bookmarkEnd w:id="669"/>
      <w:bookmarkEnd w:id="670"/>
      <w:bookmarkEnd w:id="671"/>
      <w:bookmarkEnd w:id="672"/>
      <w:r>
        <w:t xml:space="preserve"> </w:t>
      </w:r>
    </w:p>
    <w:p w14:paraId="627C6164" w14:textId="77777777" w:rsidR="0005795C" w:rsidRDefault="0005795C" w:rsidP="0005795C">
      <w:pPr>
        <w:jc w:val="center"/>
      </w:pPr>
    </w:p>
    <w:p w14:paraId="58B12333" w14:textId="77777777" w:rsidR="0005795C" w:rsidRDefault="0005795C" w:rsidP="0005795C">
      <w:r>
        <w:t xml:space="preserve">In the directors’ opinion: </w:t>
      </w:r>
    </w:p>
    <w:p w14:paraId="1EA04E9F" w14:textId="761CA000" w:rsidR="0005795C" w:rsidRDefault="0005795C" w:rsidP="0005795C">
      <w:r>
        <w:t xml:space="preserve">1. The financial statements and notes </w:t>
      </w:r>
      <w:r w:rsidR="001B5F09">
        <w:t xml:space="preserve">of SEC Energy Pty Ltd </w:t>
      </w:r>
      <w:r>
        <w:t xml:space="preserve">are in accordance with the </w:t>
      </w:r>
      <w:r w:rsidRPr="00920CA6">
        <w:rPr>
          <w:i/>
          <w:iCs/>
        </w:rPr>
        <w:t>Corporations Act 2001</w:t>
      </w:r>
      <w:r>
        <w:t>, including:</w:t>
      </w:r>
    </w:p>
    <w:p w14:paraId="06F4DD3E" w14:textId="77777777" w:rsidR="0005795C" w:rsidRDefault="0005795C" w:rsidP="0005795C">
      <w:r>
        <w:t>a. giving a true and fair view of the Company’s financial position as at 30 June 2025 and of its performance for the year then ended</w:t>
      </w:r>
    </w:p>
    <w:p w14:paraId="7AD83ED4" w14:textId="77777777" w:rsidR="0005795C" w:rsidRDefault="0005795C" w:rsidP="0005795C">
      <w:r>
        <w:t xml:space="preserve">b. complying with the Australian Accounting Standards (including the Australian Standards of Interpretations), the </w:t>
      </w:r>
      <w:r w:rsidRPr="00BD07C1">
        <w:rPr>
          <w:i/>
          <w:iCs/>
        </w:rPr>
        <w:t>Corporations Regulations 2001</w:t>
      </w:r>
      <w:r w:rsidRPr="00F96FA2">
        <w:t xml:space="preserve"> </w:t>
      </w:r>
      <w:r>
        <w:t>a</w:t>
      </w:r>
      <w:r w:rsidRPr="00F96FA2">
        <w:t>nd other mandatory professional reporting requirements</w:t>
      </w:r>
      <w:r>
        <w:t>.</w:t>
      </w:r>
    </w:p>
    <w:p w14:paraId="54EF4AC4" w14:textId="77777777" w:rsidR="0005795C" w:rsidRDefault="0005795C" w:rsidP="0005795C">
      <w:r>
        <w:t>2. There are reasonable grounds to believe that the Company will be able to pay its debts as and when they become due and payable</w:t>
      </w:r>
    </w:p>
    <w:p w14:paraId="7B1435DD" w14:textId="77777777" w:rsidR="0005795C" w:rsidRDefault="0005795C" w:rsidP="0005795C">
      <w:r>
        <w:t>3. At the time of signing, we are not aware of any circumstance which would make any particulars included in the annual financial report misleading or inaccurate.</w:t>
      </w:r>
    </w:p>
    <w:p w14:paraId="5163585E" w14:textId="77777777" w:rsidR="0005795C" w:rsidRDefault="0005795C" w:rsidP="0005795C">
      <w:r>
        <w:t xml:space="preserve">Signed in accordance with a resolution of directors made pursuant to section 295(5)(a) of the </w:t>
      </w:r>
      <w:r w:rsidRPr="00BD07C1">
        <w:rPr>
          <w:i/>
          <w:iCs/>
        </w:rPr>
        <w:t>Corporations Act 2001</w:t>
      </w:r>
      <w:r>
        <w:t xml:space="preserve">. </w:t>
      </w:r>
    </w:p>
    <w:p w14:paraId="6B41FC5E" w14:textId="77777777" w:rsidR="0005795C" w:rsidRDefault="0005795C" w:rsidP="0005795C"/>
    <w:p w14:paraId="5D7B8367" w14:textId="77777777" w:rsidR="0005795C" w:rsidRDefault="0005795C" w:rsidP="0005795C"/>
    <w:p w14:paraId="666CFDED" w14:textId="77777777" w:rsidR="0005795C" w:rsidRPr="00C85165" w:rsidRDefault="0005795C" w:rsidP="0005795C">
      <w:r w:rsidRPr="00C85165">
        <w:t>Simon Corbell</w:t>
      </w:r>
    </w:p>
    <w:p w14:paraId="7E56626F" w14:textId="77777777" w:rsidR="0005795C" w:rsidRPr="00C85165" w:rsidRDefault="0005795C" w:rsidP="0005795C">
      <w:r w:rsidRPr="00C85165">
        <w:t>Chair, SEC</w:t>
      </w:r>
    </w:p>
    <w:p w14:paraId="530B2765" w14:textId="476A2FA0" w:rsidR="0005795C" w:rsidRDefault="00C85165" w:rsidP="0005795C">
      <w:r w:rsidRPr="00AA3AC5">
        <w:t>6</w:t>
      </w:r>
      <w:r w:rsidR="0005795C" w:rsidRPr="00AA3AC5">
        <w:t xml:space="preserve"> October 2025</w:t>
      </w:r>
    </w:p>
    <w:p w14:paraId="6DF33D42" w14:textId="77777777" w:rsidR="0005795C" w:rsidRPr="00F65403" w:rsidRDefault="0005795C" w:rsidP="0005795C">
      <w:pPr>
        <w:rPr>
          <w:rFonts w:eastAsia="Arial" w:cs="Arial"/>
          <w:color w:val="39004E"/>
          <w:w w:val="105"/>
          <w:szCs w:val="24"/>
        </w:rPr>
      </w:pPr>
      <w:r>
        <w:br w:type="page"/>
      </w:r>
    </w:p>
    <w:p w14:paraId="2781F893" w14:textId="79ABCD73" w:rsidR="0005795C" w:rsidRDefault="0005795C" w:rsidP="00B254AC">
      <w:pPr>
        <w:pStyle w:val="Heading1"/>
        <w:rPr>
          <w:sz w:val="24"/>
          <w:szCs w:val="24"/>
        </w:rPr>
      </w:pPr>
      <w:bookmarkStart w:id="673" w:name="_Ref207630527"/>
      <w:bookmarkStart w:id="674" w:name="_Ref207630534"/>
      <w:bookmarkStart w:id="675" w:name="_Ref207630540"/>
      <w:bookmarkStart w:id="676" w:name="_Toc208418070"/>
      <w:bookmarkStart w:id="677" w:name="_Toc209080434"/>
      <w:bookmarkStart w:id="678" w:name="_Toc209704004"/>
      <w:bookmarkStart w:id="679" w:name="_Toc209704057"/>
      <w:bookmarkStart w:id="680" w:name="_Toc209704110"/>
      <w:r w:rsidRPr="701665F7">
        <w:t xml:space="preserve">Declaration by </w:t>
      </w:r>
      <w:r w:rsidR="001F1BF5">
        <w:t>Board Chair</w:t>
      </w:r>
      <w:r w:rsidRPr="701665F7">
        <w:t>, Chief Executive Officer and Chief Financial Officer</w:t>
      </w:r>
      <w:bookmarkEnd w:id="673"/>
      <w:bookmarkEnd w:id="674"/>
      <w:bookmarkEnd w:id="675"/>
      <w:bookmarkEnd w:id="676"/>
      <w:bookmarkEnd w:id="677"/>
      <w:bookmarkEnd w:id="678"/>
      <w:bookmarkEnd w:id="679"/>
      <w:bookmarkEnd w:id="680"/>
    </w:p>
    <w:p w14:paraId="4029F2F3" w14:textId="77777777" w:rsidR="0005795C" w:rsidRDefault="0005795C" w:rsidP="0005795C">
      <w:pPr>
        <w:rPr>
          <w:rFonts w:cs="Arial"/>
        </w:rPr>
      </w:pPr>
    </w:p>
    <w:p w14:paraId="245A1C10" w14:textId="4FB1F31A" w:rsidR="0005795C" w:rsidRDefault="001B5F09" w:rsidP="0005795C">
      <w:pPr>
        <w:rPr>
          <w:rFonts w:cs="Arial"/>
        </w:rPr>
      </w:pPr>
      <w:r>
        <w:rPr>
          <w:rFonts w:cs="Arial"/>
        </w:rPr>
        <w:t>For SEC Energy Ptd Ltd, w</w:t>
      </w:r>
      <w:r w:rsidR="0005795C" w:rsidRPr="701665F7">
        <w:rPr>
          <w:rFonts w:cs="Arial"/>
        </w:rPr>
        <w:t>e jointly certify that:</w:t>
      </w:r>
    </w:p>
    <w:p w14:paraId="2FF345BD" w14:textId="77777777" w:rsidR="0005795C" w:rsidRPr="00414045" w:rsidRDefault="0005795C" w:rsidP="0005795C">
      <w:pPr>
        <w:pStyle w:val="ListParagraph"/>
        <w:numPr>
          <w:ilvl w:val="0"/>
          <w:numId w:val="49"/>
        </w:numPr>
        <w:rPr>
          <w:rFonts w:cs="Arial"/>
        </w:rPr>
      </w:pPr>
      <w:r w:rsidRPr="701665F7">
        <w:rPr>
          <w:rFonts w:cs="Arial"/>
        </w:rPr>
        <w:t>the financial statements present fairly the financial transactions during the reporting period and the financial position at the end of that period; and</w:t>
      </w:r>
    </w:p>
    <w:p w14:paraId="22C738C8" w14:textId="77777777" w:rsidR="0005795C" w:rsidRDefault="0005795C" w:rsidP="0005795C">
      <w:pPr>
        <w:pStyle w:val="ListParagraph"/>
        <w:numPr>
          <w:ilvl w:val="0"/>
          <w:numId w:val="49"/>
        </w:numPr>
        <w:rPr>
          <w:rFonts w:cs="Arial"/>
        </w:rPr>
      </w:pPr>
      <w:r w:rsidRPr="701665F7">
        <w:rPr>
          <w:rFonts w:cs="Arial"/>
        </w:rPr>
        <w:t xml:space="preserve">the financial statements have been prepared in accordance with Direction 5.2 of the Standing Directions of the Assistant Treasurer under the </w:t>
      </w:r>
      <w:r w:rsidRPr="701665F7">
        <w:rPr>
          <w:rFonts w:cs="Arial"/>
          <w:i/>
        </w:rPr>
        <w:t>Financial Management Act 1994</w:t>
      </w:r>
      <w:r w:rsidRPr="701665F7">
        <w:rPr>
          <w:rFonts w:cs="Arial"/>
        </w:rPr>
        <w:t>, applicable Financial Reporting Directions, Australian Accounting Standards including Interpretations, and other mandatory professional reporting requirements.</w:t>
      </w:r>
    </w:p>
    <w:p w14:paraId="4FDA1152" w14:textId="77777777" w:rsidR="0005795C" w:rsidRDefault="0005795C" w:rsidP="0005795C">
      <w:pPr>
        <w:rPr>
          <w:rFonts w:cs="Arial"/>
        </w:rPr>
      </w:pPr>
    </w:p>
    <w:p w14:paraId="7BD74742" w14:textId="77777777" w:rsidR="0005795C" w:rsidRDefault="0005795C" w:rsidP="0005795C">
      <w:pPr>
        <w:rPr>
          <w:rFonts w:cs="Arial"/>
        </w:rPr>
      </w:pPr>
    </w:p>
    <w:tbl>
      <w:tblPr>
        <w:tblW w:w="9016" w:type="dxa"/>
        <w:tblLook w:val="04A0" w:firstRow="1" w:lastRow="0" w:firstColumn="1" w:lastColumn="0" w:noHBand="0" w:noVBand="1"/>
      </w:tblPr>
      <w:tblGrid>
        <w:gridCol w:w="2410"/>
        <w:gridCol w:w="1134"/>
        <w:gridCol w:w="2165"/>
        <w:gridCol w:w="1095"/>
        <w:gridCol w:w="2212"/>
      </w:tblGrid>
      <w:tr w:rsidR="0005795C" w:rsidRPr="00850154" w14:paraId="5280BC07" w14:textId="77777777">
        <w:trPr>
          <w:trHeight w:val="264"/>
        </w:trPr>
        <w:tc>
          <w:tcPr>
            <w:tcW w:w="2410" w:type="dxa"/>
            <w:tcBorders>
              <w:top w:val="nil"/>
              <w:left w:val="nil"/>
              <w:bottom w:val="nil"/>
              <w:right w:val="nil"/>
            </w:tcBorders>
            <w:noWrap/>
            <w:vAlign w:val="bottom"/>
            <w:hideMark/>
          </w:tcPr>
          <w:p w14:paraId="0CD5B254" w14:textId="77777777" w:rsidR="0005795C" w:rsidRPr="00850154" w:rsidRDefault="0005795C">
            <w:pPr>
              <w:spacing w:after="0" w:line="240" w:lineRule="auto"/>
              <w:rPr>
                <w:rFonts w:eastAsia="Times New Roman" w:cs="Arial"/>
                <w:color w:val="000000"/>
                <w:szCs w:val="24"/>
                <w:lang w:eastAsia="en-AU"/>
              </w:rPr>
            </w:pPr>
            <w:r w:rsidRPr="00850154">
              <w:rPr>
                <w:rFonts w:eastAsia="Times New Roman" w:cs="Arial"/>
                <w:color w:val="000000"/>
                <w:szCs w:val="24"/>
                <w:lang w:eastAsia="en-AU"/>
              </w:rPr>
              <w:t>Simon Corbell</w:t>
            </w:r>
          </w:p>
        </w:tc>
        <w:tc>
          <w:tcPr>
            <w:tcW w:w="1134" w:type="dxa"/>
            <w:tcBorders>
              <w:top w:val="nil"/>
              <w:left w:val="nil"/>
              <w:bottom w:val="nil"/>
              <w:right w:val="nil"/>
            </w:tcBorders>
            <w:noWrap/>
            <w:vAlign w:val="bottom"/>
            <w:hideMark/>
          </w:tcPr>
          <w:p w14:paraId="7D270406" w14:textId="77777777" w:rsidR="0005795C" w:rsidRPr="00850154" w:rsidRDefault="0005795C">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5CD24D45" w14:textId="77777777" w:rsidR="0005795C" w:rsidRPr="00850154" w:rsidRDefault="0005795C">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Christopher Miller</w:t>
            </w:r>
          </w:p>
        </w:tc>
        <w:tc>
          <w:tcPr>
            <w:tcW w:w="1095" w:type="dxa"/>
            <w:tcBorders>
              <w:top w:val="nil"/>
              <w:left w:val="nil"/>
              <w:bottom w:val="nil"/>
              <w:right w:val="nil"/>
            </w:tcBorders>
            <w:noWrap/>
            <w:vAlign w:val="bottom"/>
            <w:hideMark/>
          </w:tcPr>
          <w:p w14:paraId="0AEB29E9" w14:textId="77777777" w:rsidR="0005795C" w:rsidRPr="00850154" w:rsidRDefault="0005795C">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7AB37AF3" w14:textId="77777777" w:rsidR="0005795C" w:rsidRPr="00850154" w:rsidRDefault="0005795C">
            <w:pPr>
              <w:spacing w:after="0" w:line="240" w:lineRule="auto"/>
              <w:rPr>
                <w:rFonts w:eastAsia="Times New Roman" w:cs="Arial"/>
                <w:color w:val="000000"/>
                <w:szCs w:val="24"/>
                <w:lang w:eastAsia="en-AU"/>
              </w:rPr>
            </w:pPr>
            <w:r w:rsidRPr="00850154">
              <w:rPr>
                <w:rFonts w:eastAsia="Times New Roman" w:cs="Arial"/>
                <w:color w:val="000000"/>
                <w:szCs w:val="24"/>
                <w:lang w:eastAsia="en-AU"/>
              </w:rPr>
              <w:t>Elisha Civil</w:t>
            </w:r>
          </w:p>
        </w:tc>
      </w:tr>
      <w:tr w:rsidR="0005795C" w:rsidRPr="00850154" w14:paraId="295FE20E" w14:textId="77777777">
        <w:trPr>
          <w:trHeight w:val="264"/>
        </w:trPr>
        <w:tc>
          <w:tcPr>
            <w:tcW w:w="2410" w:type="dxa"/>
            <w:tcBorders>
              <w:top w:val="nil"/>
              <w:left w:val="nil"/>
              <w:bottom w:val="nil"/>
              <w:right w:val="nil"/>
            </w:tcBorders>
            <w:noWrap/>
            <w:hideMark/>
          </w:tcPr>
          <w:p w14:paraId="2FBA4D35" w14:textId="07BA4575" w:rsidR="0005795C" w:rsidRPr="00850154" w:rsidRDefault="001F1BF5">
            <w:pPr>
              <w:spacing w:after="0" w:line="240" w:lineRule="auto"/>
              <w:rPr>
                <w:rFonts w:eastAsia="Times New Roman" w:cs="Arial"/>
                <w:color w:val="000000"/>
                <w:szCs w:val="24"/>
                <w:lang w:eastAsia="en-AU"/>
              </w:rPr>
            </w:pPr>
            <w:r>
              <w:rPr>
                <w:rFonts w:eastAsia="Times New Roman" w:cs="Arial"/>
                <w:color w:val="000000"/>
                <w:szCs w:val="24"/>
                <w:lang w:eastAsia="en-AU"/>
              </w:rPr>
              <w:t>Board Chair</w:t>
            </w:r>
          </w:p>
        </w:tc>
        <w:tc>
          <w:tcPr>
            <w:tcW w:w="1134" w:type="dxa"/>
            <w:tcBorders>
              <w:top w:val="nil"/>
              <w:left w:val="nil"/>
              <w:bottom w:val="nil"/>
              <w:right w:val="nil"/>
            </w:tcBorders>
            <w:noWrap/>
            <w:vAlign w:val="bottom"/>
            <w:hideMark/>
          </w:tcPr>
          <w:p w14:paraId="1930BCFA" w14:textId="77777777" w:rsidR="0005795C" w:rsidRPr="00850154" w:rsidRDefault="0005795C">
            <w:pPr>
              <w:spacing w:after="0" w:line="240" w:lineRule="auto"/>
              <w:rPr>
                <w:rFonts w:eastAsia="Times New Roman" w:cs="Arial"/>
                <w:color w:val="000000"/>
                <w:szCs w:val="24"/>
                <w:lang w:eastAsia="en-AU"/>
              </w:rPr>
            </w:pPr>
          </w:p>
        </w:tc>
        <w:tc>
          <w:tcPr>
            <w:tcW w:w="2165" w:type="dxa"/>
            <w:tcBorders>
              <w:top w:val="nil"/>
              <w:left w:val="nil"/>
              <w:bottom w:val="nil"/>
              <w:right w:val="nil"/>
            </w:tcBorders>
            <w:noWrap/>
            <w:vAlign w:val="bottom"/>
            <w:hideMark/>
          </w:tcPr>
          <w:p w14:paraId="7DCE8AAC" w14:textId="77777777" w:rsidR="0005795C" w:rsidRPr="00850154" w:rsidRDefault="0005795C">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Executive Officer</w:t>
            </w:r>
          </w:p>
        </w:tc>
        <w:tc>
          <w:tcPr>
            <w:tcW w:w="1095" w:type="dxa"/>
            <w:tcBorders>
              <w:top w:val="nil"/>
              <w:left w:val="nil"/>
              <w:bottom w:val="nil"/>
              <w:right w:val="nil"/>
            </w:tcBorders>
            <w:noWrap/>
            <w:vAlign w:val="bottom"/>
            <w:hideMark/>
          </w:tcPr>
          <w:p w14:paraId="77AAF01A" w14:textId="77777777" w:rsidR="0005795C" w:rsidRPr="00850154" w:rsidRDefault="0005795C">
            <w:pPr>
              <w:spacing w:after="0" w:line="240" w:lineRule="auto"/>
              <w:rPr>
                <w:rFonts w:eastAsia="Times New Roman" w:cs="Arial"/>
                <w:color w:val="000000"/>
                <w:szCs w:val="24"/>
                <w:lang w:eastAsia="en-AU"/>
              </w:rPr>
            </w:pPr>
          </w:p>
        </w:tc>
        <w:tc>
          <w:tcPr>
            <w:tcW w:w="2212" w:type="dxa"/>
            <w:tcBorders>
              <w:top w:val="nil"/>
              <w:left w:val="nil"/>
              <w:bottom w:val="nil"/>
              <w:right w:val="nil"/>
            </w:tcBorders>
            <w:noWrap/>
            <w:vAlign w:val="bottom"/>
            <w:hideMark/>
          </w:tcPr>
          <w:p w14:paraId="73CA0CF4" w14:textId="77777777" w:rsidR="0005795C" w:rsidRPr="00850154" w:rsidRDefault="0005795C">
            <w:pPr>
              <w:spacing w:after="0" w:line="240" w:lineRule="auto"/>
              <w:rPr>
                <w:rFonts w:eastAsia="Times New Roman" w:cs="Arial"/>
                <w:color w:val="000000"/>
                <w:szCs w:val="24"/>
                <w:lang w:eastAsia="en-AU"/>
              </w:rPr>
            </w:pPr>
            <w:r w:rsidRPr="00850154">
              <w:rPr>
                <w:rFonts w:eastAsia="Times New Roman" w:cs="Arial"/>
                <w:color w:val="000000"/>
                <w:szCs w:val="24"/>
                <w:lang w:eastAsia="en-AU"/>
              </w:rPr>
              <w:t>Chief Financial Officer</w:t>
            </w:r>
          </w:p>
        </w:tc>
      </w:tr>
    </w:tbl>
    <w:p w14:paraId="5E6FFED6" w14:textId="77777777" w:rsidR="0005795C" w:rsidRPr="00850154" w:rsidRDefault="0005795C" w:rsidP="0005795C">
      <w:pPr>
        <w:rPr>
          <w:rFonts w:cs="Arial"/>
        </w:rPr>
      </w:pPr>
    </w:p>
    <w:p w14:paraId="19CE5A13" w14:textId="77777777" w:rsidR="006E5CC2" w:rsidRDefault="006E5CC2" w:rsidP="006E5CC2">
      <w:r w:rsidRPr="00964C38">
        <w:t>6 October 2025</w:t>
      </w:r>
    </w:p>
    <w:p w14:paraId="09904A16" w14:textId="77777777" w:rsidR="0005795C" w:rsidRDefault="0005795C" w:rsidP="0005795C">
      <w:pPr>
        <w:rPr>
          <w:rFonts w:eastAsiaTheme="majorEastAsia" w:cstheme="majorBidi"/>
          <w:sz w:val="40"/>
          <w:szCs w:val="40"/>
        </w:rPr>
      </w:pPr>
      <w:r>
        <w:br w:type="page"/>
      </w:r>
    </w:p>
    <w:p w14:paraId="7F76E882" w14:textId="77777777" w:rsidR="0005795C" w:rsidRPr="00926008" w:rsidRDefault="0005795C" w:rsidP="00B254AC">
      <w:pPr>
        <w:pStyle w:val="Heading1"/>
      </w:pPr>
      <w:bookmarkStart w:id="681" w:name="_Ref207621191"/>
      <w:bookmarkStart w:id="682" w:name="_Ref207621201"/>
      <w:bookmarkStart w:id="683" w:name="_Toc208418071"/>
      <w:bookmarkStart w:id="684" w:name="_Toc209080435"/>
      <w:bookmarkStart w:id="685" w:name="_Toc209704005"/>
      <w:bookmarkStart w:id="686" w:name="_Toc209704058"/>
      <w:bookmarkStart w:id="687" w:name="_Toc209704111"/>
      <w:r>
        <w:t>Corporate compliance</w:t>
      </w:r>
      <w:bookmarkEnd w:id="681"/>
      <w:bookmarkEnd w:id="682"/>
      <w:bookmarkEnd w:id="683"/>
      <w:bookmarkEnd w:id="684"/>
      <w:bookmarkEnd w:id="685"/>
      <w:bookmarkEnd w:id="686"/>
      <w:bookmarkEnd w:id="687"/>
    </w:p>
    <w:p w14:paraId="0FC2BE1D" w14:textId="20577AE9" w:rsidR="0005795C" w:rsidRPr="00907CB5" w:rsidRDefault="0005795C" w:rsidP="0005795C">
      <w:pPr>
        <w:pStyle w:val="Heading2"/>
        <w:rPr>
          <w:sz w:val="28"/>
          <w:szCs w:val="28"/>
        </w:rPr>
      </w:pPr>
      <w:bookmarkStart w:id="688" w:name="_Ref207630579"/>
      <w:r w:rsidRPr="00907CB5">
        <w:rPr>
          <w:sz w:val="28"/>
          <w:szCs w:val="28"/>
        </w:rPr>
        <w:t>Local Jobs First</w:t>
      </w:r>
      <w:bookmarkEnd w:id="688"/>
    </w:p>
    <w:p w14:paraId="3D040DD1" w14:textId="77777777" w:rsidR="0005795C" w:rsidRPr="005253A6" w:rsidRDefault="0005795C" w:rsidP="0005795C">
      <w:pPr>
        <w:tabs>
          <w:tab w:val="left" w:pos="993"/>
        </w:tabs>
        <w:rPr>
          <w:rFonts w:cs="Arial"/>
        </w:rPr>
      </w:pPr>
      <w:r w:rsidRPr="005253A6">
        <w:rPr>
          <w:rFonts w:cs="Arial"/>
        </w:rPr>
        <w:t xml:space="preserve">The </w:t>
      </w:r>
      <w:r w:rsidRPr="00AA3AC5">
        <w:rPr>
          <w:rFonts w:cs="Arial"/>
          <w:i/>
          <w:iCs/>
        </w:rPr>
        <w:t>Local Jobs First Act 2003</w:t>
      </w:r>
      <w:r w:rsidRPr="005253A6">
        <w:rPr>
          <w:rFonts w:cs="Arial"/>
        </w:rPr>
        <w:t xml:space="preserve"> brings together the Victorian Industry Participation Policy (VIPP) and Major Project Skills Guarantee (MPSG) policies. </w:t>
      </w:r>
    </w:p>
    <w:p w14:paraId="5F92D601" w14:textId="77777777" w:rsidR="0005795C" w:rsidRPr="005253A6" w:rsidRDefault="0005795C" w:rsidP="0005795C">
      <w:pPr>
        <w:tabs>
          <w:tab w:val="left" w:pos="993"/>
        </w:tabs>
        <w:rPr>
          <w:rFonts w:cs="Arial"/>
        </w:rPr>
      </w:pPr>
      <w:r w:rsidRPr="005253A6">
        <w:rPr>
          <w:rFonts w:cs="Arial"/>
        </w:rPr>
        <w:t>It aims to support small and medium-sized enterprises, requires the inclusion of apprentices and trainees on large government construction projects, and ensure compliance and accountability from government agencies.</w:t>
      </w:r>
      <w:r>
        <w:rPr>
          <w:rFonts w:cs="Arial"/>
        </w:rPr>
        <w:t xml:space="preserve"> SEC Energy was not subject any Local Jobs First activities during the year.</w:t>
      </w:r>
    </w:p>
    <w:p w14:paraId="1F28BE5B" w14:textId="77777777" w:rsidR="0005795C" w:rsidRPr="00907CB5" w:rsidRDefault="0005795C" w:rsidP="0005795C">
      <w:pPr>
        <w:pStyle w:val="Heading2"/>
        <w:rPr>
          <w:sz w:val="28"/>
          <w:szCs w:val="28"/>
        </w:rPr>
      </w:pPr>
      <w:r w:rsidRPr="00907CB5">
        <w:rPr>
          <w:sz w:val="28"/>
          <w:szCs w:val="28"/>
        </w:rPr>
        <w:t>Social procurement</w:t>
      </w:r>
    </w:p>
    <w:p w14:paraId="791B624D" w14:textId="63EDF022" w:rsidR="0005795C" w:rsidRPr="00EA4854" w:rsidRDefault="0005795C" w:rsidP="0005795C">
      <w:pPr>
        <w:rPr>
          <w:rFonts w:cs="Arial"/>
        </w:rPr>
      </w:pPr>
      <w:r>
        <w:t xml:space="preserve">Victoria’s Social Procurement Framework (SPF) establishes requirements that apply to Victorian Government departments and agencies when they procure goods, services and construction. Under the framework, the SEC is committed to ensuring procurement decisions help generate social value and this is performed at a consolidated level being led by the Company’s Parent, SEC Victoria Pty Ltd. Please refer to page </w:t>
      </w:r>
      <w:r>
        <w:fldChar w:fldCharType="begin"/>
      </w:r>
      <w:r>
        <w:instrText xml:space="preserve"> PAGEREF _Ref208847656 \h </w:instrText>
      </w:r>
      <w:r>
        <w:fldChar w:fldCharType="separate"/>
      </w:r>
      <w:r w:rsidR="00BC7653">
        <w:rPr>
          <w:noProof/>
        </w:rPr>
        <w:t>88</w:t>
      </w:r>
      <w:r>
        <w:fldChar w:fldCharType="end"/>
      </w:r>
      <w:r w:rsidR="000B02D5">
        <w:t xml:space="preserve"> </w:t>
      </w:r>
      <w:r>
        <w:t>of SEC Victoria’s corporate compliance section for further detail.</w:t>
      </w:r>
    </w:p>
    <w:p w14:paraId="2A971B7C" w14:textId="77777777" w:rsidR="0005795C" w:rsidRPr="00907CB5" w:rsidRDefault="0005795C" w:rsidP="0005795C">
      <w:pPr>
        <w:pStyle w:val="Heading2"/>
        <w:rPr>
          <w:sz w:val="28"/>
          <w:szCs w:val="28"/>
        </w:rPr>
      </w:pPr>
      <w:r w:rsidRPr="00907CB5">
        <w:rPr>
          <w:sz w:val="28"/>
          <w:szCs w:val="28"/>
        </w:rPr>
        <w:t>Asset management accountability framework (AMAF)</w:t>
      </w:r>
    </w:p>
    <w:p w14:paraId="0206331A" w14:textId="77777777" w:rsidR="0005795C" w:rsidRPr="00F65403" w:rsidRDefault="0005795C" w:rsidP="0005795C">
      <w:pPr>
        <w:tabs>
          <w:tab w:val="left" w:pos="993"/>
        </w:tabs>
        <w:rPr>
          <w:rFonts w:cs="Arial"/>
        </w:rPr>
      </w:pPr>
      <w:r w:rsidRPr="00B96E2A">
        <w:rPr>
          <w:rFonts w:cs="Arial"/>
        </w:rPr>
        <w:t xml:space="preserve">The AMAF assists Victorian Public Sector agencies manage their asset portfolios and includes both mandatory asset management requirements as well as general guidance. Mandatory requirements include developing asset management strategies, governance frameworks, performance standards and processes to regularly monitor and improve asset management. The AMAF applies to non-current assets (physical and intangible) but not financial assets. </w:t>
      </w:r>
      <w:r w:rsidRPr="00FF6C20">
        <w:rPr>
          <w:rFonts w:cs="Arial"/>
        </w:rPr>
        <w:t xml:space="preserve">For the period to 30 June 2025, the </w:t>
      </w:r>
      <w:r>
        <w:rPr>
          <w:rFonts w:cs="Arial"/>
        </w:rPr>
        <w:t>Company</w:t>
      </w:r>
      <w:r w:rsidRPr="00FF6C20">
        <w:rPr>
          <w:rFonts w:cs="Arial"/>
        </w:rPr>
        <w:t xml:space="preserve"> did not have any such assets</w:t>
      </w:r>
      <w:r>
        <w:rPr>
          <w:rFonts w:cs="Arial"/>
        </w:rPr>
        <w:t xml:space="preserve"> (2024: nil)</w:t>
      </w:r>
      <w:r w:rsidRPr="00FF6C20">
        <w:rPr>
          <w:rFonts w:cs="Arial"/>
        </w:rPr>
        <w:t>.</w:t>
      </w:r>
    </w:p>
    <w:p w14:paraId="42E311C2" w14:textId="77777777" w:rsidR="0005795C" w:rsidRPr="00907CB5" w:rsidRDefault="0005795C" w:rsidP="0005795C">
      <w:pPr>
        <w:pStyle w:val="Heading2"/>
        <w:rPr>
          <w:sz w:val="28"/>
          <w:szCs w:val="28"/>
        </w:rPr>
      </w:pPr>
      <w:bookmarkStart w:id="689" w:name="_Ref207630615"/>
      <w:r w:rsidRPr="00907CB5">
        <w:rPr>
          <w:sz w:val="28"/>
          <w:szCs w:val="28"/>
        </w:rPr>
        <w:t>Government advertising expenditure</w:t>
      </w:r>
      <w:bookmarkEnd w:id="689"/>
    </w:p>
    <w:p w14:paraId="1C2D2ADB" w14:textId="77777777" w:rsidR="0005795C" w:rsidRDefault="0005795C" w:rsidP="0005795C">
      <w:pPr>
        <w:pStyle w:val="Heading2"/>
        <w:rPr>
          <w:rFonts w:eastAsiaTheme="minorHAnsi" w:cstheme="minorBidi"/>
          <w:sz w:val="24"/>
          <w:szCs w:val="22"/>
        </w:rPr>
      </w:pPr>
      <w:r w:rsidRPr="00CE1B39">
        <w:rPr>
          <w:rFonts w:eastAsiaTheme="minorHAnsi" w:cstheme="minorBidi"/>
          <w:sz w:val="24"/>
          <w:szCs w:val="22"/>
        </w:rPr>
        <w:t xml:space="preserve">The Company did not undertake any government advertising campaigns with total media spend of $100,000 or greater, exclusive of GST during the reporting period. </w:t>
      </w:r>
    </w:p>
    <w:p w14:paraId="0BD1C2D8" w14:textId="77777777" w:rsidR="0005795C" w:rsidRPr="00907CB5" w:rsidRDefault="0005795C" w:rsidP="0005795C">
      <w:pPr>
        <w:pStyle w:val="Heading2"/>
        <w:rPr>
          <w:sz w:val="28"/>
          <w:szCs w:val="28"/>
        </w:rPr>
      </w:pPr>
      <w:bookmarkStart w:id="690" w:name="_Ref207630620"/>
      <w:r w:rsidRPr="00907CB5">
        <w:rPr>
          <w:sz w:val="28"/>
          <w:szCs w:val="28"/>
        </w:rPr>
        <w:t>Consultancy expenditure</w:t>
      </w:r>
      <w:bookmarkEnd w:id="690"/>
    </w:p>
    <w:p w14:paraId="092C7D30" w14:textId="77777777" w:rsidR="0005795C" w:rsidRDefault="0005795C" w:rsidP="0005795C">
      <w:pPr>
        <w:tabs>
          <w:tab w:val="left" w:pos="993"/>
        </w:tabs>
        <w:rPr>
          <w:rFonts w:cs="Arial"/>
        </w:rPr>
      </w:pPr>
      <w:r w:rsidRPr="49BCD735">
        <w:rPr>
          <w:rFonts w:cs="Arial"/>
        </w:rPr>
        <w:t xml:space="preserve">In the reporting period, </w:t>
      </w:r>
      <w:r>
        <w:rPr>
          <w:rFonts w:cs="Arial"/>
        </w:rPr>
        <w:t xml:space="preserve">the Company had no consultancy arrangements where the total fees paid or payable were $10,000 or greater, </w:t>
      </w:r>
      <w:r w:rsidRPr="49BCD735">
        <w:rPr>
          <w:rFonts w:cs="Arial"/>
        </w:rPr>
        <w:t xml:space="preserve">excluding GST. </w:t>
      </w:r>
    </w:p>
    <w:p w14:paraId="0ACB4E11" w14:textId="77777777" w:rsidR="0005795C" w:rsidRPr="00907CB5" w:rsidRDefault="0005795C" w:rsidP="0005795C">
      <w:pPr>
        <w:pStyle w:val="Heading2"/>
        <w:rPr>
          <w:sz w:val="28"/>
          <w:szCs w:val="28"/>
        </w:rPr>
      </w:pPr>
      <w:bookmarkStart w:id="691" w:name="_Ref207630608"/>
      <w:r w:rsidRPr="00907CB5">
        <w:rPr>
          <w:sz w:val="28"/>
          <w:szCs w:val="28"/>
        </w:rPr>
        <w:t>Information and communication technology (ICT) expenditure</w:t>
      </w:r>
      <w:bookmarkEnd w:id="691"/>
    </w:p>
    <w:p w14:paraId="347E9B6C" w14:textId="77777777" w:rsidR="0005795C" w:rsidRDefault="0005795C" w:rsidP="0005795C">
      <w:pPr>
        <w:tabs>
          <w:tab w:val="left" w:pos="993"/>
        </w:tabs>
        <w:rPr>
          <w:rFonts w:cs="Arial"/>
        </w:rPr>
      </w:pPr>
      <w:r w:rsidRPr="49BCD735">
        <w:rPr>
          <w:rFonts w:cs="Arial"/>
        </w:rPr>
        <w:t>Business as usual expenditure relates to ongoing activities to operate and maintain current information and communication technology capacity. Non-business as usual expenditure relates to extending and enhancing the Company’s current capability. It is the sum of operational expenditure and capital expenditure.</w:t>
      </w:r>
    </w:p>
    <w:p w14:paraId="781D4F61" w14:textId="7B8E34B3" w:rsidR="0005795C" w:rsidRPr="00B96E2A" w:rsidRDefault="0005795C" w:rsidP="0005795C">
      <w:pPr>
        <w:tabs>
          <w:tab w:val="left" w:pos="993"/>
        </w:tabs>
        <w:rPr>
          <w:rFonts w:cs="Arial"/>
        </w:rPr>
      </w:pPr>
      <w:r w:rsidRPr="49BCD735">
        <w:rPr>
          <w:rFonts w:cs="Arial"/>
        </w:rPr>
        <w:t xml:space="preserve">For the reporting period, </w:t>
      </w:r>
      <w:r>
        <w:rPr>
          <w:rFonts w:cs="Arial"/>
        </w:rPr>
        <w:t>the Company</w:t>
      </w:r>
      <w:r w:rsidRPr="49BCD735">
        <w:rPr>
          <w:rFonts w:cs="Arial"/>
        </w:rPr>
        <w:t xml:space="preserve"> had a total information and communication technology spend of $</w:t>
      </w:r>
      <w:r>
        <w:rPr>
          <w:rFonts w:cs="Arial"/>
        </w:rPr>
        <w:t>13,829 of business as usual expenditure</w:t>
      </w:r>
      <w:r w:rsidRPr="49BCD735">
        <w:rPr>
          <w:rFonts w:cs="Arial"/>
        </w:rPr>
        <w:t xml:space="preserve">, excluding GST. </w:t>
      </w:r>
    </w:p>
    <w:p w14:paraId="177B3194" w14:textId="77777777" w:rsidR="0005795C" w:rsidRPr="00907CB5" w:rsidRDefault="0005795C" w:rsidP="0005795C">
      <w:pPr>
        <w:pStyle w:val="Heading2"/>
        <w:rPr>
          <w:sz w:val="28"/>
          <w:szCs w:val="28"/>
        </w:rPr>
      </w:pPr>
      <w:bookmarkStart w:id="692" w:name="_Ref207630596"/>
      <w:r w:rsidRPr="00907CB5">
        <w:rPr>
          <w:sz w:val="28"/>
          <w:szCs w:val="28"/>
        </w:rPr>
        <w:t>Procurement complaints</w:t>
      </w:r>
      <w:bookmarkEnd w:id="692"/>
    </w:p>
    <w:p w14:paraId="6C29BF9F" w14:textId="77777777" w:rsidR="0005795C" w:rsidRPr="00F65403" w:rsidRDefault="0005795C" w:rsidP="0005795C">
      <w:pPr>
        <w:tabs>
          <w:tab w:val="left" w:pos="993"/>
        </w:tabs>
        <w:rPr>
          <w:rFonts w:cs="Arial"/>
        </w:rPr>
      </w:pPr>
      <w:r w:rsidRPr="00B96E2A">
        <w:rPr>
          <w:rFonts w:cs="Arial"/>
        </w:rPr>
        <w:t>There have been no complaints received in relation to the procurement of goods and services during the period</w:t>
      </w:r>
      <w:r>
        <w:rPr>
          <w:rFonts w:cs="Arial"/>
        </w:rPr>
        <w:t xml:space="preserve"> (2024: nil)</w:t>
      </w:r>
      <w:r w:rsidRPr="00B96E2A">
        <w:rPr>
          <w:rFonts w:cs="Arial"/>
        </w:rPr>
        <w:t>.</w:t>
      </w:r>
    </w:p>
    <w:p w14:paraId="18A93432" w14:textId="77777777" w:rsidR="0005795C" w:rsidRPr="00907CB5" w:rsidRDefault="0005795C" w:rsidP="0005795C">
      <w:pPr>
        <w:pStyle w:val="Heading2"/>
        <w:rPr>
          <w:sz w:val="28"/>
          <w:szCs w:val="28"/>
        </w:rPr>
      </w:pPr>
      <w:bookmarkStart w:id="693" w:name="_Ref207630601"/>
      <w:r w:rsidRPr="00907CB5">
        <w:rPr>
          <w:sz w:val="28"/>
          <w:szCs w:val="28"/>
        </w:rPr>
        <w:t>Emergency procurement</w:t>
      </w:r>
      <w:bookmarkEnd w:id="693"/>
    </w:p>
    <w:p w14:paraId="2E441857" w14:textId="77777777" w:rsidR="0005795C" w:rsidRPr="00F65403" w:rsidRDefault="0005795C" w:rsidP="0005795C">
      <w:pPr>
        <w:tabs>
          <w:tab w:val="left" w:pos="993"/>
        </w:tabs>
        <w:rPr>
          <w:rFonts w:eastAsiaTheme="majorEastAsia" w:cstheme="majorBidi"/>
          <w:sz w:val="32"/>
          <w:szCs w:val="32"/>
        </w:rPr>
      </w:pPr>
      <w:r w:rsidRPr="49BCD735">
        <w:rPr>
          <w:rFonts w:cs="Arial"/>
        </w:rPr>
        <w:t>There have been no instances of emergency procurement during the period (2024: nil).</w:t>
      </w:r>
    </w:p>
    <w:p w14:paraId="05668199" w14:textId="77777777" w:rsidR="0005795C" w:rsidRPr="00907CB5" w:rsidRDefault="0005795C" w:rsidP="0005795C">
      <w:pPr>
        <w:pStyle w:val="Heading2"/>
        <w:rPr>
          <w:sz w:val="28"/>
          <w:szCs w:val="28"/>
        </w:rPr>
      </w:pPr>
      <w:bookmarkStart w:id="694" w:name="_Ref207630636"/>
      <w:r w:rsidRPr="00907CB5">
        <w:rPr>
          <w:sz w:val="28"/>
          <w:szCs w:val="28"/>
        </w:rPr>
        <w:t>Compliance with the National Competition Policy and the Competitive Neutrality Policy</w:t>
      </w:r>
      <w:bookmarkEnd w:id="694"/>
    </w:p>
    <w:p w14:paraId="488682B4" w14:textId="77777777" w:rsidR="0005795C" w:rsidRPr="00F65403" w:rsidRDefault="0005795C" w:rsidP="0005795C">
      <w:pPr>
        <w:tabs>
          <w:tab w:val="left" w:pos="993"/>
        </w:tabs>
        <w:rPr>
          <w:rFonts w:cs="Arial"/>
        </w:rPr>
      </w:pPr>
      <w:r w:rsidRPr="00B96E2A">
        <w:rPr>
          <w:rFonts w:cs="Arial"/>
        </w:rPr>
        <w:t xml:space="preserve">SEC </w:t>
      </w:r>
      <w:r>
        <w:rPr>
          <w:rFonts w:cs="Arial"/>
        </w:rPr>
        <w:t xml:space="preserve">Energy </w:t>
      </w:r>
      <w:r w:rsidRPr="00B96E2A">
        <w:rPr>
          <w:rFonts w:cs="Arial"/>
        </w:rPr>
        <w:t>operates in accordance with the requirements of the National Competition Policy and the Competitive Neutrality Policy Victoria.</w:t>
      </w:r>
      <w:r>
        <w:rPr>
          <w:rFonts w:cs="Arial"/>
        </w:rPr>
        <w:t xml:space="preserve"> </w:t>
      </w:r>
      <w:r w:rsidRPr="00B96E2A">
        <w:rPr>
          <w:rFonts w:cs="Arial"/>
        </w:rPr>
        <w:t xml:space="preserve">Competitive neutrality generally requires that government owned businesses competing, or potentially competing, with the private sector, do not enjoy any net competitive advantage </w:t>
      </w:r>
      <w:r w:rsidRPr="08BB6BF9">
        <w:rPr>
          <w:rFonts w:cs="Arial"/>
        </w:rPr>
        <w:t>by</w:t>
      </w:r>
      <w:r>
        <w:rPr>
          <w:rFonts w:cs="Arial"/>
        </w:rPr>
        <w:t xml:space="preserve"> virtue of</w:t>
      </w:r>
      <w:r w:rsidRPr="00B96E2A">
        <w:rPr>
          <w:rFonts w:cs="Arial"/>
        </w:rPr>
        <w:t xml:space="preserve"> their government ownership. In certain instances, Victoria’s Competitive Neutrality Policy can require the application of measures to achieve competitive neutrality.</w:t>
      </w:r>
    </w:p>
    <w:p w14:paraId="6B510F1A" w14:textId="77777777" w:rsidR="0005795C" w:rsidRPr="00907CB5" w:rsidRDefault="0005795C" w:rsidP="0005795C">
      <w:pPr>
        <w:pStyle w:val="Heading2"/>
        <w:rPr>
          <w:sz w:val="28"/>
          <w:szCs w:val="28"/>
        </w:rPr>
      </w:pPr>
      <w:bookmarkStart w:id="695" w:name="_Ref207630652"/>
      <w:r w:rsidRPr="00907CB5">
        <w:rPr>
          <w:sz w:val="28"/>
          <w:szCs w:val="28"/>
        </w:rPr>
        <w:t>Freedom of Information</w:t>
      </w:r>
      <w:bookmarkEnd w:id="695"/>
    </w:p>
    <w:p w14:paraId="1FBD3EE0" w14:textId="77777777" w:rsidR="0005795C" w:rsidRPr="00B96E2A" w:rsidRDefault="0005795C" w:rsidP="0005795C">
      <w:pPr>
        <w:tabs>
          <w:tab w:val="left" w:pos="993"/>
        </w:tabs>
        <w:rPr>
          <w:rFonts w:cs="Arial"/>
        </w:rPr>
      </w:pPr>
      <w:r w:rsidRPr="00B96E2A">
        <w:rPr>
          <w:rFonts w:cs="Arial"/>
        </w:rPr>
        <w:t xml:space="preserve">The </w:t>
      </w:r>
      <w:r w:rsidRPr="005944F3">
        <w:rPr>
          <w:rFonts w:cs="Arial"/>
          <w:i/>
        </w:rPr>
        <w:t>Freedom of Information Act 1982</w:t>
      </w:r>
      <w:r w:rsidRPr="00B96E2A">
        <w:rPr>
          <w:rFonts w:cs="Arial"/>
        </w:rPr>
        <w:t xml:space="preserve"> is not applicable to SEC </w:t>
      </w:r>
      <w:r>
        <w:rPr>
          <w:rFonts w:cs="Arial"/>
        </w:rPr>
        <w:t>Energy Pty Ltd</w:t>
      </w:r>
      <w:r w:rsidRPr="00B96E2A">
        <w:rPr>
          <w:rFonts w:cs="Arial"/>
        </w:rPr>
        <w:t>, and there are no reporting requirements associated with this Act.</w:t>
      </w:r>
    </w:p>
    <w:p w14:paraId="3A21D68A" w14:textId="77777777" w:rsidR="0005795C" w:rsidRPr="00907CB5" w:rsidRDefault="0005795C" w:rsidP="0005795C">
      <w:pPr>
        <w:pStyle w:val="Heading2"/>
        <w:rPr>
          <w:sz w:val="28"/>
          <w:szCs w:val="28"/>
        </w:rPr>
      </w:pPr>
      <w:bookmarkStart w:id="696" w:name="_Ref207630633"/>
      <w:r w:rsidRPr="00907CB5">
        <w:rPr>
          <w:sz w:val="28"/>
          <w:szCs w:val="28"/>
        </w:rPr>
        <w:t xml:space="preserve">Compliance with the </w:t>
      </w:r>
      <w:r w:rsidRPr="00907CB5">
        <w:rPr>
          <w:i/>
          <w:iCs/>
          <w:sz w:val="28"/>
          <w:szCs w:val="28"/>
        </w:rPr>
        <w:t>Public Interest Disclosure Act 2012</w:t>
      </w:r>
      <w:bookmarkEnd w:id="696"/>
    </w:p>
    <w:p w14:paraId="3F304AB1" w14:textId="77777777" w:rsidR="0005795C" w:rsidRDefault="0005795C" w:rsidP="0005795C">
      <w:pPr>
        <w:tabs>
          <w:tab w:val="left" w:pos="993"/>
        </w:tabs>
        <w:rPr>
          <w:rFonts w:cs="Arial"/>
        </w:rPr>
      </w:pPr>
      <w:r w:rsidRPr="00B96E2A">
        <w:rPr>
          <w:rFonts w:cs="Arial"/>
        </w:rPr>
        <w:t xml:space="preserve">SEC </w:t>
      </w:r>
      <w:r>
        <w:rPr>
          <w:rFonts w:cs="Arial"/>
        </w:rPr>
        <w:t xml:space="preserve">Energy </w:t>
      </w:r>
      <w:r w:rsidRPr="00B96E2A">
        <w:rPr>
          <w:rFonts w:cs="Arial"/>
        </w:rPr>
        <w:t xml:space="preserve">does not tolerate improper conduct by employees, nor taking of detrimental action against those who come forward to disclose such conduct. </w:t>
      </w:r>
    </w:p>
    <w:p w14:paraId="3AAE4AFB" w14:textId="77777777" w:rsidR="0005795C" w:rsidRPr="00F65403" w:rsidRDefault="0005795C" w:rsidP="0005795C">
      <w:pPr>
        <w:tabs>
          <w:tab w:val="left" w:pos="993"/>
        </w:tabs>
        <w:rPr>
          <w:rFonts w:cs="Arial"/>
        </w:rPr>
      </w:pPr>
      <w:r>
        <w:rPr>
          <w:rFonts w:cs="Arial"/>
        </w:rPr>
        <w:t>SEC Energy’s</w:t>
      </w:r>
      <w:r w:rsidRPr="00B96E2A">
        <w:rPr>
          <w:rFonts w:cs="Arial"/>
        </w:rPr>
        <w:t xml:space="preserve"> Public Interest Disclosure Policy outlines our commitment to ensuring transparency and accountability in our administrative and management practices and supports the making of disclosures that reveal corrupt conduct, conduct involving a substantial mismanagement of public resources, or conduct involving a substantial risk to the public health and safety or the environment.</w:t>
      </w:r>
    </w:p>
    <w:p w14:paraId="4B7F617D" w14:textId="77777777" w:rsidR="0005795C" w:rsidRPr="00907CB5" w:rsidRDefault="0005795C" w:rsidP="0005795C">
      <w:pPr>
        <w:pStyle w:val="Heading2"/>
        <w:rPr>
          <w:sz w:val="28"/>
          <w:szCs w:val="28"/>
        </w:rPr>
      </w:pPr>
      <w:r w:rsidRPr="00907CB5">
        <w:rPr>
          <w:sz w:val="28"/>
          <w:szCs w:val="28"/>
        </w:rPr>
        <w:t>Reporting procedures</w:t>
      </w:r>
    </w:p>
    <w:p w14:paraId="70CBDE3C" w14:textId="77777777" w:rsidR="0005795C" w:rsidRPr="00B96E2A" w:rsidRDefault="0005795C" w:rsidP="0005795C">
      <w:pPr>
        <w:tabs>
          <w:tab w:val="left" w:pos="993"/>
        </w:tabs>
        <w:rPr>
          <w:rFonts w:cs="Arial"/>
        </w:rPr>
      </w:pPr>
      <w:r w:rsidRPr="00B96E2A">
        <w:rPr>
          <w:rFonts w:cs="Arial"/>
        </w:rPr>
        <w:t xml:space="preserve">Disclosures of improper conduct or detrimental action by </w:t>
      </w:r>
      <w:r>
        <w:rPr>
          <w:rFonts w:cs="Arial"/>
        </w:rPr>
        <w:t xml:space="preserve">SEC Energy </w:t>
      </w:r>
      <w:r w:rsidRPr="00B96E2A">
        <w:rPr>
          <w:rFonts w:cs="Arial"/>
        </w:rPr>
        <w:t>or any of its employees and/or officers may be made directly to:</w:t>
      </w:r>
    </w:p>
    <w:p w14:paraId="58199E3B" w14:textId="77777777" w:rsidR="0005795C" w:rsidRPr="00F65403" w:rsidRDefault="0005795C" w:rsidP="0005795C">
      <w:pPr>
        <w:tabs>
          <w:tab w:val="left" w:pos="993"/>
        </w:tabs>
        <w:rPr>
          <w:rFonts w:cs="Arial"/>
        </w:rPr>
      </w:pPr>
      <w:r w:rsidRPr="00B96E2A">
        <w:rPr>
          <w:rFonts w:cs="Arial"/>
        </w:rPr>
        <w:t xml:space="preserve">The Independent Broad-based Anti-corruption Commission </w:t>
      </w:r>
      <w:r>
        <w:rPr>
          <w:rFonts w:cs="Arial"/>
        </w:rPr>
        <w:br/>
      </w:r>
      <w:r w:rsidRPr="00B96E2A">
        <w:rPr>
          <w:rFonts w:cs="Arial"/>
        </w:rPr>
        <w:t>Phone: 1300 735 135</w:t>
      </w:r>
      <w:r>
        <w:rPr>
          <w:rFonts w:cs="Arial"/>
        </w:rPr>
        <w:br/>
      </w:r>
      <w:r w:rsidRPr="00F96FA2">
        <w:rPr>
          <w:rFonts w:cs="Arial"/>
        </w:rPr>
        <w:t>Email:</w:t>
      </w:r>
      <w:r w:rsidRPr="00B94E93">
        <w:rPr>
          <w:rFonts w:cs="Arial"/>
        </w:rPr>
        <w:t xml:space="preserve"> </w:t>
      </w:r>
      <w:hyperlink r:id="rId25">
        <w:r w:rsidRPr="00B94E93">
          <w:rPr>
            <w:rFonts w:cs="Arial"/>
          </w:rPr>
          <w:t>info@ibac.vic.gov.au</w:t>
        </w:r>
      </w:hyperlink>
    </w:p>
    <w:p w14:paraId="69D80FC7" w14:textId="77777777" w:rsidR="0005795C" w:rsidRPr="00907CB5" w:rsidRDefault="0005795C" w:rsidP="0005795C">
      <w:pPr>
        <w:pStyle w:val="Heading2"/>
        <w:rPr>
          <w:sz w:val="28"/>
          <w:szCs w:val="28"/>
        </w:rPr>
      </w:pPr>
      <w:bookmarkStart w:id="697" w:name="_Ref207630589"/>
      <w:r w:rsidRPr="00907CB5">
        <w:rPr>
          <w:sz w:val="28"/>
          <w:szCs w:val="28"/>
        </w:rPr>
        <w:t>Environmental Reporting</w:t>
      </w:r>
      <w:bookmarkEnd w:id="697"/>
    </w:p>
    <w:p w14:paraId="20E23709" w14:textId="3C8AEC68" w:rsidR="0005795C" w:rsidRDefault="000C4CF7" w:rsidP="0005795C">
      <w:pPr>
        <w:tabs>
          <w:tab w:val="left" w:pos="993"/>
        </w:tabs>
        <w:rPr>
          <w:rFonts w:cs="Arial"/>
        </w:rPr>
      </w:pPr>
      <w:r>
        <w:rPr>
          <w:rFonts w:cs="Arial"/>
        </w:rPr>
        <w:t xml:space="preserve">Accommodation is paid for by the company’s parent, SEC Victoria. Please refer </w:t>
      </w:r>
      <w:r w:rsidR="00040B14">
        <w:rPr>
          <w:rFonts w:cs="Arial"/>
        </w:rPr>
        <w:t xml:space="preserve">to SEC Victoria’s corporate compliance statement for further detail. </w:t>
      </w:r>
    </w:p>
    <w:p w14:paraId="0E1E9BCB" w14:textId="77777777" w:rsidR="007A0445" w:rsidRPr="00F65403" w:rsidRDefault="007A0445" w:rsidP="007A0445">
      <w:pPr>
        <w:tabs>
          <w:tab w:val="left" w:pos="993"/>
        </w:tabs>
        <w:rPr>
          <w:rFonts w:cs="Arial"/>
        </w:rPr>
      </w:pPr>
      <w:r w:rsidRPr="00240D81">
        <w:rPr>
          <w:rFonts w:cs="Arial"/>
        </w:rPr>
        <w:t xml:space="preserve">Victoria’s corporate compliance statement for further detail. </w:t>
      </w:r>
    </w:p>
    <w:p w14:paraId="474B6920" w14:textId="5DC4C6BE" w:rsidR="007A0445" w:rsidRPr="00F65403" w:rsidRDefault="007A0445" w:rsidP="007A0445">
      <w:pPr>
        <w:tabs>
          <w:tab w:val="left" w:pos="993"/>
        </w:tabs>
        <w:rPr>
          <w:rFonts w:cs="Arial"/>
        </w:rPr>
      </w:pPr>
      <w:r>
        <w:rPr>
          <w:rFonts w:cs="Arial"/>
        </w:rPr>
        <w:t>SEC Energy</w:t>
      </w:r>
      <w:r w:rsidRPr="00B96E2A">
        <w:rPr>
          <w:rFonts w:cs="Arial"/>
        </w:rPr>
        <w:t xml:space="preserve"> is committed to proactively contributing to a sustainable environment and continues to minimise its office-based environmental impact through:</w:t>
      </w:r>
    </w:p>
    <w:p w14:paraId="330CDB2D" w14:textId="77777777" w:rsidR="007A0445" w:rsidRPr="005944F3" w:rsidRDefault="007A0445" w:rsidP="007A0445">
      <w:pPr>
        <w:pStyle w:val="Bullet"/>
        <w:rPr>
          <w:rFonts w:cs="Arial"/>
        </w:rPr>
      </w:pPr>
      <w:r w:rsidRPr="005944F3">
        <w:rPr>
          <w:rFonts w:cs="Arial"/>
        </w:rPr>
        <w:t>separating office waste into organic, commingled recyclable and landfill streams</w:t>
      </w:r>
    </w:p>
    <w:p w14:paraId="0F410C11" w14:textId="77777777" w:rsidR="007A0445" w:rsidRPr="005944F3" w:rsidRDefault="007A0445" w:rsidP="007A0445">
      <w:pPr>
        <w:pStyle w:val="Bullet"/>
        <w:rPr>
          <w:rFonts w:cs="Arial"/>
        </w:rPr>
      </w:pPr>
      <w:r w:rsidRPr="005944F3">
        <w:rPr>
          <w:rFonts w:cs="Arial"/>
        </w:rPr>
        <w:t>reducing paper and printer toner use with the widespread adoption by staff of laptops, tablets, smartphones, and other digital devices.</w:t>
      </w:r>
    </w:p>
    <w:p w14:paraId="5B22C62A" w14:textId="77777777" w:rsidR="0005795C" w:rsidRPr="00907CB5" w:rsidRDefault="0005795C" w:rsidP="0005795C">
      <w:pPr>
        <w:pStyle w:val="Heading2"/>
        <w:rPr>
          <w:i/>
          <w:sz w:val="28"/>
          <w:szCs w:val="28"/>
        </w:rPr>
      </w:pPr>
      <w:bookmarkStart w:id="698" w:name="_Ref207630642"/>
      <w:r w:rsidRPr="00907CB5">
        <w:rPr>
          <w:sz w:val="28"/>
          <w:szCs w:val="28"/>
        </w:rPr>
        <w:t xml:space="preserve">Compliance with the </w:t>
      </w:r>
      <w:r w:rsidRPr="00907CB5">
        <w:rPr>
          <w:i/>
          <w:sz w:val="28"/>
          <w:szCs w:val="28"/>
        </w:rPr>
        <w:t>Building Act 1993</w:t>
      </w:r>
      <w:bookmarkEnd w:id="698"/>
    </w:p>
    <w:p w14:paraId="60191EA3" w14:textId="77777777" w:rsidR="0005795C" w:rsidRPr="00B96E2A" w:rsidRDefault="0005795C" w:rsidP="0005795C">
      <w:pPr>
        <w:tabs>
          <w:tab w:val="left" w:pos="993"/>
        </w:tabs>
        <w:rPr>
          <w:rFonts w:cs="Arial"/>
        </w:rPr>
      </w:pPr>
      <w:r w:rsidRPr="00B96E2A">
        <w:rPr>
          <w:rFonts w:cs="Arial"/>
        </w:rPr>
        <w:t xml:space="preserve">SEC </w:t>
      </w:r>
      <w:r>
        <w:rPr>
          <w:rFonts w:cs="Arial"/>
        </w:rPr>
        <w:t>Energy</w:t>
      </w:r>
      <w:r w:rsidRPr="00B96E2A">
        <w:rPr>
          <w:rFonts w:cs="Arial"/>
        </w:rPr>
        <w:t xml:space="preserve"> does not own or control any government buildings and is consequently exempt from notifying its compliance with the building and maintenance provisions of the </w:t>
      </w:r>
      <w:r w:rsidRPr="00B96E2A">
        <w:rPr>
          <w:rFonts w:cs="Arial"/>
          <w:i/>
        </w:rPr>
        <w:t>Building Act 1993</w:t>
      </w:r>
      <w:r w:rsidRPr="00B96E2A">
        <w:rPr>
          <w:rFonts w:cs="Arial"/>
        </w:rPr>
        <w:t>.</w:t>
      </w:r>
    </w:p>
    <w:p w14:paraId="3EB9317A" w14:textId="77777777" w:rsidR="0005795C" w:rsidRPr="00907CB5" w:rsidRDefault="0005795C" w:rsidP="0005795C">
      <w:pPr>
        <w:pStyle w:val="Heading2"/>
        <w:rPr>
          <w:sz w:val="28"/>
          <w:szCs w:val="28"/>
        </w:rPr>
      </w:pPr>
      <w:r w:rsidRPr="00907CB5">
        <w:rPr>
          <w:sz w:val="28"/>
          <w:szCs w:val="28"/>
        </w:rPr>
        <w:t>Modern Slavery</w:t>
      </w:r>
    </w:p>
    <w:p w14:paraId="61ABDC20" w14:textId="77777777" w:rsidR="0005795C" w:rsidRPr="00B96E2A" w:rsidRDefault="0005795C" w:rsidP="0005795C">
      <w:pPr>
        <w:tabs>
          <w:tab w:val="left" w:pos="993"/>
        </w:tabs>
        <w:rPr>
          <w:rFonts w:cs="Arial"/>
        </w:rPr>
      </w:pPr>
      <w:r w:rsidRPr="49BCD735">
        <w:rPr>
          <w:rFonts w:cs="Arial"/>
          <w:i/>
          <w:iCs/>
        </w:rPr>
        <w:t>The Modern Slavery Act 2018</w:t>
      </w:r>
      <w:r w:rsidRPr="49BCD735">
        <w:rPr>
          <w:rFonts w:cs="Arial"/>
        </w:rPr>
        <w:t xml:space="preserve"> (MS Act) addresses modern slavery risks within supply chains. The </w:t>
      </w:r>
      <w:r>
        <w:rPr>
          <w:rFonts w:cs="Arial"/>
        </w:rPr>
        <w:t>Company</w:t>
      </w:r>
      <w:r w:rsidRPr="49BCD735">
        <w:rPr>
          <w:rFonts w:cs="Arial"/>
        </w:rPr>
        <w:t xml:space="preserve"> is not subject to the MS Act for this reporting period.</w:t>
      </w:r>
    </w:p>
    <w:p w14:paraId="1928AA6B" w14:textId="1172677F" w:rsidR="0005795C" w:rsidRPr="00F65403" w:rsidRDefault="0005795C" w:rsidP="0005795C">
      <w:pPr>
        <w:rPr>
          <w:rFonts w:eastAsiaTheme="majorEastAsia" w:cstheme="majorBidi"/>
          <w:sz w:val="32"/>
          <w:szCs w:val="40"/>
        </w:rPr>
      </w:pPr>
    </w:p>
    <w:p w14:paraId="71597225" w14:textId="77777777" w:rsidR="007A0445" w:rsidRDefault="007A0445">
      <w:pPr>
        <w:rPr>
          <w:rFonts w:eastAsiaTheme="majorEastAsia" w:cstheme="majorBidi"/>
          <w:sz w:val="40"/>
          <w:szCs w:val="48"/>
        </w:rPr>
      </w:pPr>
      <w:bookmarkStart w:id="699" w:name="_Ref207630772"/>
      <w:bookmarkStart w:id="700" w:name="_Toc208418072"/>
      <w:bookmarkStart w:id="701" w:name="_Toc209080436"/>
      <w:bookmarkStart w:id="702" w:name="_Toc209704006"/>
      <w:bookmarkStart w:id="703" w:name="_Toc209704059"/>
      <w:bookmarkStart w:id="704" w:name="_Toc209704112"/>
      <w:r>
        <w:br w:type="page"/>
      </w:r>
    </w:p>
    <w:p w14:paraId="481E88D6" w14:textId="16A5CA95" w:rsidR="0005795C" w:rsidRPr="00AC4CFA" w:rsidRDefault="0005795C" w:rsidP="00B254AC">
      <w:pPr>
        <w:pStyle w:val="Heading1"/>
      </w:pPr>
      <w:r w:rsidRPr="00AC4CFA">
        <w:t>Disclosure index</w:t>
      </w:r>
      <w:bookmarkEnd w:id="699"/>
      <w:bookmarkEnd w:id="700"/>
      <w:bookmarkEnd w:id="701"/>
      <w:bookmarkEnd w:id="702"/>
      <w:bookmarkEnd w:id="703"/>
      <w:bookmarkEnd w:id="704"/>
    </w:p>
    <w:p w14:paraId="56745BE6" w14:textId="52940BFA" w:rsidR="0005795C" w:rsidRDefault="0005795C" w:rsidP="0005795C">
      <w:pPr>
        <w:tabs>
          <w:tab w:val="left" w:pos="993"/>
        </w:tabs>
        <w:rPr>
          <w:sz w:val="16"/>
        </w:rPr>
      </w:pPr>
      <w:r w:rsidRPr="00C261BE">
        <w:rPr>
          <w:rFonts w:cs="Arial"/>
        </w:rPr>
        <w:t xml:space="preserve">The annual report of SEC </w:t>
      </w:r>
      <w:r>
        <w:rPr>
          <w:rFonts w:cs="Arial"/>
        </w:rPr>
        <w:t>Energy</w:t>
      </w:r>
      <w:r w:rsidRPr="00C261BE">
        <w:rPr>
          <w:rFonts w:cs="Arial"/>
        </w:rPr>
        <w:t xml:space="preserve"> Pty Ltd is prepared in accordance with all relevant Victorian legislation and pronouncements. This index has been prepared to facilitate identification of compliance with statutory disclosure requirements.</w:t>
      </w:r>
      <w:r w:rsidR="00C02077">
        <w:rPr>
          <w:rFonts w:cs="Arial"/>
        </w:rPr>
        <w:br/>
      </w:r>
      <w:r w:rsidR="00C02077">
        <w:rPr>
          <w:rFonts w:cs="Arial"/>
        </w:rPr>
        <w:br/>
      </w:r>
      <w:r w:rsidR="00C02077" w:rsidRPr="00C02077">
        <w:rPr>
          <w:rFonts w:cs="Arial"/>
        </w:rPr>
        <w:t>SEC Energy Pty Ltd</w:t>
      </w:r>
      <w:r w:rsidR="00C02077">
        <w:rPr>
          <w:rFonts w:cs="Arial"/>
        </w:rPr>
        <w:t xml:space="preserve"> </w:t>
      </w:r>
      <w:r w:rsidR="00C02077" w:rsidRPr="00C02077">
        <w:rPr>
          <w:rFonts w:cs="Arial"/>
        </w:rPr>
        <w:t>is part of the SEC group of companies that work together to meet the SEC’s overall objectives. Its parent company, SEC Victoria Pty Ltd, prepares a consolidated annual report that includes the results and operations of the Company and other controlled entities. The Report of Operations has been prepared to cover the whole SEC group of companies from page 12 and as such</w:t>
      </w:r>
      <w:r w:rsidR="00C02077">
        <w:rPr>
          <w:rFonts w:cs="Arial"/>
        </w:rPr>
        <w:t xml:space="preserve"> some sections have not been</w:t>
      </w:r>
      <w:r w:rsidR="00321753">
        <w:rPr>
          <w:rFonts w:cs="Arial"/>
        </w:rPr>
        <w:t xml:space="preserve"> duplicated but referenced in the disclosure index below</w:t>
      </w:r>
      <w:r w:rsidR="00C02077" w:rsidRPr="00C02077">
        <w:rPr>
          <w:rFonts w:cs="Arial"/>
        </w:rPr>
        <w:t>.</w:t>
      </w:r>
    </w:p>
    <w:tbl>
      <w:tblPr>
        <w:tblW w:w="0" w:type="auto"/>
        <w:tblLayout w:type="fixed"/>
        <w:tblCellMar>
          <w:top w:w="28" w:type="dxa"/>
          <w:left w:w="28" w:type="dxa"/>
          <w:bottom w:w="28" w:type="dxa"/>
          <w:right w:w="28" w:type="dxa"/>
        </w:tblCellMar>
        <w:tblLook w:val="01E0" w:firstRow="1" w:lastRow="1" w:firstColumn="1" w:lastColumn="1" w:noHBand="0" w:noVBand="0"/>
      </w:tblPr>
      <w:tblGrid>
        <w:gridCol w:w="1990"/>
        <w:gridCol w:w="28"/>
        <w:gridCol w:w="6241"/>
        <w:gridCol w:w="7"/>
        <w:gridCol w:w="760"/>
      </w:tblGrid>
      <w:tr w:rsidR="0005795C" w:rsidRPr="003323EF" w14:paraId="17CAE04E" w14:textId="77777777">
        <w:trPr>
          <w:tblHeader/>
        </w:trPr>
        <w:tc>
          <w:tcPr>
            <w:tcW w:w="1990" w:type="dxa"/>
            <w:tcBorders>
              <w:bottom w:val="single" w:sz="2" w:space="0" w:color="390A56"/>
            </w:tcBorders>
            <w:shd w:val="clear" w:color="auto" w:fill="EBDAD3"/>
          </w:tcPr>
          <w:p w14:paraId="48F65E72" w14:textId="77777777" w:rsidR="0005795C" w:rsidRPr="00F65403" w:rsidRDefault="0005795C">
            <w:pPr>
              <w:pStyle w:val="TableParagraph"/>
              <w:spacing w:before="0"/>
              <w:rPr>
                <w:b/>
                <w:lang w:val="en-AU"/>
              </w:rPr>
            </w:pPr>
            <w:r w:rsidRPr="00F65403">
              <w:rPr>
                <w:b/>
                <w:color w:val="323031"/>
                <w:spacing w:val="-2"/>
                <w:lang w:val="en-AU"/>
              </w:rPr>
              <w:t>Legislation</w:t>
            </w:r>
          </w:p>
        </w:tc>
        <w:tc>
          <w:tcPr>
            <w:tcW w:w="6269" w:type="dxa"/>
            <w:gridSpan w:val="2"/>
            <w:tcBorders>
              <w:bottom w:val="single" w:sz="2" w:space="0" w:color="390A56"/>
            </w:tcBorders>
            <w:shd w:val="clear" w:color="auto" w:fill="EBDAD3"/>
          </w:tcPr>
          <w:p w14:paraId="2E9217BA" w14:textId="77777777" w:rsidR="0005795C" w:rsidRPr="00F65403" w:rsidRDefault="0005795C">
            <w:pPr>
              <w:pStyle w:val="TableParagraph"/>
              <w:spacing w:before="0"/>
              <w:rPr>
                <w:b/>
                <w:lang w:val="en-AU"/>
              </w:rPr>
            </w:pPr>
            <w:r w:rsidRPr="00F65403">
              <w:rPr>
                <w:b/>
                <w:color w:val="323031"/>
                <w:spacing w:val="-2"/>
                <w:lang w:val="en-AU"/>
              </w:rPr>
              <w:t>Requirement</w:t>
            </w:r>
          </w:p>
        </w:tc>
        <w:tc>
          <w:tcPr>
            <w:tcW w:w="767" w:type="dxa"/>
            <w:gridSpan w:val="2"/>
            <w:tcBorders>
              <w:bottom w:val="single" w:sz="2" w:space="0" w:color="390A56"/>
            </w:tcBorders>
            <w:shd w:val="clear" w:color="auto" w:fill="EBDAD3"/>
          </w:tcPr>
          <w:p w14:paraId="35A50C05" w14:textId="77777777" w:rsidR="0005795C" w:rsidRPr="00F65403" w:rsidRDefault="0005795C">
            <w:pPr>
              <w:pStyle w:val="TableParagraph"/>
              <w:spacing w:before="0"/>
              <w:jc w:val="center"/>
              <w:rPr>
                <w:b/>
                <w:bCs/>
                <w:lang w:val="en-AU"/>
              </w:rPr>
            </w:pPr>
            <w:r w:rsidRPr="49BCD735">
              <w:rPr>
                <w:b/>
                <w:bCs/>
                <w:color w:val="323031"/>
                <w:lang w:val="en-AU"/>
              </w:rPr>
              <w:t>Page</w:t>
            </w:r>
            <w:r w:rsidRPr="49BCD735">
              <w:rPr>
                <w:b/>
                <w:bCs/>
                <w:color w:val="323031"/>
                <w:spacing w:val="3"/>
                <w:lang w:val="en-AU"/>
              </w:rPr>
              <w:t xml:space="preserve"> </w:t>
            </w:r>
            <w:r w:rsidRPr="49BCD735">
              <w:rPr>
                <w:b/>
                <w:bCs/>
                <w:color w:val="323031"/>
                <w:spacing w:val="-2"/>
                <w:lang w:val="en-AU"/>
              </w:rPr>
              <w:t>ref</w:t>
            </w:r>
          </w:p>
        </w:tc>
      </w:tr>
      <w:tr w:rsidR="0005795C" w:rsidRPr="003323EF" w14:paraId="278092F1" w14:textId="77777777">
        <w:tc>
          <w:tcPr>
            <w:tcW w:w="9026" w:type="dxa"/>
            <w:gridSpan w:val="5"/>
            <w:shd w:val="clear" w:color="auto" w:fill="390A56"/>
          </w:tcPr>
          <w:p w14:paraId="5D0BC48F" w14:textId="77777777" w:rsidR="0005795C" w:rsidRPr="00F65403" w:rsidRDefault="0005795C">
            <w:pPr>
              <w:pStyle w:val="TableParagraph"/>
              <w:spacing w:before="0"/>
              <w:rPr>
                <w:b/>
                <w:lang w:val="en-AU"/>
              </w:rPr>
            </w:pPr>
            <w:r w:rsidRPr="00F65403">
              <w:rPr>
                <w:b/>
                <w:color w:val="FFFFFF"/>
                <w:spacing w:val="-2"/>
                <w:lang w:val="en-AU"/>
              </w:rPr>
              <w:t>Standing</w:t>
            </w:r>
            <w:r w:rsidRPr="00F65403">
              <w:rPr>
                <w:b/>
                <w:color w:val="FFFFFF"/>
                <w:lang w:val="en-AU"/>
              </w:rPr>
              <w:t xml:space="preserve"> </w:t>
            </w:r>
            <w:r w:rsidRPr="00F65403">
              <w:rPr>
                <w:b/>
                <w:color w:val="FFFFFF"/>
                <w:spacing w:val="-2"/>
                <w:lang w:val="en-AU"/>
              </w:rPr>
              <w:t>Directions</w:t>
            </w:r>
            <w:r w:rsidRPr="00F65403">
              <w:rPr>
                <w:b/>
                <w:color w:val="FFFFFF"/>
                <w:spacing w:val="1"/>
                <w:lang w:val="en-AU"/>
              </w:rPr>
              <w:t xml:space="preserve"> </w:t>
            </w:r>
            <w:r w:rsidRPr="00F65403">
              <w:rPr>
                <w:b/>
                <w:color w:val="FFFFFF"/>
                <w:spacing w:val="-2"/>
                <w:lang w:val="en-AU"/>
              </w:rPr>
              <w:t>and</w:t>
            </w:r>
            <w:r w:rsidRPr="00F65403">
              <w:rPr>
                <w:b/>
                <w:color w:val="FFFFFF"/>
                <w:spacing w:val="1"/>
                <w:lang w:val="en-AU"/>
              </w:rPr>
              <w:t xml:space="preserve"> </w:t>
            </w:r>
            <w:r w:rsidRPr="00F65403">
              <w:rPr>
                <w:b/>
                <w:color w:val="FFFFFF"/>
                <w:spacing w:val="-2"/>
                <w:lang w:val="en-AU"/>
              </w:rPr>
              <w:t>Financial</w:t>
            </w:r>
            <w:r w:rsidRPr="00F65403">
              <w:rPr>
                <w:b/>
                <w:color w:val="FFFFFF"/>
                <w:spacing w:val="1"/>
                <w:lang w:val="en-AU"/>
              </w:rPr>
              <w:t xml:space="preserve"> </w:t>
            </w:r>
            <w:r w:rsidRPr="00F65403">
              <w:rPr>
                <w:b/>
                <w:color w:val="FFFFFF"/>
                <w:spacing w:val="-2"/>
                <w:lang w:val="en-AU"/>
              </w:rPr>
              <w:t>Reporting</w:t>
            </w:r>
            <w:r w:rsidRPr="00F65403">
              <w:rPr>
                <w:b/>
                <w:color w:val="FFFFFF"/>
                <w:spacing w:val="1"/>
                <w:lang w:val="en-AU"/>
              </w:rPr>
              <w:t xml:space="preserve"> </w:t>
            </w:r>
            <w:r w:rsidRPr="00F65403">
              <w:rPr>
                <w:b/>
                <w:color w:val="FFFFFF"/>
                <w:spacing w:val="-2"/>
                <w:lang w:val="en-AU"/>
              </w:rPr>
              <w:t>Directions</w:t>
            </w:r>
          </w:p>
        </w:tc>
      </w:tr>
      <w:tr w:rsidR="0005795C" w:rsidRPr="003323EF" w14:paraId="1DCDB0B1" w14:textId="77777777">
        <w:tc>
          <w:tcPr>
            <w:tcW w:w="9026" w:type="dxa"/>
            <w:gridSpan w:val="5"/>
            <w:tcBorders>
              <w:bottom w:val="single" w:sz="2" w:space="0" w:color="390A56"/>
            </w:tcBorders>
            <w:shd w:val="clear" w:color="auto" w:fill="D7CEDD"/>
          </w:tcPr>
          <w:p w14:paraId="0A91FE19" w14:textId="77777777" w:rsidR="0005795C" w:rsidRPr="00F65403" w:rsidRDefault="0005795C">
            <w:pPr>
              <w:pStyle w:val="TableParagraph"/>
              <w:spacing w:before="0"/>
              <w:rPr>
                <w:b/>
                <w:lang w:val="en-AU"/>
              </w:rPr>
            </w:pPr>
            <w:r w:rsidRPr="00F65403">
              <w:rPr>
                <w:b/>
                <w:color w:val="323031"/>
                <w:lang w:val="en-AU"/>
              </w:rPr>
              <w:t>Report</w:t>
            </w:r>
            <w:r w:rsidRPr="00F65403">
              <w:rPr>
                <w:b/>
                <w:color w:val="323031"/>
                <w:spacing w:val="-3"/>
                <w:lang w:val="en-AU"/>
              </w:rPr>
              <w:t xml:space="preserve"> </w:t>
            </w:r>
            <w:r w:rsidRPr="00F65403">
              <w:rPr>
                <w:b/>
                <w:color w:val="323031"/>
                <w:lang w:val="en-AU"/>
              </w:rPr>
              <w:t>of</w:t>
            </w:r>
            <w:r w:rsidRPr="00F65403">
              <w:rPr>
                <w:b/>
                <w:color w:val="323031"/>
                <w:spacing w:val="-3"/>
                <w:lang w:val="en-AU"/>
              </w:rPr>
              <w:t xml:space="preserve"> </w:t>
            </w:r>
            <w:r w:rsidRPr="00F65403">
              <w:rPr>
                <w:b/>
                <w:color w:val="323031"/>
                <w:spacing w:val="-2"/>
                <w:lang w:val="en-AU"/>
              </w:rPr>
              <w:t>operations</w:t>
            </w:r>
          </w:p>
        </w:tc>
      </w:tr>
      <w:tr w:rsidR="0005795C" w:rsidRPr="003323EF" w14:paraId="606B99A1" w14:textId="77777777">
        <w:tc>
          <w:tcPr>
            <w:tcW w:w="9026" w:type="dxa"/>
            <w:gridSpan w:val="5"/>
            <w:tcBorders>
              <w:top w:val="single" w:sz="2" w:space="0" w:color="390A56"/>
              <w:bottom w:val="single" w:sz="2" w:space="0" w:color="390A56"/>
            </w:tcBorders>
            <w:shd w:val="clear" w:color="auto" w:fill="F0E3DE"/>
          </w:tcPr>
          <w:p w14:paraId="77004532" w14:textId="77777777" w:rsidR="0005795C" w:rsidRPr="00F65403" w:rsidRDefault="0005795C">
            <w:pPr>
              <w:pStyle w:val="TableParagraph"/>
              <w:spacing w:before="0"/>
              <w:rPr>
                <w:b/>
                <w:lang w:val="en-AU"/>
              </w:rPr>
            </w:pPr>
            <w:r w:rsidRPr="00F65403">
              <w:rPr>
                <w:b/>
                <w:color w:val="323031"/>
                <w:lang w:val="en-AU"/>
              </w:rPr>
              <w:t>Charter and</w:t>
            </w:r>
            <w:r w:rsidRPr="00F65403">
              <w:rPr>
                <w:b/>
                <w:color w:val="323031"/>
                <w:spacing w:val="1"/>
                <w:lang w:val="en-AU"/>
              </w:rPr>
              <w:t xml:space="preserve"> </w:t>
            </w:r>
            <w:r w:rsidRPr="00F65403">
              <w:rPr>
                <w:b/>
                <w:color w:val="323031"/>
                <w:spacing w:val="-2"/>
                <w:lang w:val="en-AU"/>
              </w:rPr>
              <w:t>purpose</w:t>
            </w:r>
          </w:p>
        </w:tc>
      </w:tr>
      <w:tr w:rsidR="0005795C" w:rsidRPr="003323EF" w14:paraId="15A66DFF" w14:textId="77777777">
        <w:tc>
          <w:tcPr>
            <w:tcW w:w="1990" w:type="dxa"/>
            <w:tcBorders>
              <w:top w:val="single" w:sz="2" w:space="0" w:color="390A56"/>
              <w:bottom w:val="single" w:sz="2" w:space="0" w:color="390A56"/>
            </w:tcBorders>
            <w:shd w:val="clear" w:color="auto" w:fill="FFFFFF" w:themeFill="background1"/>
          </w:tcPr>
          <w:p w14:paraId="1AF1A91B"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3F12EB3" w14:textId="77777777" w:rsidR="0005795C" w:rsidRPr="00F65403" w:rsidRDefault="0005795C">
            <w:pPr>
              <w:pStyle w:val="TableParagraph"/>
              <w:spacing w:before="0"/>
              <w:rPr>
                <w:lang w:val="en-AU"/>
              </w:rPr>
            </w:pPr>
            <w:r w:rsidRPr="00F65403">
              <w:rPr>
                <w:color w:val="323031"/>
                <w:lang w:val="en-AU"/>
              </w:rPr>
              <w:t>Manner</w:t>
            </w:r>
            <w:r w:rsidRPr="00F65403">
              <w:rPr>
                <w:color w:val="323031"/>
                <w:spacing w:val="24"/>
                <w:lang w:val="en-AU"/>
              </w:rPr>
              <w:t xml:space="preserve"> </w:t>
            </w:r>
            <w:r w:rsidRPr="00F65403">
              <w:rPr>
                <w:color w:val="323031"/>
                <w:lang w:val="en-AU"/>
              </w:rPr>
              <w:t>of</w:t>
            </w:r>
            <w:r w:rsidRPr="00F65403">
              <w:rPr>
                <w:color w:val="323031"/>
                <w:spacing w:val="25"/>
                <w:lang w:val="en-AU"/>
              </w:rPr>
              <w:t xml:space="preserve"> </w:t>
            </w:r>
            <w:r w:rsidRPr="00F65403">
              <w:rPr>
                <w:color w:val="323031"/>
                <w:lang w:val="en-AU"/>
              </w:rPr>
              <w:t>establishment</w:t>
            </w:r>
            <w:r w:rsidRPr="00F65403">
              <w:rPr>
                <w:color w:val="323031"/>
                <w:spacing w:val="25"/>
                <w:lang w:val="en-AU"/>
              </w:rPr>
              <w:t xml:space="preserve"> </w:t>
            </w:r>
            <w:r w:rsidRPr="00F65403">
              <w:rPr>
                <w:color w:val="323031"/>
                <w:lang w:val="en-AU"/>
              </w:rPr>
              <w:t>and</w:t>
            </w:r>
            <w:r w:rsidRPr="00F65403">
              <w:rPr>
                <w:color w:val="323031"/>
                <w:spacing w:val="25"/>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relevant</w:t>
            </w:r>
            <w:r w:rsidRPr="00F65403">
              <w:rPr>
                <w:color w:val="323031"/>
                <w:spacing w:val="24"/>
                <w:lang w:val="en-AU"/>
              </w:rPr>
              <w:t xml:space="preserve"> </w:t>
            </w:r>
            <w:r w:rsidRPr="00F65403">
              <w:rPr>
                <w:color w:val="323031"/>
                <w:spacing w:val="-2"/>
                <w:lang w:val="en-AU"/>
              </w:rPr>
              <w:t>Ministers</w:t>
            </w:r>
          </w:p>
        </w:tc>
        <w:tc>
          <w:tcPr>
            <w:tcW w:w="760" w:type="dxa"/>
            <w:tcBorders>
              <w:top w:val="single" w:sz="2" w:space="0" w:color="390A56"/>
              <w:bottom w:val="single" w:sz="2" w:space="0" w:color="390A56"/>
            </w:tcBorders>
            <w:shd w:val="clear" w:color="auto" w:fill="FFFFFF" w:themeFill="background1"/>
          </w:tcPr>
          <w:p w14:paraId="16996438" w14:textId="4EFE9000"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_Ref207630804 \h </w:instrText>
            </w:r>
            <w:r>
              <w:rPr>
                <w:lang w:val="en-AU"/>
              </w:rPr>
            </w:r>
            <w:r>
              <w:rPr>
                <w:lang w:val="en-AU"/>
              </w:rPr>
              <w:fldChar w:fldCharType="separate"/>
            </w:r>
            <w:r w:rsidR="00BC7653">
              <w:rPr>
                <w:noProof/>
                <w:lang w:val="en-AU"/>
              </w:rPr>
              <w:t>16</w:t>
            </w:r>
            <w:r>
              <w:rPr>
                <w:lang w:val="en-AU"/>
              </w:rPr>
              <w:fldChar w:fldCharType="end"/>
            </w:r>
          </w:p>
        </w:tc>
      </w:tr>
      <w:tr w:rsidR="0005795C" w:rsidRPr="003323EF" w14:paraId="160C38D9" w14:textId="77777777">
        <w:tc>
          <w:tcPr>
            <w:tcW w:w="1990" w:type="dxa"/>
            <w:tcBorders>
              <w:top w:val="single" w:sz="2" w:space="0" w:color="390A56"/>
              <w:bottom w:val="single" w:sz="2" w:space="0" w:color="390A56"/>
            </w:tcBorders>
            <w:shd w:val="clear" w:color="auto" w:fill="FFFFFF" w:themeFill="background1"/>
          </w:tcPr>
          <w:p w14:paraId="2CD68536"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CC13D96" w14:textId="77777777" w:rsidR="0005795C" w:rsidRPr="00F65403" w:rsidRDefault="0005795C">
            <w:pPr>
              <w:pStyle w:val="TableParagraph"/>
              <w:spacing w:before="0"/>
              <w:rPr>
                <w:lang w:val="en-AU"/>
              </w:rPr>
            </w:pPr>
            <w:r w:rsidRPr="00F65403">
              <w:rPr>
                <w:color w:val="323031"/>
                <w:w w:val="105"/>
                <w:lang w:val="en-AU"/>
              </w:rPr>
              <w:t>Purpose,</w:t>
            </w:r>
            <w:r w:rsidRPr="00F65403">
              <w:rPr>
                <w:color w:val="323031"/>
                <w:spacing w:val="-12"/>
                <w:w w:val="105"/>
                <w:lang w:val="en-AU"/>
              </w:rPr>
              <w:t xml:space="preserve"> </w:t>
            </w:r>
            <w:r w:rsidRPr="00F65403">
              <w:rPr>
                <w:color w:val="323031"/>
                <w:w w:val="105"/>
                <w:lang w:val="en-AU"/>
              </w:rPr>
              <w:t>functions,</w:t>
            </w:r>
            <w:r w:rsidRPr="00F65403">
              <w:rPr>
                <w:color w:val="323031"/>
                <w:spacing w:val="-11"/>
                <w:w w:val="105"/>
                <w:lang w:val="en-AU"/>
              </w:rPr>
              <w:t xml:space="preserve"> </w:t>
            </w:r>
            <w:r w:rsidRPr="00F65403">
              <w:rPr>
                <w:color w:val="323031"/>
                <w:w w:val="105"/>
                <w:lang w:val="en-AU"/>
              </w:rPr>
              <w:t>powers</w:t>
            </w:r>
            <w:r w:rsidRPr="00F65403">
              <w:rPr>
                <w:color w:val="323031"/>
                <w:spacing w:val="-12"/>
                <w:w w:val="105"/>
                <w:lang w:val="en-AU"/>
              </w:rPr>
              <w:t xml:space="preserve"> </w:t>
            </w:r>
            <w:r w:rsidRPr="00F65403">
              <w:rPr>
                <w:color w:val="323031"/>
                <w:w w:val="105"/>
                <w:lang w:val="en-AU"/>
              </w:rPr>
              <w:t>and</w:t>
            </w:r>
            <w:r w:rsidRPr="00F65403">
              <w:rPr>
                <w:color w:val="323031"/>
                <w:spacing w:val="-11"/>
                <w:w w:val="105"/>
                <w:lang w:val="en-AU"/>
              </w:rPr>
              <w:t xml:space="preserve"> </w:t>
            </w:r>
            <w:r w:rsidRPr="00F65403">
              <w:rPr>
                <w:color w:val="323031"/>
                <w:spacing w:val="-2"/>
                <w:w w:val="105"/>
                <w:lang w:val="en-AU"/>
              </w:rPr>
              <w:t>duties</w:t>
            </w:r>
          </w:p>
        </w:tc>
        <w:tc>
          <w:tcPr>
            <w:tcW w:w="760" w:type="dxa"/>
            <w:tcBorders>
              <w:top w:val="single" w:sz="2" w:space="0" w:color="390A56"/>
              <w:bottom w:val="single" w:sz="2" w:space="0" w:color="390A56"/>
            </w:tcBorders>
            <w:shd w:val="clear" w:color="auto" w:fill="FFFFFF" w:themeFill="background1"/>
          </w:tcPr>
          <w:p w14:paraId="5C647C95" w14:textId="3E95DF42"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_Ref207630818 \h </w:instrText>
            </w:r>
            <w:r>
              <w:rPr>
                <w:lang w:val="en-AU"/>
              </w:rPr>
            </w:r>
            <w:r>
              <w:rPr>
                <w:lang w:val="en-AU"/>
              </w:rPr>
              <w:fldChar w:fldCharType="separate"/>
            </w:r>
            <w:r w:rsidR="00BC7653">
              <w:rPr>
                <w:noProof/>
                <w:lang w:val="en-AU"/>
              </w:rPr>
              <w:t>16</w:t>
            </w:r>
            <w:r>
              <w:rPr>
                <w:lang w:val="en-AU"/>
              </w:rPr>
              <w:fldChar w:fldCharType="end"/>
            </w:r>
          </w:p>
        </w:tc>
      </w:tr>
      <w:tr w:rsidR="0005795C" w:rsidRPr="003323EF" w14:paraId="233B8B60" w14:textId="77777777">
        <w:tc>
          <w:tcPr>
            <w:tcW w:w="1990" w:type="dxa"/>
            <w:tcBorders>
              <w:top w:val="single" w:sz="2" w:space="0" w:color="390A56"/>
              <w:bottom w:val="single" w:sz="2" w:space="0" w:color="390A56"/>
            </w:tcBorders>
            <w:shd w:val="clear" w:color="auto" w:fill="FFFFFF" w:themeFill="background1"/>
          </w:tcPr>
          <w:p w14:paraId="6DED92B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E21F43B" w14:textId="77777777" w:rsidR="0005795C" w:rsidRPr="00F65403" w:rsidRDefault="0005795C">
            <w:pPr>
              <w:pStyle w:val="TableParagraph"/>
              <w:spacing w:before="0"/>
              <w:rPr>
                <w:lang w:val="en-AU"/>
              </w:rPr>
            </w:pPr>
            <w:r w:rsidRPr="00F65403">
              <w:rPr>
                <w:color w:val="323031"/>
                <w:w w:val="105"/>
                <w:lang w:val="en-AU"/>
              </w:rPr>
              <w:t>Key</w:t>
            </w:r>
            <w:r w:rsidRPr="00F65403">
              <w:rPr>
                <w:color w:val="323031"/>
                <w:spacing w:val="-13"/>
                <w:w w:val="105"/>
                <w:lang w:val="en-AU"/>
              </w:rPr>
              <w:t xml:space="preserve"> </w:t>
            </w:r>
            <w:r w:rsidRPr="00F65403">
              <w:rPr>
                <w:color w:val="323031"/>
                <w:w w:val="105"/>
                <w:lang w:val="en-AU"/>
              </w:rPr>
              <w:t>initiatives</w:t>
            </w:r>
            <w:r w:rsidRPr="00F65403">
              <w:rPr>
                <w:color w:val="323031"/>
                <w:spacing w:val="-12"/>
                <w:w w:val="105"/>
                <w:lang w:val="en-AU"/>
              </w:rPr>
              <w:t xml:space="preserve"> </w:t>
            </w:r>
            <w:r w:rsidRPr="00F65403">
              <w:rPr>
                <w:color w:val="323031"/>
                <w:w w:val="105"/>
                <w:lang w:val="en-AU"/>
              </w:rPr>
              <w:t>and</w:t>
            </w:r>
            <w:r w:rsidRPr="00F65403">
              <w:rPr>
                <w:color w:val="323031"/>
                <w:spacing w:val="-12"/>
                <w:w w:val="105"/>
                <w:lang w:val="en-AU"/>
              </w:rPr>
              <w:t xml:space="preserve"> </w:t>
            </w:r>
            <w:r w:rsidRPr="00F65403">
              <w:rPr>
                <w:color w:val="323031"/>
                <w:spacing w:val="-2"/>
                <w:w w:val="105"/>
                <w:lang w:val="en-AU"/>
              </w:rPr>
              <w:t>projects</w:t>
            </w:r>
          </w:p>
        </w:tc>
        <w:tc>
          <w:tcPr>
            <w:tcW w:w="760" w:type="dxa"/>
            <w:tcBorders>
              <w:top w:val="single" w:sz="2" w:space="0" w:color="390A56"/>
              <w:bottom w:val="single" w:sz="2" w:space="0" w:color="390A56"/>
            </w:tcBorders>
            <w:shd w:val="clear" w:color="auto" w:fill="FFFFFF" w:themeFill="background1"/>
          </w:tcPr>
          <w:p w14:paraId="07A36A8E" w14:textId="7D5B9D21"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_Ref207630831 \h </w:instrText>
            </w:r>
            <w:r>
              <w:rPr>
                <w:lang w:val="en-AU"/>
              </w:rPr>
            </w:r>
            <w:r>
              <w:rPr>
                <w:lang w:val="en-AU"/>
              </w:rPr>
              <w:fldChar w:fldCharType="separate"/>
            </w:r>
            <w:r w:rsidR="00BC7653">
              <w:rPr>
                <w:noProof/>
                <w:lang w:val="en-AU"/>
              </w:rPr>
              <w:t>25</w:t>
            </w:r>
            <w:r>
              <w:rPr>
                <w:lang w:val="en-AU"/>
              </w:rPr>
              <w:fldChar w:fldCharType="end"/>
            </w:r>
          </w:p>
        </w:tc>
      </w:tr>
      <w:tr w:rsidR="0005795C" w:rsidRPr="003323EF" w14:paraId="6F37883C" w14:textId="77777777">
        <w:tc>
          <w:tcPr>
            <w:tcW w:w="1990" w:type="dxa"/>
            <w:tcBorders>
              <w:top w:val="single" w:sz="2" w:space="0" w:color="390A56"/>
              <w:bottom w:val="single" w:sz="2" w:space="0" w:color="390A56"/>
            </w:tcBorders>
            <w:shd w:val="clear" w:color="auto" w:fill="FFFFFF" w:themeFill="background1"/>
          </w:tcPr>
          <w:p w14:paraId="3E5EA7C9"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0578F8D" w14:textId="77777777" w:rsidR="0005795C" w:rsidRPr="00F65403" w:rsidRDefault="0005795C">
            <w:pPr>
              <w:pStyle w:val="TableParagraph"/>
              <w:spacing w:before="0"/>
              <w:rPr>
                <w:lang w:val="en-AU"/>
              </w:rPr>
            </w:pPr>
            <w:r w:rsidRPr="00F65403">
              <w:rPr>
                <w:color w:val="323031"/>
                <w:lang w:val="en-AU"/>
              </w:rPr>
              <w:t>Nature</w:t>
            </w:r>
            <w:r w:rsidRPr="00F65403">
              <w:rPr>
                <w:color w:val="323031"/>
                <w:spacing w:val="17"/>
                <w:lang w:val="en-AU"/>
              </w:rPr>
              <w:t xml:space="preserve"> </w:t>
            </w:r>
            <w:r w:rsidRPr="00F65403">
              <w:rPr>
                <w:color w:val="323031"/>
                <w:lang w:val="en-AU"/>
              </w:rPr>
              <w:t>and</w:t>
            </w:r>
            <w:r w:rsidRPr="00F65403">
              <w:rPr>
                <w:color w:val="323031"/>
                <w:spacing w:val="18"/>
                <w:lang w:val="en-AU"/>
              </w:rPr>
              <w:t xml:space="preserve"> </w:t>
            </w:r>
            <w:r w:rsidRPr="00F65403">
              <w:rPr>
                <w:color w:val="323031"/>
                <w:lang w:val="en-AU"/>
              </w:rPr>
              <w:t>range</w:t>
            </w:r>
            <w:r w:rsidRPr="00F65403">
              <w:rPr>
                <w:color w:val="323031"/>
                <w:spacing w:val="18"/>
                <w:lang w:val="en-AU"/>
              </w:rPr>
              <w:t xml:space="preserve"> </w:t>
            </w:r>
            <w:r w:rsidRPr="00F65403">
              <w:rPr>
                <w:color w:val="323031"/>
                <w:lang w:val="en-AU"/>
              </w:rPr>
              <w:t>of</w:t>
            </w:r>
            <w:r w:rsidRPr="00F65403">
              <w:rPr>
                <w:color w:val="323031"/>
                <w:spacing w:val="18"/>
                <w:lang w:val="en-AU"/>
              </w:rPr>
              <w:t xml:space="preserve"> </w:t>
            </w:r>
            <w:r w:rsidRPr="00F65403">
              <w:rPr>
                <w:color w:val="323031"/>
                <w:lang w:val="en-AU"/>
              </w:rPr>
              <w:t>services</w:t>
            </w:r>
            <w:r w:rsidRPr="00F65403">
              <w:rPr>
                <w:color w:val="323031"/>
                <w:spacing w:val="18"/>
                <w:lang w:val="en-AU"/>
              </w:rPr>
              <w:t xml:space="preserve"> </w:t>
            </w:r>
            <w:r w:rsidRPr="00F65403">
              <w:rPr>
                <w:color w:val="323031"/>
                <w:spacing w:val="-2"/>
                <w:lang w:val="en-AU"/>
              </w:rPr>
              <w:t>provided</w:t>
            </w:r>
          </w:p>
        </w:tc>
        <w:tc>
          <w:tcPr>
            <w:tcW w:w="760" w:type="dxa"/>
            <w:tcBorders>
              <w:top w:val="single" w:sz="2" w:space="0" w:color="390A56"/>
              <w:bottom w:val="single" w:sz="2" w:space="0" w:color="390A56"/>
            </w:tcBorders>
            <w:shd w:val="clear" w:color="auto" w:fill="FFFFFF" w:themeFill="background1"/>
          </w:tcPr>
          <w:p w14:paraId="4A2B03A4" w14:textId="4B28F1E5"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_Ref207630831 \h </w:instrText>
            </w:r>
            <w:r>
              <w:rPr>
                <w:lang w:val="en-AU"/>
              </w:rPr>
            </w:r>
            <w:r>
              <w:rPr>
                <w:lang w:val="en-AU"/>
              </w:rPr>
              <w:fldChar w:fldCharType="separate"/>
            </w:r>
            <w:r w:rsidR="00BC7653">
              <w:rPr>
                <w:noProof/>
                <w:lang w:val="en-AU"/>
              </w:rPr>
              <w:t>25</w:t>
            </w:r>
            <w:r>
              <w:rPr>
                <w:lang w:val="en-AU"/>
              </w:rPr>
              <w:fldChar w:fldCharType="end"/>
            </w:r>
          </w:p>
        </w:tc>
      </w:tr>
      <w:tr w:rsidR="0005795C" w:rsidRPr="003323EF" w14:paraId="000A9C63" w14:textId="77777777">
        <w:tc>
          <w:tcPr>
            <w:tcW w:w="9026" w:type="dxa"/>
            <w:gridSpan w:val="5"/>
            <w:tcBorders>
              <w:top w:val="single" w:sz="2" w:space="0" w:color="390A56"/>
              <w:bottom w:val="single" w:sz="2" w:space="0" w:color="390A56"/>
            </w:tcBorders>
            <w:shd w:val="clear" w:color="auto" w:fill="F0E3DE"/>
          </w:tcPr>
          <w:p w14:paraId="407267F3" w14:textId="77777777" w:rsidR="0005795C" w:rsidRPr="00F65403" w:rsidRDefault="0005795C">
            <w:pPr>
              <w:pStyle w:val="TableParagraph"/>
              <w:spacing w:before="0"/>
              <w:rPr>
                <w:b/>
                <w:lang w:val="en-AU"/>
              </w:rPr>
            </w:pPr>
            <w:r w:rsidRPr="00F65403">
              <w:rPr>
                <w:b/>
                <w:color w:val="323031"/>
                <w:lang w:val="en-AU"/>
              </w:rPr>
              <w:t>Management</w:t>
            </w:r>
            <w:r w:rsidRPr="00F65403">
              <w:rPr>
                <w:b/>
                <w:color w:val="323031"/>
                <w:spacing w:val="3"/>
                <w:lang w:val="en-AU"/>
              </w:rPr>
              <w:t xml:space="preserve"> </w:t>
            </w:r>
            <w:r w:rsidRPr="00F65403">
              <w:rPr>
                <w:b/>
                <w:color w:val="323031"/>
                <w:lang w:val="en-AU"/>
              </w:rPr>
              <w:t>and</w:t>
            </w:r>
            <w:r w:rsidRPr="00F65403">
              <w:rPr>
                <w:b/>
                <w:color w:val="323031"/>
                <w:spacing w:val="6"/>
                <w:lang w:val="en-AU"/>
              </w:rPr>
              <w:t xml:space="preserve"> </w:t>
            </w:r>
            <w:r w:rsidRPr="00F65403">
              <w:rPr>
                <w:b/>
                <w:color w:val="323031"/>
                <w:spacing w:val="-2"/>
                <w:lang w:val="en-AU"/>
              </w:rPr>
              <w:t>structure</w:t>
            </w:r>
          </w:p>
        </w:tc>
      </w:tr>
      <w:tr w:rsidR="0005795C" w:rsidRPr="003323EF" w14:paraId="413B2E67" w14:textId="77777777">
        <w:tc>
          <w:tcPr>
            <w:tcW w:w="1990" w:type="dxa"/>
            <w:tcBorders>
              <w:top w:val="single" w:sz="2" w:space="0" w:color="390A56"/>
              <w:bottom w:val="single" w:sz="2" w:space="0" w:color="390A56"/>
            </w:tcBorders>
            <w:shd w:val="clear" w:color="auto" w:fill="FFFFFF" w:themeFill="background1"/>
          </w:tcPr>
          <w:p w14:paraId="321E43E7"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E1FC8C3" w14:textId="77777777" w:rsidR="0005795C" w:rsidRPr="00F65403" w:rsidRDefault="0005795C">
            <w:pPr>
              <w:pStyle w:val="TableParagraph"/>
              <w:spacing w:before="0"/>
              <w:rPr>
                <w:lang w:val="en-AU"/>
              </w:rPr>
            </w:pPr>
            <w:r w:rsidRPr="00F65403">
              <w:rPr>
                <w:color w:val="323031"/>
                <w:spacing w:val="-2"/>
                <w:w w:val="105"/>
                <w:lang w:val="en-AU"/>
              </w:rPr>
              <w:t>Organisational</w:t>
            </w:r>
            <w:r w:rsidRPr="00F65403">
              <w:rPr>
                <w:color w:val="323031"/>
                <w:spacing w:val="9"/>
                <w:w w:val="110"/>
                <w:lang w:val="en-AU"/>
              </w:rPr>
              <w:t xml:space="preserve"> </w:t>
            </w:r>
            <w:r w:rsidRPr="00F65403">
              <w:rPr>
                <w:color w:val="323031"/>
                <w:spacing w:val="-2"/>
                <w:w w:val="110"/>
                <w:lang w:val="en-AU"/>
              </w:rPr>
              <w:t>structure</w:t>
            </w:r>
          </w:p>
        </w:tc>
        <w:tc>
          <w:tcPr>
            <w:tcW w:w="760" w:type="dxa"/>
            <w:tcBorders>
              <w:top w:val="single" w:sz="2" w:space="0" w:color="390A56"/>
              <w:bottom w:val="single" w:sz="2" w:space="0" w:color="390A56"/>
            </w:tcBorders>
            <w:shd w:val="clear" w:color="auto" w:fill="FFFFFF" w:themeFill="background1"/>
          </w:tcPr>
          <w:p w14:paraId="3465D222" w14:textId="08EF6DB6"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_Ref207630795 \h </w:instrText>
            </w:r>
            <w:r>
              <w:rPr>
                <w:lang w:val="en-AU"/>
              </w:rPr>
            </w:r>
            <w:r>
              <w:rPr>
                <w:lang w:val="en-AU"/>
              </w:rPr>
              <w:fldChar w:fldCharType="separate"/>
            </w:r>
            <w:r w:rsidR="00BC7653">
              <w:rPr>
                <w:noProof/>
                <w:lang w:val="en-AU"/>
              </w:rPr>
              <w:t>19</w:t>
            </w:r>
            <w:r>
              <w:rPr>
                <w:lang w:val="en-AU"/>
              </w:rPr>
              <w:fldChar w:fldCharType="end"/>
            </w:r>
          </w:p>
        </w:tc>
      </w:tr>
      <w:tr w:rsidR="0005795C" w:rsidRPr="003323EF" w14:paraId="63B9E076" w14:textId="77777777">
        <w:tc>
          <w:tcPr>
            <w:tcW w:w="9026" w:type="dxa"/>
            <w:gridSpan w:val="5"/>
            <w:tcBorders>
              <w:top w:val="single" w:sz="2" w:space="0" w:color="390A56"/>
              <w:bottom w:val="single" w:sz="2" w:space="0" w:color="390A56"/>
            </w:tcBorders>
            <w:shd w:val="clear" w:color="auto" w:fill="F0E3DE"/>
          </w:tcPr>
          <w:p w14:paraId="16700D45" w14:textId="77777777" w:rsidR="0005795C" w:rsidRPr="00F65403" w:rsidRDefault="0005795C">
            <w:pPr>
              <w:pStyle w:val="TableParagraph"/>
              <w:spacing w:before="0"/>
              <w:rPr>
                <w:b/>
                <w:lang w:val="en-AU"/>
              </w:rPr>
            </w:pPr>
            <w:r w:rsidRPr="00F65403">
              <w:rPr>
                <w:b/>
                <w:color w:val="323031"/>
                <w:spacing w:val="-2"/>
                <w:lang w:val="en-AU"/>
              </w:rPr>
              <w:t>Financial and other information</w:t>
            </w:r>
          </w:p>
        </w:tc>
      </w:tr>
      <w:tr w:rsidR="0005795C" w:rsidRPr="003323EF" w14:paraId="06117C7C" w14:textId="77777777">
        <w:tc>
          <w:tcPr>
            <w:tcW w:w="1990" w:type="dxa"/>
            <w:tcBorders>
              <w:top w:val="single" w:sz="2" w:space="0" w:color="390A56"/>
              <w:bottom w:val="single" w:sz="2" w:space="0" w:color="390A56"/>
            </w:tcBorders>
            <w:shd w:val="clear" w:color="auto" w:fill="FFFFFF" w:themeFill="background1"/>
          </w:tcPr>
          <w:p w14:paraId="6CE50B3F"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10</w:t>
            </w:r>
          </w:p>
        </w:tc>
        <w:tc>
          <w:tcPr>
            <w:tcW w:w="6276" w:type="dxa"/>
            <w:gridSpan w:val="3"/>
            <w:tcBorders>
              <w:top w:val="single" w:sz="2" w:space="0" w:color="390A56"/>
              <w:bottom w:val="single" w:sz="2" w:space="0" w:color="390A56"/>
            </w:tcBorders>
            <w:shd w:val="clear" w:color="auto" w:fill="FFFFFF" w:themeFill="background1"/>
          </w:tcPr>
          <w:p w14:paraId="29ED5DCF" w14:textId="77777777" w:rsidR="0005795C" w:rsidRPr="00F65403" w:rsidRDefault="0005795C">
            <w:pPr>
              <w:pStyle w:val="TableParagraph"/>
              <w:spacing w:before="0"/>
              <w:rPr>
                <w:lang w:val="en-AU"/>
              </w:rPr>
            </w:pPr>
            <w:r w:rsidRPr="00F65403">
              <w:rPr>
                <w:color w:val="323031"/>
                <w:lang w:val="en-AU"/>
              </w:rPr>
              <w:t>Disclosure</w:t>
            </w:r>
            <w:r w:rsidRPr="00F65403">
              <w:rPr>
                <w:color w:val="323031"/>
                <w:spacing w:val="17"/>
                <w:lang w:val="en-AU"/>
              </w:rPr>
              <w:t xml:space="preserve"> </w:t>
            </w:r>
            <w:r w:rsidRPr="00F65403">
              <w:rPr>
                <w:color w:val="323031"/>
                <w:spacing w:val="-2"/>
                <w:lang w:val="en-AU"/>
              </w:rPr>
              <w:t>index</w:t>
            </w:r>
          </w:p>
        </w:tc>
        <w:tc>
          <w:tcPr>
            <w:tcW w:w="760" w:type="dxa"/>
            <w:tcBorders>
              <w:top w:val="single" w:sz="2" w:space="0" w:color="390A56"/>
              <w:bottom w:val="single" w:sz="2" w:space="0" w:color="390A56"/>
            </w:tcBorders>
            <w:shd w:val="clear" w:color="auto" w:fill="FFFFFF" w:themeFill="background1"/>
          </w:tcPr>
          <w:p w14:paraId="123493A9" w14:textId="7FFDFAF1"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_Ref207630772 \h </w:instrText>
            </w:r>
            <w:r>
              <w:rPr>
                <w:lang w:val="en-AU"/>
              </w:rPr>
            </w:r>
            <w:r>
              <w:rPr>
                <w:lang w:val="en-AU"/>
              </w:rPr>
              <w:fldChar w:fldCharType="separate"/>
            </w:r>
            <w:r w:rsidR="00BC7653">
              <w:rPr>
                <w:noProof/>
                <w:lang w:val="en-AU"/>
              </w:rPr>
              <w:t>173</w:t>
            </w:r>
            <w:r>
              <w:rPr>
                <w:lang w:val="en-AU"/>
              </w:rPr>
              <w:fldChar w:fldCharType="end"/>
            </w:r>
          </w:p>
        </w:tc>
      </w:tr>
      <w:tr w:rsidR="0005795C" w:rsidRPr="003323EF" w14:paraId="37A7C7B6" w14:textId="77777777">
        <w:tc>
          <w:tcPr>
            <w:tcW w:w="1990" w:type="dxa"/>
            <w:tcBorders>
              <w:top w:val="single" w:sz="2" w:space="0" w:color="390A56"/>
              <w:bottom w:val="single" w:sz="2" w:space="0" w:color="390A56"/>
            </w:tcBorders>
            <w:shd w:val="clear" w:color="auto" w:fill="FFFFFF" w:themeFill="background1"/>
          </w:tcPr>
          <w:p w14:paraId="67E15C77"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BA51CA5" w14:textId="77777777" w:rsidR="0005795C" w:rsidRPr="00F65403" w:rsidRDefault="0005795C">
            <w:pPr>
              <w:pStyle w:val="TableParagraph"/>
              <w:spacing w:before="0"/>
              <w:rPr>
                <w:lang w:val="en-AU"/>
              </w:rPr>
            </w:pPr>
            <w:r w:rsidRPr="00F65403">
              <w:rPr>
                <w:color w:val="323031"/>
                <w:spacing w:val="2"/>
                <w:lang w:val="en-AU"/>
              </w:rPr>
              <w:t>Employment</w:t>
            </w:r>
            <w:r w:rsidRPr="00F65403">
              <w:rPr>
                <w:color w:val="323031"/>
                <w:spacing w:val="28"/>
                <w:lang w:val="en-AU"/>
              </w:rPr>
              <w:t xml:space="preserve"> </w:t>
            </w:r>
            <w:r w:rsidRPr="00F65403">
              <w:rPr>
                <w:color w:val="323031"/>
                <w:spacing w:val="2"/>
                <w:lang w:val="en-AU"/>
              </w:rPr>
              <w:t>and</w:t>
            </w:r>
            <w:r w:rsidRPr="00F65403">
              <w:rPr>
                <w:color w:val="323031"/>
                <w:spacing w:val="28"/>
                <w:lang w:val="en-AU"/>
              </w:rPr>
              <w:t xml:space="preserve"> </w:t>
            </w:r>
            <w:r w:rsidRPr="00F65403">
              <w:rPr>
                <w:color w:val="323031"/>
                <w:spacing w:val="2"/>
                <w:lang w:val="en-AU"/>
              </w:rPr>
              <w:t>conduct</w:t>
            </w:r>
            <w:r w:rsidRPr="00F65403">
              <w:rPr>
                <w:color w:val="323031"/>
                <w:spacing w:val="28"/>
                <w:lang w:val="en-AU"/>
              </w:rPr>
              <w:t xml:space="preserve"> </w:t>
            </w:r>
            <w:r w:rsidRPr="00F65403">
              <w:rPr>
                <w:color w:val="323031"/>
                <w:spacing w:val="-2"/>
                <w:lang w:val="en-AU"/>
              </w:rPr>
              <w:t>principles</w:t>
            </w:r>
          </w:p>
        </w:tc>
        <w:tc>
          <w:tcPr>
            <w:tcW w:w="760" w:type="dxa"/>
            <w:tcBorders>
              <w:top w:val="single" w:sz="2" w:space="0" w:color="390A56"/>
              <w:bottom w:val="single" w:sz="2" w:space="0" w:color="390A56"/>
            </w:tcBorders>
            <w:shd w:val="clear" w:color="auto" w:fill="FFFFFF" w:themeFill="background1"/>
          </w:tcPr>
          <w:p w14:paraId="1848B07F" w14:textId="4C1C92EE"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_Ref207630759 \h </w:instrText>
            </w:r>
            <w:r>
              <w:rPr>
                <w:lang w:val="en-AU"/>
              </w:rPr>
            </w:r>
            <w:r>
              <w:rPr>
                <w:lang w:val="en-AU"/>
              </w:rPr>
              <w:fldChar w:fldCharType="separate"/>
            </w:r>
            <w:r w:rsidR="00BC7653">
              <w:rPr>
                <w:noProof/>
                <w:lang w:val="en-AU"/>
              </w:rPr>
              <w:t>36</w:t>
            </w:r>
            <w:r>
              <w:rPr>
                <w:lang w:val="en-AU"/>
              </w:rPr>
              <w:fldChar w:fldCharType="end"/>
            </w:r>
          </w:p>
        </w:tc>
      </w:tr>
      <w:tr w:rsidR="0005795C" w:rsidRPr="003323EF" w14:paraId="35FF1053" w14:textId="77777777">
        <w:tc>
          <w:tcPr>
            <w:tcW w:w="1990" w:type="dxa"/>
            <w:tcBorders>
              <w:top w:val="single" w:sz="2" w:space="0" w:color="390A56"/>
              <w:bottom w:val="single" w:sz="2" w:space="0" w:color="390A56"/>
            </w:tcBorders>
            <w:shd w:val="clear" w:color="auto" w:fill="FFFFFF" w:themeFill="background1"/>
          </w:tcPr>
          <w:p w14:paraId="3AA56736"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6755124" w14:textId="77777777" w:rsidR="0005795C" w:rsidRPr="00F65403" w:rsidRDefault="0005795C">
            <w:pPr>
              <w:pStyle w:val="TableParagraph"/>
              <w:spacing w:before="0"/>
              <w:rPr>
                <w:lang w:val="en-AU"/>
              </w:rPr>
            </w:pPr>
            <w:r w:rsidRPr="00F65403">
              <w:rPr>
                <w:color w:val="323031"/>
                <w:spacing w:val="2"/>
                <w:lang w:val="en-AU"/>
              </w:rPr>
              <w:t>Occupational</w:t>
            </w:r>
            <w:r w:rsidRPr="00F65403">
              <w:rPr>
                <w:color w:val="323031"/>
                <w:spacing w:val="22"/>
                <w:lang w:val="en-AU"/>
              </w:rPr>
              <w:t xml:space="preserve"> </w:t>
            </w:r>
            <w:r w:rsidRPr="00F65403">
              <w:rPr>
                <w:color w:val="323031"/>
                <w:spacing w:val="2"/>
                <w:lang w:val="en-AU"/>
              </w:rPr>
              <w:t>health</w:t>
            </w:r>
            <w:r w:rsidRPr="00F65403">
              <w:rPr>
                <w:color w:val="323031"/>
                <w:spacing w:val="22"/>
                <w:lang w:val="en-AU"/>
              </w:rPr>
              <w:t xml:space="preserve"> </w:t>
            </w:r>
            <w:r w:rsidRPr="00F65403">
              <w:rPr>
                <w:color w:val="323031"/>
                <w:spacing w:val="2"/>
                <w:lang w:val="en-AU"/>
              </w:rPr>
              <w:t>and</w:t>
            </w:r>
            <w:r w:rsidRPr="00F65403">
              <w:rPr>
                <w:color w:val="323031"/>
                <w:spacing w:val="22"/>
                <w:lang w:val="en-AU"/>
              </w:rPr>
              <w:t xml:space="preserve"> </w:t>
            </w:r>
            <w:r w:rsidRPr="00F65403">
              <w:rPr>
                <w:color w:val="323031"/>
                <w:spacing w:val="2"/>
                <w:lang w:val="en-AU"/>
              </w:rPr>
              <w:t>safety</w:t>
            </w:r>
            <w:r w:rsidRPr="00F65403">
              <w:rPr>
                <w:color w:val="323031"/>
                <w:spacing w:val="22"/>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0DB6B9B5" w14:textId="76E51903" w:rsidR="0005795C" w:rsidRPr="00F65403" w:rsidRDefault="00B87398" w:rsidP="00B87398">
            <w:pPr>
              <w:pStyle w:val="TableParagraph"/>
              <w:spacing w:before="0"/>
              <w:jc w:val="center"/>
              <w:rPr>
                <w:lang w:val="en-AU"/>
              </w:rPr>
            </w:pPr>
            <w:r>
              <w:rPr>
                <w:lang w:val="en-AU"/>
              </w:rPr>
              <w:fldChar w:fldCharType="begin"/>
            </w:r>
            <w:r>
              <w:rPr>
                <w:lang w:val="en-AU"/>
              </w:rPr>
              <w:instrText xml:space="preserve"> PAGEREF _Ref207013136 \h </w:instrText>
            </w:r>
            <w:r>
              <w:rPr>
                <w:lang w:val="en-AU"/>
              </w:rPr>
            </w:r>
            <w:r>
              <w:rPr>
                <w:lang w:val="en-AU"/>
              </w:rPr>
              <w:fldChar w:fldCharType="separate"/>
            </w:r>
            <w:r w:rsidR="00BC7653">
              <w:rPr>
                <w:noProof/>
                <w:lang w:val="en-AU"/>
              </w:rPr>
              <w:t>36</w:t>
            </w:r>
            <w:r>
              <w:rPr>
                <w:lang w:val="en-AU"/>
              </w:rPr>
              <w:fldChar w:fldCharType="end"/>
            </w:r>
          </w:p>
        </w:tc>
      </w:tr>
      <w:tr w:rsidR="0005795C" w:rsidRPr="003323EF" w14:paraId="4A949FB8" w14:textId="77777777">
        <w:tc>
          <w:tcPr>
            <w:tcW w:w="1990" w:type="dxa"/>
            <w:tcBorders>
              <w:top w:val="single" w:sz="2" w:space="0" w:color="390A56"/>
              <w:bottom w:val="single" w:sz="2" w:space="0" w:color="390A56"/>
            </w:tcBorders>
            <w:shd w:val="clear" w:color="auto" w:fill="FFFFFF" w:themeFill="background1"/>
          </w:tcPr>
          <w:p w14:paraId="1522032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4DF3E64" w14:textId="77777777" w:rsidR="0005795C" w:rsidRPr="00F65403" w:rsidRDefault="0005795C">
            <w:pPr>
              <w:pStyle w:val="TableParagraph"/>
              <w:spacing w:before="0"/>
              <w:rPr>
                <w:lang w:val="en-AU"/>
              </w:rPr>
            </w:pPr>
            <w:r w:rsidRPr="00F65403">
              <w:rPr>
                <w:color w:val="323031"/>
                <w:lang w:val="en-AU"/>
              </w:rPr>
              <w:t>Summary</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lang w:val="en-AU"/>
              </w:rPr>
              <w:t>the</w:t>
            </w:r>
            <w:r w:rsidRPr="00F65403">
              <w:rPr>
                <w:color w:val="323031"/>
                <w:spacing w:val="25"/>
                <w:lang w:val="en-AU"/>
              </w:rPr>
              <w:t xml:space="preserve"> </w:t>
            </w:r>
            <w:r w:rsidRPr="00F65403">
              <w:rPr>
                <w:color w:val="323031"/>
                <w:lang w:val="en-AU"/>
              </w:rPr>
              <w:t>financial</w:t>
            </w:r>
            <w:r w:rsidRPr="00F65403">
              <w:rPr>
                <w:color w:val="323031"/>
                <w:spacing w:val="24"/>
                <w:lang w:val="en-AU"/>
              </w:rPr>
              <w:t xml:space="preserve"> </w:t>
            </w:r>
            <w:r w:rsidRPr="00F65403">
              <w:rPr>
                <w:color w:val="323031"/>
                <w:lang w:val="en-AU"/>
              </w:rPr>
              <w:t>results</w:t>
            </w:r>
            <w:r w:rsidRPr="00F65403">
              <w:rPr>
                <w:color w:val="323031"/>
                <w:spacing w:val="25"/>
                <w:lang w:val="en-AU"/>
              </w:rPr>
              <w:t xml:space="preserve"> </w:t>
            </w:r>
            <w:r w:rsidRPr="00F65403">
              <w:rPr>
                <w:color w:val="323031"/>
                <w:lang w:val="en-AU"/>
              </w:rPr>
              <w:t>for</w:t>
            </w:r>
            <w:r w:rsidRPr="00F65403">
              <w:rPr>
                <w:color w:val="323031"/>
                <w:spacing w:val="24"/>
                <w:lang w:val="en-AU"/>
              </w:rPr>
              <w:t xml:space="preserve"> </w:t>
            </w:r>
            <w:r w:rsidRPr="00F65403">
              <w:rPr>
                <w:color w:val="323031"/>
                <w:lang w:val="en-AU"/>
              </w:rPr>
              <w:t>the</w:t>
            </w:r>
            <w:r w:rsidRPr="00F65403">
              <w:rPr>
                <w:color w:val="323031"/>
                <w:spacing w:val="24"/>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136952A8" w14:textId="13092F7F" w:rsidR="0005795C" w:rsidRPr="00F65403" w:rsidRDefault="00D64312" w:rsidP="00B87398">
            <w:pPr>
              <w:pStyle w:val="TableParagraph"/>
              <w:spacing w:before="0"/>
              <w:jc w:val="center"/>
              <w:rPr>
                <w:lang w:val="en-AU"/>
              </w:rPr>
            </w:pPr>
            <w:r>
              <w:rPr>
                <w:lang w:val="en-AU"/>
              </w:rPr>
              <w:fldChar w:fldCharType="begin"/>
            </w:r>
            <w:r>
              <w:rPr>
                <w:lang w:val="en-AU"/>
              </w:rPr>
              <w:instrText xml:space="preserve"> PAGEREF _Ref207630697 \h </w:instrText>
            </w:r>
            <w:r>
              <w:rPr>
                <w:lang w:val="en-AU"/>
              </w:rPr>
            </w:r>
            <w:r>
              <w:rPr>
                <w:lang w:val="en-AU"/>
              </w:rPr>
              <w:fldChar w:fldCharType="separate"/>
            </w:r>
            <w:r w:rsidR="00BC7653">
              <w:rPr>
                <w:noProof/>
                <w:lang w:val="en-AU"/>
              </w:rPr>
              <w:t>142</w:t>
            </w:r>
            <w:r>
              <w:rPr>
                <w:lang w:val="en-AU"/>
              </w:rPr>
              <w:fldChar w:fldCharType="end"/>
            </w:r>
          </w:p>
        </w:tc>
      </w:tr>
      <w:tr w:rsidR="0005795C" w:rsidRPr="003323EF" w14:paraId="5B14ABB2" w14:textId="77777777">
        <w:tc>
          <w:tcPr>
            <w:tcW w:w="1990" w:type="dxa"/>
            <w:tcBorders>
              <w:top w:val="single" w:sz="2" w:space="0" w:color="390A56"/>
              <w:bottom w:val="single" w:sz="2" w:space="0" w:color="390A56"/>
            </w:tcBorders>
            <w:shd w:val="clear" w:color="auto" w:fill="FFFFFF" w:themeFill="background1"/>
          </w:tcPr>
          <w:p w14:paraId="42C02185"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FD2D6B0" w14:textId="77777777" w:rsidR="0005795C" w:rsidRPr="00F65403" w:rsidRDefault="0005795C">
            <w:pPr>
              <w:pStyle w:val="TableParagraph"/>
              <w:spacing w:before="0"/>
              <w:rPr>
                <w:lang w:val="en-AU"/>
              </w:rPr>
            </w:pPr>
            <w:r w:rsidRPr="00F65403">
              <w:rPr>
                <w:color w:val="323031"/>
                <w:lang w:val="en-AU"/>
              </w:rPr>
              <w:t>Significant</w:t>
            </w:r>
            <w:r w:rsidRPr="00F65403">
              <w:rPr>
                <w:color w:val="323031"/>
                <w:spacing w:val="28"/>
                <w:lang w:val="en-AU"/>
              </w:rPr>
              <w:t xml:space="preserve"> </w:t>
            </w:r>
            <w:r w:rsidRPr="00F65403">
              <w:rPr>
                <w:color w:val="323031"/>
                <w:lang w:val="en-AU"/>
              </w:rPr>
              <w:t>changes</w:t>
            </w:r>
            <w:r w:rsidRPr="00F65403">
              <w:rPr>
                <w:color w:val="323031"/>
                <w:spacing w:val="29"/>
                <w:lang w:val="en-AU"/>
              </w:rPr>
              <w:t xml:space="preserve"> </w:t>
            </w:r>
            <w:r w:rsidRPr="00F65403">
              <w:rPr>
                <w:color w:val="323031"/>
                <w:lang w:val="en-AU"/>
              </w:rPr>
              <w:t>in</w:t>
            </w:r>
            <w:r w:rsidRPr="00F65403">
              <w:rPr>
                <w:color w:val="323031"/>
                <w:spacing w:val="29"/>
                <w:lang w:val="en-AU"/>
              </w:rPr>
              <w:t xml:space="preserve"> </w:t>
            </w:r>
            <w:r w:rsidRPr="00F65403">
              <w:rPr>
                <w:color w:val="323031"/>
                <w:lang w:val="en-AU"/>
              </w:rPr>
              <w:t>financial</w:t>
            </w:r>
            <w:r w:rsidRPr="00F65403">
              <w:rPr>
                <w:color w:val="323031"/>
                <w:spacing w:val="28"/>
                <w:lang w:val="en-AU"/>
              </w:rPr>
              <w:t xml:space="preserve"> </w:t>
            </w:r>
            <w:r w:rsidRPr="00F65403">
              <w:rPr>
                <w:color w:val="323031"/>
                <w:lang w:val="en-AU"/>
              </w:rPr>
              <w:t>position</w:t>
            </w:r>
            <w:r w:rsidRPr="00F65403">
              <w:rPr>
                <w:color w:val="323031"/>
                <w:spacing w:val="29"/>
                <w:lang w:val="en-AU"/>
              </w:rPr>
              <w:t xml:space="preserve"> </w:t>
            </w:r>
            <w:r w:rsidRPr="00F65403">
              <w:rPr>
                <w:color w:val="323031"/>
                <w:lang w:val="en-AU"/>
              </w:rPr>
              <w:t>during</w:t>
            </w:r>
            <w:r w:rsidRPr="00F65403">
              <w:rPr>
                <w:color w:val="323031"/>
                <w:spacing w:val="29"/>
                <w:lang w:val="en-AU"/>
              </w:rPr>
              <w:t xml:space="preserve"> </w:t>
            </w:r>
            <w:r w:rsidRPr="00F65403">
              <w:rPr>
                <w:color w:val="323031"/>
                <w:lang w:val="en-AU"/>
              </w:rPr>
              <w:t>the</w:t>
            </w:r>
            <w:r w:rsidRPr="00F65403">
              <w:rPr>
                <w:color w:val="323031"/>
                <w:spacing w:val="29"/>
                <w:lang w:val="en-AU"/>
              </w:rPr>
              <w:t xml:space="preserve"> </w:t>
            </w:r>
            <w:r w:rsidRPr="00F65403">
              <w:rPr>
                <w:color w:val="323031"/>
                <w:spacing w:val="-4"/>
                <w:lang w:val="en-AU"/>
              </w:rPr>
              <w:t>year</w:t>
            </w:r>
          </w:p>
        </w:tc>
        <w:tc>
          <w:tcPr>
            <w:tcW w:w="760" w:type="dxa"/>
            <w:tcBorders>
              <w:top w:val="single" w:sz="2" w:space="0" w:color="390A56"/>
              <w:bottom w:val="single" w:sz="2" w:space="0" w:color="390A56"/>
            </w:tcBorders>
            <w:shd w:val="clear" w:color="auto" w:fill="FFFFFF" w:themeFill="background1"/>
          </w:tcPr>
          <w:p w14:paraId="368302F1" w14:textId="75FD12B7" w:rsidR="0005795C" w:rsidRPr="00F65403" w:rsidRDefault="00D64312" w:rsidP="00B87398">
            <w:pPr>
              <w:pStyle w:val="TableParagraph"/>
              <w:spacing w:before="0"/>
              <w:jc w:val="center"/>
              <w:rPr>
                <w:lang w:val="en-AU"/>
              </w:rPr>
            </w:pPr>
            <w:r>
              <w:rPr>
                <w:lang w:val="en-AU"/>
              </w:rPr>
              <w:fldChar w:fldCharType="begin"/>
            </w:r>
            <w:r>
              <w:rPr>
                <w:lang w:val="en-AU"/>
              </w:rPr>
              <w:instrText xml:space="preserve"> PAGEREF _Ref207630697 \h </w:instrText>
            </w:r>
            <w:r>
              <w:rPr>
                <w:lang w:val="en-AU"/>
              </w:rPr>
            </w:r>
            <w:r>
              <w:rPr>
                <w:lang w:val="en-AU"/>
              </w:rPr>
              <w:fldChar w:fldCharType="separate"/>
            </w:r>
            <w:r w:rsidR="00BC7653">
              <w:rPr>
                <w:noProof/>
                <w:lang w:val="en-AU"/>
              </w:rPr>
              <w:t>142</w:t>
            </w:r>
            <w:r>
              <w:rPr>
                <w:lang w:val="en-AU"/>
              </w:rPr>
              <w:fldChar w:fldCharType="end"/>
            </w:r>
          </w:p>
        </w:tc>
      </w:tr>
      <w:tr w:rsidR="0005795C" w:rsidRPr="003323EF" w14:paraId="16586D4C" w14:textId="77777777">
        <w:tc>
          <w:tcPr>
            <w:tcW w:w="1990" w:type="dxa"/>
            <w:tcBorders>
              <w:top w:val="single" w:sz="2" w:space="0" w:color="390A56"/>
              <w:bottom w:val="single" w:sz="2" w:space="0" w:color="390A56"/>
            </w:tcBorders>
            <w:shd w:val="clear" w:color="auto" w:fill="FFFFFF" w:themeFill="background1"/>
          </w:tcPr>
          <w:p w14:paraId="430BA4D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30BF38B3" w14:textId="77777777" w:rsidR="0005795C" w:rsidRPr="00F65403" w:rsidRDefault="0005795C">
            <w:pPr>
              <w:pStyle w:val="TableParagraph"/>
              <w:spacing w:before="0"/>
              <w:rPr>
                <w:lang w:val="en-AU"/>
              </w:rPr>
            </w:pPr>
            <w:r w:rsidRPr="00F65403">
              <w:rPr>
                <w:color w:val="323031"/>
                <w:spacing w:val="-2"/>
                <w:w w:val="110"/>
                <w:lang w:val="en-AU"/>
              </w:rPr>
              <w:t>Major</w:t>
            </w:r>
            <w:r w:rsidRPr="00F65403">
              <w:rPr>
                <w:color w:val="323031"/>
                <w:spacing w:val="-7"/>
                <w:w w:val="110"/>
                <w:lang w:val="en-AU"/>
              </w:rPr>
              <w:t xml:space="preserve"> </w:t>
            </w:r>
            <w:r w:rsidRPr="00F65403">
              <w:rPr>
                <w:color w:val="323031"/>
                <w:spacing w:val="-2"/>
                <w:w w:val="110"/>
                <w:lang w:val="en-AU"/>
              </w:rPr>
              <w:t>changes</w:t>
            </w:r>
            <w:r w:rsidRPr="00F65403">
              <w:rPr>
                <w:color w:val="323031"/>
                <w:spacing w:val="-7"/>
                <w:w w:val="110"/>
                <w:lang w:val="en-AU"/>
              </w:rPr>
              <w:t xml:space="preserve"> </w:t>
            </w:r>
            <w:r w:rsidRPr="00F65403">
              <w:rPr>
                <w:color w:val="323031"/>
                <w:spacing w:val="-2"/>
                <w:w w:val="110"/>
                <w:lang w:val="en-AU"/>
              </w:rPr>
              <w:t>or</w:t>
            </w:r>
            <w:r w:rsidRPr="00F65403">
              <w:rPr>
                <w:color w:val="323031"/>
                <w:spacing w:val="-7"/>
                <w:w w:val="110"/>
                <w:lang w:val="en-AU"/>
              </w:rPr>
              <w:t xml:space="preserve"> </w:t>
            </w:r>
            <w:r w:rsidRPr="00F65403">
              <w:rPr>
                <w:color w:val="323031"/>
                <w:spacing w:val="-2"/>
                <w:w w:val="110"/>
                <w:lang w:val="en-AU"/>
              </w:rPr>
              <w:t>factors</w:t>
            </w:r>
            <w:r w:rsidRPr="00F65403">
              <w:rPr>
                <w:color w:val="323031"/>
                <w:spacing w:val="-7"/>
                <w:w w:val="110"/>
                <w:lang w:val="en-AU"/>
              </w:rPr>
              <w:t xml:space="preserve"> </w:t>
            </w:r>
            <w:r w:rsidRPr="00F65403">
              <w:rPr>
                <w:color w:val="323031"/>
                <w:spacing w:val="-2"/>
                <w:w w:val="110"/>
                <w:lang w:val="en-AU"/>
              </w:rPr>
              <w:t>affecting</w:t>
            </w:r>
            <w:r w:rsidRPr="00F65403">
              <w:rPr>
                <w:color w:val="323031"/>
                <w:spacing w:val="-7"/>
                <w:w w:val="110"/>
                <w:lang w:val="en-AU"/>
              </w:rPr>
              <w:t xml:space="preserve"> </w:t>
            </w:r>
            <w:r w:rsidRPr="00F65403">
              <w:rPr>
                <w:color w:val="323031"/>
                <w:spacing w:val="-2"/>
                <w:w w:val="110"/>
                <w:lang w:val="en-AU"/>
              </w:rPr>
              <w:t>performance</w:t>
            </w:r>
          </w:p>
        </w:tc>
        <w:tc>
          <w:tcPr>
            <w:tcW w:w="760" w:type="dxa"/>
            <w:tcBorders>
              <w:top w:val="single" w:sz="2" w:space="0" w:color="390A56"/>
              <w:bottom w:val="single" w:sz="2" w:space="0" w:color="390A56"/>
            </w:tcBorders>
            <w:shd w:val="clear" w:color="auto" w:fill="FFFFFF" w:themeFill="background1"/>
          </w:tcPr>
          <w:p w14:paraId="32EF0325" w14:textId="5CF03687" w:rsidR="0005795C" w:rsidRPr="00F65403" w:rsidRDefault="00D64312" w:rsidP="00B87398">
            <w:pPr>
              <w:pStyle w:val="TableParagraph"/>
              <w:spacing w:before="0"/>
              <w:jc w:val="center"/>
              <w:rPr>
                <w:lang w:val="en-AU"/>
              </w:rPr>
            </w:pPr>
            <w:r>
              <w:rPr>
                <w:lang w:val="en-AU"/>
              </w:rPr>
              <w:fldChar w:fldCharType="begin"/>
            </w:r>
            <w:r>
              <w:rPr>
                <w:lang w:val="en-AU"/>
              </w:rPr>
              <w:instrText xml:space="preserve"> PAGEREF _Ref207630697 \h </w:instrText>
            </w:r>
            <w:r>
              <w:rPr>
                <w:lang w:val="en-AU"/>
              </w:rPr>
            </w:r>
            <w:r>
              <w:rPr>
                <w:lang w:val="en-AU"/>
              </w:rPr>
              <w:fldChar w:fldCharType="separate"/>
            </w:r>
            <w:r w:rsidR="00BC7653">
              <w:rPr>
                <w:noProof/>
                <w:lang w:val="en-AU"/>
              </w:rPr>
              <w:t>142</w:t>
            </w:r>
            <w:r>
              <w:rPr>
                <w:lang w:val="en-AU"/>
              </w:rPr>
              <w:fldChar w:fldCharType="end"/>
            </w:r>
          </w:p>
        </w:tc>
      </w:tr>
      <w:tr w:rsidR="0005795C" w:rsidRPr="003323EF" w14:paraId="37EA7BAE" w14:textId="77777777">
        <w:tc>
          <w:tcPr>
            <w:tcW w:w="1990" w:type="dxa"/>
            <w:tcBorders>
              <w:top w:val="single" w:sz="2" w:space="0" w:color="390A56"/>
              <w:bottom w:val="single" w:sz="2" w:space="0" w:color="390A56"/>
            </w:tcBorders>
            <w:shd w:val="clear" w:color="auto" w:fill="FFFFFF" w:themeFill="background1"/>
          </w:tcPr>
          <w:p w14:paraId="5965C1B1"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FC48F46" w14:textId="77777777" w:rsidR="0005795C" w:rsidRPr="00F65403" w:rsidRDefault="0005795C">
            <w:pPr>
              <w:pStyle w:val="TableParagraph"/>
              <w:spacing w:before="0"/>
              <w:rPr>
                <w:lang w:val="en-AU"/>
              </w:rPr>
            </w:pPr>
            <w:r w:rsidRPr="00F65403">
              <w:rPr>
                <w:color w:val="323031"/>
                <w:spacing w:val="2"/>
                <w:lang w:val="en-AU"/>
              </w:rPr>
              <w:t>Subsequent</w:t>
            </w:r>
            <w:r w:rsidRPr="00F65403">
              <w:rPr>
                <w:color w:val="323031"/>
                <w:spacing w:val="13"/>
                <w:lang w:val="en-AU"/>
              </w:rPr>
              <w:t xml:space="preserve"> </w:t>
            </w:r>
            <w:r w:rsidRPr="00F65403">
              <w:rPr>
                <w:color w:val="323031"/>
                <w:spacing w:val="-2"/>
                <w:lang w:val="en-AU"/>
              </w:rPr>
              <w:t>events</w:t>
            </w:r>
          </w:p>
        </w:tc>
        <w:tc>
          <w:tcPr>
            <w:tcW w:w="760" w:type="dxa"/>
            <w:tcBorders>
              <w:top w:val="single" w:sz="2" w:space="0" w:color="390A56"/>
              <w:bottom w:val="single" w:sz="2" w:space="0" w:color="390A56"/>
            </w:tcBorders>
            <w:shd w:val="clear" w:color="auto" w:fill="FFFFFF" w:themeFill="background1"/>
          </w:tcPr>
          <w:p w14:paraId="22B94075" w14:textId="7E7A4208" w:rsidR="0005795C" w:rsidRPr="00F65403" w:rsidRDefault="0000689E" w:rsidP="00B87398">
            <w:pPr>
              <w:pStyle w:val="TableParagraph"/>
              <w:spacing w:before="0"/>
              <w:jc w:val="center"/>
              <w:rPr>
                <w:lang w:val="en-AU"/>
              </w:rPr>
            </w:pPr>
            <w:r>
              <w:rPr>
                <w:lang w:val="en-AU"/>
              </w:rPr>
              <w:fldChar w:fldCharType="begin"/>
            </w:r>
            <w:r>
              <w:rPr>
                <w:lang w:val="en-AU"/>
              </w:rPr>
              <w:instrText xml:space="preserve"> PAGEREF _Ref207630665 \h </w:instrText>
            </w:r>
            <w:r>
              <w:rPr>
                <w:lang w:val="en-AU"/>
              </w:rPr>
            </w:r>
            <w:r>
              <w:rPr>
                <w:lang w:val="en-AU"/>
              </w:rPr>
              <w:fldChar w:fldCharType="separate"/>
            </w:r>
            <w:r w:rsidR="00BC7653">
              <w:rPr>
                <w:noProof/>
                <w:lang w:val="en-AU"/>
              </w:rPr>
              <w:t>165</w:t>
            </w:r>
            <w:r>
              <w:rPr>
                <w:lang w:val="en-AU"/>
              </w:rPr>
              <w:fldChar w:fldCharType="end"/>
            </w:r>
          </w:p>
        </w:tc>
      </w:tr>
      <w:tr w:rsidR="0005795C" w:rsidRPr="003323EF" w14:paraId="09022625" w14:textId="77777777">
        <w:tc>
          <w:tcPr>
            <w:tcW w:w="1990" w:type="dxa"/>
            <w:tcBorders>
              <w:top w:val="single" w:sz="2" w:space="0" w:color="390A56"/>
              <w:bottom w:val="single" w:sz="2" w:space="0" w:color="390A56"/>
            </w:tcBorders>
            <w:shd w:val="clear" w:color="auto" w:fill="FFFFFF" w:themeFill="background1"/>
          </w:tcPr>
          <w:p w14:paraId="39979E60"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08A38C64" w14:textId="77777777" w:rsidR="0005795C" w:rsidRPr="00F65403" w:rsidRDefault="0005795C">
            <w:pPr>
              <w:pStyle w:val="TableParagraph"/>
              <w:spacing w:before="0"/>
              <w:rPr>
                <w:i/>
                <w:lang w:val="en-AU"/>
              </w:rPr>
            </w:pPr>
            <w:r w:rsidRPr="00F65403">
              <w:rPr>
                <w:color w:val="323031"/>
                <w:lang w:val="en-AU"/>
              </w:rPr>
              <w:t>Application</w:t>
            </w:r>
            <w:r w:rsidRPr="00F65403">
              <w:rPr>
                <w:color w:val="323031"/>
                <w:spacing w:val="28"/>
                <w:lang w:val="en-AU"/>
              </w:rPr>
              <w:t xml:space="preserve"> </w:t>
            </w:r>
            <w:r w:rsidRPr="00F65403">
              <w:rPr>
                <w:color w:val="323031"/>
                <w:lang w:val="en-AU"/>
              </w:rPr>
              <w:t>and</w:t>
            </w:r>
            <w:r w:rsidRPr="00F65403">
              <w:rPr>
                <w:color w:val="323031"/>
                <w:spacing w:val="29"/>
                <w:lang w:val="en-AU"/>
              </w:rPr>
              <w:t xml:space="preserve"> </w:t>
            </w:r>
            <w:r w:rsidRPr="00F65403">
              <w:rPr>
                <w:color w:val="323031"/>
                <w:lang w:val="en-AU"/>
              </w:rPr>
              <w:t>operation</w:t>
            </w:r>
            <w:r w:rsidRPr="00F65403">
              <w:rPr>
                <w:color w:val="323031"/>
                <w:spacing w:val="29"/>
                <w:lang w:val="en-AU"/>
              </w:rPr>
              <w:t xml:space="preserve"> </w:t>
            </w:r>
            <w:r w:rsidRPr="00F65403">
              <w:rPr>
                <w:color w:val="323031"/>
                <w:lang w:val="en-AU"/>
              </w:rPr>
              <w:t>of</w:t>
            </w:r>
            <w:r w:rsidRPr="00F65403">
              <w:rPr>
                <w:color w:val="323031"/>
                <w:spacing w:val="29"/>
                <w:lang w:val="en-AU"/>
              </w:rPr>
              <w:t xml:space="preserve"> </w:t>
            </w:r>
            <w:r w:rsidRPr="00F65403">
              <w:rPr>
                <w:i/>
                <w:color w:val="323031"/>
                <w:lang w:val="en-AU"/>
              </w:rPr>
              <w:t>Freedom</w:t>
            </w:r>
            <w:r w:rsidRPr="00F65403">
              <w:rPr>
                <w:i/>
                <w:color w:val="323031"/>
                <w:spacing w:val="29"/>
                <w:lang w:val="en-AU"/>
              </w:rPr>
              <w:t xml:space="preserve"> </w:t>
            </w:r>
            <w:r w:rsidRPr="00F65403">
              <w:rPr>
                <w:i/>
                <w:color w:val="323031"/>
                <w:lang w:val="en-AU"/>
              </w:rPr>
              <w:t>of</w:t>
            </w:r>
            <w:r w:rsidRPr="00F65403">
              <w:rPr>
                <w:i/>
                <w:color w:val="323031"/>
                <w:spacing w:val="29"/>
                <w:lang w:val="en-AU"/>
              </w:rPr>
              <w:t xml:space="preserve"> </w:t>
            </w:r>
            <w:r w:rsidRPr="00F65403">
              <w:rPr>
                <w:i/>
                <w:color w:val="323031"/>
                <w:lang w:val="en-AU"/>
              </w:rPr>
              <w:t>Information</w:t>
            </w:r>
            <w:r w:rsidRPr="00F65403">
              <w:rPr>
                <w:i/>
                <w:color w:val="323031"/>
                <w:spacing w:val="29"/>
                <w:lang w:val="en-AU"/>
              </w:rPr>
              <w:t xml:space="preserve"> </w:t>
            </w:r>
            <w:r w:rsidRPr="00F65403">
              <w:rPr>
                <w:i/>
                <w:color w:val="323031"/>
                <w:lang w:val="en-AU"/>
              </w:rPr>
              <w:t>Act</w:t>
            </w:r>
            <w:r w:rsidRPr="00F65403">
              <w:rPr>
                <w:i/>
                <w:color w:val="323031"/>
                <w:spacing w:val="29"/>
                <w:lang w:val="en-AU"/>
              </w:rPr>
              <w:t xml:space="preserve"> </w:t>
            </w:r>
            <w:r w:rsidRPr="00F65403">
              <w:rPr>
                <w:i/>
                <w:color w:val="323031"/>
                <w:spacing w:val="-4"/>
                <w:lang w:val="en-AU"/>
              </w:rPr>
              <w:t>1982</w:t>
            </w:r>
          </w:p>
        </w:tc>
        <w:tc>
          <w:tcPr>
            <w:tcW w:w="760" w:type="dxa"/>
            <w:tcBorders>
              <w:top w:val="single" w:sz="2" w:space="0" w:color="390A56"/>
              <w:bottom w:val="single" w:sz="2" w:space="0" w:color="390A56"/>
            </w:tcBorders>
            <w:shd w:val="clear" w:color="auto" w:fill="FFFFFF" w:themeFill="background1"/>
          </w:tcPr>
          <w:p w14:paraId="054D7EB2" w14:textId="57BA5168" w:rsidR="0005795C" w:rsidRPr="00F65403" w:rsidRDefault="0000689E" w:rsidP="00B87398">
            <w:pPr>
              <w:pStyle w:val="TableParagraph"/>
              <w:spacing w:before="0"/>
              <w:jc w:val="center"/>
              <w:rPr>
                <w:lang w:val="en-AU"/>
              </w:rPr>
            </w:pPr>
            <w:r>
              <w:rPr>
                <w:lang w:val="en-AU"/>
              </w:rPr>
              <w:fldChar w:fldCharType="begin"/>
            </w:r>
            <w:r>
              <w:rPr>
                <w:lang w:val="en-AU"/>
              </w:rPr>
              <w:instrText xml:space="preserve"> PAGEREF _Ref207630652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0EEDEE17" w14:textId="77777777">
        <w:tc>
          <w:tcPr>
            <w:tcW w:w="1990" w:type="dxa"/>
            <w:tcBorders>
              <w:top w:val="single" w:sz="2" w:space="0" w:color="390A56"/>
              <w:bottom w:val="single" w:sz="2" w:space="0" w:color="390A56"/>
            </w:tcBorders>
            <w:shd w:val="clear" w:color="auto" w:fill="FFFFFF" w:themeFill="background1"/>
          </w:tcPr>
          <w:p w14:paraId="327E04C0"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7891324" w14:textId="77777777" w:rsidR="0005795C" w:rsidRPr="00F65403" w:rsidRDefault="0005795C">
            <w:pPr>
              <w:pStyle w:val="TableParagraph"/>
              <w:spacing w:before="0"/>
              <w:rPr>
                <w:i/>
                <w:lang w:val="en-AU"/>
              </w:rPr>
            </w:pPr>
            <w:r w:rsidRPr="00F65403">
              <w:rPr>
                <w:color w:val="323031"/>
                <w:lang w:val="en-AU"/>
              </w:rPr>
              <w:t xml:space="preserve">Compliance with building and maintenance provisions of </w:t>
            </w:r>
            <w:r w:rsidRPr="00F65403">
              <w:rPr>
                <w:i/>
                <w:color w:val="323031"/>
                <w:lang w:val="en-AU"/>
              </w:rPr>
              <w:t>Building</w:t>
            </w:r>
            <w:r w:rsidRPr="00F65403">
              <w:rPr>
                <w:i/>
                <w:color w:val="323031"/>
                <w:spacing w:val="40"/>
                <w:w w:val="110"/>
                <w:lang w:val="en-AU"/>
              </w:rPr>
              <w:t xml:space="preserve"> </w:t>
            </w:r>
            <w:r w:rsidRPr="00F65403">
              <w:rPr>
                <w:i/>
                <w:color w:val="323031"/>
                <w:w w:val="110"/>
                <w:lang w:val="en-AU"/>
              </w:rPr>
              <w:t>Act</w:t>
            </w:r>
            <w:r w:rsidRPr="00F65403">
              <w:rPr>
                <w:i/>
                <w:color w:val="323031"/>
                <w:spacing w:val="-17"/>
                <w:w w:val="110"/>
                <w:lang w:val="en-AU"/>
              </w:rPr>
              <w:t xml:space="preserve"> </w:t>
            </w:r>
            <w:r w:rsidRPr="00F65403">
              <w:rPr>
                <w:i/>
                <w:color w:val="323031"/>
                <w:w w:val="110"/>
                <w:lang w:val="en-AU"/>
              </w:rPr>
              <w:t>1993</w:t>
            </w:r>
          </w:p>
        </w:tc>
        <w:tc>
          <w:tcPr>
            <w:tcW w:w="760" w:type="dxa"/>
            <w:tcBorders>
              <w:top w:val="single" w:sz="2" w:space="0" w:color="390A56"/>
              <w:bottom w:val="single" w:sz="2" w:space="0" w:color="390A56"/>
            </w:tcBorders>
            <w:shd w:val="clear" w:color="auto" w:fill="FFFFFF" w:themeFill="background1"/>
          </w:tcPr>
          <w:p w14:paraId="50B01A4D" w14:textId="0B6E2CE9"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_Ref207630642 \h </w:instrText>
            </w:r>
            <w:r>
              <w:rPr>
                <w:lang w:val="en-AU"/>
              </w:rPr>
            </w:r>
            <w:r>
              <w:rPr>
                <w:lang w:val="en-AU"/>
              </w:rPr>
              <w:fldChar w:fldCharType="separate"/>
            </w:r>
            <w:r w:rsidR="00BC7653">
              <w:rPr>
                <w:noProof/>
                <w:lang w:val="en-AU"/>
              </w:rPr>
              <w:t>172</w:t>
            </w:r>
            <w:r>
              <w:rPr>
                <w:lang w:val="en-AU"/>
              </w:rPr>
              <w:fldChar w:fldCharType="end"/>
            </w:r>
          </w:p>
        </w:tc>
      </w:tr>
      <w:tr w:rsidR="0005795C" w:rsidRPr="003323EF" w14:paraId="07172112" w14:textId="77777777">
        <w:tc>
          <w:tcPr>
            <w:tcW w:w="1990" w:type="dxa"/>
            <w:tcBorders>
              <w:top w:val="single" w:sz="2" w:space="0" w:color="390A56"/>
              <w:bottom w:val="single" w:sz="2" w:space="0" w:color="390A56"/>
            </w:tcBorders>
            <w:shd w:val="clear" w:color="auto" w:fill="FFFFFF" w:themeFill="background1"/>
          </w:tcPr>
          <w:p w14:paraId="58D3B455"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CBA01C3" w14:textId="77777777" w:rsidR="0005795C" w:rsidRPr="00F65403" w:rsidRDefault="0005795C">
            <w:pPr>
              <w:pStyle w:val="TableParagraph"/>
              <w:spacing w:before="0"/>
              <w:rPr>
                <w:lang w:val="en-AU"/>
              </w:rPr>
            </w:pPr>
            <w:r w:rsidRPr="00F65403">
              <w:rPr>
                <w:color w:val="323031"/>
                <w:spacing w:val="2"/>
                <w:lang w:val="en-AU"/>
              </w:rPr>
              <w:t>Statement</w:t>
            </w:r>
            <w:r w:rsidRPr="00F65403">
              <w:rPr>
                <w:color w:val="323031"/>
                <w:spacing w:val="28"/>
                <w:lang w:val="en-AU"/>
              </w:rPr>
              <w:t xml:space="preserve"> </w:t>
            </w:r>
            <w:r w:rsidRPr="00F65403">
              <w:rPr>
                <w:color w:val="323031"/>
                <w:spacing w:val="2"/>
                <w:lang w:val="en-AU"/>
              </w:rPr>
              <w:t>on</w:t>
            </w:r>
            <w:r w:rsidRPr="00F65403">
              <w:rPr>
                <w:color w:val="323031"/>
                <w:spacing w:val="29"/>
                <w:lang w:val="en-AU"/>
              </w:rPr>
              <w:t xml:space="preserve"> </w:t>
            </w:r>
            <w:r w:rsidRPr="00F65403">
              <w:rPr>
                <w:color w:val="323031"/>
                <w:spacing w:val="2"/>
                <w:lang w:val="en-AU"/>
              </w:rPr>
              <w:t>National</w:t>
            </w:r>
            <w:r w:rsidRPr="00F65403">
              <w:rPr>
                <w:color w:val="323031"/>
                <w:spacing w:val="28"/>
                <w:lang w:val="en-AU"/>
              </w:rPr>
              <w:t xml:space="preserve"> </w:t>
            </w:r>
            <w:r w:rsidRPr="00F65403">
              <w:rPr>
                <w:color w:val="323031"/>
                <w:spacing w:val="2"/>
                <w:lang w:val="en-AU"/>
              </w:rPr>
              <w:t>Competition</w:t>
            </w:r>
            <w:r w:rsidRPr="00F65403">
              <w:rPr>
                <w:color w:val="323031"/>
                <w:spacing w:val="29"/>
                <w:lang w:val="en-AU"/>
              </w:rPr>
              <w:t xml:space="preserve"> </w:t>
            </w:r>
            <w:r w:rsidRPr="00F65403">
              <w:rPr>
                <w:color w:val="323031"/>
                <w:spacing w:val="-2"/>
                <w:lang w:val="en-AU"/>
              </w:rPr>
              <w:t>Policy</w:t>
            </w:r>
          </w:p>
        </w:tc>
        <w:tc>
          <w:tcPr>
            <w:tcW w:w="760" w:type="dxa"/>
            <w:tcBorders>
              <w:top w:val="single" w:sz="2" w:space="0" w:color="390A56"/>
              <w:bottom w:val="single" w:sz="2" w:space="0" w:color="390A56"/>
            </w:tcBorders>
            <w:shd w:val="clear" w:color="auto" w:fill="FFFFFF" w:themeFill="background1"/>
          </w:tcPr>
          <w:p w14:paraId="16E26A5D" w14:textId="321EB9CE"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_Ref207630636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58E892BB" w14:textId="77777777">
        <w:tc>
          <w:tcPr>
            <w:tcW w:w="1990" w:type="dxa"/>
            <w:tcBorders>
              <w:top w:val="single" w:sz="2" w:space="0" w:color="390A56"/>
              <w:bottom w:val="single" w:sz="2" w:space="0" w:color="390A56"/>
            </w:tcBorders>
            <w:shd w:val="clear" w:color="auto" w:fill="FFFFFF" w:themeFill="background1"/>
          </w:tcPr>
          <w:p w14:paraId="1D5C5442"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A191B99" w14:textId="77777777" w:rsidR="0005795C" w:rsidRPr="00F65403" w:rsidRDefault="0005795C">
            <w:pPr>
              <w:pStyle w:val="TableParagraph"/>
              <w:spacing w:before="0"/>
              <w:rPr>
                <w:i/>
                <w:lang w:val="en-AU"/>
              </w:rPr>
            </w:pPr>
            <w:r w:rsidRPr="00F65403">
              <w:rPr>
                <w:color w:val="323031"/>
                <w:lang w:val="en-AU"/>
              </w:rPr>
              <w:t>Application</w:t>
            </w:r>
            <w:r w:rsidRPr="00F65403">
              <w:rPr>
                <w:color w:val="323031"/>
                <w:spacing w:val="21"/>
                <w:lang w:val="en-AU"/>
              </w:rPr>
              <w:t xml:space="preserve"> </w:t>
            </w:r>
            <w:r w:rsidRPr="00F65403">
              <w:rPr>
                <w:color w:val="323031"/>
                <w:lang w:val="en-AU"/>
              </w:rPr>
              <w:t>and</w:t>
            </w:r>
            <w:r w:rsidRPr="00F65403">
              <w:rPr>
                <w:color w:val="323031"/>
                <w:spacing w:val="22"/>
                <w:lang w:val="en-AU"/>
              </w:rPr>
              <w:t xml:space="preserve"> </w:t>
            </w:r>
            <w:r w:rsidRPr="00F65403">
              <w:rPr>
                <w:color w:val="323031"/>
                <w:lang w:val="en-AU"/>
              </w:rPr>
              <w:t>operation</w:t>
            </w:r>
            <w:r w:rsidRPr="00F65403">
              <w:rPr>
                <w:color w:val="323031"/>
                <w:spacing w:val="21"/>
                <w:lang w:val="en-AU"/>
              </w:rPr>
              <w:t xml:space="preserve"> </w:t>
            </w:r>
            <w:r w:rsidRPr="00F65403">
              <w:rPr>
                <w:color w:val="323031"/>
                <w:lang w:val="en-AU"/>
              </w:rPr>
              <w:t>of</w:t>
            </w:r>
            <w:r w:rsidRPr="00F65403">
              <w:rPr>
                <w:color w:val="323031"/>
                <w:spacing w:val="22"/>
                <w:lang w:val="en-AU"/>
              </w:rPr>
              <w:t xml:space="preserve"> </w:t>
            </w:r>
            <w:r w:rsidRPr="00F65403">
              <w:rPr>
                <w:color w:val="323031"/>
                <w:lang w:val="en-AU"/>
              </w:rPr>
              <w:t>the</w:t>
            </w:r>
            <w:r w:rsidRPr="00F65403">
              <w:rPr>
                <w:color w:val="323031"/>
                <w:spacing w:val="21"/>
                <w:lang w:val="en-AU"/>
              </w:rPr>
              <w:t xml:space="preserve"> </w:t>
            </w:r>
            <w:r w:rsidRPr="00F65403">
              <w:rPr>
                <w:i/>
                <w:color w:val="323031"/>
                <w:lang w:val="en-AU"/>
              </w:rPr>
              <w:t>Public</w:t>
            </w:r>
            <w:r w:rsidRPr="00F65403">
              <w:rPr>
                <w:i/>
                <w:color w:val="323031"/>
                <w:spacing w:val="22"/>
                <w:lang w:val="en-AU"/>
              </w:rPr>
              <w:t xml:space="preserve"> </w:t>
            </w:r>
            <w:r w:rsidRPr="00F65403">
              <w:rPr>
                <w:i/>
                <w:color w:val="323031"/>
                <w:lang w:val="en-AU"/>
              </w:rPr>
              <w:t>Interest</w:t>
            </w:r>
            <w:r w:rsidRPr="00F65403">
              <w:rPr>
                <w:i/>
                <w:color w:val="323031"/>
                <w:spacing w:val="21"/>
                <w:lang w:val="en-AU"/>
              </w:rPr>
              <w:t xml:space="preserve"> </w:t>
            </w:r>
            <w:r w:rsidRPr="00F65403">
              <w:rPr>
                <w:i/>
                <w:color w:val="323031"/>
                <w:lang w:val="en-AU"/>
              </w:rPr>
              <w:t>Disclosures</w:t>
            </w:r>
            <w:r w:rsidRPr="00F65403">
              <w:rPr>
                <w:i/>
                <w:color w:val="323031"/>
                <w:spacing w:val="22"/>
                <w:lang w:val="en-AU"/>
              </w:rPr>
              <w:t xml:space="preserve"> </w:t>
            </w:r>
            <w:r w:rsidRPr="00F65403">
              <w:rPr>
                <w:i/>
                <w:color w:val="323031"/>
                <w:lang w:val="en-AU"/>
              </w:rPr>
              <w:t>Act</w:t>
            </w:r>
            <w:r w:rsidRPr="00F65403">
              <w:rPr>
                <w:i/>
                <w:color w:val="323031"/>
                <w:spacing w:val="21"/>
                <w:lang w:val="en-AU"/>
              </w:rPr>
              <w:t xml:space="preserve"> </w:t>
            </w:r>
            <w:r w:rsidRPr="00F65403">
              <w:rPr>
                <w:i/>
                <w:color w:val="323031"/>
                <w:spacing w:val="-4"/>
                <w:lang w:val="en-AU"/>
              </w:rPr>
              <w:t>2012</w:t>
            </w:r>
          </w:p>
        </w:tc>
        <w:tc>
          <w:tcPr>
            <w:tcW w:w="760" w:type="dxa"/>
            <w:tcBorders>
              <w:top w:val="single" w:sz="2" w:space="0" w:color="390A56"/>
              <w:bottom w:val="single" w:sz="2" w:space="0" w:color="390A56"/>
            </w:tcBorders>
            <w:shd w:val="clear" w:color="auto" w:fill="FFFFFF" w:themeFill="background1"/>
          </w:tcPr>
          <w:p w14:paraId="3044C28E" w14:textId="03B71DEF"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_Ref207630633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280556D4" w14:textId="77777777">
        <w:tc>
          <w:tcPr>
            <w:tcW w:w="1990" w:type="dxa"/>
            <w:tcBorders>
              <w:top w:val="single" w:sz="2" w:space="0" w:color="390A56"/>
              <w:bottom w:val="single" w:sz="2" w:space="0" w:color="390A56"/>
            </w:tcBorders>
            <w:shd w:val="clear" w:color="auto" w:fill="FFFFFF" w:themeFill="background1"/>
          </w:tcPr>
          <w:p w14:paraId="6D520545"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7EA11323" w14:textId="77777777" w:rsidR="0005795C" w:rsidRPr="00F65403" w:rsidRDefault="0005795C">
            <w:pPr>
              <w:pStyle w:val="TableParagraph"/>
              <w:spacing w:before="0"/>
              <w:rPr>
                <w:lang w:val="en-AU"/>
              </w:rPr>
            </w:pPr>
            <w:r w:rsidRPr="00F65403">
              <w:rPr>
                <w:color w:val="323031"/>
                <w:lang w:val="en-AU"/>
              </w:rPr>
              <w:t>Details</w:t>
            </w:r>
            <w:r w:rsidRPr="00F65403">
              <w:rPr>
                <w:color w:val="323031"/>
                <w:spacing w:val="24"/>
                <w:lang w:val="en-AU"/>
              </w:rPr>
              <w:t xml:space="preserve"> </w:t>
            </w:r>
            <w:r w:rsidRPr="00F65403">
              <w:rPr>
                <w:color w:val="323031"/>
                <w:lang w:val="en-AU"/>
              </w:rPr>
              <w:t>of</w:t>
            </w:r>
            <w:r w:rsidRPr="00F65403">
              <w:rPr>
                <w:color w:val="323031"/>
                <w:spacing w:val="23"/>
                <w:lang w:val="en-AU"/>
              </w:rPr>
              <w:t xml:space="preserve"> </w:t>
            </w:r>
            <w:r w:rsidRPr="00F65403">
              <w:rPr>
                <w:color w:val="323031"/>
                <w:lang w:val="en-AU"/>
              </w:rPr>
              <w:t>consultancies</w:t>
            </w:r>
            <w:r w:rsidRPr="00F65403">
              <w:rPr>
                <w:color w:val="323031"/>
                <w:spacing w:val="24"/>
                <w:lang w:val="en-AU"/>
              </w:rPr>
              <w:t xml:space="preserve"> </w:t>
            </w:r>
            <w:r w:rsidRPr="00F65403">
              <w:rPr>
                <w:color w:val="323031"/>
                <w:lang w:val="en-AU"/>
              </w:rPr>
              <w:t>over</w:t>
            </w:r>
            <w:r w:rsidRPr="00F65403">
              <w:rPr>
                <w:color w:val="323031"/>
                <w:spacing w:val="24"/>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04681549" w14:textId="6CE0FBC1"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_Ref207630620 \h </w:instrText>
            </w:r>
            <w:r>
              <w:rPr>
                <w:lang w:val="en-AU"/>
              </w:rPr>
            </w:r>
            <w:r>
              <w:rPr>
                <w:lang w:val="en-AU"/>
              </w:rPr>
              <w:fldChar w:fldCharType="separate"/>
            </w:r>
            <w:r w:rsidR="00BC7653">
              <w:rPr>
                <w:noProof/>
                <w:lang w:val="en-AU"/>
              </w:rPr>
              <w:t>170</w:t>
            </w:r>
            <w:r>
              <w:rPr>
                <w:lang w:val="en-AU"/>
              </w:rPr>
              <w:fldChar w:fldCharType="end"/>
            </w:r>
          </w:p>
        </w:tc>
      </w:tr>
      <w:tr w:rsidR="0005795C" w:rsidRPr="003323EF" w14:paraId="1C4F5593" w14:textId="77777777">
        <w:tc>
          <w:tcPr>
            <w:tcW w:w="1990" w:type="dxa"/>
            <w:tcBorders>
              <w:top w:val="single" w:sz="2" w:space="0" w:color="390A56"/>
              <w:bottom w:val="single" w:sz="2" w:space="0" w:color="390A56"/>
            </w:tcBorders>
            <w:shd w:val="clear" w:color="auto" w:fill="FFFFFF" w:themeFill="background1"/>
          </w:tcPr>
          <w:p w14:paraId="6FE0DD87"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209F6E12" w14:textId="77777777" w:rsidR="0005795C" w:rsidRPr="00F65403" w:rsidRDefault="0005795C">
            <w:pPr>
              <w:pStyle w:val="TableParagraph"/>
              <w:spacing w:before="0"/>
              <w:rPr>
                <w:lang w:val="en-AU"/>
              </w:rPr>
            </w:pPr>
            <w:r w:rsidRPr="00F65403">
              <w:rPr>
                <w:color w:val="323031"/>
                <w:lang w:val="en-AU"/>
              </w:rPr>
              <w:t>Details</w:t>
            </w:r>
            <w:r w:rsidRPr="00F65403">
              <w:rPr>
                <w:color w:val="323031"/>
                <w:spacing w:val="25"/>
                <w:lang w:val="en-AU"/>
              </w:rPr>
              <w:t xml:space="preserve"> </w:t>
            </w:r>
            <w:r w:rsidRPr="00F65403">
              <w:rPr>
                <w:color w:val="323031"/>
                <w:lang w:val="en-AU"/>
              </w:rPr>
              <w:t>of</w:t>
            </w:r>
            <w:r w:rsidRPr="00F65403">
              <w:rPr>
                <w:color w:val="323031"/>
                <w:spacing w:val="26"/>
                <w:lang w:val="en-AU"/>
              </w:rPr>
              <w:t xml:space="preserve"> </w:t>
            </w:r>
            <w:r w:rsidRPr="00F65403">
              <w:rPr>
                <w:color w:val="323031"/>
                <w:lang w:val="en-AU"/>
              </w:rPr>
              <w:t>consultancies</w:t>
            </w:r>
            <w:r w:rsidRPr="00F65403">
              <w:rPr>
                <w:color w:val="323031"/>
                <w:spacing w:val="25"/>
                <w:lang w:val="en-AU"/>
              </w:rPr>
              <w:t xml:space="preserve"> </w:t>
            </w:r>
            <w:r w:rsidRPr="00F65403">
              <w:rPr>
                <w:color w:val="323031"/>
                <w:lang w:val="en-AU"/>
              </w:rPr>
              <w:t>under</w:t>
            </w:r>
            <w:r w:rsidRPr="00F65403">
              <w:rPr>
                <w:color w:val="323031"/>
                <w:spacing w:val="26"/>
                <w:lang w:val="en-AU"/>
              </w:rPr>
              <w:t xml:space="preserve"> </w:t>
            </w:r>
            <w:r w:rsidRPr="00F65403">
              <w:rPr>
                <w:color w:val="323031"/>
                <w:spacing w:val="-2"/>
                <w:lang w:val="en-AU"/>
              </w:rPr>
              <w:t>$10,000</w:t>
            </w:r>
          </w:p>
        </w:tc>
        <w:tc>
          <w:tcPr>
            <w:tcW w:w="760" w:type="dxa"/>
            <w:tcBorders>
              <w:top w:val="single" w:sz="2" w:space="0" w:color="390A56"/>
              <w:bottom w:val="single" w:sz="2" w:space="0" w:color="390A56"/>
            </w:tcBorders>
            <w:shd w:val="clear" w:color="auto" w:fill="FFFFFF" w:themeFill="background1"/>
          </w:tcPr>
          <w:p w14:paraId="1F4E5CEB" w14:textId="0CB76B1B"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_Ref207630620 \h </w:instrText>
            </w:r>
            <w:r>
              <w:rPr>
                <w:lang w:val="en-AU"/>
              </w:rPr>
            </w:r>
            <w:r>
              <w:rPr>
                <w:lang w:val="en-AU"/>
              </w:rPr>
              <w:fldChar w:fldCharType="separate"/>
            </w:r>
            <w:r w:rsidR="00BC7653">
              <w:rPr>
                <w:noProof/>
                <w:lang w:val="en-AU"/>
              </w:rPr>
              <w:t>170</w:t>
            </w:r>
            <w:r>
              <w:rPr>
                <w:lang w:val="en-AU"/>
              </w:rPr>
              <w:fldChar w:fldCharType="end"/>
            </w:r>
          </w:p>
        </w:tc>
      </w:tr>
      <w:tr w:rsidR="0005795C" w:rsidRPr="003323EF" w14:paraId="57FD3795" w14:textId="77777777">
        <w:tc>
          <w:tcPr>
            <w:tcW w:w="1990" w:type="dxa"/>
            <w:tcBorders>
              <w:top w:val="single" w:sz="2" w:space="0" w:color="390A56"/>
              <w:bottom w:val="single" w:sz="2" w:space="0" w:color="390A56"/>
            </w:tcBorders>
            <w:shd w:val="clear" w:color="auto" w:fill="FFFFFF" w:themeFill="background1"/>
          </w:tcPr>
          <w:p w14:paraId="2A92B6B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977EA1C" w14:textId="77777777" w:rsidR="0005795C" w:rsidRPr="00F65403" w:rsidRDefault="0005795C">
            <w:pPr>
              <w:pStyle w:val="TableParagraph"/>
              <w:spacing w:before="0"/>
              <w:rPr>
                <w:lang w:val="en-AU"/>
              </w:rPr>
            </w:pPr>
            <w:r w:rsidRPr="00F65403">
              <w:rPr>
                <w:color w:val="323031"/>
                <w:spacing w:val="2"/>
                <w:lang w:val="en-AU"/>
              </w:rPr>
              <w:t>Disclosure</w:t>
            </w:r>
            <w:r w:rsidRPr="00F65403">
              <w:rPr>
                <w:color w:val="323031"/>
                <w:spacing w:val="21"/>
                <w:lang w:val="en-AU"/>
              </w:rPr>
              <w:t xml:space="preserve"> </w:t>
            </w:r>
            <w:r w:rsidRPr="00F65403">
              <w:rPr>
                <w:color w:val="323031"/>
                <w:spacing w:val="2"/>
                <w:lang w:val="en-AU"/>
              </w:rPr>
              <w:t>of</w:t>
            </w:r>
            <w:r w:rsidRPr="00F65403">
              <w:rPr>
                <w:color w:val="323031"/>
                <w:spacing w:val="22"/>
                <w:lang w:val="en-AU"/>
              </w:rPr>
              <w:t xml:space="preserve"> </w:t>
            </w:r>
            <w:r w:rsidRPr="00F65403">
              <w:rPr>
                <w:color w:val="323031"/>
                <w:spacing w:val="2"/>
                <w:lang w:val="en-AU"/>
              </w:rPr>
              <w:t>government</w:t>
            </w:r>
            <w:r w:rsidRPr="00F65403">
              <w:rPr>
                <w:color w:val="323031"/>
                <w:spacing w:val="22"/>
                <w:lang w:val="en-AU"/>
              </w:rPr>
              <w:t xml:space="preserve"> </w:t>
            </w:r>
            <w:r w:rsidRPr="00F65403">
              <w:rPr>
                <w:color w:val="323031"/>
                <w:spacing w:val="2"/>
                <w:lang w:val="en-AU"/>
              </w:rPr>
              <w:t>advertising</w:t>
            </w:r>
            <w:r w:rsidRPr="00F65403">
              <w:rPr>
                <w:color w:val="323031"/>
                <w:spacing w:val="21"/>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685D2264" w14:textId="27CB4538"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_Ref207630615 \h </w:instrText>
            </w:r>
            <w:r>
              <w:rPr>
                <w:lang w:val="en-AU"/>
              </w:rPr>
            </w:r>
            <w:r>
              <w:rPr>
                <w:lang w:val="en-AU"/>
              </w:rPr>
              <w:fldChar w:fldCharType="separate"/>
            </w:r>
            <w:r w:rsidR="00BC7653">
              <w:rPr>
                <w:noProof/>
                <w:lang w:val="en-AU"/>
              </w:rPr>
              <w:t>170</w:t>
            </w:r>
            <w:r>
              <w:rPr>
                <w:lang w:val="en-AU"/>
              </w:rPr>
              <w:fldChar w:fldCharType="end"/>
            </w:r>
          </w:p>
        </w:tc>
      </w:tr>
      <w:tr w:rsidR="0005795C" w:rsidRPr="003323EF" w14:paraId="077D3856" w14:textId="77777777">
        <w:tc>
          <w:tcPr>
            <w:tcW w:w="1990" w:type="dxa"/>
            <w:tcBorders>
              <w:top w:val="single" w:sz="2" w:space="0" w:color="390A56"/>
              <w:bottom w:val="single" w:sz="2" w:space="0" w:color="390A56"/>
            </w:tcBorders>
            <w:shd w:val="clear" w:color="auto" w:fill="FFFFFF" w:themeFill="background1"/>
          </w:tcPr>
          <w:p w14:paraId="284A467E"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47F10D0" w14:textId="77777777" w:rsidR="0005795C" w:rsidRPr="00F65403" w:rsidRDefault="0005795C">
            <w:pPr>
              <w:pStyle w:val="TableParagraph"/>
              <w:spacing w:before="0"/>
              <w:rPr>
                <w:lang w:val="en-AU"/>
              </w:rPr>
            </w:pPr>
            <w:r w:rsidRPr="00F65403">
              <w:rPr>
                <w:color w:val="323031"/>
                <w:lang w:val="en-AU"/>
              </w:rPr>
              <w:t>Disclosure</w:t>
            </w:r>
            <w:r w:rsidRPr="00F65403">
              <w:rPr>
                <w:color w:val="323031"/>
                <w:spacing w:val="8"/>
                <w:lang w:val="en-AU"/>
              </w:rPr>
              <w:t xml:space="preserve"> </w:t>
            </w:r>
            <w:r w:rsidRPr="00F65403">
              <w:rPr>
                <w:color w:val="323031"/>
                <w:lang w:val="en-AU"/>
              </w:rPr>
              <w:t>of</w:t>
            </w:r>
            <w:r w:rsidRPr="00F65403">
              <w:rPr>
                <w:color w:val="323031"/>
                <w:spacing w:val="9"/>
                <w:lang w:val="en-AU"/>
              </w:rPr>
              <w:t xml:space="preserve"> </w:t>
            </w:r>
            <w:r w:rsidRPr="00F65403">
              <w:rPr>
                <w:color w:val="323031"/>
                <w:lang w:val="en-AU"/>
              </w:rPr>
              <w:t>ICT</w:t>
            </w:r>
            <w:r w:rsidRPr="00F65403">
              <w:rPr>
                <w:color w:val="323031"/>
                <w:spacing w:val="9"/>
                <w:lang w:val="en-AU"/>
              </w:rPr>
              <w:t xml:space="preserve"> </w:t>
            </w:r>
            <w:r w:rsidRPr="00F65403">
              <w:rPr>
                <w:color w:val="323031"/>
                <w:spacing w:val="-2"/>
                <w:lang w:val="en-AU"/>
              </w:rPr>
              <w:t>expenditure</w:t>
            </w:r>
          </w:p>
        </w:tc>
        <w:tc>
          <w:tcPr>
            <w:tcW w:w="760" w:type="dxa"/>
            <w:tcBorders>
              <w:top w:val="single" w:sz="2" w:space="0" w:color="390A56"/>
              <w:bottom w:val="single" w:sz="2" w:space="0" w:color="390A56"/>
            </w:tcBorders>
            <w:shd w:val="clear" w:color="auto" w:fill="FFFFFF" w:themeFill="background1"/>
          </w:tcPr>
          <w:p w14:paraId="59B4C883" w14:textId="61C66F8F"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_Ref207630608 \h </w:instrText>
            </w:r>
            <w:r>
              <w:rPr>
                <w:lang w:val="en-AU"/>
              </w:rPr>
            </w:r>
            <w:r>
              <w:rPr>
                <w:lang w:val="en-AU"/>
              </w:rPr>
              <w:fldChar w:fldCharType="separate"/>
            </w:r>
            <w:r w:rsidR="00BC7653">
              <w:rPr>
                <w:noProof/>
                <w:lang w:val="en-AU"/>
              </w:rPr>
              <w:t>170</w:t>
            </w:r>
            <w:r>
              <w:rPr>
                <w:lang w:val="en-AU"/>
              </w:rPr>
              <w:fldChar w:fldCharType="end"/>
            </w:r>
          </w:p>
        </w:tc>
      </w:tr>
      <w:tr w:rsidR="0005795C" w:rsidRPr="003323EF" w14:paraId="44CA3574" w14:textId="77777777">
        <w:tc>
          <w:tcPr>
            <w:tcW w:w="1990" w:type="dxa"/>
            <w:tcBorders>
              <w:top w:val="single" w:sz="2" w:space="0" w:color="390A56"/>
              <w:bottom w:val="single" w:sz="2" w:space="0" w:color="390A56"/>
            </w:tcBorders>
            <w:shd w:val="clear" w:color="auto" w:fill="FFFFFF" w:themeFill="background1"/>
          </w:tcPr>
          <w:p w14:paraId="69E7008C"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5E0CFBBC" w14:textId="77777777" w:rsidR="0005795C" w:rsidRPr="00F65403" w:rsidRDefault="0005795C">
            <w:pPr>
              <w:pStyle w:val="TableParagraph"/>
              <w:spacing w:before="0"/>
              <w:rPr>
                <w:lang w:val="en-AU"/>
              </w:rPr>
            </w:pPr>
            <w:r w:rsidRPr="00F65403">
              <w:rPr>
                <w:color w:val="323031"/>
                <w:lang w:val="en-AU"/>
              </w:rPr>
              <w:t>Disclosure</w:t>
            </w:r>
            <w:r w:rsidRPr="00F65403">
              <w:rPr>
                <w:color w:val="323031"/>
                <w:spacing w:val="28"/>
                <w:lang w:val="en-AU"/>
              </w:rPr>
              <w:t xml:space="preserve"> </w:t>
            </w:r>
            <w:r w:rsidRPr="00F65403">
              <w:rPr>
                <w:color w:val="323031"/>
                <w:lang w:val="en-AU"/>
              </w:rPr>
              <w:t>of</w:t>
            </w:r>
            <w:r w:rsidRPr="00F65403">
              <w:rPr>
                <w:color w:val="323031"/>
                <w:spacing w:val="28"/>
                <w:lang w:val="en-AU"/>
              </w:rPr>
              <w:t xml:space="preserve"> </w:t>
            </w:r>
            <w:r w:rsidRPr="00F65403">
              <w:rPr>
                <w:color w:val="323031"/>
                <w:lang w:val="en-AU"/>
              </w:rPr>
              <w:t>emergency</w:t>
            </w:r>
            <w:r w:rsidRPr="00F65403">
              <w:rPr>
                <w:color w:val="323031"/>
                <w:spacing w:val="29"/>
                <w:lang w:val="en-AU"/>
              </w:rPr>
              <w:t xml:space="preserve"> </w:t>
            </w:r>
            <w:r w:rsidRPr="00F65403">
              <w:rPr>
                <w:color w:val="323031"/>
                <w:spacing w:val="-2"/>
                <w:lang w:val="en-AU"/>
              </w:rPr>
              <w:t>procurement</w:t>
            </w:r>
          </w:p>
        </w:tc>
        <w:tc>
          <w:tcPr>
            <w:tcW w:w="760" w:type="dxa"/>
            <w:tcBorders>
              <w:top w:val="single" w:sz="2" w:space="0" w:color="390A56"/>
              <w:bottom w:val="single" w:sz="2" w:space="0" w:color="390A56"/>
            </w:tcBorders>
            <w:shd w:val="clear" w:color="auto" w:fill="FFFFFF" w:themeFill="background1"/>
          </w:tcPr>
          <w:p w14:paraId="33224552" w14:textId="254A6DA4"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_Ref207630601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6A1F4E32" w14:textId="77777777">
        <w:tc>
          <w:tcPr>
            <w:tcW w:w="1990" w:type="dxa"/>
            <w:tcBorders>
              <w:top w:val="single" w:sz="2" w:space="0" w:color="390A56"/>
              <w:bottom w:val="single" w:sz="2" w:space="0" w:color="390A56"/>
            </w:tcBorders>
            <w:shd w:val="clear" w:color="auto" w:fill="FFFFFF" w:themeFill="background1"/>
          </w:tcPr>
          <w:p w14:paraId="1C7174BD"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22</w:t>
            </w:r>
          </w:p>
        </w:tc>
        <w:tc>
          <w:tcPr>
            <w:tcW w:w="6276" w:type="dxa"/>
            <w:gridSpan w:val="3"/>
            <w:tcBorders>
              <w:top w:val="single" w:sz="2" w:space="0" w:color="390A56"/>
              <w:bottom w:val="single" w:sz="2" w:space="0" w:color="390A56"/>
            </w:tcBorders>
            <w:shd w:val="clear" w:color="auto" w:fill="FFFFFF" w:themeFill="background1"/>
          </w:tcPr>
          <w:p w14:paraId="47984915" w14:textId="77777777" w:rsidR="0005795C" w:rsidRPr="00F65403" w:rsidRDefault="0005795C">
            <w:pPr>
              <w:pStyle w:val="TableParagraph"/>
              <w:spacing w:before="0"/>
              <w:rPr>
                <w:lang w:val="en-AU"/>
              </w:rPr>
            </w:pPr>
            <w:r w:rsidRPr="00F65403">
              <w:rPr>
                <w:color w:val="323031"/>
                <w:spacing w:val="2"/>
                <w:lang w:val="en-AU"/>
              </w:rPr>
              <w:t>Disclosure</w:t>
            </w:r>
            <w:r w:rsidRPr="00F65403">
              <w:rPr>
                <w:color w:val="323031"/>
                <w:spacing w:val="20"/>
                <w:lang w:val="en-AU"/>
              </w:rPr>
              <w:t xml:space="preserve"> </w:t>
            </w:r>
            <w:r w:rsidRPr="00F65403">
              <w:rPr>
                <w:color w:val="323031"/>
                <w:spacing w:val="2"/>
                <w:lang w:val="en-AU"/>
              </w:rPr>
              <w:t>of</w:t>
            </w:r>
            <w:r w:rsidRPr="00F65403">
              <w:rPr>
                <w:color w:val="323031"/>
                <w:spacing w:val="21"/>
                <w:lang w:val="en-AU"/>
              </w:rPr>
              <w:t xml:space="preserve"> </w:t>
            </w:r>
            <w:r w:rsidRPr="00F65403">
              <w:rPr>
                <w:color w:val="323031"/>
                <w:spacing w:val="2"/>
                <w:lang w:val="en-AU"/>
              </w:rPr>
              <w:t>procurement</w:t>
            </w:r>
            <w:r w:rsidRPr="00F65403">
              <w:rPr>
                <w:color w:val="323031"/>
                <w:spacing w:val="20"/>
                <w:lang w:val="en-AU"/>
              </w:rPr>
              <w:t xml:space="preserve"> </w:t>
            </w:r>
            <w:r w:rsidRPr="00F65403">
              <w:rPr>
                <w:color w:val="323031"/>
                <w:spacing w:val="-2"/>
                <w:lang w:val="en-AU"/>
              </w:rPr>
              <w:t>complaints</w:t>
            </w:r>
          </w:p>
        </w:tc>
        <w:tc>
          <w:tcPr>
            <w:tcW w:w="760" w:type="dxa"/>
            <w:tcBorders>
              <w:top w:val="single" w:sz="2" w:space="0" w:color="390A56"/>
              <w:bottom w:val="single" w:sz="2" w:space="0" w:color="390A56"/>
            </w:tcBorders>
            <w:shd w:val="clear" w:color="auto" w:fill="FFFFFF" w:themeFill="background1"/>
          </w:tcPr>
          <w:p w14:paraId="38387CFA" w14:textId="0E487C89"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_Ref207630596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24949575" w14:textId="77777777">
        <w:tc>
          <w:tcPr>
            <w:tcW w:w="1990" w:type="dxa"/>
            <w:tcBorders>
              <w:top w:val="single" w:sz="2" w:space="0" w:color="390A56"/>
              <w:bottom w:val="single" w:sz="2" w:space="0" w:color="390A56"/>
            </w:tcBorders>
            <w:shd w:val="clear" w:color="auto" w:fill="FFFFFF" w:themeFill="background1"/>
          </w:tcPr>
          <w:p w14:paraId="4E07CA07"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24</w:t>
            </w:r>
          </w:p>
        </w:tc>
        <w:tc>
          <w:tcPr>
            <w:tcW w:w="6276" w:type="dxa"/>
            <w:gridSpan w:val="3"/>
            <w:tcBorders>
              <w:top w:val="single" w:sz="2" w:space="0" w:color="390A56"/>
              <w:bottom w:val="single" w:sz="2" w:space="0" w:color="390A56"/>
            </w:tcBorders>
            <w:shd w:val="clear" w:color="auto" w:fill="FFFFFF" w:themeFill="background1"/>
          </w:tcPr>
          <w:p w14:paraId="1BDE3DAB" w14:textId="77777777" w:rsidR="0005795C" w:rsidRPr="00F65403" w:rsidRDefault="0005795C">
            <w:pPr>
              <w:pStyle w:val="TableParagraph"/>
              <w:spacing w:before="0"/>
              <w:rPr>
                <w:lang w:val="en-AU"/>
              </w:rPr>
            </w:pPr>
            <w:r w:rsidRPr="00F65403">
              <w:rPr>
                <w:color w:val="323031"/>
                <w:w w:val="105"/>
                <w:lang w:val="en-AU"/>
              </w:rPr>
              <w:t>Environmental</w:t>
            </w:r>
            <w:r w:rsidRPr="00F65403">
              <w:rPr>
                <w:color w:val="323031"/>
                <w:spacing w:val="-10"/>
                <w:w w:val="105"/>
                <w:lang w:val="en-AU"/>
              </w:rPr>
              <w:t xml:space="preserve"> </w:t>
            </w:r>
            <w:r w:rsidRPr="00F65403">
              <w:rPr>
                <w:color w:val="323031"/>
                <w:spacing w:val="-2"/>
                <w:w w:val="110"/>
                <w:lang w:val="en-AU"/>
              </w:rPr>
              <w:t>reporting</w:t>
            </w:r>
          </w:p>
        </w:tc>
        <w:tc>
          <w:tcPr>
            <w:tcW w:w="760" w:type="dxa"/>
            <w:tcBorders>
              <w:top w:val="single" w:sz="2" w:space="0" w:color="390A56"/>
              <w:bottom w:val="single" w:sz="2" w:space="0" w:color="390A56"/>
            </w:tcBorders>
            <w:shd w:val="clear" w:color="auto" w:fill="FFFFFF" w:themeFill="background1"/>
          </w:tcPr>
          <w:p w14:paraId="37F09BC5" w14:textId="245D022E"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_Ref207630589 \h </w:instrText>
            </w:r>
            <w:r>
              <w:rPr>
                <w:lang w:val="en-AU"/>
              </w:rPr>
            </w:r>
            <w:r>
              <w:rPr>
                <w:lang w:val="en-AU"/>
              </w:rPr>
              <w:fldChar w:fldCharType="separate"/>
            </w:r>
            <w:r w:rsidR="00BC7653">
              <w:rPr>
                <w:noProof/>
                <w:lang w:val="en-AU"/>
              </w:rPr>
              <w:t>171</w:t>
            </w:r>
            <w:r>
              <w:rPr>
                <w:lang w:val="en-AU"/>
              </w:rPr>
              <w:fldChar w:fldCharType="end"/>
            </w:r>
          </w:p>
        </w:tc>
      </w:tr>
      <w:tr w:rsidR="0005795C" w:rsidRPr="003323EF" w14:paraId="71AA63BA" w14:textId="77777777">
        <w:tc>
          <w:tcPr>
            <w:tcW w:w="1990" w:type="dxa"/>
            <w:tcBorders>
              <w:top w:val="single" w:sz="2" w:space="0" w:color="390A56"/>
              <w:bottom w:val="single" w:sz="2" w:space="0" w:color="390A56"/>
            </w:tcBorders>
            <w:shd w:val="clear" w:color="auto" w:fill="FFFFFF" w:themeFill="background1"/>
          </w:tcPr>
          <w:p w14:paraId="7336688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25</w:t>
            </w:r>
          </w:p>
        </w:tc>
        <w:tc>
          <w:tcPr>
            <w:tcW w:w="6276" w:type="dxa"/>
            <w:gridSpan w:val="3"/>
            <w:tcBorders>
              <w:top w:val="single" w:sz="2" w:space="0" w:color="390A56"/>
              <w:bottom w:val="single" w:sz="2" w:space="0" w:color="390A56"/>
            </w:tcBorders>
            <w:shd w:val="clear" w:color="auto" w:fill="FFFFFF" w:themeFill="background1"/>
          </w:tcPr>
          <w:p w14:paraId="095486F1" w14:textId="77777777" w:rsidR="0005795C" w:rsidRPr="00F65403" w:rsidRDefault="0005795C">
            <w:pPr>
              <w:pStyle w:val="TableParagraph"/>
              <w:spacing w:before="0"/>
              <w:rPr>
                <w:lang w:val="en-AU"/>
              </w:rPr>
            </w:pPr>
            <w:r w:rsidRPr="00F65403">
              <w:rPr>
                <w:color w:val="323031"/>
                <w:lang w:val="en-AU"/>
              </w:rPr>
              <w:t>Local</w:t>
            </w:r>
            <w:r w:rsidRPr="00F65403">
              <w:rPr>
                <w:color w:val="323031"/>
                <w:spacing w:val="20"/>
                <w:lang w:val="en-AU"/>
              </w:rPr>
              <w:t xml:space="preserve"> </w:t>
            </w:r>
            <w:r w:rsidRPr="00F65403">
              <w:rPr>
                <w:color w:val="323031"/>
                <w:lang w:val="en-AU"/>
              </w:rPr>
              <w:t>Jobs</w:t>
            </w:r>
            <w:r w:rsidRPr="00F65403">
              <w:rPr>
                <w:color w:val="323031"/>
                <w:spacing w:val="20"/>
                <w:lang w:val="en-AU"/>
              </w:rPr>
              <w:t xml:space="preserve"> </w:t>
            </w:r>
            <w:r w:rsidRPr="00F65403">
              <w:rPr>
                <w:color w:val="323031"/>
                <w:spacing w:val="-2"/>
                <w:lang w:val="en-AU"/>
              </w:rPr>
              <w:t>First</w:t>
            </w:r>
          </w:p>
        </w:tc>
        <w:tc>
          <w:tcPr>
            <w:tcW w:w="760" w:type="dxa"/>
            <w:tcBorders>
              <w:top w:val="single" w:sz="2" w:space="0" w:color="390A56"/>
              <w:bottom w:val="single" w:sz="2" w:space="0" w:color="390A56"/>
            </w:tcBorders>
            <w:shd w:val="clear" w:color="auto" w:fill="FFFFFF" w:themeFill="background1"/>
          </w:tcPr>
          <w:p w14:paraId="0AC9901D" w14:textId="125669AD"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_Ref207630579 \h </w:instrText>
            </w:r>
            <w:r>
              <w:rPr>
                <w:lang w:val="en-AU"/>
              </w:rPr>
            </w:r>
            <w:r>
              <w:rPr>
                <w:lang w:val="en-AU"/>
              </w:rPr>
              <w:fldChar w:fldCharType="separate"/>
            </w:r>
            <w:r w:rsidR="00BC7653">
              <w:rPr>
                <w:noProof/>
                <w:lang w:val="en-AU"/>
              </w:rPr>
              <w:t>170</w:t>
            </w:r>
            <w:r>
              <w:rPr>
                <w:lang w:val="en-AU"/>
              </w:rPr>
              <w:fldChar w:fldCharType="end"/>
            </w:r>
          </w:p>
        </w:tc>
      </w:tr>
      <w:tr w:rsidR="0005795C" w:rsidRPr="003323EF" w14:paraId="6E169D0A" w14:textId="77777777">
        <w:tc>
          <w:tcPr>
            <w:tcW w:w="9026" w:type="dxa"/>
            <w:gridSpan w:val="5"/>
            <w:tcBorders>
              <w:top w:val="single" w:sz="2" w:space="0" w:color="390A56"/>
              <w:bottom w:val="single" w:sz="2" w:space="0" w:color="390A56"/>
            </w:tcBorders>
            <w:shd w:val="clear" w:color="auto" w:fill="F0E3DE"/>
          </w:tcPr>
          <w:p w14:paraId="30C0C371" w14:textId="77777777" w:rsidR="0005795C" w:rsidRPr="00F65403" w:rsidRDefault="0005795C">
            <w:pPr>
              <w:pStyle w:val="TableParagraph"/>
              <w:spacing w:before="0"/>
              <w:rPr>
                <w:b/>
                <w:lang w:val="en-AU"/>
              </w:rPr>
            </w:pPr>
            <w:r w:rsidRPr="00F65403">
              <w:rPr>
                <w:b/>
                <w:color w:val="323031"/>
                <w:lang w:val="en-AU"/>
              </w:rPr>
              <w:t>Compliance</w:t>
            </w:r>
            <w:r w:rsidRPr="00F65403">
              <w:rPr>
                <w:b/>
                <w:color w:val="323031"/>
                <w:spacing w:val="1"/>
                <w:lang w:val="en-AU"/>
              </w:rPr>
              <w:t xml:space="preserve"> </w:t>
            </w:r>
            <w:r w:rsidRPr="00F65403">
              <w:rPr>
                <w:b/>
                <w:color w:val="323031"/>
                <w:lang w:val="en-AU"/>
              </w:rPr>
              <w:t>attestation</w:t>
            </w:r>
            <w:r w:rsidRPr="00F65403">
              <w:rPr>
                <w:b/>
                <w:color w:val="323031"/>
                <w:spacing w:val="1"/>
                <w:lang w:val="en-AU"/>
              </w:rPr>
              <w:t xml:space="preserve"> </w:t>
            </w:r>
            <w:r w:rsidRPr="00F65403">
              <w:rPr>
                <w:b/>
                <w:color w:val="323031"/>
                <w:lang w:val="en-AU"/>
              </w:rPr>
              <w:t>and</w:t>
            </w:r>
            <w:r w:rsidRPr="00F65403">
              <w:rPr>
                <w:b/>
                <w:color w:val="323031"/>
                <w:spacing w:val="1"/>
                <w:lang w:val="en-AU"/>
              </w:rPr>
              <w:t xml:space="preserve"> </w:t>
            </w:r>
            <w:r w:rsidRPr="00F65403">
              <w:rPr>
                <w:b/>
                <w:color w:val="323031"/>
                <w:spacing w:val="-2"/>
                <w:lang w:val="en-AU"/>
              </w:rPr>
              <w:t>declaration</w:t>
            </w:r>
          </w:p>
        </w:tc>
      </w:tr>
      <w:tr w:rsidR="0005795C" w:rsidRPr="003323EF" w14:paraId="6DC47BAF" w14:textId="77777777">
        <w:tc>
          <w:tcPr>
            <w:tcW w:w="1990" w:type="dxa"/>
            <w:tcBorders>
              <w:top w:val="single" w:sz="2" w:space="0" w:color="390A56"/>
              <w:bottom w:val="single" w:sz="2" w:space="0" w:color="390A56"/>
            </w:tcBorders>
            <w:shd w:val="clear" w:color="auto" w:fill="FFFFFF" w:themeFill="background1"/>
          </w:tcPr>
          <w:p w14:paraId="74938469" w14:textId="77777777" w:rsidR="0005795C" w:rsidRPr="00F65403" w:rsidRDefault="0005795C">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5.4.1</w:t>
            </w:r>
          </w:p>
        </w:tc>
        <w:tc>
          <w:tcPr>
            <w:tcW w:w="6276" w:type="dxa"/>
            <w:gridSpan w:val="3"/>
            <w:tcBorders>
              <w:top w:val="single" w:sz="2" w:space="0" w:color="390A56"/>
              <w:bottom w:val="single" w:sz="2" w:space="0" w:color="390A56"/>
            </w:tcBorders>
            <w:shd w:val="clear" w:color="auto" w:fill="FFFFFF" w:themeFill="background1"/>
          </w:tcPr>
          <w:p w14:paraId="5A4BB30B" w14:textId="77777777" w:rsidR="0005795C" w:rsidRPr="00F65403" w:rsidRDefault="0005795C">
            <w:pPr>
              <w:pStyle w:val="TableParagraph"/>
              <w:spacing w:before="0"/>
              <w:rPr>
                <w:lang w:val="en-AU"/>
              </w:rPr>
            </w:pPr>
            <w:r w:rsidRPr="00F65403">
              <w:rPr>
                <w:color w:val="323031"/>
                <w:spacing w:val="2"/>
                <w:lang w:val="en-AU"/>
              </w:rPr>
              <w:t>Attestation</w:t>
            </w:r>
            <w:r w:rsidRPr="00F65403">
              <w:rPr>
                <w:color w:val="323031"/>
                <w:spacing w:val="22"/>
                <w:lang w:val="en-AU"/>
              </w:rPr>
              <w:t xml:space="preserve"> </w:t>
            </w:r>
            <w:r w:rsidRPr="00F65403">
              <w:rPr>
                <w:color w:val="323031"/>
                <w:spacing w:val="2"/>
                <w:lang w:val="en-AU"/>
              </w:rPr>
              <w:t>for</w:t>
            </w:r>
            <w:r w:rsidRPr="00F65403">
              <w:rPr>
                <w:color w:val="323031"/>
                <w:spacing w:val="23"/>
                <w:lang w:val="en-AU"/>
              </w:rPr>
              <w:t xml:space="preserve"> </w:t>
            </w:r>
            <w:r w:rsidRPr="00F65403">
              <w:rPr>
                <w:color w:val="323031"/>
                <w:spacing w:val="2"/>
                <w:lang w:val="en-AU"/>
              </w:rPr>
              <w:t>compliance</w:t>
            </w:r>
            <w:r w:rsidRPr="00F65403">
              <w:rPr>
                <w:color w:val="323031"/>
                <w:spacing w:val="23"/>
                <w:lang w:val="en-AU"/>
              </w:rPr>
              <w:t xml:space="preserve"> </w:t>
            </w:r>
            <w:r w:rsidRPr="00F65403">
              <w:rPr>
                <w:color w:val="323031"/>
                <w:spacing w:val="2"/>
                <w:lang w:val="en-AU"/>
              </w:rPr>
              <w:t>with</w:t>
            </w:r>
            <w:r w:rsidRPr="00F65403">
              <w:rPr>
                <w:color w:val="323031"/>
                <w:spacing w:val="23"/>
                <w:lang w:val="en-AU"/>
              </w:rPr>
              <w:t xml:space="preserve"> </w:t>
            </w:r>
            <w:r w:rsidRPr="00F65403">
              <w:rPr>
                <w:color w:val="323031"/>
                <w:spacing w:val="2"/>
                <w:lang w:val="en-AU"/>
              </w:rPr>
              <w:t>Ministerial</w:t>
            </w:r>
            <w:r w:rsidRPr="00F65403">
              <w:rPr>
                <w:color w:val="323031"/>
                <w:spacing w:val="23"/>
                <w:lang w:val="en-AU"/>
              </w:rPr>
              <w:t xml:space="preserve"> </w:t>
            </w:r>
            <w:r w:rsidRPr="00F65403">
              <w:rPr>
                <w:color w:val="323031"/>
                <w:spacing w:val="2"/>
                <w:lang w:val="en-AU"/>
              </w:rPr>
              <w:t>Standing</w:t>
            </w:r>
            <w:r w:rsidRPr="00F65403">
              <w:rPr>
                <w:color w:val="323031"/>
                <w:spacing w:val="23"/>
                <w:lang w:val="en-AU"/>
              </w:rPr>
              <w:t xml:space="preserve"> </w:t>
            </w:r>
            <w:r w:rsidRPr="00F65403">
              <w:rPr>
                <w:color w:val="323031"/>
                <w:spacing w:val="-2"/>
                <w:lang w:val="en-AU"/>
              </w:rPr>
              <w:t>Direction</w:t>
            </w:r>
          </w:p>
        </w:tc>
        <w:tc>
          <w:tcPr>
            <w:tcW w:w="760" w:type="dxa"/>
            <w:tcBorders>
              <w:top w:val="single" w:sz="2" w:space="0" w:color="390A56"/>
              <w:bottom w:val="single" w:sz="2" w:space="0" w:color="390A56"/>
            </w:tcBorders>
            <w:shd w:val="clear" w:color="auto" w:fill="FFFFFF" w:themeFill="background1"/>
          </w:tcPr>
          <w:p w14:paraId="2520936D" w14:textId="3F6F2E19"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_Ref207630565 \h </w:instrText>
            </w:r>
            <w:r>
              <w:rPr>
                <w:lang w:val="en-AU"/>
              </w:rPr>
            </w:r>
            <w:r>
              <w:rPr>
                <w:lang w:val="en-AU"/>
              </w:rPr>
              <w:fldChar w:fldCharType="separate"/>
            </w:r>
            <w:r w:rsidR="00BC7653">
              <w:rPr>
                <w:noProof/>
                <w:lang w:val="en-AU"/>
              </w:rPr>
              <w:t>140</w:t>
            </w:r>
            <w:r>
              <w:rPr>
                <w:lang w:val="en-AU"/>
              </w:rPr>
              <w:fldChar w:fldCharType="end"/>
            </w:r>
          </w:p>
        </w:tc>
      </w:tr>
      <w:tr w:rsidR="0005795C" w:rsidRPr="003323EF" w14:paraId="0C54434C" w14:textId="77777777">
        <w:tc>
          <w:tcPr>
            <w:tcW w:w="1990" w:type="dxa"/>
            <w:tcBorders>
              <w:top w:val="single" w:sz="2" w:space="0" w:color="390A56"/>
              <w:bottom w:val="single" w:sz="2" w:space="0" w:color="390A56"/>
            </w:tcBorders>
            <w:shd w:val="clear" w:color="auto" w:fill="FFFFFF" w:themeFill="background1"/>
          </w:tcPr>
          <w:p w14:paraId="25C9E688" w14:textId="77777777" w:rsidR="0005795C" w:rsidRPr="00F65403" w:rsidRDefault="0005795C">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5.2.3</w:t>
            </w:r>
          </w:p>
        </w:tc>
        <w:tc>
          <w:tcPr>
            <w:tcW w:w="6276" w:type="dxa"/>
            <w:gridSpan w:val="3"/>
            <w:tcBorders>
              <w:top w:val="single" w:sz="2" w:space="0" w:color="390A56"/>
              <w:bottom w:val="single" w:sz="2" w:space="0" w:color="390A56"/>
            </w:tcBorders>
            <w:shd w:val="clear" w:color="auto" w:fill="FFFFFF" w:themeFill="background1"/>
          </w:tcPr>
          <w:p w14:paraId="4D9DAFEB" w14:textId="77777777" w:rsidR="0005795C" w:rsidRPr="00F65403" w:rsidRDefault="0005795C">
            <w:pPr>
              <w:pStyle w:val="TableParagraph"/>
              <w:spacing w:before="0"/>
              <w:rPr>
                <w:lang w:val="en-AU"/>
              </w:rPr>
            </w:pPr>
            <w:r w:rsidRPr="00F65403">
              <w:rPr>
                <w:color w:val="323031"/>
                <w:lang w:val="en-AU"/>
              </w:rPr>
              <w:t>Declaration</w:t>
            </w:r>
            <w:r w:rsidRPr="00F65403">
              <w:rPr>
                <w:color w:val="323031"/>
                <w:spacing w:val="23"/>
                <w:lang w:val="en-AU"/>
              </w:rPr>
              <w:t xml:space="preserve"> </w:t>
            </w:r>
            <w:r w:rsidRPr="00F65403">
              <w:rPr>
                <w:color w:val="323031"/>
                <w:lang w:val="en-AU"/>
              </w:rPr>
              <w:t>in</w:t>
            </w:r>
            <w:r w:rsidRPr="00F65403">
              <w:rPr>
                <w:color w:val="323031"/>
                <w:spacing w:val="24"/>
                <w:lang w:val="en-AU"/>
              </w:rPr>
              <w:t xml:space="preserve"> </w:t>
            </w:r>
            <w:r w:rsidRPr="00F65403">
              <w:rPr>
                <w:color w:val="323031"/>
                <w:lang w:val="en-AU"/>
              </w:rPr>
              <w:t>report</w:t>
            </w:r>
            <w:r w:rsidRPr="00F65403">
              <w:rPr>
                <w:color w:val="323031"/>
                <w:spacing w:val="24"/>
                <w:lang w:val="en-AU"/>
              </w:rPr>
              <w:t xml:space="preserve"> </w:t>
            </w:r>
            <w:r w:rsidRPr="00F65403">
              <w:rPr>
                <w:color w:val="323031"/>
                <w:lang w:val="en-AU"/>
              </w:rPr>
              <w:t>of</w:t>
            </w:r>
            <w:r w:rsidRPr="00F65403">
              <w:rPr>
                <w:color w:val="323031"/>
                <w:spacing w:val="24"/>
                <w:lang w:val="en-AU"/>
              </w:rPr>
              <w:t xml:space="preserve"> </w:t>
            </w:r>
            <w:r w:rsidRPr="00F65403">
              <w:rPr>
                <w:color w:val="323031"/>
                <w:spacing w:val="-2"/>
                <w:lang w:val="en-AU"/>
              </w:rPr>
              <w:t>operations</w:t>
            </w:r>
          </w:p>
        </w:tc>
        <w:tc>
          <w:tcPr>
            <w:tcW w:w="760" w:type="dxa"/>
            <w:tcBorders>
              <w:top w:val="single" w:sz="2" w:space="0" w:color="390A56"/>
              <w:bottom w:val="single" w:sz="2" w:space="0" w:color="390A56"/>
            </w:tcBorders>
            <w:shd w:val="clear" w:color="auto" w:fill="FFFFFF" w:themeFill="background1"/>
          </w:tcPr>
          <w:p w14:paraId="3572B346" w14:textId="190BE7CF"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_Ref207630559 \h </w:instrText>
            </w:r>
            <w:r>
              <w:rPr>
                <w:lang w:val="en-AU"/>
              </w:rPr>
            </w:r>
            <w:r>
              <w:rPr>
                <w:lang w:val="en-AU"/>
              </w:rPr>
              <w:fldChar w:fldCharType="separate"/>
            </w:r>
            <w:r w:rsidR="00BC7653">
              <w:rPr>
                <w:noProof/>
                <w:lang w:val="en-AU"/>
              </w:rPr>
              <w:t>140</w:t>
            </w:r>
            <w:r>
              <w:rPr>
                <w:lang w:val="en-AU"/>
              </w:rPr>
              <w:fldChar w:fldCharType="end"/>
            </w:r>
          </w:p>
        </w:tc>
      </w:tr>
      <w:tr w:rsidR="0005795C" w:rsidRPr="00680E7D" w14:paraId="69219969" w14:textId="77777777">
        <w:tc>
          <w:tcPr>
            <w:tcW w:w="9026" w:type="dxa"/>
            <w:gridSpan w:val="5"/>
            <w:tcBorders>
              <w:top w:val="single" w:sz="2" w:space="0" w:color="390A56"/>
              <w:bottom w:val="single" w:sz="2" w:space="0" w:color="390A56"/>
            </w:tcBorders>
            <w:shd w:val="clear" w:color="auto" w:fill="D7CEDD"/>
          </w:tcPr>
          <w:p w14:paraId="17A67D4C" w14:textId="77777777" w:rsidR="0005795C" w:rsidRPr="00F65403" w:rsidRDefault="0005795C">
            <w:pPr>
              <w:pStyle w:val="TableParagraph"/>
              <w:spacing w:before="0"/>
              <w:rPr>
                <w:b/>
                <w:lang w:val="en-AU"/>
              </w:rPr>
            </w:pPr>
            <w:r w:rsidRPr="00F65403">
              <w:rPr>
                <w:b/>
                <w:color w:val="323031"/>
                <w:spacing w:val="-2"/>
                <w:lang w:val="en-AU"/>
              </w:rPr>
              <w:t>Financial</w:t>
            </w:r>
            <w:r w:rsidRPr="00F65403">
              <w:rPr>
                <w:b/>
                <w:color w:val="323031"/>
                <w:spacing w:val="-9"/>
                <w:lang w:val="en-AU"/>
              </w:rPr>
              <w:t xml:space="preserve"> </w:t>
            </w:r>
            <w:r w:rsidRPr="00F65403">
              <w:rPr>
                <w:b/>
                <w:color w:val="323031"/>
                <w:spacing w:val="-2"/>
                <w:lang w:val="en-AU"/>
              </w:rPr>
              <w:t>statements</w:t>
            </w:r>
          </w:p>
        </w:tc>
      </w:tr>
      <w:tr w:rsidR="0005795C" w:rsidRPr="00680E7D" w14:paraId="34142B31" w14:textId="77777777">
        <w:tc>
          <w:tcPr>
            <w:tcW w:w="9026" w:type="dxa"/>
            <w:gridSpan w:val="5"/>
            <w:tcBorders>
              <w:top w:val="single" w:sz="2" w:space="0" w:color="390A56"/>
              <w:bottom w:val="single" w:sz="2" w:space="0" w:color="390A56"/>
            </w:tcBorders>
            <w:shd w:val="clear" w:color="auto" w:fill="F0E3DE"/>
          </w:tcPr>
          <w:p w14:paraId="490731F4" w14:textId="77777777" w:rsidR="0005795C" w:rsidRPr="00F65403" w:rsidRDefault="0005795C">
            <w:pPr>
              <w:pStyle w:val="TableParagraph"/>
              <w:spacing w:before="0"/>
              <w:rPr>
                <w:b/>
                <w:lang w:val="en-AU"/>
              </w:rPr>
            </w:pPr>
            <w:r w:rsidRPr="00F65403">
              <w:rPr>
                <w:b/>
                <w:color w:val="323031"/>
                <w:spacing w:val="-2"/>
                <w:lang w:val="en-AU"/>
              </w:rPr>
              <w:t>Declaration</w:t>
            </w:r>
          </w:p>
        </w:tc>
      </w:tr>
      <w:tr w:rsidR="0005795C" w:rsidRPr="00680E7D" w14:paraId="3CFE1E9A" w14:textId="77777777">
        <w:tc>
          <w:tcPr>
            <w:tcW w:w="2018" w:type="dxa"/>
            <w:gridSpan w:val="2"/>
            <w:tcBorders>
              <w:top w:val="single" w:sz="2" w:space="0" w:color="390A56"/>
              <w:bottom w:val="single" w:sz="2" w:space="0" w:color="390A56"/>
            </w:tcBorders>
            <w:shd w:val="clear" w:color="auto" w:fill="FFFFFF" w:themeFill="background1"/>
          </w:tcPr>
          <w:p w14:paraId="04C9D092" w14:textId="77777777" w:rsidR="0005795C" w:rsidRPr="00F65403" w:rsidRDefault="0005795C">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4"/>
                <w:lang w:val="en-AU"/>
              </w:rPr>
              <w:t>5.2.2</w:t>
            </w:r>
          </w:p>
        </w:tc>
        <w:tc>
          <w:tcPr>
            <w:tcW w:w="6241" w:type="dxa"/>
            <w:tcBorders>
              <w:top w:val="single" w:sz="2" w:space="0" w:color="390A56"/>
              <w:bottom w:val="single" w:sz="2" w:space="0" w:color="390A56"/>
            </w:tcBorders>
            <w:shd w:val="clear" w:color="auto" w:fill="FFFFFF" w:themeFill="background1"/>
          </w:tcPr>
          <w:p w14:paraId="4D531561" w14:textId="77777777" w:rsidR="0005795C" w:rsidRPr="00F65403" w:rsidRDefault="0005795C">
            <w:pPr>
              <w:pStyle w:val="TableParagraph"/>
              <w:spacing w:before="0"/>
              <w:rPr>
                <w:lang w:val="en-AU"/>
              </w:rPr>
            </w:pPr>
            <w:r w:rsidRPr="00F65403">
              <w:rPr>
                <w:color w:val="323031"/>
                <w:w w:val="105"/>
                <w:lang w:val="en-AU"/>
              </w:rPr>
              <w:t>Declaration</w:t>
            </w:r>
            <w:r w:rsidRPr="00F65403">
              <w:rPr>
                <w:color w:val="323031"/>
                <w:spacing w:val="-4"/>
                <w:w w:val="105"/>
                <w:lang w:val="en-AU"/>
              </w:rPr>
              <w:t xml:space="preserve"> </w:t>
            </w:r>
            <w:r w:rsidRPr="00F65403">
              <w:rPr>
                <w:color w:val="323031"/>
                <w:w w:val="105"/>
                <w:lang w:val="en-AU"/>
              </w:rPr>
              <w:t>in</w:t>
            </w:r>
            <w:r w:rsidRPr="00F65403">
              <w:rPr>
                <w:color w:val="323031"/>
                <w:spacing w:val="-3"/>
                <w:w w:val="105"/>
                <w:lang w:val="en-AU"/>
              </w:rPr>
              <w:t xml:space="preserve"> </w:t>
            </w:r>
            <w:r w:rsidRPr="00F65403">
              <w:rPr>
                <w:color w:val="323031"/>
                <w:w w:val="105"/>
                <w:lang w:val="en-AU"/>
              </w:rPr>
              <w:t>financial</w:t>
            </w:r>
            <w:r w:rsidRPr="00F65403">
              <w:rPr>
                <w:color w:val="323031"/>
                <w:spacing w:val="-3"/>
                <w:w w:val="105"/>
                <w:lang w:val="en-AU"/>
              </w:rPr>
              <w:t xml:space="preserve"> </w:t>
            </w:r>
            <w:r w:rsidRPr="00F65403">
              <w:rPr>
                <w:color w:val="323031"/>
                <w:spacing w:val="-2"/>
                <w:w w:val="105"/>
                <w:lang w:val="en-AU"/>
              </w:rPr>
              <w:t>statements</w:t>
            </w:r>
          </w:p>
        </w:tc>
        <w:tc>
          <w:tcPr>
            <w:tcW w:w="767" w:type="dxa"/>
            <w:gridSpan w:val="2"/>
            <w:tcBorders>
              <w:top w:val="single" w:sz="2" w:space="0" w:color="390A56"/>
              <w:bottom w:val="single" w:sz="2" w:space="0" w:color="390A56"/>
            </w:tcBorders>
            <w:shd w:val="clear" w:color="auto" w:fill="FFFFFF" w:themeFill="background1"/>
          </w:tcPr>
          <w:p w14:paraId="076807C1" w14:textId="4777D046"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_Ref207630540 \h </w:instrText>
            </w:r>
            <w:r>
              <w:rPr>
                <w:lang w:val="en-AU"/>
              </w:rPr>
            </w:r>
            <w:r>
              <w:rPr>
                <w:lang w:val="en-AU"/>
              </w:rPr>
              <w:fldChar w:fldCharType="separate"/>
            </w:r>
            <w:r w:rsidR="00BC7653">
              <w:rPr>
                <w:noProof/>
                <w:lang w:val="en-AU"/>
              </w:rPr>
              <w:t>169</w:t>
            </w:r>
            <w:r>
              <w:rPr>
                <w:lang w:val="en-AU"/>
              </w:rPr>
              <w:fldChar w:fldCharType="end"/>
            </w:r>
          </w:p>
        </w:tc>
      </w:tr>
      <w:tr w:rsidR="0005795C" w:rsidRPr="00680E7D" w14:paraId="2C7C49EE" w14:textId="77777777">
        <w:tc>
          <w:tcPr>
            <w:tcW w:w="9026" w:type="dxa"/>
            <w:gridSpan w:val="5"/>
            <w:tcBorders>
              <w:top w:val="single" w:sz="2" w:space="0" w:color="390A56"/>
              <w:bottom w:val="single" w:sz="2" w:space="0" w:color="390A56"/>
            </w:tcBorders>
            <w:shd w:val="clear" w:color="auto" w:fill="F0E3DE"/>
          </w:tcPr>
          <w:p w14:paraId="7BE8C937" w14:textId="77777777" w:rsidR="0005795C" w:rsidRPr="00F65403" w:rsidRDefault="0005795C">
            <w:pPr>
              <w:pStyle w:val="TableParagraph"/>
              <w:spacing w:before="0"/>
              <w:rPr>
                <w:b/>
                <w:lang w:val="en-AU"/>
              </w:rPr>
            </w:pPr>
            <w:r w:rsidRPr="00F65403">
              <w:rPr>
                <w:b/>
                <w:color w:val="323031"/>
                <w:spacing w:val="-2"/>
                <w:lang w:val="en-AU"/>
              </w:rPr>
              <w:t>Other</w:t>
            </w:r>
            <w:r w:rsidRPr="00F65403">
              <w:rPr>
                <w:b/>
                <w:color w:val="323031"/>
                <w:lang w:val="en-AU"/>
              </w:rPr>
              <w:t xml:space="preserve"> </w:t>
            </w:r>
            <w:r w:rsidRPr="00F65403">
              <w:rPr>
                <w:b/>
                <w:color w:val="323031"/>
                <w:spacing w:val="-2"/>
                <w:lang w:val="en-AU"/>
              </w:rPr>
              <w:t>requirements</w:t>
            </w:r>
            <w:r w:rsidRPr="00F65403">
              <w:rPr>
                <w:b/>
                <w:color w:val="323031"/>
                <w:lang w:val="en-AU"/>
              </w:rPr>
              <w:t xml:space="preserve"> </w:t>
            </w:r>
            <w:r w:rsidRPr="00F65403">
              <w:rPr>
                <w:b/>
                <w:color w:val="323031"/>
                <w:spacing w:val="-2"/>
                <w:lang w:val="en-AU"/>
              </w:rPr>
              <w:t>under</w:t>
            </w:r>
            <w:r w:rsidRPr="00F65403">
              <w:rPr>
                <w:b/>
                <w:color w:val="323031"/>
                <w:spacing w:val="1"/>
                <w:lang w:val="en-AU"/>
              </w:rPr>
              <w:t xml:space="preserve"> </w:t>
            </w:r>
            <w:r w:rsidRPr="00F65403">
              <w:rPr>
                <w:b/>
                <w:color w:val="323031"/>
                <w:spacing w:val="-2"/>
                <w:lang w:val="en-AU"/>
              </w:rPr>
              <w:t>Standing</w:t>
            </w:r>
            <w:r w:rsidRPr="00F65403">
              <w:rPr>
                <w:b/>
                <w:color w:val="323031"/>
                <w:lang w:val="en-AU"/>
              </w:rPr>
              <w:t xml:space="preserve"> </w:t>
            </w:r>
            <w:r w:rsidRPr="00F65403">
              <w:rPr>
                <w:b/>
                <w:color w:val="323031"/>
                <w:spacing w:val="-2"/>
                <w:lang w:val="en-AU"/>
              </w:rPr>
              <w:t>Directions</w:t>
            </w:r>
            <w:r w:rsidRPr="00F65403">
              <w:rPr>
                <w:b/>
                <w:color w:val="323031"/>
                <w:lang w:val="en-AU"/>
              </w:rPr>
              <w:t xml:space="preserve"> </w:t>
            </w:r>
            <w:r w:rsidRPr="00F65403">
              <w:rPr>
                <w:b/>
                <w:color w:val="323031"/>
                <w:spacing w:val="-5"/>
                <w:lang w:val="en-AU"/>
              </w:rPr>
              <w:t>5.2</w:t>
            </w:r>
          </w:p>
        </w:tc>
      </w:tr>
      <w:tr w:rsidR="0005795C" w:rsidRPr="00680E7D" w14:paraId="2E07187C" w14:textId="77777777">
        <w:tc>
          <w:tcPr>
            <w:tcW w:w="2018" w:type="dxa"/>
            <w:gridSpan w:val="2"/>
            <w:tcBorders>
              <w:top w:val="single" w:sz="2" w:space="0" w:color="390A56"/>
              <w:bottom w:val="single" w:sz="2" w:space="0" w:color="390A56"/>
            </w:tcBorders>
            <w:shd w:val="clear" w:color="auto" w:fill="FFFFFF" w:themeFill="background1"/>
          </w:tcPr>
          <w:p w14:paraId="372CE82F" w14:textId="77777777" w:rsidR="0005795C" w:rsidRPr="00F65403" w:rsidRDefault="0005795C">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50D419CE" w14:textId="77777777" w:rsidR="0005795C" w:rsidRPr="00F65403" w:rsidRDefault="0005795C">
            <w:pPr>
              <w:pStyle w:val="TableParagraph"/>
              <w:spacing w:before="0"/>
              <w:rPr>
                <w:lang w:val="en-AU"/>
              </w:rPr>
            </w:pPr>
            <w:r w:rsidRPr="00F65403">
              <w:rPr>
                <w:color w:val="323031"/>
                <w:lang w:val="en-AU"/>
              </w:rPr>
              <w:t>Compliance with Australian accounting standards and other</w:t>
            </w:r>
            <w:r w:rsidRPr="00F65403">
              <w:rPr>
                <w:color w:val="323031"/>
                <w:spacing w:val="80"/>
                <w:w w:val="110"/>
                <w:lang w:val="en-AU"/>
              </w:rPr>
              <w:t xml:space="preserve"> </w:t>
            </w:r>
            <w:r w:rsidRPr="00F65403">
              <w:rPr>
                <w:color w:val="323031"/>
                <w:w w:val="110"/>
                <w:lang w:val="en-AU"/>
              </w:rPr>
              <w:t>authoritative</w:t>
            </w:r>
            <w:r w:rsidRPr="00F65403">
              <w:rPr>
                <w:color w:val="323031"/>
                <w:spacing w:val="-17"/>
                <w:w w:val="110"/>
                <w:lang w:val="en-AU"/>
              </w:rPr>
              <w:t xml:space="preserve"> </w:t>
            </w:r>
            <w:r w:rsidRPr="00F65403">
              <w:rPr>
                <w:color w:val="323031"/>
                <w:w w:val="110"/>
                <w:lang w:val="en-AU"/>
              </w:rPr>
              <w:t>pronouncements</w:t>
            </w:r>
          </w:p>
        </w:tc>
        <w:tc>
          <w:tcPr>
            <w:tcW w:w="767" w:type="dxa"/>
            <w:gridSpan w:val="2"/>
            <w:tcBorders>
              <w:top w:val="single" w:sz="2" w:space="0" w:color="390A56"/>
              <w:bottom w:val="single" w:sz="2" w:space="0" w:color="390A56"/>
            </w:tcBorders>
            <w:shd w:val="clear" w:color="auto" w:fill="FFFFFF" w:themeFill="background1"/>
          </w:tcPr>
          <w:p w14:paraId="73EEDFA8" w14:textId="2B6E901E"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_Ref207630534 \h </w:instrText>
            </w:r>
            <w:r>
              <w:rPr>
                <w:lang w:val="en-AU"/>
              </w:rPr>
            </w:r>
            <w:r>
              <w:rPr>
                <w:lang w:val="en-AU"/>
              </w:rPr>
              <w:fldChar w:fldCharType="separate"/>
            </w:r>
            <w:r w:rsidR="00BC7653">
              <w:rPr>
                <w:noProof/>
                <w:lang w:val="en-AU"/>
              </w:rPr>
              <w:t>169</w:t>
            </w:r>
            <w:r>
              <w:rPr>
                <w:lang w:val="en-AU"/>
              </w:rPr>
              <w:fldChar w:fldCharType="end"/>
            </w:r>
          </w:p>
        </w:tc>
      </w:tr>
      <w:tr w:rsidR="0005795C" w:rsidRPr="00680E7D" w14:paraId="2F88C41E" w14:textId="77777777">
        <w:tc>
          <w:tcPr>
            <w:tcW w:w="2018" w:type="dxa"/>
            <w:gridSpan w:val="2"/>
            <w:tcBorders>
              <w:top w:val="single" w:sz="2" w:space="0" w:color="390A56"/>
              <w:bottom w:val="single" w:sz="2" w:space="0" w:color="390A56"/>
            </w:tcBorders>
            <w:shd w:val="clear" w:color="auto" w:fill="FFFFFF" w:themeFill="background1"/>
          </w:tcPr>
          <w:p w14:paraId="6143089D" w14:textId="77777777" w:rsidR="0005795C" w:rsidRPr="00F65403" w:rsidRDefault="0005795C">
            <w:pPr>
              <w:pStyle w:val="TableParagraph"/>
              <w:spacing w:before="0"/>
              <w:rPr>
                <w:lang w:val="en-AU"/>
              </w:rPr>
            </w:pPr>
            <w:r w:rsidRPr="00F65403">
              <w:rPr>
                <w:color w:val="323031"/>
                <w:spacing w:val="-4"/>
                <w:lang w:val="en-AU"/>
              </w:rPr>
              <w:t>SD</w:t>
            </w:r>
            <w:r w:rsidRPr="00F65403">
              <w:rPr>
                <w:color w:val="323031"/>
                <w:spacing w:val="-9"/>
                <w:lang w:val="en-AU"/>
              </w:rPr>
              <w:t xml:space="preserve"> </w:t>
            </w:r>
            <w:r w:rsidRPr="00F65403">
              <w:rPr>
                <w:color w:val="323031"/>
                <w:spacing w:val="-2"/>
                <w:lang w:val="en-AU"/>
              </w:rPr>
              <w:t>5.2.1(a)</w:t>
            </w:r>
          </w:p>
        </w:tc>
        <w:tc>
          <w:tcPr>
            <w:tcW w:w="6241" w:type="dxa"/>
            <w:tcBorders>
              <w:top w:val="single" w:sz="2" w:space="0" w:color="390A56"/>
              <w:bottom w:val="single" w:sz="2" w:space="0" w:color="390A56"/>
            </w:tcBorders>
            <w:shd w:val="clear" w:color="auto" w:fill="FFFFFF" w:themeFill="background1"/>
          </w:tcPr>
          <w:p w14:paraId="63AE5862" w14:textId="77777777" w:rsidR="0005795C" w:rsidRPr="00F65403" w:rsidRDefault="0005795C">
            <w:pPr>
              <w:pStyle w:val="TableParagraph"/>
              <w:spacing w:before="0"/>
              <w:rPr>
                <w:lang w:val="en-AU"/>
              </w:rPr>
            </w:pPr>
            <w:r w:rsidRPr="00F65403">
              <w:rPr>
                <w:color w:val="323031"/>
                <w:w w:val="105"/>
                <w:lang w:val="en-AU"/>
              </w:rPr>
              <w:t>Compliance with Standing</w:t>
            </w:r>
            <w:r w:rsidRPr="00F65403">
              <w:rPr>
                <w:color w:val="323031"/>
                <w:spacing w:val="1"/>
                <w:w w:val="105"/>
                <w:lang w:val="en-AU"/>
              </w:rPr>
              <w:t xml:space="preserve"> </w:t>
            </w:r>
            <w:r w:rsidRPr="00F65403">
              <w:rPr>
                <w:color w:val="323031"/>
                <w:spacing w:val="-2"/>
                <w:w w:val="105"/>
                <w:lang w:val="en-AU"/>
              </w:rPr>
              <w:t>Directions</w:t>
            </w:r>
          </w:p>
        </w:tc>
        <w:tc>
          <w:tcPr>
            <w:tcW w:w="767" w:type="dxa"/>
            <w:gridSpan w:val="2"/>
            <w:tcBorders>
              <w:top w:val="single" w:sz="2" w:space="0" w:color="390A56"/>
              <w:bottom w:val="single" w:sz="2" w:space="0" w:color="390A56"/>
            </w:tcBorders>
            <w:shd w:val="clear" w:color="auto" w:fill="FFFFFF" w:themeFill="background1"/>
          </w:tcPr>
          <w:p w14:paraId="32819047" w14:textId="2D886DA0" w:rsidR="0005795C" w:rsidRPr="00F65403" w:rsidRDefault="00FD2AA1" w:rsidP="00B87398">
            <w:pPr>
              <w:pStyle w:val="TableParagraph"/>
              <w:spacing w:before="0"/>
              <w:jc w:val="center"/>
              <w:rPr>
                <w:lang w:val="en-AU"/>
              </w:rPr>
            </w:pPr>
            <w:r>
              <w:rPr>
                <w:lang w:val="en-AU"/>
              </w:rPr>
              <w:fldChar w:fldCharType="begin"/>
            </w:r>
            <w:r>
              <w:rPr>
                <w:lang w:val="en-AU"/>
              </w:rPr>
              <w:instrText xml:space="preserve"> PAGEREF _Ref207630527 \h </w:instrText>
            </w:r>
            <w:r>
              <w:rPr>
                <w:lang w:val="en-AU"/>
              </w:rPr>
            </w:r>
            <w:r>
              <w:rPr>
                <w:lang w:val="en-AU"/>
              </w:rPr>
              <w:fldChar w:fldCharType="separate"/>
            </w:r>
            <w:r w:rsidR="00BC7653">
              <w:rPr>
                <w:noProof/>
                <w:lang w:val="en-AU"/>
              </w:rPr>
              <w:t>169</w:t>
            </w:r>
            <w:r>
              <w:rPr>
                <w:lang w:val="en-AU"/>
              </w:rPr>
              <w:fldChar w:fldCharType="end"/>
            </w:r>
          </w:p>
        </w:tc>
      </w:tr>
      <w:tr w:rsidR="0005795C" w:rsidRPr="00680E7D" w14:paraId="08FE12F5" w14:textId="77777777">
        <w:tc>
          <w:tcPr>
            <w:tcW w:w="9026" w:type="dxa"/>
            <w:gridSpan w:val="5"/>
            <w:tcBorders>
              <w:top w:val="single" w:sz="2" w:space="0" w:color="390A56"/>
              <w:bottom w:val="single" w:sz="2" w:space="0" w:color="390A56"/>
            </w:tcBorders>
            <w:shd w:val="clear" w:color="auto" w:fill="F0E3DE"/>
          </w:tcPr>
          <w:p w14:paraId="2CD881F3" w14:textId="77777777" w:rsidR="0005795C" w:rsidRPr="00F65403" w:rsidRDefault="0005795C">
            <w:pPr>
              <w:pStyle w:val="TableParagraph"/>
              <w:spacing w:before="0"/>
              <w:rPr>
                <w:b/>
                <w:lang w:val="en-AU"/>
              </w:rPr>
            </w:pPr>
            <w:r w:rsidRPr="00F65403">
              <w:rPr>
                <w:b/>
                <w:color w:val="323031"/>
                <w:spacing w:val="-2"/>
                <w:lang w:val="en-AU"/>
              </w:rPr>
              <w:t>Other</w:t>
            </w:r>
            <w:r w:rsidRPr="00F65403">
              <w:rPr>
                <w:b/>
                <w:color w:val="323031"/>
                <w:spacing w:val="-5"/>
                <w:lang w:val="en-AU"/>
              </w:rPr>
              <w:t xml:space="preserve"> </w:t>
            </w:r>
            <w:r w:rsidRPr="00F65403">
              <w:rPr>
                <w:b/>
                <w:color w:val="323031"/>
                <w:spacing w:val="-2"/>
                <w:lang w:val="en-AU"/>
              </w:rPr>
              <w:t>disclosures</w:t>
            </w:r>
            <w:r w:rsidRPr="00F65403">
              <w:rPr>
                <w:b/>
                <w:color w:val="323031"/>
                <w:spacing w:val="-5"/>
                <w:lang w:val="en-AU"/>
              </w:rPr>
              <w:t xml:space="preserve"> </w:t>
            </w:r>
            <w:r w:rsidRPr="00F65403">
              <w:rPr>
                <w:b/>
                <w:color w:val="323031"/>
                <w:spacing w:val="-2"/>
                <w:lang w:val="en-AU"/>
              </w:rPr>
              <w:t>as</w:t>
            </w:r>
            <w:r w:rsidRPr="00F65403">
              <w:rPr>
                <w:b/>
                <w:color w:val="323031"/>
                <w:spacing w:val="-4"/>
                <w:lang w:val="en-AU"/>
              </w:rPr>
              <w:t xml:space="preserve"> </w:t>
            </w:r>
            <w:r w:rsidRPr="00F65403">
              <w:rPr>
                <w:b/>
                <w:color w:val="323031"/>
                <w:spacing w:val="-2"/>
                <w:lang w:val="en-AU"/>
              </w:rPr>
              <w:t>required</w:t>
            </w:r>
            <w:r w:rsidRPr="00F65403">
              <w:rPr>
                <w:b/>
                <w:color w:val="323031"/>
                <w:spacing w:val="-5"/>
                <w:lang w:val="en-AU"/>
              </w:rPr>
              <w:t xml:space="preserve"> </w:t>
            </w:r>
            <w:r w:rsidRPr="00F65403">
              <w:rPr>
                <w:b/>
                <w:color w:val="323031"/>
                <w:spacing w:val="-2"/>
                <w:lang w:val="en-AU"/>
              </w:rPr>
              <w:t>by</w:t>
            </w:r>
            <w:r w:rsidRPr="00F65403">
              <w:rPr>
                <w:b/>
                <w:color w:val="323031"/>
                <w:spacing w:val="-4"/>
                <w:lang w:val="en-AU"/>
              </w:rPr>
              <w:t xml:space="preserve"> </w:t>
            </w:r>
            <w:r w:rsidRPr="00F65403">
              <w:rPr>
                <w:b/>
                <w:color w:val="323031"/>
                <w:spacing w:val="-2"/>
                <w:lang w:val="en-AU"/>
              </w:rPr>
              <w:t>FRDs</w:t>
            </w:r>
            <w:r w:rsidRPr="00F65403">
              <w:rPr>
                <w:b/>
                <w:color w:val="323031"/>
                <w:spacing w:val="-5"/>
                <w:lang w:val="en-AU"/>
              </w:rPr>
              <w:t xml:space="preserve"> </w:t>
            </w:r>
            <w:r w:rsidRPr="00F65403">
              <w:rPr>
                <w:b/>
                <w:color w:val="323031"/>
                <w:spacing w:val="-2"/>
                <w:lang w:val="en-AU"/>
              </w:rPr>
              <w:t>in</w:t>
            </w:r>
            <w:r w:rsidRPr="00F65403">
              <w:rPr>
                <w:b/>
                <w:color w:val="323031"/>
                <w:spacing w:val="-5"/>
                <w:lang w:val="en-AU"/>
              </w:rPr>
              <w:t xml:space="preserve"> </w:t>
            </w:r>
            <w:r w:rsidRPr="00F65403">
              <w:rPr>
                <w:b/>
                <w:color w:val="323031"/>
                <w:spacing w:val="-2"/>
                <w:lang w:val="en-AU"/>
              </w:rPr>
              <w:t>notes</w:t>
            </w:r>
            <w:r w:rsidRPr="00F65403">
              <w:rPr>
                <w:b/>
                <w:color w:val="323031"/>
                <w:spacing w:val="-4"/>
                <w:lang w:val="en-AU"/>
              </w:rPr>
              <w:t xml:space="preserve"> </w:t>
            </w:r>
            <w:r w:rsidRPr="00F65403">
              <w:rPr>
                <w:b/>
                <w:color w:val="323031"/>
                <w:spacing w:val="-2"/>
                <w:lang w:val="en-AU"/>
              </w:rPr>
              <w:t>to</w:t>
            </w:r>
            <w:r w:rsidRPr="00F65403">
              <w:rPr>
                <w:b/>
                <w:color w:val="323031"/>
                <w:spacing w:val="-5"/>
                <w:lang w:val="en-AU"/>
              </w:rPr>
              <w:t xml:space="preserve"> </w:t>
            </w:r>
            <w:r w:rsidRPr="00F65403">
              <w:rPr>
                <w:b/>
                <w:color w:val="323031"/>
                <w:spacing w:val="-2"/>
                <w:lang w:val="en-AU"/>
              </w:rPr>
              <w:t>the</w:t>
            </w:r>
            <w:r w:rsidRPr="00F65403">
              <w:rPr>
                <w:b/>
                <w:color w:val="323031"/>
                <w:spacing w:val="-4"/>
                <w:lang w:val="en-AU"/>
              </w:rPr>
              <w:t xml:space="preserve"> </w:t>
            </w:r>
            <w:r w:rsidRPr="00F65403">
              <w:rPr>
                <w:b/>
                <w:color w:val="323031"/>
                <w:spacing w:val="-2"/>
                <w:lang w:val="en-AU"/>
              </w:rPr>
              <w:t>financial</w:t>
            </w:r>
            <w:r w:rsidRPr="00F65403">
              <w:rPr>
                <w:b/>
                <w:color w:val="323031"/>
                <w:spacing w:val="-5"/>
                <w:lang w:val="en-AU"/>
              </w:rPr>
              <w:t xml:space="preserve"> </w:t>
            </w:r>
            <w:r w:rsidRPr="00F65403">
              <w:rPr>
                <w:b/>
                <w:color w:val="323031"/>
                <w:spacing w:val="-2"/>
                <w:lang w:val="en-AU"/>
              </w:rPr>
              <w:t>statements</w:t>
            </w:r>
            <w:r w:rsidRPr="00F65403">
              <w:rPr>
                <w:b/>
                <w:color w:val="323031"/>
                <w:spacing w:val="-6"/>
                <w:lang w:val="en-AU"/>
              </w:rPr>
              <w:t xml:space="preserve"> </w:t>
            </w:r>
            <w:r w:rsidRPr="00F65403">
              <w:rPr>
                <w:b/>
                <w:color w:val="323031"/>
                <w:spacing w:val="-5"/>
                <w:position w:val="6"/>
                <w:lang w:val="en-AU"/>
              </w:rPr>
              <w:t>(a)</w:t>
            </w:r>
          </w:p>
        </w:tc>
      </w:tr>
      <w:tr w:rsidR="0005795C" w:rsidRPr="00680E7D" w14:paraId="55216973" w14:textId="77777777">
        <w:tc>
          <w:tcPr>
            <w:tcW w:w="2018" w:type="dxa"/>
            <w:gridSpan w:val="2"/>
            <w:tcBorders>
              <w:top w:val="single" w:sz="2" w:space="0" w:color="390A56"/>
            </w:tcBorders>
            <w:shd w:val="clear" w:color="auto" w:fill="FFFFFF" w:themeFill="background1"/>
          </w:tcPr>
          <w:p w14:paraId="162A0604"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21</w:t>
            </w:r>
          </w:p>
        </w:tc>
        <w:tc>
          <w:tcPr>
            <w:tcW w:w="6241" w:type="dxa"/>
            <w:tcBorders>
              <w:top w:val="single" w:sz="2" w:space="0" w:color="390A56"/>
            </w:tcBorders>
            <w:shd w:val="clear" w:color="auto" w:fill="FFFFFF" w:themeFill="background1"/>
          </w:tcPr>
          <w:p w14:paraId="65358617" w14:textId="77777777" w:rsidR="0005795C" w:rsidRPr="00F65403" w:rsidRDefault="0005795C">
            <w:pPr>
              <w:pStyle w:val="TableParagraph"/>
              <w:spacing w:before="0"/>
              <w:rPr>
                <w:lang w:val="en-AU"/>
              </w:rPr>
            </w:pPr>
            <w:r w:rsidRPr="00F65403">
              <w:rPr>
                <w:color w:val="323031"/>
                <w:lang w:val="en-AU"/>
              </w:rPr>
              <w:t>Disclosures</w:t>
            </w:r>
            <w:r w:rsidRPr="00F65403">
              <w:rPr>
                <w:color w:val="323031"/>
                <w:spacing w:val="19"/>
                <w:lang w:val="en-AU"/>
              </w:rPr>
              <w:t xml:space="preserve"> </w:t>
            </w:r>
            <w:r w:rsidRPr="00F65403">
              <w:rPr>
                <w:color w:val="323031"/>
                <w:lang w:val="en-AU"/>
              </w:rPr>
              <w:t>of</w:t>
            </w:r>
            <w:r w:rsidRPr="00F65403">
              <w:rPr>
                <w:color w:val="323031"/>
                <w:spacing w:val="19"/>
                <w:lang w:val="en-AU"/>
              </w:rPr>
              <w:t xml:space="preserve"> </w:t>
            </w:r>
            <w:r w:rsidRPr="00F65403">
              <w:rPr>
                <w:color w:val="323031"/>
                <w:lang w:val="en-AU"/>
              </w:rPr>
              <w:t>Responsible</w:t>
            </w:r>
            <w:r w:rsidRPr="00F65403">
              <w:rPr>
                <w:color w:val="323031"/>
                <w:spacing w:val="19"/>
                <w:lang w:val="en-AU"/>
              </w:rPr>
              <w:t xml:space="preserve"> </w:t>
            </w:r>
            <w:r w:rsidRPr="00F65403">
              <w:rPr>
                <w:color w:val="323031"/>
                <w:lang w:val="en-AU"/>
              </w:rPr>
              <w:t>Persons,</w:t>
            </w:r>
            <w:r w:rsidRPr="00F65403">
              <w:rPr>
                <w:color w:val="323031"/>
                <w:spacing w:val="19"/>
                <w:lang w:val="en-AU"/>
              </w:rPr>
              <w:t xml:space="preserve"> </w:t>
            </w:r>
            <w:r w:rsidRPr="00F65403">
              <w:rPr>
                <w:color w:val="323031"/>
                <w:lang w:val="en-AU"/>
              </w:rPr>
              <w:t>Executive</w:t>
            </w:r>
            <w:r w:rsidRPr="00F65403">
              <w:rPr>
                <w:color w:val="323031"/>
                <w:spacing w:val="19"/>
                <w:lang w:val="en-AU"/>
              </w:rPr>
              <w:t xml:space="preserve"> </w:t>
            </w:r>
            <w:r w:rsidRPr="00F65403">
              <w:rPr>
                <w:color w:val="323031"/>
                <w:lang w:val="en-AU"/>
              </w:rPr>
              <w:t>Officers</w:t>
            </w:r>
            <w:r w:rsidRPr="00F65403">
              <w:rPr>
                <w:color w:val="323031"/>
                <w:spacing w:val="20"/>
                <w:lang w:val="en-AU"/>
              </w:rPr>
              <w:t xml:space="preserve"> </w:t>
            </w:r>
            <w:r w:rsidRPr="00F65403">
              <w:rPr>
                <w:color w:val="323031"/>
                <w:lang w:val="en-AU"/>
              </w:rPr>
              <w:t>and</w:t>
            </w:r>
            <w:r w:rsidRPr="00F65403">
              <w:rPr>
                <w:color w:val="323031"/>
                <w:spacing w:val="19"/>
                <w:lang w:val="en-AU"/>
              </w:rPr>
              <w:t xml:space="preserve"> </w:t>
            </w:r>
            <w:r w:rsidRPr="00F65403">
              <w:rPr>
                <w:color w:val="323031"/>
                <w:spacing w:val="-2"/>
                <w:lang w:val="en-AU"/>
              </w:rPr>
              <w:t>other</w:t>
            </w:r>
          </w:p>
        </w:tc>
        <w:tc>
          <w:tcPr>
            <w:tcW w:w="767" w:type="dxa"/>
            <w:gridSpan w:val="2"/>
            <w:tcBorders>
              <w:top w:val="single" w:sz="2" w:space="0" w:color="390A56"/>
            </w:tcBorders>
            <w:shd w:val="clear" w:color="auto" w:fill="FFFFFF" w:themeFill="background1"/>
          </w:tcPr>
          <w:p w14:paraId="51661ADD" w14:textId="3AD70D44" w:rsidR="0005795C" w:rsidRPr="00F65403" w:rsidRDefault="00A00F5B" w:rsidP="00B87398">
            <w:pPr>
              <w:pStyle w:val="TableParagraph"/>
              <w:spacing w:before="0"/>
              <w:jc w:val="center"/>
              <w:rPr>
                <w:lang w:val="en-AU"/>
              </w:rPr>
            </w:pPr>
            <w:r>
              <w:rPr>
                <w:lang w:val="en-AU"/>
              </w:rPr>
              <w:fldChar w:fldCharType="begin"/>
            </w:r>
            <w:r>
              <w:rPr>
                <w:lang w:val="en-AU"/>
              </w:rPr>
              <w:instrText xml:space="preserve"> PAGEREF _Ref207630507 \h </w:instrText>
            </w:r>
            <w:r>
              <w:rPr>
                <w:lang w:val="en-AU"/>
              </w:rPr>
            </w:r>
            <w:r>
              <w:rPr>
                <w:lang w:val="en-AU"/>
              </w:rPr>
              <w:fldChar w:fldCharType="separate"/>
            </w:r>
            <w:r w:rsidR="00BC7653">
              <w:rPr>
                <w:noProof/>
                <w:lang w:val="en-AU"/>
              </w:rPr>
              <w:t>166</w:t>
            </w:r>
            <w:r>
              <w:rPr>
                <w:lang w:val="en-AU"/>
              </w:rPr>
              <w:fldChar w:fldCharType="end"/>
            </w:r>
          </w:p>
        </w:tc>
      </w:tr>
      <w:tr w:rsidR="0005795C" w:rsidRPr="00680E7D" w14:paraId="2AA74081" w14:textId="77777777">
        <w:tc>
          <w:tcPr>
            <w:tcW w:w="2018" w:type="dxa"/>
            <w:gridSpan w:val="2"/>
            <w:shd w:val="clear" w:color="auto" w:fill="FFFFFF" w:themeFill="background1"/>
          </w:tcPr>
          <w:p w14:paraId="7DD74075" w14:textId="77777777" w:rsidR="0005795C" w:rsidRPr="00F65403" w:rsidRDefault="0005795C">
            <w:pPr>
              <w:pStyle w:val="TableParagraph"/>
              <w:spacing w:before="0"/>
              <w:rPr>
                <w:rFonts w:ascii="Times New Roman"/>
                <w:lang w:val="en-AU"/>
              </w:rPr>
            </w:pPr>
          </w:p>
        </w:tc>
        <w:tc>
          <w:tcPr>
            <w:tcW w:w="6241" w:type="dxa"/>
            <w:shd w:val="clear" w:color="auto" w:fill="FFFFFF" w:themeFill="background1"/>
          </w:tcPr>
          <w:p w14:paraId="45D0C6FC" w14:textId="7FF300A1" w:rsidR="0005795C" w:rsidRPr="00F65403" w:rsidRDefault="0005795C">
            <w:pPr>
              <w:pStyle w:val="TableParagraph"/>
              <w:spacing w:before="0"/>
              <w:rPr>
                <w:lang w:val="en-AU"/>
              </w:rPr>
            </w:pPr>
            <w:r w:rsidRPr="00F65403">
              <w:rPr>
                <w:color w:val="323031"/>
                <w:spacing w:val="-2"/>
                <w:w w:val="105"/>
                <w:lang w:val="en-AU"/>
              </w:rPr>
              <w:t>Personnel</w:t>
            </w:r>
            <w:r w:rsidR="00576A44">
              <w:rPr>
                <w:color w:val="323031"/>
                <w:spacing w:val="-2"/>
                <w:w w:val="105"/>
                <w:lang w:val="en-AU"/>
              </w:rPr>
              <w:t xml:space="preserve"> (</w:t>
            </w:r>
            <w:r w:rsidR="00576A44" w:rsidRPr="00F65403">
              <w:rPr>
                <w:color w:val="323031"/>
                <w:w w:val="105"/>
                <w:lang w:val="en-AU"/>
              </w:rPr>
              <w:t>Contractors</w:t>
            </w:r>
            <w:r w:rsidR="00576A44" w:rsidRPr="00F65403">
              <w:rPr>
                <w:color w:val="323031"/>
                <w:spacing w:val="-4"/>
                <w:w w:val="105"/>
                <w:lang w:val="en-AU"/>
              </w:rPr>
              <w:t xml:space="preserve"> </w:t>
            </w:r>
            <w:r w:rsidR="00576A44" w:rsidRPr="00F65403">
              <w:rPr>
                <w:color w:val="323031"/>
                <w:w w:val="105"/>
                <w:lang w:val="en-AU"/>
              </w:rPr>
              <w:t>with</w:t>
            </w:r>
            <w:r w:rsidR="00576A44" w:rsidRPr="00F65403">
              <w:rPr>
                <w:color w:val="323031"/>
                <w:spacing w:val="-3"/>
                <w:w w:val="105"/>
                <w:lang w:val="en-AU"/>
              </w:rPr>
              <w:t xml:space="preserve"> </w:t>
            </w:r>
            <w:r w:rsidR="00576A44" w:rsidRPr="00F65403">
              <w:rPr>
                <w:color w:val="323031"/>
                <w:w w:val="105"/>
                <w:lang w:val="en-AU"/>
              </w:rPr>
              <w:t>Significant</w:t>
            </w:r>
            <w:r w:rsidR="00576A44" w:rsidRPr="00F65403">
              <w:rPr>
                <w:color w:val="323031"/>
                <w:spacing w:val="-3"/>
                <w:w w:val="105"/>
                <w:lang w:val="en-AU"/>
              </w:rPr>
              <w:t xml:space="preserve"> </w:t>
            </w:r>
            <w:r w:rsidR="00576A44" w:rsidRPr="00F65403">
              <w:rPr>
                <w:color w:val="323031"/>
                <w:w w:val="105"/>
                <w:lang w:val="en-AU"/>
              </w:rPr>
              <w:t>Management</w:t>
            </w:r>
            <w:r w:rsidR="00576A44" w:rsidRPr="00F65403">
              <w:rPr>
                <w:color w:val="323031"/>
                <w:spacing w:val="-3"/>
                <w:w w:val="105"/>
                <w:lang w:val="en-AU"/>
              </w:rPr>
              <w:t xml:space="preserve"> </w:t>
            </w:r>
            <w:r w:rsidR="00576A44" w:rsidRPr="00F65403">
              <w:rPr>
                <w:color w:val="323031"/>
                <w:w w:val="105"/>
                <w:lang w:val="en-AU"/>
              </w:rPr>
              <w:t>Responsibilities)</w:t>
            </w:r>
            <w:r w:rsidR="00576A44" w:rsidRPr="00F65403">
              <w:rPr>
                <w:color w:val="323031"/>
                <w:spacing w:val="-4"/>
                <w:w w:val="105"/>
                <w:lang w:val="en-AU"/>
              </w:rPr>
              <w:t xml:space="preserve"> </w:t>
            </w:r>
            <w:r w:rsidR="00576A44" w:rsidRPr="00F65403">
              <w:rPr>
                <w:color w:val="323031"/>
                <w:w w:val="105"/>
                <w:lang w:val="en-AU"/>
              </w:rPr>
              <w:t>in</w:t>
            </w:r>
            <w:r w:rsidR="00576A44" w:rsidRPr="00F65403">
              <w:rPr>
                <w:color w:val="323031"/>
                <w:spacing w:val="-3"/>
                <w:w w:val="105"/>
                <w:lang w:val="en-AU"/>
              </w:rPr>
              <w:t xml:space="preserve"> </w:t>
            </w:r>
            <w:r w:rsidR="00576A44" w:rsidRPr="00F65403">
              <w:rPr>
                <w:color w:val="323031"/>
                <w:spacing w:val="-5"/>
                <w:w w:val="105"/>
                <w:lang w:val="en-AU"/>
              </w:rPr>
              <w:t>the</w:t>
            </w:r>
            <w:r w:rsidR="00A00F5B">
              <w:rPr>
                <w:color w:val="323031"/>
                <w:spacing w:val="-5"/>
                <w:w w:val="105"/>
                <w:lang w:val="en-AU"/>
              </w:rPr>
              <w:t xml:space="preserve"> Financial Report</w:t>
            </w:r>
          </w:p>
        </w:tc>
        <w:tc>
          <w:tcPr>
            <w:tcW w:w="767" w:type="dxa"/>
            <w:gridSpan w:val="2"/>
            <w:shd w:val="clear" w:color="auto" w:fill="FFFFFF" w:themeFill="background1"/>
          </w:tcPr>
          <w:p w14:paraId="756E7C66" w14:textId="77777777" w:rsidR="0005795C" w:rsidRPr="00F65403" w:rsidRDefault="0005795C" w:rsidP="00B87398">
            <w:pPr>
              <w:pStyle w:val="TableParagraph"/>
              <w:spacing w:before="0"/>
              <w:jc w:val="center"/>
              <w:rPr>
                <w:rFonts w:ascii="Times New Roman"/>
                <w:lang w:val="en-AU"/>
              </w:rPr>
            </w:pPr>
          </w:p>
        </w:tc>
      </w:tr>
      <w:tr w:rsidR="0005795C" w:rsidRPr="00680E7D" w14:paraId="52959D5D" w14:textId="77777777">
        <w:tc>
          <w:tcPr>
            <w:tcW w:w="2018" w:type="dxa"/>
            <w:gridSpan w:val="2"/>
            <w:tcBorders>
              <w:top w:val="single" w:sz="2" w:space="0" w:color="390A56"/>
              <w:bottom w:val="single" w:sz="2" w:space="0" w:color="390A56"/>
            </w:tcBorders>
            <w:shd w:val="clear" w:color="auto" w:fill="FFFFFF" w:themeFill="background1"/>
          </w:tcPr>
          <w:p w14:paraId="4C3D7519"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110</w:t>
            </w:r>
          </w:p>
        </w:tc>
        <w:tc>
          <w:tcPr>
            <w:tcW w:w="6241" w:type="dxa"/>
            <w:tcBorders>
              <w:top w:val="single" w:sz="2" w:space="0" w:color="390A56"/>
              <w:bottom w:val="single" w:sz="2" w:space="0" w:color="390A56"/>
            </w:tcBorders>
            <w:shd w:val="clear" w:color="auto" w:fill="FFFFFF" w:themeFill="background1"/>
          </w:tcPr>
          <w:p w14:paraId="6CC22D06" w14:textId="77777777" w:rsidR="0005795C" w:rsidRPr="00F65403" w:rsidRDefault="0005795C">
            <w:pPr>
              <w:pStyle w:val="TableParagraph"/>
              <w:spacing w:before="0"/>
              <w:rPr>
                <w:lang w:val="en-AU"/>
              </w:rPr>
            </w:pPr>
            <w:r w:rsidRPr="00F65403">
              <w:rPr>
                <w:color w:val="323031"/>
                <w:lang w:val="en-AU"/>
              </w:rPr>
              <w:t>Cash</w:t>
            </w:r>
            <w:r w:rsidRPr="00F65403">
              <w:rPr>
                <w:color w:val="323031"/>
                <w:spacing w:val="15"/>
                <w:lang w:val="en-AU"/>
              </w:rPr>
              <w:t xml:space="preserve"> </w:t>
            </w:r>
            <w:r w:rsidRPr="00F65403">
              <w:rPr>
                <w:color w:val="323031"/>
                <w:lang w:val="en-AU"/>
              </w:rPr>
              <w:t>flow</w:t>
            </w:r>
            <w:r w:rsidRPr="00F65403">
              <w:rPr>
                <w:color w:val="323031"/>
                <w:spacing w:val="16"/>
                <w:lang w:val="en-AU"/>
              </w:rPr>
              <w:t xml:space="preserve"> </w:t>
            </w:r>
            <w:r w:rsidRPr="00F65403">
              <w:rPr>
                <w:color w:val="323031"/>
                <w:spacing w:val="-2"/>
                <w:lang w:val="en-AU"/>
              </w:rPr>
              <w:t>statements</w:t>
            </w:r>
          </w:p>
        </w:tc>
        <w:tc>
          <w:tcPr>
            <w:tcW w:w="767" w:type="dxa"/>
            <w:gridSpan w:val="2"/>
            <w:tcBorders>
              <w:top w:val="single" w:sz="2" w:space="0" w:color="390A56"/>
              <w:bottom w:val="single" w:sz="2" w:space="0" w:color="390A56"/>
            </w:tcBorders>
            <w:shd w:val="clear" w:color="auto" w:fill="FFFFFF" w:themeFill="background1"/>
          </w:tcPr>
          <w:p w14:paraId="7046436D" w14:textId="05D95AEB" w:rsidR="0005795C" w:rsidRPr="00F65403" w:rsidRDefault="00CB5251" w:rsidP="00B87398">
            <w:pPr>
              <w:pStyle w:val="TableParagraph"/>
              <w:spacing w:before="0"/>
              <w:jc w:val="center"/>
              <w:rPr>
                <w:lang w:val="en-AU"/>
              </w:rPr>
            </w:pPr>
            <w:r>
              <w:rPr>
                <w:lang w:val="en-AU"/>
              </w:rPr>
              <w:fldChar w:fldCharType="begin"/>
            </w:r>
            <w:r>
              <w:rPr>
                <w:lang w:val="en-AU"/>
              </w:rPr>
              <w:instrText xml:space="preserve"> PAGEREF _Ref207630453 \h </w:instrText>
            </w:r>
            <w:r>
              <w:rPr>
                <w:lang w:val="en-AU"/>
              </w:rPr>
            </w:r>
            <w:r>
              <w:rPr>
                <w:lang w:val="en-AU"/>
              </w:rPr>
              <w:fldChar w:fldCharType="separate"/>
            </w:r>
            <w:r w:rsidR="00BC7653">
              <w:rPr>
                <w:noProof/>
                <w:lang w:val="en-AU"/>
              </w:rPr>
              <w:t>151</w:t>
            </w:r>
            <w:r>
              <w:rPr>
                <w:lang w:val="en-AU"/>
              </w:rPr>
              <w:fldChar w:fldCharType="end"/>
            </w:r>
          </w:p>
        </w:tc>
      </w:tr>
      <w:tr w:rsidR="0005795C" w:rsidRPr="00680E7D" w14:paraId="2B0BDF41" w14:textId="77777777">
        <w:tc>
          <w:tcPr>
            <w:tcW w:w="2018" w:type="dxa"/>
            <w:gridSpan w:val="2"/>
            <w:tcBorders>
              <w:top w:val="single" w:sz="2" w:space="0" w:color="390A56"/>
              <w:bottom w:val="single" w:sz="2" w:space="0" w:color="390A56"/>
            </w:tcBorders>
            <w:shd w:val="clear" w:color="auto" w:fill="FFFFFF" w:themeFill="background1"/>
          </w:tcPr>
          <w:p w14:paraId="50C2E0DC" w14:textId="77777777" w:rsidR="0005795C" w:rsidRPr="00F65403" w:rsidRDefault="0005795C">
            <w:pPr>
              <w:pStyle w:val="TableParagraph"/>
              <w:spacing w:before="0"/>
              <w:rPr>
                <w:lang w:val="en-AU"/>
              </w:rPr>
            </w:pPr>
            <w:r w:rsidRPr="00F65403">
              <w:rPr>
                <w:color w:val="323031"/>
                <w:spacing w:val="-4"/>
                <w:lang w:val="en-AU"/>
              </w:rPr>
              <w:t>FRD</w:t>
            </w:r>
            <w:r w:rsidRPr="00F65403">
              <w:rPr>
                <w:color w:val="323031"/>
                <w:spacing w:val="-6"/>
                <w:lang w:val="en-AU"/>
              </w:rPr>
              <w:t xml:space="preserve"> </w:t>
            </w:r>
            <w:r w:rsidRPr="00F65403">
              <w:rPr>
                <w:color w:val="323031"/>
                <w:spacing w:val="-5"/>
                <w:lang w:val="en-AU"/>
              </w:rPr>
              <w:t>114</w:t>
            </w:r>
          </w:p>
        </w:tc>
        <w:tc>
          <w:tcPr>
            <w:tcW w:w="6241" w:type="dxa"/>
            <w:tcBorders>
              <w:top w:val="single" w:sz="2" w:space="0" w:color="390A56"/>
              <w:bottom w:val="single" w:sz="2" w:space="0" w:color="390A56"/>
            </w:tcBorders>
            <w:shd w:val="clear" w:color="auto" w:fill="FFFFFF" w:themeFill="background1"/>
          </w:tcPr>
          <w:p w14:paraId="5F393D39" w14:textId="77777777" w:rsidR="0005795C" w:rsidRPr="00F65403" w:rsidRDefault="0005795C">
            <w:pPr>
              <w:pStyle w:val="TableParagraph"/>
              <w:spacing w:before="0"/>
              <w:rPr>
                <w:lang w:val="en-AU"/>
              </w:rPr>
            </w:pPr>
            <w:r w:rsidRPr="00F65403">
              <w:rPr>
                <w:color w:val="323031"/>
                <w:lang w:val="en-AU"/>
              </w:rPr>
              <w:t>Financial</w:t>
            </w:r>
            <w:r w:rsidRPr="00F65403">
              <w:rPr>
                <w:color w:val="323031"/>
                <w:spacing w:val="18"/>
                <w:lang w:val="en-AU"/>
              </w:rPr>
              <w:t xml:space="preserve"> </w:t>
            </w:r>
            <w:r w:rsidRPr="00F65403">
              <w:rPr>
                <w:color w:val="323031"/>
                <w:spacing w:val="-2"/>
                <w:lang w:val="en-AU"/>
              </w:rPr>
              <w:t>instruments</w:t>
            </w:r>
          </w:p>
        </w:tc>
        <w:tc>
          <w:tcPr>
            <w:tcW w:w="767" w:type="dxa"/>
            <w:gridSpan w:val="2"/>
            <w:tcBorders>
              <w:top w:val="single" w:sz="2" w:space="0" w:color="390A56"/>
              <w:bottom w:val="single" w:sz="2" w:space="0" w:color="390A56"/>
            </w:tcBorders>
            <w:shd w:val="clear" w:color="auto" w:fill="FFFFFF" w:themeFill="background1"/>
          </w:tcPr>
          <w:p w14:paraId="31EEA3BA" w14:textId="4BAA96AE" w:rsidR="0005795C" w:rsidRPr="00F65403" w:rsidRDefault="00CB5251" w:rsidP="00B87398">
            <w:pPr>
              <w:pStyle w:val="TableParagraph"/>
              <w:spacing w:before="0"/>
              <w:jc w:val="center"/>
              <w:rPr>
                <w:lang w:val="en-AU"/>
              </w:rPr>
            </w:pPr>
            <w:r>
              <w:rPr>
                <w:lang w:val="en-AU"/>
              </w:rPr>
              <w:fldChar w:fldCharType="begin"/>
            </w:r>
            <w:r>
              <w:rPr>
                <w:lang w:val="en-AU"/>
              </w:rPr>
              <w:instrText xml:space="preserve"> PAGEREF _Ref207630438 \h </w:instrText>
            </w:r>
            <w:r>
              <w:rPr>
                <w:lang w:val="en-AU"/>
              </w:rPr>
            </w:r>
            <w:r>
              <w:rPr>
                <w:lang w:val="en-AU"/>
              </w:rPr>
              <w:fldChar w:fldCharType="separate"/>
            </w:r>
            <w:r w:rsidR="00BC7653">
              <w:rPr>
                <w:noProof/>
                <w:lang w:val="en-AU"/>
              </w:rPr>
              <w:t>156</w:t>
            </w:r>
            <w:r>
              <w:rPr>
                <w:lang w:val="en-AU"/>
              </w:rPr>
              <w:fldChar w:fldCharType="end"/>
            </w:r>
          </w:p>
        </w:tc>
      </w:tr>
      <w:tr w:rsidR="0005795C" w:rsidRPr="00680E7D" w14:paraId="390C1B5B" w14:textId="77777777">
        <w:tc>
          <w:tcPr>
            <w:tcW w:w="9026" w:type="dxa"/>
            <w:gridSpan w:val="5"/>
            <w:tcBorders>
              <w:top w:val="single" w:sz="2" w:space="0" w:color="390A56"/>
            </w:tcBorders>
            <w:shd w:val="clear" w:color="auto" w:fill="FFFFFF" w:themeFill="background1"/>
          </w:tcPr>
          <w:p w14:paraId="01807B70" w14:textId="77777777" w:rsidR="0005795C" w:rsidRPr="00F65403" w:rsidRDefault="0005795C">
            <w:pPr>
              <w:pStyle w:val="TableParagraph"/>
              <w:spacing w:before="0"/>
              <w:rPr>
                <w:lang w:val="en-AU"/>
              </w:rPr>
            </w:pPr>
            <w:r w:rsidRPr="00F65403">
              <w:rPr>
                <w:color w:val="323031"/>
                <w:position w:val="5"/>
                <w:lang w:val="en-AU"/>
              </w:rPr>
              <w:t>(a)</w:t>
            </w:r>
            <w:r w:rsidRPr="00F65403">
              <w:rPr>
                <w:color w:val="323031"/>
                <w:spacing w:val="6"/>
                <w:position w:val="5"/>
                <w:lang w:val="en-AU"/>
              </w:rPr>
              <w:t xml:space="preserve"> </w:t>
            </w:r>
            <w:r w:rsidRPr="00F65403">
              <w:rPr>
                <w:color w:val="323031"/>
                <w:lang w:val="en-AU"/>
              </w:rPr>
              <w:t>References</w:t>
            </w:r>
            <w:r w:rsidRPr="00F65403">
              <w:rPr>
                <w:color w:val="323031"/>
                <w:spacing w:val="12"/>
                <w:lang w:val="en-AU"/>
              </w:rPr>
              <w:t xml:space="preserve"> </w:t>
            </w:r>
            <w:r w:rsidRPr="00F65403">
              <w:rPr>
                <w:color w:val="323031"/>
                <w:lang w:val="en-AU"/>
              </w:rPr>
              <w:t>to</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have</w:t>
            </w:r>
            <w:r w:rsidRPr="00F65403">
              <w:rPr>
                <w:color w:val="323031"/>
                <w:spacing w:val="12"/>
                <w:lang w:val="en-AU"/>
              </w:rPr>
              <w:t xml:space="preserve"> </w:t>
            </w:r>
            <w:r w:rsidRPr="00F65403">
              <w:rPr>
                <w:color w:val="323031"/>
                <w:lang w:val="en-AU"/>
              </w:rPr>
              <w:t>been</w:t>
            </w:r>
            <w:r w:rsidRPr="00F65403">
              <w:rPr>
                <w:color w:val="323031"/>
                <w:spacing w:val="12"/>
                <w:lang w:val="en-AU"/>
              </w:rPr>
              <w:t xml:space="preserve"> </w:t>
            </w:r>
            <w:r w:rsidRPr="00F65403">
              <w:rPr>
                <w:color w:val="323031"/>
                <w:lang w:val="en-AU"/>
              </w:rPr>
              <w:t>removed</w:t>
            </w:r>
            <w:r w:rsidRPr="00F65403">
              <w:rPr>
                <w:color w:val="323031"/>
                <w:spacing w:val="12"/>
                <w:lang w:val="en-AU"/>
              </w:rPr>
              <w:t xml:space="preserve"> </w:t>
            </w:r>
            <w:r w:rsidRPr="00F65403">
              <w:rPr>
                <w:color w:val="323031"/>
                <w:lang w:val="en-AU"/>
              </w:rPr>
              <w:t>from</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Disclosure</w:t>
            </w:r>
            <w:r w:rsidRPr="00F65403">
              <w:rPr>
                <w:color w:val="323031"/>
                <w:spacing w:val="12"/>
                <w:lang w:val="en-AU"/>
              </w:rPr>
              <w:t xml:space="preserve"> </w:t>
            </w:r>
            <w:r w:rsidRPr="00F65403">
              <w:rPr>
                <w:color w:val="323031"/>
                <w:lang w:val="en-AU"/>
              </w:rPr>
              <w:t>Index</w:t>
            </w:r>
            <w:r w:rsidRPr="00F65403">
              <w:rPr>
                <w:color w:val="323031"/>
                <w:spacing w:val="11"/>
                <w:lang w:val="en-AU"/>
              </w:rPr>
              <w:t xml:space="preserve"> </w:t>
            </w:r>
            <w:r w:rsidRPr="00F65403">
              <w:rPr>
                <w:color w:val="323031"/>
                <w:lang w:val="en-AU"/>
              </w:rPr>
              <w:t>if</w:t>
            </w:r>
            <w:r w:rsidRPr="00F65403">
              <w:rPr>
                <w:color w:val="323031"/>
                <w:spacing w:val="12"/>
                <w:lang w:val="en-AU"/>
              </w:rPr>
              <w:t xml:space="preserve"> </w:t>
            </w:r>
            <w:r w:rsidRPr="00F65403">
              <w:rPr>
                <w:color w:val="323031"/>
                <w:lang w:val="en-AU"/>
              </w:rPr>
              <w:t>the</w:t>
            </w:r>
            <w:r w:rsidRPr="00F65403">
              <w:rPr>
                <w:color w:val="323031"/>
                <w:spacing w:val="12"/>
                <w:lang w:val="en-AU"/>
              </w:rPr>
              <w:t xml:space="preserve"> </w:t>
            </w:r>
            <w:r w:rsidRPr="00F65403">
              <w:rPr>
                <w:color w:val="323031"/>
                <w:lang w:val="en-AU"/>
              </w:rPr>
              <w:t>specific</w:t>
            </w:r>
            <w:r w:rsidRPr="00F65403">
              <w:rPr>
                <w:color w:val="323031"/>
                <w:spacing w:val="12"/>
                <w:lang w:val="en-AU"/>
              </w:rPr>
              <w:t xml:space="preserve"> </w:t>
            </w:r>
            <w:r w:rsidRPr="00F65403">
              <w:rPr>
                <w:color w:val="323031"/>
                <w:lang w:val="en-AU"/>
              </w:rPr>
              <w:t>FRDs</w:t>
            </w:r>
            <w:r w:rsidRPr="00F65403">
              <w:rPr>
                <w:color w:val="323031"/>
                <w:spacing w:val="12"/>
                <w:lang w:val="en-AU"/>
              </w:rPr>
              <w:t xml:space="preserve"> </w:t>
            </w:r>
            <w:r w:rsidRPr="00F65403">
              <w:rPr>
                <w:color w:val="323031"/>
                <w:lang w:val="en-AU"/>
              </w:rPr>
              <w:t>are</w:t>
            </w:r>
            <w:r w:rsidRPr="00F65403">
              <w:rPr>
                <w:color w:val="323031"/>
                <w:spacing w:val="12"/>
                <w:lang w:val="en-AU"/>
              </w:rPr>
              <w:t xml:space="preserve"> </w:t>
            </w:r>
            <w:r w:rsidRPr="00F65403">
              <w:rPr>
                <w:color w:val="323031"/>
                <w:lang w:val="en-AU"/>
              </w:rPr>
              <w:t>not</w:t>
            </w:r>
            <w:r w:rsidRPr="00F65403">
              <w:rPr>
                <w:color w:val="323031"/>
                <w:spacing w:val="12"/>
                <w:lang w:val="en-AU"/>
              </w:rPr>
              <w:t xml:space="preserve"> </w:t>
            </w:r>
            <w:r w:rsidRPr="00F65403">
              <w:rPr>
                <w:color w:val="323031"/>
                <w:spacing w:val="-2"/>
                <w:lang w:val="en-AU"/>
              </w:rPr>
              <w:t>applicable.</w:t>
            </w:r>
          </w:p>
        </w:tc>
      </w:tr>
      <w:tr w:rsidR="0005795C" w:rsidRPr="00680E7D" w14:paraId="3E8D3763" w14:textId="77777777">
        <w:tc>
          <w:tcPr>
            <w:tcW w:w="9026" w:type="dxa"/>
            <w:gridSpan w:val="5"/>
            <w:tcBorders>
              <w:bottom w:val="single" w:sz="2" w:space="0" w:color="390A56"/>
            </w:tcBorders>
            <w:shd w:val="clear" w:color="auto" w:fill="D7CEDD"/>
          </w:tcPr>
          <w:p w14:paraId="20823739" w14:textId="77777777" w:rsidR="0005795C" w:rsidRPr="00F65403" w:rsidRDefault="0005795C">
            <w:pPr>
              <w:pStyle w:val="TableParagraph"/>
              <w:spacing w:before="0"/>
              <w:rPr>
                <w:b/>
                <w:lang w:val="en-AU"/>
              </w:rPr>
            </w:pPr>
            <w:r w:rsidRPr="00F65403">
              <w:rPr>
                <w:b/>
                <w:color w:val="323031"/>
                <w:spacing w:val="-2"/>
                <w:lang w:val="en-AU"/>
              </w:rPr>
              <w:t>Legislation</w:t>
            </w:r>
          </w:p>
        </w:tc>
      </w:tr>
      <w:tr w:rsidR="0005795C" w:rsidRPr="00680E7D" w14:paraId="74653866" w14:textId="77777777">
        <w:tc>
          <w:tcPr>
            <w:tcW w:w="9026" w:type="dxa"/>
            <w:gridSpan w:val="5"/>
            <w:tcBorders>
              <w:bottom w:val="single" w:sz="2" w:space="0" w:color="390A56"/>
            </w:tcBorders>
          </w:tcPr>
          <w:p w14:paraId="4A9294D9" w14:textId="77777777" w:rsidR="0005795C" w:rsidRPr="00F65403" w:rsidRDefault="0005795C">
            <w:pPr>
              <w:pStyle w:val="TableParagraph"/>
              <w:tabs>
                <w:tab w:val="left" w:pos="9630"/>
                <w:tab w:val="left" w:pos="9705"/>
                <w:tab w:val="right" w:pos="10038"/>
              </w:tabs>
              <w:spacing w:before="0"/>
              <w:rPr>
                <w:b/>
                <w:color w:val="323031"/>
                <w:spacing w:val="-2"/>
                <w:lang w:val="en-AU"/>
              </w:rPr>
            </w:pPr>
            <w:r w:rsidRPr="00F65403">
              <w:rPr>
                <w:i/>
                <w:color w:val="323031"/>
                <w:w w:val="105"/>
                <w:lang w:val="en-AU"/>
              </w:rPr>
              <w:t>Freedom</w:t>
            </w:r>
            <w:r w:rsidRPr="00F65403">
              <w:rPr>
                <w:i/>
                <w:color w:val="323031"/>
                <w:spacing w:val="-4"/>
                <w:w w:val="105"/>
                <w:lang w:val="en-AU"/>
              </w:rPr>
              <w:t xml:space="preserve"> </w:t>
            </w:r>
            <w:r w:rsidRPr="00F65403">
              <w:rPr>
                <w:i/>
                <w:color w:val="323031"/>
                <w:w w:val="105"/>
                <w:lang w:val="en-AU"/>
              </w:rPr>
              <w:t>of</w:t>
            </w:r>
            <w:r w:rsidRPr="00F65403">
              <w:rPr>
                <w:i/>
                <w:color w:val="323031"/>
                <w:spacing w:val="-4"/>
                <w:w w:val="105"/>
                <w:lang w:val="en-AU"/>
              </w:rPr>
              <w:t xml:space="preserve"> </w:t>
            </w:r>
            <w:r w:rsidRPr="00F65403">
              <w:rPr>
                <w:i/>
                <w:color w:val="323031"/>
                <w:w w:val="105"/>
                <w:lang w:val="en-AU"/>
              </w:rPr>
              <w:t>Information</w:t>
            </w:r>
            <w:r w:rsidRPr="00F65403">
              <w:rPr>
                <w:i/>
                <w:color w:val="323031"/>
                <w:spacing w:val="-4"/>
                <w:w w:val="105"/>
                <w:lang w:val="en-AU"/>
              </w:rPr>
              <w:t xml:space="preserve"> </w:t>
            </w:r>
            <w:r w:rsidRPr="00F65403">
              <w:rPr>
                <w:i/>
                <w:color w:val="323031"/>
                <w:w w:val="105"/>
                <w:lang w:val="en-AU"/>
              </w:rPr>
              <w:t>Act</w:t>
            </w:r>
            <w:r w:rsidRPr="00F65403">
              <w:rPr>
                <w:i/>
                <w:color w:val="323031"/>
                <w:spacing w:val="-3"/>
                <w:w w:val="105"/>
                <w:lang w:val="en-AU"/>
              </w:rPr>
              <w:t xml:space="preserve"> </w:t>
            </w:r>
            <w:r w:rsidRPr="00F65403">
              <w:rPr>
                <w:i/>
                <w:color w:val="323031"/>
                <w:spacing w:val="-4"/>
                <w:w w:val="105"/>
                <w:lang w:val="en-AU"/>
              </w:rPr>
              <w:t>1982</w:t>
            </w:r>
          </w:p>
        </w:tc>
      </w:tr>
      <w:tr w:rsidR="0005795C" w:rsidRPr="00680E7D" w14:paraId="09EDB637" w14:textId="77777777">
        <w:tc>
          <w:tcPr>
            <w:tcW w:w="9026" w:type="dxa"/>
            <w:gridSpan w:val="5"/>
            <w:tcBorders>
              <w:bottom w:val="single" w:sz="2" w:space="0" w:color="390A56"/>
            </w:tcBorders>
          </w:tcPr>
          <w:p w14:paraId="6A318CA6" w14:textId="77777777" w:rsidR="0005795C" w:rsidRPr="00F65403" w:rsidRDefault="0005795C">
            <w:pPr>
              <w:pStyle w:val="TableParagraph"/>
              <w:tabs>
                <w:tab w:val="left" w:pos="9630"/>
                <w:tab w:val="right" w:pos="10038"/>
              </w:tabs>
              <w:spacing w:before="0"/>
              <w:rPr>
                <w:i/>
                <w:color w:val="323031"/>
                <w:w w:val="105"/>
                <w:lang w:val="en-AU"/>
              </w:rPr>
            </w:pPr>
            <w:r w:rsidRPr="00F65403">
              <w:rPr>
                <w:i/>
                <w:color w:val="323031"/>
                <w:w w:val="105"/>
                <w:lang w:val="en-AU"/>
              </w:rPr>
              <w:t>Building Act 1993</w:t>
            </w:r>
          </w:p>
        </w:tc>
      </w:tr>
      <w:tr w:rsidR="0005795C" w:rsidRPr="00680E7D" w14:paraId="258CCA21" w14:textId="77777777">
        <w:tc>
          <w:tcPr>
            <w:tcW w:w="9026" w:type="dxa"/>
            <w:gridSpan w:val="5"/>
            <w:tcBorders>
              <w:bottom w:val="single" w:sz="2" w:space="0" w:color="390A56"/>
            </w:tcBorders>
          </w:tcPr>
          <w:p w14:paraId="7F7423C2" w14:textId="77777777" w:rsidR="0005795C" w:rsidRPr="00F65403" w:rsidRDefault="0005795C">
            <w:pPr>
              <w:pStyle w:val="TableParagraph"/>
              <w:tabs>
                <w:tab w:val="left" w:pos="8340"/>
                <w:tab w:val="left" w:pos="8820"/>
              </w:tabs>
              <w:spacing w:before="0"/>
              <w:rPr>
                <w:color w:val="323031"/>
                <w:w w:val="105"/>
                <w:lang w:val="en-AU"/>
              </w:rPr>
            </w:pPr>
            <w:r w:rsidRPr="00F65403">
              <w:rPr>
                <w:i/>
                <w:color w:val="323031"/>
                <w:w w:val="105"/>
                <w:lang w:val="en-AU"/>
              </w:rPr>
              <w:t xml:space="preserve">Corporations Act </w:t>
            </w:r>
            <w:r w:rsidRPr="00F65403">
              <w:rPr>
                <w:i/>
                <w:iCs/>
                <w:color w:val="323031"/>
                <w:w w:val="105"/>
                <w:lang w:val="en-AU"/>
              </w:rPr>
              <w:t>2001</w:t>
            </w:r>
          </w:p>
        </w:tc>
      </w:tr>
      <w:tr w:rsidR="0005795C" w:rsidRPr="00680E7D" w14:paraId="36BFB7B5" w14:textId="77777777">
        <w:tc>
          <w:tcPr>
            <w:tcW w:w="9026" w:type="dxa"/>
            <w:gridSpan w:val="5"/>
            <w:tcBorders>
              <w:bottom w:val="single" w:sz="2" w:space="0" w:color="390A56"/>
            </w:tcBorders>
          </w:tcPr>
          <w:p w14:paraId="2533292F" w14:textId="77777777" w:rsidR="0005795C" w:rsidRPr="00F65403" w:rsidRDefault="0005795C">
            <w:pPr>
              <w:pStyle w:val="TableParagraph"/>
              <w:tabs>
                <w:tab w:val="left" w:pos="9420"/>
                <w:tab w:val="left" w:pos="9630"/>
                <w:tab w:val="right" w:pos="10038"/>
              </w:tabs>
              <w:spacing w:before="0"/>
              <w:rPr>
                <w:i/>
                <w:color w:val="323031"/>
                <w:w w:val="105"/>
                <w:lang w:val="en-AU"/>
              </w:rPr>
            </w:pPr>
            <w:r w:rsidRPr="00F65403">
              <w:rPr>
                <w:i/>
                <w:color w:val="323031"/>
                <w:w w:val="105"/>
                <w:lang w:val="en-AU"/>
              </w:rPr>
              <w:t>Public Interest Disclosures Act 2012</w:t>
            </w:r>
          </w:p>
        </w:tc>
      </w:tr>
      <w:tr w:rsidR="0005795C" w:rsidRPr="00680E7D" w14:paraId="753B542B" w14:textId="77777777">
        <w:tc>
          <w:tcPr>
            <w:tcW w:w="9026" w:type="dxa"/>
            <w:gridSpan w:val="5"/>
            <w:tcBorders>
              <w:bottom w:val="single" w:sz="2" w:space="0" w:color="390A56"/>
            </w:tcBorders>
          </w:tcPr>
          <w:p w14:paraId="73F7671A" w14:textId="77777777" w:rsidR="0005795C" w:rsidRPr="00F65403" w:rsidRDefault="0005795C">
            <w:pPr>
              <w:pStyle w:val="TableParagraph"/>
              <w:tabs>
                <w:tab w:val="left" w:pos="9555"/>
                <w:tab w:val="left" w:pos="9735"/>
                <w:tab w:val="left" w:pos="9780"/>
                <w:tab w:val="right" w:pos="10038"/>
              </w:tabs>
              <w:spacing w:before="0"/>
              <w:rPr>
                <w:color w:val="323031"/>
                <w:w w:val="105"/>
                <w:lang w:val="en-AU"/>
              </w:rPr>
            </w:pPr>
            <w:r w:rsidRPr="00F65403">
              <w:rPr>
                <w:i/>
                <w:color w:val="323031"/>
                <w:w w:val="105"/>
                <w:lang w:val="en-AU"/>
              </w:rPr>
              <w:t>Local Jobs Act 2003</w:t>
            </w:r>
          </w:p>
        </w:tc>
      </w:tr>
      <w:tr w:rsidR="0005795C" w:rsidRPr="00680E7D" w14:paraId="54BE9DE3" w14:textId="77777777">
        <w:tc>
          <w:tcPr>
            <w:tcW w:w="9026" w:type="dxa"/>
            <w:gridSpan w:val="5"/>
            <w:tcBorders>
              <w:bottom w:val="single" w:sz="2" w:space="0" w:color="390A56"/>
            </w:tcBorders>
          </w:tcPr>
          <w:p w14:paraId="0018DC0D" w14:textId="77777777" w:rsidR="0005795C" w:rsidRPr="00F65403" w:rsidRDefault="0005795C">
            <w:pPr>
              <w:pStyle w:val="TableParagraph"/>
              <w:tabs>
                <w:tab w:val="left" w:pos="8895"/>
              </w:tabs>
              <w:spacing w:before="0"/>
              <w:rPr>
                <w:color w:val="323031"/>
                <w:w w:val="105"/>
                <w:lang w:val="en-AU"/>
              </w:rPr>
            </w:pPr>
            <w:r w:rsidRPr="00F65403">
              <w:rPr>
                <w:i/>
                <w:color w:val="323031"/>
                <w:w w:val="105"/>
                <w:lang w:val="en-AU"/>
              </w:rPr>
              <w:t>Financial Management Act 1994</w:t>
            </w:r>
          </w:p>
        </w:tc>
      </w:tr>
    </w:tbl>
    <w:p w14:paraId="2FBBEC07" w14:textId="77777777" w:rsidR="0005795C" w:rsidRPr="008577D0" w:rsidRDefault="0005795C" w:rsidP="0005795C">
      <w:pPr>
        <w:rPr>
          <w:szCs w:val="24"/>
        </w:rPr>
      </w:pPr>
    </w:p>
    <w:p w14:paraId="313C281A" w14:textId="77777777" w:rsidR="008B584D" w:rsidRPr="00F65403" w:rsidRDefault="008B584D" w:rsidP="00B254AC">
      <w:pPr>
        <w:pStyle w:val="Heading1"/>
      </w:pPr>
    </w:p>
    <w:p w14:paraId="69273992" w14:textId="0C140A34" w:rsidR="099E254E" w:rsidRPr="008577D0" w:rsidRDefault="099E254E">
      <w:pPr>
        <w:rPr>
          <w:szCs w:val="24"/>
        </w:rPr>
      </w:pPr>
    </w:p>
    <w:sectPr w:rsidR="099E254E" w:rsidRPr="008577D0" w:rsidSect="00C77AB0">
      <w:headerReference w:type="even" r:id="rId26"/>
      <w:footerReference w:type="default" r:id="rId27"/>
      <w:headerReference w:type="first" r:id="rId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905B8" w14:textId="77777777" w:rsidR="00D62E42" w:rsidRDefault="00D62E42" w:rsidP="00F012F6">
      <w:pPr>
        <w:spacing w:after="0" w:line="240" w:lineRule="auto"/>
      </w:pPr>
      <w:r>
        <w:separator/>
      </w:r>
    </w:p>
  </w:endnote>
  <w:endnote w:type="continuationSeparator" w:id="0">
    <w:p w14:paraId="5D541323" w14:textId="77777777" w:rsidR="00D62E42" w:rsidRDefault="00D62E42" w:rsidP="00F012F6">
      <w:pPr>
        <w:spacing w:after="0" w:line="240" w:lineRule="auto"/>
      </w:pPr>
      <w:r>
        <w:continuationSeparator/>
      </w:r>
    </w:p>
  </w:endnote>
  <w:endnote w:type="continuationNotice" w:id="1">
    <w:p w14:paraId="291D5BEE" w14:textId="77777777" w:rsidR="00D62E42" w:rsidRDefault="00D62E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PP Mori SemiBold">
    <w:altName w:val="Calibri"/>
    <w:charset w:val="00"/>
    <w:family w:val="swiss"/>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742079"/>
      <w:docPartObj>
        <w:docPartGallery w:val="Page Numbers (Bottom of Page)"/>
        <w:docPartUnique/>
      </w:docPartObj>
    </w:sdtPr>
    <w:sdtEndPr>
      <w:rPr>
        <w:noProof/>
      </w:rPr>
    </w:sdtEndPr>
    <w:sdtContent>
      <w:p w14:paraId="70A1EB37" w14:textId="44B3FFE9" w:rsidR="009D77A7" w:rsidRDefault="009D77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CDF525" w14:textId="77777777" w:rsidR="009D77A7" w:rsidRDefault="009D7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47BE5" w14:textId="77777777" w:rsidR="00D62E42" w:rsidRDefault="00D62E42" w:rsidP="00F012F6">
      <w:pPr>
        <w:spacing w:after="0" w:line="240" w:lineRule="auto"/>
      </w:pPr>
      <w:r>
        <w:separator/>
      </w:r>
    </w:p>
  </w:footnote>
  <w:footnote w:type="continuationSeparator" w:id="0">
    <w:p w14:paraId="5A3DF863" w14:textId="77777777" w:rsidR="00D62E42" w:rsidRDefault="00D62E42" w:rsidP="00F012F6">
      <w:pPr>
        <w:spacing w:after="0" w:line="240" w:lineRule="auto"/>
      </w:pPr>
      <w:r>
        <w:continuationSeparator/>
      </w:r>
    </w:p>
  </w:footnote>
  <w:footnote w:type="continuationNotice" w:id="1">
    <w:p w14:paraId="35C85AEB" w14:textId="77777777" w:rsidR="00D62E42" w:rsidRDefault="00D62E42">
      <w:pPr>
        <w:spacing w:after="0" w:line="240" w:lineRule="auto"/>
      </w:pPr>
    </w:p>
  </w:footnote>
  <w:footnote w:id="2">
    <w:p w14:paraId="76EB8CBA" w14:textId="06CC30EB" w:rsidR="6D95E0BA" w:rsidRDefault="6D95E0BA" w:rsidP="00AA3AC5">
      <w:pPr>
        <w:pStyle w:val="FootnoteText"/>
      </w:pPr>
      <w:r w:rsidRPr="6D95E0BA">
        <w:rPr>
          <w:rStyle w:val="FootnoteReference"/>
        </w:rPr>
        <w:footnoteRef/>
      </w:r>
      <w:r>
        <w:t xml:space="preserve"> Victoria’s Gas Substitution Roadmap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D8A59" w14:textId="1923E795" w:rsidR="00CC185B" w:rsidRDefault="00CF648C">
    <w:pPr>
      <w:pStyle w:val="Header"/>
    </w:pPr>
    <w:r>
      <w:rPr>
        <w:noProof/>
      </w:rPr>
      <mc:AlternateContent>
        <mc:Choice Requires="wps">
          <w:drawing>
            <wp:anchor distT="0" distB="0" distL="114300" distR="114300" simplePos="0" relativeHeight="251658243" behindDoc="1" locked="0" layoutInCell="0" allowOverlap="1" wp14:anchorId="22746230" wp14:editId="176F863E">
              <wp:simplePos x="0" y="0"/>
              <wp:positionH relativeFrom="margin">
                <wp:align>center</wp:align>
              </wp:positionH>
              <wp:positionV relativeFrom="margin">
                <wp:align>center</wp:align>
              </wp:positionV>
              <wp:extent cx="5730240" cy="881380"/>
              <wp:effectExtent l="0" t="0" r="0" b="0"/>
              <wp:wrapNone/>
              <wp:docPr id="718280501" name="PowerPlusWaterMarkObject2041893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5730240" cy="881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6C76F" w14:textId="77777777" w:rsidR="00CF648C" w:rsidRPr="00F65403" w:rsidRDefault="00CF648C" w:rsidP="00CF648C">
                          <w:pPr>
                            <w:jc w:val="center"/>
                            <w:rPr>
                              <w:rFonts w:cs="Arial"/>
                              <w:color w:val="C00000"/>
                              <w:sz w:val="72"/>
                              <w:szCs w:val="72"/>
                              <w14:textFill>
                                <w14:solidFill>
                                  <w14:srgbClr w14:val="C00000">
                                    <w14:alpha w14:val="50000"/>
                                  </w14:srgbClr>
                                </w14:solidFill>
                              </w14:textFill>
                            </w:rPr>
                          </w:pPr>
                          <w:r w:rsidRPr="00F65403">
                            <w:rPr>
                              <w:rFonts w:cs="Arial"/>
                              <w:color w:val="C00000"/>
                              <w:sz w:val="72"/>
                              <w:szCs w:val="72"/>
                              <w14:textFill>
                                <w14:solidFill>
                                  <w14:srgbClr w14:val="C00000">
                                    <w14:alpha w14:val="50000"/>
                                  </w14:srgbClr>
                                </w14:solidFill>
                              </w14:textFill>
                            </w:rPr>
                            <w:t>To be updated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aclsh="http://schemas.microsoft.com/office/drawing/2020/classificationShape">
          <w:pict w14:anchorId="6318F1C1">
            <v:shapetype id="_x0000_t202" coordsize="21600,21600" o:spt="202" path="m,l,21600r21600,l21600,xe" w14:anchorId="22746230">
              <v:stroke joinstyle="miter"/>
              <v:path gradientshapeok="t" o:connecttype="rect"/>
            </v:shapetype>
            <v:shape id="PowerPlusWaterMarkObject20418938" style="position:absolute;margin-left:0;margin-top:0;width:451.2pt;height:69.4pt;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">
              <v:stroke joinstyle="round"/>
              <o:lock v:ext="edit" grouping="t" rotation="t" verticies="t" adjusthandles="t" aspectratio="t" shapetype="t"/>
              <v:textbox>
                <w:txbxContent>
                  <w:p w:rsidRPr="00F65403" w:rsidR="00CF648C" w:rsidP="00CF648C" w:rsidRDefault="00CF648C" w14:paraId="667737BB" w14:textId="77777777">
                    <w:pPr>
                      <w:jc w:val="center"/>
                      <w:rPr>
                        <w:rFonts w:cs="Arial"/>
                        <w:color w:val="C00000"/>
                        <w:sz w:val="72"/>
                        <w:szCs w:val="72"/>
                        <w14:textFill>
                          <w14:solidFill>
                            <w14:srgbClr w14:val="C00000">
                              <w14:alpha w14:val="50000"/>
                            </w14:srgbClr>
                          </w14:solidFill>
                        </w14:textFill>
                      </w:rPr>
                    </w:pPr>
                    <w:r w:rsidRPr="00F65403">
                      <w:rPr>
                        <w:rFonts w:cs="Arial"/>
                        <w:color w:val="C00000"/>
                        <w:sz w:val="72"/>
                        <w:szCs w:val="72"/>
                        <w14:textFill>
                          <w14:solidFill>
                            <w14:srgbClr w14:val="C00000">
                              <w14:alpha w14:val="50000"/>
                            </w14:srgbClr>
                          </w14:solidFill>
                        </w14:textFill>
                      </w:rPr>
                      <w:t>To be updated</w:t>
                    </w:r>
                  </w:p>
                </w:txbxContent>
              </v:textbox>
              <w10:wrap anchorx="margin" anchory="margin"/>
            </v:shape>
          </w:pict>
        </mc:Fallback>
      </mc:AlternateContent>
    </w:r>
    <w:r w:rsidR="00CC185B">
      <w:rPr>
        <w:noProof/>
      </w:rPr>
      <mc:AlternateContent>
        <mc:Choice Requires="wps">
          <w:drawing>
            <wp:anchor distT="0" distB="0" distL="0" distR="0" simplePos="0" relativeHeight="251658241" behindDoc="0" locked="0" layoutInCell="1" allowOverlap="1" wp14:anchorId="5B73C02A" wp14:editId="4C4A9AF9">
              <wp:simplePos x="635" y="635"/>
              <wp:positionH relativeFrom="page">
                <wp:align>center</wp:align>
              </wp:positionH>
              <wp:positionV relativeFrom="page">
                <wp:align>top</wp:align>
              </wp:positionV>
              <wp:extent cx="459740" cy="357505"/>
              <wp:effectExtent l="0" t="0" r="16510" b="4445"/>
              <wp:wrapNone/>
              <wp:docPr id="17942337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F04389A" w14:textId="7FFC3F0A" w:rsidR="00CC185B" w:rsidRPr="00CC185B" w:rsidRDefault="00CC185B" w:rsidP="00CC185B">
                          <w:pPr>
                            <w:spacing w:after="0"/>
                            <w:rPr>
                              <w:rFonts w:ascii="Calibri" w:eastAsia="Calibri" w:hAnsi="Calibri" w:cs="Calibri"/>
                              <w:noProof/>
                              <w:color w:val="000000"/>
                              <w:sz w:val="20"/>
                              <w:szCs w:val="20"/>
                            </w:rPr>
                          </w:pPr>
                          <w:r w:rsidRPr="00CC185B">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a14="http://schemas.microsoft.com/office/drawing/2010/main" xmlns:aclsh="http://schemas.microsoft.com/office/drawing/2020/classificationShape">
          <w:pict w14:anchorId="0AB03511">
            <v:shape id="_x0000_s1036" style="position:absolute;margin-left:0;margin-top:0;width:36.2pt;height:28.15pt;z-index:251658241;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" w14:anchorId="5B73C02A">
              <v:textbox style="mso-fit-shape-to-text:t" inset="0,15pt,0,0">
                <w:txbxContent>
                  <w:p w:rsidRPr="00CC185B" w:rsidR="00CC185B" w:rsidP="00CC185B" w:rsidRDefault="00CC185B" w14:paraId="08CE8BEA" w14:textId="7FFC3F0A">
                    <w:pPr>
                      <w:spacing w:after="0"/>
                      <w:rPr>
                        <w:rFonts w:ascii="Calibri" w:hAnsi="Calibri" w:eastAsia="Calibri" w:cs="Calibri"/>
                        <w:noProof/>
                        <w:color w:val="000000"/>
                        <w:sz w:val="20"/>
                        <w:szCs w:val="20"/>
                      </w:rPr>
                    </w:pPr>
                    <w:r w:rsidRPr="00CC185B">
                      <w:rPr>
                        <w:rFonts w:ascii="Calibri" w:hAnsi="Calibri" w:eastAsia="Calibri" w:cs="Calibri"/>
                        <w:noProof/>
                        <w:color w:val="000000"/>
                        <w:sz w:val="20"/>
                        <w:szCs w:val="20"/>
                      </w:rPr>
                      <w:t>OFFICIAL</w:t>
                    </w:r>
                  </w:p>
                </w:txbxContent>
              </v:textbox>
              <w10:wrap anchorx="page" anchory="page"/>
            </v:shape>
          </w:pict>
        </mc:Fallback>
      </mc:AlternateContent>
    </w:r>
  </w:p>
  <w:p w14:paraId="4E34394B" w14:textId="77777777" w:rsidR="00750073" w:rsidRDefault="00750073"/>
  <w:p w14:paraId="7433568E" w14:textId="77777777" w:rsidR="00750073" w:rsidRDefault="00750073"/>
  <w:p w14:paraId="6DEECD7E" w14:textId="77777777" w:rsidR="00750073" w:rsidRDefault="00750073"/>
  <w:p w14:paraId="139C1B9E" w14:textId="77777777" w:rsidR="00750073" w:rsidRDefault="00750073"/>
  <w:p w14:paraId="17FBDB7E" w14:textId="77777777" w:rsidR="00750073" w:rsidRDefault="00750073"/>
  <w:p w14:paraId="3015AE45" w14:textId="77777777" w:rsidR="00750073" w:rsidRDefault="00750073"/>
  <w:p w14:paraId="066712FC" w14:textId="77777777" w:rsidR="009F173B" w:rsidRDefault="009F173B"/>
  <w:p w14:paraId="35244008" w14:textId="77777777" w:rsidR="00E1592F" w:rsidRDefault="00E1592F"/>
  <w:p w14:paraId="07E14524" w14:textId="77777777" w:rsidR="00750073" w:rsidRDefault="007500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C417" w14:textId="44F9FE67" w:rsidR="00CC185B" w:rsidRDefault="00CF648C">
    <w:pPr>
      <w:pStyle w:val="Header"/>
    </w:pPr>
    <w:r>
      <w:rPr>
        <w:noProof/>
      </w:rPr>
      <mc:AlternateContent>
        <mc:Choice Requires="wps">
          <w:drawing>
            <wp:anchor distT="0" distB="0" distL="114300" distR="114300" simplePos="0" relativeHeight="251658242" behindDoc="1" locked="0" layoutInCell="0" allowOverlap="1" wp14:anchorId="63792EE6" wp14:editId="3E09E207">
              <wp:simplePos x="0" y="0"/>
              <wp:positionH relativeFrom="margin">
                <wp:align>center</wp:align>
              </wp:positionH>
              <wp:positionV relativeFrom="margin">
                <wp:align>center</wp:align>
              </wp:positionV>
              <wp:extent cx="5730240" cy="881380"/>
              <wp:effectExtent l="0" t="0" r="0" b="0"/>
              <wp:wrapNone/>
              <wp:docPr id="895729742" name="PowerPlusWaterMarkObject204189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5730240" cy="881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1E745F" w14:textId="77777777" w:rsidR="00CF648C" w:rsidRPr="00F65403" w:rsidRDefault="00CF648C" w:rsidP="00CF648C">
                          <w:pPr>
                            <w:jc w:val="center"/>
                            <w:rPr>
                              <w:rFonts w:cs="Arial"/>
                              <w:color w:val="C00000"/>
                              <w:sz w:val="72"/>
                              <w:szCs w:val="72"/>
                              <w14:textFill>
                                <w14:solidFill>
                                  <w14:srgbClr w14:val="C0000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aclsh="http://schemas.microsoft.com/office/drawing/2020/classificationShape">
          <w:pict w14:anchorId="6953A264">
            <v:shapetype id="_x0000_t202" coordsize="21600,21600" o:spt="202" path="m,l,21600r21600,l21600,xe" w14:anchorId="63792EE6">
              <v:stroke joinstyle="miter"/>
              <v:path gradientshapeok="t" o:connecttype="rect"/>
            </v:shapetype>
            <v:shape id="PowerPlusWaterMarkObject20418937" style="position:absolute;margin-left:0;margin-top:0;width:451.2pt;height:69.4pt;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">
              <v:stroke joinstyle="round"/>
              <o:lock v:ext="edit" grouping="t" rotation="t" verticies="t" adjusthandles="t" aspectratio="t" shapetype="t"/>
              <v:textbox>
                <w:txbxContent>
                  <w:p w:rsidRPr="00F65403" w:rsidR="00CF648C" w:rsidP="00CF648C" w:rsidRDefault="00CF648C" w14:paraId="0A37501D" w14:textId="77777777">
                    <w:pPr>
                      <w:jc w:val="center"/>
                      <w:rPr>
                        <w:rFonts w:cs="Arial"/>
                        <w:color w:val="C00000"/>
                        <w:sz w:val="72"/>
                        <w:szCs w:val="72"/>
                        <w14:textFill>
                          <w14:solidFill>
                            <w14:srgbClr w14:val="C00000">
                              <w14:alpha w14:val="50000"/>
                            </w14:srgbClr>
                          </w14:solidFill>
                        </w14:textFill>
                      </w:rPr>
                    </w:pPr>
                  </w:p>
                </w:txbxContent>
              </v:textbox>
              <w10:wrap anchorx="margin" anchory="margin"/>
            </v:shape>
          </w:pict>
        </mc:Fallback>
      </mc:AlternateContent>
    </w:r>
    <w:r w:rsidR="00CC185B">
      <w:rPr>
        <w:noProof/>
      </w:rPr>
      <mc:AlternateContent>
        <mc:Choice Requires="wps">
          <w:drawing>
            <wp:anchor distT="0" distB="0" distL="0" distR="0" simplePos="0" relativeHeight="251658240" behindDoc="0" locked="0" layoutInCell="1" allowOverlap="1" wp14:anchorId="66AD10BE" wp14:editId="2AA17D55">
              <wp:simplePos x="635" y="635"/>
              <wp:positionH relativeFrom="page">
                <wp:align>center</wp:align>
              </wp:positionH>
              <wp:positionV relativeFrom="page">
                <wp:align>top</wp:align>
              </wp:positionV>
              <wp:extent cx="459740" cy="357505"/>
              <wp:effectExtent l="0" t="0" r="16510" b="4445"/>
              <wp:wrapNone/>
              <wp:docPr id="12691834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6A047D64" w14:textId="77777777" w:rsidR="00CC185B" w:rsidRPr="00CC185B" w:rsidRDefault="00CC185B" w:rsidP="00CC185B">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a14="http://schemas.microsoft.com/office/drawing/2010/main" xmlns:aclsh="http://schemas.microsoft.com/office/drawing/2020/classificationShape">
          <w:pict w14:anchorId="2E43FB21">
            <v:shape id="Text Box 1" style="position:absolute;margin-left:0;margin-top:0;width:36.2pt;height:28.1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" w14:anchorId="66AD10BE">
              <v:textbox style="mso-fit-shape-to-text:t" inset="0,15pt,0,0">
                <w:txbxContent>
                  <w:p w:rsidRPr="00CC185B" w:rsidR="00CC185B" w:rsidP="00CC185B" w:rsidRDefault="00CC185B" w14:paraId="5DAB6C7B" w14:textId="77777777">
                    <w:pPr>
                      <w:spacing w:after="0"/>
                      <w:rPr>
                        <w:rFonts w:ascii="Calibri" w:hAnsi="Calibri" w:eastAsia="Calibri" w:cs="Calibri"/>
                        <w:noProof/>
                        <w:color w:val="000000"/>
                        <w:sz w:val="20"/>
                        <w:szCs w:val="20"/>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d642P0lyFbEG" int2:id="4xG8sMjV">
      <int2:state int2:value="Rejected" int2:type="spell"/>
    </int2:textHash>
    <int2:textHash int2:hashCode="S8vTtd9DwUADRb" int2:id="5qfXZ8dP">
      <int2:state int2:value="Rejected" int2:type="spell"/>
    </int2:textHash>
    <int2:textHash int2:hashCode="t44wUMaAlqSSV0" int2:id="6ZRdL410">
      <int2:state int2:value="Rejected" int2:type="spell"/>
    </int2:textHash>
    <int2:textHash int2:hashCode="c8bNd+I6QN73yl" int2:id="7XvvQTob">
      <int2:state int2:value="Rejected" int2:type="spell"/>
    </int2:textHash>
    <int2:textHash int2:hashCode="VYg8NxGEH18C67" int2:id="7rZqnazW">
      <int2:state int2:value="Rejected" int2:type="spell"/>
    </int2:textHash>
    <int2:textHash int2:hashCode="bMnmGXuQnm57yb" int2:id="9uoAAAVV">
      <int2:state int2:value="Rejected" int2:type="spell"/>
    </int2:textHash>
    <int2:textHash int2:hashCode="K8Ps8S/G94QbeL" int2:id="B9oLOCYL">
      <int2:state int2:value="Rejected" int2:type="spell"/>
    </int2:textHash>
    <int2:textHash int2:hashCode="JBg5kkp/SvfjfI" int2:id="GGvJS7o8">
      <int2:state int2:value="Rejected" int2:type="spell"/>
    </int2:textHash>
    <int2:textHash int2:hashCode="Rh55cONR+vBQ+e" int2:id="Gt2RUboj">
      <int2:state int2:value="Rejected" int2:type="spell"/>
    </int2:textHash>
    <int2:textHash int2:hashCode="z4qe29MZsv6wio" int2:id="Hnl2gIZ4">
      <int2:state int2:value="Rejected" int2:type="spell"/>
    </int2:textHash>
    <int2:textHash int2:hashCode="kv4UVae7TQCfC0" int2:id="Iu1R0yXU">
      <int2:state int2:value="Rejected" int2:type="spell"/>
    </int2:textHash>
    <int2:textHash int2:hashCode="QFq10rkw/jcls8" int2:id="JN9XddDJ">
      <int2:state int2:value="Rejected" int2:type="spell"/>
    </int2:textHash>
    <int2:textHash int2:hashCode="QgmNU58P0unWdN" int2:id="Jw5he2CF">
      <int2:state int2:value="Rejected" int2:type="spell"/>
    </int2:textHash>
    <int2:textHash int2:hashCode="Q9SZFDf2HbGaom" int2:id="KK0CurEt">
      <int2:state int2:value="Rejected" int2:type="spell"/>
    </int2:textHash>
    <int2:textHash int2:hashCode="vMC4fDEKtLmYW6" int2:id="KXXWmR56">
      <int2:state int2:value="Rejected" int2:type="spell"/>
    </int2:textHash>
    <int2:textHash int2:hashCode="hN6B5b8f/AaH/i" int2:id="LPyGTO7W">
      <int2:state int2:value="Rejected" int2:type="AugLoop_Text_Critique"/>
    </int2:textHash>
    <int2:textHash int2:hashCode="QMPX0n7Be27/BO" int2:id="N7KNdCRn">
      <int2:state int2:value="Rejected" int2:type="spell"/>
    </int2:textHash>
    <int2:textHash int2:hashCode="uMWlah6SoXLKCn" int2:id="OaAop6Sg">
      <int2:state int2:value="Rejected" int2:type="spell"/>
    </int2:textHash>
    <int2:textHash int2:hashCode="K5k3SIcfUZsfuT" int2:id="P8Pkrry5">
      <int2:state int2:value="Rejected" int2:type="spell"/>
    </int2:textHash>
    <int2:textHash int2:hashCode="BC3EUS+j05HFFw" int2:id="Q20OwLit">
      <int2:state int2:value="Rejected" int2:type="spell"/>
    </int2:textHash>
    <int2:textHash int2:hashCode="nZFnNiQ7kIylqS" int2:id="RneJPTmz">
      <int2:state int2:value="Rejected" int2:type="spell"/>
    </int2:textHash>
    <int2:textHash int2:hashCode="/rBDe6vi0fRERP" int2:id="VQq2tj3W">
      <int2:state int2:value="Rejected" int2:type="spell"/>
    </int2:textHash>
    <int2:textHash int2:hashCode="YWxjjWQHeD4y1J" int2:id="Vs1QGR1V">
      <int2:state int2:value="Rejected" int2:type="spell"/>
    </int2:textHash>
    <int2:textHash int2:hashCode="kByidkXaRxGvMx" int2:id="atJxF0Cw">
      <int2:state int2:value="Rejected" int2:type="spell"/>
    </int2:textHash>
    <int2:textHash int2:hashCode="Zyagtfk0cqCv1L" int2:id="cGwF2yVa">
      <int2:state int2:value="Rejected" int2:type="spell"/>
    </int2:textHash>
    <int2:textHash int2:hashCode="QRzTRe2PnPjF0T" int2:id="ctLYX4Xa">
      <int2:state int2:value="Rejected" int2:type="spell"/>
    </int2:textHash>
    <int2:textHash int2:hashCode="xQy+KnIliT8rxm" int2:id="iRIlzjiw">
      <int2:state int2:value="Rejected" int2:type="spell"/>
    </int2:textHash>
    <int2:textHash int2:hashCode="rft8Ihc0iIQZYN" int2:id="iwWlwOKE">
      <int2:state int2:value="Rejected" int2:type="spell"/>
    </int2:textHash>
    <int2:textHash int2:hashCode="JJgc390H5hOY93" int2:id="kV6G0yK0">
      <int2:state int2:value="Rejected" int2:type="spell"/>
    </int2:textHash>
    <int2:textHash int2:hashCode="5XDRCdvPuC+WfK" int2:id="s33VkI7h">
      <int2:state int2:value="Rejected" int2:type="spell"/>
    </int2:textHash>
    <int2:textHash int2:hashCode="7X/zX8L7rgiTTx" int2:id="t3nKt0vO">
      <int2:state int2:value="Rejected" int2:type="spell"/>
    </int2:textHash>
    <int2:textHash int2:hashCode="5U5ia0t1FrT2cg" int2:id="uIfE1N1P">
      <int2:state int2:value="Rejected" int2:type="spell"/>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287C82"/>
    <w:lvl w:ilvl="0">
      <w:start w:val="1"/>
      <w:numFmt w:val="decimal"/>
      <w:lvlText w:val="%1."/>
      <w:lvlJc w:val="left"/>
      <w:pPr>
        <w:tabs>
          <w:tab w:val="num" w:pos="360"/>
        </w:tabs>
        <w:ind w:left="360" w:hanging="360"/>
      </w:pPr>
    </w:lvl>
  </w:abstractNum>
  <w:abstractNum w:abstractNumId="1" w15:restartNumberingAfterBreak="0">
    <w:nsid w:val="00AE436F"/>
    <w:multiLevelType w:val="multilevel"/>
    <w:tmpl w:val="850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C5BC1"/>
    <w:multiLevelType w:val="multilevel"/>
    <w:tmpl w:val="AE9AD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4D50278"/>
    <w:multiLevelType w:val="hybridMultilevel"/>
    <w:tmpl w:val="1A4058A4"/>
    <w:lvl w:ilvl="0" w:tplc="2BFE1E72">
      <w:start w:val="1"/>
      <w:numFmt w:val="decimal"/>
      <w:pStyle w:val="Heading7"/>
      <w:lvlText w:val="%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246BFC"/>
    <w:multiLevelType w:val="hybridMultilevel"/>
    <w:tmpl w:val="E78C789A"/>
    <w:lvl w:ilvl="0" w:tplc="0E24EC26">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1" w:tplc="053C3D56">
      <w:numFmt w:val="bullet"/>
      <w:lvlText w:val="•"/>
      <w:lvlJc w:val="left"/>
      <w:pPr>
        <w:ind w:left="2016" w:hanging="284"/>
      </w:pPr>
      <w:rPr>
        <w:rFonts w:hint="default"/>
        <w:lang w:val="en-US" w:eastAsia="en-US" w:bidi="ar-SA"/>
      </w:rPr>
    </w:lvl>
    <w:lvl w:ilvl="2" w:tplc="9A18FE16">
      <w:numFmt w:val="bullet"/>
      <w:lvlText w:val="•"/>
      <w:lvlJc w:val="left"/>
      <w:pPr>
        <w:ind w:left="2953" w:hanging="284"/>
      </w:pPr>
      <w:rPr>
        <w:rFonts w:hint="default"/>
        <w:lang w:val="en-US" w:eastAsia="en-US" w:bidi="ar-SA"/>
      </w:rPr>
    </w:lvl>
    <w:lvl w:ilvl="3" w:tplc="2D5EB4EC">
      <w:numFmt w:val="bullet"/>
      <w:lvlText w:val="•"/>
      <w:lvlJc w:val="left"/>
      <w:pPr>
        <w:ind w:left="3889" w:hanging="284"/>
      </w:pPr>
      <w:rPr>
        <w:rFonts w:hint="default"/>
        <w:lang w:val="en-US" w:eastAsia="en-US" w:bidi="ar-SA"/>
      </w:rPr>
    </w:lvl>
    <w:lvl w:ilvl="4" w:tplc="65CA5620">
      <w:numFmt w:val="bullet"/>
      <w:lvlText w:val="•"/>
      <w:lvlJc w:val="left"/>
      <w:pPr>
        <w:ind w:left="4826" w:hanging="284"/>
      </w:pPr>
      <w:rPr>
        <w:rFonts w:hint="default"/>
        <w:lang w:val="en-US" w:eastAsia="en-US" w:bidi="ar-SA"/>
      </w:rPr>
    </w:lvl>
    <w:lvl w:ilvl="5" w:tplc="5DE0D3F2">
      <w:numFmt w:val="bullet"/>
      <w:lvlText w:val="•"/>
      <w:lvlJc w:val="left"/>
      <w:pPr>
        <w:ind w:left="5762" w:hanging="284"/>
      </w:pPr>
      <w:rPr>
        <w:rFonts w:hint="default"/>
        <w:lang w:val="en-US" w:eastAsia="en-US" w:bidi="ar-SA"/>
      </w:rPr>
    </w:lvl>
    <w:lvl w:ilvl="6" w:tplc="9C12FFF6">
      <w:numFmt w:val="bullet"/>
      <w:lvlText w:val="•"/>
      <w:lvlJc w:val="left"/>
      <w:pPr>
        <w:ind w:left="6699" w:hanging="284"/>
      </w:pPr>
      <w:rPr>
        <w:rFonts w:hint="default"/>
        <w:lang w:val="en-US" w:eastAsia="en-US" w:bidi="ar-SA"/>
      </w:rPr>
    </w:lvl>
    <w:lvl w:ilvl="7" w:tplc="49DE16B8">
      <w:numFmt w:val="bullet"/>
      <w:lvlText w:val="•"/>
      <w:lvlJc w:val="left"/>
      <w:pPr>
        <w:ind w:left="7635" w:hanging="284"/>
      </w:pPr>
      <w:rPr>
        <w:rFonts w:hint="default"/>
        <w:lang w:val="en-US" w:eastAsia="en-US" w:bidi="ar-SA"/>
      </w:rPr>
    </w:lvl>
    <w:lvl w:ilvl="8" w:tplc="E32EE278">
      <w:numFmt w:val="bullet"/>
      <w:lvlText w:val="•"/>
      <w:lvlJc w:val="left"/>
      <w:pPr>
        <w:ind w:left="8572" w:hanging="284"/>
      </w:pPr>
      <w:rPr>
        <w:rFonts w:hint="default"/>
        <w:lang w:val="en-US" w:eastAsia="en-US" w:bidi="ar-SA"/>
      </w:rPr>
    </w:lvl>
  </w:abstractNum>
  <w:abstractNum w:abstractNumId="5" w15:restartNumberingAfterBreak="0">
    <w:nsid w:val="06C95F9B"/>
    <w:multiLevelType w:val="hybridMultilevel"/>
    <w:tmpl w:val="FFFFFFFF"/>
    <w:lvl w:ilvl="0" w:tplc="3A08A2BE">
      <w:start w:val="1"/>
      <w:numFmt w:val="bullet"/>
      <w:lvlText w:val=""/>
      <w:lvlJc w:val="left"/>
      <w:pPr>
        <w:ind w:left="720" w:hanging="360"/>
      </w:pPr>
      <w:rPr>
        <w:rFonts w:ascii="Symbol" w:hAnsi="Symbol" w:hint="default"/>
      </w:rPr>
    </w:lvl>
    <w:lvl w:ilvl="1" w:tplc="C8BEB884">
      <w:start w:val="1"/>
      <w:numFmt w:val="bullet"/>
      <w:lvlText w:val="o"/>
      <w:lvlJc w:val="left"/>
      <w:pPr>
        <w:ind w:left="1440" w:hanging="360"/>
      </w:pPr>
      <w:rPr>
        <w:rFonts w:ascii="Courier New" w:hAnsi="Courier New" w:hint="default"/>
      </w:rPr>
    </w:lvl>
    <w:lvl w:ilvl="2" w:tplc="10E8DFF6">
      <w:start w:val="1"/>
      <w:numFmt w:val="bullet"/>
      <w:lvlText w:val=""/>
      <w:lvlJc w:val="left"/>
      <w:pPr>
        <w:ind w:left="2160" w:hanging="360"/>
      </w:pPr>
      <w:rPr>
        <w:rFonts w:ascii="Wingdings" w:hAnsi="Wingdings" w:hint="default"/>
      </w:rPr>
    </w:lvl>
    <w:lvl w:ilvl="3" w:tplc="694CE8F0">
      <w:start w:val="1"/>
      <w:numFmt w:val="bullet"/>
      <w:lvlText w:val=""/>
      <w:lvlJc w:val="left"/>
      <w:pPr>
        <w:ind w:left="2880" w:hanging="360"/>
      </w:pPr>
      <w:rPr>
        <w:rFonts w:ascii="Symbol" w:hAnsi="Symbol" w:hint="default"/>
      </w:rPr>
    </w:lvl>
    <w:lvl w:ilvl="4" w:tplc="D7F425EA">
      <w:start w:val="1"/>
      <w:numFmt w:val="bullet"/>
      <w:lvlText w:val="o"/>
      <w:lvlJc w:val="left"/>
      <w:pPr>
        <w:ind w:left="3600" w:hanging="360"/>
      </w:pPr>
      <w:rPr>
        <w:rFonts w:ascii="Courier New" w:hAnsi="Courier New" w:hint="default"/>
      </w:rPr>
    </w:lvl>
    <w:lvl w:ilvl="5" w:tplc="E6E6B0AC">
      <w:start w:val="1"/>
      <w:numFmt w:val="bullet"/>
      <w:lvlText w:val=""/>
      <w:lvlJc w:val="left"/>
      <w:pPr>
        <w:ind w:left="4320" w:hanging="360"/>
      </w:pPr>
      <w:rPr>
        <w:rFonts w:ascii="Wingdings" w:hAnsi="Wingdings" w:hint="default"/>
      </w:rPr>
    </w:lvl>
    <w:lvl w:ilvl="6" w:tplc="5F3C1312">
      <w:start w:val="1"/>
      <w:numFmt w:val="bullet"/>
      <w:lvlText w:val=""/>
      <w:lvlJc w:val="left"/>
      <w:pPr>
        <w:ind w:left="5040" w:hanging="360"/>
      </w:pPr>
      <w:rPr>
        <w:rFonts w:ascii="Symbol" w:hAnsi="Symbol" w:hint="default"/>
      </w:rPr>
    </w:lvl>
    <w:lvl w:ilvl="7" w:tplc="FA74B592">
      <w:start w:val="1"/>
      <w:numFmt w:val="bullet"/>
      <w:lvlText w:val="o"/>
      <w:lvlJc w:val="left"/>
      <w:pPr>
        <w:ind w:left="5760" w:hanging="360"/>
      </w:pPr>
      <w:rPr>
        <w:rFonts w:ascii="Courier New" w:hAnsi="Courier New" w:hint="default"/>
      </w:rPr>
    </w:lvl>
    <w:lvl w:ilvl="8" w:tplc="3544E8B4">
      <w:start w:val="1"/>
      <w:numFmt w:val="bullet"/>
      <w:lvlText w:val=""/>
      <w:lvlJc w:val="left"/>
      <w:pPr>
        <w:ind w:left="6480" w:hanging="360"/>
      </w:pPr>
      <w:rPr>
        <w:rFonts w:ascii="Wingdings" w:hAnsi="Wingdings" w:hint="default"/>
      </w:rPr>
    </w:lvl>
  </w:abstractNum>
  <w:abstractNum w:abstractNumId="6" w15:restartNumberingAfterBreak="0">
    <w:nsid w:val="078A6978"/>
    <w:multiLevelType w:val="hybridMultilevel"/>
    <w:tmpl w:val="DFF08B36"/>
    <w:lvl w:ilvl="0" w:tplc="0EB6C1CE">
      <w:start w:val="1"/>
      <w:numFmt w:val="lowerLetter"/>
      <w:lvlText w:val="%1."/>
      <w:lvlJc w:val="left"/>
      <w:pPr>
        <w:ind w:left="1020" w:hanging="360"/>
      </w:pPr>
    </w:lvl>
    <w:lvl w:ilvl="1" w:tplc="A99AFC68">
      <w:start w:val="1"/>
      <w:numFmt w:val="lowerLetter"/>
      <w:lvlText w:val="%2."/>
      <w:lvlJc w:val="left"/>
      <w:pPr>
        <w:ind w:left="1020" w:hanging="360"/>
      </w:pPr>
    </w:lvl>
    <w:lvl w:ilvl="2" w:tplc="A89CE138">
      <w:start w:val="1"/>
      <w:numFmt w:val="lowerLetter"/>
      <w:lvlText w:val="%3."/>
      <w:lvlJc w:val="left"/>
      <w:pPr>
        <w:ind w:left="1020" w:hanging="360"/>
      </w:pPr>
    </w:lvl>
    <w:lvl w:ilvl="3" w:tplc="C38428CC">
      <w:start w:val="1"/>
      <w:numFmt w:val="lowerLetter"/>
      <w:lvlText w:val="%4."/>
      <w:lvlJc w:val="left"/>
      <w:pPr>
        <w:ind w:left="1020" w:hanging="360"/>
      </w:pPr>
    </w:lvl>
    <w:lvl w:ilvl="4" w:tplc="5C988746">
      <w:start w:val="1"/>
      <w:numFmt w:val="lowerLetter"/>
      <w:lvlText w:val="%5."/>
      <w:lvlJc w:val="left"/>
      <w:pPr>
        <w:ind w:left="1020" w:hanging="360"/>
      </w:pPr>
    </w:lvl>
    <w:lvl w:ilvl="5" w:tplc="009E02F8">
      <w:start w:val="1"/>
      <w:numFmt w:val="lowerLetter"/>
      <w:lvlText w:val="%6."/>
      <w:lvlJc w:val="left"/>
      <w:pPr>
        <w:ind w:left="1020" w:hanging="360"/>
      </w:pPr>
    </w:lvl>
    <w:lvl w:ilvl="6" w:tplc="20C21AE8">
      <w:start w:val="1"/>
      <w:numFmt w:val="lowerLetter"/>
      <w:lvlText w:val="%7."/>
      <w:lvlJc w:val="left"/>
      <w:pPr>
        <w:ind w:left="1020" w:hanging="360"/>
      </w:pPr>
    </w:lvl>
    <w:lvl w:ilvl="7" w:tplc="ABBA87AA">
      <w:start w:val="1"/>
      <w:numFmt w:val="lowerLetter"/>
      <w:lvlText w:val="%8."/>
      <w:lvlJc w:val="left"/>
      <w:pPr>
        <w:ind w:left="1020" w:hanging="360"/>
      </w:pPr>
    </w:lvl>
    <w:lvl w:ilvl="8" w:tplc="1AD23030">
      <w:start w:val="1"/>
      <w:numFmt w:val="lowerLetter"/>
      <w:lvlText w:val="%9."/>
      <w:lvlJc w:val="left"/>
      <w:pPr>
        <w:ind w:left="1020" w:hanging="360"/>
      </w:pPr>
    </w:lvl>
  </w:abstractNum>
  <w:abstractNum w:abstractNumId="7" w15:restartNumberingAfterBreak="0">
    <w:nsid w:val="09483E07"/>
    <w:multiLevelType w:val="multilevel"/>
    <w:tmpl w:val="8DA0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642066"/>
    <w:multiLevelType w:val="hybridMultilevel"/>
    <w:tmpl w:val="20E8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E76049"/>
    <w:multiLevelType w:val="multilevel"/>
    <w:tmpl w:val="10F4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083A57"/>
    <w:multiLevelType w:val="hybridMultilevel"/>
    <w:tmpl w:val="C06C884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C090017">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C3B73BF"/>
    <w:multiLevelType w:val="hybridMultilevel"/>
    <w:tmpl w:val="76DC3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484877"/>
    <w:multiLevelType w:val="hybridMultilevel"/>
    <w:tmpl w:val="9FB8DC1A"/>
    <w:lvl w:ilvl="0" w:tplc="0C090017">
      <w:start w:val="1"/>
      <w:numFmt w:val="lowerLetter"/>
      <w:lvlText w:val="%1)"/>
      <w:lvlJc w:val="left"/>
      <w:pPr>
        <w:ind w:left="3060" w:hanging="360"/>
      </w:p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tentative="1">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13" w15:restartNumberingAfterBreak="0">
    <w:nsid w:val="0D4D7982"/>
    <w:multiLevelType w:val="hybridMultilevel"/>
    <w:tmpl w:val="722A2A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DD01462"/>
    <w:multiLevelType w:val="hybridMultilevel"/>
    <w:tmpl w:val="3DF8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411D36"/>
    <w:multiLevelType w:val="hybridMultilevel"/>
    <w:tmpl w:val="C658D378"/>
    <w:lvl w:ilvl="0" w:tplc="21FC2088">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11E0731C"/>
    <w:multiLevelType w:val="hybridMultilevel"/>
    <w:tmpl w:val="8BD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26D13E1"/>
    <w:multiLevelType w:val="hybridMultilevel"/>
    <w:tmpl w:val="AF829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93406A"/>
    <w:multiLevelType w:val="multilevel"/>
    <w:tmpl w:val="BDBC6D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36F3DC3"/>
    <w:multiLevelType w:val="multilevel"/>
    <w:tmpl w:val="21D2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DB75BC"/>
    <w:multiLevelType w:val="hybridMultilevel"/>
    <w:tmpl w:val="0AD02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C2192C"/>
    <w:multiLevelType w:val="hybridMultilevel"/>
    <w:tmpl w:val="D9041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ED017F"/>
    <w:multiLevelType w:val="hybridMultilevel"/>
    <w:tmpl w:val="053C0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74625F"/>
    <w:multiLevelType w:val="multilevel"/>
    <w:tmpl w:val="52D40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FF210A"/>
    <w:multiLevelType w:val="hybridMultilevel"/>
    <w:tmpl w:val="4DD444DE"/>
    <w:lvl w:ilvl="0" w:tplc="153ACC06">
      <w:start w:val="1"/>
      <w:numFmt w:val="lowerRoman"/>
      <w:lvlText w:val="%1."/>
      <w:lvlJc w:val="left"/>
      <w:pPr>
        <w:ind w:left="753"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AF0347"/>
    <w:multiLevelType w:val="hybridMultilevel"/>
    <w:tmpl w:val="DD78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30288"/>
    <w:multiLevelType w:val="hybridMultilevel"/>
    <w:tmpl w:val="7A301DD8"/>
    <w:lvl w:ilvl="0" w:tplc="153ACC06">
      <w:start w:val="1"/>
      <w:numFmt w:val="lowerRoman"/>
      <w:lvlText w:val="%1."/>
      <w:lvlJc w:val="left"/>
      <w:pPr>
        <w:ind w:left="753"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A2664E8"/>
    <w:multiLevelType w:val="multilevel"/>
    <w:tmpl w:val="B2B671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A462B8C"/>
    <w:multiLevelType w:val="multilevel"/>
    <w:tmpl w:val="901ADD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96059D"/>
    <w:multiLevelType w:val="hybridMultilevel"/>
    <w:tmpl w:val="A52641A8"/>
    <w:lvl w:ilvl="0" w:tplc="FFFFFFFF">
      <w:start w:val="1"/>
      <w:numFmt w:val="bullet"/>
      <w:lvlText w:val=""/>
      <w:lvlJc w:val="left"/>
      <w:pPr>
        <w:ind w:left="720" w:hanging="360"/>
      </w:pPr>
      <w:rPr>
        <w:rFonts w:ascii="Symbol" w:hAnsi="Symbol" w:hint="default"/>
      </w:rPr>
    </w:lvl>
    <w:lvl w:ilvl="1" w:tplc="64F224E0">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CAE6961"/>
    <w:multiLevelType w:val="hybridMultilevel"/>
    <w:tmpl w:val="F642FFC0"/>
    <w:lvl w:ilvl="0" w:tplc="FBCA2820">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1" w:tplc="B77C896E">
      <w:numFmt w:val="bullet"/>
      <w:lvlText w:val="•"/>
      <w:lvlJc w:val="left"/>
      <w:pPr>
        <w:ind w:left="2016" w:hanging="284"/>
      </w:pPr>
      <w:rPr>
        <w:rFonts w:hint="default"/>
        <w:lang w:val="en-US" w:eastAsia="en-US" w:bidi="ar-SA"/>
      </w:rPr>
    </w:lvl>
    <w:lvl w:ilvl="2" w:tplc="D2B61EC8">
      <w:numFmt w:val="bullet"/>
      <w:lvlText w:val="•"/>
      <w:lvlJc w:val="left"/>
      <w:pPr>
        <w:ind w:left="2953" w:hanging="284"/>
      </w:pPr>
      <w:rPr>
        <w:rFonts w:hint="default"/>
        <w:lang w:val="en-US" w:eastAsia="en-US" w:bidi="ar-SA"/>
      </w:rPr>
    </w:lvl>
    <w:lvl w:ilvl="3" w:tplc="5F2205C2">
      <w:numFmt w:val="bullet"/>
      <w:lvlText w:val="•"/>
      <w:lvlJc w:val="left"/>
      <w:pPr>
        <w:ind w:left="3889" w:hanging="284"/>
      </w:pPr>
      <w:rPr>
        <w:rFonts w:hint="default"/>
        <w:lang w:val="en-US" w:eastAsia="en-US" w:bidi="ar-SA"/>
      </w:rPr>
    </w:lvl>
    <w:lvl w:ilvl="4" w:tplc="501A8956">
      <w:numFmt w:val="bullet"/>
      <w:lvlText w:val="•"/>
      <w:lvlJc w:val="left"/>
      <w:pPr>
        <w:ind w:left="4826" w:hanging="284"/>
      </w:pPr>
      <w:rPr>
        <w:rFonts w:hint="default"/>
        <w:lang w:val="en-US" w:eastAsia="en-US" w:bidi="ar-SA"/>
      </w:rPr>
    </w:lvl>
    <w:lvl w:ilvl="5" w:tplc="40AA3FCE">
      <w:numFmt w:val="bullet"/>
      <w:lvlText w:val="•"/>
      <w:lvlJc w:val="left"/>
      <w:pPr>
        <w:ind w:left="5762" w:hanging="284"/>
      </w:pPr>
      <w:rPr>
        <w:rFonts w:hint="default"/>
        <w:lang w:val="en-US" w:eastAsia="en-US" w:bidi="ar-SA"/>
      </w:rPr>
    </w:lvl>
    <w:lvl w:ilvl="6" w:tplc="4798FED8">
      <w:numFmt w:val="bullet"/>
      <w:lvlText w:val="•"/>
      <w:lvlJc w:val="left"/>
      <w:pPr>
        <w:ind w:left="6699" w:hanging="284"/>
      </w:pPr>
      <w:rPr>
        <w:rFonts w:hint="default"/>
        <w:lang w:val="en-US" w:eastAsia="en-US" w:bidi="ar-SA"/>
      </w:rPr>
    </w:lvl>
    <w:lvl w:ilvl="7" w:tplc="61D21958">
      <w:numFmt w:val="bullet"/>
      <w:lvlText w:val="•"/>
      <w:lvlJc w:val="left"/>
      <w:pPr>
        <w:ind w:left="7635" w:hanging="284"/>
      </w:pPr>
      <w:rPr>
        <w:rFonts w:hint="default"/>
        <w:lang w:val="en-US" w:eastAsia="en-US" w:bidi="ar-SA"/>
      </w:rPr>
    </w:lvl>
    <w:lvl w:ilvl="8" w:tplc="A3347D76">
      <w:numFmt w:val="bullet"/>
      <w:lvlText w:val="•"/>
      <w:lvlJc w:val="left"/>
      <w:pPr>
        <w:ind w:left="8572" w:hanging="284"/>
      </w:pPr>
      <w:rPr>
        <w:rFonts w:hint="default"/>
        <w:lang w:val="en-US" w:eastAsia="en-US" w:bidi="ar-SA"/>
      </w:rPr>
    </w:lvl>
  </w:abstractNum>
  <w:abstractNum w:abstractNumId="31" w15:restartNumberingAfterBreak="0">
    <w:nsid w:val="1CE94962"/>
    <w:multiLevelType w:val="hybridMultilevel"/>
    <w:tmpl w:val="EE5CDB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275C51"/>
    <w:multiLevelType w:val="singleLevel"/>
    <w:tmpl w:val="71287C82"/>
    <w:styleLink w:val="ListBulletStyle"/>
    <w:lvl w:ilvl="0">
      <w:start w:val="1"/>
      <w:numFmt w:val="decimal"/>
      <w:pStyle w:val="ListNumber"/>
      <w:lvlText w:val="%1."/>
      <w:lvlJc w:val="left"/>
      <w:pPr>
        <w:tabs>
          <w:tab w:val="num" w:pos="360"/>
        </w:tabs>
        <w:ind w:left="360" w:hanging="360"/>
      </w:pPr>
    </w:lvl>
  </w:abstractNum>
  <w:abstractNum w:abstractNumId="33" w15:restartNumberingAfterBreak="0">
    <w:nsid w:val="21376CBF"/>
    <w:multiLevelType w:val="hybridMultilevel"/>
    <w:tmpl w:val="46B62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5B14ED"/>
    <w:multiLevelType w:val="hybridMultilevel"/>
    <w:tmpl w:val="FFFFFFFF"/>
    <w:lvl w:ilvl="0" w:tplc="FA10E306">
      <w:start w:val="1"/>
      <w:numFmt w:val="decimal"/>
      <w:lvlText w:val="%1)"/>
      <w:lvlJc w:val="left"/>
      <w:pPr>
        <w:ind w:left="720" w:hanging="360"/>
      </w:pPr>
      <w:rPr>
        <w:rFonts w:ascii="Arial" w:hAnsi="Arial" w:hint="default"/>
      </w:rPr>
    </w:lvl>
    <w:lvl w:ilvl="1" w:tplc="205CE42E">
      <w:start w:val="1"/>
      <w:numFmt w:val="lowerLetter"/>
      <w:lvlText w:val="%2."/>
      <w:lvlJc w:val="left"/>
      <w:pPr>
        <w:ind w:left="1440" w:hanging="360"/>
      </w:pPr>
    </w:lvl>
    <w:lvl w:ilvl="2" w:tplc="3F002D36">
      <w:start w:val="1"/>
      <w:numFmt w:val="lowerRoman"/>
      <w:lvlText w:val="%3."/>
      <w:lvlJc w:val="right"/>
      <w:pPr>
        <w:ind w:left="2160" w:hanging="180"/>
      </w:pPr>
    </w:lvl>
    <w:lvl w:ilvl="3" w:tplc="DA1E6CD6">
      <w:start w:val="1"/>
      <w:numFmt w:val="decimal"/>
      <w:lvlText w:val="%4."/>
      <w:lvlJc w:val="left"/>
      <w:pPr>
        <w:ind w:left="2880" w:hanging="360"/>
      </w:pPr>
    </w:lvl>
    <w:lvl w:ilvl="4" w:tplc="C92EA82C">
      <w:start w:val="1"/>
      <w:numFmt w:val="lowerLetter"/>
      <w:lvlText w:val="%5."/>
      <w:lvlJc w:val="left"/>
      <w:pPr>
        <w:ind w:left="3600" w:hanging="360"/>
      </w:pPr>
    </w:lvl>
    <w:lvl w:ilvl="5" w:tplc="4FD2BF86">
      <w:start w:val="1"/>
      <w:numFmt w:val="lowerRoman"/>
      <w:lvlText w:val="%6."/>
      <w:lvlJc w:val="right"/>
      <w:pPr>
        <w:ind w:left="4320" w:hanging="180"/>
      </w:pPr>
    </w:lvl>
    <w:lvl w:ilvl="6" w:tplc="FD44E406">
      <w:start w:val="1"/>
      <w:numFmt w:val="decimal"/>
      <w:lvlText w:val="%7."/>
      <w:lvlJc w:val="left"/>
      <w:pPr>
        <w:ind w:left="5040" w:hanging="360"/>
      </w:pPr>
    </w:lvl>
    <w:lvl w:ilvl="7" w:tplc="76B22AB4">
      <w:start w:val="1"/>
      <w:numFmt w:val="lowerLetter"/>
      <w:lvlText w:val="%8."/>
      <w:lvlJc w:val="left"/>
      <w:pPr>
        <w:ind w:left="5760" w:hanging="360"/>
      </w:pPr>
    </w:lvl>
    <w:lvl w:ilvl="8" w:tplc="BCB6357A">
      <w:start w:val="1"/>
      <w:numFmt w:val="lowerRoman"/>
      <w:lvlText w:val="%9."/>
      <w:lvlJc w:val="right"/>
      <w:pPr>
        <w:ind w:left="6480" w:hanging="180"/>
      </w:pPr>
    </w:lvl>
  </w:abstractNum>
  <w:abstractNum w:abstractNumId="35" w15:restartNumberingAfterBreak="0">
    <w:nsid w:val="2390787B"/>
    <w:multiLevelType w:val="hybridMultilevel"/>
    <w:tmpl w:val="21A65044"/>
    <w:lvl w:ilvl="0" w:tplc="64F224E0">
      <w:start w:val="2"/>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25B414D6"/>
    <w:multiLevelType w:val="hybridMultilevel"/>
    <w:tmpl w:val="FB5A2F54"/>
    <w:lvl w:ilvl="0" w:tplc="153ACC06">
      <w:start w:val="1"/>
      <w:numFmt w:val="lowerRoman"/>
      <w:lvlText w:val="%1."/>
      <w:lvlJc w:val="left"/>
      <w:pPr>
        <w:ind w:left="2127"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2814" w:hanging="360"/>
      </w:pPr>
    </w:lvl>
    <w:lvl w:ilvl="2" w:tplc="0C09001B" w:tentative="1">
      <w:start w:val="1"/>
      <w:numFmt w:val="lowerRoman"/>
      <w:lvlText w:val="%3."/>
      <w:lvlJc w:val="right"/>
      <w:pPr>
        <w:ind w:left="3534" w:hanging="180"/>
      </w:pPr>
    </w:lvl>
    <w:lvl w:ilvl="3" w:tplc="0C09000F" w:tentative="1">
      <w:start w:val="1"/>
      <w:numFmt w:val="decimal"/>
      <w:lvlText w:val="%4."/>
      <w:lvlJc w:val="left"/>
      <w:pPr>
        <w:ind w:left="4254" w:hanging="360"/>
      </w:pPr>
    </w:lvl>
    <w:lvl w:ilvl="4" w:tplc="0C090019" w:tentative="1">
      <w:start w:val="1"/>
      <w:numFmt w:val="lowerLetter"/>
      <w:lvlText w:val="%5."/>
      <w:lvlJc w:val="left"/>
      <w:pPr>
        <w:ind w:left="4974" w:hanging="360"/>
      </w:pPr>
    </w:lvl>
    <w:lvl w:ilvl="5" w:tplc="0C09001B" w:tentative="1">
      <w:start w:val="1"/>
      <w:numFmt w:val="lowerRoman"/>
      <w:lvlText w:val="%6."/>
      <w:lvlJc w:val="right"/>
      <w:pPr>
        <w:ind w:left="5694" w:hanging="180"/>
      </w:pPr>
    </w:lvl>
    <w:lvl w:ilvl="6" w:tplc="0C09000F" w:tentative="1">
      <w:start w:val="1"/>
      <w:numFmt w:val="decimal"/>
      <w:lvlText w:val="%7."/>
      <w:lvlJc w:val="left"/>
      <w:pPr>
        <w:ind w:left="6414" w:hanging="360"/>
      </w:pPr>
    </w:lvl>
    <w:lvl w:ilvl="7" w:tplc="0C090019" w:tentative="1">
      <w:start w:val="1"/>
      <w:numFmt w:val="lowerLetter"/>
      <w:lvlText w:val="%8."/>
      <w:lvlJc w:val="left"/>
      <w:pPr>
        <w:ind w:left="7134" w:hanging="360"/>
      </w:pPr>
    </w:lvl>
    <w:lvl w:ilvl="8" w:tplc="0C09001B" w:tentative="1">
      <w:start w:val="1"/>
      <w:numFmt w:val="lowerRoman"/>
      <w:lvlText w:val="%9."/>
      <w:lvlJc w:val="right"/>
      <w:pPr>
        <w:ind w:left="7854" w:hanging="180"/>
      </w:pPr>
    </w:lvl>
  </w:abstractNum>
  <w:abstractNum w:abstractNumId="37" w15:restartNumberingAfterBreak="0">
    <w:nsid w:val="26857C3D"/>
    <w:multiLevelType w:val="hybridMultilevel"/>
    <w:tmpl w:val="AAAE4C8C"/>
    <w:lvl w:ilvl="0" w:tplc="FFFFFFFF">
      <w:start w:val="1"/>
      <w:numFmt w:val="lowerRoman"/>
      <w:lvlText w:val="%1."/>
      <w:lvlJc w:val="left"/>
      <w:pPr>
        <w:ind w:left="753" w:hanging="360"/>
      </w:pPr>
      <w:rPr>
        <w:rFonts w:ascii="Arial" w:eastAsia="Arial" w:hAnsi="Arial" w:cs="Arial" w:hint="default"/>
        <w:b/>
        <w:bCs/>
        <w:i w:val="0"/>
        <w:iCs w:val="0"/>
        <w:color w:val="auto"/>
        <w:spacing w:val="0"/>
        <w:w w:val="84"/>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CAC4E4"/>
    <w:multiLevelType w:val="hybridMultilevel"/>
    <w:tmpl w:val="FFFFFFFF"/>
    <w:lvl w:ilvl="0" w:tplc="EECA7CFA">
      <w:start w:val="1"/>
      <w:numFmt w:val="decimal"/>
      <w:lvlText w:val="%1)"/>
      <w:lvlJc w:val="left"/>
      <w:pPr>
        <w:ind w:left="720" w:hanging="360"/>
      </w:pPr>
      <w:rPr>
        <w:rFonts w:ascii="Arial" w:hAnsi="Arial" w:hint="default"/>
      </w:rPr>
    </w:lvl>
    <w:lvl w:ilvl="1" w:tplc="FE56CB24">
      <w:start w:val="1"/>
      <w:numFmt w:val="lowerLetter"/>
      <w:lvlText w:val="%2."/>
      <w:lvlJc w:val="left"/>
      <w:pPr>
        <w:ind w:left="1440" w:hanging="360"/>
      </w:pPr>
    </w:lvl>
    <w:lvl w:ilvl="2" w:tplc="B7BAF848">
      <w:start w:val="1"/>
      <w:numFmt w:val="lowerRoman"/>
      <w:lvlText w:val="%3."/>
      <w:lvlJc w:val="right"/>
      <w:pPr>
        <w:ind w:left="2160" w:hanging="180"/>
      </w:pPr>
    </w:lvl>
    <w:lvl w:ilvl="3" w:tplc="75664C50">
      <w:start w:val="1"/>
      <w:numFmt w:val="decimal"/>
      <w:lvlText w:val="%4."/>
      <w:lvlJc w:val="left"/>
      <w:pPr>
        <w:ind w:left="2880" w:hanging="360"/>
      </w:pPr>
    </w:lvl>
    <w:lvl w:ilvl="4" w:tplc="E8C43FD8">
      <w:start w:val="1"/>
      <w:numFmt w:val="lowerLetter"/>
      <w:lvlText w:val="%5."/>
      <w:lvlJc w:val="left"/>
      <w:pPr>
        <w:ind w:left="3600" w:hanging="360"/>
      </w:pPr>
    </w:lvl>
    <w:lvl w:ilvl="5" w:tplc="D26E760E">
      <w:start w:val="1"/>
      <w:numFmt w:val="lowerRoman"/>
      <w:lvlText w:val="%6."/>
      <w:lvlJc w:val="right"/>
      <w:pPr>
        <w:ind w:left="4320" w:hanging="180"/>
      </w:pPr>
    </w:lvl>
    <w:lvl w:ilvl="6" w:tplc="7D3491F4">
      <w:start w:val="1"/>
      <w:numFmt w:val="decimal"/>
      <w:lvlText w:val="%7."/>
      <w:lvlJc w:val="left"/>
      <w:pPr>
        <w:ind w:left="5040" w:hanging="360"/>
      </w:pPr>
    </w:lvl>
    <w:lvl w:ilvl="7" w:tplc="D8FCF774">
      <w:start w:val="1"/>
      <w:numFmt w:val="lowerLetter"/>
      <w:lvlText w:val="%8."/>
      <w:lvlJc w:val="left"/>
      <w:pPr>
        <w:ind w:left="5760" w:hanging="360"/>
      </w:pPr>
    </w:lvl>
    <w:lvl w:ilvl="8" w:tplc="C0E6EC38">
      <w:start w:val="1"/>
      <w:numFmt w:val="lowerRoman"/>
      <w:lvlText w:val="%9."/>
      <w:lvlJc w:val="right"/>
      <w:pPr>
        <w:ind w:left="6480" w:hanging="180"/>
      </w:pPr>
    </w:lvl>
  </w:abstractNum>
  <w:abstractNum w:abstractNumId="39" w15:restartNumberingAfterBreak="0">
    <w:nsid w:val="2A5A062A"/>
    <w:multiLevelType w:val="hybridMultilevel"/>
    <w:tmpl w:val="FFFFFFFF"/>
    <w:lvl w:ilvl="0" w:tplc="FD2062FC">
      <w:start w:val="1"/>
      <w:numFmt w:val="bullet"/>
      <w:lvlText w:val="·"/>
      <w:lvlJc w:val="left"/>
      <w:pPr>
        <w:ind w:left="720" w:hanging="360"/>
      </w:pPr>
      <w:rPr>
        <w:rFonts w:ascii="Symbol" w:hAnsi="Symbol" w:hint="default"/>
      </w:rPr>
    </w:lvl>
    <w:lvl w:ilvl="1" w:tplc="ED0CA9DA">
      <w:start w:val="1"/>
      <w:numFmt w:val="bullet"/>
      <w:lvlText w:val="o"/>
      <w:lvlJc w:val="left"/>
      <w:pPr>
        <w:ind w:left="1440" w:hanging="360"/>
      </w:pPr>
      <w:rPr>
        <w:rFonts w:ascii="Courier New" w:hAnsi="Courier New" w:hint="default"/>
      </w:rPr>
    </w:lvl>
    <w:lvl w:ilvl="2" w:tplc="8724E2B6">
      <w:start w:val="1"/>
      <w:numFmt w:val="bullet"/>
      <w:lvlText w:val=""/>
      <w:lvlJc w:val="left"/>
      <w:pPr>
        <w:ind w:left="2160" w:hanging="360"/>
      </w:pPr>
      <w:rPr>
        <w:rFonts w:ascii="Wingdings" w:hAnsi="Wingdings" w:hint="default"/>
      </w:rPr>
    </w:lvl>
    <w:lvl w:ilvl="3" w:tplc="E22AE96C">
      <w:start w:val="1"/>
      <w:numFmt w:val="bullet"/>
      <w:lvlText w:val=""/>
      <w:lvlJc w:val="left"/>
      <w:pPr>
        <w:ind w:left="2880" w:hanging="360"/>
      </w:pPr>
      <w:rPr>
        <w:rFonts w:ascii="Symbol" w:hAnsi="Symbol" w:hint="default"/>
      </w:rPr>
    </w:lvl>
    <w:lvl w:ilvl="4" w:tplc="8D406800">
      <w:start w:val="1"/>
      <w:numFmt w:val="bullet"/>
      <w:lvlText w:val="o"/>
      <w:lvlJc w:val="left"/>
      <w:pPr>
        <w:ind w:left="3600" w:hanging="360"/>
      </w:pPr>
      <w:rPr>
        <w:rFonts w:ascii="Courier New" w:hAnsi="Courier New" w:hint="default"/>
      </w:rPr>
    </w:lvl>
    <w:lvl w:ilvl="5" w:tplc="575025A8">
      <w:start w:val="1"/>
      <w:numFmt w:val="bullet"/>
      <w:lvlText w:val=""/>
      <w:lvlJc w:val="left"/>
      <w:pPr>
        <w:ind w:left="4320" w:hanging="360"/>
      </w:pPr>
      <w:rPr>
        <w:rFonts w:ascii="Wingdings" w:hAnsi="Wingdings" w:hint="default"/>
      </w:rPr>
    </w:lvl>
    <w:lvl w:ilvl="6" w:tplc="1794CC38">
      <w:start w:val="1"/>
      <w:numFmt w:val="bullet"/>
      <w:lvlText w:val=""/>
      <w:lvlJc w:val="left"/>
      <w:pPr>
        <w:ind w:left="5040" w:hanging="360"/>
      </w:pPr>
      <w:rPr>
        <w:rFonts w:ascii="Symbol" w:hAnsi="Symbol" w:hint="default"/>
      </w:rPr>
    </w:lvl>
    <w:lvl w:ilvl="7" w:tplc="FD02E2B0">
      <w:start w:val="1"/>
      <w:numFmt w:val="bullet"/>
      <w:lvlText w:val="o"/>
      <w:lvlJc w:val="left"/>
      <w:pPr>
        <w:ind w:left="5760" w:hanging="360"/>
      </w:pPr>
      <w:rPr>
        <w:rFonts w:ascii="Courier New" w:hAnsi="Courier New" w:hint="default"/>
      </w:rPr>
    </w:lvl>
    <w:lvl w:ilvl="8" w:tplc="2CA63A16">
      <w:start w:val="1"/>
      <w:numFmt w:val="bullet"/>
      <w:lvlText w:val=""/>
      <w:lvlJc w:val="left"/>
      <w:pPr>
        <w:ind w:left="6480" w:hanging="360"/>
      </w:pPr>
      <w:rPr>
        <w:rFonts w:ascii="Wingdings" w:hAnsi="Wingdings" w:hint="default"/>
      </w:rPr>
    </w:lvl>
  </w:abstractNum>
  <w:abstractNum w:abstractNumId="40" w15:restartNumberingAfterBreak="0">
    <w:nsid w:val="2AE42F19"/>
    <w:multiLevelType w:val="hybridMultilevel"/>
    <w:tmpl w:val="9C5AC2D8"/>
    <w:lvl w:ilvl="0" w:tplc="2B54A8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696F07"/>
    <w:multiLevelType w:val="multilevel"/>
    <w:tmpl w:val="838A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A730B4"/>
    <w:multiLevelType w:val="hybridMultilevel"/>
    <w:tmpl w:val="FFFFFFFF"/>
    <w:lvl w:ilvl="0" w:tplc="D87479C0">
      <w:start w:val="1"/>
      <w:numFmt w:val="decimal"/>
      <w:lvlText w:val="%1)"/>
      <w:lvlJc w:val="left"/>
      <w:pPr>
        <w:ind w:left="720" w:hanging="360"/>
      </w:pPr>
      <w:rPr>
        <w:rFonts w:ascii="Arial" w:hAnsi="Arial" w:hint="default"/>
      </w:rPr>
    </w:lvl>
    <w:lvl w:ilvl="1" w:tplc="53403DDA">
      <w:start w:val="1"/>
      <w:numFmt w:val="lowerLetter"/>
      <w:lvlText w:val="%2."/>
      <w:lvlJc w:val="left"/>
      <w:pPr>
        <w:ind w:left="1440" w:hanging="360"/>
      </w:pPr>
    </w:lvl>
    <w:lvl w:ilvl="2" w:tplc="5AB8DBF6">
      <w:start w:val="1"/>
      <w:numFmt w:val="lowerRoman"/>
      <w:lvlText w:val="%3."/>
      <w:lvlJc w:val="right"/>
      <w:pPr>
        <w:ind w:left="2160" w:hanging="180"/>
      </w:pPr>
    </w:lvl>
    <w:lvl w:ilvl="3" w:tplc="2B605E32">
      <w:start w:val="1"/>
      <w:numFmt w:val="decimal"/>
      <w:lvlText w:val="%4."/>
      <w:lvlJc w:val="left"/>
      <w:pPr>
        <w:ind w:left="2880" w:hanging="360"/>
      </w:pPr>
    </w:lvl>
    <w:lvl w:ilvl="4" w:tplc="20302BA8">
      <w:start w:val="1"/>
      <w:numFmt w:val="lowerLetter"/>
      <w:lvlText w:val="%5."/>
      <w:lvlJc w:val="left"/>
      <w:pPr>
        <w:ind w:left="3600" w:hanging="360"/>
      </w:pPr>
    </w:lvl>
    <w:lvl w:ilvl="5" w:tplc="3CFE4CDC">
      <w:start w:val="1"/>
      <w:numFmt w:val="lowerRoman"/>
      <w:lvlText w:val="%6."/>
      <w:lvlJc w:val="right"/>
      <w:pPr>
        <w:ind w:left="4320" w:hanging="180"/>
      </w:pPr>
    </w:lvl>
    <w:lvl w:ilvl="6" w:tplc="188AC616">
      <w:start w:val="1"/>
      <w:numFmt w:val="decimal"/>
      <w:lvlText w:val="%7."/>
      <w:lvlJc w:val="left"/>
      <w:pPr>
        <w:ind w:left="5040" w:hanging="360"/>
      </w:pPr>
    </w:lvl>
    <w:lvl w:ilvl="7" w:tplc="E67EF5D8">
      <w:start w:val="1"/>
      <w:numFmt w:val="lowerLetter"/>
      <w:lvlText w:val="%8."/>
      <w:lvlJc w:val="left"/>
      <w:pPr>
        <w:ind w:left="5760" w:hanging="360"/>
      </w:pPr>
    </w:lvl>
    <w:lvl w:ilvl="8" w:tplc="F3EAEA60">
      <w:start w:val="1"/>
      <w:numFmt w:val="lowerRoman"/>
      <w:lvlText w:val="%9."/>
      <w:lvlJc w:val="right"/>
      <w:pPr>
        <w:ind w:left="6480" w:hanging="180"/>
      </w:pPr>
    </w:lvl>
  </w:abstractNum>
  <w:abstractNum w:abstractNumId="43" w15:restartNumberingAfterBreak="0">
    <w:nsid w:val="2D793294"/>
    <w:multiLevelType w:val="hybridMultilevel"/>
    <w:tmpl w:val="294E1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7D386B"/>
    <w:multiLevelType w:val="hybridMultilevel"/>
    <w:tmpl w:val="5A389B0A"/>
    <w:lvl w:ilvl="0" w:tplc="C3CE6FE4">
      <w:start w:val="1"/>
      <w:numFmt w:val="lowerRoman"/>
      <w:lvlText w:val="%1."/>
      <w:lvlJc w:val="left"/>
      <w:pPr>
        <w:ind w:left="1440"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2127" w:hanging="360"/>
      </w:pPr>
    </w:lvl>
    <w:lvl w:ilvl="2" w:tplc="0C09001B" w:tentative="1">
      <w:start w:val="1"/>
      <w:numFmt w:val="lowerRoman"/>
      <w:lvlText w:val="%3."/>
      <w:lvlJc w:val="right"/>
      <w:pPr>
        <w:ind w:left="2847" w:hanging="180"/>
      </w:pPr>
    </w:lvl>
    <w:lvl w:ilvl="3" w:tplc="0C09000F" w:tentative="1">
      <w:start w:val="1"/>
      <w:numFmt w:val="decimal"/>
      <w:lvlText w:val="%4."/>
      <w:lvlJc w:val="left"/>
      <w:pPr>
        <w:ind w:left="3567" w:hanging="360"/>
      </w:pPr>
    </w:lvl>
    <w:lvl w:ilvl="4" w:tplc="0C090019" w:tentative="1">
      <w:start w:val="1"/>
      <w:numFmt w:val="lowerLetter"/>
      <w:lvlText w:val="%5."/>
      <w:lvlJc w:val="left"/>
      <w:pPr>
        <w:ind w:left="4287" w:hanging="360"/>
      </w:pPr>
    </w:lvl>
    <w:lvl w:ilvl="5" w:tplc="0C09001B" w:tentative="1">
      <w:start w:val="1"/>
      <w:numFmt w:val="lowerRoman"/>
      <w:lvlText w:val="%6."/>
      <w:lvlJc w:val="right"/>
      <w:pPr>
        <w:ind w:left="5007" w:hanging="180"/>
      </w:pPr>
    </w:lvl>
    <w:lvl w:ilvl="6" w:tplc="0C09000F" w:tentative="1">
      <w:start w:val="1"/>
      <w:numFmt w:val="decimal"/>
      <w:lvlText w:val="%7."/>
      <w:lvlJc w:val="left"/>
      <w:pPr>
        <w:ind w:left="5727" w:hanging="360"/>
      </w:pPr>
    </w:lvl>
    <w:lvl w:ilvl="7" w:tplc="0C090019" w:tentative="1">
      <w:start w:val="1"/>
      <w:numFmt w:val="lowerLetter"/>
      <w:lvlText w:val="%8."/>
      <w:lvlJc w:val="left"/>
      <w:pPr>
        <w:ind w:left="6447" w:hanging="360"/>
      </w:pPr>
    </w:lvl>
    <w:lvl w:ilvl="8" w:tplc="0C09001B" w:tentative="1">
      <w:start w:val="1"/>
      <w:numFmt w:val="lowerRoman"/>
      <w:lvlText w:val="%9."/>
      <w:lvlJc w:val="right"/>
      <w:pPr>
        <w:ind w:left="7167" w:hanging="180"/>
      </w:pPr>
    </w:lvl>
  </w:abstractNum>
  <w:abstractNum w:abstractNumId="45" w15:restartNumberingAfterBreak="0">
    <w:nsid w:val="300740ED"/>
    <w:multiLevelType w:val="hybridMultilevel"/>
    <w:tmpl w:val="022A7B02"/>
    <w:lvl w:ilvl="0" w:tplc="64F224E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6E1BBA"/>
    <w:multiLevelType w:val="hybridMultilevel"/>
    <w:tmpl w:val="15C47974"/>
    <w:lvl w:ilvl="0" w:tplc="153ACC06">
      <w:start w:val="1"/>
      <w:numFmt w:val="lowerRoman"/>
      <w:lvlText w:val="%1."/>
      <w:lvlJc w:val="left"/>
      <w:pPr>
        <w:ind w:left="1440"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2127" w:hanging="360"/>
      </w:pPr>
    </w:lvl>
    <w:lvl w:ilvl="2" w:tplc="0C09001B" w:tentative="1">
      <w:start w:val="1"/>
      <w:numFmt w:val="lowerRoman"/>
      <w:lvlText w:val="%3."/>
      <w:lvlJc w:val="right"/>
      <w:pPr>
        <w:ind w:left="2847" w:hanging="180"/>
      </w:pPr>
    </w:lvl>
    <w:lvl w:ilvl="3" w:tplc="0C09000F" w:tentative="1">
      <w:start w:val="1"/>
      <w:numFmt w:val="decimal"/>
      <w:lvlText w:val="%4."/>
      <w:lvlJc w:val="left"/>
      <w:pPr>
        <w:ind w:left="3567" w:hanging="360"/>
      </w:pPr>
    </w:lvl>
    <w:lvl w:ilvl="4" w:tplc="0C090019" w:tentative="1">
      <w:start w:val="1"/>
      <w:numFmt w:val="lowerLetter"/>
      <w:lvlText w:val="%5."/>
      <w:lvlJc w:val="left"/>
      <w:pPr>
        <w:ind w:left="4287" w:hanging="360"/>
      </w:pPr>
    </w:lvl>
    <w:lvl w:ilvl="5" w:tplc="0C09001B" w:tentative="1">
      <w:start w:val="1"/>
      <w:numFmt w:val="lowerRoman"/>
      <w:lvlText w:val="%6."/>
      <w:lvlJc w:val="right"/>
      <w:pPr>
        <w:ind w:left="5007" w:hanging="180"/>
      </w:pPr>
    </w:lvl>
    <w:lvl w:ilvl="6" w:tplc="0C09000F" w:tentative="1">
      <w:start w:val="1"/>
      <w:numFmt w:val="decimal"/>
      <w:lvlText w:val="%7."/>
      <w:lvlJc w:val="left"/>
      <w:pPr>
        <w:ind w:left="5727" w:hanging="360"/>
      </w:pPr>
    </w:lvl>
    <w:lvl w:ilvl="7" w:tplc="0C090019" w:tentative="1">
      <w:start w:val="1"/>
      <w:numFmt w:val="lowerLetter"/>
      <w:lvlText w:val="%8."/>
      <w:lvlJc w:val="left"/>
      <w:pPr>
        <w:ind w:left="6447" w:hanging="360"/>
      </w:pPr>
    </w:lvl>
    <w:lvl w:ilvl="8" w:tplc="0C09001B" w:tentative="1">
      <w:start w:val="1"/>
      <w:numFmt w:val="lowerRoman"/>
      <w:lvlText w:val="%9."/>
      <w:lvlJc w:val="right"/>
      <w:pPr>
        <w:ind w:left="7167" w:hanging="180"/>
      </w:pPr>
    </w:lvl>
  </w:abstractNum>
  <w:abstractNum w:abstractNumId="47" w15:restartNumberingAfterBreak="0">
    <w:nsid w:val="36EE0517"/>
    <w:multiLevelType w:val="hybridMultilevel"/>
    <w:tmpl w:val="D41E0090"/>
    <w:lvl w:ilvl="0" w:tplc="153ACC06">
      <w:start w:val="1"/>
      <w:numFmt w:val="lowerRoman"/>
      <w:lvlText w:val="%1."/>
      <w:lvlJc w:val="left"/>
      <w:pPr>
        <w:ind w:left="2127"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2814" w:hanging="360"/>
      </w:pPr>
    </w:lvl>
    <w:lvl w:ilvl="2" w:tplc="0C09001B" w:tentative="1">
      <w:start w:val="1"/>
      <w:numFmt w:val="lowerRoman"/>
      <w:lvlText w:val="%3."/>
      <w:lvlJc w:val="right"/>
      <w:pPr>
        <w:ind w:left="3534" w:hanging="180"/>
      </w:pPr>
    </w:lvl>
    <w:lvl w:ilvl="3" w:tplc="0C09000F" w:tentative="1">
      <w:start w:val="1"/>
      <w:numFmt w:val="decimal"/>
      <w:lvlText w:val="%4."/>
      <w:lvlJc w:val="left"/>
      <w:pPr>
        <w:ind w:left="4254" w:hanging="360"/>
      </w:pPr>
    </w:lvl>
    <w:lvl w:ilvl="4" w:tplc="0C090019" w:tentative="1">
      <w:start w:val="1"/>
      <w:numFmt w:val="lowerLetter"/>
      <w:lvlText w:val="%5."/>
      <w:lvlJc w:val="left"/>
      <w:pPr>
        <w:ind w:left="4974" w:hanging="360"/>
      </w:pPr>
    </w:lvl>
    <w:lvl w:ilvl="5" w:tplc="0C09001B" w:tentative="1">
      <w:start w:val="1"/>
      <w:numFmt w:val="lowerRoman"/>
      <w:lvlText w:val="%6."/>
      <w:lvlJc w:val="right"/>
      <w:pPr>
        <w:ind w:left="5694" w:hanging="180"/>
      </w:pPr>
    </w:lvl>
    <w:lvl w:ilvl="6" w:tplc="0C09000F" w:tentative="1">
      <w:start w:val="1"/>
      <w:numFmt w:val="decimal"/>
      <w:lvlText w:val="%7."/>
      <w:lvlJc w:val="left"/>
      <w:pPr>
        <w:ind w:left="6414" w:hanging="360"/>
      </w:pPr>
    </w:lvl>
    <w:lvl w:ilvl="7" w:tplc="0C090019" w:tentative="1">
      <w:start w:val="1"/>
      <w:numFmt w:val="lowerLetter"/>
      <w:lvlText w:val="%8."/>
      <w:lvlJc w:val="left"/>
      <w:pPr>
        <w:ind w:left="7134" w:hanging="360"/>
      </w:pPr>
    </w:lvl>
    <w:lvl w:ilvl="8" w:tplc="0C09001B" w:tentative="1">
      <w:start w:val="1"/>
      <w:numFmt w:val="lowerRoman"/>
      <w:lvlText w:val="%9."/>
      <w:lvlJc w:val="right"/>
      <w:pPr>
        <w:ind w:left="7854" w:hanging="180"/>
      </w:pPr>
    </w:lvl>
  </w:abstractNum>
  <w:abstractNum w:abstractNumId="48" w15:restartNumberingAfterBreak="0">
    <w:nsid w:val="38A96052"/>
    <w:multiLevelType w:val="hybridMultilevel"/>
    <w:tmpl w:val="012652E4"/>
    <w:lvl w:ilvl="0" w:tplc="153ACC06">
      <w:start w:val="1"/>
      <w:numFmt w:val="lowerRoman"/>
      <w:lvlText w:val="%1."/>
      <w:lvlJc w:val="left"/>
      <w:pPr>
        <w:ind w:left="2814"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3501" w:hanging="360"/>
      </w:pPr>
    </w:lvl>
    <w:lvl w:ilvl="2" w:tplc="0C09001B" w:tentative="1">
      <w:start w:val="1"/>
      <w:numFmt w:val="lowerRoman"/>
      <w:lvlText w:val="%3."/>
      <w:lvlJc w:val="right"/>
      <w:pPr>
        <w:ind w:left="4221" w:hanging="180"/>
      </w:pPr>
    </w:lvl>
    <w:lvl w:ilvl="3" w:tplc="0C09000F" w:tentative="1">
      <w:start w:val="1"/>
      <w:numFmt w:val="decimal"/>
      <w:lvlText w:val="%4."/>
      <w:lvlJc w:val="left"/>
      <w:pPr>
        <w:ind w:left="4941" w:hanging="360"/>
      </w:pPr>
    </w:lvl>
    <w:lvl w:ilvl="4" w:tplc="0C090019" w:tentative="1">
      <w:start w:val="1"/>
      <w:numFmt w:val="lowerLetter"/>
      <w:lvlText w:val="%5."/>
      <w:lvlJc w:val="left"/>
      <w:pPr>
        <w:ind w:left="5661" w:hanging="360"/>
      </w:pPr>
    </w:lvl>
    <w:lvl w:ilvl="5" w:tplc="0C09001B" w:tentative="1">
      <w:start w:val="1"/>
      <w:numFmt w:val="lowerRoman"/>
      <w:lvlText w:val="%6."/>
      <w:lvlJc w:val="right"/>
      <w:pPr>
        <w:ind w:left="6381" w:hanging="180"/>
      </w:pPr>
    </w:lvl>
    <w:lvl w:ilvl="6" w:tplc="0C09000F" w:tentative="1">
      <w:start w:val="1"/>
      <w:numFmt w:val="decimal"/>
      <w:lvlText w:val="%7."/>
      <w:lvlJc w:val="left"/>
      <w:pPr>
        <w:ind w:left="7101" w:hanging="360"/>
      </w:pPr>
    </w:lvl>
    <w:lvl w:ilvl="7" w:tplc="0C090019" w:tentative="1">
      <w:start w:val="1"/>
      <w:numFmt w:val="lowerLetter"/>
      <w:lvlText w:val="%8."/>
      <w:lvlJc w:val="left"/>
      <w:pPr>
        <w:ind w:left="7821" w:hanging="360"/>
      </w:pPr>
    </w:lvl>
    <w:lvl w:ilvl="8" w:tplc="0C09001B" w:tentative="1">
      <w:start w:val="1"/>
      <w:numFmt w:val="lowerRoman"/>
      <w:lvlText w:val="%9."/>
      <w:lvlJc w:val="right"/>
      <w:pPr>
        <w:ind w:left="8541" w:hanging="180"/>
      </w:pPr>
    </w:lvl>
  </w:abstractNum>
  <w:abstractNum w:abstractNumId="49" w15:restartNumberingAfterBreak="0">
    <w:nsid w:val="3ABB4765"/>
    <w:multiLevelType w:val="hybridMultilevel"/>
    <w:tmpl w:val="FC8887BC"/>
    <w:lvl w:ilvl="0" w:tplc="8526A742">
      <w:start w:val="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A612FE"/>
    <w:multiLevelType w:val="hybridMultilevel"/>
    <w:tmpl w:val="BA386CA2"/>
    <w:lvl w:ilvl="0" w:tplc="FFFFFFFF">
      <w:start w:val="1"/>
      <w:numFmt w:val="decimal"/>
      <w:lvlText w:val="%1."/>
      <w:lvlJc w:val="left"/>
      <w:pPr>
        <w:ind w:left="813" w:hanging="420"/>
      </w:pPr>
      <w:rPr>
        <w:rFonts w:ascii="Arial" w:eastAsia="Arial" w:hAnsi="Arial" w:cs="Arial" w:hint="default"/>
        <w:b/>
        <w:bCs/>
        <w:i w:val="0"/>
        <w:iCs w:val="0"/>
        <w:color w:val="390A56"/>
        <w:spacing w:val="0"/>
        <w:w w:val="73"/>
        <w:sz w:val="32"/>
        <w:szCs w:val="32"/>
        <w:lang w:val="en-US" w:eastAsia="en-US" w:bidi="ar-SA"/>
      </w:rPr>
    </w:lvl>
    <w:lvl w:ilvl="1" w:tplc="FFFFFFFF">
      <w:start w:val="1"/>
      <w:numFmt w:val="lowerRoman"/>
      <w:lvlText w:val="%2."/>
      <w:lvlJc w:val="left"/>
      <w:pPr>
        <w:ind w:left="753" w:hanging="360"/>
      </w:pPr>
      <w:rPr>
        <w:rFonts w:ascii="Arial" w:eastAsia="Arial" w:hAnsi="Arial" w:cs="Arial" w:hint="default"/>
        <w:b/>
        <w:bCs/>
        <w:i w:val="0"/>
        <w:iCs w:val="0"/>
        <w:color w:val="auto"/>
        <w:spacing w:val="0"/>
        <w:w w:val="84"/>
        <w:sz w:val="24"/>
        <w:szCs w:val="24"/>
        <w:lang w:val="en-US" w:eastAsia="en-US" w:bidi="ar-SA"/>
      </w:rPr>
    </w:lvl>
    <w:lvl w:ilvl="2" w:tplc="FFFFFFFF">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3" w:tplc="FFFFFFFF">
      <w:numFmt w:val="bullet"/>
      <w:lvlText w:val="•"/>
      <w:lvlJc w:val="left"/>
      <w:pPr>
        <w:ind w:left="1527" w:hanging="227"/>
      </w:pPr>
      <w:rPr>
        <w:rFonts w:ascii="Arial" w:eastAsia="Arial" w:hAnsi="Arial" w:cs="Arial" w:hint="default"/>
        <w:b w:val="0"/>
        <w:bCs w:val="0"/>
        <w:i w:val="0"/>
        <w:iCs w:val="0"/>
        <w:color w:val="231F20"/>
        <w:spacing w:val="0"/>
        <w:w w:val="90"/>
        <w:sz w:val="18"/>
        <w:szCs w:val="18"/>
        <w:lang w:val="en-US" w:eastAsia="en-US" w:bidi="ar-SA"/>
      </w:rPr>
    </w:lvl>
    <w:lvl w:ilvl="4" w:tplc="FFFFFFFF">
      <w:numFmt w:val="bullet"/>
      <w:lvlText w:val="•"/>
      <w:lvlJc w:val="left"/>
      <w:pPr>
        <w:ind w:left="2795" w:hanging="227"/>
      </w:pPr>
      <w:rPr>
        <w:rFonts w:hint="default"/>
        <w:lang w:val="en-US" w:eastAsia="en-US" w:bidi="ar-SA"/>
      </w:rPr>
    </w:lvl>
    <w:lvl w:ilvl="5" w:tplc="FFFFFFFF">
      <w:numFmt w:val="bullet"/>
      <w:lvlText w:val="•"/>
      <w:lvlJc w:val="left"/>
      <w:pPr>
        <w:ind w:left="4070" w:hanging="227"/>
      </w:pPr>
      <w:rPr>
        <w:rFonts w:hint="default"/>
        <w:lang w:val="en-US" w:eastAsia="en-US" w:bidi="ar-SA"/>
      </w:rPr>
    </w:lvl>
    <w:lvl w:ilvl="6" w:tplc="FFFFFFFF">
      <w:numFmt w:val="bullet"/>
      <w:lvlText w:val="•"/>
      <w:lvlJc w:val="left"/>
      <w:pPr>
        <w:ind w:left="5345" w:hanging="227"/>
      </w:pPr>
      <w:rPr>
        <w:rFonts w:hint="default"/>
        <w:lang w:val="en-US" w:eastAsia="en-US" w:bidi="ar-SA"/>
      </w:rPr>
    </w:lvl>
    <w:lvl w:ilvl="7" w:tplc="FFFFFFFF">
      <w:numFmt w:val="bullet"/>
      <w:lvlText w:val="•"/>
      <w:lvlJc w:val="left"/>
      <w:pPr>
        <w:ind w:left="6620" w:hanging="227"/>
      </w:pPr>
      <w:rPr>
        <w:rFonts w:hint="default"/>
        <w:lang w:val="en-US" w:eastAsia="en-US" w:bidi="ar-SA"/>
      </w:rPr>
    </w:lvl>
    <w:lvl w:ilvl="8" w:tplc="FFFFFFFF">
      <w:numFmt w:val="bullet"/>
      <w:lvlText w:val="•"/>
      <w:lvlJc w:val="left"/>
      <w:pPr>
        <w:ind w:left="7895" w:hanging="227"/>
      </w:pPr>
      <w:rPr>
        <w:rFonts w:hint="default"/>
        <w:lang w:val="en-US" w:eastAsia="en-US" w:bidi="ar-SA"/>
      </w:rPr>
    </w:lvl>
  </w:abstractNum>
  <w:abstractNum w:abstractNumId="51" w15:restartNumberingAfterBreak="0">
    <w:nsid w:val="3C3BD60C"/>
    <w:multiLevelType w:val="hybridMultilevel"/>
    <w:tmpl w:val="FFFFFFFF"/>
    <w:lvl w:ilvl="0" w:tplc="8C76209A">
      <w:start w:val="1"/>
      <w:numFmt w:val="bullet"/>
      <w:lvlText w:val=""/>
      <w:lvlJc w:val="left"/>
      <w:pPr>
        <w:ind w:left="720" w:hanging="360"/>
      </w:pPr>
      <w:rPr>
        <w:rFonts w:ascii="Symbol" w:hAnsi="Symbol" w:hint="default"/>
      </w:rPr>
    </w:lvl>
    <w:lvl w:ilvl="1" w:tplc="FA5C2E84">
      <w:start w:val="1"/>
      <w:numFmt w:val="bullet"/>
      <w:lvlText w:val="o"/>
      <w:lvlJc w:val="left"/>
      <w:pPr>
        <w:ind w:left="1440" w:hanging="360"/>
      </w:pPr>
      <w:rPr>
        <w:rFonts w:ascii="Courier New" w:hAnsi="Courier New" w:hint="default"/>
      </w:rPr>
    </w:lvl>
    <w:lvl w:ilvl="2" w:tplc="E55A5F16">
      <w:start w:val="1"/>
      <w:numFmt w:val="bullet"/>
      <w:lvlText w:val=""/>
      <w:lvlJc w:val="left"/>
      <w:pPr>
        <w:ind w:left="2160" w:hanging="360"/>
      </w:pPr>
      <w:rPr>
        <w:rFonts w:ascii="Wingdings" w:hAnsi="Wingdings" w:hint="default"/>
      </w:rPr>
    </w:lvl>
    <w:lvl w:ilvl="3" w:tplc="69820054">
      <w:start w:val="1"/>
      <w:numFmt w:val="bullet"/>
      <w:lvlText w:val=""/>
      <w:lvlJc w:val="left"/>
      <w:pPr>
        <w:ind w:left="2880" w:hanging="360"/>
      </w:pPr>
      <w:rPr>
        <w:rFonts w:ascii="Symbol" w:hAnsi="Symbol" w:hint="default"/>
      </w:rPr>
    </w:lvl>
    <w:lvl w:ilvl="4" w:tplc="EF262EC2">
      <w:start w:val="1"/>
      <w:numFmt w:val="bullet"/>
      <w:lvlText w:val="o"/>
      <w:lvlJc w:val="left"/>
      <w:pPr>
        <w:ind w:left="3600" w:hanging="360"/>
      </w:pPr>
      <w:rPr>
        <w:rFonts w:ascii="Courier New" w:hAnsi="Courier New" w:hint="default"/>
      </w:rPr>
    </w:lvl>
    <w:lvl w:ilvl="5" w:tplc="405A2EA0">
      <w:start w:val="1"/>
      <w:numFmt w:val="bullet"/>
      <w:lvlText w:val=""/>
      <w:lvlJc w:val="left"/>
      <w:pPr>
        <w:ind w:left="4320" w:hanging="360"/>
      </w:pPr>
      <w:rPr>
        <w:rFonts w:ascii="Wingdings" w:hAnsi="Wingdings" w:hint="default"/>
      </w:rPr>
    </w:lvl>
    <w:lvl w:ilvl="6" w:tplc="1534EF62">
      <w:start w:val="1"/>
      <w:numFmt w:val="bullet"/>
      <w:lvlText w:val=""/>
      <w:lvlJc w:val="left"/>
      <w:pPr>
        <w:ind w:left="5040" w:hanging="360"/>
      </w:pPr>
      <w:rPr>
        <w:rFonts w:ascii="Symbol" w:hAnsi="Symbol" w:hint="default"/>
      </w:rPr>
    </w:lvl>
    <w:lvl w:ilvl="7" w:tplc="3C0AC0EC">
      <w:start w:val="1"/>
      <w:numFmt w:val="bullet"/>
      <w:lvlText w:val="o"/>
      <w:lvlJc w:val="left"/>
      <w:pPr>
        <w:ind w:left="5760" w:hanging="360"/>
      </w:pPr>
      <w:rPr>
        <w:rFonts w:ascii="Courier New" w:hAnsi="Courier New" w:hint="default"/>
      </w:rPr>
    </w:lvl>
    <w:lvl w:ilvl="8" w:tplc="C5B44300">
      <w:start w:val="1"/>
      <w:numFmt w:val="bullet"/>
      <w:lvlText w:val=""/>
      <w:lvlJc w:val="left"/>
      <w:pPr>
        <w:ind w:left="6480" w:hanging="360"/>
      </w:pPr>
      <w:rPr>
        <w:rFonts w:ascii="Wingdings" w:hAnsi="Wingdings" w:hint="default"/>
      </w:rPr>
    </w:lvl>
  </w:abstractNum>
  <w:abstractNum w:abstractNumId="52" w15:restartNumberingAfterBreak="0">
    <w:nsid w:val="3DD566B5"/>
    <w:multiLevelType w:val="hybridMultilevel"/>
    <w:tmpl w:val="9B18962A"/>
    <w:lvl w:ilvl="0" w:tplc="FFFFFFFF">
      <w:start w:val="1"/>
      <w:numFmt w:val="bullet"/>
      <w:lvlText w:val=""/>
      <w:lvlJc w:val="left"/>
      <w:pPr>
        <w:ind w:left="1080" w:hanging="360"/>
      </w:pPr>
      <w:rPr>
        <w:rFonts w:ascii="Symbol" w:hAnsi="Symbol" w:hint="default"/>
      </w:rPr>
    </w:lvl>
    <w:lvl w:ilvl="1" w:tplc="64F224E0">
      <w:start w:val="2"/>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3" w15:restartNumberingAfterBreak="0">
    <w:nsid w:val="3FAE3AEC"/>
    <w:multiLevelType w:val="hybridMultilevel"/>
    <w:tmpl w:val="0E342F8C"/>
    <w:lvl w:ilvl="0" w:tplc="23DC101A">
      <w:start w:val="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03613EB"/>
    <w:multiLevelType w:val="hybridMultilevel"/>
    <w:tmpl w:val="93D60132"/>
    <w:lvl w:ilvl="0" w:tplc="54EEB134">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1" w:tplc="8ADA3522">
      <w:numFmt w:val="bullet"/>
      <w:lvlText w:val="•"/>
      <w:lvlJc w:val="left"/>
      <w:pPr>
        <w:ind w:left="2016" w:hanging="284"/>
      </w:pPr>
      <w:rPr>
        <w:rFonts w:hint="default"/>
        <w:lang w:val="en-US" w:eastAsia="en-US" w:bidi="ar-SA"/>
      </w:rPr>
    </w:lvl>
    <w:lvl w:ilvl="2" w:tplc="CCE2B50E">
      <w:numFmt w:val="bullet"/>
      <w:lvlText w:val="•"/>
      <w:lvlJc w:val="left"/>
      <w:pPr>
        <w:ind w:left="2953" w:hanging="284"/>
      </w:pPr>
      <w:rPr>
        <w:rFonts w:hint="default"/>
        <w:lang w:val="en-US" w:eastAsia="en-US" w:bidi="ar-SA"/>
      </w:rPr>
    </w:lvl>
    <w:lvl w:ilvl="3" w:tplc="532AEFC2">
      <w:numFmt w:val="bullet"/>
      <w:lvlText w:val="•"/>
      <w:lvlJc w:val="left"/>
      <w:pPr>
        <w:ind w:left="3889" w:hanging="284"/>
      </w:pPr>
      <w:rPr>
        <w:rFonts w:hint="default"/>
        <w:lang w:val="en-US" w:eastAsia="en-US" w:bidi="ar-SA"/>
      </w:rPr>
    </w:lvl>
    <w:lvl w:ilvl="4" w:tplc="92649804">
      <w:numFmt w:val="bullet"/>
      <w:lvlText w:val="•"/>
      <w:lvlJc w:val="left"/>
      <w:pPr>
        <w:ind w:left="4826" w:hanging="284"/>
      </w:pPr>
      <w:rPr>
        <w:rFonts w:hint="default"/>
        <w:lang w:val="en-US" w:eastAsia="en-US" w:bidi="ar-SA"/>
      </w:rPr>
    </w:lvl>
    <w:lvl w:ilvl="5" w:tplc="49FE1A06">
      <w:numFmt w:val="bullet"/>
      <w:lvlText w:val="•"/>
      <w:lvlJc w:val="left"/>
      <w:pPr>
        <w:ind w:left="5762" w:hanging="284"/>
      </w:pPr>
      <w:rPr>
        <w:rFonts w:hint="default"/>
        <w:lang w:val="en-US" w:eastAsia="en-US" w:bidi="ar-SA"/>
      </w:rPr>
    </w:lvl>
    <w:lvl w:ilvl="6" w:tplc="A978DC38">
      <w:numFmt w:val="bullet"/>
      <w:lvlText w:val="•"/>
      <w:lvlJc w:val="left"/>
      <w:pPr>
        <w:ind w:left="6699" w:hanging="284"/>
      </w:pPr>
      <w:rPr>
        <w:rFonts w:hint="default"/>
        <w:lang w:val="en-US" w:eastAsia="en-US" w:bidi="ar-SA"/>
      </w:rPr>
    </w:lvl>
    <w:lvl w:ilvl="7" w:tplc="09A4241A">
      <w:numFmt w:val="bullet"/>
      <w:lvlText w:val="•"/>
      <w:lvlJc w:val="left"/>
      <w:pPr>
        <w:ind w:left="7635" w:hanging="284"/>
      </w:pPr>
      <w:rPr>
        <w:rFonts w:hint="default"/>
        <w:lang w:val="en-US" w:eastAsia="en-US" w:bidi="ar-SA"/>
      </w:rPr>
    </w:lvl>
    <w:lvl w:ilvl="8" w:tplc="4BAC52AC">
      <w:numFmt w:val="bullet"/>
      <w:lvlText w:val="•"/>
      <w:lvlJc w:val="left"/>
      <w:pPr>
        <w:ind w:left="8572" w:hanging="284"/>
      </w:pPr>
      <w:rPr>
        <w:rFonts w:hint="default"/>
        <w:lang w:val="en-US" w:eastAsia="en-US" w:bidi="ar-SA"/>
      </w:rPr>
    </w:lvl>
  </w:abstractNum>
  <w:abstractNum w:abstractNumId="55" w15:restartNumberingAfterBreak="0">
    <w:nsid w:val="406E07B8"/>
    <w:multiLevelType w:val="hybridMultilevel"/>
    <w:tmpl w:val="81922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41731343"/>
    <w:multiLevelType w:val="multilevel"/>
    <w:tmpl w:val="521A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1BA2CD6"/>
    <w:multiLevelType w:val="multilevel"/>
    <w:tmpl w:val="8ADE01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41C14C1B"/>
    <w:multiLevelType w:val="multilevel"/>
    <w:tmpl w:val="BF78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2631072"/>
    <w:multiLevelType w:val="hybridMultilevel"/>
    <w:tmpl w:val="4926A6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4B52C2"/>
    <w:multiLevelType w:val="hybridMultilevel"/>
    <w:tmpl w:val="4A38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3846805"/>
    <w:multiLevelType w:val="hybridMultilevel"/>
    <w:tmpl w:val="CCC0837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2" w15:restartNumberingAfterBreak="0">
    <w:nsid w:val="44AE1B9C"/>
    <w:multiLevelType w:val="hybridMultilevel"/>
    <w:tmpl w:val="AAAE4C8C"/>
    <w:lvl w:ilvl="0" w:tplc="C3CE6FE4">
      <w:start w:val="1"/>
      <w:numFmt w:val="lowerRoman"/>
      <w:lvlText w:val="%1."/>
      <w:lvlJc w:val="left"/>
      <w:pPr>
        <w:ind w:left="753"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52567D1"/>
    <w:multiLevelType w:val="hybridMultilevel"/>
    <w:tmpl w:val="D73EF848"/>
    <w:lvl w:ilvl="0" w:tplc="FEB4FA44">
      <w:start w:val="1"/>
      <w:numFmt w:val="lowerRoman"/>
      <w:lvlText w:val="%1."/>
      <w:lvlJc w:val="left"/>
      <w:pPr>
        <w:ind w:left="360" w:hanging="360"/>
      </w:pPr>
      <w:rPr>
        <w:rFonts w:ascii="Arial" w:hAnsi="Arial" w:hint="default"/>
        <w:b/>
        <w:i/>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6B128E1"/>
    <w:multiLevelType w:val="hybridMultilevel"/>
    <w:tmpl w:val="ECA4E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8A763CA"/>
    <w:multiLevelType w:val="multilevel"/>
    <w:tmpl w:val="E7FAE0D2"/>
    <w:lvl w:ilvl="0">
      <w:start w:val="1"/>
      <w:numFmt w:val="decimal"/>
      <w:pStyle w:val="Text-paragraph"/>
      <w:lvlText w:val="%1."/>
      <w:lvlJc w:val="left"/>
      <w:pPr>
        <w:ind w:left="896" w:hanging="357"/>
      </w:pPr>
    </w:lvl>
    <w:lvl w:ilvl="1">
      <w:start w:val="1"/>
      <w:numFmt w:val="lowerLetter"/>
      <w:pStyle w:val="List-paragraph"/>
      <w:lvlText w:val="%2."/>
      <w:lvlJc w:val="left"/>
      <w:pPr>
        <w:ind w:left="896" w:hanging="329"/>
      </w:pPr>
      <w:rPr>
        <w:rFonts w:hint="default"/>
        <w:b w:val="0"/>
        <w:bCs w:val="0"/>
      </w:rPr>
    </w:lvl>
    <w:lvl w:ilvl="2">
      <w:start w:val="1"/>
      <w:numFmt w:val="lowerRoman"/>
      <w:lvlText w:val="%3."/>
      <w:lvlJc w:val="right"/>
      <w:pPr>
        <w:ind w:left="2336" w:hanging="180"/>
      </w:pPr>
      <w:rPr>
        <w:rFonts w:hint="default"/>
      </w:rPr>
    </w:lvl>
    <w:lvl w:ilvl="3">
      <w:start w:val="1"/>
      <w:numFmt w:val="decimal"/>
      <w:lvlText w:val="%4."/>
      <w:lvlJc w:val="left"/>
      <w:pPr>
        <w:ind w:left="3056" w:hanging="360"/>
      </w:pPr>
      <w:rPr>
        <w:rFonts w:hint="default"/>
      </w:rPr>
    </w:lvl>
    <w:lvl w:ilvl="4">
      <w:start w:val="1"/>
      <w:numFmt w:val="lowerLetter"/>
      <w:lvlText w:val="%5."/>
      <w:lvlJc w:val="left"/>
      <w:pPr>
        <w:ind w:left="3776" w:hanging="360"/>
      </w:pPr>
      <w:rPr>
        <w:rFonts w:hint="default"/>
      </w:rPr>
    </w:lvl>
    <w:lvl w:ilvl="5">
      <w:start w:val="1"/>
      <w:numFmt w:val="lowerRoman"/>
      <w:lvlText w:val="%6."/>
      <w:lvlJc w:val="right"/>
      <w:pPr>
        <w:ind w:left="4496" w:hanging="180"/>
      </w:pPr>
      <w:rPr>
        <w:rFonts w:hint="default"/>
      </w:rPr>
    </w:lvl>
    <w:lvl w:ilvl="6">
      <w:start w:val="1"/>
      <w:numFmt w:val="decimal"/>
      <w:lvlText w:val="%7."/>
      <w:lvlJc w:val="left"/>
      <w:pPr>
        <w:ind w:left="5216" w:hanging="360"/>
      </w:pPr>
      <w:rPr>
        <w:rFonts w:hint="default"/>
      </w:rPr>
    </w:lvl>
    <w:lvl w:ilvl="7">
      <w:start w:val="1"/>
      <w:numFmt w:val="lowerLetter"/>
      <w:lvlText w:val="%8."/>
      <w:lvlJc w:val="left"/>
      <w:pPr>
        <w:ind w:left="5936" w:hanging="360"/>
      </w:pPr>
      <w:rPr>
        <w:rFonts w:hint="default"/>
      </w:rPr>
    </w:lvl>
    <w:lvl w:ilvl="8">
      <w:start w:val="1"/>
      <w:numFmt w:val="lowerRoman"/>
      <w:lvlText w:val="%9."/>
      <w:lvlJc w:val="right"/>
      <w:pPr>
        <w:ind w:left="6656" w:hanging="180"/>
      </w:pPr>
      <w:rPr>
        <w:rFonts w:hint="default"/>
      </w:rPr>
    </w:lvl>
  </w:abstractNum>
  <w:abstractNum w:abstractNumId="66" w15:restartNumberingAfterBreak="0">
    <w:nsid w:val="4BEA11B4"/>
    <w:multiLevelType w:val="hybridMultilevel"/>
    <w:tmpl w:val="ACD6F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CC01B17"/>
    <w:multiLevelType w:val="hybridMultilevel"/>
    <w:tmpl w:val="DB2CD79C"/>
    <w:lvl w:ilvl="0" w:tplc="153ACC06">
      <w:start w:val="1"/>
      <w:numFmt w:val="lowerRoman"/>
      <w:lvlText w:val="%1."/>
      <w:lvlJc w:val="left"/>
      <w:pPr>
        <w:ind w:left="3501" w:hanging="360"/>
      </w:pPr>
      <w:rPr>
        <w:rFonts w:ascii="Arial" w:eastAsia="Arial" w:hAnsi="Arial" w:cs="Arial" w:hint="default"/>
        <w:b/>
        <w:bCs/>
        <w:i w:val="0"/>
        <w:iCs w:val="0"/>
        <w:color w:val="auto"/>
        <w:spacing w:val="0"/>
        <w:w w:val="84"/>
        <w:sz w:val="24"/>
        <w:szCs w:val="24"/>
        <w:lang w:val="en-US" w:eastAsia="en-US" w:bidi="ar-SA"/>
      </w:rPr>
    </w:lvl>
    <w:lvl w:ilvl="1" w:tplc="0C090019" w:tentative="1">
      <w:start w:val="1"/>
      <w:numFmt w:val="lowerLetter"/>
      <w:lvlText w:val="%2."/>
      <w:lvlJc w:val="left"/>
      <w:pPr>
        <w:ind w:left="4188" w:hanging="360"/>
      </w:pPr>
    </w:lvl>
    <w:lvl w:ilvl="2" w:tplc="0C09001B" w:tentative="1">
      <w:start w:val="1"/>
      <w:numFmt w:val="lowerRoman"/>
      <w:lvlText w:val="%3."/>
      <w:lvlJc w:val="right"/>
      <w:pPr>
        <w:ind w:left="4908" w:hanging="180"/>
      </w:pPr>
    </w:lvl>
    <w:lvl w:ilvl="3" w:tplc="0C09000F" w:tentative="1">
      <w:start w:val="1"/>
      <w:numFmt w:val="decimal"/>
      <w:lvlText w:val="%4."/>
      <w:lvlJc w:val="left"/>
      <w:pPr>
        <w:ind w:left="5628" w:hanging="360"/>
      </w:pPr>
    </w:lvl>
    <w:lvl w:ilvl="4" w:tplc="0C090019" w:tentative="1">
      <w:start w:val="1"/>
      <w:numFmt w:val="lowerLetter"/>
      <w:lvlText w:val="%5."/>
      <w:lvlJc w:val="left"/>
      <w:pPr>
        <w:ind w:left="6348" w:hanging="360"/>
      </w:pPr>
    </w:lvl>
    <w:lvl w:ilvl="5" w:tplc="0C09001B" w:tentative="1">
      <w:start w:val="1"/>
      <w:numFmt w:val="lowerRoman"/>
      <w:lvlText w:val="%6."/>
      <w:lvlJc w:val="right"/>
      <w:pPr>
        <w:ind w:left="7068" w:hanging="180"/>
      </w:pPr>
    </w:lvl>
    <w:lvl w:ilvl="6" w:tplc="0C09000F" w:tentative="1">
      <w:start w:val="1"/>
      <w:numFmt w:val="decimal"/>
      <w:lvlText w:val="%7."/>
      <w:lvlJc w:val="left"/>
      <w:pPr>
        <w:ind w:left="7788" w:hanging="360"/>
      </w:pPr>
    </w:lvl>
    <w:lvl w:ilvl="7" w:tplc="0C090019" w:tentative="1">
      <w:start w:val="1"/>
      <w:numFmt w:val="lowerLetter"/>
      <w:lvlText w:val="%8."/>
      <w:lvlJc w:val="left"/>
      <w:pPr>
        <w:ind w:left="8508" w:hanging="360"/>
      </w:pPr>
    </w:lvl>
    <w:lvl w:ilvl="8" w:tplc="0C09001B" w:tentative="1">
      <w:start w:val="1"/>
      <w:numFmt w:val="lowerRoman"/>
      <w:lvlText w:val="%9."/>
      <w:lvlJc w:val="right"/>
      <w:pPr>
        <w:ind w:left="9228" w:hanging="180"/>
      </w:pPr>
    </w:lvl>
  </w:abstractNum>
  <w:abstractNum w:abstractNumId="68" w15:restartNumberingAfterBreak="0">
    <w:nsid w:val="4D074B04"/>
    <w:multiLevelType w:val="multilevel"/>
    <w:tmpl w:val="1BB654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4E60B930"/>
    <w:multiLevelType w:val="hybridMultilevel"/>
    <w:tmpl w:val="FFFFFFFF"/>
    <w:lvl w:ilvl="0" w:tplc="EBCCB572">
      <w:start w:val="1"/>
      <w:numFmt w:val="bullet"/>
      <w:lvlText w:val="·"/>
      <w:lvlJc w:val="left"/>
      <w:pPr>
        <w:ind w:left="720" w:hanging="360"/>
      </w:pPr>
      <w:rPr>
        <w:rFonts w:ascii="Symbol" w:hAnsi="Symbol" w:hint="default"/>
      </w:rPr>
    </w:lvl>
    <w:lvl w:ilvl="1" w:tplc="4D4AA0E8">
      <w:start w:val="1"/>
      <w:numFmt w:val="bullet"/>
      <w:lvlText w:val="o"/>
      <w:lvlJc w:val="left"/>
      <w:pPr>
        <w:ind w:left="1440" w:hanging="360"/>
      </w:pPr>
      <w:rPr>
        <w:rFonts w:ascii="Courier New" w:hAnsi="Courier New" w:hint="default"/>
      </w:rPr>
    </w:lvl>
    <w:lvl w:ilvl="2" w:tplc="81341AB4">
      <w:start w:val="1"/>
      <w:numFmt w:val="bullet"/>
      <w:lvlText w:val=""/>
      <w:lvlJc w:val="left"/>
      <w:pPr>
        <w:ind w:left="2160" w:hanging="360"/>
      </w:pPr>
      <w:rPr>
        <w:rFonts w:ascii="Wingdings" w:hAnsi="Wingdings" w:hint="default"/>
      </w:rPr>
    </w:lvl>
    <w:lvl w:ilvl="3" w:tplc="AEBE3050">
      <w:start w:val="1"/>
      <w:numFmt w:val="bullet"/>
      <w:lvlText w:val=""/>
      <w:lvlJc w:val="left"/>
      <w:pPr>
        <w:ind w:left="2880" w:hanging="360"/>
      </w:pPr>
      <w:rPr>
        <w:rFonts w:ascii="Symbol" w:hAnsi="Symbol" w:hint="default"/>
      </w:rPr>
    </w:lvl>
    <w:lvl w:ilvl="4" w:tplc="FA1A77E0">
      <w:start w:val="1"/>
      <w:numFmt w:val="bullet"/>
      <w:lvlText w:val="o"/>
      <w:lvlJc w:val="left"/>
      <w:pPr>
        <w:ind w:left="3600" w:hanging="360"/>
      </w:pPr>
      <w:rPr>
        <w:rFonts w:ascii="Courier New" w:hAnsi="Courier New" w:hint="default"/>
      </w:rPr>
    </w:lvl>
    <w:lvl w:ilvl="5" w:tplc="459E1B32">
      <w:start w:val="1"/>
      <w:numFmt w:val="bullet"/>
      <w:lvlText w:val=""/>
      <w:lvlJc w:val="left"/>
      <w:pPr>
        <w:ind w:left="4320" w:hanging="360"/>
      </w:pPr>
      <w:rPr>
        <w:rFonts w:ascii="Wingdings" w:hAnsi="Wingdings" w:hint="default"/>
      </w:rPr>
    </w:lvl>
    <w:lvl w:ilvl="6" w:tplc="AC944F62">
      <w:start w:val="1"/>
      <w:numFmt w:val="bullet"/>
      <w:lvlText w:val=""/>
      <w:lvlJc w:val="left"/>
      <w:pPr>
        <w:ind w:left="5040" w:hanging="360"/>
      </w:pPr>
      <w:rPr>
        <w:rFonts w:ascii="Symbol" w:hAnsi="Symbol" w:hint="default"/>
      </w:rPr>
    </w:lvl>
    <w:lvl w:ilvl="7" w:tplc="D5608170">
      <w:start w:val="1"/>
      <w:numFmt w:val="bullet"/>
      <w:lvlText w:val="o"/>
      <w:lvlJc w:val="left"/>
      <w:pPr>
        <w:ind w:left="5760" w:hanging="360"/>
      </w:pPr>
      <w:rPr>
        <w:rFonts w:ascii="Courier New" w:hAnsi="Courier New" w:hint="default"/>
      </w:rPr>
    </w:lvl>
    <w:lvl w:ilvl="8" w:tplc="276CDD52">
      <w:start w:val="1"/>
      <w:numFmt w:val="bullet"/>
      <w:lvlText w:val=""/>
      <w:lvlJc w:val="left"/>
      <w:pPr>
        <w:ind w:left="6480" w:hanging="360"/>
      </w:pPr>
      <w:rPr>
        <w:rFonts w:ascii="Wingdings" w:hAnsi="Wingdings" w:hint="default"/>
      </w:rPr>
    </w:lvl>
  </w:abstractNum>
  <w:abstractNum w:abstractNumId="70" w15:restartNumberingAfterBreak="0">
    <w:nsid w:val="4F7B61F5"/>
    <w:multiLevelType w:val="hybridMultilevel"/>
    <w:tmpl w:val="96A00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FCD3D2A"/>
    <w:multiLevelType w:val="hybridMultilevel"/>
    <w:tmpl w:val="D012E3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508E0B8B"/>
    <w:multiLevelType w:val="hybridMultilevel"/>
    <w:tmpl w:val="F6023F4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3A735B"/>
    <w:multiLevelType w:val="hybridMultilevel"/>
    <w:tmpl w:val="2CCE4B72"/>
    <w:lvl w:ilvl="0" w:tplc="3960AAA0">
      <w:start w:val="1"/>
      <w:numFmt w:val="decimal"/>
      <w:lvlText w:val="%1."/>
      <w:lvlJc w:val="left"/>
      <w:pPr>
        <w:ind w:left="813" w:hanging="420"/>
      </w:pPr>
      <w:rPr>
        <w:rFonts w:ascii="Arial" w:eastAsia="Arial" w:hAnsi="Arial" w:cs="Arial" w:hint="default"/>
        <w:b/>
        <w:bCs/>
        <w:i w:val="0"/>
        <w:iCs w:val="0"/>
        <w:color w:val="390A56"/>
        <w:spacing w:val="0"/>
        <w:w w:val="73"/>
        <w:sz w:val="32"/>
        <w:szCs w:val="32"/>
        <w:lang w:val="en-US" w:eastAsia="en-US" w:bidi="ar-SA"/>
      </w:rPr>
    </w:lvl>
    <w:lvl w:ilvl="1" w:tplc="C3CE6FE4">
      <w:start w:val="1"/>
      <w:numFmt w:val="lowerRoman"/>
      <w:lvlText w:val="%2."/>
      <w:lvlJc w:val="left"/>
      <w:pPr>
        <w:ind w:left="753" w:hanging="360"/>
      </w:pPr>
      <w:rPr>
        <w:rFonts w:ascii="Arial" w:eastAsia="Arial" w:hAnsi="Arial" w:cs="Arial" w:hint="default"/>
        <w:b/>
        <w:bCs/>
        <w:i w:val="0"/>
        <w:iCs w:val="0"/>
        <w:color w:val="auto"/>
        <w:spacing w:val="0"/>
        <w:w w:val="84"/>
        <w:sz w:val="24"/>
        <w:szCs w:val="24"/>
        <w:lang w:val="en-US" w:eastAsia="en-US" w:bidi="ar-SA"/>
      </w:rPr>
    </w:lvl>
    <w:lvl w:ilvl="2" w:tplc="6B3C5D86">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3" w:tplc="614C2FD6">
      <w:numFmt w:val="bullet"/>
      <w:lvlText w:val="•"/>
      <w:lvlJc w:val="left"/>
      <w:pPr>
        <w:ind w:left="1527" w:hanging="227"/>
      </w:pPr>
      <w:rPr>
        <w:rFonts w:ascii="Arial" w:eastAsia="Arial" w:hAnsi="Arial" w:cs="Arial" w:hint="default"/>
        <w:b w:val="0"/>
        <w:bCs w:val="0"/>
        <w:i w:val="0"/>
        <w:iCs w:val="0"/>
        <w:color w:val="231F20"/>
        <w:spacing w:val="0"/>
        <w:w w:val="90"/>
        <w:sz w:val="18"/>
        <w:szCs w:val="18"/>
        <w:lang w:val="en-US" w:eastAsia="en-US" w:bidi="ar-SA"/>
      </w:rPr>
    </w:lvl>
    <w:lvl w:ilvl="4" w:tplc="A074E984">
      <w:numFmt w:val="bullet"/>
      <w:lvlText w:val="•"/>
      <w:lvlJc w:val="left"/>
      <w:pPr>
        <w:ind w:left="2795" w:hanging="227"/>
      </w:pPr>
      <w:rPr>
        <w:rFonts w:hint="default"/>
        <w:lang w:val="en-US" w:eastAsia="en-US" w:bidi="ar-SA"/>
      </w:rPr>
    </w:lvl>
    <w:lvl w:ilvl="5" w:tplc="03CE3260">
      <w:numFmt w:val="bullet"/>
      <w:lvlText w:val="•"/>
      <w:lvlJc w:val="left"/>
      <w:pPr>
        <w:ind w:left="4070" w:hanging="227"/>
      </w:pPr>
      <w:rPr>
        <w:rFonts w:hint="default"/>
        <w:lang w:val="en-US" w:eastAsia="en-US" w:bidi="ar-SA"/>
      </w:rPr>
    </w:lvl>
    <w:lvl w:ilvl="6" w:tplc="0588AD34">
      <w:numFmt w:val="bullet"/>
      <w:lvlText w:val="•"/>
      <w:lvlJc w:val="left"/>
      <w:pPr>
        <w:ind w:left="5345" w:hanging="227"/>
      </w:pPr>
      <w:rPr>
        <w:rFonts w:hint="default"/>
        <w:lang w:val="en-US" w:eastAsia="en-US" w:bidi="ar-SA"/>
      </w:rPr>
    </w:lvl>
    <w:lvl w:ilvl="7" w:tplc="28E078A2">
      <w:numFmt w:val="bullet"/>
      <w:lvlText w:val="•"/>
      <w:lvlJc w:val="left"/>
      <w:pPr>
        <w:ind w:left="6620" w:hanging="227"/>
      </w:pPr>
      <w:rPr>
        <w:rFonts w:hint="default"/>
        <w:lang w:val="en-US" w:eastAsia="en-US" w:bidi="ar-SA"/>
      </w:rPr>
    </w:lvl>
    <w:lvl w:ilvl="8" w:tplc="5A284780">
      <w:numFmt w:val="bullet"/>
      <w:lvlText w:val="•"/>
      <w:lvlJc w:val="left"/>
      <w:pPr>
        <w:ind w:left="7895" w:hanging="227"/>
      </w:pPr>
      <w:rPr>
        <w:rFonts w:hint="default"/>
        <w:lang w:val="en-US" w:eastAsia="en-US" w:bidi="ar-SA"/>
      </w:rPr>
    </w:lvl>
  </w:abstractNum>
  <w:abstractNum w:abstractNumId="74" w15:restartNumberingAfterBreak="0">
    <w:nsid w:val="51515469"/>
    <w:multiLevelType w:val="hybridMultilevel"/>
    <w:tmpl w:val="CD805716"/>
    <w:styleLink w:val="NumberedHeadings"/>
    <w:lvl w:ilvl="0" w:tplc="C25CE180">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5" w15:restartNumberingAfterBreak="0">
    <w:nsid w:val="53193EF8"/>
    <w:multiLevelType w:val="multilevel"/>
    <w:tmpl w:val="D266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4F8A29C"/>
    <w:multiLevelType w:val="hybridMultilevel"/>
    <w:tmpl w:val="FFFFFFFF"/>
    <w:lvl w:ilvl="0" w:tplc="7B54D3DA">
      <w:start w:val="1"/>
      <w:numFmt w:val="bullet"/>
      <w:lvlText w:val=""/>
      <w:lvlJc w:val="left"/>
      <w:pPr>
        <w:ind w:left="720" w:hanging="360"/>
      </w:pPr>
      <w:rPr>
        <w:rFonts w:ascii="Symbol" w:hAnsi="Symbol" w:hint="default"/>
      </w:rPr>
    </w:lvl>
    <w:lvl w:ilvl="1" w:tplc="FDAC7BA8">
      <w:start w:val="1"/>
      <w:numFmt w:val="bullet"/>
      <w:lvlText w:val="o"/>
      <w:lvlJc w:val="left"/>
      <w:pPr>
        <w:ind w:left="1440" w:hanging="360"/>
      </w:pPr>
      <w:rPr>
        <w:rFonts w:ascii="Courier New" w:hAnsi="Courier New" w:hint="default"/>
      </w:rPr>
    </w:lvl>
    <w:lvl w:ilvl="2" w:tplc="7C400F9C">
      <w:start w:val="1"/>
      <w:numFmt w:val="bullet"/>
      <w:lvlText w:val=""/>
      <w:lvlJc w:val="left"/>
      <w:pPr>
        <w:ind w:left="2160" w:hanging="360"/>
      </w:pPr>
      <w:rPr>
        <w:rFonts w:ascii="Wingdings" w:hAnsi="Wingdings" w:hint="default"/>
      </w:rPr>
    </w:lvl>
    <w:lvl w:ilvl="3" w:tplc="18F4C0A0">
      <w:start w:val="1"/>
      <w:numFmt w:val="bullet"/>
      <w:lvlText w:val=""/>
      <w:lvlJc w:val="left"/>
      <w:pPr>
        <w:ind w:left="2880" w:hanging="360"/>
      </w:pPr>
      <w:rPr>
        <w:rFonts w:ascii="Symbol" w:hAnsi="Symbol" w:hint="default"/>
      </w:rPr>
    </w:lvl>
    <w:lvl w:ilvl="4" w:tplc="51CC599A">
      <w:start w:val="1"/>
      <w:numFmt w:val="bullet"/>
      <w:lvlText w:val="o"/>
      <w:lvlJc w:val="left"/>
      <w:pPr>
        <w:ind w:left="3600" w:hanging="360"/>
      </w:pPr>
      <w:rPr>
        <w:rFonts w:ascii="Courier New" w:hAnsi="Courier New" w:hint="default"/>
      </w:rPr>
    </w:lvl>
    <w:lvl w:ilvl="5" w:tplc="05BEB900">
      <w:start w:val="1"/>
      <w:numFmt w:val="bullet"/>
      <w:lvlText w:val=""/>
      <w:lvlJc w:val="left"/>
      <w:pPr>
        <w:ind w:left="4320" w:hanging="360"/>
      </w:pPr>
      <w:rPr>
        <w:rFonts w:ascii="Wingdings" w:hAnsi="Wingdings" w:hint="default"/>
      </w:rPr>
    </w:lvl>
    <w:lvl w:ilvl="6" w:tplc="D494AA8A">
      <w:start w:val="1"/>
      <w:numFmt w:val="bullet"/>
      <w:lvlText w:val=""/>
      <w:lvlJc w:val="left"/>
      <w:pPr>
        <w:ind w:left="5040" w:hanging="360"/>
      </w:pPr>
      <w:rPr>
        <w:rFonts w:ascii="Symbol" w:hAnsi="Symbol" w:hint="default"/>
      </w:rPr>
    </w:lvl>
    <w:lvl w:ilvl="7" w:tplc="1C623CBE">
      <w:start w:val="1"/>
      <w:numFmt w:val="bullet"/>
      <w:lvlText w:val="o"/>
      <w:lvlJc w:val="left"/>
      <w:pPr>
        <w:ind w:left="5760" w:hanging="360"/>
      </w:pPr>
      <w:rPr>
        <w:rFonts w:ascii="Courier New" w:hAnsi="Courier New" w:hint="default"/>
      </w:rPr>
    </w:lvl>
    <w:lvl w:ilvl="8" w:tplc="9190A56E">
      <w:start w:val="1"/>
      <w:numFmt w:val="bullet"/>
      <w:lvlText w:val=""/>
      <w:lvlJc w:val="left"/>
      <w:pPr>
        <w:ind w:left="6480" w:hanging="360"/>
      </w:pPr>
      <w:rPr>
        <w:rFonts w:ascii="Wingdings" w:hAnsi="Wingdings" w:hint="default"/>
      </w:rPr>
    </w:lvl>
  </w:abstractNum>
  <w:abstractNum w:abstractNumId="77" w15:restartNumberingAfterBreak="0">
    <w:nsid w:val="558A4DFA"/>
    <w:multiLevelType w:val="hybridMultilevel"/>
    <w:tmpl w:val="F4B8EA5A"/>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8" w15:restartNumberingAfterBreak="0">
    <w:nsid w:val="58630AFE"/>
    <w:multiLevelType w:val="hybridMultilevel"/>
    <w:tmpl w:val="E93E876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9" w15:restartNumberingAfterBreak="0">
    <w:nsid w:val="5B756EE2"/>
    <w:multiLevelType w:val="hybridMultilevel"/>
    <w:tmpl w:val="33580DE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D2468B9"/>
    <w:multiLevelType w:val="hybridMultilevel"/>
    <w:tmpl w:val="BF26A4C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EA3235"/>
    <w:multiLevelType w:val="hybridMultilevel"/>
    <w:tmpl w:val="A0F8BFD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2" w15:restartNumberingAfterBreak="0">
    <w:nsid w:val="5F510012"/>
    <w:multiLevelType w:val="hybridMultilevel"/>
    <w:tmpl w:val="D76CC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0112C6E"/>
    <w:multiLevelType w:val="multilevel"/>
    <w:tmpl w:val="766E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0643475"/>
    <w:multiLevelType w:val="hybridMultilevel"/>
    <w:tmpl w:val="58927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8F0468"/>
    <w:multiLevelType w:val="hybridMultilevel"/>
    <w:tmpl w:val="83ACF7D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6" w15:restartNumberingAfterBreak="0">
    <w:nsid w:val="628E24A7"/>
    <w:multiLevelType w:val="hybridMultilevel"/>
    <w:tmpl w:val="BE044B3E"/>
    <w:lvl w:ilvl="0" w:tplc="1B4A5800">
      <w:numFmt w:val="bullet"/>
      <w:lvlText w:val="•"/>
      <w:lvlJc w:val="left"/>
      <w:pPr>
        <w:ind w:left="281" w:hanging="126"/>
      </w:pPr>
      <w:rPr>
        <w:rFonts w:ascii="Arial" w:eastAsia="Arial" w:hAnsi="Arial" w:cs="Arial" w:hint="default"/>
        <w:b w:val="0"/>
        <w:bCs w:val="0"/>
        <w:i w:val="0"/>
        <w:iCs w:val="0"/>
        <w:spacing w:val="0"/>
        <w:w w:val="99"/>
        <w:sz w:val="20"/>
        <w:szCs w:val="20"/>
        <w:lang w:val="en-US" w:eastAsia="en-US" w:bidi="ar-SA"/>
      </w:rPr>
    </w:lvl>
    <w:lvl w:ilvl="1" w:tplc="73E2409E">
      <w:numFmt w:val="bullet"/>
      <w:lvlText w:val="•"/>
      <w:lvlJc w:val="left"/>
      <w:pPr>
        <w:ind w:left="1296" w:hanging="126"/>
      </w:pPr>
      <w:rPr>
        <w:rFonts w:hint="default"/>
        <w:lang w:val="en-US" w:eastAsia="en-US" w:bidi="ar-SA"/>
      </w:rPr>
    </w:lvl>
    <w:lvl w:ilvl="2" w:tplc="82B8723A">
      <w:numFmt w:val="bullet"/>
      <w:lvlText w:val="•"/>
      <w:lvlJc w:val="left"/>
      <w:pPr>
        <w:ind w:left="2312" w:hanging="126"/>
      </w:pPr>
      <w:rPr>
        <w:rFonts w:hint="default"/>
        <w:lang w:val="en-US" w:eastAsia="en-US" w:bidi="ar-SA"/>
      </w:rPr>
    </w:lvl>
    <w:lvl w:ilvl="3" w:tplc="986841E0">
      <w:numFmt w:val="bullet"/>
      <w:lvlText w:val="•"/>
      <w:lvlJc w:val="left"/>
      <w:pPr>
        <w:ind w:left="3328" w:hanging="126"/>
      </w:pPr>
      <w:rPr>
        <w:rFonts w:hint="default"/>
        <w:lang w:val="en-US" w:eastAsia="en-US" w:bidi="ar-SA"/>
      </w:rPr>
    </w:lvl>
    <w:lvl w:ilvl="4" w:tplc="91F62F12">
      <w:numFmt w:val="bullet"/>
      <w:lvlText w:val="•"/>
      <w:lvlJc w:val="left"/>
      <w:pPr>
        <w:ind w:left="4344" w:hanging="126"/>
      </w:pPr>
      <w:rPr>
        <w:rFonts w:hint="default"/>
        <w:lang w:val="en-US" w:eastAsia="en-US" w:bidi="ar-SA"/>
      </w:rPr>
    </w:lvl>
    <w:lvl w:ilvl="5" w:tplc="5254ECB0">
      <w:numFmt w:val="bullet"/>
      <w:lvlText w:val="•"/>
      <w:lvlJc w:val="left"/>
      <w:pPr>
        <w:ind w:left="5360" w:hanging="126"/>
      </w:pPr>
      <w:rPr>
        <w:rFonts w:hint="default"/>
        <w:lang w:val="en-US" w:eastAsia="en-US" w:bidi="ar-SA"/>
      </w:rPr>
    </w:lvl>
    <w:lvl w:ilvl="6" w:tplc="C79C1F58">
      <w:numFmt w:val="bullet"/>
      <w:lvlText w:val="•"/>
      <w:lvlJc w:val="left"/>
      <w:pPr>
        <w:ind w:left="6376" w:hanging="126"/>
      </w:pPr>
      <w:rPr>
        <w:rFonts w:hint="default"/>
        <w:lang w:val="en-US" w:eastAsia="en-US" w:bidi="ar-SA"/>
      </w:rPr>
    </w:lvl>
    <w:lvl w:ilvl="7" w:tplc="F3D4976C">
      <w:numFmt w:val="bullet"/>
      <w:lvlText w:val="•"/>
      <w:lvlJc w:val="left"/>
      <w:pPr>
        <w:ind w:left="7392" w:hanging="126"/>
      </w:pPr>
      <w:rPr>
        <w:rFonts w:hint="default"/>
        <w:lang w:val="en-US" w:eastAsia="en-US" w:bidi="ar-SA"/>
      </w:rPr>
    </w:lvl>
    <w:lvl w:ilvl="8" w:tplc="8E8E7090">
      <w:numFmt w:val="bullet"/>
      <w:lvlText w:val="•"/>
      <w:lvlJc w:val="left"/>
      <w:pPr>
        <w:ind w:left="8408" w:hanging="126"/>
      </w:pPr>
      <w:rPr>
        <w:rFonts w:hint="default"/>
        <w:lang w:val="en-US" w:eastAsia="en-US" w:bidi="ar-SA"/>
      </w:rPr>
    </w:lvl>
  </w:abstractNum>
  <w:abstractNum w:abstractNumId="87" w15:restartNumberingAfterBreak="0">
    <w:nsid w:val="642B04F8"/>
    <w:multiLevelType w:val="multilevel"/>
    <w:tmpl w:val="A79A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5507EB7"/>
    <w:multiLevelType w:val="multilevel"/>
    <w:tmpl w:val="92F429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heme="minorHAnsi" w:hAnsi="Arial" w:cs="Arial" w:hint="default"/>
      </w:rPr>
    </w:lvl>
    <w:lvl w:ilvl="2">
      <w:start w:val="1"/>
      <w:numFmt w:val="lowerLetter"/>
      <w:lvlText w:val="%3."/>
      <w:lvlJc w:val="left"/>
      <w:pPr>
        <w:ind w:left="2160" w:hanging="360"/>
      </w:pPr>
      <w:rPr>
        <w:rFonts w:hint="default"/>
      </w:rPr>
    </w:lvl>
    <w:lvl w:ilvl="3">
      <w:start w:val="2"/>
      <w:numFmt w:val="lowerRoman"/>
      <w:lvlText w:val="%4."/>
      <w:lvlJc w:val="left"/>
      <w:pPr>
        <w:ind w:left="3240" w:hanging="720"/>
      </w:pPr>
      <w:rPr>
        <w:rFonts w:hint="default"/>
      </w:rPr>
    </w:lvl>
    <w:lvl w:ilvl="4">
      <w:numFmt w:val="bullet"/>
      <w:lvlText w:val="-"/>
      <w:lvlJc w:val="left"/>
      <w:pPr>
        <w:ind w:left="3600" w:hanging="360"/>
      </w:pPr>
      <w:rPr>
        <w:rFonts w:ascii="Arial" w:eastAsiaTheme="minorHAnsi" w:hAnsi="Arial" w:cs="Arial" w:hint="default"/>
      </w:rPr>
    </w:lvl>
    <w:lvl w:ilvl="5">
      <w:start w:val="1"/>
      <w:numFmt w:val="decimal"/>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5C326AE"/>
    <w:multiLevelType w:val="hybridMultilevel"/>
    <w:tmpl w:val="1A9404D6"/>
    <w:lvl w:ilvl="0" w:tplc="F0FA31FA">
      <w:start w:val="1"/>
      <w:numFmt w:val="bullet"/>
      <w:lvlText w:val=""/>
      <w:lvlJc w:val="left"/>
      <w:pPr>
        <w:ind w:left="1440" w:hanging="360"/>
      </w:pPr>
      <w:rPr>
        <w:rFonts w:ascii="Symbol" w:hAnsi="Symbol"/>
      </w:rPr>
    </w:lvl>
    <w:lvl w:ilvl="1" w:tplc="B0088EB0">
      <w:start w:val="1"/>
      <w:numFmt w:val="bullet"/>
      <w:lvlText w:val=""/>
      <w:lvlJc w:val="left"/>
      <w:pPr>
        <w:ind w:left="1440" w:hanging="360"/>
      </w:pPr>
      <w:rPr>
        <w:rFonts w:ascii="Symbol" w:hAnsi="Symbol"/>
      </w:rPr>
    </w:lvl>
    <w:lvl w:ilvl="2" w:tplc="71FA0E5E">
      <w:start w:val="1"/>
      <w:numFmt w:val="bullet"/>
      <w:lvlText w:val=""/>
      <w:lvlJc w:val="left"/>
      <w:pPr>
        <w:ind w:left="1440" w:hanging="360"/>
      </w:pPr>
      <w:rPr>
        <w:rFonts w:ascii="Symbol" w:hAnsi="Symbol"/>
      </w:rPr>
    </w:lvl>
    <w:lvl w:ilvl="3" w:tplc="6A281890">
      <w:start w:val="1"/>
      <w:numFmt w:val="bullet"/>
      <w:lvlText w:val=""/>
      <w:lvlJc w:val="left"/>
      <w:pPr>
        <w:ind w:left="1440" w:hanging="360"/>
      </w:pPr>
      <w:rPr>
        <w:rFonts w:ascii="Symbol" w:hAnsi="Symbol"/>
      </w:rPr>
    </w:lvl>
    <w:lvl w:ilvl="4" w:tplc="CB7CFCA8">
      <w:start w:val="1"/>
      <w:numFmt w:val="bullet"/>
      <w:lvlText w:val=""/>
      <w:lvlJc w:val="left"/>
      <w:pPr>
        <w:ind w:left="1440" w:hanging="360"/>
      </w:pPr>
      <w:rPr>
        <w:rFonts w:ascii="Symbol" w:hAnsi="Symbol"/>
      </w:rPr>
    </w:lvl>
    <w:lvl w:ilvl="5" w:tplc="796CB76E">
      <w:start w:val="1"/>
      <w:numFmt w:val="bullet"/>
      <w:lvlText w:val=""/>
      <w:lvlJc w:val="left"/>
      <w:pPr>
        <w:ind w:left="1440" w:hanging="360"/>
      </w:pPr>
      <w:rPr>
        <w:rFonts w:ascii="Symbol" w:hAnsi="Symbol"/>
      </w:rPr>
    </w:lvl>
    <w:lvl w:ilvl="6" w:tplc="9A705F6C">
      <w:start w:val="1"/>
      <w:numFmt w:val="bullet"/>
      <w:lvlText w:val=""/>
      <w:lvlJc w:val="left"/>
      <w:pPr>
        <w:ind w:left="1440" w:hanging="360"/>
      </w:pPr>
      <w:rPr>
        <w:rFonts w:ascii="Symbol" w:hAnsi="Symbol"/>
      </w:rPr>
    </w:lvl>
    <w:lvl w:ilvl="7" w:tplc="3A02DE28">
      <w:start w:val="1"/>
      <w:numFmt w:val="bullet"/>
      <w:lvlText w:val=""/>
      <w:lvlJc w:val="left"/>
      <w:pPr>
        <w:ind w:left="1440" w:hanging="360"/>
      </w:pPr>
      <w:rPr>
        <w:rFonts w:ascii="Symbol" w:hAnsi="Symbol"/>
      </w:rPr>
    </w:lvl>
    <w:lvl w:ilvl="8" w:tplc="29E6B064">
      <w:start w:val="1"/>
      <w:numFmt w:val="bullet"/>
      <w:lvlText w:val=""/>
      <w:lvlJc w:val="left"/>
      <w:pPr>
        <w:ind w:left="1440" w:hanging="360"/>
      </w:pPr>
      <w:rPr>
        <w:rFonts w:ascii="Symbol" w:hAnsi="Symbol"/>
      </w:rPr>
    </w:lvl>
  </w:abstractNum>
  <w:abstractNum w:abstractNumId="90" w15:restartNumberingAfterBreak="0">
    <w:nsid w:val="6682AD21"/>
    <w:multiLevelType w:val="hybridMultilevel"/>
    <w:tmpl w:val="FFFFFFFF"/>
    <w:lvl w:ilvl="0" w:tplc="49268F3C">
      <w:start w:val="1"/>
      <w:numFmt w:val="decimal"/>
      <w:lvlText w:val="%1)"/>
      <w:lvlJc w:val="left"/>
      <w:pPr>
        <w:ind w:left="720" w:hanging="360"/>
      </w:pPr>
      <w:rPr>
        <w:rFonts w:ascii="Arial" w:hAnsi="Arial" w:hint="default"/>
      </w:rPr>
    </w:lvl>
    <w:lvl w:ilvl="1" w:tplc="8312CD92">
      <w:start w:val="1"/>
      <w:numFmt w:val="lowerLetter"/>
      <w:lvlText w:val="%2."/>
      <w:lvlJc w:val="left"/>
      <w:pPr>
        <w:ind w:left="1440" w:hanging="360"/>
      </w:pPr>
    </w:lvl>
    <w:lvl w:ilvl="2" w:tplc="11F2B1B8">
      <w:start w:val="1"/>
      <w:numFmt w:val="lowerRoman"/>
      <w:lvlText w:val="%3."/>
      <w:lvlJc w:val="right"/>
      <w:pPr>
        <w:ind w:left="2160" w:hanging="180"/>
      </w:pPr>
    </w:lvl>
    <w:lvl w:ilvl="3" w:tplc="55FE5238">
      <w:start w:val="1"/>
      <w:numFmt w:val="decimal"/>
      <w:lvlText w:val="%4."/>
      <w:lvlJc w:val="left"/>
      <w:pPr>
        <w:ind w:left="2880" w:hanging="360"/>
      </w:pPr>
    </w:lvl>
    <w:lvl w:ilvl="4" w:tplc="8FBEF12C">
      <w:start w:val="1"/>
      <w:numFmt w:val="lowerLetter"/>
      <w:lvlText w:val="%5."/>
      <w:lvlJc w:val="left"/>
      <w:pPr>
        <w:ind w:left="3600" w:hanging="360"/>
      </w:pPr>
    </w:lvl>
    <w:lvl w:ilvl="5" w:tplc="E0D619A6">
      <w:start w:val="1"/>
      <w:numFmt w:val="lowerRoman"/>
      <w:lvlText w:val="%6."/>
      <w:lvlJc w:val="right"/>
      <w:pPr>
        <w:ind w:left="4320" w:hanging="180"/>
      </w:pPr>
    </w:lvl>
    <w:lvl w:ilvl="6" w:tplc="36084468">
      <w:start w:val="1"/>
      <w:numFmt w:val="decimal"/>
      <w:lvlText w:val="%7."/>
      <w:lvlJc w:val="left"/>
      <w:pPr>
        <w:ind w:left="5040" w:hanging="360"/>
      </w:pPr>
    </w:lvl>
    <w:lvl w:ilvl="7" w:tplc="9CE0E5A8">
      <w:start w:val="1"/>
      <w:numFmt w:val="lowerLetter"/>
      <w:lvlText w:val="%8."/>
      <w:lvlJc w:val="left"/>
      <w:pPr>
        <w:ind w:left="5760" w:hanging="360"/>
      </w:pPr>
    </w:lvl>
    <w:lvl w:ilvl="8" w:tplc="EA7C235C">
      <w:start w:val="1"/>
      <w:numFmt w:val="lowerRoman"/>
      <w:lvlText w:val="%9."/>
      <w:lvlJc w:val="right"/>
      <w:pPr>
        <w:ind w:left="6480" w:hanging="180"/>
      </w:pPr>
    </w:lvl>
  </w:abstractNum>
  <w:abstractNum w:abstractNumId="91" w15:restartNumberingAfterBreak="0">
    <w:nsid w:val="67754673"/>
    <w:multiLevelType w:val="multilevel"/>
    <w:tmpl w:val="B8F8A4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687A50D9"/>
    <w:multiLevelType w:val="hybridMultilevel"/>
    <w:tmpl w:val="BA386CA2"/>
    <w:lvl w:ilvl="0" w:tplc="BDE241AA">
      <w:start w:val="1"/>
      <w:numFmt w:val="decimal"/>
      <w:lvlText w:val="%1."/>
      <w:lvlJc w:val="left"/>
      <w:pPr>
        <w:ind w:left="813" w:hanging="420"/>
      </w:pPr>
      <w:rPr>
        <w:rFonts w:ascii="Arial" w:eastAsia="Arial" w:hAnsi="Arial" w:cs="Arial" w:hint="default"/>
        <w:b/>
        <w:bCs/>
        <w:i w:val="0"/>
        <w:iCs w:val="0"/>
        <w:color w:val="390A56"/>
        <w:spacing w:val="0"/>
        <w:w w:val="73"/>
        <w:sz w:val="32"/>
        <w:szCs w:val="32"/>
        <w:lang w:val="en-US" w:eastAsia="en-US" w:bidi="ar-SA"/>
      </w:rPr>
    </w:lvl>
    <w:lvl w:ilvl="1" w:tplc="153ACC06">
      <w:start w:val="1"/>
      <w:numFmt w:val="lowerRoman"/>
      <w:lvlText w:val="%2."/>
      <w:lvlJc w:val="left"/>
      <w:pPr>
        <w:ind w:left="753" w:hanging="360"/>
      </w:pPr>
      <w:rPr>
        <w:rFonts w:ascii="Arial" w:eastAsia="Arial" w:hAnsi="Arial" w:cs="Arial" w:hint="default"/>
        <w:b/>
        <w:bCs/>
        <w:i w:val="0"/>
        <w:iCs w:val="0"/>
        <w:color w:val="auto"/>
        <w:spacing w:val="0"/>
        <w:w w:val="84"/>
        <w:sz w:val="24"/>
        <w:szCs w:val="24"/>
        <w:lang w:val="en-US" w:eastAsia="en-US" w:bidi="ar-SA"/>
      </w:rPr>
    </w:lvl>
    <w:lvl w:ilvl="2" w:tplc="FA66C2D6">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3" w:tplc="19DA03C2">
      <w:numFmt w:val="bullet"/>
      <w:lvlText w:val="•"/>
      <w:lvlJc w:val="left"/>
      <w:pPr>
        <w:ind w:left="1527" w:hanging="227"/>
      </w:pPr>
      <w:rPr>
        <w:rFonts w:ascii="Arial" w:eastAsia="Arial" w:hAnsi="Arial" w:cs="Arial" w:hint="default"/>
        <w:b w:val="0"/>
        <w:bCs w:val="0"/>
        <w:i w:val="0"/>
        <w:iCs w:val="0"/>
        <w:color w:val="231F20"/>
        <w:spacing w:val="0"/>
        <w:w w:val="90"/>
        <w:sz w:val="18"/>
        <w:szCs w:val="18"/>
        <w:lang w:val="en-US" w:eastAsia="en-US" w:bidi="ar-SA"/>
      </w:rPr>
    </w:lvl>
    <w:lvl w:ilvl="4" w:tplc="AA34F652">
      <w:numFmt w:val="bullet"/>
      <w:lvlText w:val="•"/>
      <w:lvlJc w:val="left"/>
      <w:pPr>
        <w:ind w:left="2795" w:hanging="227"/>
      </w:pPr>
      <w:rPr>
        <w:rFonts w:hint="default"/>
        <w:lang w:val="en-US" w:eastAsia="en-US" w:bidi="ar-SA"/>
      </w:rPr>
    </w:lvl>
    <w:lvl w:ilvl="5" w:tplc="51080B94">
      <w:numFmt w:val="bullet"/>
      <w:lvlText w:val="•"/>
      <w:lvlJc w:val="left"/>
      <w:pPr>
        <w:ind w:left="4070" w:hanging="227"/>
      </w:pPr>
      <w:rPr>
        <w:rFonts w:hint="default"/>
        <w:lang w:val="en-US" w:eastAsia="en-US" w:bidi="ar-SA"/>
      </w:rPr>
    </w:lvl>
    <w:lvl w:ilvl="6" w:tplc="A156E77A">
      <w:numFmt w:val="bullet"/>
      <w:lvlText w:val="•"/>
      <w:lvlJc w:val="left"/>
      <w:pPr>
        <w:ind w:left="5345" w:hanging="227"/>
      </w:pPr>
      <w:rPr>
        <w:rFonts w:hint="default"/>
        <w:lang w:val="en-US" w:eastAsia="en-US" w:bidi="ar-SA"/>
      </w:rPr>
    </w:lvl>
    <w:lvl w:ilvl="7" w:tplc="D14CFEBE">
      <w:numFmt w:val="bullet"/>
      <w:lvlText w:val="•"/>
      <w:lvlJc w:val="left"/>
      <w:pPr>
        <w:ind w:left="6620" w:hanging="227"/>
      </w:pPr>
      <w:rPr>
        <w:rFonts w:hint="default"/>
        <w:lang w:val="en-US" w:eastAsia="en-US" w:bidi="ar-SA"/>
      </w:rPr>
    </w:lvl>
    <w:lvl w:ilvl="8" w:tplc="64AA2370">
      <w:numFmt w:val="bullet"/>
      <w:lvlText w:val="•"/>
      <w:lvlJc w:val="left"/>
      <w:pPr>
        <w:ind w:left="7895" w:hanging="227"/>
      </w:pPr>
      <w:rPr>
        <w:rFonts w:hint="default"/>
        <w:lang w:val="en-US" w:eastAsia="en-US" w:bidi="ar-SA"/>
      </w:rPr>
    </w:lvl>
  </w:abstractNum>
  <w:abstractNum w:abstractNumId="93" w15:restartNumberingAfterBreak="0">
    <w:nsid w:val="6B852955"/>
    <w:multiLevelType w:val="hybridMultilevel"/>
    <w:tmpl w:val="B0680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BD87C37"/>
    <w:multiLevelType w:val="hybridMultilevel"/>
    <w:tmpl w:val="4F44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3EEC03"/>
    <w:multiLevelType w:val="hybridMultilevel"/>
    <w:tmpl w:val="FFFFFFFF"/>
    <w:lvl w:ilvl="0" w:tplc="6DB88FC6">
      <w:start w:val="1"/>
      <w:numFmt w:val="bullet"/>
      <w:lvlText w:val=""/>
      <w:lvlJc w:val="left"/>
      <w:pPr>
        <w:ind w:left="720" w:hanging="360"/>
      </w:pPr>
      <w:rPr>
        <w:rFonts w:ascii="Symbol" w:hAnsi="Symbol" w:hint="default"/>
      </w:rPr>
    </w:lvl>
    <w:lvl w:ilvl="1" w:tplc="40487118">
      <w:start w:val="1"/>
      <w:numFmt w:val="bullet"/>
      <w:lvlText w:val="o"/>
      <w:lvlJc w:val="left"/>
      <w:pPr>
        <w:ind w:left="1440" w:hanging="360"/>
      </w:pPr>
      <w:rPr>
        <w:rFonts w:ascii="Courier New" w:hAnsi="Courier New" w:hint="default"/>
      </w:rPr>
    </w:lvl>
    <w:lvl w:ilvl="2" w:tplc="3F96E3E4">
      <w:start w:val="1"/>
      <w:numFmt w:val="bullet"/>
      <w:lvlText w:val=""/>
      <w:lvlJc w:val="left"/>
      <w:pPr>
        <w:ind w:left="2160" w:hanging="360"/>
      </w:pPr>
      <w:rPr>
        <w:rFonts w:ascii="Wingdings" w:hAnsi="Wingdings" w:hint="default"/>
      </w:rPr>
    </w:lvl>
    <w:lvl w:ilvl="3" w:tplc="6590DCFA">
      <w:start w:val="1"/>
      <w:numFmt w:val="bullet"/>
      <w:lvlText w:val=""/>
      <w:lvlJc w:val="left"/>
      <w:pPr>
        <w:ind w:left="2880" w:hanging="360"/>
      </w:pPr>
      <w:rPr>
        <w:rFonts w:ascii="Symbol" w:hAnsi="Symbol" w:hint="default"/>
      </w:rPr>
    </w:lvl>
    <w:lvl w:ilvl="4" w:tplc="139CC0C6">
      <w:start w:val="1"/>
      <w:numFmt w:val="bullet"/>
      <w:lvlText w:val="o"/>
      <w:lvlJc w:val="left"/>
      <w:pPr>
        <w:ind w:left="3600" w:hanging="360"/>
      </w:pPr>
      <w:rPr>
        <w:rFonts w:ascii="Courier New" w:hAnsi="Courier New" w:hint="default"/>
      </w:rPr>
    </w:lvl>
    <w:lvl w:ilvl="5" w:tplc="EAEAD610">
      <w:start w:val="1"/>
      <w:numFmt w:val="bullet"/>
      <w:lvlText w:val=""/>
      <w:lvlJc w:val="left"/>
      <w:pPr>
        <w:ind w:left="4320" w:hanging="360"/>
      </w:pPr>
      <w:rPr>
        <w:rFonts w:ascii="Wingdings" w:hAnsi="Wingdings" w:hint="default"/>
      </w:rPr>
    </w:lvl>
    <w:lvl w:ilvl="6" w:tplc="BA524E42">
      <w:start w:val="1"/>
      <w:numFmt w:val="bullet"/>
      <w:lvlText w:val=""/>
      <w:lvlJc w:val="left"/>
      <w:pPr>
        <w:ind w:left="5040" w:hanging="360"/>
      </w:pPr>
      <w:rPr>
        <w:rFonts w:ascii="Symbol" w:hAnsi="Symbol" w:hint="default"/>
      </w:rPr>
    </w:lvl>
    <w:lvl w:ilvl="7" w:tplc="A788AA08">
      <w:start w:val="1"/>
      <w:numFmt w:val="bullet"/>
      <w:lvlText w:val="o"/>
      <w:lvlJc w:val="left"/>
      <w:pPr>
        <w:ind w:left="5760" w:hanging="360"/>
      </w:pPr>
      <w:rPr>
        <w:rFonts w:ascii="Courier New" w:hAnsi="Courier New" w:hint="default"/>
      </w:rPr>
    </w:lvl>
    <w:lvl w:ilvl="8" w:tplc="A1781134">
      <w:start w:val="1"/>
      <w:numFmt w:val="bullet"/>
      <w:lvlText w:val=""/>
      <w:lvlJc w:val="left"/>
      <w:pPr>
        <w:ind w:left="6480" w:hanging="360"/>
      </w:pPr>
      <w:rPr>
        <w:rFonts w:ascii="Wingdings" w:hAnsi="Wingdings" w:hint="default"/>
      </w:rPr>
    </w:lvl>
  </w:abstractNum>
  <w:abstractNum w:abstractNumId="96" w15:restartNumberingAfterBreak="0">
    <w:nsid w:val="70D87017"/>
    <w:multiLevelType w:val="hybridMultilevel"/>
    <w:tmpl w:val="05D6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5737C8D"/>
    <w:multiLevelType w:val="hybridMultilevel"/>
    <w:tmpl w:val="E2D0F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5A762A0"/>
    <w:multiLevelType w:val="hybridMultilevel"/>
    <w:tmpl w:val="A0A20D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78DD0058"/>
    <w:multiLevelType w:val="hybridMultilevel"/>
    <w:tmpl w:val="BE962F4A"/>
    <w:lvl w:ilvl="0" w:tplc="AB52D468">
      <w:numFmt w:val="bullet"/>
      <w:lvlText w:val="•"/>
      <w:lvlJc w:val="left"/>
      <w:pPr>
        <w:ind w:left="1074" w:hanging="284"/>
      </w:pPr>
      <w:rPr>
        <w:rFonts w:ascii="Arial" w:eastAsia="Arial" w:hAnsi="Arial" w:cs="Arial" w:hint="default"/>
        <w:b w:val="0"/>
        <w:bCs w:val="0"/>
        <w:i w:val="0"/>
        <w:iCs w:val="0"/>
        <w:color w:val="231F20"/>
        <w:spacing w:val="0"/>
        <w:w w:val="90"/>
        <w:sz w:val="18"/>
        <w:szCs w:val="18"/>
        <w:lang w:val="en-US" w:eastAsia="en-US" w:bidi="ar-SA"/>
      </w:rPr>
    </w:lvl>
    <w:lvl w:ilvl="1" w:tplc="3A38D4EE">
      <w:numFmt w:val="bullet"/>
      <w:lvlText w:val="•"/>
      <w:lvlJc w:val="left"/>
      <w:pPr>
        <w:ind w:left="2016" w:hanging="284"/>
      </w:pPr>
      <w:rPr>
        <w:rFonts w:hint="default"/>
        <w:lang w:val="en-US" w:eastAsia="en-US" w:bidi="ar-SA"/>
      </w:rPr>
    </w:lvl>
    <w:lvl w:ilvl="2" w:tplc="656E9B26">
      <w:numFmt w:val="bullet"/>
      <w:lvlText w:val="•"/>
      <w:lvlJc w:val="left"/>
      <w:pPr>
        <w:ind w:left="2953" w:hanging="284"/>
      </w:pPr>
      <w:rPr>
        <w:rFonts w:hint="default"/>
        <w:lang w:val="en-US" w:eastAsia="en-US" w:bidi="ar-SA"/>
      </w:rPr>
    </w:lvl>
    <w:lvl w:ilvl="3" w:tplc="9B466700">
      <w:numFmt w:val="bullet"/>
      <w:lvlText w:val="•"/>
      <w:lvlJc w:val="left"/>
      <w:pPr>
        <w:ind w:left="3889" w:hanging="284"/>
      </w:pPr>
      <w:rPr>
        <w:rFonts w:hint="default"/>
        <w:lang w:val="en-US" w:eastAsia="en-US" w:bidi="ar-SA"/>
      </w:rPr>
    </w:lvl>
    <w:lvl w:ilvl="4" w:tplc="C6C28A44">
      <w:numFmt w:val="bullet"/>
      <w:lvlText w:val="•"/>
      <w:lvlJc w:val="left"/>
      <w:pPr>
        <w:ind w:left="4826" w:hanging="284"/>
      </w:pPr>
      <w:rPr>
        <w:rFonts w:hint="default"/>
        <w:lang w:val="en-US" w:eastAsia="en-US" w:bidi="ar-SA"/>
      </w:rPr>
    </w:lvl>
    <w:lvl w:ilvl="5" w:tplc="E38AAE74">
      <w:numFmt w:val="bullet"/>
      <w:lvlText w:val="•"/>
      <w:lvlJc w:val="left"/>
      <w:pPr>
        <w:ind w:left="5762" w:hanging="284"/>
      </w:pPr>
      <w:rPr>
        <w:rFonts w:hint="default"/>
        <w:lang w:val="en-US" w:eastAsia="en-US" w:bidi="ar-SA"/>
      </w:rPr>
    </w:lvl>
    <w:lvl w:ilvl="6" w:tplc="43B4C366">
      <w:numFmt w:val="bullet"/>
      <w:lvlText w:val="•"/>
      <w:lvlJc w:val="left"/>
      <w:pPr>
        <w:ind w:left="6699" w:hanging="284"/>
      </w:pPr>
      <w:rPr>
        <w:rFonts w:hint="default"/>
        <w:lang w:val="en-US" w:eastAsia="en-US" w:bidi="ar-SA"/>
      </w:rPr>
    </w:lvl>
    <w:lvl w:ilvl="7" w:tplc="9B708CAE">
      <w:numFmt w:val="bullet"/>
      <w:lvlText w:val="•"/>
      <w:lvlJc w:val="left"/>
      <w:pPr>
        <w:ind w:left="7635" w:hanging="284"/>
      </w:pPr>
      <w:rPr>
        <w:rFonts w:hint="default"/>
        <w:lang w:val="en-US" w:eastAsia="en-US" w:bidi="ar-SA"/>
      </w:rPr>
    </w:lvl>
    <w:lvl w:ilvl="8" w:tplc="6456D1AA">
      <w:numFmt w:val="bullet"/>
      <w:lvlText w:val="•"/>
      <w:lvlJc w:val="left"/>
      <w:pPr>
        <w:ind w:left="8572" w:hanging="284"/>
      </w:pPr>
      <w:rPr>
        <w:rFonts w:hint="default"/>
        <w:lang w:val="en-US" w:eastAsia="en-US" w:bidi="ar-SA"/>
      </w:rPr>
    </w:lvl>
  </w:abstractNum>
  <w:abstractNum w:abstractNumId="100" w15:restartNumberingAfterBreak="0">
    <w:nsid w:val="7A12552A"/>
    <w:multiLevelType w:val="multilevel"/>
    <w:tmpl w:val="C43CB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637CDB"/>
    <w:multiLevelType w:val="hybridMultilevel"/>
    <w:tmpl w:val="4078B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A7D6461"/>
    <w:multiLevelType w:val="hybridMultilevel"/>
    <w:tmpl w:val="6F964D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3" w15:restartNumberingAfterBreak="0">
    <w:nsid w:val="7B2212E3"/>
    <w:multiLevelType w:val="hybridMultilevel"/>
    <w:tmpl w:val="97D8D520"/>
    <w:lvl w:ilvl="0" w:tplc="5C3037CC">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B3330B6"/>
    <w:multiLevelType w:val="multilevel"/>
    <w:tmpl w:val="DE5E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C256A23"/>
    <w:multiLevelType w:val="hybridMultilevel"/>
    <w:tmpl w:val="2D768D1C"/>
    <w:lvl w:ilvl="0" w:tplc="64F224E0">
      <w:start w:val="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06" w15:restartNumberingAfterBreak="0">
    <w:nsid w:val="7DC95F9E"/>
    <w:multiLevelType w:val="hybridMultilevel"/>
    <w:tmpl w:val="FD80B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DD12428"/>
    <w:multiLevelType w:val="hybridMultilevel"/>
    <w:tmpl w:val="FFFFFFFF"/>
    <w:lvl w:ilvl="0" w:tplc="E27096CE">
      <w:start w:val="1"/>
      <w:numFmt w:val="bullet"/>
      <w:lvlText w:val=""/>
      <w:lvlJc w:val="left"/>
      <w:pPr>
        <w:ind w:left="720" w:hanging="360"/>
      </w:pPr>
      <w:rPr>
        <w:rFonts w:ascii="Symbol" w:hAnsi="Symbol" w:hint="default"/>
      </w:rPr>
    </w:lvl>
    <w:lvl w:ilvl="1" w:tplc="E6000C3A">
      <w:start w:val="1"/>
      <w:numFmt w:val="bullet"/>
      <w:lvlText w:val="o"/>
      <w:lvlJc w:val="left"/>
      <w:pPr>
        <w:ind w:left="1440" w:hanging="360"/>
      </w:pPr>
      <w:rPr>
        <w:rFonts w:ascii="Courier New" w:hAnsi="Courier New" w:hint="default"/>
      </w:rPr>
    </w:lvl>
    <w:lvl w:ilvl="2" w:tplc="5324E7CC">
      <w:start w:val="1"/>
      <w:numFmt w:val="bullet"/>
      <w:lvlText w:val=""/>
      <w:lvlJc w:val="left"/>
      <w:pPr>
        <w:ind w:left="2160" w:hanging="360"/>
      </w:pPr>
      <w:rPr>
        <w:rFonts w:ascii="Wingdings" w:hAnsi="Wingdings" w:hint="default"/>
      </w:rPr>
    </w:lvl>
    <w:lvl w:ilvl="3" w:tplc="19681C10">
      <w:start w:val="1"/>
      <w:numFmt w:val="bullet"/>
      <w:lvlText w:val=""/>
      <w:lvlJc w:val="left"/>
      <w:pPr>
        <w:ind w:left="2880" w:hanging="360"/>
      </w:pPr>
      <w:rPr>
        <w:rFonts w:ascii="Symbol" w:hAnsi="Symbol" w:hint="default"/>
      </w:rPr>
    </w:lvl>
    <w:lvl w:ilvl="4" w:tplc="044C3AF8">
      <w:start w:val="1"/>
      <w:numFmt w:val="bullet"/>
      <w:lvlText w:val="o"/>
      <w:lvlJc w:val="left"/>
      <w:pPr>
        <w:ind w:left="3600" w:hanging="360"/>
      </w:pPr>
      <w:rPr>
        <w:rFonts w:ascii="Courier New" w:hAnsi="Courier New" w:hint="default"/>
      </w:rPr>
    </w:lvl>
    <w:lvl w:ilvl="5" w:tplc="ABE03CBC">
      <w:start w:val="1"/>
      <w:numFmt w:val="bullet"/>
      <w:lvlText w:val=""/>
      <w:lvlJc w:val="left"/>
      <w:pPr>
        <w:ind w:left="4320" w:hanging="360"/>
      </w:pPr>
      <w:rPr>
        <w:rFonts w:ascii="Wingdings" w:hAnsi="Wingdings" w:hint="default"/>
      </w:rPr>
    </w:lvl>
    <w:lvl w:ilvl="6" w:tplc="70AAC244">
      <w:start w:val="1"/>
      <w:numFmt w:val="bullet"/>
      <w:lvlText w:val=""/>
      <w:lvlJc w:val="left"/>
      <w:pPr>
        <w:ind w:left="5040" w:hanging="360"/>
      </w:pPr>
      <w:rPr>
        <w:rFonts w:ascii="Symbol" w:hAnsi="Symbol" w:hint="default"/>
      </w:rPr>
    </w:lvl>
    <w:lvl w:ilvl="7" w:tplc="54664FE8">
      <w:start w:val="1"/>
      <w:numFmt w:val="bullet"/>
      <w:lvlText w:val="o"/>
      <w:lvlJc w:val="left"/>
      <w:pPr>
        <w:ind w:left="5760" w:hanging="360"/>
      </w:pPr>
      <w:rPr>
        <w:rFonts w:ascii="Courier New" w:hAnsi="Courier New" w:hint="default"/>
      </w:rPr>
    </w:lvl>
    <w:lvl w:ilvl="8" w:tplc="EB7C9688">
      <w:start w:val="1"/>
      <w:numFmt w:val="bullet"/>
      <w:lvlText w:val=""/>
      <w:lvlJc w:val="left"/>
      <w:pPr>
        <w:ind w:left="6480" w:hanging="360"/>
      </w:pPr>
      <w:rPr>
        <w:rFonts w:ascii="Wingdings" w:hAnsi="Wingdings" w:hint="default"/>
      </w:rPr>
    </w:lvl>
  </w:abstractNum>
  <w:abstractNum w:abstractNumId="108" w15:restartNumberingAfterBreak="0">
    <w:nsid w:val="7F204435"/>
    <w:multiLevelType w:val="multilevel"/>
    <w:tmpl w:val="52D40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FD44514"/>
    <w:multiLevelType w:val="multilevel"/>
    <w:tmpl w:val="C98C8164"/>
    <w:lvl w:ilvl="0">
      <w:start w:val="1"/>
      <w:numFmt w:val="lowerLetter"/>
      <w:pStyle w:val="Listnum"/>
      <w:lvlText w:val="(%1)"/>
      <w:lvlJc w:val="left"/>
      <w:pPr>
        <w:tabs>
          <w:tab w:val="num" w:pos="504"/>
        </w:tabs>
        <w:ind w:left="504" w:hanging="504"/>
      </w:pPr>
      <w:rPr>
        <w:rFonts w:hint="default"/>
      </w:rPr>
    </w:lvl>
    <w:lvl w:ilvl="1">
      <w:start w:val="1"/>
      <w:numFmt w:val="lowerRoman"/>
      <w:pStyle w:val="Listnum2"/>
      <w:lvlText w:val="(%2)"/>
      <w:lvlJc w:val="left"/>
      <w:pPr>
        <w:tabs>
          <w:tab w:val="num" w:pos="1008"/>
        </w:tabs>
        <w:ind w:left="1008" w:hanging="504"/>
      </w:pPr>
      <w:rPr>
        <w:rFonts w:hint="default"/>
      </w:rPr>
    </w:lvl>
    <w:lvl w:ilvl="2">
      <w:start w:val="1"/>
      <w:numFmt w:val="lowerLetter"/>
      <w:lvlRestart w:val="0"/>
      <w:pStyle w:val="Listnumgrey"/>
      <w:lvlText w:val="(%3)"/>
      <w:lvlJc w:val="left"/>
      <w:pPr>
        <w:tabs>
          <w:tab w:val="num" w:pos="504"/>
        </w:tabs>
        <w:ind w:left="504" w:hanging="504"/>
      </w:pPr>
      <w:rPr>
        <w:rFonts w:hint="default"/>
        <w:b w:val="0"/>
        <w:bCs/>
      </w:rPr>
    </w:lvl>
    <w:lvl w:ilvl="3">
      <w:start w:val="1"/>
      <w:numFmt w:val="lowerRoman"/>
      <w:pStyle w:val="Listnum2grey"/>
      <w:lvlText w:val="(%4)"/>
      <w:lvlJc w:val="left"/>
      <w:pPr>
        <w:tabs>
          <w:tab w:val="num" w:pos="1008"/>
        </w:tabs>
        <w:ind w:left="1008" w:hanging="504"/>
      </w:pPr>
      <w:rPr>
        <w:rFonts w:asciiTheme="minorHAnsi" w:eastAsiaTheme="minorHAnsi" w:hAnsiTheme="minorHAnsi" w:cstheme="minorBidi"/>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num w:numId="1" w16cid:durableId="2038655607">
    <w:abstractNumId w:val="38"/>
  </w:num>
  <w:num w:numId="2" w16cid:durableId="27730955">
    <w:abstractNumId w:val="103"/>
  </w:num>
  <w:num w:numId="3" w16cid:durableId="216671671">
    <w:abstractNumId w:val="40"/>
  </w:num>
  <w:num w:numId="4" w16cid:durableId="393622712">
    <w:abstractNumId w:val="109"/>
  </w:num>
  <w:num w:numId="5" w16cid:durableId="37442116">
    <w:abstractNumId w:val="71"/>
  </w:num>
  <w:num w:numId="6" w16cid:durableId="1999336023">
    <w:abstractNumId w:val="74"/>
  </w:num>
  <w:num w:numId="7" w16cid:durableId="1867407843">
    <w:abstractNumId w:val="32"/>
  </w:num>
  <w:num w:numId="8" w16cid:durableId="1809322536">
    <w:abstractNumId w:val="35"/>
  </w:num>
  <w:num w:numId="9" w16cid:durableId="793134751">
    <w:abstractNumId w:val="102"/>
  </w:num>
  <w:num w:numId="10" w16cid:durableId="597830639">
    <w:abstractNumId w:val="5"/>
  </w:num>
  <w:num w:numId="11" w16cid:durableId="1089540732">
    <w:abstractNumId w:val="51"/>
  </w:num>
  <w:num w:numId="12" w16cid:durableId="870073311">
    <w:abstractNumId w:val="15"/>
  </w:num>
  <w:num w:numId="13" w16cid:durableId="620502222">
    <w:abstractNumId w:val="0"/>
  </w:num>
  <w:num w:numId="14" w16cid:durableId="1214729914">
    <w:abstractNumId w:val="77"/>
  </w:num>
  <w:num w:numId="15" w16cid:durableId="1830251335">
    <w:abstractNumId w:val="52"/>
  </w:num>
  <w:num w:numId="16" w16cid:durableId="910894365">
    <w:abstractNumId w:val="98"/>
  </w:num>
  <w:num w:numId="17" w16cid:durableId="95903332">
    <w:abstractNumId w:val="73"/>
  </w:num>
  <w:num w:numId="18" w16cid:durableId="2004698501">
    <w:abstractNumId w:val="62"/>
  </w:num>
  <w:num w:numId="19" w16cid:durableId="239366681">
    <w:abstractNumId w:val="37"/>
  </w:num>
  <w:num w:numId="20" w16cid:durableId="58406162">
    <w:abstractNumId w:val="44"/>
  </w:num>
  <w:num w:numId="21" w16cid:durableId="1383212563">
    <w:abstractNumId w:val="92"/>
  </w:num>
  <w:num w:numId="22" w16cid:durableId="1974287611">
    <w:abstractNumId w:val="24"/>
  </w:num>
  <w:num w:numId="23" w16cid:durableId="1298142904">
    <w:abstractNumId w:val="46"/>
  </w:num>
  <w:num w:numId="24" w16cid:durableId="419984226">
    <w:abstractNumId w:val="47"/>
  </w:num>
  <w:num w:numId="25" w16cid:durableId="1568615301">
    <w:abstractNumId w:val="50"/>
  </w:num>
  <w:num w:numId="26" w16cid:durableId="2109808926">
    <w:abstractNumId w:val="36"/>
  </w:num>
  <w:num w:numId="27" w16cid:durableId="166868901">
    <w:abstractNumId w:val="99"/>
  </w:num>
  <w:num w:numId="28" w16cid:durableId="350183888">
    <w:abstractNumId w:val="48"/>
  </w:num>
  <w:num w:numId="29" w16cid:durableId="258099993">
    <w:abstractNumId w:val="67"/>
  </w:num>
  <w:num w:numId="30" w16cid:durableId="1918124326">
    <w:abstractNumId w:val="30"/>
  </w:num>
  <w:num w:numId="31" w16cid:durableId="3555455">
    <w:abstractNumId w:val="26"/>
  </w:num>
  <w:num w:numId="32" w16cid:durableId="1930964915">
    <w:abstractNumId w:val="4"/>
  </w:num>
  <w:num w:numId="33" w16cid:durableId="1452701837">
    <w:abstractNumId w:val="54"/>
  </w:num>
  <w:num w:numId="34" w16cid:durableId="1773166815">
    <w:abstractNumId w:val="104"/>
  </w:num>
  <w:num w:numId="35" w16cid:durableId="1348872382">
    <w:abstractNumId w:val="91"/>
  </w:num>
  <w:num w:numId="36" w16cid:durableId="135027579">
    <w:abstractNumId w:val="2"/>
  </w:num>
  <w:num w:numId="37" w16cid:durableId="1411584868">
    <w:abstractNumId w:val="68"/>
  </w:num>
  <w:num w:numId="38" w16cid:durableId="1833793924">
    <w:abstractNumId w:val="27"/>
  </w:num>
  <w:num w:numId="39" w16cid:durableId="715543494">
    <w:abstractNumId w:val="18"/>
  </w:num>
  <w:num w:numId="40" w16cid:durableId="2063945449">
    <w:abstractNumId w:val="75"/>
  </w:num>
  <w:num w:numId="41" w16cid:durableId="1844583749">
    <w:abstractNumId w:val="83"/>
  </w:num>
  <w:num w:numId="42" w16cid:durableId="1675763756">
    <w:abstractNumId w:val="56"/>
  </w:num>
  <w:num w:numId="43" w16cid:durableId="834489520">
    <w:abstractNumId w:val="9"/>
  </w:num>
  <w:num w:numId="44" w16cid:durableId="1409037119">
    <w:abstractNumId w:val="1"/>
  </w:num>
  <w:num w:numId="45" w16cid:durableId="1326326594">
    <w:abstractNumId w:val="87"/>
  </w:num>
  <w:num w:numId="46" w16cid:durableId="998267936">
    <w:abstractNumId w:val="58"/>
  </w:num>
  <w:num w:numId="47" w16cid:durableId="87777029">
    <w:abstractNumId w:val="7"/>
  </w:num>
  <w:num w:numId="48" w16cid:durableId="1648321362">
    <w:abstractNumId w:val="19"/>
  </w:num>
  <w:num w:numId="49" w16cid:durableId="1722292175">
    <w:abstractNumId w:val="28"/>
  </w:num>
  <w:num w:numId="50" w16cid:durableId="334117137">
    <w:abstractNumId w:val="88"/>
  </w:num>
  <w:num w:numId="51" w16cid:durableId="164634339">
    <w:abstractNumId w:val="41"/>
  </w:num>
  <w:num w:numId="52" w16cid:durableId="63378824">
    <w:abstractNumId w:val="49"/>
  </w:num>
  <w:num w:numId="53" w16cid:durableId="962349831">
    <w:abstractNumId w:val="53"/>
  </w:num>
  <w:num w:numId="54" w16cid:durableId="77024473">
    <w:abstractNumId w:val="94"/>
  </w:num>
  <w:num w:numId="55" w16cid:durableId="822504395">
    <w:abstractNumId w:val="23"/>
  </w:num>
  <w:num w:numId="56" w16cid:durableId="1336225594">
    <w:abstractNumId w:val="108"/>
  </w:num>
  <w:num w:numId="57" w16cid:durableId="1787850898">
    <w:abstractNumId w:val="85"/>
  </w:num>
  <w:num w:numId="58" w16cid:durableId="1402212603">
    <w:abstractNumId w:val="95"/>
  </w:num>
  <w:num w:numId="59" w16cid:durableId="1067798035">
    <w:abstractNumId w:val="107"/>
  </w:num>
  <w:num w:numId="60" w16cid:durableId="594629948">
    <w:abstractNumId w:val="76"/>
  </w:num>
  <w:num w:numId="61" w16cid:durableId="364454257">
    <w:abstractNumId w:val="25"/>
  </w:num>
  <w:num w:numId="62" w16cid:durableId="3871092">
    <w:abstractNumId w:val="69"/>
  </w:num>
  <w:num w:numId="63" w16cid:durableId="1706099950">
    <w:abstractNumId w:val="39"/>
  </w:num>
  <w:num w:numId="64" w16cid:durableId="1356350984">
    <w:abstractNumId w:val="96"/>
  </w:num>
  <w:num w:numId="65" w16cid:durableId="1311597249">
    <w:abstractNumId w:val="81"/>
  </w:num>
  <w:num w:numId="66" w16cid:durableId="1334145747">
    <w:abstractNumId w:val="10"/>
  </w:num>
  <w:num w:numId="67" w16cid:durableId="908618649">
    <w:abstractNumId w:val="14"/>
  </w:num>
  <w:num w:numId="68" w16cid:durableId="1429811934">
    <w:abstractNumId w:val="103"/>
  </w:num>
  <w:num w:numId="69" w16cid:durableId="1171067466">
    <w:abstractNumId w:val="103"/>
  </w:num>
  <w:num w:numId="70" w16cid:durableId="2124688833">
    <w:abstractNumId w:val="103"/>
  </w:num>
  <w:num w:numId="71" w16cid:durableId="1611468423">
    <w:abstractNumId w:val="103"/>
  </w:num>
  <w:num w:numId="72" w16cid:durableId="730881543">
    <w:abstractNumId w:val="103"/>
  </w:num>
  <w:num w:numId="73" w16cid:durableId="229771710">
    <w:abstractNumId w:val="103"/>
  </w:num>
  <w:num w:numId="74" w16cid:durableId="573049822">
    <w:abstractNumId w:val="86"/>
  </w:num>
  <w:num w:numId="75" w16cid:durableId="1160341102">
    <w:abstractNumId w:val="103"/>
  </w:num>
  <w:num w:numId="76" w16cid:durableId="1842046659">
    <w:abstractNumId w:val="103"/>
  </w:num>
  <w:num w:numId="77" w16cid:durableId="1103767941">
    <w:abstractNumId w:val="103"/>
  </w:num>
  <w:num w:numId="78" w16cid:durableId="164975713">
    <w:abstractNumId w:val="82"/>
  </w:num>
  <w:num w:numId="79" w16cid:durableId="80223343">
    <w:abstractNumId w:val="29"/>
  </w:num>
  <w:num w:numId="80" w16cid:durableId="142160693">
    <w:abstractNumId w:val="45"/>
  </w:num>
  <w:num w:numId="81" w16cid:durableId="1352222743">
    <w:abstractNumId w:val="72"/>
  </w:num>
  <w:num w:numId="82" w16cid:durableId="7876055">
    <w:abstractNumId w:val="80"/>
  </w:num>
  <w:num w:numId="83" w16cid:durableId="816803215">
    <w:abstractNumId w:val="79"/>
  </w:num>
  <w:num w:numId="84" w16cid:durableId="1443379863">
    <w:abstractNumId w:val="3"/>
  </w:num>
  <w:num w:numId="85" w16cid:durableId="263348185">
    <w:abstractNumId w:val="63"/>
  </w:num>
  <w:num w:numId="86" w16cid:durableId="355934399">
    <w:abstractNumId w:val="63"/>
    <w:lvlOverride w:ilvl="0">
      <w:startOverride w:val="1"/>
    </w:lvlOverride>
  </w:num>
  <w:num w:numId="87" w16cid:durableId="239101257">
    <w:abstractNumId w:val="63"/>
    <w:lvlOverride w:ilvl="0">
      <w:startOverride w:val="1"/>
    </w:lvlOverride>
  </w:num>
  <w:num w:numId="88" w16cid:durableId="537200141">
    <w:abstractNumId w:val="63"/>
    <w:lvlOverride w:ilvl="0">
      <w:startOverride w:val="1"/>
    </w:lvlOverride>
  </w:num>
  <w:num w:numId="89" w16cid:durableId="754783500">
    <w:abstractNumId w:val="63"/>
    <w:lvlOverride w:ilvl="0">
      <w:startOverride w:val="1"/>
    </w:lvlOverride>
  </w:num>
  <w:num w:numId="90" w16cid:durableId="2140763844">
    <w:abstractNumId w:val="63"/>
    <w:lvlOverride w:ilvl="0">
      <w:startOverride w:val="1"/>
    </w:lvlOverride>
  </w:num>
  <w:num w:numId="91" w16cid:durableId="1370300847">
    <w:abstractNumId w:val="63"/>
    <w:lvlOverride w:ilvl="0">
      <w:startOverride w:val="1"/>
    </w:lvlOverride>
  </w:num>
  <w:num w:numId="92" w16cid:durableId="1756703773">
    <w:abstractNumId w:val="16"/>
  </w:num>
  <w:num w:numId="93" w16cid:durableId="1859196679">
    <w:abstractNumId w:val="21"/>
  </w:num>
  <w:num w:numId="94" w16cid:durableId="1344939654">
    <w:abstractNumId w:val="63"/>
    <w:lvlOverride w:ilvl="0">
      <w:startOverride w:val="1"/>
    </w:lvlOverride>
  </w:num>
  <w:num w:numId="95" w16cid:durableId="2118675868">
    <w:abstractNumId w:val="63"/>
    <w:lvlOverride w:ilvl="0">
      <w:startOverride w:val="1"/>
    </w:lvlOverride>
  </w:num>
  <w:num w:numId="96" w16cid:durableId="1646811642">
    <w:abstractNumId w:val="63"/>
    <w:lvlOverride w:ilvl="0">
      <w:startOverride w:val="1"/>
    </w:lvlOverride>
  </w:num>
  <w:num w:numId="97" w16cid:durableId="982661731">
    <w:abstractNumId w:val="33"/>
  </w:num>
  <w:num w:numId="98" w16cid:durableId="1119836904">
    <w:abstractNumId w:val="43"/>
  </w:num>
  <w:num w:numId="99" w16cid:durableId="2008484872">
    <w:abstractNumId w:val="66"/>
  </w:num>
  <w:num w:numId="100" w16cid:durableId="513149640">
    <w:abstractNumId w:val="70"/>
  </w:num>
  <w:num w:numId="101" w16cid:durableId="985015519">
    <w:abstractNumId w:val="64"/>
  </w:num>
  <w:num w:numId="102" w16cid:durableId="2041776128">
    <w:abstractNumId w:val="22"/>
  </w:num>
  <w:num w:numId="103" w16cid:durableId="2140802901">
    <w:abstractNumId w:val="93"/>
  </w:num>
  <w:num w:numId="104" w16cid:durableId="1246845991">
    <w:abstractNumId w:val="63"/>
    <w:lvlOverride w:ilvl="0">
      <w:startOverride w:val="1"/>
    </w:lvlOverride>
  </w:num>
  <w:num w:numId="105" w16cid:durableId="2111194628">
    <w:abstractNumId w:val="63"/>
    <w:lvlOverride w:ilvl="0">
      <w:startOverride w:val="1"/>
    </w:lvlOverride>
  </w:num>
  <w:num w:numId="106" w16cid:durableId="1748456473">
    <w:abstractNumId w:val="105"/>
  </w:num>
  <w:num w:numId="107" w16cid:durableId="1483887814">
    <w:abstractNumId w:val="78"/>
  </w:num>
  <w:num w:numId="108" w16cid:durableId="198395130">
    <w:abstractNumId w:val="84"/>
  </w:num>
  <w:num w:numId="109" w16cid:durableId="1998921097">
    <w:abstractNumId w:val="63"/>
    <w:lvlOverride w:ilvl="0">
      <w:startOverride w:val="1"/>
    </w:lvlOverride>
  </w:num>
  <w:num w:numId="110" w16cid:durableId="695424289">
    <w:abstractNumId w:val="20"/>
  </w:num>
  <w:num w:numId="111" w16cid:durableId="1758012934">
    <w:abstractNumId w:val="97"/>
  </w:num>
  <w:num w:numId="112" w16cid:durableId="769743736">
    <w:abstractNumId w:val="63"/>
    <w:lvlOverride w:ilvl="0">
      <w:startOverride w:val="1"/>
    </w:lvlOverride>
  </w:num>
  <w:num w:numId="113" w16cid:durableId="2118212309">
    <w:abstractNumId w:val="6"/>
  </w:num>
  <w:num w:numId="114" w16cid:durableId="1863281302">
    <w:abstractNumId w:val="63"/>
    <w:lvlOverride w:ilvl="0">
      <w:startOverride w:val="1"/>
    </w:lvlOverride>
  </w:num>
  <w:num w:numId="115" w16cid:durableId="1170750487">
    <w:abstractNumId w:val="89"/>
  </w:num>
  <w:num w:numId="116" w16cid:durableId="1371418269">
    <w:abstractNumId w:val="55"/>
  </w:num>
  <w:num w:numId="117" w16cid:durableId="1003433762">
    <w:abstractNumId w:val="13"/>
  </w:num>
  <w:num w:numId="118" w16cid:durableId="1197886132">
    <w:abstractNumId w:val="100"/>
  </w:num>
  <w:num w:numId="119" w16cid:durableId="593441785">
    <w:abstractNumId w:val="8"/>
  </w:num>
  <w:num w:numId="120" w16cid:durableId="1068377391">
    <w:abstractNumId w:val="60"/>
  </w:num>
  <w:num w:numId="121" w16cid:durableId="866795575">
    <w:abstractNumId w:val="59"/>
  </w:num>
  <w:num w:numId="122" w16cid:durableId="20522206">
    <w:abstractNumId w:val="31"/>
  </w:num>
  <w:num w:numId="123" w16cid:durableId="307248973">
    <w:abstractNumId w:val="65"/>
  </w:num>
  <w:num w:numId="124" w16cid:durableId="778112553">
    <w:abstractNumId w:val="106"/>
  </w:num>
  <w:num w:numId="125" w16cid:durableId="1112433470">
    <w:abstractNumId w:val="17"/>
  </w:num>
  <w:num w:numId="126" w16cid:durableId="944340159">
    <w:abstractNumId w:val="63"/>
    <w:lvlOverride w:ilvl="0">
      <w:startOverride w:val="1"/>
    </w:lvlOverride>
  </w:num>
  <w:num w:numId="127" w16cid:durableId="560364453">
    <w:abstractNumId w:val="63"/>
    <w:lvlOverride w:ilvl="0">
      <w:startOverride w:val="1"/>
    </w:lvlOverride>
  </w:num>
  <w:num w:numId="128" w16cid:durableId="1214806573">
    <w:abstractNumId w:val="63"/>
    <w:lvlOverride w:ilvl="0">
      <w:startOverride w:val="1"/>
    </w:lvlOverride>
  </w:num>
  <w:num w:numId="129" w16cid:durableId="1912544644">
    <w:abstractNumId w:val="63"/>
    <w:lvlOverride w:ilvl="0">
      <w:startOverride w:val="1"/>
    </w:lvlOverride>
  </w:num>
  <w:num w:numId="130" w16cid:durableId="1974797508">
    <w:abstractNumId w:val="63"/>
    <w:lvlOverride w:ilvl="0">
      <w:startOverride w:val="1"/>
    </w:lvlOverride>
  </w:num>
  <w:num w:numId="131" w16cid:durableId="1270971201">
    <w:abstractNumId w:val="63"/>
    <w:lvlOverride w:ilvl="0">
      <w:startOverride w:val="1"/>
    </w:lvlOverride>
  </w:num>
  <w:num w:numId="132" w16cid:durableId="1798453366">
    <w:abstractNumId w:val="63"/>
    <w:lvlOverride w:ilvl="0">
      <w:startOverride w:val="1"/>
    </w:lvlOverride>
  </w:num>
  <w:num w:numId="133" w16cid:durableId="2045907279">
    <w:abstractNumId w:val="63"/>
    <w:lvlOverride w:ilvl="0">
      <w:startOverride w:val="1"/>
    </w:lvlOverride>
  </w:num>
  <w:num w:numId="134" w16cid:durableId="1362322032">
    <w:abstractNumId w:val="63"/>
    <w:lvlOverride w:ilvl="0">
      <w:startOverride w:val="1"/>
    </w:lvlOverride>
  </w:num>
  <w:num w:numId="135" w16cid:durableId="986083893">
    <w:abstractNumId w:val="63"/>
    <w:lvlOverride w:ilvl="0">
      <w:startOverride w:val="1"/>
    </w:lvlOverride>
  </w:num>
  <w:num w:numId="136" w16cid:durableId="1480809479">
    <w:abstractNumId w:val="63"/>
    <w:lvlOverride w:ilvl="0">
      <w:startOverride w:val="1"/>
    </w:lvlOverride>
  </w:num>
  <w:num w:numId="137" w16cid:durableId="345795074">
    <w:abstractNumId w:val="63"/>
    <w:lvlOverride w:ilvl="0">
      <w:startOverride w:val="1"/>
    </w:lvlOverride>
  </w:num>
  <w:num w:numId="138" w16cid:durableId="919607229">
    <w:abstractNumId w:val="63"/>
    <w:lvlOverride w:ilvl="0">
      <w:startOverride w:val="1"/>
    </w:lvlOverride>
  </w:num>
  <w:num w:numId="139" w16cid:durableId="1633713604">
    <w:abstractNumId w:val="42"/>
  </w:num>
  <w:num w:numId="140" w16cid:durableId="1043751672">
    <w:abstractNumId w:val="34"/>
  </w:num>
  <w:num w:numId="141" w16cid:durableId="1675643653">
    <w:abstractNumId w:val="90"/>
  </w:num>
  <w:num w:numId="142" w16cid:durableId="1475486809">
    <w:abstractNumId w:val="74"/>
  </w:num>
  <w:num w:numId="143" w16cid:durableId="1595020106">
    <w:abstractNumId w:val="57"/>
  </w:num>
  <w:num w:numId="144" w16cid:durableId="1413352122">
    <w:abstractNumId w:val="3"/>
    <w:lvlOverride w:ilvl="0">
      <w:startOverride w:val="1"/>
    </w:lvlOverride>
  </w:num>
  <w:num w:numId="145" w16cid:durableId="72629670">
    <w:abstractNumId w:val="61"/>
  </w:num>
  <w:num w:numId="146" w16cid:durableId="1017463866">
    <w:abstractNumId w:val="3"/>
    <w:lvlOverride w:ilvl="0">
      <w:startOverride w:val="1"/>
    </w:lvlOverride>
  </w:num>
  <w:num w:numId="147" w16cid:durableId="208542220">
    <w:abstractNumId w:val="101"/>
  </w:num>
  <w:num w:numId="148" w16cid:durableId="220868337">
    <w:abstractNumId w:val="11"/>
  </w:num>
  <w:num w:numId="149" w16cid:durableId="1293707804">
    <w:abstractNumId w:val="1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2F6"/>
    <w:rsid w:val="00000425"/>
    <w:rsid w:val="000004AB"/>
    <w:rsid w:val="000004C2"/>
    <w:rsid w:val="00000513"/>
    <w:rsid w:val="00000687"/>
    <w:rsid w:val="0000087F"/>
    <w:rsid w:val="0000092D"/>
    <w:rsid w:val="00000A87"/>
    <w:rsid w:val="00000BCA"/>
    <w:rsid w:val="00000C3D"/>
    <w:rsid w:val="00000CEF"/>
    <w:rsid w:val="00000E88"/>
    <w:rsid w:val="00000F33"/>
    <w:rsid w:val="00000F44"/>
    <w:rsid w:val="00000FC8"/>
    <w:rsid w:val="0000105F"/>
    <w:rsid w:val="00001063"/>
    <w:rsid w:val="000010A5"/>
    <w:rsid w:val="00001155"/>
    <w:rsid w:val="000013A4"/>
    <w:rsid w:val="000013B0"/>
    <w:rsid w:val="000013E6"/>
    <w:rsid w:val="000014F7"/>
    <w:rsid w:val="00001771"/>
    <w:rsid w:val="0000182A"/>
    <w:rsid w:val="00001830"/>
    <w:rsid w:val="00001894"/>
    <w:rsid w:val="000018BD"/>
    <w:rsid w:val="000018C8"/>
    <w:rsid w:val="00001907"/>
    <w:rsid w:val="00001B08"/>
    <w:rsid w:val="00001B96"/>
    <w:rsid w:val="00001C0C"/>
    <w:rsid w:val="00001CD2"/>
    <w:rsid w:val="00001D29"/>
    <w:rsid w:val="00001D3A"/>
    <w:rsid w:val="00001D58"/>
    <w:rsid w:val="00001DA2"/>
    <w:rsid w:val="00001E80"/>
    <w:rsid w:val="00001E9F"/>
    <w:rsid w:val="0000200E"/>
    <w:rsid w:val="0000215D"/>
    <w:rsid w:val="00002185"/>
    <w:rsid w:val="0000222B"/>
    <w:rsid w:val="00002346"/>
    <w:rsid w:val="000024BD"/>
    <w:rsid w:val="0000253F"/>
    <w:rsid w:val="00002613"/>
    <w:rsid w:val="0000268C"/>
    <w:rsid w:val="00002727"/>
    <w:rsid w:val="0000284D"/>
    <w:rsid w:val="00002921"/>
    <w:rsid w:val="00002940"/>
    <w:rsid w:val="000029AA"/>
    <w:rsid w:val="000029FF"/>
    <w:rsid w:val="00002A94"/>
    <w:rsid w:val="00002C18"/>
    <w:rsid w:val="00002D51"/>
    <w:rsid w:val="00003049"/>
    <w:rsid w:val="000030E5"/>
    <w:rsid w:val="0000312C"/>
    <w:rsid w:val="000031A5"/>
    <w:rsid w:val="00003363"/>
    <w:rsid w:val="00003373"/>
    <w:rsid w:val="00003413"/>
    <w:rsid w:val="000034F5"/>
    <w:rsid w:val="000034FE"/>
    <w:rsid w:val="00003660"/>
    <w:rsid w:val="00003796"/>
    <w:rsid w:val="000037FD"/>
    <w:rsid w:val="00003D28"/>
    <w:rsid w:val="00003E38"/>
    <w:rsid w:val="00003E78"/>
    <w:rsid w:val="00003FB8"/>
    <w:rsid w:val="000040D7"/>
    <w:rsid w:val="000041A3"/>
    <w:rsid w:val="000041FB"/>
    <w:rsid w:val="00004242"/>
    <w:rsid w:val="000042C8"/>
    <w:rsid w:val="0000437D"/>
    <w:rsid w:val="00004407"/>
    <w:rsid w:val="00004475"/>
    <w:rsid w:val="0000470E"/>
    <w:rsid w:val="0000471A"/>
    <w:rsid w:val="00004894"/>
    <w:rsid w:val="000048A7"/>
    <w:rsid w:val="000049EF"/>
    <w:rsid w:val="00004E2B"/>
    <w:rsid w:val="0000503E"/>
    <w:rsid w:val="00005110"/>
    <w:rsid w:val="000051B7"/>
    <w:rsid w:val="00005360"/>
    <w:rsid w:val="0000552A"/>
    <w:rsid w:val="00005745"/>
    <w:rsid w:val="00005776"/>
    <w:rsid w:val="000057C7"/>
    <w:rsid w:val="00005A41"/>
    <w:rsid w:val="000060DE"/>
    <w:rsid w:val="000060E6"/>
    <w:rsid w:val="00006266"/>
    <w:rsid w:val="000064F1"/>
    <w:rsid w:val="0000658A"/>
    <w:rsid w:val="000065D4"/>
    <w:rsid w:val="00006691"/>
    <w:rsid w:val="00006761"/>
    <w:rsid w:val="0000689E"/>
    <w:rsid w:val="000068E9"/>
    <w:rsid w:val="00006A07"/>
    <w:rsid w:val="00006A0A"/>
    <w:rsid w:val="00006A85"/>
    <w:rsid w:val="00006A89"/>
    <w:rsid w:val="00006B62"/>
    <w:rsid w:val="00006BDE"/>
    <w:rsid w:val="00006CBA"/>
    <w:rsid w:val="00006E41"/>
    <w:rsid w:val="0000706D"/>
    <w:rsid w:val="000070D3"/>
    <w:rsid w:val="000071F1"/>
    <w:rsid w:val="000072BA"/>
    <w:rsid w:val="00007370"/>
    <w:rsid w:val="00007428"/>
    <w:rsid w:val="000074D3"/>
    <w:rsid w:val="00007816"/>
    <w:rsid w:val="000078B9"/>
    <w:rsid w:val="0000792F"/>
    <w:rsid w:val="00007931"/>
    <w:rsid w:val="00007AB0"/>
    <w:rsid w:val="00007AE1"/>
    <w:rsid w:val="00007BFB"/>
    <w:rsid w:val="00007CD3"/>
    <w:rsid w:val="00007FD9"/>
    <w:rsid w:val="00010176"/>
    <w:rsid w:val="00010223"/>
    <w:rsid w:val="00010253"/>
    <w:rsid w:val="00010384"/>
    <w:rsid w:val="0001051F"/>
    <w:rsid w:val="00010565"/>
    <w:rsid w:val="00010611"/>
    <w:rsid w:val="000106D1"/>
    <w:rsid w:val="00010707"/>
    <w:rsid w:val="0001071C"/>
    <w:rsid w:val="00010750"/>
    <w:rsid w:val="00010802"/>
    <w:rsid w:val="00010B57"/>
    <w:rsid w:val="00010E0F"/>
    <w:rsid w:val="00010F26"/>
    <w:rsid w:val="00010F67"/>
    <w:rsid w:val="00010F77"/>
    <w:rsid w:val="00011388"/>
    <w:rsid w:val="00011482"/>
    <w:rsid w:val="000114D4"/>
    <w:rsid w:val="000114E8"/>
    <w:rsid w:val="000115B6"/>
    <w:rsid w:val="0001184C"/>
    <w:rsid w:val="00011977"/>
    <w:rsid w:val="0001198F"/>
    <w:rsid w:val="00011A77"/>
    <w:rsid w:val="00011C06"/>
    <w:rsid w:val="00011E01"/>
    <w:rsid w:val="00011E19"/>
    <w:rsid w:val="00011FE8"/>
    <w:rsid w:val="00012058"/>
    <w:rsid w:val="000121A4"/>
    <w:rsid w:val="00012229"/>
    <w:rsid w:val="00012304"/>
    <w:rsid w:val="000125BB"/>
    <w:rsid w:val="0001265D"/>
    <w:rsid w:val="00012735"/>
    <w:rsid w:val="000127B5"/>
    <w:rsid w:val="000127FC"/>
    <w:rsid w:val="00012D95"/>
    <w:rsid w:val="00012EE6"/>
    <w:rsid w:val="00013166"/>
    <w:rsid w:val="00013191"/>
    <w:rsid w:val="000133BA"/>
    <w:rsid w:val="00013472"/>
    <w:rsid w:val="00013695"/>
    <w:rsid w:val="000136EE"/>
    <w:rsid w:val="00013719"/>
    <w:rsid w:val="00013783"/>
    <w:rsid w:val="00013786"/>
    <w:rsid w:val="000137B9"/>
    <w:rsid w:val="00013836"/>
    <w:rsid w:val="000138DD"/>
    <w:rsid w:val="00013942"/>
    <w:rsid w:val="000139E5"/>
    <w:rsid w:val="00013B6E"/>
    <w:rsid w:val="00013C37"/>
    <w:rsid w:val="00013D10"/>
    <w:rsid w:val="00013D86"/>
    <w:rsid w:val="00013E10"/>
    <w:rsid w:val="00013E2D"/>
    <w:rsid w:val="00013E6A"/>
    <w:rsid w:val="00013E7C"/>
    <w:rsid w:val="00013F63"/>
    <w:rsid w:val="0001400A"/>
    <w:rsid w:val="000140F3"/>
    <w:rsid w:val="00014365"/>
    <w:rsid w:val="000145F3"/>
    <w:rsid w:val="000149B5"/>
    <w:rsid w:val="00014A3B"/>
    <w:rsid w:val="00014B27"/>
    <w:rsid w:val="00014B4F"/>
    <w:rsid w:val="00014DEE"/>
    <w:rsid w:val="00014FBB"/>
    <w:rsid w:val="00015032"/>
    <w:rsid w:val="000151EE"/>
    <w:rsid w:val="000152AA"/>
    <w:rsid w:val="000152BF"/>
    <w:rsid w:val="00015382"/>
    <w:rsid w:val="000156BC"/>
    <w:rsid w:val="000156E6"/>
    <w:rsid w:val="0001579E"/>
    <w:rsid w:val="00015C8A"/>
    <w:rsid w:val="00015EC0"/>
    <w:rsid w:val="00016332"/>
    <w:rsid w:val="00016363"/>
    <w:rsid w:val="000163ED"/>
    <w:rsid w:val="0001646A"/>
    <w:rsid w:val="00016553"/>
    <w:rsid w:val="00016577"/>
    <w:rsid w:val="0001667A"/>
    <w:rsid w:val="0001693F"/>
    <w:rsid w:val="0001697C"/>
    <w:rsid w:val="00016A03"/>
    <w:rsid w:val="00016B1F"/>
    <w:rsid w:val="00016C49"/>
    <w:rsid w:val="00016DAA"/>
    <w:rsid w:val="00016E38"/>
    <w:rsid w:val="000170E1"/>
    <w:rsid w:val="000171F5"/>
    <w:rsid w:val="000171FC"/>
    <w:rsid w:val="00017219"/>
    <w:rsid w:val="000172D0"/>
    <w:rsid w:val="000172E2"/>
    <w:rsid w:val="000175F1"/>
    <w:rsid w:val="0001766B"/>
    <w:rsid w:val="000179B5"/>
    <w:rsid w:val="00017A42"/>
    <w:rsid w:val="00017D10"/>
    <w:rsid w:val="00017DD9"/>
    <w:rsid w:val="000200B7"/>
    <w:rsid w:val="0002016D"/>
    <w:rsid w:val="00020190"/>
    <w:rsid w:val="0002024C"/>
    <w:rsid w:val="0002036F"/>
    <w:rsid w:val="00020477"/>
    <w:rsid w:val="000206DC"/>
    <w:rsid w:val="0002073D"/>
    <w:rsid w:val="00020935"/>
    <w:rsid w:val="00020A2E"/>
    <w:rsid w:val="00020A3E"/>
    <w:rsid w:val="00020C12"/>
    <w:rsid w:val="00020C15"/>
    <w:rsid w:val="00020C57"/>
    <w:rsid w:val="00020D35"/>
    <w:rsid w:val="000210F6"/>
    <w:rsid w:val="00021166"/>
    <w:rsid w:val="000211A6"/>
    <w:rsid w:val="00021220"/>
    <w:rsid w:val="00021454"/>
    <w:rsid w:val="00021564"/>
    <w:rsid w:val="000215B4"/>
    <w:rsid w:val="0002161F"/>
    <w:rsid w:val="00021675"/>
    <w:rsid w:val="0002174F"/>
    <w:rsid w:val="0002180D"/>
    <w:rsid w:val="0002186F"/>
    <w:rsid w:val="0002191E"/>
    <w:rsid w:val="00021AFE"/>
    <w:rsid w:val="00021B33"/>
    <w:rsid w:val="00021E5B"/>
    <w:rsid w:val="00021EBD"/>
    <w:rsid w:val="00021F03"/>
    <w:rsid w:val="00021FD6"/>
    <w:rsid w:val="0002206D"/>
    <w:rsid w:val="00022373"/>
    <w:rsid w:val="000225FD"/>
    <w:rsid w:val="0002261F"/>
    <w:rsid w:val="000226D5"/>
    <w:rsid w:val="00022751"/>
    <w:rsid w:val="000227ED"/>
    <w:rsid w:val="0002283B"/>
    <w:rsid w:val="0002283C"/>
    <w:rsid w:val="000228A1"/>
    <w:rsid w:val="00022BFB"/>
    <w:rsid w:val="00022BFC"/>
    <w:rsid w:val="00022F6D"/>
    <w:rsid w:val="0002312B"/>
    <w:rsid w:val="0002320E"/>
    <w:rsid w:val="000235FB"/>
    <w:rsid w:val="0002372A"/>
    <w:rsid w:val="00023758"/>
    <w:rsid w:val="00023775"/>
    <w:rsid w:val="00023813"/>
    <w:rsid w:val="000239CE"/>
    <w:rsid w:val="00023A48"/>
    <w:rsid w:val="00023B01"/>
    <w:rsid w:val="00023BE1"/>
    <w:rsid w:val="00023BFD"/>
    <w:rsid w:val="00023CB7"/>
    <w:rsid w:val="00023DBF"/>
    <w:rsid w:val="00023E30"/>
    <w:rsid w:val="00023E91"/>
    <w:rsid w:val="00023EF7"/>
    <w:rsid w:val="00023F4E"/>
    <w:rsid w:val="0002407C"/>
    <w:rsid w:val="000241CF"/>
    <w:rsid w:val="00024597"/>
    <w:rsid w:val="00024764"/>
    <w:rsid w:val="00024848"/>
    <w:rsid w:val="0002492A"/>
    <w:rsid w:val="00024B43"/>
    <w:rsid w:val="00024CA5"/>
    <w:rsid w:val="00024D01"/>
    <w:rsid w:val="00024D0F"/>
    <w:rsid w:val="00025017"/>
    <w:rsid w:val="0002511B"/>
    <w:rsid w:val="0002527D"/>
    <w:rsid w:val="00025570"/>
    <w:rsid w:val="00025859"/>
    <w:rsid w:val="0002590E"/>
    <w:rsid w:val="00025A76"/>
    <w:rsid w:val="00025E1E"/>
    <w:rsid w:val="00026282"/>
    <w:rsid w:val="00026691"/>
    <w:rsid w:val="000266F6"/>
    <w:rsid w:val="00026891"/>
    <w:rsid w:val="000269C5"/>
    <w:rsid w:val="00026B5B"/>
    <w:rsid w:val="00026BD1"/>
    <w:rsid w:val="00026CE6"/>
    <w:rsid w:val="00026D6A"/>
    <w:rsid w:val="00026EEA"/>
    <w:rsid w:val="00027217"/>
    <w:rsid w:val="00027249"/>
    <w:rsid w:val="00027384"/>
    <w:rsid w:val="00027498"/>
    <w:rsid w:val="000274D2"/>
    <w:rsid w:val="0002775C"/>
    <w:rsid w:val="00027770"/>
    <w:rsid w:val="000278BE"/>
    <w:rsid w:val="00027B73"/>
    <w:rsid w:val="00027C14"/>
    <w:rsid w:val="00027C48"/>
    <w:rsid w:val="00027D53"/>
    <w:rsid w:val="00027DE9"/>
    <w:rsid w:val="000298FF"/>
    <w:rsid w:val="000300C0"/>
    <w:rsid w:val="0003012A"/>
    <w:rsid w:val="00030131"/>
    <w:rsid w:val="00030138"/>
    <w:rsid w:val="0003018C"/>
    <w:rsid w:val="00030242"/>
    <w:rsid w:val="00030312"/>
    <w:rsid w:val="0003032B"/>
    <w:rsid w:val="00030334"/>
    <w:rsid w:val="0003033B"/>
    <w:rsid w:val="00030605"/>
    <w:rsid w:val="0003079D"/>
    <w:rsid w:val="000308F8"/>
    <w:rsid w:val="00030904"/>
    <w:rsid w:val="00030938"/>
    <w:rsid w:val="00030A8B"/>
    <w:rsid w:val="00030AFF"/>
    <w:rsid w:val="00030DC3"/>
    <w:rsid w:val="00030E15"/>
    <w:rsid w:val="00030E74"/>
    <w:rsid w:val="00030E76"/>
    <w:rsid w:val="00030FC3"/>
    <w:rsid w:val="000311B9"/>
    <w:rsid w:val="0003123D"/>
    <w:rsid w:val="00031386"/>
    <w:rsid w:val="000314C9"/>
    <w:rsid w:val="000315CA"/>
    <w:rsid w:val="00031624"/>
    <w:rsid w:val="000317D5"/>
    <w:rsid w:val="00031866"/>
    <w:rsid w:val="000318C1"/>
    <w:rsid w:val="00031AE0"/>
    <w:rsid w:val="00031BCB"/>
    <w:rsid w:val="00031C8C"/>
    <w:rsid w:val="00031D00"/>
    <w:rsid w:val="00031DB5"/>
    <w:rsid w:val="00031DD1"/>
    <w:rsid w:val="00032007"/>
    <w:rsid w:val="00032090"/>
    <w:rsid w:val="0003209D"/>
    <w:rsid w:val="00032255"/>
    <w:rsid w:val="000326FB"/>
    <w:rsid w:val="00032701"/>
    <w:rsid w:val="00032D15"/>
    <w:rsid w:val="00032E03"/>
    <w:rsid w:val="00032FB5"/>
    <w:rsid w:val="00032FE1"/>
    <w:rsid w:val="00033032"/>
    <w:rsid w:val="0003323A"/>
    <w:rsid w:val="00033259"/>
    <w:rsid w:val="000332EE"/>
    <w:rsid w:val="00033357"/>
    <w:rsid w:val="00033470"/>
    <w:rsid w:val="0003350D"/>
    <w:rsid w:val="000335E4"/>
    <w:rsid w:val="00033674"/>
    <w:rsid w:val="0003377B"/>
    <w:rsid w:val="000337EA"/>
    <w:rsid w:val="000339C5"/>
    <w:rsid w:val="00033A28"/>
    <w:rsid w:val="00033CCF"/>
    <w:rsid w:val="00033DDD"/>
    <w:rsid w:val="00033EC2"/>
    <w:rsid w:val="00033FF4"/>
    <w:rsid w:val="0003409F"/>
    <w:rsid w:val="000345DA"/>
    <w:rsid w:val="00034780"/>
    <w:rsid w:val="000347D3"/>
    <w:rsid w:val="00034862"/>
    <w:rsid w:val="00034B3B"/>
    <w:rsid w:val="00034CD7"/>
    <w:rsid w:val="00034D80"/>
    <w:rsid w:val="00034DBE"/>
    <w:rsid w:val="00034ECD"/>
    <w:rsid w:val="0003512B"/>
    <w:rsid w:val="0003527B"/>
    <w:rsid w:val="0003528D"/>
    <w:rsid w:val="000352A2"/>
    <w:rsid w:val="00035531"/>
    <w:rsid w:val="0003554B"/>
    <w:rsid w:val="00035582"/>
    <w:rsid w:val="000356D6"/>
    <w:rsid w:val="000356EF"/>
    <w:rsid w:val="000359D2"/>
    <w:rsid w:val="00035C87"/>
    <w:rsid w:val="00035DA6"/>
    <w:rsid w:val="00035DC7"/>
    <w:rsid w:val="000361D6"/>
    <w:rsid w:val="000362DF"/>
    <w:rsid w:val="0003644A"/>
    <w:rsid w:val="00036576"/>
    <w:rsid w:val="000367CF"/>
    <w:rsid w:val="0003689C"/>
    <w:rsid w:val="00036AA5"/>
    <w:rsid w:val="00036B77"/>
    <w:rsid w:val="00036B84"/>
    <w:rsid w:val="00036B97"/>
    <w:rsid w:val="00036D1D"/>
    <w:rsid w:val="00036D55"/>
    <w:rsid w:val="00036F00"/>
    <w:rsid w:val="00036FEE"/>
    <w:rsid w:val="0003702A"/>
    <w:rsid w:val="0003710A"/>
    <w:rsid w:val="000372CA"/>
    <w:rsid w:val="00037311"/>
    <w:rsid w:val="00037385"/>
    <w:rsid w:val="00037711"/>
    <w:rsid w:val="00037759"/>
    <w:rsid w:val="0003777E"/>
    <w:rsid w:val="0003778A"/>
    <w:rsid w:val="00037A27"/>
    <w:rsid w:val="00037A5C"/>
    <w:rsid w:val="00037B9B"/>
    <w:rsid w:val="00037BCD"/>
    <w:rsid w:val="00037BE8"/>
    <w:rsid w:val="00037D57"/>
    <w:rsid w:val="00037D7F"/>
    <w:rsid w:val="00037F24"/>
    <w:rsid w:val="00037F27"/>
    <w:rsid w:val="00040110"/>
    <w:rsid w:val="0004018D"/>
    <w:rsid w:val="000402F6"/>
    <w:rsid w:val="000404D1"/>
    <w:rsid w:val="000404F0"/>
    <w:rsid w:val="000407AE"/>
    <w:rsid w:val="00040810"/>
    <w:rsid w:val="0004097E"/>
    <w:rsid w:val="000409D7"/>
    <w:rsid w:val="00040A59"/>
    <w:rsid w:val="00040B11"/>
    <w:rsid w:val="00040B14"/>
    <w:rsid w:val="00040CDE"/>
    <w:rsid w:val="00040E31"/>
    <w:rsid w:val="00040F3A"/>
    <w:rsid w:val="00040F51"/>
    <w:rsid w:val="00040F52"/>
    <w:rsid w:val="00041215"/>
    <w:rsid w:val="00041299"/>
    <w:rsid w:val="00041474"/>
    <w:rsid w:val="000415B3"/>
    <w:rsid w:val="00041918"/>
    <w:rsid w:val="00041A60"/>
    <w:rsid w:val="00041AAF"/>
    <w:rsid w:val="00041B60"/>
    <w:rsid w:val="00041D42"/>
    <w:rsid w:val="00041D45"/>
    <w:rsid w:val="00041E2A"/>
    <w:rsid w:val="00041E62"/>
    <w:rsid w:val="00041EA6"/>
    <w:rsid w:val="00041FB2"/>
    <w:rsid w:val="00042138"/>
    <w:rsid w:val="0004217E"/>
    <w:rsid w:val="00042187"/>
    <w:rsid w:val="000423D6"/>
    <w:rsid w:val="00042472"/>
    <w:rsid w:val="000424AA"/>
    <w:rsid w:val="00042506"/>
    <w:rsid w:val="000425FF"/>
    <w:rsid w:val="00042844"/>
    <w:rsid w:val="00042BFA"/>
    <w:rsid w:val="00042C17"/>
    <w:rsid w:val="00042CAC"/>
    <w:rsid w:val="00042DF8"/>
    <w:rsid w:val="00042F2B"/>
    <w:rsid w:val="0004305A"/>
    <w:rsid w:val="000431DD"/>
    <w:rsid w:val="000433A0"/>
    <w:rsid w:val="00043634"/>
    <w:rsid w:val="00043936"/>
    <w:rsid w:val="00043A17"/>
    <w:rsid w:val="00043AF9"/>
    <w:rsid w:val="00043BE6"/>
    <w:rsid w:val="00043BFA"/>
    <w:rsid w:val="00043DE9"/>
    <w:rsid w:val="00043EED"/>
    <w:rsid w:val="00043F89"/>
    <w:rsid w:val="0004410F"/>
    <w:rsid w:val="0004418F"/>
    <w:rsid w:val="0004428F"/>
    <w:rsid w:val="00044399"/>
    <w:rsid w:val="0004444F"/>
    <w:rsid w:val="00044509"/>
    <w:rsid w:val="00044604"/>
    <w:rsid w:val="0004464C"/>
    <w:rsid w:val="0004472A"/>
    <w:rsid w:val="00044AF1"/>
    <w:rsid w:val="00044B99"/>
    <w:rsid w:val="00044D00"/>
    <w:rsid w:val="000452A8"/>
    <w:rsid w:val="00045368"/>
    <w:rsid w:val="000453BD"/>
    <w:rsid w:val="00045420"/>
    <w:rsid w:val="00045606"/>
    <w:rsid w:val="00045661"/>
    <w:rsid w:val="00045685"/>
    <w:rsid w:val="00045866"/>
    <w:rsid w:val="000458E2"/>
    <w:rsid w:val="000459D8"/>
    <w:rsid w:val="000459F3"/>
    <w:rsid w:val="00045A16"/>
    <w:rsid w:val="00045A75"/>
    <w:rsid w:val="00045BD6"/>
    <w:rsid w:val="00045F35"/>
    <w:rsid w:val="00045FE9"/>
    <w:rsid w:val="0004607A"/>
    <w:rsid w:val="0004620D"/>
    <w:rsid w:val="000462D9"/>
    <w:rsid w:val="00046371"/>
    <w:rsid w:val="00046434"/>
    <w:rsid w:val="000466A2"/>
    <w:rsid w:val="0004678F"/>
    <w:rsid w:val="000467C8"/>
    <w:rsid w:val="0004690B"/>
    <w:rsid w:val="0004697E"/>
    <w:rsid w:val="00046995"/>
    <w:rsid w:val="00046C25"/>
    <w:rsid w:val="00046D89"/>
    <w:rsid w:val="00046FB7"/>
    <w:rsid w:val="00046FC5"/>
    <w:rsid w:val="00046FCD"/>
    <w:rsid w:val="00047224"/>
    <w:rsid w:val="00047467"/>
    <w:rsid w:val="0004747C"/>
    <w:rsid w:val="000474E1"/>
    <w:rsid w:val="00047540"/>
    <w:rsid w:val="0004761B"/>
    <w:rsid w:val="000476F0"/>
    <w:rsid w:val="00047769"/>
    <w:rsid w:val="0004781A"/>
    <w:rsid w:val="000479D0"/>
    <w:rsid w:val="00047ACF"/>
    <w:rsid w:val="00047B70"/>
    <w:rsid w:val="00047C7A"/>
    <w:rsid w:val="00047E1B"/>
    <w:rsid w:val="00047E3B"/>
    <w:rsid w:val="00047F30"/>
    <w:rsid w:val="00050022"/>
    <w:rsid w:val="0005005C"/>
    <w:rsid w:val="0005007B"/>
    <w:rsid w:val="000500B8"/>
    <w:rsid w:val="00050301"/>
    <w:rsid w:val="0005057D"/>
    <w:rsid w:val="00050802"/>
    <w:rsid w:val="00050922"/>
    <w:rsid w:val="00050A72"/>
    <w:rsid w:val="00050AC1"/>
    <w:rsid w:val="00050B5B"/>
    <w:rsid w:val="00050CE5"/>
    <w:rsid w:val="00050E5B"/>
    <w:rsid w:val="00051052"/>
    <w:rsid w:val="0005116C"/>
    <w:rsid w:val="00051345"/>
    <w:rsid w:val="0005150F"/>
    <w:rsid w:val="0005160D"/>
    <w:rsid w:val="00051884"/>
    <w:rsid w:val="00051BF4"/>
    <w:rsid w:val="00051BF8"/>
    <w:rsid w:val="00051D17"/>
    <w:rsid w:val="00051D34"/>
    <w:rsid w:val="00051D84"/>
    <w:rsid w:val="000520F5"/>
    <w:rsid w:val="00052305"/>
    <w:rsid w:val="0005239B"/>
    <w:rsid w:val="000523C9"/>
    <w:rsid w:val="00052B69"/>
    <w:rsid w:val="00052C4C"/>
    <w:rsid w:val="00052C58"/>
    <w:rsid w:val="00052C62"/>
    <w:rsid w:val="00052C8E"/>
    <w:rsid w:val="00052F5E"/>
    <w:rsid w:val="000530A4"/>
    <w:rsid w:val="000530C6"/>
    <w:rsid w:val="0005327E"/>
    <w:rsid w:val="0005329C"/>
    <w:rsid w:val="000532C0"/>
    <w:rsid w:val="0005333B"/>
    <w:rsid w:val="000534CB"/>
    <w:rsid w:val="00053771"/>
    <w:rsid w:val="00053816"/>
    <w:rsid w:val="00053826"/>
    <w:rsid w:val="0005384E"/>
    <w:rsid w:val="00053BB7"/>
    <w:rsid w:val="00053BEB"/>
    <w:rsid w:val="00053CDB"/>
    <w:rsid w:val="00053E58"/>
    <w:rsid w:val="00053F28"/>
    <w:rsid w:val="000543C3"/>
    <w:rsid w:val="0005463A"/>
    <w:rsid w:val="00054761"/>
    <w:rsid w:val="00054785"/>
    <w:rsid w:val="0005479B"/>
    <w:rsid w:val="000547E4"/>
    <w:rsid w:val="000548D5"/>
    <w:rsid w:val="000549BB"/>
    <w:rsid w:val="00054ADF"/>
    <w:rsid w:val="00054C95"/>
    <w:rsid w:val="00054DC9"/>
    <w:rsid w:val="00054E33"/>
    <w:rsid w:val="00054ED3"/>
    <w:rsid w:val="0005503C"/>
    <w:rsid w:val="0005505B"/>
    <w:rsid w:val="0005520D"/>
    <w:rsid w:val="0005520F"/>
    <w:rsid w:val="00055211"/>
    <w:rsid w:val="0005527B"/>
    <w:rsid w:val="0005545C"/>
    <w:rsid w:val="0005563E"/>
    <w:rsid w:val="000557CA"/>
    <w:rsid w:val="00055993"/>
    <w:rsid w:val="00055E29"/>
    <w:rsid w:val="00055EA4"/>
    <w:rsid w:val="00055EFC"/>
    <w:rsid w:val="00055F93"/>
    <w:rsid w:val="00056116"/>
    <w:rsid w:val="000564F9"/>
    <w:rsid w:val="00056647"/>
    <w:rsid w:val="0005665A"/>
    <w:rsid w:val="00056712"/>
    <w:rsid w:val="000568DD"/>
    <w:rsid w:val="00056905"/>
    <w:rsid w:val="000569CD"/>
    <w:rsid w:val="00056D08"/>
    <w:rsid w:val="00056D0C"/>
    <w:rsid w:val="00056D13"/>
    <w:rsid w:val="00056D5F"/>
    <w:rsid w:val="00056E33"/>
    <w:rsid w:val="00057031"/>
    <w:rsid w:val="00057040"/>
    <w:rsid w:val="000570C5"/>
    <w:rsid w:val="0005713F"/>
    <w:rsid w:val="000571DD"/>
    <w:rsid w:val="000574A3"/>
    <w:rsid w:val="000576FD"/>
    <w:rsid w:val="00057833"/>
    <w:rsid w:val="0005795C"/>
    <w:rsid w:val="0005799C"/>
    <w:rsid w:val="00057A21"/>
    <w:rsid w:val="00057A78"/>
    <w:rsid w:val="00057A8D"/>
    <w:rsid w:val="00057F10"/>
    <w:rsid w:val="0006017E"/>
    <w:rsid w:val="0006023B"/>
    <w:rsid w:val="00060340"/>
    <w:rsid w:val="00060379"/>
    <w:rsid w:val="00060495"/>
    <w:rsid w:val="000604AD"/>
    <w:rsid w:val="0006052D"/>
    <w:rsid w:val="00060543"/>
    <w:rsid w:val="00060AD8"/>
    <w:rsid w:val="0006109D"/>
    <w:rsid w:val="000610AA"/>
    <w:rsid w:val="000610F9"/>
    <w:rsid w:val="000612EA"/>
    <w:rsid w:val="00061403"/>
    <w:rsid w:val="00061564"/>
    <w:rsid w:val="000615F4"/>
    <w:rsid w:val="000616EE"/>
    <w:rsid w:val="000616F6"/>
    <w:rsid w:val="000617BB"/>
    <w:rsid w:val="00061A24"/>
    <w:rsid w:val="00061B79"/>
    <w:rsid w:val="00061E6D"/>
    <w:rsid w:val="00061E78"/>
    <w:rsid w:val="00061E95"/>
    <w:rsid w:val="00061E9F"/>
    <w:rsid w:val="00061FD1"/>
    <w:rsid w:val="000621FC"/>
    <w:rsid w:val="000624E6"/>
    <w:rsid w:val="00062601"/>
    <w:rsid w:val="00062778"/>
    <w:rsid w:val="00062A40"/>
    <w:rsid w:val="00062AC3"/>
    <w:rsid w:val="00062AE1"/>
    <w:rsid w:val="00062B59"/>
    <w:rsid w:val="00062BE9"/>
    <w:rsid w:val="00063044"/>
    <w:rsid w:val="000630AA"/>
    <w:rsid w:val="000631E4"/>
    <w:rsid w:val="000631FF"/>
    <w:rsid w:val="0006327B"/>
    <w:rsid w:val="00063359"/>
    <w:rsid w:val="00063414"/>
    <w:rsid w:val="0006342C"/>
    <w:rsid w:val="00063471"/>
    <w:rsid w:val="0006347B"/>
    <w:rsid w:val="0006348E"/>
    <w:rsid w:val="000635F6"/>
    <w:rsid w:val="000636E7"/>
    <w:rsid w:val="000637AC"/>
    <w:rsid w:val="00063834"/>
    <w:rsid w:val="000638EA"/>
    <w:rsid w:val="00063A06"/>
    <w:rsid w:val="00063AFD"/>
    <w:rsid w:val="00063C77"/>
    <w:rsid w:val="00063D89"/>
    <w:rsid w:val="000643C8"/>
    <w:rsid w:val="00064468"/>
    <w:rsid w:val="000645CF"/>
    <w:rsid w:val="000647D7"/>
    <w:rsid w:val="00064800"/>
    <w:rsid w:val="00064933"/>
    <w:rsid w:val="00064B3E"/>
    <w:rsid w:val="00064C85"/>
    <w:rsid w:val="0006551B"/>
    <w:rsid w:val="000655EE"/>
    <w:rsid w:val="00065652"/>
    <w:rsid w:val="0006567F"/>
    <w:rsid w:val="000656A1"/>
    <w:rsid w:val="000656E7"/>
    <w:rsid w:val="0006577E"/>
    <w:rsid w:val="000657AB"/>
    <w:rsid w:val="0006592A"/>
    <w:rsid w:val="00065A40"/>
    <w:rsid w:val="00065DFC"/>
    <w:rsid w:val="00065F23"/>
    <w:rsid w:val="00066421"/>
    <w:rsid w:val="000666DE"/>
    <w:rsid w:val="000666E7"/>
    <w:rsid w:val="00066799"/>
    <w:rsid w:val="00066A33"/>
    <w:rsid w:val="00066B63"/>
    <w:rsid w:val="00066C2B"/>
    <w:rsid w:val="00066CAE"/>
    <w:rsid w:val="00066D64"/>
    <w:rsid w:val="00066EE0"/>
    <w:rsid w:val="00066F4F"/>
    <w:rsid w:val="00066FC0"/>
    <w:rsid w:val="00066FE1"/>
    <w:rsid w:val="000670D3"/>
    <w:rsid w:val="000674A0"/>
    <w:rsid w:val="0006779D"/>
    <w:rsid w:val="000677E7"/>
    <w:rsid w:val="00067867"/>
    <w:rsid w:val="000679F1"/>
    <w:rsid w:val="00067A07"/>
    <w:rsid w:val="00067AA3"/>
    <w:rsid w:val="00067B11"/>
    <w:rsid w:val="00067B9F"/>
    <w:rsid w:val="00067D31"/>
    <w:rsid w:val="00070211"/>
    <w:rsid w:val="0007057C"/>
    <w:rsid w:val="000705E3"/>
    <w:rsid w:val="000706C6"/>
    <w:rsid w:val="000707FE"/>
    <w:rsid w:val="000708C6"/>
    <w:rsid w:val="000708D4"/>
    <w:rsid w:val="00070908"/>
    <w:rsid w:val="0007093F"/>
    <w:rsid w:val="000709E3"/>
    <w:rsid w:val="00070A6D"/>
    <w:rsid w:val="00070BFA"/>
    <w:rsid w:val="00070CFA"/>
    <w:rsid w:val="00070F9D"/>
    <w:rsid w:val="00071217"/>
    <w:rsid w:val="000712FF"/>
    <w:rsid w:val="0007156F"/>
    <w:rsid w:val="000716CF"/>
    <w:rsid w:val="000716DB"/>
    <w:rsid w:val="000716F5"/>
    <w:rsid w:val="00071AC9"/>
    <w:rsid w:val="00071C22"/>
    <w:rsid w:val="00071C8C"/>
    <w:rsid w:val="00071C91"/>
    <w:rsid w:val="00071E79"/>
    <w:rsid w:val="00071E94"/>
    <w:rsid w:val="00071F03"/>
    <w:rsid w:val="000720D2"/>
    <w:rsid w:val="00072145"/>
    <w:rsid w:val="000721D5"/>
    <w:rsid w:val="000721EC"/>
    <w:rsid w:val="000722D5"/>
    <w:rsid w:val="00072351"/>
    <w:rsid w:val="00072524"/>
    <w:rsid w:val="000725D9"/>
    <w:rsid w:val="00072716"/>
    <w:rsid w:val="00072724"/>
    <w:rsid w:val="0007288B"/>
    <w:rsid w:val="000728F6"/>
    <w:rsid w:val="00072901"/>
    <w:rsid w:val="000729BE"/>
    <w:rsid w:val="00072A11"/>
    <w:rsid w:val="00072BA9"/>
    <w:rsid w:val="00072D2E"/>
    <w:rsid w:val="00072DD8"/>
    <w:rsid w:val="00072E38"/>
    <w:rsid w:val="00072E5E"/>
    <w:rsid w:val="0007304C"/>
    <w:rsid w:val="000732F6"/>
    <w:rsid w:val="000733C1"/>
    <w:rsid w:val="000735C4"/>
    <w:rsid w:val="000735DB"/>
    <w:rsid w:val="00073630"/>
    <w:rsid w:val="00073A45"/>
    <w:rsid w:val="00073B11"/>
    <w:rsid w:val="00073DAE"/>
    <w:rsid w:val="00073E04"/>
    <w:rsid w:val="00073E84"/>
    <w:rsid w:val="00073F32"/>
    <w:rsid w:val="00073F9A"/>
    <w:rsid w:val="00073FC7"/>
    <w:rsid w:val="00074199"/>
    <w:rsid w:val="00074316"/>
    <w:rsid w:val="00074553"/>
    <w:rsid w:val="000745F0"/>
    <w:rsid w:val="0007492F"/>
    <w:rsid w:val="000749F7"/>
    <w:rsid w:val="00074A66"/>
    <w:rsid w:val="00074A86"/>
    <w:rsid w:val="00074B98"/>
    <w:rsid w:val="00074C98"/>
    <w:rsid w:val="00074E57"/>
    <w:rsid w:val="00074F09"/>
    <w:rsid w:val="00074F78"/>
    <w:rsid w:val="00075034"/>
    <w:rsid w:val="00075038"/>
    <w:rsid w:val="000751F0"/>
    <w:rsid w:val="000752E0"/>
    <w:rsid w:val="00075370"/>
    <w:rsid w:val="000753DA"/>
    <w:rsid w:val="000755A2"/>
    <w:rsid w:val="00075EFA"/>
    <w:rsid w:val="00075F94"/>
    <w:rsid w:val="00075F97"/>
    <w:rsid w:val="00075FCF"/>
    <w:rsid w:val="0007602E"/>
    <w:rsid w:val="000760A1"/>
    <w:rsid w:val="0007621A"/>
    <w:rsid w:val="0007692C"/>
    <w:rsid w:val="000769CB"/>
    <w:rsid w:val="00076AD4"/>
    <w:rsid w:val="00076E24"/>
    <w:rsid w:val="00076FB5"/>
    <w:rsid w:val="00077051"/>
    <w:rsid w:val="0007718D"/>
    <w:rsid w:val="0007724E"/>
    <w:rsid w:val="0007730C"/>
    <w:rsid w:val="00077955"/>
    <w:rsid w:val="00077A1F"/>
    <w:rsid w:val="00077B78"/>
    <w:rsid w:val="00077B7B"/>
    <w:rsid w:val="00077CB8"/>
    <w:rsid w:val="00077E51"/>
    <w:rsid w:val="00077F48"/>
    <w:rsid w:val="00080056"/>
    <w:rsid w:val="00080085"/>
    <w:rsid w:val="0008018B"/>
    <w:rsid w:val="00080279"/>
    <w:rsid w:val="00080344"/>
    <w:rsid w:val="000803AD"/>
    <w:rsid w:val="0008044D"/>
    <w:rsid w:val="000804D1"/>
    <w:rsid w:val="0008055D"/>
    <w:rsid w:val="00080787"/>
    <w:rsid w:val="000808DB"/>
    <w:rsid w:val="000808F7"/>
    <w:rsid w:val="00080BC6"/>
    <w:rsid w:val="00080D1B"/>
    <w:rsid w:val="00080D53"/>
    <w:rsid w:val="00080FA6"/>
    <w:rsid w:val="00080FBE"/>
    <w:rsid w:val="0008102A"/>
    <w:rsid w:val="0008109D"/>
    <w:rsid w:val="00081191"/>
    <w:rsid w:val="00081363"/>
    <w:rsid w:val="000814EC"/>
    <w:rsid w:val="000814ED"/>
    <w:rsid w:val="00081709"/>
    <w:rsid w:val="00081931"/>
    <w:rsid w:val="000819FE"/>
    <w:rsid w:val="00081A01"/>
    <w:rsid w:val="00081AB9"/>
    <w:rsid w:val="00081B7C"/>
    <w:rsid w:val="00081F39"/>
    <w:rsid w:val="0008200E"/>
    <w:rsid w:val="00082060"/>
    <w:rsid w:val="00082082"/>
    <w:rsid w:val="0008208C"/>
    <w:rsid w:val="000820F8"/>
    <w:rsid w:val="0008211C"/>
    <w:rsid w:val="00082145"/>
    <w:rsid w:val="00082167"/>
    <w:rsid w:val="0008238E"/>
    <w:rsid w:val="000823E1"/>
    <w:rsid w:val="00082521"/>
    <w:rsid w:val="000825F4"/>
    <w:rsid w:val="000826B4"/>
    <w:rsid w:val="0008287F"/>
    <w:rsid w:val="000829BC"/>
    <w:rsid w:val="00082C25"/>
    <w:rsid w:val="00082DBF"/>
    <w:rsid w:val="00082EE1"/>
    <w:rsid w:val="00082FAD"/>
    <w:rsid w:val="0008302E"/>
    <w:rsid w:val="00083066"/>
    <w:rsid w:val="000830F4"/>
    <w:rsid w:val="000831F1"/>
    <w:rsid w:val="00083234"/>
    <w:rsid w:val="00083358"/>
    <w:rsid w:val="0008335C"/>
    <w:rsid w:val="0008343B"/>
    <w:rsid w:val="00083479"/>
    <w:rsid w:val="00083676"/>
    <w:rsid w:val="000836FF"/>
    <w:rsid w:val="0008370C"/>
    <w:rsid w:val="0008373A"/>
    <w:rsid w:val="000837D5"/>
    <w:rsid w:val="000838B0"/>
    <w:rsid w:val="00083968"/>
    <w:rsid w:val="000839C0"/>
    <w:rsid w:val="00083A9A"/>
    <w:rsid w:val="00084137"/>
    <w:rsid w:val="00084160"/>
    <w:rsid w:val="000842E9"/>
    <w:rsid w:val="00084301"/>
    <w:rsid w:val="0008439C"/>
    <w:rsid w:val="0008440F"/>
    <w:rsid w:val="00084480"/>
    <w:rsid w:val="00084535"/>
    <w:rsid w:val="0008470B"/>
    <w:rsid w:val="00084721"/>
    <w:rsid w:val="00084931"/>
    <w:rsid w:val="00084ACA"/>
    <w:rsid w:val="00084C6A"/>
    <w:rsid w:val="00084D09"/>
    <w:rsid w:val="00084DDB"/>
    <w:rsid w:val="00084E02"/>
    <w:rsid w:val="0008503A"/>
    <w:rsid w:val="00085166"/>
    <w:rsid w:val="000851CB"/>
    <w:rsid w:val="0008536B"/>
    <w:rsid w:val="000855EB"/>
    <w:rsid w:val="00085635"/>
    <w:rsid w:val="00085877"/>
    <w:rsid w:val="00085981"/>
    <w:rsid w:val="000859C5"/>
    <w:rsid w:val="00085A2D"/>
    <w:rsid w:val="00085B15"/>
    <w:rsid w:val="00085B9F"/>
    <w:rsid w:val="00085BE4"/>
    <w:rsid w:val="00085C60"/>
    <w:rsid w:val="00085F3D"/>
    <w:rsid w:val="00086119"/>
    <w:rsid w:val="00086155"/>
    <w:rsid w:val="00086365"/>
    <w:rsid w:val="000864F6"/>
    <w:rsid w:val="000865D7"/>
    <w:rsid w:val="00086622"/>
    <w:rsid w:val="00086628"/>
    <w:rsid w:val="000868CD"/>
    <w:rsid w:val="000869C4"/>
    <w:rsid w:val="00086AC2"/>
    <w:rsid w:val="00086B0C"/>
    <w:rsid w:val="00086CCB"/>
    <w:rsid w:val="00086DA4"/>
    <w:rsid w:val="00086E67"/>
    <w:rsid w:val="00086EFE"/>
    <w:rsid w:val="00086FE5"/>
    <w:rsid w:val="00086FEB"/>
    <w:rsid w:val="0008701E"/>
    <w:rsid w:val="0008714C"/>
    <w:rsid w:val="000871EA"/>
    <w:rsid w:val="000873F8"/>
    <w:rsid w:val="0008742A"/>
    <w:rsid w:val="0008756E"/>
    <w:rsid w:val="000875E7"/>
    <w:rsid w:val="000875F3"/>
    <w:rsid w:val="000875F9"/>
    <w:rsid w:val="00087626"/>
    <w:rsid w:val="000877B0"/>
    <w:rsid w:val="000877DD"/>
    <w:rsid w:val="00087875"/>
    <w:rsid w:val="00087A33"/>
    <w:rsid w:val="00087C24"/>
    <w:rsid w:val="00087DE1"/>
    <w:rsid w:val="00087E40"/>
    <w:rsid w:val="00087FB2"/>
    <w:rsid w:val="00087FF3"/>
    <w:rsid w:val="0009008E"/>
    <w:rsid w:val="0009022D"/>
    <w:rsid w:val="000904B8"/>
    <w:rsid w:val="000904F2"/>
    <w:rsid w:val="0009056F"/>
    <w:rsid w:val="0009059A"/>
    <w:rsid w:val="000905BC"/>
    <w:rsid w:val="0009079E"/>
    <w:rsid w:val="00090CBF"/>
    <w:rsid w:val="00090D31"/>
    <w:rsid w:val="00090EF2"/>
    <w:rsid w:val="00090FE0"/>
    <w:rsid w:val="00091080"/>
    <w:rsid w:val="000910F0"/>
    <w:rsid w:val="000910F5"/>
    <w:rsid w:val="00091105"/>
    <w:rsid w:val="00091122"/>
    <w:rsid w:val="0009119F"/>
    <w:rsid w:val="00091334"/>
    <w:rsid w:val="000913A3"/>
    <w:rsid w:val="0009145F"/>
    <w:rsid w:val="0009147A"/>
    <w:rsid w:val="000914D8"/>
    <w:rsid w:val="00091592"/>
    <w:rsid w:val="000915F7"/>
    <w:rsid w:val="0009174B"/>
    <w:rsid w:val="0009179A"/>
    <w:rsid w:val="000917AB"/>
    <w:rsid w:val="00091810"/>
    <w:rsid w:val="0009183F"/>
    <w:rsid w:val="00091B44"/>
    <w:rsid w:val="00091C99"/>
    <w:rsid w:val="00091E02"/>
    <w:rsid w:val="00091FAE"/>
    <w:rsid w:val="00091FD3"/>
    <w:rsid w:val="00092185"/>
    <w:rsid w:val="000922B1"/>
    <w:rsid w:val="000922B3"/>
    <w:rsid w:val="0009239D"/>
    <w:rsid w:val="000924BA"/>
    <w:rsid w:val="00092729"/>
    <w:rsid w:val="0009279F"/>
    <w:rsid w:val="00092872"/>
    <w:rsid w:val="00092B3F"/>
    <w:rsid w:val="00092C30"/>
    <w:rsid w:val="00092D97"/>
    <w:rsid w:val="00092DE1"/>
    <w:rsid w:val="00092E63"/>
    <w:rsid w:val="00092F25"/>
    <w:rsid w:val="00092F68"/>
    <w:rsid w:val="00092F81"/>
    <w:rsid w:val="00093072"/>
    <w:rsid w:val="000930D6"/>
    <w:rsid w:val="000932DE"/>
    <w:rsid w:val="0009330D"/>
    <w:rsid w:val="00093447"/>
    <w:rsid w:val="0009347A"/>
    <w:rsid w:val="000934CB"/>
    <w:rsid w:val="0009376E"/>
    <w:rsid w:val="0009378F"/>
    <w:rsid w:val="0009386A"/>
    <w:rsid w:val="00093D38"/>
    <w:rsid w:val="00093DD6"/>
    <w:rsid w:val="00093E4A"/>
    <w:rsid w:val="00093FB0"/>
    <w:rsid w:val="00093FBC"/>
    <w:rsid w:val="00094255"/>
    <w:rsid w:val="0009465E"/>
    <w:rsid w:val="00094695"/>
    <w:rsid w:val="000946F7"/>
    <w:rsid w:val="000946FD"/>
    <w:rsid w:val="000947FF"/>
    <w:rsid w:val="00094964"/>
    <w:rsid w:val="00094AA5"/>
    <w:rsid w:val="00094BD4"/>
    <w:rsid w:val="00094F9B"/>
    <w:rsid w:val="00094FF2"/>
    <w:rsid w:val="000951C5"/>
    <w:rsid w:val="000954C6"/>
    <w:rsid w:val="00095541"/>
    <w:rsid w:val="0009554F"/>
    <w:rsid w:val="000956C3"/>
    <w:rsid w:val="000956E8"/>
    <w:rsid w:val="000958F3"/>
    <w:rsid w:val="0009593E"/>
    <w:rsid w:val="00095A0D"/>
    <w:rsid w:val="00095ABD"/>
    <w:rsid w:val="00095C42"/>
    <w:rsid w:val="00095D57"/>
    <w:rsid w:val="00095DE6"/>
    <w:rsid w:val="00095ECF"/>
    <w:rsid w:val="00095FA3"/>
    <w:rsid w:val="0009609D"/>
    <w:rsid w:val="000960CE"/>
    <w:rsid w:val="000961D8"/>
    <w:rsid w:val="0009633E"/>
    <w:rsid w:val="00096491"/>
    <w:rsid w:val="00096509"/>
    <w:rsid w:val="000965A0"/>
    <w:rsid w:val="00096660"/>
    <w:rsid w:val="000967C4"/>
    <w:rsid w:val="00096860"/>
    <w:rsid w:val="0009691E"/>
    <w:rsid w:val="00096DEE"/>
    <w:rsid w:val="00096E52"/>
    <w:rsid w:val="00096EEE"/>
    <w:rsid w:val="00096EF7"/>
    <w:rsid w:val="000970A2"/>
    <w:rsid w:val="000970B8"/>
    <w:rsid w:val="00097435"/>
    <w:rsid w:val="000975CA"/>
    <w:rsid w:val="00097635"/>
    <w:rsid w:val="00097659"/>
    <w:rsid w:val="00097696"/>
    <w:rsid w:val="000976DD"/>
    <w:rsid w:val="00097810"/>
    <w:rsid w:val="000979A8"/>
    <w:rsid w:val="00097AFA"/>
    <w:rsid w:val="00097C34"/>
    <w:rsid w:val="00097C3A"/>
    <w:rsid w:val="00097DDF"/>
    <w:rsid w:val="00097E4D"/>
    <w:rsid w:val="00097E71"/>
    <w:rsid w:val="000A0111"/>
    <w:rsid w:val="000A0202"/>
    <w:rsid w:val="000A034F"/>
    <w:rsid w:val="000A0448"/>
    <w:rsid w:val="000A0494"/>
    <w:rsid w:val="000A05B2"/>
    <w:rsid w:val="000A0640"/>
    <w:rsid w:val="000A0679"/>
    <w:rsid w:val="000A0703"/>
    <w:rsid w:val="000A0834"/>
    <w:rsid w:val="000A08AB"/>
    <w:rsid w:val="000A091C"/>
    <w:rsid w:val="000A093F"/>
    <w:rsid w:val="000A0A56"/>
    <w:rsid w:val="000A0B13"/>
    <w:rsid w:val="000A0B5F"/>
    <w:rsid w:val="000A0D25"/>
    <w:rsid w:val="000A0DCE"/>
    <w:rsid w:val="000A1002"/>
    <w:rsid w:val="000A1029"/>
    <w:rsid w:val="000A1141"/>
    <w:rsid w:val="000A138C"/>
    <w:rsid w:val="000A13D7"/>
    <w:rsid w:val="000A1664"/>
    <w:rsid w:val="000A16CF"/>
    <w:rsid w:val="000A18FE"/>
    <w:rsid w:val="000A1A1B"/>
    <w:rsid w:val="000A1A2D"/>
    <w:rsid w:val="000A1B3D"/>
    <w:rsid w:val="000A1BBE"/>
    <w:rsid w:val="000A1C34"/>
    <w:rsid w:val="000A1CCE"/>
    <w:rsid w:val="000A1DCA"/>
    <w:rsid w:val="000A2009"/>
    <w:rsid w:val="000A2123"/>
    <w:rsid w:val="000A21AD"/>
    <w:rsid w:val="000A2233"/>
    <w:rsid w:val="000A2557"/>
    <w:rsid w:val="000A275D"/>
    <w:rsid w:val="000A2820"/>
    <w:rsid w:val="000A28A5"/>
    <w:rsid w:val="000A2904"/>
    <w:rsid w:val="000A2915"/>
    <w:rsid w:val="000A2925"/>
    <w:rsid w:val="000A2959"/>
    <w:rsid w:val="000A2976"/>
    <w:rsid w:val="000A29AD"/>
    <w:rsid w:val="000A2C52"/>
    <w:rsid w:val="000A2CE8"/>
    <w:rsid w:val="000A2F87"/>
    <w:rsid w:val="000A3071"/>
    <w:rsid w:val="000A31B1"/>
    <w:rsid w:val="000A325D"/>
    <w:rsid w:val="000A3305"/>
    <w:rsid w:val="000A343B"/>
    <w:rsid w:val="000A350D"/>
    <w:rsid w:val="000A353E"/>
    <w:rsid w:val="000A3582"/>
    <w:rsid w:val="000A35D3"/>
    <w:rsid w:val="000A3609"/>
    <w:rsid w:val="000A36EF"/>
    <w:rsid w:val="000A3D2F"/>
    <w:rsid w:val="000A3EDE"/>
    <w:rsid w:val="000A3EEF"/>
    <w:rsid w:val="000A3FDA"/>
    <w:rsid w:val="000A4159"/>
    <w:rsid w:val="000A4369"/>
    <w:rsid w:val="000A43BA"/>
    <w:rsid w:val="000A4401"/>
    <w:rsid w:val="000A4597"/>
    <w:rsid w:val="000A4702"/>
    <w:rsid w:val="000A478D"/>
    <w:rsid w:val="000A48E2"/>
    <w:rsid w:val="000A4A46"/>
    <w:rsid w:val="000A4BED"/>
    <w:rsid w:val="000A4D43"/>
    <w:rsid w:val="000A508A"/>
    <w:rsid w:val="000A5145"/>
    <w:rsid w:val="000A5246"/>
    <w:rsid w:val="000A5263"/>
    <w:rsid w:val="000A539C"/>
    <w:rsid w:val="000A54B8"/>
    <w:rsid w:val="000A55CD"/>
    <w:rsid w:val="000A56EC"/>
    <w:rsid w:val="000A574D"/>
    <w:rsid w:val="000A57FF"/>
    <w:rsid w:val="000A591C"/>
    <w:rsid w:val="000A5A1C"/>
    <w:rsid w:val="000A5A2B"/>
    <w:rsid w:val="000A5C5E"/>
    <w:rsid w:val="000A5C6B"/>
    <w:rsid w:val="000A5C9E"/>
    <w:rsid w:val="000A5D28"/>
    <w:rsid w:val="000A5DC2"/>
    <w:rsid w:val="000A64C1"/>
    <w:rsid w:val="000A65A1"/>
    <w:rsid w:val="000A67E8"/>
    <w:rsid w:val="000A68A2"/>
    <w:rsid w:val="000A6924"/>
    <w:rsid w:val="000A6A11"/>
    <w:rsid w:val="000A6DA0"/>
    <w:rsid w:val="000A6DCA"/>
    <w:rsid w:val="000A7025"/>
    <w:rsid w:val="000A710E"/>
    <w:rsid w:val="000A75D6"/>
    <w:rsid w:val="000A7615"/>
    <w:rsid w:val="000A7651"/>
    <w:rsid w:val="000A77B2"/>
    <w:rsid w:val="000A77C5"/>
    <w:rsid w:val="000A77DA"/>
    <w:rsid w:val="000A7845"/>
    <w:rsid w:val="000A78B9"/>
    <w:rsid w:val="000A7A1A"/>
    <w:rsid w:val="000A7B5B"/>
    <w:rsid w:val="000A7C57"/>
    <w:rsid w:val="000A7D45"/>
    <w:rsid w:val="000A7D91"/>
    <w:rsid w:val="000A7D9B"/>
    <w:rsid w:val="000A7DC5"/>
    <w:rsid w:val="000A7E56"/>
    <w:rsid w:val="000A7EB3"/>
    <w:rsid w:val="000B003F"/>
    <w:rsid w:val="000B0193"/>
    <w:rsid w:val="000B02C0"/>
    <w:rsid w:val="000B02D5"/>
    <w:rsid w:val="000B07AB"/>
    <w:rsid w:val="000B0AC7"/>
    <w:rsid w:val="000B0CBE"/>
    <w:rsid w:val="000B0CC4"/>
    <w:rsid w:val="000B0D80"/>
    <w:rsid w:val="000B0DFB"/>
    <w:rsid w:val="000B0F33"/>
    <w:rsid w:val="000B0F35"/>
    <w:rsid w:val="000B1161"/>
    <w:rsid w:val="000B1206"/>
    <w:rsid w:val="000B13E3"/>
    <w:rsid w:val="000B1510"/>
    <w:rsid w:val="000B17AC"/>
    <w:rsid w:val="000B18E0"/>
    <w:rsid w:val="000B1933"/>
    <w:rsid w:val="000B1989"/>
    <w:rsid w:val="000B1C72"/>
    <w:rsid w:val="000B1DD8"/>
    <w:rsid w:val="000B1DE6"/>
    <w:rsid w:val="000B1E1A"/>
    <w:rsid w:val="000B1F5B"/>
    <w:rsid w:val="000B21D4"/>
    <w:rsid w:val="000B24F9"/>
    <w:rsid w:val="000B2503"/>
    <w:rsid w:val="000B252D"/>
    <w:rsid w:val="000B252F"/>
    <w:rsid w:val="000B2550"/>
    <w:rsid w:val="000B25A5"/>
    <w:rsid w:val="000B266C"/>
    <w:rsid w:val="000B27A2"/>
    <w:rsid w:val="000B286D"/>
    <w:rsid w:val="000B29E9"/>
    <w:rsid w:val="000B2A37"/>
    <w:rsid w:val="000B2B4B"/>
    <w:rsid w:val="000B2BB1"/>
    <w:rsid w:val="000B2BFA"/>
    <w:rsid w:val="000B2CD1"/>
    <w:rsid w:val="000B2E38"/>
    <w:rsid w:val="000B2F84"/>
    <w:rsid w:val="000B3019"/>
    <w:rsid w:val="000B304C"/>
    <w:rsid w:val="000B3241"/>
    <w:rsid w:val="000B343A"/>
    <w:rsid w:val="000B3446"/>
    <w:rsid w:val="000B38FF"/>
    <w:rsid w:val="000B393F"/>
    <w:rsid w:val="000B3950"/>
    <w:rsid w:val="000B39A8"/>
    <w:rsid w:val="000B3A0C"/>
    <w:rsid w:val="000B3A29"/>
    <w:rsid w:val="000B3AC4"/>
    <w:rsid w:val="000B3BCE"/>
    <w:rsid w:val="000B3BE7"/>
    <w:rsid w:val="000B3C25"/>
    <w:rsid w:val="000B3E22"/>
    <w:rsid w:val="000B3E52"/>
    <w:rsid w:val="000B3FE5"/>
    <w:rsid w:val="000B42E4"/>
    <w:rsid w:val="000B43AB"/>
    <w:rsid w:val="000B43CE"/>
    <w:rsid w:val="000B4454"/>
    <w:rsid w:val="000B4560"/>
    <w:rsid w:val="000B49E2"/>
    <w:rsid w:val="000B4B57"/>
    <w:rsid w:val="000B4B7F"/>
    <w:rsid w:val="000B4C31"/>
    <w:rsid w:val="000B4CF6"/>
    <w:rsid w:val="000B4CF8"/>
    <w:rsid w:val="000B4D1F"/>
    <w:rsid w:val="000B4D6E"/>
    <w:rsid w:val="000B4EEA"/>
    <w:rsid w:val="000B4F9B"/>
    <w:rsid w:val="000B501B"/>
    <w:rsid w:val="000B5062"/>
    <w:rsid w:val="000B5245"/>
    <w:rsid w:val="000B52C7"/>
    <w:rsid w:val="000B52E9"/>
    <w:rsid w:val="000B53ED"/>
    <w:rsid w:val="000B54F4"/>
    <w:rsid w:val="000B5502"/>
    <w:rsid w:val="000B5639"/>
    <w:rsid w:val="000B574B"/>
    <w:rsid w:val="000B5CA0"/>
    <w:rsid w:val="000B5CD2"/>
    <w:rsid w:val="000B5CFE"/>
    <w:rsid w:val="000B5E18"/>
    <w:rsid w:val="000B5EA5"/>
    <w:rsid w:val="000B5FD7"/>
    <w:rsid w:val="000B60D1"/>
    <w:rsid w:val="000B641B"/>
    <w:rsid w:val="000B64BA"/>
    <w:rsid w:val="000B6928"/>
    <w:rsid w:val="000B6947"/>
    <w:rsid w:val="000B6C44"/>
    <w:rsid w:val="000B6CCB"/>
    <w:rsid w:val="000B6D09"/>
    <w:rsid w:val="000B6D40"/>
    <w:rsid w:val="000B6DC6"/>
    <w:rsid w:val="000B6EF2"/>
    <w:rsid w:val="000B72FC"/>
    <w:rsid w:val="000B734B"/>
    <w:rsid w:val="000B7488"/>
    <w:rsid w:val="000B761F"/>
    <w:rsid w:val="000B764A"/>
    <w:rsid w:val="000B7694"/>
    <w:rsid w:val="000B769F"/>
    <w:rsid w:val="000B7B07"/>
    <w:rsid w:val="000B7B18"/>
    <w:rsid w:val="000B7B47"/>
    <w:rsid w:val="000B7D2B"/>
    <w:rsid w:val="000B7EDD"/>
    <w:rsid w:val="000C002E"/>
    <w:rsid w:val="000C0118"/>
    <w:rsid w:val="000C0143"/>
    <w:rsid w:val="000C024E"/>
    <w:rsid w:val="000C037C"/>
    <w:rsid w:val="000C055D"/>
    <w:rsid w:val="000C080B"/>
    <w:rsid w:val="000C098E"/>
    <w:rsid w:val="000C0A09"/>
    <w:rsid w:val="000C0B67"/>
    <w:rsid w:val="000C0B96"/>
    <w:rsid w:val="000C0B9F"/>
    <w:rsid w:val="000C0D54"/>
    <w:rsid w:val="000C0EF3"/>
    <w:rsid w:val="000C1169"/>
    <w:rsid w:val="000C1206"/>
    <w:rsid w:val="000C1352"/>
    <w:rsid w:val="000C14BC"/>
    <w:rsid w:val="000C1753"/>
    <w:rsid w:val="000C183F"/>
    <w:rsid w:val="000C1872"/>
    <w:rsid w:val="000C195E"/>
    <w:rsid w:val="000C19A3"/>
    <w:rsid w:val="000C1ABE"/>
    <w:rsid w:val="000C1BF9"/>
    <w:rsid w:val="000C1DFA"/>
    <w:rsid w:val="000C1E80"/>
    <w:rsid w:val="000C2168"/>
    <w:rsid w:val="000C23C1"/>
    <w:rsid w:val="000C247B"/>
    <w:rsid w:val="000C255B"/>
    <w:rsid w:val="000C2949"/>
    <w:rsid w:val="000C2AAA"/>
    <w:rsid w:val="000C2AD8"/>
    <w:rsid w:val="000C2BC7"/>
    <w:rsid w:val="000C2C09"/>
    <w:rsid w:val="000C2C8D"/>
    <w:rsid w:val="000C2D9D"/>
    <w:rsid w:val="000C2EAC"/>
    <w:rsid w:val="000C2ECC"/>
    <w:rsid w:val="000C3059"/>
    <w:rsid w:val="000C314A"/>
    <w:rsid w:val="000C378E"/>
    <w:rsid w:val="000C37D4"/>
    <w:rsid w:val="000C38E8"/>
    <w:rsid w:val="000C3916"/>
    <w:rsid w:val="000C398F"/>
    <w:rsid w:val="000C3ACF"/>
    <w:rsid w:val="000C3AD0"/>
    <w:rsid w:val="000C3B70"/>
    <w:rsid w:val="000C3D16"/>
    <w:rsid w:val="000C3D78"/>
    <w:rsid w:val="000C3DDD"/>
    <w:rsid w:val="000C4021"/>
    <w:rsid w:val="000C4102"/>
    <w:rsid w:val="000C41F1"/>
    <w:rsid w:val="000C4238"/>
    <w:rsid w:val="000C42CD"/>
    <w:rsid w:val="000C42E9"/>
    <w:rsid w:val="000C431F"/>
    <w:rsid w:val="000C440B"/>
    <w:rsid w:val="000C46B5"/>
    <w:rsid w:val="000C478A"/>
    <w:rsid w:val="000C4810"/>
    <w:rsid w:val="000C4948"/>
    <w:rsid w:val="000C4B5C"/>
    <w:rsid w:val="000C4C41"/>
    <w:rsid w:val="000C4CA0"/>
    <w:rsid w:val="000C4CCA"/>
    <w:rsid w:val="000C4CF7"/>
    <w:rsid w:val="000C4D0D"/>
    <w:rsid w:val="000C4D52"/>
    <w:rsid w:val="000C510B"/>
    <w:rsid w:val="000C5352"/>
    <w:rsid w:val="000C53BE"/>
    <w:rsid w:val="000C53DC"/>
    <w:rsid w:val="000C557F"/>
    <w:rsid w:val="000C55ED"/>
    <w:rsid w:val="000C5726"/>
    <w:rsid w:val="000C584B"/>
    <w:rsid w:val="000C59E0"/>
    <w:rsid w:val="000C5B32"/>
    <w:rsid w:val="000C5B67"/>
    <w:rsid w:val="000C5BC6"/>
    <w:rsid w:val="000C5E33"/>
    <w:rsid w:val="000C5ECB"/>
    <w:rsid w:val="000C5F5D"/>
    <w:rsid w:val="000C602D"/>
    <w:rsid w:val="000C6399"/>
    <w:rsid w:val="000C6457"/>
    <w:rsid w:val="000C6563"/>
    <w:rsid w:val="000C67C9"/>
    <w:rsid w:val="000C694C"/>
    <w:rsid w:val="000C6BA3"/>
    <w:rsid w:val="000C6C2D"/>
    <w:rsid w:val="000C6ECB"/>
    <w:rsid w:val="000C7413"/>
    <w:rsid w:val="000C7431"/>
    <w:rsid w:val="000C76EF"/>
    <w:rsid w:val="000C770F"/>
    <w:rsid w:val="000C78C0"/>
    <w:rsid w:val="000C79CB"/>
    <w:rsid w:val="000C79FB"/>
    <w:rsid w:val="000C7A48"/>
    <w:rsid w:val="000C7E3B"/>
    <w:rsid w:val="000C7F27"/>
    <w:rsid w:val="000C7F31"/>
    <w:rsid w:val="000C7FA9"/>
    <w:rsid w:val="000CF967"/>
    <w:rsid w:val="000D007E"/>
    <w:rsid w:val="000D0146"/>
    <w:rsid w:val="000D015B"/>
    <w:rsid w:val="000D02B1"/>
    <w:rsid w:val="000D02C0"/>
    <w:rsid w:val="000D041E"/>
    <w:rsid w:val="000D044A"/>
    <w:rsid w:val="000D0476"/>
    <w:rsid w:val="000D0599"/>
    <w:rsid w:val="000D09BE"/>
    <w:rsid w:val="000D0C85"/>
    <w:rsid w:val="000D0CED"/>
    <w:rsid w:val="000D0D66"/>
    <w:rsid w:val="000D0EE8"/>
    <w:rsid w:val="000D1031"/>
    <w:rsid w:val="000D1081"/>
    <w:rsid w:val="000D10A0"/>
    <w:rsid w:val="000D10FD"/>
    <w:rsid w:val="000D1192"/>
    <w:rsid w:val="000D11DA"/>
    <w:rsid w:val="000D12D6"/>
    <w:rsid w:val="000D13AC"/>
    <w:rsid w:val="000D140C"/>
    <w:rsid w:val="000D153A"/>
    <w:rsid w:val="000D1549"/>
    <w:rsid w:val="000D1633"/>
    <w:rsid w:val="000D1807"/>
    <w:rsid w:val="000D18DF"/>
    <w:rsid w:val="000D18E0"/>
    <w:rsid w:val="000D19C3"/>
    <w:rsid w:val="000D1BF0"/>
    <w:rsid w:val="000D1C53"/>
    <w:rsid w:val="000D1E7C"/>
    <w:rsid w:val="000D1ED1"/>
    <w:rsid w:val="000D1EED"/>
    <w:rsid w:val="000D1EF3"/>
    <w:rsid w:val="000D1FA4"/>
    <w:rsid w:val="000D2078"/>
    <w:rsid w:val="000D20F1"/>
    <w:rsid w:val="000D21AE"/>
    <w:rsid w:val="000D2461"/>
    <w:rsid w:val="000D2484"/>
    <w:rsid w:val="000D270D"/>
    <w:rsid w:val="000D2871"/>
    <w:rsid w:val="000D29AE"/>
    <w:rsid w:val="000D2ABE"/>
    <w:rsid w:val="000D2E4D"/>
    <w:rsid w:val="000D304E"/>
    <w:rsid w:val="000D31E9"/>
    <w:rsid w:val="000D3494"/>
    <w:rsid w:val="000D35DA"/>
    <w:rsid w:val="000D36A6"/>
    <w:rsid w:val="000D3800"/>
    <w:rsid w:val="000D3978"/>
    <w:rsid w:val="000D3A60"/>
    <w:rsid w:val="000D3B44"/>
    <w:rsid w:val="000D3C19"/>
    <w:rsid w:val="000D3C40"/>
    <w:rsid w:val="000D3EC3"/>
    <w:rsid w:val="000D3ECA"/>
    <w:rsid w:val="000D424D"/>
    <w:rsid w:val="000D4304"/>
    <w:rsid w:val="000D434B"/>
    <w:rsid w:val="000D49E0"/>
    <w:rsid w:val="000D4A30"/>
    <w:rsid w:val="000D4A50"/>
    <w:rsid w:val="000D4AA6"/>
    <w:rsid w:val="000D4B5B"/>
    <w:rsid w:val="000D4D3A"/>
    <w:rsid w:val="000D4FA7"/>
    <w:rsid w:val="000D4FB9"/>
    <w:rsid w:val="000D52B0"/>
    <w:rsid w:val="000D52EE"/>
    <w:rsid w:val="000D5338"/>
    <w:rsid w:val="000D5487"/>
    <w:rsid w:val="000D54B2"/>
    <w:rsid w:val="000D54CC"/>
    <w:rsid w:val="000D5540"/>
    <w:rsid w:val="000D56E9"/>
    <w:rsid w:val="000D57EB"/>
    <w:rsid w:val="000D5ECB"/>
    <w:rsid w:val="000D610B"/>
    <w:rsid w:val="000D61BF"/>
    <w:rsid w:val="000D631A"/>
    <w:rsid w:val="000D6384"/>
    <w:rsid w:val="000D65B9"/>
    <w:rsid w:val="000D66EF"/>
    <w:rsid w:val="000D67A3"/>
    <w:rsid w:val="000D67A9"/>
    <w:rsid w:val="000D67EA"/>
    <w:rsid w:val="000D68F2"/>
    <w:rsid w:val="000D69B5"/>
    <w:rsid w:val="000D6A0A"/>
    <w:rsid w:val="000D6B04"/>
    <w:rsid w:val="000D6E9E"/>
    <w:rsid w:val="000D6EF5"/>
    <w:rsid w:val="000D6F2F"/>
    <w:rsid w:val="000D6F77"/>
    <w:rsid w:val="000D7287"/>
    <w:rsid w:val="000D72B6"/>
    <w:rsid w:val="000D7514"/>
    <w:rsid w:val="000D7585"/>
    <w:rsid w:val="000D77D7"/>
    <w:rsid w:val="000D78AA"/>
    <w:rsid w:val="000D7902"/>
    <w:rsid w:val="000D790E"/>
    <w:rsid w:val="000D7B8E"/>
    <w:rsid w:val="000D7CEC"/>
    <w:rsid w:val="000D7D50"/>
    <w:rsid w:val="000E0141"/>
    <w:rsid w:val="000E017D"/>
    <w:rsid w:val="000E02DB"/>
    <w:rsid w:val="000E0480"/>
    <w:rsid w:val="000E0564"/>
    <w:rsid w:val="000E0566"/>
    <w:rsid w:val="000E064F"/>
    <w:rsid w:val="000E0671"/>
    <w:rsid w:val="000E06E1"/>
    <w:rsid w:val="000E06EC"/>
    <w:rsid w:val="000E0863"/>
    <w:rsid w:val="000E0921"/>
    <w:rsid w:val="000E095A"/>
    <w:rsid w:val="000E09EC"/>
    <w:rsid w:val="000E09EE"/>
    <w:rsid w:val="000E0CDC"/>
    <w:rsid w:val="000E0E8A"/>
    <w:rsid w:val="000E12B4"/>
    <w:rsid w:val="000E1440"/>
    <w:rsid w:val="000E15C7"/>
    <w:rsid w:val="000E162B"/>
    <w:rsid w:val="000E16A6"/>
    <w:rsid w:val="000E1757"/>
    <w:rsid w:val="000E187D"/>
    <w:rsid w:val="000E19A5"/>
    <w:rsid w:val="000E1A8E"/>
    <w:rsid w:val="000E1AEE"/>
    <w:rsid w:val="000E1B25"/>
    <w:rsid w:val="000E1E73"/>
    <w:rsid w:val="000E206F"/>
    <w:rsid w:val="000E2178"/>
    <w:rsid w:val="000E22F3"/>
    <w:rsid w:val="000E238C"/>
    <w:rsid w:val="000E247E"/>
    <w:rsid w:val="000E2838"/>
    <w:rsid w:val="000E28FD"/>
    <w:rsid w:val="000E2A2D"/>
    <w:rsid w:val="000E2BDF"/>
    <w:rsid w:val="000E2C7C"/>
    <w:rsid w:val="000E2D4C"/>
    <w:rsid w:val="000E2F9B"/>
    <w:rsid w:val="000E3112"/>
    <w:rsid w:val="000E31FF"/>
    <w:rsid w:val="000E326C"/>
    <w:rsid w:val="000E334D"/>
    <w:rsid w:val="000E3401"/>
    <w:rsid w:val="000E3450"/>
    <w:rsid w:val="000E3490"/>
    <w:rsid w:val="000E352B"/>
    <w:rsid w:val="000E3641"/>
    <w:rsid w:val="000E38EE"/>
    <w:rsid w:val="000E39C1"/>
    <w:rsid w:val="000E39D8"/>
    <w:rsid w:val="000E3A84"/>
    <w:rsid w:val="000E3B12"/>
    <w:rsid w:val="000E3B25"/>
    <w:rsid w:val="000E3BB5"/>
    <w:rsid w:val="000E3BBA"/>
    <w:rsid w:val="000E3BD5"/>
    <w:rsid w:val="000E3BF5"/>
    <w:rsid w:val="000E3C4E"/>
    <w:rsid w:val="000E3D23"/>
    <w:rsid w:val="000E3E15"/>
    <w:rsid w:val="000E4183"/>
    <w:rsid w:val="000E41E8"/>
    <w:rsid w:val="000E4290"/>
    <w:rsid w:val="000E45E3"/>
    <w:rsid w:val="000E4678"/>
    <w:rsid w:val="000E4696"/>
    <w:rsid w:val="000E46EE"/>
    <w:rsid w:val="000E471C"/>
    <w:rsid w:val="000E47BF"/>
    <w:rsid w:val="000E486A"/>
    <w:rsid w:val="000E48B0"/>
    <w:rsid w:val="000E49C1"/>
    <w:rsid w:val="000E49F0"/>
    <w:rsid w:val="000E4AB0"/>
    <w:rsid w:val="000E4AC5"/>
    <w:rsid w:val="000E4C93"/>
    <w:rsid w:val="000E4CFE"/>
    <w:rsid w:val="000E4DAA"/>
    <w:rsid w:val="000E4EEF"/>
    <w:rsid w:val="000E4F9C"/>
    <w:rsid w:val="000E50DD"/>
    <w:rsid w:val="000E518F"/>
    <w:rsid w:val="000E54D9"/>
    <w:rsid w:val="000E5550"/>
    <w:rsid w:val="000E55FB"/>
    <w:rsid w:val="000E5623"/>
    <w:rsid w:val="000E573D"/>
    <w:rsid w:val="000E59C7"/>
    <w:rsid w:val="000E5B16"/>
    <w:rsid w:val="000E5BE4"/>
    <w:rsid w:val="000E5F6E"/>
    <w:rsid w:val="000E6084"/>
    <w:rsid w:val="000E6176"/>
    <w:rsid w:val="000E62C3"/>
    <w:rsid w:val="000E6352"/>
    <w:rsid w:val="000E64FB"/>
    <w:rsid w:val="000E65C9"/>
    <w:rsid w:val="000E6616"/>
    <w:rsid w:val="000E6842"/>
    <w:rsid w:val="000E6883"/>
    <w:rsid w:val="000E68D6"/>
    <w:rsid w:val="000E693B"/>
    <w:rsid w:val="000E6BC8"/>
    <w:rsid w:val="000E6BDF"/>
    <w:rsid w:val="000E6CD6"/>
    <w:rsid w:val="000E6D56"/>
    <w:rsid w:val="000E6DC7"/>
    <w:rsid w:val="000E6E26"/>
    <w:rsid w:val="000E6E39"/>
    <w:rsid w:val="000E6F5F"/>
    <w:rsid w:val="000E6F9D"/>
    <w:rsid w:val="000E7631"/>
    <w:rsid w:val="000E7661"/>
    <w:rsid w:val="000E7735"/>
    <w:rsid w:val="000E781D"/>
    <w:rsid w:val="000E78AA"/>
    <w:rsid w:val="000E7CD3"/>
    <w:rsid w:val="000E7D84"/>
    <w:rsid w:val="000E7DBC"/>
    <w:rsid w:val="000E7E65"/>
    <w:rsid w:val="000F0056"/>
    <w:rsid w:val="000F00F0"/>
    <w:rsid w:val="000F0192"/>
    <w:rsid w:val="000F01CC"/>
    <w:rsid w:val="000F033A"/>
    <w:rsid w:val="000F033E"/>
    <w:rsid w:val="000F03A4"/>
    <w:rsid w:val="000F047C"/>
    <w:rsid w:val="000F0627"/>
    <w:rsid w:val="000F06E9"/>
    <w:rsid w:val="000F077F"/>
    <w:rsid w:val="000F07AD"/>
    <w:rsid w:val="000F07D2"/>
    <w:rsid w:val="000F087F"/>
    <w:rsid w:val="000F08FF"/>
    <w:rsid w:val="000F0928"/>
    <w:rsid w:val="000F0944"/>
    <w:rsid w:val="000F0AEE"/>
    <w:rsid w:val="000F0BB6"/>
    <w:rsid w:val="000F0C3B"/>
    <w:rsid w:val="000F0D40"/>
    <w:rsid w:val="000F0D69"/>
    <w:rsid w:val="000F101B"/>
    <w:rsid w:val="000F10FC"/>
    <w:rsid w:val="000F127A"/>
    <w:rsid w:val="000F1471"/>
    <w:rsid w:val="000F14BD"/>
    <w:rsid w:val="000F1504"/>
    <w:rsid w:val="000F1515"/>
    <w:rsid w:val="000F1558"/>
    <w:rsid w:val="000F15C7"/>
    <w:rsid w:val="000F17B9"/>
    <w:rsid w:val="000F1960"/>
    <w:rsid w:val="000F198B"/>
    <w:rsid w:val="000F1A54"/>
    <w:rsid w:val="000F1C28"/>
    <w:rsid w:val="000F1C60"/>
    <w:rsid w:val="000F1D87"/>
    <w:rsid w:val="000F1DA4"/>
    <w:rsid w:val="000F1DBF"/>
    <w:rsid w:val="000F1EF0"/>
    <w:rsid w:val="000F1FB5"/>
    <w:rsid w:val="000F21BE"/>
    <w:rsid w:val="000F239B"/>
    <w:rsid w:val="000F250B"/>
    <w:rsid w:val="000F282A"/>
    <w:rsid w:val="000F28A7"/>
    <w:rsid w:val="000F2918"/>
    <w:rsid w:val="000F2C56"/>
    <w:rsid w:val="000F2D62"/>
    <w:rsid w:val="000F2DCD"/>
    <w:rsid w:val="000F2E35"/>
    <w:rsid w:val="000F2E3E"/>
    <w:rsid w:val="000F2F29"/>
    <w:rsid w:val="000F30D9"/>
    <w:rsid w:val="000F32A8"/>
    <w:rsid w:val="000F3313"/>
    <w:rsid w:val="000F3863"/>
    <w:rsid w:val="000F38C9"/>
    <w:rsid w:val="000F3905"/>
    <w:rsid w:val="000F3A1A"/>
    <w:rsid w:val="000F3A8C"/>
    <w:rsid w:val="000F3B16"/>
    <w:rsid w:val="000F3C52"/>
    <w:rsid w:val="000F3D63"/>
    <w:rsid w:val="000F3D70"/>
    <w:rsid w:val="000F3EF8"/>
    <w:rsid w:val="000F3EFF"/>
    <w:rsid w:val="000F3F50"/>
    <w:rsid w:val="000F4009"/>
    <w:rsid w:val="000F40FE"/>
    <w:rsid w:val="000F4473"/>
    <w:rsid w:val="000F4593"/>
    <w:rsid w:val="000F4627"/>
    <w:rsid w:val="000F473C"/>
    <w:rsid w:val="000F4775"/>
    <w:rsid w:val="000F4837"/>
    <w:rsid w:val="000F4AD7"/>
    <w:rsid w:val="000F4BFB"/>
    <w:rsid w:val="000F4E35"/>
    <w:rsid w:val="000F4E6E"/>
    <w:rsid w:val="000F4EB2"/>
    <w:rsid w:val="000F4F1F"/>
    <w:rsid w:val="000F4FF9"/>
    <w:rsid w:val="000F51DD"/>
    <w:rsid w:val="000F53CE"/>
    <w:rsid w:val="000F552A"/>
    <w:rsid w:val="000F5642"/>
    <w:rsid w:val="000F5725"/>
    <w:rsid w:val="000F573E"/>
    <w:rsid w:val="000F5867"/>
    <w:rsid w:val="000F5893"/>
    <w:rsid w:val="000F5A91"/>
    <w:rsid w:val="000F5BEF"/>
    <w:rsid w:val="000F5DE2"/>
    <w:rsid w:val="000F5E04"/>
    <w:rsid w:val="000F5E36"/>
    <w:rsid w:val="000F6090"/>
    <w:rsid w:val="000F61AE"/>
    <w:rsid w:val="000F629B"/>
    <w:rsid w:val="000F64EC"/>
    <w:rsid w:val="000F65E4"/>
    <w:rsid w:val="000F6745"/>
    <w:rsid w:val="000F6875"/>
    <w:rsid w:val="000F6D61"/>
    <w:rsid w:val="000F6E92"/>
    <w:rsid w:val="000F6EDB"/>
    <w:rsid w:val="000F70B8"/>
    <w:rsid w:val="000F70C1"/>
    <w:rsid w:val="000F72EB"/>
    <w:rsid w:val="000F748C"/>
    <w:rsid w:val="000F762A"/>
    <w:rsid w:val="000F7693"/>
    <w:rsid w:val="000F76E6"/>
    <w:rsid w:val="000F76F1"/>
    <w:rsid w:val="000F7709"/>
    <w:rsid w:val="000F7994"/>
    <w:rsid w:val="000F7A3B"/>
    <w:rsid w:val="000F7AE5"/>
    <w:rsid w:val="000F7B15"/>
    <w:rsid w:val="000F7C14"/>
    <w:rsid w:val="000F7C15"/>
    <w:rsid w:val="000F7E0E"/>
    <w:rsid w:val="000F7F54"/>
    <w:rsid w:val="000F7F88"/>
    <w:rsid w:val="000F7FE8"/>
    <w:rsid w:val="00100285"/>
    <w:rsid w:val="0010028C"/>
    <w:rsid w:val="0010037B"/>
    <w:rsid w:val="00100395"/>
    <w:rsid w:val="001003BE"/>
    <w:rsid w:val="00100440"/>
    <w:rsid w:val="001004C5"/>
    <w:rsid w:val="0010051B"/>
    <w:rsid w:val="00100595"/>
    <w:rsid w:val="001006D9"/>
    <w:rsid w:val="00100A04"/>
    <w:rsid w:val="00100A48"/>
    <w:rsid w:val="00100BA0"/>
    <w:rsid w:val="00100CEE"/>
    <w:rsid w:val="00100D62"/>
    <w:rsid w:val="00100D9D"/>
    <w:rsid w:val="00100E2F"/>
    <w:rsid w:val="00100EC0"/>
    <w:rsid w:val="00100EFC"/>
    <w:rsid w:val="00100F8D"/>
    <w:rsid w:val="00101051"/>
    <w:rsid w:val="0010110B"/>
    <w:rsid w:val="00101226"/>
    <w:rsid w:val="00101418"/>
    <w:rsid w:val="001018F3"/>
    <w:rsid w:val="001018FA"/>
    <w:rsid w:val="00101A2D"/>
    <w:rsid w:val="00101A70"/>
    <w:rsid w:val="00101A71"/>
    <w:rsid w:val="00101C5F"/>
    <w:rsid w:val="00101C79"/>
    <w:rsid w:val="00101D3C"/>
    <w:rsid w:val="00101D84"/>
    <w:rsid w:val="00101E02"/>
    <w:rsid w:val="00101E33"/>
    <w:rsid w:val="00101EDC"/>
    <w:rsid w:val="00101FB7"/>
    <w:rsid w:val="0010235E"/>
    <w:rsid w:val="001023B8"/>
    <w:rsid w:val="001024E5"/>
    <w:rsid w:val="00102586"/>
    <w:rsid w:val="001026B8"/>
    <w:rsid w:val="00102781"/>
    <w:rsid w:val="00102786"/>
    <w:rsid w:val="001027AB"/>
    <w:rsid w:val="001029DD"/>
    <w:rsid w:val="00102B88"/>
    <w:rsid w:val="00102BB2"/>
    <w:rsid w:val="00102C14"/>
    <w:rsid w:val="00102FED"/>
    <w:rsid w:val="001032D3"/>
    <w:rsid w:val="001033F8"/>
    <w:rsid w:val="0010359E"/>
    <w:rsid w:val="00103645"/>
    <w:rsid w:val="00103653"/>
    <w:rsid w:val="0010391A"/>
    <w:rsid w:val="00103C28"/>
    <w:rsid w:val="00104023"/>
    <w:rsid w:val="0010409E"/>
    <w:rsid w:val="00104163"/>
    <w:rsid w:val="00104182"/>
    <w:rsid w:val="001041FE"/>
    <w:rsid w:val="00104225"/>
    <w:rsid w:val="0010438D"/>
    <w:rsid w:val="00104582"/>
    <w:rsid w:val="00104757"/>
    <w:rsid w:val="00104A2E"/>
    <w:rsid w:val="00104A79"/>
    <w:rsid w:val="00104D97"/>
    <w:rsid w:val="00104FFB"/>
    <w:rsid w:val="0010509B"/>
    <w:rsid w:val="001053E6"/>
    <w:rsid w:val="001054C7"/>
    <w:rsid w:val="00105548"/>
    <w:rsid w:val="001055D4"/>
    <w:rsid w:val="00105738"/>
    <w:rsid w:val="00105756"/>
    <w:rsid w:val="0010580E"/>
    <w:rsid w:val="0010585F"/>
    <w:rsid w:val="0010598A"/>
    <w:rsid w:val="00105AFF"/>
    <w:rsid w:val="00105B02"/>
    <w:rsid w:val="00105DA5"/>
    <w:rsid w:val="00105E35"/>
    <w:rsid w:val="00105E3A"/>
    <w:rsid w:val="00105EE2"/>
    <w:rsid w:val="00105F76"/>
    <w:rsid w:val="0010604E"/>
    <w:rsid w:val="0010610C"/>
    <w:rsid w:val="00106405"/>
    <w:rsid w:val="001064F7"/>
    <w:rsid w:val="00106507"/>
    <w:rsid w:val="001065C1"/>
    <w:rsid w:val="001067E1"/>
    <w:rsid w:val="00106843"/>
    <w:rsid w:val="001068BA"/>
    <w:rsid w:val="00106D56"/>
    <w:rsid w:val="00106E14"/>
    <w:rsid w:val="00106E73"/>
    <w:rsid w:val="00106F24"/>
    <w:rsid w:val="00107227"/>
    <w:rsid w:val="00107293"/>
    <w:rsid w:val="001072F8"/>
    <w:rsid w:val="00107391"/>
    <w:rsid w:val="001073AA"/>
    <w:rsid w:val="001074E0"/>
    <w:rsid w:val="00107535"/>
    <w:rsid w:val="00107735"/>
    <w:rsid w:val="0010777A"/>
    <w:rsid w:val="00107917"/>
    <w:rsid w:val="00107A65"/>
    <w:rsid w:val="00107C79"/>
    <w:rsid w:val="0011000D"/>
    <w:rsid w:val="00110096"/>
    <w:rsid w:val="001102E4"/>
    <w:rsid w:val="00110452"/>
    <w:rsid w:val="001104F3"/>
    <w:rsid w:val="00110573"/>
    <w:rsid w:val="001105CE"/>
    <w:rsid w:val="0011061C"/>
    <w:rsid w:val="0011065F"/>
    <w:rsid w:val="001107B6"/>
    <w:rsid w:val="001108FB"/>
    <w:rsid w:val="0011099D"/>
    <w:rsid w:val="001109CC"/>
    <w:rsid w:val="001109EB"/>
    <w:rsid w:val="00110ABD"/>
    <w:rsid w:val="00110BB9"/>
    <w:rsid w:val="00110C06"/>
    <w:rsid w:val="00110F99"/>
    <w:rsid w:val="00110FD0"/>
    <w:rsid w:val="0011100B"/>
    <w:rsid w:val="00111027"/>
    <w:rsid w:val="001110CA"/>
    <w:rsid w:val="001111AD"/>
    <w:rsid w:val="0011129D"/>
    <w:rsid w:val="001114C3"/>
    <w:rsid w:val="001116BB"/>
    <w:rsid w:val="0011170B"/>
    <w:rsid w:val="001117F5"/>
    <w:rsid w:val="00111839"/>
    <w:rsid w:val="00111843"/>
    <w:rsid w:val="001118F3"/>
    <w:rsid w:val="0011194C"/>
    <w:rsid w:val="00111969"/>
    <w:rsid w:val="0011198F"/>
    <w:rsid w:val="0011199F"/>
    <w:rsid w:val="00111AE2"/>
    <w:rsid w:val="00111BF6"/>
    <w:rsid w:val="00111C77"/>
    <w:rsid w:val="00111D51"/>
    <w:rsid w:val="00111F1B"/>
    <w:rsid w:val="00111F2B"/>
    <w:rsid w:val="00112239"/>
    <w:rsid w:val="001122B2"/>
    <w:rsid w:val="001123E0"/>
    <w:rsid w:val="0011253F"/>
    <w:rsid w:val="00112565"/>
    <w:rsid w:val="00112628"/>
    <w:rsid w:val="00112660"/>
    <w:rsid w:val="0011270D"/>
    <w:rsid w:val="00112842"/>
    <w:rsid w:val="00112868"/>
    <w:rsid w:val="00112A07"/>
    <w:rsid w:val="00112A37"/>
    <w:rsid w:val="00112AD1"/>
    <w:rsid w:val="00112BEB"/>
    <w:rsid w:val="00112F7C"/>
    <w:rsid w:val="00112FCB"/>
    <w:rsid w:val="00113085"/>
    <w:rsid w:val="00113182"/>
    <w:rsid w:val="0011324C"/>
    <w:rsid w:val="0011331E"/>
    <w:rsid w:val="001134DF"/>
    <w:rsid w:val="001135A2"/>
    <w:rsid w:val="00113C05"/>
    <w:rsid w:val="00113E3B"/>
    <w:rsid w:val="00114370"/>
    <w:rsid w:val="001143A0"/>
    <w:rsid w:val="001143CE"/>
    <w:rsid w:val="001143D9"/>
    <w:rsid w:val="00114716"/>
    <w:rsid w:val="0011472E"/>
    <w:rsid w:val="0011473D"/>
    <w:rsid w:val="001147B3"/>
    <w:rsid w:val="00114920"/>
    <w:rsid w:val="001149EA"/>
    <w:rsid w:val="00114BD1"/>
    <w:rsid w:val="00115077"/>
    <w:rsid w:val="001154C5"/>
    <w:rsid w:val="00115525"/>
    <w:rsid w:val="00115572"/>
    <w:rsid w:val="001155C0"/>
    <w:rsid w:val="001156E1"/>
    <w:rsid w:val="00115884"/>
    <w:rsid w:val="001159DF"/>
    <w:rsid w:val="00115A16"/>
    <w:rsid w:val="00115BB6"/>
    <w:rsid w:val="00115C21"/>
    <w:rsid w:val="00115CF0"/>
    <w:rsid w:val="00115F5E"/>
    <w:rsid w:val="001160B2"/>
    <w:rsid w:val="001160C6"/>
    <w:rsid w:val="00116424"/>
    <w:rsid w:val="001166CB"/>
    <w:rsid w:val="0011673A"/>
    <w:rsid w:val="00116775"/>
    <w:rsid w:val="001167F3"/>
    <w:rsid w:val="001168A4"/>
    <w:rsid w:val="001169A3"/>
    <w:rsid w:val="00116A0A"/>
    <w:rsid w:val="00116BF2"/>
    <w:rsid w:val="00116C85"/>
    <w:rsid w:val="00116D97"/>
    <w:rsid w:val="00116E6E"/>
    <w:rsid w:val="00116EC7"/>
    <w:rsid w:val="00116F01"/>
    <w:rsid w:val="00116F32"/>
    <w:rsid w:val="00116F39"/>
    <w:rsid w:val="00116FB3"/>
    <w:rsid w:val="001171BB"/>
    <w:rsid w:val="0011742A"/>
    <w:rsid w:val="00117476"/>
    <w:rsid w:val="001174E3"/>
    <w:rsid w:val="001175D1"/>
    <w:rsid w:val="00117670"/>
    <w:rsid w:val="001178E7"/>
    <w:rsid w:val="001179A5"/>
    <w:rsid w:val="00117A86"/>
    <w:rsid w:val="00117B72"/>
    <w:rsid w:val="00117C22"/>
    <w:rsid w:val="00117CA4"/>
    <w:rsid w:val="00117E0E"/>
    <w:rsid w:val="00117ED8"/>
    <w:rsid w:val="00117EE4"/>
    <w:rsid w:val="00117F1D"/>
    <w:rsid w:val="00120040"/>
    <w:rsid w:val="00120176"/>
    <w:rsid w:val="0012018F"/>
    <w:rsid w:val="001201C9"/>
    <w:rsid w:val="001202B1"/>
    <w:rsid w:val="001202EA"/>
    <w:rsid w:val="00120352"/>
    <w:rsid w:val="0012039F"/>
    <w:rsid w:val="0012040E"/>
    <w:rsid w:val="0012042E"/>
    <w:rsid w:val="0012042F"/>
    <w:rsid w:val="00120469"/>
    <w:rsid w:val="00120507"/>
    <w:rsid w:val="0012054F"/>
    <w:rsid w:val="0012077A"/>
    <w:rsid w:val="0012084C"/>
    <w:rsid w:val="001209D2"/>
    <w:rsid w:val="001209D5"/>
    <w:rsid w:val="00120E92"/>
    <w:rsid w:val="00120EA7"/>
    <w:rsid w:val="00120F78"/>
    <w:rsid w:val="001210B4"/>
    <w:rsid w:val="00121226"/>
    <w:rsid w:val="001212AE"/>
    <w:rsid w:val="001212B3"/>
    <w:rsid w:val="00121380"/>
    <w:rsid w:val="00121521"/>
    <w:rsid w:val="00121688"/>
    <w:rsid w:val="00121690"/>
    <w:rsid w:val="00121702"/>
    <w:rsid w:val="001217B8"/>
    <w:rsid w:val="00121A1F"/>
    <w:rsid w:val="00121A5A"/>
    <w:rsid w:val="00121B4E"/>
    <w:rsid w:val="00121CE1"/>
    <w:rsid w:val="00121D43"/>
    <w:rsid w:val="00121DE4"/>
    <w:rsid w:val="00121DF3"/>
    <w:rsid w:val="00121EB0"/>
    <w:rsid w:val="00122208"/>
    <w:rsid w:val="0012224C"/>
    <w:rsid w:val="00122426"/>
    <w:rsid w:val="0012256E"/>
    <w:rsid w:val="00122621"/>
    <w:rsid w:val="0012262E"/>
    <w:rsid w:val="0012264E"/>
    <w:rsid w:val="00122734"/>
    <w:rsid w:val="00122885"/>
    <w:rsid w:val="001228AA"/>
    <w:rsid w:val="001228DA"/>
    <w:rsid w:val="00122AE2"/>
    <w:rsid w:val="00122AFC"/>
    <w:rsid w:val="00122B4A"/>
    <w:rsid w:val="00122C7A"/>
    <w:rsid w:val="00122CA8"/>
    <w:rsid w:val="00122DC6"/>
    <w:rsid w:val="00122E44"/>
    <w:rsid w:val="00122F16"/>
    <w:rsid w:val="00122FFF"/>
    <w:rsid w:val="00123015"/>
    <w:rsid w:val="001232B9"/>
    <w:rsid w:val="0012338B"/>
    <w:rsid w:val="00123487"/>
    <w:rsid w:val="00123501"/>
    <w:rsid w:val="0012360F"/>
    <w:rsid w:val="0012374B"/>
    <w:rsid w:val="0012383B"/>
    <w:rsid w:val="00123919"/>
    <w:rsid w:val="00123944"/>
    <w:rsid w:val="00123A21"/>
    <w:rsid w:val="00123C84"/>
    <w:rsid w:val="00123D7E"/>
    <w:rsid w:val="00123D8B"/>
    <w:rsid w:val="00123DC2"/>
    <w:rsid w:val="00123F79"/>
    <w:rsid w:val="001240DF"/>
    <w:rsid w:val="0012422A"/>
    <w:rsid w:val="00124230"/>
    <w:rsid w:val="001242A8"/>
    <w:rsid w:val="001242B3"/>
    <w:rsid w:val="0012434A"/>
    <w:rsid w:val="001243E6"/>
    <w:rsid w:val="00124517"/>
    <w:rsid w:val="00124608"/>
    <w:rsid w:val="001246E8"/>
    <w:rsid w:val="0012471F"/>
    <w:rsid w:val="0012484B"/>
    <w:rsid w:val="001248E6"/>
    <w:rsid w:val="00124963"/>
    <w:rsid w:val="00124C84"/>
    <w:rsid w:val="00124D35"/>
    <w:rsid w:val="00124E93"/>
    <w:rsid w:val="00125068"/>
    <w:rsid w:val="00125150"/>
    <w:rsid w:val="00125169"/>
    <w:rsid w:val="001251BE"/>
    <w:rsid w:val="001252FA"/>
    <w:rsid w:val="001256A7"/>
    <w:rsid w:val="00125C3A"/>
    <w:rsid w:val="00125C63"/>
    <w:rsid w:val="00125EDE"/>
    <w:rsid w:val="001265A6"/>
    <w:rsid w:val="001265A8"/>
    <w:rsid w:val="001265FD"/>
    <w:rsid w:val="00126716"/>
    <w:rsid w:val="001267C4"/>
    <w:rsid w:val="00126819"/>
    <w:rsid w:val="00126876"/>
    <w:rsid w:val="00126B35"/>
    <w:rsid w:val="00126B78"/>
    <w:rsid w:val="00126C69"/>
    <w:rsid w:val="00126C95"/>
    <w:rsid w:val="001270AF"/>
    <w:rsid w:val="001270BD"/>
    <w:rsid w:val="001275B7"/>
    <w:rsid w:val="00127635"/>
    <w:rsid w:val="001278C1"/>
    <w:rsid w:val="001278DE"/>
    <w:rsid w:val="00127A07"/>
    <w:rsid w:val="00127BEB"/>
    <w:rsid w:val="00127C30"/>
    <w:rsid w:val="00127C83"/>
    <w:rsid w:val="00127ED0"/>
    <w:rsid w:val="00130053"/>
    <w:rsid w:val="001302B6"/>
    <w:rsid w:val="0013038D"/>
    <w:rsid w:val="001304EB"/>
    <w:rsid w:val="001305D9"/>
    <w:rsid w:val="0013064C"/>
    <w:rsid w:val="00130655"/>
    <w:rsid w:val="00130686"/>
    <w:rsid w:val="001308FC"/>
    <w:rsid w:val="001308FD"/>
    <w:rsid w:val="00130941"/>
    <w:rsid w:val="00130BE5"/>
    <w:rsid w:val="00130C28"/>
    <w:rsid w:val="00130F14"/>
    <w:rsid w:val="00130F22"/>
    <w:rsid w:val="00130F87"/>
    <w:rsid w:val="001312CD"/>
    <w:rsid w:val="00131309"/>
    <w:rsid w:val="00131492"/>
    <w:rsid w:val="00131782"/>
    <w:rsid w:val="001317CA"/>
    <w:rsid w:val="001317D8"/>
    <w:rsid w:val="001319F8"/>
    <w:rsid w:val="00131A62"/>
    <w:rsid w:val="00131B56"/>
    <w:rsid w:val="00131E36"/>
    <w:rsid w:val="00131F14"/>
    <w:rsid w:val="00132042"/>
    <w:rsid w:val="0013219F"/>
    <w:rsid w:val="0013254E"/>
    <w:rsid w:val="00132568"/>
    <w:rsid w:val="00132711"/>
    <w:rsid w:val="00132A0F"/>
    <w:rsid w:val="00132CAD"/>
    <w:rsid w:val="00132D4C"/>
    <w:rsid w:val="00132FE2"/>
    <w:rsid w:val="001330D0"/>
    <w:rsid w:val="00133460"/>
    <w:rsid w:val="0013357A"/>
    <w:rsid w:val="00133773"/>
    <w:rsid w:val="00133781"/>
    <w:rsid w:val="00133820"/>
    <w:rsid w:val="001339AB"/>
    <w:rsid w:val="001339E6"/>
    <w:rsid w:val="00133CB0"/>
    <w:rsid w:val="00133D5D"/>
    <w:rsid w:val="00133E41"/>
    <w:rsid w:val="00133ECF"/>
    <w:rsid w:val="00133FDC"/>
    <w:rsid w:val="00134111"/>
    <w:rsid w:val="001341F1"/>
    <w:rsid w:val="00134257"/>
    <w:rsid w:val="001342B2"/>
    <w:rsid w:val="00134347"/>
    <w:rsid w:val="001343AF"/>
    <w:rsid w:val="0013461D"/>
    <w:rsid w:val="00134666"/>
    <w:rsid w:val="00134768"/>
    <w:rsid w:val="001349DD"/>
    <w:rsid w:val="001349F3"/>
    <w:rsid w:val="00134B2C"/>
    <w:rsid w:val="00134B67"/>
    <w:rsid w:val="00134D5E"/>
    <w:rsid w:val="00134E27"/>
    <w:rsid w:val="0013524F"/>
    <w:rsid w:val="001352CE"/>
    <w:rsid w:val="001352E4"/>
    <w:rsid w:val="00135533"/>
    <w:rsid w:val="00135699"/>
    <w:rsid w:val="001356EC"/>
    <w:rsid w:val="00135A9E"/>
    <w:rsid w:val="00135B0F"/>
    <w:rsid w:val="00135B8E"/>
    <w:rsid w:val="00135DD4"/>
    <w:rsid w:val="00135E1F"/>
    <w:rsid w:val="00135E90"/>
    <w:rsid w:val="00135FC1"/>
    <w:rsid w:val="00135FED"/>
    <w:rsid w:val="00136018"/>
    <w:rsid w:val="0013609B"/>
    <w:rsid w:val="0013636F"/>
    <w:rsid w:val="0013657F"/>
    <w:rsid w:val="001365E2"/>
    <w:rsid w:val="001366F3"/>
    <w:rsid w:val="0013671E"/>
    <w:rsid w:val="001368D5"/>
    <w:rsid w:val="00136926"/>
    <w:rsid w:val="00136A40"/>
    <w:rsid w:val="00136B5D"/>
    <w:rsid w:val="00136DBC"/>
    <w:rsid w:val="00136EE7"/>
    <w:rsid w:val="00136FCF"/>
    <w:rsid w:val="001370C0"/>
    <w:rsid w:val="0013720A"/>
    <w:rsid w:val="001373CA"/>
    <w:rsid w:val="0013747A"/>
    <w:rsid w:val="0013751A"/>
    <w:rsid w:val="001375F1"/>
    <w:rsid w:val="00137694"/>
    <w:rsid w:val="001376A0"/>
    <w:rsid w:val="001376E4"/>
    <w:rsid w:val="00137746"/>
    <w:rsid w:val="001377F7"/>
    <w:rsid w:val="0013790A"/>
    <w:rsid w:val="00137DDD"/>
    <w:rsid w:val="00137E53"/>
    <w:rsid w:val="00137ED7"/>
    <w:rsid w:val="00137EE4"/>
    <w:rsid w:val="001405BB"/>
    <w:rsid w:val="0014060D"/>
    <w:rsid w:val="0014077F"/>
    <w:rsid w:val="001407C3"/>
    <w:rsid w:val="001408A7"/>
    <w:rsid w:val="001408DA"/>
    <w:rsid w:val="00140BC2"/>
    <w:rsid w:val="00140DD0"/>
    <w:rsid w:val="00140F41"/>
    <w:rsid w:val="001410A2"/>
    <w:rsid w:val="001410F5"/>
    <w:rsid w:val="00141181"/>
    <w:rsid w:val="001411AA"/>
    <w:rsid w:val="0014122A"/>
    <w:rsid w:val="0014124C"/>
    <w:rsid w:val="00141268"/>
    <w:rsid w:val="0014132E"/>
    <w:rsid w:val="001413DC"/>
    <w:rsid w:val="00141531"/>
    <w:rsid w:val="00141621"/>
    <w:rsid w:val="00141641"/>
    <w:rsid w:val="00141868"/>
    <w:rsid w:val="00141899"/>
    <w:rsid w:val="001418CE"/>
    <w:rsid w:val="00141B0B"/>
    <w:rsid w:val="00141B2C"/>
    <w:rsid w:val="00141BE9"/>
    <w:rsid w:val="00141D99"/>
    <w:rsid w:val="00141EFA"/>
    <w:rsid w:val="00142070"/>
    <w:rsid w:val="001422A4"/>
    <w:rsid w:val="0014232D"/>
    <w:rsid w:val="0014243A"/>
    <w:rsid w:val="00142718"/>
    <w:rsid w:val="001429E3"/>
    <w:rsid w:val="00142AF8"/>
    <w:rsid w:val="00142C80"/>
    <w:rsid w:val="00142D38"/>
    <w:rsid w:val="00143040"/>
    <w:rsid w:val="00143091"/>
    <w:rsid w:val="0014309D"/>
    <w:rsid w:val="00143641"/>
    <w:rsid w:val="0014369C"/>
    <w:rsid w:val="00143743"/>
    <w:rsid w:val="00143847"/>
    <w:rsid w:val="00143B22"/>
    <w:rsid w:val="00143CE4"/>
    <w:rsid w:val="00143DA3"/>
    <w:rsid w:val="00143DB6"/>
    <w:rsid w:val="00143E29"/>
    <w:rsid w:val="00143F4E"/>
    <w:rsid w:val="00144088"/>
    <w:rsid w:val="00144454"/>
    <w:rsid w:val="00144519"/>
    <w:rsid w:val="00144701"/>
    <w:rsid w:val="00144827"/>
    <w:rsid w:val="00144897"/>
    <w:rsid w:val="00144B04"/>
    <w:rsid w:val="00144B2B"/>
    <w:rsid w:val="00144B36"/>
    <w:rsid w:val="00144BC9"/>
    <w:rsid w:val="00144C96"/>
    <w:rsid w:val="00144D48"/>
    <w:rsid w:val="00144D85"/>
    <w:rsid w:val="00144D9C"/>
    <w:rsid w:val="00144F7A"/>
    <w:rsid w:val="00144FA3"/>
    <w:rsid w:val="00145035"/>
    <w:rsid w:val="00145079"/>
    <w:rsid w:val="001452CF"/>
    <w:rsid w:val="00145333"/>
    <w:rsid w:val="001454CE"/>
    <w:rsid w:val="0014552A"/>
    <w:rsid w:val="0014562C"/>
    <w:rsid w:val="00145639"/>
    <w:rsid w:val="0014563B"/>
    <w:rsid w:val="00145640"/>
    <w:rsid w:val="0014579B"/>
    <w:rsid w:val="00145B21"/>
    <w:rsid w:val="00145F85"/>
    <w:rsid w:val="0014606E"/>
    <w:rsid w:val="00146139"/>
    <w:rsid w:val="001461F7"/>
    <w:rsid w:val="0014630A"/>
    <w:rsid w:val="00146384"/>
    <w:rsid w:val="00146410"/>
    <w:rsid w:val="001464CB"/>
    <w:rsid w:val="00146569"/>
    <w:rsid w:val="001465F4"/>
    <w:rsid w:val="00146745"/>
    <w:rsid w:val="001469FA"/>
    <w:rsid w:val="00146B3E"/>
    <w:rsid w:val="00146BC7"/>
    <w:rsid w:val="00146E23"/>
    <w:rsid w:val="00146E56"/>
    <w:rsid w:val="00146FD2"/>
    <w:rsid w:val="0014705E"/>
    <w:rsid w:val="0014706D"/>
    <w:rsid w:val="00147103"/>
    <w:rsid w:val="00147407"/>
    <w:rsid w:val="0014763B"/>
    <w:rsid w:val="00147733"/>
    <w:rsid w:val="00147775"/>
    <w:rsid w:val="001477C2"/>
    <w:rsid w:val="00147831"/>
    <w:rsid w:val="0014793F"/>
    <w:rsid w:val="00147A28"/>
    <w:rsid w:val="00147A85"/>
    <w:rsid w:val="00147C82"/>
    <w:rsid w:val="00147C8B"/>
    <w:rsid w:val="00147D90"/>
    <w:rsid w:val="00147EA3"/>
    <w:rsid w:val="00147F76"/>
    <w:rsid w:val="001500FD"/>
    <w:rsid w:val="001501D9"/>
    <w:rsid w:val="00150249"/>
    <w:rsid w:val="001503B8"/>
    <w:rsid w:val="00150A10"/>
    <w:rsid w:val="00150A6F"/>
    <w:rsid w:val="00150DEA"/>
    <w:rsid w:val="00150E6E"/>
    <w:rsid w:val="00150FFC"/>
    <w:rsid w:val="001512B3"/>
    <w:rsid w:val="001513A2"/>
    <w:rsid w:val="001513B5"/>
    <w:rsid w:val="001513E0"/>
    <w:rsid w:val="00151456"/>
    <w:rsid w:val="00151535"/>
    <w:rsid w:val="0015156D"/>
    <w:rsid w:val="001515ED"/>
    <w:rsid w:val="001517E0"/>
    <w:rsid w:val="00151BE9"/>
    <w:rsid w:val="00151BEE"/>
    <w:rsid w:val="00151C70"/>
    <w:rsid w:val="00151C9A"/>
    <w:rsid w:val="00151D65"/>
    <w:rsid w:val="00151D8C"/>
    <w:rsid w:val="00151E07"/>
    <w:rsid w:val="00151E57"/>
    <w:rsid w:val="001520A7"/>
    <w:rsid w:val="001521A1"/>
    <w:rsid w:val="00152201"/>
    <w:rsid w:val="001523A4"/>
    <w:rsid w:val="001525CD"/>
    <w:rsid w:val="001526AE"/>
    <w:rsid w:val="001527D7"/>
    <w:rsid w:val="00152A4A"/>
    <w:rsid w:val="00152A67"/>
    <w:rsid w:val="00152C83"/>
    <w:rsid w:val="00152CB0"/>
    <w:rsid w:val="00152DB2"/>
    <w:rsid w:val="00152DB4"/>
    <w:rsid w:val="00152E1F"/>
    <w:rsid w:val="00152EC5"/>
    <w:rsid w:val="0015302A"/>
    <w:rsid w:val="001531CE"/>
    <w:rsid w:val="001537F1"/>
    <w:rsid w:val="00153812"/>
    <w:rsid w:val="00153880"/>
    <w:rsid w:val="001539BC"/>
    <w:rsid w:val="00153A8A"/>
    <w:rsid w:val="00153A95"/>
    <w:rsid w:val="00153AF4"/>
    <w:rsid w:val="00153BB7"/>
    <w:rsid w:val="00153C83"/>
    <w:rsid w:val="00153CCE"/>
    <w:rsid w:val="00153CF2"/>
    <w:rsid w:val="00153D49"/>
    <w:rsid w:val="0015409D"/>
    <w:rsid w:val="0015414A"/>
    <w:rsid w:val="00154219"/>
    <w:rsid w:val="00154336"/>
    <w:rsid w:val="0015481E"/>
    <w:rsid w:val="00154B20"/>
    <w:rsid w:val="00154C94"/>
    <w:rsid w:val="00154E63"/>
    <w:rsid w:val="00154FC7"/>
    <w:rsid w:val="00155155"/>
    <w:rsid w:val="00155169"/>
    <w:rsid w:val="001551AA"/>
    <w:rsid w:val="00155209"/>
    <w:rsid w:val="0015532B"/>
    <w:rsid w:val="00155531"/>
    <w:rsid w:val="001555D9"/>
    <w:rsid w:val="001555EC"/>
    <w:rsid w:val="0015589F"/>
    <w:rsid w:val="001558C4"/>
    <w:rsid w:val="001559DD"/>
    <w:rsid w:val="00155A4A"/>
    <w:rsid w:val="00155B04"/>
    <w:rsid w:val="00155C3D"/>
    <w:rsid w:val="00155DCA"/>
    <w:rsid w:val="00155E14"/>
    <w:rsid w:val="00155F5C"/>
    <w:rsid w:val="00156142"/>
    <w:rsid w:val="00156303"/>
    <w:rsid w:val="0015650A"/>
    <w:rsid w:val="0015686A"/>
    <w:rsid w:val="00156942"/>
    <w:rsid w:val="001569E0"/>
    <w:rsid w:val="00156B07"/>
    <w:rsid w:val="00156CFD"/>
    <w:rsid w:val="00156EE2"/>
    <w:rsid w:val="00157144"/>
    <w:rsid w:val="001576E5"/>
    <w:rsid w:val="0015775A"/>
    <w:rsid w:val="00157868"/>
    <w:rsid w:val="00157A95"/>
    <w:rsid w:val="00157B59"/>
    <w:rsid w:val="00157D6B"/>
    <w:rsid w:val="00157E13"/>
    <w:rsid w:val="00157E9C"/>
    <w:rsid w:val="00157ED4"/>
    <w:rsid w:val="001600A4"/>
    <w:rsid w:val="001601D5"/>
    <w:rsid w:val="001603AC"/>
    <w:rsid w:val="001603D1"/>
    <w:rsid w:val="001603EC"/>
    <w:rsid w:val="00160473"/>
    <w:rsid w:val="00160552"/>
    <w:rsid w:val="00160626"/>
    <w:rsid w:val="00160857"/>
    <w:rsid w:val="001608A7"/>
    <w:rsid w:val="00160D55"/>
    <w:rsid w:val="00160D66"/>
    <w:rsid w:val="00160D89"/>
    <w:rsid w:val="00160E6F"/>
    <w:rsid w:val="00160EBA"/>
    <w:rsid w:val="00160F24"/>
    <w:rsid w:val="001610CF"/>
    <w:rsid w:val="00161166"/>
    <w:rsid w:val="00161255"/>
    <w:rsid w:val="001616B6"/>
    <w:rsid w:val="00161832"/>
    <w:rsid w:val="00161958"/>
    <w:rsid w:val="001619C5"/>
    <w:rsid w:val="00161C33"/>
    <w:rsid w:val="00161C49"/>
    <w:rsid w:val="00161D7E"/>
    <w:rsid w:val="00161E0C"/>
    <w:rsid w:val="001620EE"/>
    <w:rsid w:val="00162171"/>
    <w:rsid w:val="00162456"/>
    <w:rsid w:val="00162460"/>
    <w:rsid w:val="00162733"/>
    <w:rsid w:val="00162856"/>
    <w:rsid w:val="00162B36"/>
    <w:rsid w:val="00162DBF"/>
    <w:rsid w:val="00162E3E"/>
    <w:rsid w:val="00162E65"/>
    <w:rsid w:val="00162F1D"/>
    <w:rsid w:val="001630DF"/>
    <w:rsid w:val="001631EF"/>
    <w:rsid w:val="0016340E"/>
    <w:rsid w:val="0016367D"/>
    <w:rsid w:val="00163799"/>
    <w:rsid w:val="00163A22"/>
    <w:rsid w:val="00163BAD"/>
    <w:rsid w:val="00163BB3"/>
    <w:rsid w:val="00163C3B"/>
    <w:rsid w:val="00163D16"/>
    <w:rsid w:val="00163E07"/>
    <w:rsid w:val="00163EF6"/>
    <w:rsid w:val="00163F41"/>
    <w:rsid w:val="00163F8C"/>
    <w:rsid w:val="0016400B"/>
    <w:rsid w:val="00164311"/>
    <w:rsid w:val="00164476"/>
    <w:rsid w:val="001647F4"/>
    <w:rsid w:val="0016481C"/>
    <w:rsid w:val="00164A65"/>
    <w:rsid w:val="00164B20"/>
    <w:rsid w:val="00164BCE"/>
    <w:rsid w:val="00164BF7"/>
    <w:rsid w:val="00164D40"/>
    <w:rsid w:val="00164D51"/>
    <w:rsid w:val="00164DE0"/>
    <w:rsid w:val="00164E17"/>
    <w:rsid w:val="00164F74"/>
    <w:rsid w:val="001650C6"/>
    <w:rsid w:val="0016516C"/>
    <w:rsid w:val="001651CC"/>
    <w:rsid w:val="0016520F"/>
    <w:rsid w:val="0016536B"/>
    <w:rsid w:val="0016553C"/>
    <w:rsid w:val="001656C0"/>
    <w:rsid w:val="001659AE"/>
    <w:rsid w:val="00165B18"/>
    <w:rsid w:val="00165D6E"/>
    <w:rsid w:val="00165E5D"/>
    <w:rsid w:val="00165F95"/>
    <w:rsid w:val="00165FD5"/>
    <w:rsid w:val="00166126"/>
    <w:rsid w:val="0016620C"/>
    <w:rsid w:val="001662A3"/>
    <w:rsid w:val="001663A1"/>
    <w:rsid w:val="0016658D"/>
    <w:rsid w:val="001665D1"/>
    <w:rsid w:val="001665DA"/>
    <w:rsid w:val="00166619"/>
    <w:rsid w:val="001666B0"/>
    <w:rsid w:val="00166752"/>
    <w:rsid w:val="0016698E"/>
    <w:rsid w:val="001669B5"/>
    <w:rsid w:val="00166C29"/>
    <w:rsid w:val="00166DED"/>
    <w:rsid w:val="00166F77"/>
    <w:rsid w:val="00167077"/>
    <w:rsid w:val="001674C5"/>
    <w:rsid w:val="001675A5"/>
    <w:rsid w:val="001675A9"/>
    <w:rsid w:val="001676AD"/>
    <w:rsid w:val="0016779C"/>
    <w:rsid w:val="001677D9"/>
    <w:rsid w:val="00167805"/>
    <w:rsid w:val="0016781F"/>
    <w:rsid w:val="00167840"/>
    <w:rsid w:val="00167875"/>
    <w:rsid w:val="00167AB8"/>
    <w:rsid w:val="00167BF1"/>
    <w:rsid w:val="00167D96"/>
    <w:rsid w:val="00167F8D"/>
    <w:rsid w:val="00167FDB"/>
    <w:rsid w:val="0016AB30"/>
    <w:rsid w:val="00170038"/>
    <w:rsid w:val="00170161"/>
    <w:rsid w:val="001701B6"/>
    <w:rsid w:val="00170259"/>
    <w:rsid w:val="001704ED"/>
    <w:rsid w:val="001707EC"/>
    <w:rsid w:val="00170803"/>
    <w:rsid w:val="001708A7"/>
    <w:rsid w:val="001709BC"/>
    <w:rsid w:val="00170B8E"/>
    <w:rsid w:val="00170E3A"/>
    <w:rsid w:val="00170E70"/>
    <w:rsid w:val="00170E7E"/>
    <w:rsid w:val="00170EB3"/>
    <w:rsid w:val="00170F05"/>
    <w:rsid w:val="00170F8F"/>
    <w:rsid w:val="00170FD1"/>
    <w:rsid w:val="0017100C"/>
    <w:rsid w:val="001711D0"/>
    <w:rsid w:val="00171500"/>
    <w:rsid w:val="00171599"/>
    <w:rsid w:val="001716C6"/>
    <w:rsid w:val="00171782"/>
    <w:rsid w:val="001718B0"/>
    <w:rsid w:val="0017195C"/>
    <w:rsid w:val="00171B4A"/>
    <w:rsid w:val="00171C34"/>
    <w:rsid w:val="00171C8F"/>
    <w:rsid w:val="00171D4E"/>
    <w:rsid w:val="00171DF2"/>
    <w:rsid w:val="00171F1E"/>
    <w:rsid w:val="00172070"/>
    <w:rsid w:val="001723E6"/>
    <w:rsid w:val="00172448"/>
    <w:rsid w:val="00172573"/>
    <w:rsid w:val="0017257C"/>
    <w:rsid w:val="0017290A"/>
    <w:rsid w:val="001729F4"/>
    <w:rsid w:val="00172D01"/>
    <w:rsid w:val="00172DE8"/>
    <w:rsid w:val="00173038"/>
    <w:rsid w:val="00173113"/>
    <w:rsid w:val="00173418"/>
    <w:rsid w:val="001734D0"/>
    <w:rsid w:val="0017362E"/>
    <w:rsid w:val="001736DE"/>
    <w:rsid w:val="001739E3"/>
    <w:rsid w:val="00173C2B"/>
    <w:rsid w:val="00173CA7"/>
    <w:rsid w:val="00173EB0"/>
    <w:rsid w:val="00173EF8"/>
    <w:rsid w:val="001740B0"/>
    <w:rsid w:val="0017446F"/>
    <w:rsid w:val="00174501"/>
    <w:rsid w:val="0017471D"/>
    <w:rsid w:val="00174878"/>
    <w:rsid w:val="00174A47"/>
    <w:rsid w:val="00174AFB"/>
    <w:rsid w:val="00174B51"/>
    <w:rsid w:val="00174BBA"/>
    <w:rsid w:val="00174C1A"/>
    <w:rsid w:val="00174F72"/>
    <w:rsid w:val="00174FA9"/>
    <w:rsid w:val="0017508C"/>
    <w:rsid w:val="00175159"/>
    <w:rsid w:val="00175168"/>
    <w:rsid w:val="0017516B"/>
    <w:rsid w:val="0017525B"/>
    <w:rsid w:val="00175569"/>
    <w:rsid w:val="0017571A"/>
    <w:rsid w:val="0017571B"/>
    <w:rsid w:val="00175767"/>
    <w:rsid w:val="00175A21"/>
    <w:rsid w:val="00175AA5"/>
    <w:rsid w:val="00175BAB"/>
    <w:rsid w:val="00175FBB"/>
    <w:rsid w:val="00176000"/>
    <w:rsid w:val="001762F4"/>
    <w:rsid w:val="001765AA"/>
    <w:rsid w:val="001765AC"/>
    <w:rsid w:val="001766A5"/>
    <w:rsid w:val="001767C7"/>
    <w:rsid w:val="00176A07"/>
    <w:rsid w:val="00176A96"/>
    <w:rsid w:val="00176CE1"/>
    <w:rsid w:val="00176D78"/>
    <w:rsid w:val="00176E37"/>
    <w:rsid w:val="00176FC1"/>
    <w:rsid w:val="00177056"/>
    <w:rsid w:val="001772B0"/>
    <w:rsid w:val="001773F1"/>
    <w:rsid w:val="00177575"/>
    <w:rsid w:val="001776B9"/>
    <w:rsid w:val="001776C8"/>
    <w:rsid w:val="001778B4"/>
    <w:rsid w:val="001779E9"/>
    <w:rsid w:val="00177A30"/>
    <w:rsid w:val="00177B5E"/>
    <w:rsid w:val="00177E16"/>
    <w:rsid w:val="00177E45"/>
    <w:rsid w:val="00177FC8"/>
    <w:rsid w:val="0018001D"/>
    <w:rsid w:val="0018007C"/>
    <w:rsid w:val="001801C5"/>
    <w:rsid w:val="0018023A"/>
    <w:rsid w:val="0018031E"/>
    <w:rsid w:val="00180568"/>
    <w:rsid w:val="0018077B"/>
    <w:rsid w:val="00180798"/>
    <w:rsid w:val="001807C8"/>
    <w:rsid w:val="001807E8"/>
    <w:rsid w:val="001808D2"/>
    <w:rsid w:val="00180957"/>
    <w:rsid w:val="001809B0"/>
    <w:rsid w:val="001809E5"/>
    <w:rsid w:val="00180BC1"/>
    <w:rsid w:val="00180C7C"/>
    <w:rsid w:val="00180E1D"/>
    <w:rsid w:val="00180F57"/>
    <w:rsid w:val="001810C4"/>
    <w:rsid w:val="001810C6"/>
    <w:rsid w:val="001811C8"/>
    <w:rsid w:val="00181214"/>
    <w:rsid w:val="00181254"/>
    <w:rsid w:val="001812FC"/>
    <w:rsid w:val="0018139A"/>
    <w:rsid w:val="00181422"/>
    <w:rsid w:val="001814A4"/>
    <w:rsid w:val="001814D4"/>
    <w:rsid w:val="0018154A"/>
    <w:rsid w:val="00181711"/>
    <w:rsid w:val="00181712"/>
    <w:rsid w:val="0018172D"/>
    <w:rsid w:val="001818D4"/>
    <w:rsid w:val="00181AA2"/>
    <w:rsid w:val="00181BF3"/>
    <w:rsid w:val="00181C0A"/>
    <w:rsid w:val="00181D35"/>
    <w:rsid w:val="00182010"/>
    <w:rsid w:val="001821DC"/>
    <w:rsid w:val="00182330"/>
    <w:rsid w:val="00182560"/>
    <w:rsid w:val="00182920"/>
    <w:rsid w:val="00182AD5"/>
    <w:rsid w:val="00182C42"/>
    <w:rsid w:val="001830E4"/>
    <w:rsid w:val="001832B7"/>
    <w:rsid w:val="001833D5"/>
    <w:rsid w:val="001833FE"/>
    <w:rsid w:val="00183433"/>
    <w:rsid w:val="001834D1"/>
    <w:rsid w:val="0018360F"/>
    <w:rsid w:val="00183680"/>
    <w:rsid w:val="001839FF"/>
    <w:rsid w:val="00183A16"/>
    <w:rsid w:val="00183D48"/>
    <w:rsid w:val="00183F2E"/>
    <w:rsid w:val="001840B8"/>
    <w:rsid w:val="001841BC"/>
    <w:rsid w:val="00184680"/>
    <w:rsid w:val="0018482C"/>
    <w:rsid w:val="00184830"/>
    <w:rsid w:val="00184906"/>
    <w:rsid w:val="001849D5"/>
    <w:rsid w:val="00184D20"/>
    <w:rsid w:val="00184D45"/>
    <w:rsid w:val="00184E75"/>
    <w:rsid w:val="00184EDF"/>
    <w:rsid w:val="00184F75"/>
    <w:rsid w:val="00185009"/>
    <w:rsid w:val="00185095"/>
    <w:rsid w:val="001852FA"/>
    <w:rsid w:val="0018541A"/>
    <w:rsid w:val="00185438"/>
    <w:rsid w:val="0018549A"/>
    <w:rsid w:val="001854BD"/>
    <w:rsid w:val="00185516"/>
    <w:rsid w:val="00185881"/>
    <w:rsid w:val="001858D2"/>
    <w:rsid w:val="001859AE"/>
    <w:rsid w:val="001859FE"/>
    <w:rsid w:val="00185AE9"/>
    <w:rsid w:val="00185B65"/>
    <w:rsid w:val="00185C7B"/>
    <w:rsid w:val="00185D89"/>
    <w:rsid w:val="00185E87"/>
    <w:rsid w:val="00185ECB"/>
    <w:rsid w:val="001864B3"/>
    <w:rsid w:val="0018675A"/>
    <w:rsid w:val="00186837"/>
    <w:rsid w:val="0018695C"/>
    <w:rsid w:val="00186A0A"/>
    <w:rsid w:val="00186C7D"/>
    <w:rsid w:val="00186D5B"/>
    <w:rsid w:val="00186F08"/>
    <w:rsid w:val="001870EF"/>
    <w:rsid w:val="001870F3"/>
    <w:rsid w:val="00187182"/>
    <w:rsid w:val="00187209"/>
    <w:rsid w:val="001873D5"/>
    <w:rsid w:val="0018741A"/>
    <w:rsid w:val="001875D6"/>
    <w:rsid w:val="0018785F"/>
    <w:rsid w:val="00187897"/>
    <w:rsid w:val="0018789A"/>
    <w:rsid w:val="001878CE"/>
    <w:rsid w:val="00187A7A"/>
    <w:rsid w:val="00187C36"/>
    <w:rsid w:val="00187C98"/>
    <w:rsid w:val="00187D2A"/>
    <w:rsid w:val="00187D41"/>
    <w:rsid w:val="00187E90"/>
    <w:rsid w:val="001900DD"/>
    <w:rsid w:val="00190152"/>
    <w:rsid w:val="00190270"/>
    <w:rsid w:val="00190305"/>
    <w:rsid w:val="00190365"/>
    <w:rsid w:val="0019046F"/>
    <w:rsid w:val="001904C6"/>
    <w:rsid w:val="001905EC"/>
    <w:rsid w:val="00190670"/>
    <w:rsid w:val="001906FF"/>
    <w:rsid w:val="00190A06"/>
    <w:rsid w:val="00190A8B"/>
    <w:rsid w:val="00190B76"/>
    <w:rsid w:val="00190C4A"/>
    <w:rsid w:val="00190CD5"/>
    <w:rsid w:val="00190DB3"/>
    <w:rsid w:val="00190F53"/>
    <w:rsid w:val="00190F55"/>
    <w:rsid w:val="0019101E"/>
    <w:rsid w:val="00191060"/>
    <w:rsid w:val="001912CB"/>
    <w:rsid w:val="00191559"/>
    <w:rsid w:val="001916FE"/>
    <w:rsid w:val="00191758"/>
    <w:rsid w:val="001917E0"/>
    <w:rsid w:val="00191856"/>
    <w:rsid w:val="00191A9C"/>
    <w:rsid w:val="00191ACC"/>
    <w:rsid w:val="00191B0E"/>
    <w:rsid w:val="00191B82"/>
    <w:rsid w:val="00191C22"/>
    <w:rsid w:val="00191E36"/>
    <w:rsid w:val="0019237A"/>
    <w:rsid w:val="00192463"/>
    <w:rsid w:val="0019268D"/>
    <w:rsid w:val="00192691"/>
    <w:rsid w:val="0019275E"/>
    <w:rsid w:val="00192800"/>
    <w:rsid w:val="00192837"/>
    <w:rsid w:val="00192838"/>
    <w:rsid w:val="0019286B"/>
    <w:rsid w:val="00192AC8"/>
    <w:rsid w:val="00192CD2"/>
    <w:rsid w:val="00192E31"/>
    <w:rsid w:val="00192F4A"/>
    <w:rsid w:val="0019301C"/>
    <w:rsid w:val="0019306C"/>
    <w:rsid w:val="00193508"/>
    <w:rsid w:val="00193610"/>
    <w:rsid w:val="00193708"/>
    <w:rsid w:val="001937DF"/>
    <w:rsid w:val="0019388C"/>
    <w:rsid w:val="00193A8D"/>
    <w:rsid w:val="00193B64"/>
    <w:rsid w:val="00193BD8"/>
    <w:rsid w:val="00193BE4"/>
    <w:rsid w:val="00193BEC"/>
    <w:rsid w:val="00193BF8"/>
    <w:rsid w:val="00193F45"/>
    <w:rsid w:val="00193F4F"/>
    <w:rsid w:val="00194284"/>
    <w:rsid w:val="00194287"/>
    <w:rsid w:val="00194540"/>
    <w:rsid w:val="001948FF"/>
    <w:rsid w:val="00194A46"/>
    <w:rsid w:val="00194C86"/>
    <w:rsid w:val="00194C8E"/>
    <w:rsid w:val="00194CE0"/>
    <w:rsid w:val="00194F15"/>
    <w:rsid w:val="0019517E"/>
    <w:rsid w:val="00195330"/>
    <w:rsid w:val="00195331"/>
    <w:rsid w:val="0019541E"/>
    <w:rsid w:val="0019549E"/>
    <w:rsid w:val="00195620"/>
    <w:rsid w:val="0019595B"/>
    <w:rsid w:val="00195999"/>
    <w:rsid w:val="00195A3E"/>
    <w:rsid w:val="00195AC9"/>
    <w:rsid w:val="00195C29"/>
    <w:rsid w:val="00195DC3"/>
    <w:rsid w:val="00196008"/>
    <w:rsid w:val="001961FF"/>
    <w:rsid w:val="00196208"/>
    <w:rsid w:val="001967D0"/>
    <w:rsid w:val="001968E0"/>
    <w:rsid w:val="001969B9"/>
    <w:rsid w:val="00196A41"/>
    <w:rsid w:val="00196CBE"/>
    <w:rsid w:val="00196CF3"/>
    <w:rsid w:val="00196EAE"/>
    <w:rsid w:val="00196F08"/>
    <w:rsid w:val="00196F8A"/>
    <w:rsid w:val="0019711D"/>
    <w:rsid w:val="001973E0"/>
    <w:rsid w:val="0019749B"/>
    <w:rsid w:val="001975E8"/>
    <w:rsid w:val="001976AA"/>
    <w:rsid w:val="0019772F"/>
    <w:rsid w:val="001978C9"/>
    <w:rsid w:val="00197B39"/>
    <w:rsid w:val="00197BBD"/>
    <w:rsid w:val="00197DE0"/>
    <w:rsid w:val="00197DEB"/>
    <w:rsid w:val="00197E73"/>
    <w:rsid w:val="00197EAF"/>
    <w:rsid w:val="00197EDE"/>
    <w:rsid w:val="00197F05"/>
    <w:rsid w:val="00197FBE"/>
    <w:rsid w:val="001A00CF"/>
    <w:rsid w:val="001A013E"/>
    <w:rsid w:val="001A01F7"/>
    <w:rsid w:val="001A024D"/>
    <w:rsid w:val="001A035A"/>
    <w:rsid w:val="001A03E7"/>
    <w:rsid w:val="001A0463"/>
    <w:rsid w:val="001A0520"/>
    <w:rsid w:val="001A0599"/>
    <w:rsid w:val="001A0613"/>
    <w:rsid w:val="001A064B"/>
    <w:rsid w:val="001A06FB"/>
    <w:rsid w:val="001A07C1"/>
    <w:rsid w:val="001A08A5"/>
    <w:rsid w:val="001A094E"/>
    <w:rsid w:val="001A0A16"/>
    <w:rsid w:val="001A0B28"/>
    <w:rsid w:val="001A0D3A"/>
    <w:rsid w:val="001A0E9E"/>
    <w:rsid w:val="001A0F4F"/>
    <w:rsid w:val="001A0FAC"/>
    <w:rsid w:val="001A100A"/>
    <w:rsid w:val="001A1177"/>
    <w:rsid w:val="001A1473"/>
    <w:rsid w:val="001A150D"/>
    <w:rsid w:val="001A1604"/>
    <w:rsid w:val="001A163F"/>
    <w:rsid w:val="001A1762"/>
    <w:rsid w:val="001A1C5B"/>
    <w:rsid w:val="001A1D83"/>
    <w:rsid w:val="001A1E43"/>
    <w:rsid w:val="001A20BD"/>
    <w:rsid w:val="001A20BE"/>
    <w:rsid w:val="001A20D4"/>
    <w:rsid w:val="001A214F"/>
    <w:rsid w:val="001A250A"/>
    <w:rsid w:val="001A267D"/>
    <w:rsid w:val="001A26B5"/>
    <w:rsid w:val="001A27A7"/>
    <w:rsid w:val="001A2924"/>
    <w:rsid w:val="001A2A35"/>
    <w:rsid w:val="001A2AA1"/>
    <w:rsid w:val="001A2AC1"/>
    <w:rsid w:val="001A2C9A"/>
    <w:rsid w:val="001A3170"/>
    <w:rsid w:val="001A31D0"/>
    <w:rsid w:val="001A3202"/>
    <w:rsid w:val="001A3231"/>
    <w:rsid w:val="001A3440"/>
    <w:rsid w:val="001A3523"/>
    <w:rsid w:val="001A35B9"/>
    <w:rsid w:val="001A35FD"/>
    <w:rsid w:val="001A378D"/>
    <w:rsid w:val="001A3840"/>
    <w:rsid w:val="001A38A9"/>
    <w:rsid w:val="001A38CC"/>
    <w:rsid w:val="001A3A1D"/>
    <w:rsid w:val="001A3AE5"/>
    <w:rsid w:val="001A3B64"/>
    <w:rsid w:val="001A3C9C"/>
    <w:rsid w:val="001A3EFC"/>
    <w:rsid w:val="001A4071"/>
    <w:rsid w:val="001A40A4"/>
    <w:rsid w:val="001A40E2"/>
    <w:rsid w:val="001A420A"/>
    <w:rsid w:val="001A4381"/>
    <w:rsid w:val="001A44BF"/>
    <w:rsid w:val="001A44DD"/>
    <w:rsid w:val="001A450A"/>
    <w:rsid w:val="001A4565"/>
    <w:rsid w:val="001A4886"/>
    <w:rsid w:val="001A4888"/>
    <w:rsid w:val="001A48B9"/>
    <w:rsid w:val="001A48DF"/>
    <w:rsid w:val="001A4922"/>
    <w:rsid w:val="001A49E5"/>
    <w:rsid w:val="001A4A40"/>
    <w:rsid w:val="001A4A92"/>
    <w:rsid w:val="001A4ADF"/>
    <w:rsid w:val="001A513C"/>
    <w:rsid w:val="001A516A"/>
    <w:rsid w:val="001A52C5"/>
    <w:rsid w:val="001A5458"/>
    <w:rsid w:val="001A5878"/>
    <w:rsid w:val="001A5A06"/>
    <w:rsid w:val="001A5A84"/>
    <w:rsid w:val="001A5B0A"/>
    <w:rsid w:val="001A5B55"/>
    <w:rsid w:val="001A5F8E"/>
    <w:rsid w:val="001A617F"/>
    <w:rsid w:val="001A6262"/>
    <w:rsid w:val="001A62AF"/>
    <w:rsid w:val="001A62B1"/>
    <w:rsid w:val="001A643F"/>
    <w:rsid w:val="001A64ED"/>
    <w:rsid w:val="001A677B"/>
    <w:rsid w:val="001A68F0"/>
    <w:rsid w:val="001A69B7"/>
    <w:rsid w:val="001A6A64"/>
    <w:rsid w:val="001A6A97"/>
    <w:rsid w:val="001A6B3B"/>
    <w:rsid w:val="001A6B5E"/>
    <w:rsid w:val="001A6BD4"/>
    <w:rsid w:val="001A6CA4"/>
    <w:rsid w:val="001A6CAD"/>
    <w:rsid w:val="001A6DCA"/>
    <w:rsid w:val="001A71BB"/>
    <w:rsid w:val="001A73E5"/>
    <w:rsid w:val="001A75B0"/>
    <w:rsid w:val="001A75DF"/>
    <w:rsid w:val="001A7809"/>
    <w:rsid w:val="001A7A5D"/>
    <w:rsid w:val="001A7AE2"/>
    <w:rsid w:val="001A7B0B"/>
    <w:rsid w:val="001A7D55"/>
    <w:rsid w:val="001A7D6C"/>
    <w:rsid w:val="001A7D77"/>
    <w:rsid w:val="001A7F73"/>
    <w:rsid w:val="001A7FF0"/>
    <w:rsid w:val="001B00CA"/>
    <w:rsid w:val="001B0211"/>
    <w:rsid w:val="001B042F"/>
    <w:rsid w:val="001B0636"/>
    <w:rsid w:val="001B078E"/>
    <w:rsid w:val="001B083D"/>
    <w:rsid w:val="001B0886"/>
    <w:rsid w:val="001B0945"/>
    <w:rsid w:val="001B0988"/>
    <w:rsid w:val="001B0990"/>
    <w:rsid w:val="001B0AA6"/>
    <w:rsid w:val="001B0AE3"/>
    <w:rsid w:val="001B0BC7"/>
    <w:rsid w:val="001B0C55"/>
    <w:rsid w:val="001B0C93"/>
    <w:rsid w:val="001B0F56"/>
    <w:rsid w:val="001B12DC"/>
    <w:rsid w:val="001B1363"/>
    <w:rsid w:val="001B13CE"/>
    <w:rsid w:val="001B1827"/>
    <w:rsid w:val="001B191F"/>
    <w:rsid w:val="001B197A"/>
    <w:rsid w:val="001B19BF"/>
    <w:rsid w:val="001B1A42"/>
    <w:rsid w:val="001B1B39"/>
    <w:rsid w:val="001B1DF3"/>
    <w:rsid w:val="001B2181"/>
    <w:rsid w:val="001B2278"/>
    <w:rsid w:val="001B22CA"/>
    <w:rsid w:val="001B2320"/>
    <w:rsid w:val="001B2569"/>
    <w:rsid w:val="001B2ACE"/>
    <w:rsid w:val="001B2B91"/>
    <w:rsid w:val="001B2C65"/>
    <w:rsid w:val="001B2C6C"/>
    <w:rsid w:val="001B2DB8"/>
    <w:rsid w:val="001B2F68"/>
    <w:rsid w:val="001B303F"/>
    <w:rsid w:val="001B30B0"/>
    <w:rsid w:val="001B35C5"/>
    <w:rsid w:val="001B38C8"/>
    <w:rsid w:val="001B3988"/>
    <w:rsid w:val="001B3B72"/>
    <w:rsid w:val="001B3CFA"/>
    <w:rsid w:val="001B3D1C"/>
    <w:rsid w:val="001B3DA5"/>
    <w:rsid w:val="001B3DCC"/>
    <w:rsid w:val="001B4261"/>
    <w:rsid w:val="001B4322"/>
    <w:rsid w:val="001B4449"/>
    <w:rsid w:val="001B4636"/>
    <w:rsid w:val="001B4679"/>
    <w:rsid w:val="001B46C4"/>
    <w:rsid w:val="001B4979"/>
    <w:rsid w:val="001B49D2"/>
    <w:rsid w:val="001B4AEE"/>
    <w:rsid w:val="001B4C0C"/>
    <w:rsid w:val="001B4E54"/>
    <w:rsid w:val="001B4EA0"/>
    <w:rsid w:val="001B4FDF"/>
    <w:rsid w:val="001B5016"/>
    <w:rsid w:val="001B50AE"/>
    <w:rsid w:val="001B5412"/>
    <w:rsid w:val="001B5627"/>
    <w:rsid w:val="001B5734"/>
    <w:rsid w:val="001B5848"/>
    <w:rsid w:val="001B585F"/>
    <w:rsid w:val="001B5987"/>
    <w:rsid w:val="001B5A3E"/>
    <w:rsid w:val="001B5B43"/>
    <w:rsid w:val="001B5BB3"/>
    <w:rsid w:val="001B5C41"/>
    <w:rsid w:val="001B5F09"/>
    <w:rsid w:val="001B60E6"/>
    <w:rsid w:val="001B60F2"/>
    <w:rsid w:val="001B6114"/>
    <w:rsid w:val="001B62DA"/>
    <w:rsid w:val="001B631D"/>
    <w:rsid w:val="001B655C"/>
    <w:rsid w:val="001B6618"/>
    <w:rsid w:val="001B6737"/>
    <w:rsid w:val="001B6789"/>
    <w:rsid w:val="001B67F7"/>
    <w:rsid w:val="001B6889"/>
    <w:rsid w:val="001B68D1"/>
    <w:rsid w:val="001B6CE0"/>
    <w:rsid w:val="001B6D61"/>
    <w:rsid w:val="001B6E51"/>
    <w:rsid w:val="001B6EDD"/>
    <w:rsid w:val="001B6F1A"/>
    <w:rsid w:val="001B70DD"/>
    <w:rsid w:val="001B7135"/>
    <w:rsid w:val="001B72FD"/>
    <w:rsid w:val="001B7350"/>
    <w:rsid w:val="001B74C9"/>
    <w:rsid w:val="001B7594"/>
    <w:rsid w:val="001B759B"/>
    <w:rsid w:val="001B779F"/>
    <w:rsid w:val="001B77A2"/>
    <w:rsid w:val="001B79C9"/>
    <w:rsid w:val="001B7AE1"/>
    <w:rsid w:val="001B7AFE"/>
    <w:rsid w:val="001B7BA5"/>
    <w:rsid w:val="001B7C7C"/>
    <w:rsid w:val="001B7CAC"/>
    <w:rsid w:val="001B7D5E"/>
    <w:rsid w:val="001B7E94"/>
    <w:rsid w:val="001B7EAD"/>
    <w:rsid w:val="001B7ED3"/>
    <w:rsid w:val="001C003D"/>
    <w:rsid w:val="001C01B2"/>
    <w:rsid w:val="001C0348"/>
    <w:rsid w:val="001C0499"/>
    <w:rsid w:val="001C06FA"/>
    <w:rsid w:val="001C070E"/>
    <w:rsid w:val="001C090C"/>
    <w:rsid w:val="001C0B2F"/>
    <w:rsid w:val="001C0B4B"/>
    <w:rsid w:val="001C0B7D"/>
    <w:rsid w:val="001C0BB8"/>
    <w:rsid w:val="001C0CC9"/>
    <w:rsid w:val="001C0CE3"/>
    <w:rsid w:val="001C0D30"/>
    <w:rsid w:val="001C0F69"/>
    <w:rsid w:val="001C103B"/>
    <w:rsid w:val="001C1157"/>
    <w:rsid w:val="001C1222"/>
    <w:rsid w:val="001C1276"/>
    <w:rsid w:val="001C1421"/>
    <w:rsid w:val="001C1467"/>
    <w:rsid w:val="001C14EC"/>
    <w:rsid w:val="001C151D"/>
    <w:rsid w:val="001C1626"/>
    <w:rsid w:val="001C16BF"/>
    <w:rsid w:val="001C19C5"/>
    <w:rsid w:val="001C1A5F"/>
    <w:rsid w:val="001C1B0E"/>
    <w:rsid w:val="001C1C41"/>
    <w:rsid w:val="001C1C5A"/>
    <w:rsid w:val="001C1CDA"/>
    <w:rsid w:val="001C1EA8"/>
    <w:rsid w:val="001C1FD2"/>
    <w:rsid w:val="001C207F"/>
    <w:rsid w:val="001C2284"/>
    <w:rsid w:val="001C2296"/>
    <w:rsid w:val="001C26A2"/>
    <w:rsid w:val="001C2914"/>
    <w:rsid w:val="001C29FF"/>
    <w:rsid w:val="001C2B16"/>
    <w:rsid w:val="001C2C54"/>
    <w:rsid w:val="001C2CB8"/>
    <w:rsid w:val="001C2D31"/>
    <w:rsid w:val="001C2D87"/>
    <w:rsid w:val="001C31BE"/>
    <w:rsid w:val="001C321D"/>
    <w:rsid w:val="001C3239"/>
    <w:rsid w:val="001C3266"/>
    <w:rsid w:val="001C3332"/>
    <w:rsid w:val="001C340D"/>
    <w:rsid w:val="001C35A6"/>
    <w:rsid w:val="001C36F2"/>
    <w:rsid w:val="001C3716"/>
    <w:rsid w:val="001C37C3"/>
    <w:rsid w:val="001C3845"/>
    <w:rsid w:val="001C390D"/>
    <w:rsid w:val="001C3977"/>
    <w:rsid w:val="001C3CCB"/>
    <w:rsid w:val="001C3DF7"/>
    <w:rsid w:val="001C403A"/>
    <w:rsid w:val="001C408F"/>
    <w:rsid w:val="001C40E6"/>
    <w:rsid w:val="001C4170"/>
    <w:rsid w:val="001C420A"/>
    <w:rsid w:val="001C4434"/>
    <w:rsid w:val="001C44D2"/>
    <w:rsid w:val="001C4688"/>
    <w:rsid w:val="001C46C8"/>
    <w:rsid w:val="001C4773"/>
    <w:rsid w:val="001C47D5"/>
    <w:rsid w:val="001C4A84"/>
    <w:rsid w:val="001C4AB3"/>
    <w:rsid w:val="001C4AB5"/>
    <w:rsid w:val="001C4BB7"/>
    <w:rsid w:val="001C4CDA"/>
    <w:rsid w:val="001C4F01"/>
    <w:rsid w:val="001C510F"/>
    <w:rsid w:val="001C51FE"/>
    <w:rsid w:val="001C53D5"/>
    <w:rsid w:val="001C5803"/>
    <w:rsid w:val="001C591A"/>
    <w:rsid w:val="001C593F"/>
    <w:rsid w:val="001C59A9"/>
    <w:rsid w:val="001C5A31"/>
    <w:rsid w:val="001C5EC4"/>
    <w:rsid w:val="001C5FBE"/>
    <w:rsid w:val="001C616D"/>
    <w:rsid w:val="001C61EC"/>
    <w:rsid w:val="001C6231"/>
    <w:rsid w:val="001C63DE"/>
    <w:rsid w:val="001C6582"/>
    <w:rsid w:val="001C65B8"/>
    <w:rsid w:val="001C66D2"/>
    <w:rsid w:val="001C68B3"/>
    <w:rsid w:val="001C68E6"/>
    <w:rsid w:val="001C69F0"/>
    <w:rsid w:val="001C6A8B"/>
    <w:rsid w:val="001C6E5B"/>
    <w:rsid w:val="001C6EBE"/>
    <w:rsid w:val="001C6F5D"/>
    <w:rsid w:val="001C7089"/>
    <w:rsid w:val="001C70DF"/>
    <w:rsid w:val="001C726C"/>
    <w:rsid w:val="001C76AA"/>
    <w:rsid w:val="001C77E9"/>
    <w:rsid w:val="001C7A9E"/>
    <w:rsid w:val="001C7D10"/>
    <w:rsid w:val="001C7EAC"/>
    <w:rsid w:val="001D014A"/>
    <w:rsid w:val="001D0347"/>
    <w:rsid w:val="001D03AA"/>
    <w:rsid w:val="001D07D8"/>
    <w:rsid w:val="001D0858"/>
    <w:rsid w:val="001D0962"/>
    <w:rsid w:val="001D09F9"/>
    <w:rsid w:val="001D0A5F"/>
    <w:rsid w:val="001D0B9A"/>
    <w:rsid w:val="001D0EF5"/>
    <w:rsid w:val="001D0EFF"/>
    <w:rsid w:val="001D10DF"/>
    <w:rsid w:val="001D1214"/>
    <w:rsid w:val="001D1229"/>
    <w:rsid w:val="001D148B"/>
    <w:rsid w:val="001D148D"/>
    <w:rsid w:val="001D1503"/>
    <w:rsid w:val="001D18C6"/>
    <w:rsid w:val="001D1975"/>
    <w:rsid w:val="001D1A7E"/>
    <w:rsid w:val="001D1A81"/>
    <w:rsid w:val="001D1ADD"/>
    <w:rsid w:val="001D1CCE"/>
    <w:rsid w:val="001D1EBB"/>
    <w:rsid w:val="001D220C"/>
    <w:rsid w:val="001D2343"/>
    <w:rsid w:val="001D2357"/>
    <w:rsid w:val="001D23BC"/>
    <w:rsid w:val="001D24C6"/>
    <w:rsid w:val="001D2533"/>
    <w:rsid w:val="001D25DA"/>
    <w:rsid w:val="001D2820"/>
    <w:rsid w:val="001D2848"/>
    <w:rsid w:val="001D286B"/>
    <w:rsid w:val="001D28E1"/>
    <w:rsid w:val="001D29C1"/>
    <w:rsid w:val="001D29C7"/>
    <w:rsid w:val="001D2A2C"/>
    <w:rsid w:val="001D2A7A"/>
    <w:rsid w:val="001D2B43"/>
    <w:rsid w:val="001D2B5A"/>
    <w:rsid w:val="001D2DD0"/>
    <w:rsid w:val="001D2F1A"/>
    <w:rsid w:val="001D312B"/>
    <w:rsid w:val="001D328C"/>
    <w:rsid w:val="001D3529"/>
    <w:rsid w:val="001D35FD"/>
    <w:rsid w:val="001D36DC"/>
    <w:rsid w:val="001D3AF8"/>
    <w:rsid w:val="001D3B6D"/>
    <w:rsid w:val="001D3B82"/>
    <w:rsid w:val="001D3CDA"/>
    <w:rsid w:val="001D3D49"/>
    <w:rsid w:val="001D3F74"/>
    <w:rsid w:val="001D4045"/>
    <w:rsid w:val="001D4096"/>
    <w:rsid w:val="001D40B7"/>
    <w:rsid w:val="001D40CF"/>
    <w:rsid w:val="001D4368"/>
    <w:rsid w:val="001D457D"/>
    <w:rsid w:val="001D4806"/>
    <w:rsid w:val="001D48BF"/>
    <w:rsid w:val="001D48D0"/>
    <w:rsid w:val="001D4A1F"/>
    <w:rsid w:val="001D4B48"/>
    <w:rsid w:val="001D4CB4"/>
    <w:rsid w:val="001D51A9"/>
    <w:rsid w:val="001D5253"/>
    <w:rsid w:val="001D54E1"/>
    <w:rsid w:val="001D586D"/>
    <w:rsid w:val="001D599C"/>
    <w:rsid w:val="001D5A0A"/>
    <w:rsid w:val="001D5A34"/>
    <w:rsid w:val="001D5B0D"/>
    <w:rsid w:val="001D5B5D"/>
    <w:rsid w:val="001D5C87"/>
    <w:rsid w:val="001D5D98"/>
    <w:rsid w:val="001D5FBC"/>
    <w:rsid w:val="001D60D0"/>
    <w:rsid w:val="001D61BA"/>
    <w:rsid w:val="001D631F"/>
    <w:rsid w:val="001D6721"/>
    <w:rsid w:val="001D6747"/>
    <w:rsid w:val="001D67FE"/>
    <w:rsid w:val="001D68D6"/>
    <w:rsid w:val="001D6907"/>
    <w:rsid w:val="001D694D"/>
    <w:rsid w:val="001D6A64"/>
    <w:rsid w:val="001D6A82"/>
    <w:rsid w:val="001D6A86"/>
    <w:rsid w:val="001D6B1D"/>
    <w:rsid w:val="001D6BB3"/>
    <w:rsid w:val="001D6BCB"/>
    <w:rsid w:val="001D6BE4"/>
    <w:rsid w:val="001D6CFC"/>
    <w:rsid w:val="001D6EA8"/>
    <w:rsid w:val="001D7008"/>
    <w:rsid w:val="001D7141"/>
    <w:rsid w:val="001D7368"/>
    <w:rsid w:val="001D73F5"/>
    <w:rsid w:val="001D74D8"/>
    <w:rsid w:val="001D7526"/>
    <w:rsid w:val="001D760B"/>
    <w:rsid w:val="001D768D"/>
    <w:rsid w:val="001D7693"/>
    <w:rsid w:val="001D76C6"/>
    <w:rsid w:val="001D7765"/>
    <w:rsid w:val="001D7944"/>
    <w:rsid w:val="001D79D1"/>
    <w:rsid w:val="001D7A29"/>
    <w:rsid w:val="001D7A9C"/>
    <w:rsid w:val="001D7B2D"/>
    <w:rsid w:val="001D7B69"/>
    <w:rsid w:val="001D7D61"/>
    <w:rsid w:val="001D7F42"/>
    <w:rsid w:val="001D7F60"/>
    <w:rsid w:val="001E0302"/>
    <w:rsid w:val="001E0604"/>
    <w:rsid w:val="001E074F"/>
    <w:rsid w:val="001E07A2"/>
    <w:rsid w:val="001E0959"/>
    <w:rsid w:val="001E0A82"/>
    <w:rsid w:val="001E0A9B"/>
    <w:rsid w:val="001E10E9"/>
    <w:rsid w:val="001E1104"/>
    <w:rsid w:val="001E11BA"/>
    <w:rsid w:val="001E128E"/>
    <w:rsid w:val="001E1455"/>
    <w:rsid w:val="001E1474"/>
    <w:rsid w:val="001E14F9"/>
    <w:rsid w:val="001E15E5"/>
    <w:rsid w:val="001E1659"/>
    <w:rsid w:val="001E167B"/>
    <w:rsid w:val="001E16BF"/>
    <w:rsid w:val="001E16E7"/>
    <w:rsid w:val="001E16FD"/>
    <w:rsid w:val="001E172D"/>
    <w:rsid w:val="001E1747"/>
    <w:rsid w:val="001E18B6"/>
    <w:rsid w:val="001E1A4B"/>
    <w:rsid w:val="001E1A5B"/>
    <w:rsid w:val="001E1B6D"/>
    <w:rsid w:val="001E1C4C"/>
    <w:rsid w:val="001E1CC0"/>
    <w:rsid w:val="001E1D49"/>
    <w:rsid w:val="001E1FB9"/>
    <w:rsid w:val="001E20B1"/>
    <w:rsid w:val="001E226F"/>
    <w:rsid w:val="001E23BA"/>
    <w:rsid w:val="001E2415"/>
    <w:rsid w:val="001E28B4"/>
    <w:rsid w:val="001E299A"/>
    <w:rsid w:val="001E2BF4"/>
    <w:rsid w:val="001E3255"/>
    <w:rsid w:val="001E339B"/>
    <w:rsid w:val="001E3460"/>
    <w:rsid w:val="001E360B"/>
    <w:rsid w:val="001E3635"/>
    <w:rsid w:val="001E3644"/>
    <w:rsid w:val="001E3655"/>
    <w:rsid w:val="001E3B1E"/>
    <w:rsid w:val="001E3BDD"/>
    <w:rsid w:val="001E3E0C"/>
    <w:rsid w:val="001E4058"/>
    <w:rsid w:val="001E430F"/>
    <w:rsid w:val="001E43DF"/>
    <w:rsid w:val="001E44E8"/>
    <w:rsid w:val="001E451E"/>
    <w:rsid w:val="001E452A"/>
    <w:rsid w:val="001E4537"/>
    <w:rsid w:val="001E4541"/>
    <w:rsid w:val="001E456F"/>
    <w:rsid w:val="001E458E"/>
    <w:rsid w:val="001E477B"/>
    <w:rsid w:val="001E4983"/>
    <w:rsid w:val="001E4B8C"/>
    <w:rsid w:val="001E50B5"/>
    <w:rsid w:val="001E51E4"/>
    <w:rsid w:val="001E52BB"/>
    <w:rsid w:val="001E536D"/>
    <w:rsid w:val="001E541C"/>
    <w:rsid w:val="001E5465"/>
    <w:rsid w:val="001E54E1"/>
    <w:rsid w:val="001E553F"/>
    <w:rsid w:val="001E5618"/>
    <w:rsid w:val="001E5621"/>
    <w:rsid w:val="001E570F"/>
    <w:rsid w:val="001E575B"/>
    <w:rsid w:val="001E5893"/>
    <w:rsid w:val="001E5913"/>
    <w:rsid w:val="001E5A6B"/>
    <w:rsid w:val="001E5BA8"/>
    <w:rsid w:val="001E5E00"/>
    <w:rsid w:val="001E5E6C"/>
    <w:rsid w:val="001E614F"/>
    <w:rsid w:val="001E6170"/>
    <w:rsid w:val="001E61F8"/>
    <w:rsid w:val="001E6270"/>
    <w:rsid w:val="001E62AD"/>
    <w:rsid w:val="001E64C3"/>
    <w:rsid w:val="001E6527"/>
    <w:rsid w:val="001E65B7"/>
    <w:rsid w:val="001E673F"/>
    <w:rsid w:val="001E6770"/>
    <w:rsid w:val="001E67F2"/>
    <w:rsid w:val="001E689E"/>
    <w:rsid w:val="001E6A4D"/>
    <w:rsid w:val="001E6A88"/>
    <w:rsid w:val="001E6AC5"/>
    <w:rsid w:val="001E6E93"/>
    <w:rsid w:val="001E7159"/>
    <w:rsid w:val="001E71BA"/>
    <w:rsid w:val="001E73DE"/>
    <w:rsid w:val="001E7425"/>
    <w:rsid w:val="001E7573"/>
    <w:rsid w:val="001E75C1"/>
    <w:rsid w:val="001E760B"/>
    <w:rsid w:val="001E7C0A"/>
    <w:rsid w:val="001E7C6C"/>
    <w:rsid w:val="001E7C77"/>
    <w:rsid w:val="001E7CC8"/>
    <w:rsid w:val="001E7CF9"/>
    <w:rsid w:val="001E7DC4"/>
    <w:rsid w:val="001E7DCE"/>
    <w:rsid w:val="001E7DDE"/>
    <w:rsid w:val="001E7E85"/>
    <w:rsid w:val="001E7E9C"/>
    <w:rsid w:val="001F01F5"/>
    <w:rsid w:val="001F0265"/>
    <w:rsid w:val="001F06D8"/>
    <w:rsid w:val="001F06F2"/>
    <w:rsid w:val="001F07AA"/>
    <w:rsid w:val="001F09CD"/>
    <w:rsid w:val="001F0A13"/>
    <w:rsid w:val="001F0A28"/>
    <w:rsid w:val="001F0AE8"/>
    <w:rsid w:val="001F0C02"/>
    <w:rsid w:val="001F0CDB"/>
    <w:rsid w:val="001F0CF1"/>
    <w:rsid w:val="001F0DB1"/>
    <w:rsid w:val="001F1207"/>
    <w:rsid w:val="001F14A1"/>
    <w:rsid w:val="001F14AC"/>
    <w:rsid w:val="001F14CA"/>
    <w:rsid w:val="001F1507"/>
    <w:rsid w:val="001F1676"/>
    <w:rsid w:val="001F175E"/>
    <w:rsid w:val="001F1987"/>
    <w:rsid w:val="001F1A4C"/>
    <w:rsid w:val="001F1BB7"/>
    <w:rsid w:val="001F1BF5"/>
    <w:rsid w:val="001F1CC7"/>
    <w:rsid w:val="001F1D1E"/>
    <w:rsid w:val="001F1D6A"/>
    <w:rsid w:val="001F1E06"/>
    <w:rsid w:val="001F1E97"/>
    <w:rsid w:val="001F202F"/>
    <w:rsid w:val="001F2294"/>
    <w:rsid w:val="001F230D"/>
    <w:rsid w:val="001F2360"/>
    <w:rsid w:val="001F23A7"/>
    <w:rsid w:val="001F24AB"/>
    <w:rsid w:val="001F24B1"/>
    <w:rsid w:val="001F267B"/>
    <w:rsid w:val="001F2701"/>
    <w:rsid w:val="001F272A"/>
    <w:rsid w:val="001F2C38"/>
    <w:rsid w:val="001F2D05"/>
    <w:rsid w:val="001F30AE"/>
    <w:rsid w:val="001F3166"/>
    <w:rsid w:val="001F32A6"/>
    <w:rsid w:val="001F331E"/>
    <w:rsid w:val="001F3555"/>
    <w:rsid w:val="001F35CE"/>
    <w:rsid w:val="001F3845"/>
    <w:rsid w:val="001F39BF"/>
    <w:rsid w:val="001F39C2"/>
    <w:rsid w:val="001F3ABE"/>
    <w:rsid w:val="001F4076"/>
    <w:rsid w:val="001F40E5"/>
    <w:rsid w:val="001F4141"/>
    <w:rsid w:val="001F414E"/>
    <w:rsid w:val="001F421D"/>
    <w:rsid w:val="001F43AB"/>
    <w:rsid w:val="001F4969"/>
    <w:rsid w:val="001F4A3C"/>
    <w:rsid w:val="001F4A65"/>
    <w:rsid w:val="001F4AA4"/>
    <w:rsid w:val="001F4B1D"/>
    <w:rsid w:val="001F4B52"/>
    <w:rsid w:val="001F4C07"/>
    <w:rsid w:val="001F4C1C"/>
    <w:rsid w:val="001F4DFD"/>
    <w:rsid w:val="001F5003"/>
    <w:rsid w:val="001F528F"/>
    <w:rsid w:val="001F56EE"/>
    <w:rsid w:val="001F5700"/>
    <w:rsid w:val="001F57AD"/>
    <w:rsid w:val="001F5924"/>
    <w:rsid w:val="001F5A97"/>
    <w:rsid w:val="001F5B90"/>
    <w:rsid w:val="001F5BD3"/>
    <w:rsid w:val="001F5C12"/>
    <w:rsid w:val="001F5D91"/>
    <w:rsid w:val="001F6071"/>
    <w:rsid w:val="001F60AE"/>
    <w:rsid w:val="001F623E"/>
    <w:rsid w:val="001F636A"/>
    <w:rsid w:val="001F638F"/>
    <w:rsid w:val="001F63CC"/>
    <w:rsid w:val="001F6452"/>
    <w:rsid w:val="001F64EB"/>
    <w:rsid w:val="001F653D"/>
    <w:rsid w:val="001F667C"/>
    <w:rsid w:val="001F6882"/>
    <w:rsid w:val="001F699A"/>
    <w:rsid w:val="001F6A23"/>
    <w:rsid w:val="001F6BC6"/>
    <w:rsid w:val="001F6BE5"/>
    <w:rsid w:val="001F6CD2"/>
    <w:rsid w:val="001F6E32"/>
    <w:rsid w:val="001F6FD5"/>
    <w:rsid w:val="001F73FE"/>
    <w:rsid w:val="001F7512"/>
    <w:rsid w:val="001F75E9"/>
    <w:rsid w:val="001F7631"/>
    <w:rsid w:val="001F7638"/>
    <w:rsid w:val="001F776D"/>
    <w:rsid w:val="001F78F2"/>
    <w:rsid w:val="001F7B7B"/>
    <w:rsid w:val="001F7E70"/>
    <w:rsid w:val="001F7FC6"/>
    <w:rsid w:val="0020000A"/>
    <w:rsid w:val="002000BD"/>
    <w:rsid w:val="00200109"/>
    <w:rsid w:val="00200240"/>
    <w:rsid w:val="002002C2"/>
    <w:rsid w:val="002003A6"/>
    <w:rsid w:val="0020043B"/>
    <w:rsid w:val="002004DE"/>
    <w:rsid w:val="0020079C"/>
    <w:rsid w:val="002007D1"/>
    <w:rsid w:val="00200808"/>
    <w:rsid w:val="00200850"/>
    <w:rsid w:val="00200927"/>
    <w:rsid w:val="002009F0"/>
    <w:rsid w:val="00200A1A"/>
    <w:rsid w:val="00200AC1"/>
    <w:rsid w:val="00200B66"/>
    <w:rsid w:val="00200BD8"/>
    <w:rsid w:val="00200CCD"/>
    <w:rsid w:val="00200D20"/>
    <w:rsid w:val="00201323"/>
    <w:rsid w:val="0020155B"/>
    <w:rsid w:val="0020198D"/>
    <w:rsid w:val="00201A53"/>
    <w:rsid w:val="00201AEB"/>
    <w:rsid w:val="00201D81"/>
    <w:rsid w:val="00201DC2"/>
    <w:rsid w:val="00201DE6"/>
    <w:rsid w:val="00201F5B"/>
    <w:rsid w:val="00201F98"/>
    <w:rsid w:val="002020B9"/>
    <w:rsid w:val="0020229C"/>
    <w:rsid w:val="002022CE"/>
    <w:rsid w:val="00202333"/>
    <w:rsid w:val="002023D6"/>
    <w:rsid w:val="00202409"/>
    <w:rsid w:val="00202582"/>
    <w:rsid w:val="002026DF"/>
    <w:rsid w:val="002026E6"/>
    <w:rsid w:val="00202796"/>
    <w:rsid w:val="0020280B"/>
    <w:rsid w:val="00202874"/>
    <w:rsid w:val="002028E8"/>
    <w:rsid w:val="00202C07"/>
    <w:rsid w:val="00202C41"/>
    <w:rsid w:val="00202D51"/>
    <w:rsid w:val="00202EC7"/>
    <w:rsid w:val="00202FDD"/>
    <w:rsid w:val="00203043"/>
    <w:rsid w:val="0020307A"/>
    <w:rsid w:val="002031E0"/>
    <w:rsid w:val="00203474"/>
    <w:rsid w:val="0020367B"/>
    <w:rsid w:val="0020377A"/>
    <w:rsid w:val="0020379F"/>
    <w:rsid w:val="002039C7"/>
    <w:rsid w:val="00203A4E"/>
    <w:rsid w:val="00203A53"/>
    <w:rsid w:val="00203B19"/>
    <w:rsid w:val="002044F2"/>
    <w:rsid w:val="00204529"/>
    <w:rsid w:val="0020469C"/>
    <w:rsid w:val="0020477E"/>
    <w:rsid w:val="00204908"/>
    <w:rsid w:val="00204948"/>
    <w:rsid w:val="00204AD5"/>
    <w:rsid w:val="00204B91"/>
    <w:rsid w:val="00204BA0"/>
    <w:rsid w:val="00204CC3"/>
    <w:rsid w:val="00204F25"/>
    <w:rsid w:val="00204F5A"/>
    <w:rsid w:val="0020515C"/>
    <w:rsid w:val="00205184"/>
    <w:rsid w:val="00205193"/>
    <w:rsid w:val="002051B2"/>
    <w:rsid w:val="00205460"/>
    <w:rsid w:val="002054E1"/>
    <w:rsid w:val="002056B3"/>
    <w:rsid w:val="002058C3"/>
    <w:rsid w:val="002058F3"/>
    <w:rsid w:val="00205AAE"/>
    <w:rsid w:val="00205AC2"/>
    <w:rsid w:val="00205BE7"/>
    <w:rsid w:val="00205E6E"/>
    <w:rsid w:val="00206105"/>
    <w:rsid w:val="00206165"/>
    <w:rsid w:val="002065AC"/>
    <w:rsid w:val="002065EE"/>
    <w:rsid w:val="002067EE"/>
    <w:rsid w:val="002068E0"/>
    <w:rsid w:val="00206920"/>
    <w:rsid w:val="00206D08"/>
    <w:rsid w:val="00206FF1"/>
    <w:rsid w:val="002070B5"/>
    <w:rsid w:val="00207192"/>
    <w:rsid w:val="002073C9"/>
    <w:rsid w:val="00207451"/>
    <w:rsid w:val="00207459"/>
    <w:rsid w:val="0020753D"/>
    <w:rsid w:val="002076F3"/>
    <w:rsid w:val="0020779F"/>
    <w:rsid w:val="002077BF"/>
    <w:rsid w:val="00207893"/>
    <w:rsid w:val="0020791A"/>
    <w:rsid w:val="00207A72"/>
    <w:rsid w:val="00207CA5"/>
    <w:rsid w:val="00207FDC"/>
    <w:rsid w:val="0020A1D7"/>
    <w:rsid w:val="002100D5"/>
    <w:rsid w:val="00210305"/>
    <w:rsid w:val="00210308"/>
    <w:rsid w:val="002103A7"/>
    <w:rsid w:val="00210469"/>
    <w:rsid w:val="0021057A"/>
    <w:rsid w:val="00210593"/>
    <w:rsid w:val="002105FA"/>
    <w:rsid w:val="00210626"/>
    <w:rsid w:val="00210778"/>
    <w:rsid w:val="00210B55"/>
    <w:rsid w:val="00210BB4"/>
    <w:rsid w:val="00210BC1"/>
    <w:rsid w:val="00211006"/>
    <w:rsid w:val="002110F2"/>
    <w:rsid w:val="002111E1"/>
    <w:rsid w:val="00211225"/>
    <w:rsid w:val="0021148C"/>
    <w:rsid w:val="002114A6"/>
    <w:rsid w:val="002114FD"/>
    <w:rsid w:val="00211565"/>
    <w:rsid w:val="002115B1"/>
    <w:rsid w:val="00211617"/>
    <w:rsid w:val="00211756"/>
    <w:rsid w:val="002117FC"/>
    <w:rsid w:val="0021182D"/>
    <w:rsid w:val="00211912"/>
    <w:rsid w:val="00211CBE"/>
    <w:rsid w:val="00211CEB"/>
    <w:rsid w:val="00211DFB"/>
    <w:rsid w:val="00211FF5"/>
    <w:rsid w:val="002120A0"/>
    <w:rsid w:val="002120F7"/>
    <w:rsid w:val="0021246D"/>
    <w:rsid w:val="0021258D"/>
    <w:rsid w:val="002126BE"/>
    <w:rsid w:val="00212812"/>
    <w:rsid w:val="00212887"/>
    <w:rsid w:val="002128B0"/>
    <w:rsid w:val="00212BAC"/>
    <w:rsid w:val="00212EF0"/>
    <w:rsid w:val="00212EFD"/>
    <w:rsid w:val="00212FDD"/>
    <w:rsid w:val="00213338"/>
    <w:rsid w:val="00213388"/>
    <w:rsid w:val="002135EA"/>
    <w:rsid w:val="002136F5"/>
    <w:rsid w:val="00213738"/>
    <w:rsid w:val="00213770"/>
    <w:rsid w:val="00213907"/>
    <w:rsid w:val="002139E7"/>
    <w:rsid w:val="00213A47"/>
    <w:rsid w:val="00213A69"/>
    <w:rsid w:val="00213DE2"/>
    <w:rsid w:val="00213EBB"/>
    <w:rsid w:val="00213F91"/>
    <w:rsid w:val="00213F9A"/>
    <w:rsid w:val="00213FBF"/>
    <w:rsid w:val="002140AC"/>
    <w:rsid w:val="002141C9"/>
    <w:rsid w:val="00214341"/>
    <w:rsid w:val="002144D0"/>
    <w:rsid w:val="0021457B"/>
    <w:rsid w:val="00214654"/>
    <w:rsid w:val="002146FE"/>
    <w:rsid w:val="002148C3"/>
    <w:rsid w:val="00214913"/>
    <w:rsid w:val="002149E2"/>
    <w:rsid w:val="00214A80"/>
    <w:rsid w:val="00214C49"/>
    <w:rsid w:val="00214D03"/>
    <w:rsid w:val="002151D1"/>
    <w:rsid w:val="002151F2"/>
    <w:rsid w:val="0021520E"/>
    <w:rsid w:val="0021524C"/>
    <w:rsid w:val="002153A6"/>
    <w:rsid w:val="0021565F"/>
    <w:rsid w:val="00215665"/>
    <w:rsid w:val="002156D6"/>
    <w:rsid w:val="002159BE"/>
    <w:rsid w:val="002159C5"/>
    <w:rsid w:val="00215AC0"/>
    <w:rsid w:val="00215B63"/>
    <w:rsid w:val="00215E0E"/>
    <w:rsid w:val="00215E98"/>
    <w:rsid w:val="00215ECC"/>
    <w:rsid w:val="00215F49"/>
    <w:rsid w:val="00215F5F"/>
    <w:rsid w:val="00215FDE"/>
    <w:rsid w:val="00215FF9"/>
    <w:rsid w:val="00216028"/>
    <w:rsid w:val="0021617F"/>
    <w:rsid w:val="0021620E"/>
    <w:rsid w:val="0021625F"/>
    <w:rsid w:val="0021629A"/>
    <w:rsid w:val="002162AD"/>
    <w:rsid w:val="0021647F"/>
    <w:rsid w:val="002164B7"/>
    <w:rsid w:val="00216599"/>
    <w:rsid w:val="00216606"/>
    <w:rsid w:val="002167F4"/>
    <w:rsid w:val="00216A85"/>
    <w:rsid w:val="00216BDD"/>
    <w:rsid w:val="00216C44"/>
    <w:rsid w:val="00217085"/>
    <w:rsid w:val="00217248"/>
    <w:rsid w:val="0021733C"/>
    <w:rsid w:val="002173C0"/>
    <w:rsid w:val="00217540"/>
    <w:rsid w:val="00217601"/>
    <w:rsid w:val="0021761B"/>
    <w:rsid w:val="00217859"/>
    <w:rsid w:val="002178A0"/>
    <w:rsid w:val="00217A8E"/>
    <w:rsid w:val="00217A93"/>
    <w:rsid w:val="00217B84"/>
    <w:rsid w:val="00217CFF"/>
    <w:rsid w:val="00217D28"/>
    <w:rsid w:val="00217E3C"/>
    <w:rsid w:val="00217E3F"/>
    <w:rsid w:val="00217E47"/>
    <w:rsid w:val="00217E6C"/>
    <w:rsid w:val="00217FFD"/>
    <w:rsid w:val="00220033"/>
    <w:rsid w:val="0022023E"/>
    <w:rsid w:val="002203AC"/>
    <w:rsid w:val="00220540"/>
    <w:rsid w:val="002205FD"/>
    <w:rsid w:val="002206EC"/>
    <w:rsid w:val="00220C67"/>
    <w:rsid w:val="00220E01"/>
    <w:rsid w:val="00220EDD"/>
    <w:rsid w:val="00220FB7"/>
    <w:rsid w:val="00220FD3"/>
    <w:rsid w:val="002211D6"/>
    <w:rsid w:val="00221419"/>
    <w:rsid w:val="002215BD"/>
    <w:rsid w:val="00221973"/>
    <w:rsid w:val="00221988"/>
    <w:rsid w:val="002219BF"/>
    <w:rsid w:val="00221C92"/>
    <w:rsid w:val="00221F44"/>
    <w:rsid w:val="00221FF0"/>
    <w:rsid w:val="002221B7"/>
    <w:rsid w:val="002222A6"/>
    <w:rsid w:val="00222778"/>
    <w:rsid w:val="0022277F"/>
    <w:rsid w:val="002229B2"/>
    <w:rsid w:val="002229BD"/>
    <w:rsid w:val="00222A5D"/>
    <w:rsid w:val="00222BBA"/>
    <w:rsid w:val="00222CB4"/>
    <w:rsid w:val="00222CB6"/>
    <w:rsid w:val="00222F5F"/>
    <w:rsid w:val="002236B8"/>
    <w:rsid w:val="0022378E"/>
    <w:rsid w:val="00223B6F"/>
    <w:rsid w:val="00223B9E"/>
    <w:rsid w:val="00223C74"/>
    <w:rsid w:val="00223C86"/>
    <w:rsid w:val="00223D2A"/>
    <w:rsid w:val="00223F34"/>
    <w:rsid w:val="002240AE"/>
    <w:rsid w:val="00224172"/>
    <w:rsid w:val="00224201"/>
    <w:rsid w:val="00224231"/>
    <w:rsid w:val="0022424C"/>
    <w:rsid w:val="002242DB"/>
    <w:rsid w:val="002243AB"/>
    <w:rsid w:val="0022449B"/>
    <w:rsid w:val="00224529"/>
    <w:rsid w:val="00224578"/>
    <w:rsid w:val="00224638"/>
    <w:rsid w:val="002246E0"/>
    <w:rsid w:val="00224759"/>
    <w:rsid w:val="00224781"/>
    <w:rsid w:val="0022490E"/>
    <w:rsid w:val="00224D11"/>
    <w:rsid w:val="00224D64"/>
    <w:rsid w:val="00224E2D"/>
    <w:rsid w:val="00224F54"/>
    <w:rsid w:val="00224FFE"/>
    <w:rsid w:val="00225081"/>
    <w:rsid w:val="002250DE"/>
    <w:rsid w:val="00225171"/>
    <w:rsid w:val="002253C3"/>
    <w:rsid w:val="002253CB"/>
    <w:rsid w:val="00225759"/>
    <w:rsid w:val="00225850"/>
    <w:rsid w:val="002258FE"/>
    <w:rsid w:val="00225AD1"/>
    <w:rsid w:val="00225B4E"/>
    <w:rsid w:val="00225C06"/>
    <w:rsid w:val="00225CA6"/>
    <w:rsid w:val="00225DCC"/>
    <w:rsid w:val="00225F4C"/>
    <w:rsid w:val="0022628A"/>
    <w:rsid w:val="00226351"/>
    <w:rsid w:val="002263BA"/>
    <w:rsid w:val="002263BD"/>
    <w:rsid w:val="00226423"/>
    <w:rsid w:val="00226429"/>
    <w:rsid w:val="00226472"/>
    <w:rsid w:val="0022680F"/>
    <w:rsid w:val="002269D1"/>
    <w:rsid w:val="00226AD5"/>
    <w:rsid w:val="00226C68"/>
    <w:rsid w:val="00226C73"/>
    <w:rsid w:val="00226CD1"/>
    <w:rsid w:val="00226DA7"/>
    <w:rsid w:val="00226F55"/>
    <w:rsid w:val="00226FE4"/>
    <w:rsid w:val="00226FED"/>
    <w:rsid w:val="002271BF"/>
    <w:rsid w:val="002271F6"/>
    <w:rsid w:val="002272FE"/>
    <w:rsid w:val="0022759D"/>
    <w:rsid w:val="00227677"/>
    <w:rsid w:val="00227704"/>
    <w:rsid w:val="00227786"/>
    <w:rsid w:val="00227A6C"/>
    <w:rsid w:val="00227ABE"/>
    <w:rsid w:val="00227D30"/>
    <w:rsid w:val="00227D90"/>
    <w:rsid w:val="00227EC6"/>
    <w:rsid w:val="0022A99E"/>
    <w:rsid w:val="00230028"/>
    <w:rsid w:val="002303D9"/>
    <w:rsid w:val="0023043D"/>
    <w:rsid w:val="002304AC"/>
    <w:rsid w:val="00230531"/>
    <w:rsid w:val="002305DA"/>
    <w:rsid w:val="00230646"/>
    <w:rsid w:val="00230930"/>
    <w:rsid w:val="00230C85"/>
    <w:rsid w:val="00230CE5"/>
    <w:rsid w:val="00230DCA"/>
    <w:rsid w:val="00231003"/>
    <w:rsid w:val="0023100D"/>
    <w:rsid w:val="002311FE"/>
    <w:rsid w:val="0023159C"/>
    <w:rsid w:val="00231802"/>
    <w:rsid w:val="0023194E"/>
    <w:rsid w:val="00231A19"/>
    <w:rsid w:val="00231A48"/>
    <w:rsid w:val="00231AD3"/>
    <w:rsid w:val="00231C85"/>
    <w:rsid w:val="00231DA9"/>
    <w:rsid w:val="00231E55"/>
    <w:rsid w:val="00231E95"/>
    <w:rsid w:val="00231EE2"/>
    <w:rsid w:val="00231FE0"/>
    <w:rsid w:val="00231FF0"/>
    <w:rsid w:val="0023200A"/>
    <w:rsid w:val="00232096"/>
    <w:rsid w:val="002321BF"/>
    <w:rsid w:val="0023227F"/>
    <w:rsid w:val="002322CC"/>
    <w:rsid w:val="002323B4"/>
    <w:rsid w:val="00232437"/>
    <w:rsid w:val="00232575"/>
    <w:rsid w:val="00232616"/>
    <w:rsid w:val="00232787"/>
    <w:rsid w:val="00232834"/>
    <w:rsid w:val="00232A86"/>
    <w:rsid w:val="00232B47"/>
    <w:rsid w:val="00232B5C"/>
    <w:rsid w:val="00232B6C"/>
    <w:rsid w:val="00232D74"/>
    <w:rsid w:val="00232F04"/>
    <w:rsid w:val="00232F5E"/>
    <w:rsid w:val="00233046"/>
    <w:rsid w:val="00233146"/>
    <w:rsid w:val="002331AE"/>
    <w:rsid w:val="00233264"/>
    <w:rsid w:val="00233351"/>
    <w:rsid w:val="00233550"/>
    <w:rsid w:val="0023368C"/>
    <w:rsid w:val="00233699"/>
    <w:rsid w:val="002336BB"/>
    <w:rsid w:val="00233871"/>
    <w:rsid w:val="0023389A"/>
    <w:rsid w:val="00233906"/>
    <w:rsid w:val="0023398B"/>
    <w:rsid w:val="00233A04"/>
    <w:rsid w:val="00233AA3"/>
    <w:rsid w:val="00233CE5"/>
    <w:rsid w:val="00233CFF"/>
    <w:rsid w:val="00233D3D"/>
    <w:rsid w:val="00233DCB"/>
    <w:rsid w:val="00233DEC"/>
    <w:rsid w:val="00233E37"/>
    <w:rsid w:val="00233E87"/>
    <w:rsid w:val="002340DA"/>
    <w:rsid w:val="00234245"/>
    <w:rsid w:val="002342C7"/>
    <w:rsid w:val="00234335"/>
    <w:rsid w:val="00234612"/>
    <w:rsid w:val="002346EA"/>
    <w:rsid w:val="00234730"/>
    <w:rsid w:val="00234765"/>
    <w:rsid w:val="00234820"/>
    <w:rsid w:val="00234B81"/>
    <w:rsid w:val="00234C2A"/>
    <w:rsid w:val="00234D22"/>
    <w:rsid w:val="00234E45"/>
    <w:rsid w:val="00234F25"/>
    <w:rsid w:val="00234F57"/>
    <w:rsid w:val="00235215"/>
    <w:rsid w:val="002354C0"/>
    <w:rsid w:val="002355DD"/>
    <w:rsid w:val="00235621"/>
    <w:rsid w:val="002356D3"/>
    <w:rsid w:val="00235826"/>
    <w:rsid w:val="002358BF"/>
    <w:rsid w:val="0023594D"/>
    <w:rsid w:val="00235A14"/>
    <w:rsid w:val="00235A27"/>
    <w:rsid w:val="00235AE3"/>
    <w:rsid w:val="00235C4F"/>
    <w:rsid w:val="00235C8C"/>
    <w:rsid w:val="00235D20"/>
    <w:rsid w:val="00235D2D"/>
    <w:rsid w:val="00235DA3"/>
    <w:rsid w:val="00235DAB"/>
    <w:rsid w:val="00236143"/>
    <w:rsid w:val="00236149"/>
    <w:rsid w:val="0023617D"/>
    <w:rsid w:val="0023620E"/>
    <w:rsid w:val="002363F4"/>
    <w:rsid w:val="002364B3"/>
    <w:rsid w:val="00236657"/>
    <w:rsid w:val="0023667C"/>
    <w:rsid w:val="00236778"/>
    <w:rsid w:val="002367A5"/>
    <w:rsid w:val="002367FB"/>
    <w:rsid w:val="0023682A"/>
    <w:rsid w:val="002368C8"/>
    <w:rsid w:val="00236952"/>
    <w:rsid w:val="002369F8"/>
    <w:rsid w:val="00236A0A"/>
    <w:rsid w:val="00236AD1"/>
    <w:rsid w:val="00236B45"/>
    <w:rsid w:val="00236BB3"/>
    <w:rsid w:val="00236D7B"/>
    <w:rsid w:val="00236F8C"/>
    <w:rsid w:val="00236F9B"/>
    <w:rsid w:val="002370DD"/>
    <w:rsid w:val="002371D1"/>
    <w:rsid w:val="002372B7"/>
    <w:rsid w:val="002373A1"/>
    <w:rsid w:val="002374B9"/>
    <w:rsid w:val="00237507"/>
    <w:rsid w:val="0023752D"/>
    <w:rsid w:val="00237641"/>
    <w:rsid w:val="00237710"/>
    <w:rsid w:val="00237786"/>
    <w:rsid w:val="00240254"/>
    <w:rsid w:val="002403F6"/>
    <w:rsid w:val="002403F8"/>
    <w:rsid w:val="002404E3"/>
    <w:rsid w:val="00240538"/>
    <w:rsid w:val="0024054F"/>
    <w:rsid w:val="00240614"/>
    <w:rsid w:val="002406DA"/>
    <w:rsid w:val="0024079D"/>
    <w:rsid w:val="002407E6"/>
    <w:rsid w:val="00240A1F"/>
    <w:rsid w:val="00240A59"/>
    <w:rsid w:val="00240A80"/>
    <w:rsid w:val="00240B00"/>
    <w:rsid w:val="00240B8D"/>
    <w:rsid w:val="00240C36"/>
    <w:rsid w:val="00240CCB"/>
    <w:rsid w:val="00240D81"/>
    <w:rsid w:val="00240F15"/>
    <w:rsid w:val="00241165"/>
    <w:rsid w:val="00241277"/>
    <w:rsid w:val="002415BB"/>
    <w:rsid w:val="0024165A"/>
    <w:rsid w:val="002416F0"/>
    <w:rsid w:val="002419C7"/>
    <w:rsid w:val="002419CE"/>
    <w:rsid w:val="00241AB3"/>
    <w:rsid w:val="00241C3B"/>
    <w:rsid w:val="00241F16"/>
    <w:rsid w:val="002420AE"/>
    <w:rsid w:val="002420C7"/>
    <w:rsid w:val="002420CE"/>
    <w:rsid w:val="00242185"/>
    <w:rsid w:val="002422B3"/>
    <w:rsid w:val="002424CB"/>
    <w:rsid w:val="002424D9"/>
    <w:rsid w:val="0024254A"/>
    <w:rsid w:val="00242599"/>
    <w:rsid w:val="00242992"/>
    <w:rsid w:val="002429D1"/>
    <w:rsid w:val="00242AB7"/>
    <w:rsid w:val="00242B6F"/>
    <w:rsid w:val="00242D36"/>
    <w:rsid w:val="00242DF9"/>
    <w:rsid w:val="00242F1D"/>
    <w:rsid w:val="00242FF7"/>
    <w:rsid w:val="002431F1"/>
    <w:rsid w:val="00243753"/>
    <w:rsid w:val="0024391E"/>
    <w:rsid w:val="00243B8D"/>
    <w:rsid w:val="00243C0E"/>
    <w:rsid w:val="00243CC5"/>
    <w:rsid w:val="00243D3D"/>
    <w:rsid w:val="00243D3F"/>
    <w:rsid w:val="00243D5A"/>
    <w:rsid w:val="00243D72"/>
    <w:rsid w:val="00243F28"/>
    <w:rsid w:val="002440A6"/>
    <w:rsid w:val="002440E5"/>
    <w:rsid w:val="002443EB"/>
    <w:rsid w:val="0024458D"/>
    <w:rsid w:val="002445E8"/>
    <w:rsid w:val="002446E3"/>
    <w:rsid w:val="0024472C"/>
    <w:rsid w:val="00244821"/>
    <w:rsid w:val="002448D2"/>
    <w:rsid w:val="00244974"/>
    <w:rsid w:val="00244A85"/>
    <w:rsid w:val="00244E0A"/>
    <w:rsid w:val="00244E9B"/>
    <w:rsid w:val="00244F35"/>
    <w:rsid w:val="002450B6"/>
    <w:rsid w:val="002450D3"/>
    <w:rsid w:val="00245172"/>
    <w:rsid w:val="00245419"/>
    <w:rsid w:val="00245427"/>
    <w:rsid w:val="002454F4"/>
    <w:rsid w:val="00245507"/>
    <w:rsid w:val="00245534"/>
    <w:rsid w:val="002456E6"/>
    <w:rsid w:val="002456F5"/>
    <w:rsid w:val="00245843"/>
    <w:rsid w:val="00245A51"/>
    <w:rsid w:val="00245B16"/>
    <w:rsid w:val="00245E4F"/>
    <w:rsid w:val="00245E5F"/>
    <w:rsid w:val="00245E90"/>
    <w:rsid w:val="00245EB5"/>
    <w:rsid w:val="00245F37"/>
    <w:rsid w:val="002460E7"/>
    <w:rsid w:val="00246354"/>
    <w:rsid w:val="002463B2"/>
    <w:rsid w:val="00246469"/>
    <w:rsid w:val="0024661F"/>
    <w:rsid w:val="00246669"/>
    <w:rsid w:val="002466DD"/>
    <w:rsid w:val="002467F9"/>
    <w:rsid w:val="00246813"/>
    <w:rsid w:val="00246828"/>
    <w:rsid w:val="0024683F"/>
    <w:rsid w:val="0024689A"/>
    <w:rsid w:val="002468B3"/>
    <w:rsid w:val="00246902"/>
    <w:rsid w:val="00246A37"/>
    <w:rsid w:val="00246AD9"/>
    <w:rsid w:val="00246B50"/>
    <w:rsid w:val="00246B89"/>
    <w:rsid w:val="00246CAF"/>
    <w:rsid w:val="00246D22"/>
    <w:rsid w:val="00246E85"/>
    <w:rsid w:val="00246F0D"/>
    <w:rsid w:val="00247169"/>
    <w:rsid w:val="00247209"/>
    <w:rsid w:val="00247545"/>
    <w:rsid w:val="002475FA"/>
    <w:rsid w:val="00247703"/>
    <w:rsid w:val="002478C9"/>
    <w:rsid w:val="00247971"/>
    <w:rsid w:val="00247A45"/>
    <w:rsid w:val="00247B34"/>
    <w:rsid w:val="00247CF3"/>
    <w:rsid w:val="00247D78"/>
    <w:rsid w:val="00247E53"/>
    <w:rsid w:val="00247EE7"/>
    <w:rsid w:val="00247EEE"/>
    <w:rsid w:val="00250002"/>
    <w:rsid w:val="002500E0"/>
    <w:rsid w:val="0025012E"/>
    <w:rsid w:val="002501DD"/>
    <w:rsid w:val="00250211"/>
    <w:rsid w:val="002503E4"/>
    <w:rsid w:val="00250642"/>
    <w:rsid w:val="002506CC"/>
    <w:rsid w:val="0025072C"/>
    <w:rsid w:val="0025081F"/>
    <w:rsid w:val="00250976"/>
    <w:rsid w:val="00250E3C"/>
    <w:rsid w:val="002510BD"/>
    <w:rsid w:val="002510DB"/>
    <w:rsid w:val="002512F6"/>
    <w:rsid w:val="00251434"/>
    <w:rsid w:val="0025158A"/>
    <w:rsid w:val="002515F8"/>
    <w:rsid w:val="002516B3"/>
    <w:rsid w:val="0025186B"/>
    <w:rsid w:val="00251945"/>
    <w:rsid w:val="00251950"/>
    <w:rsid w:val="00251B47"/>
    <w:rsid w:val="00251E81"/>
    <w:rsid w:val="00251F97"/>
    <w:rsid w:val="002520B7"/>
    <w:rsid w:val="00252172"/>
    <w:rsid w:val="002522F8"/>
    <w:rsid w:val="002523CF"/>
    <w:rsid w:val="002528E2"/>
    <w:rsid w:val="00252B99"/>
    <w:rsid w:val="00252BFC"/>
    <w:rsid w:val="00252DF0"/>
    <w:rsid w:val="00252E61"/>
    <w:rsid w:val="00252F15"/>
    <w:rsid w:val="00252F35"/>
    <w:rsid w:val="00252F4F"/>
    <w:rsid w:val="00252FCA"/>
    <w:rsid w:val="00252FF0"/>
    <w:rsid w:val="00253034"/>
    <w:rsid w:val="00253041"/>
    <w:rsid w:val="00253112"/>
    <w:rsid w:val="00253216"/>
    <w:rsid w:val="00253293"/>
    <w:rsid w:val="002532CC"/>
    <w:rsid w:val="00253445"/>
    <w:rsid w:val="00253464"/>
    <w:rsid w:val="002535B0"/>
    <w:rsid w:val="00253660"/>
    <w:rsid w:val="00253669"/>
    <w:rsid w:val="0025366A"/>
    <w:rsid w:val="00253776"/>
    <w:rsid w:val="00253799"/>
    <w:rsid w:val="00253821"/>
    <w:rsid w:val="00253950"/>
    <w:rsid w:val="00253A0F"/>
    <w:rsid w:val="00253E53"/>
    <w:rsid w:val="00253F12"/>
    <w:rsid w:val="002540AE"/>
    <w:rsid w:val="002540FA"/>
    <w:rsid w:val="00254329"/>
    <w:rsid w:val="002544FC"/>
    <w:rsid w:val="00254596"/>
    <w:rsid w:val="002547C4"/>
    <w:rsid w:val="002547DA"/>
    <w:rsid w:val="00254835"/>
    <w:rsid w:val="00254894"/>
    <w:rsid w:val="0025498D"/>
    <w:rsid w:val="00254AFE"/>
    <w:rsid w:val="00254B8C"/>
    <w:rsid w:val="00254BC2"/>
    <w:rsid w:val="00254CE3"/>
    <w:rsid w:val="00254E52"/>
    <w:rsid w:val="002550E6"/>
    <w:rsid w:val="00255113"/>
    <w:rsid w:val="0025523F"/>
    <w:rsid w:val="002552D1"/>
    <w:rsid w:val="0025536E"/>
    <w:rsid w:val="002554A5"/>
    <w:rsid w:val="002555AA"/>
    <w:rsid w:val="002555CE"/>
    <w:rsid w:val="00255652"/>
    <w:rsid w:val="002556A3"/>
    <w:rsid w:val="0025571E"/>
    <w:rsid w:val="002558FD"/>
    <w:rsid w:val="00255997"/>
    <w:rsid w:val="002559A6"/>
    <w:rsid w:val="00255A88"/>
    <w:rsid w:val="00255A9B"/>
    <w:rsid w:val="00255CB1"/>
    <w:rsid w:val="00255ECF"/>
    <w:rsid w:val="00255FD7"/>
    <w:rsid w:val="00256016"/>
    <w:rsid w:val="002561EE"/>
    <w:rsid w:val="00256399"/>
    <w:rsid w:val="002564E7"/>
    <w:rsid w:val="0025674B"/>
    <w:rsid w:val="0025675D"/>
    <w:rsid w:val="00256761"/>
    <w:rsid w:val="00256797"/>
    <w:rsid w:val="002567CA"/>
    <w:rsid w:val="002568C5"/>
    <w:rsid w:val="0025692F"/>
    <w:rsid w:val="00256973"/>
    <w:rsid w:val="00256AE1"/>
    <w:rsid w:val="00256BDE"/>
    <w:rsid w:val="00256BEC"/>
    <w:rsid w:val="00256C8A"/>
    <w:rsid w:val="00256D34"/>
    <w:rsid w:val="00256D94"/>
    <w:rsid w:val="00256DA2"/>
    <w:rsid w:val="00256E38"/>
    <w:rsid w:val="00256F2E"/>
    <w:rsid w:val="00256F9D"/>
    <w:rsid w:val="002570AF"/>
    <w:rsid w:val="0025722C"/>
    <w:rsid w:val="00257444"/>
    <w:rsid w:val="002574D8"/>
    <w:rsid w:val="0025755F"/>
    <w:rsid w:val="00257599"/>
    <w:rsid w:val="002576C4"/>
    <w:rsid w:val="0025782C"/>
    <w:rsid w:val="0025790D"/>
    <w:rsid w:val="00257948"/>
    <w:rsid w:val="00257A77"/>
    <w:rsid w:val="00257BCF"/>
    <w:rsid w:val="00257CEF"/>
    <w:rsid w:val="00257D63"/>
    <w:rsid w:val="00257D8D"/>
    <w:rsid w:val="00257E13"/>
    <w:rsid w:val="00257EEB"/>
    <w:rsid w:val="00257F1B"/>
    <w:rsid w:val="00257F54"/>
    <w:rsid w:val="00257F75"/>
    <w:rsid w:val="00257FC2"/>
    <w:rsid w:val="00260031"/>
    <w:rsid w:val="002600F6"/>
    <w:rsid w:val="00260193"/>
    <w:rsid w:val="0026022C"/>
    <w:rsid w:val="002603CF"/>
    <w:rsid w:val="00260662"/>
    <w:rsid w:val="00260677"/>
    <w:rsid w:val="002609C7"/>
    <w:rsid w:val="00260A84"/>
    <w:rsid w:val="00260C2D"/>
    <w:rsid w:val="00260CED"/>
    <w:rsid w:val="00260E19"/>
    <w:rsid w:val="00261134"/>
    <w:rsid w:val="0026122B"/>
    <w:rsid w:val="0026153C"/>
    <w:rsid w:val="002615AA"/>
    <w:rsid w:val="0026168B"/>
    <w:rsid w:val="00261774"/>
    <w:rsid w:val="0026183E"/>
    <w:rsid w:val="00261871"/>
    <w:rsid w:val="00261BB1"/>
    <w:rsid w:val="00261C12"/>
    <w:rsid w:val="00261C2C"/>
    <w:rsid w:val="00261CA6"/>
    <w:rsid w:val="00261DC4"/>
    <w:rsid w:val="00261E38"/>
    <w:rsid w:val="00262036"/>
    <w:rsid w:val="00262039"/>
    <w:rsid w:val="00262076"/>
    <w:rsid w:val="002622AF"/>
    <w:rsid w:val="00262353"/>
    <w:rsid w:val="002625AD"/>
    <w:rsid w:val="00262679"/>
    <w:rsid w:val="002627BC"/>
    <w:rsid w:val="00262869"/>
    <w:rsid w:val="002628E8"/>
    <w:rsid w:val="00262922"/>
    <w:rsid w:val="002629D2"/>
    <w:rsid w:val="002629E8"/>
    <w:rsid w:val="002629F0"/>
    <w:rsid w:val="00262AC1"/>
    <w:rsid w:val="00262AC4"/>
    <w:rsid w:val="00262D14"/>
    <w:rsid w:val="00262D88"/>
    <w:rsid w:val="00262D8F"/>
    <w:rsid w:val="00262DF4"/>
    <w:rsid w:val="00263000"/>
    <w:rsid w:val="00263226"/>
    <w:rsid w:val="00263253"/>
    <w:rsid w:val="002632AB"/>
    <w:rsid w:val="002634D2"/>
    <w:rsid w:val="00263593"/>
    <w:rsid w:val="002637E2"/>
    <w:rsid w:val="002638CE"/>
    <w:rsid w:val="002638E6"/>
    <w:rsid w:val="00263A1F"/>
    <w:rsid w:val="00263C28"/>
    <w:rsid w:val="00263CC3"/>
    <w:rsid w:val="00263E3E"/>
    <w:rsid w:val="00263EBF"/>
    <w:rsid w:val="00263ECC"/>
    <w:rsid w:val="00263FE1"/>
    <w:rsid w:val="002640E0"/>
    <w:rsid w:val="002640F8"/>
    <w:rsid w:val="002642BA"/>
    <w:rsid w:val="00264439"/>
    <w:rsid w:val="002644A9"/>
    <w:rsid w:val="00264535"/>
    <w:rsid w:val="00264568"/>
    <w:rsid w:val="002645A7"/>
    <w:rsid w:val="0026466A"/>
    <w:rsid w:val="00264789"/>
    <w:rsid w:val="0026479F"/>
    <w:rsid w:val="00264838"/>
    <w:rsid w:val="0026487D"/>
    <w:rsid w:val="00264997"/>
    <w:rsid w:val="00264B9F"/>
    <w:rsid w:val="00264C5F"/>
    <w:rsid w:val="00264D16"/>
    <w:rsid w:val="00264EB4"/>
    <w:rsid w:val="00264EDD"/>
    <w:rsid w:val="002651F7"/>
    <w:rsid w:val="00265216"/>
    <w:rsid w:val="002652BD"/>
    <w:rsid w:val="0026548D"/>
    <w:rsid w:val="002654F3"/>
    <w:rsid w:val="0026565C"/>
    <w:rsid w:val="0026566B"/>
    <w:rsid w:val="00265866"/>
    <w:rsid w:val="00265920"/>
    <w:rsid w:val="0026593A"/>
    <w:rsid w:val="00265A9C"/>
    <w:rsid w:val="00265B15"/>
    <w:rsid w:val="00265B20"/>
    <w:rsid w:val="00265C1E"/>
    <w:rsid w:val="00265C8E"/>
    <w:rsid w:val="00265CAE"/>
    <w:rsid w:val="00265E2B"/>
    <w:rsid w:val="00265F71"/>
    <w:rsid w:val="002661A9"/>
    <w:rsid w:val="002661B1"/>
    <w:rsid w:val="002661F9"/>
    <w:rsid w:val="0026649C"/>
    <w:rsid w:val="0026658A"/>
    <w:rsid w:val="002665DC"/>
    <w:rsid w:val="00266701"/>
    <w:rsid w:val="00266799"/>
    <w:rsid w:val="0026679D"/>
    <w:rsid w:val="002668ED"/>
    <w:rsid w:val="0026690D"/>
    <w:rsid w:val="00266A73"/>
    <w:rsid w:val="00266BD4"/>
    <w:rsid w:val="00266CFD"/>
    <w:rsid w:val="00266D12"/>
    <w:rsid w:val="00266D85"/>
    <w:rsid w:val="00266F5A"/>
    <w:rsid w:val="00266F69"/>
    <w:rsid w:val="00266FA5"/>
    <w:rsid w:val="0026718F"/>
    <w:rsid w:val="002671E4"/>
    <w:rsid w:val="00267318"/>
    <w:rsid w:val="00267408"/>
    <w:rsid w:val="002675BB"/>
    <w:rsid w:val="0026790A"/>
    <w:rsid w:val="00267979"/>
    <w:rsid w:val="00267A01"/>
    <w:rsid w:val="00267A31"/>
    <w:rsid w:val="00267A8A"/>
    <w:rsid w:val="00267B4D"/>
    <w:rsid w:val="00267BD6"/>
    <w:rsid w:val="00267C70"/>
    <w:rsid w:val="00267DA5"/>
    <w:rsid w:val="00267F5A"/>
    <w:rsid w:val="00270049"/>
    <w:rsid w:val="002700F5"/>
    <w:rsid w:val="002702C4"/>
    <w:rsid w:val="002703FD"/>
    <w:rsid w:val="0027047E"/>
    <w:rsid w:val="002704DB"/>
    <w:rsid w:val="002704E0"/>
    <w:rsid w:val="0027083C"/>
    <w:rsid w:val="002708FD"/>
    <w:rsid w:val="00270B33"/>
    <w:rsid w:val="00270CA5"/>
    <w:rsid w:val="00270EF9"/>
    <w:rsid w:val="00270FA1"/>
    <w:rsid w:val="0027122F"/>
    <w:rsid w:val="00271445"/>
    <w:rsid w:val="0027147B"/>
    <w:rsid w:val="002715E2"/>
    <w:rsid w:val="00271651"/>
    <w:rsid w:val="0027192D"/>
    <w:rsid w:val="00271950"/>
    <w:rsid w:val="00271B6D"/>
    <w:rsid w:val="00271D72"/>
    <w:rsid w:val="00271D8A"/>
    <w:rsid w:val="00271E2F"/>
    <w:rsid w:val="002720C1"/>
    <w:rsid w:val="0027211F"/>
    <w:rsid w:val="00272664"/>
    <w:rsid w:val="002727D2"/>
    <w:rsid w:val="00272945"/>
    <w:rsid w:val="00272A5F"/>
    <w:rsid w:val="00272AA1"/>
    <w:rsid w:val="00272B13"/>
    <w:rsid w:val="00272B7D"/>
    <w:rsid w:val="00272BEB"/>
    <w:rsid w:val="00272D22"/>
    <w:rsid w:val="00272D97"/>
    <w:rsid w:val="00272DC4"/>
    <w:rsid w:val="00272DD7"/>
    <w:rsid w:val="00272E9C"/>
    <w:rsid w:val="00273022"/>
    <w:rsid w:val="00273176"/>
    <w:rsid w:val="002732A9"/>
    <w:rsid w:val="00273491"/>
    <w:rsid w:val="00273559"/>
    <w:rsid w:val="002736A3"/>
    <w:rsid w:val="00273791"/>
    <w:rsid w:val="002737D0"/>
    <w:rsid w:val="00273843"/>
    <w:rsid w:val="0027385B"/>
    <w:rsid w:val="002738C8"/>
    <w:rsid w:val="00273926"/>
    <w:rsid w:val="0027399B"/>
    <w:rsid w:val="002739A9"/>
    <w:rsid w:val="002739B6"/>
    <w:rsid w:val="00273AF0"/>
    <w:rsid w:val="00273CDA"/>
    <w:rsid w:val="00273F04"/>
    <w:rsid w:val="00273F43"/>
    <w:rsid w:val="00273FD4"/>
    <w:rsid w:val="002741A3"/>
    <w:rsid w:val="0027443D"/>
    <w:rsid w:val="002744C5"/>
    <w:rsid w:val="0027454A"/>
    <w:rsid w:val="002746EB"/>
    <w:rsid w:val="0027475D"/>
    <w:rsid w:val="00274780"/>
    <w:rsid w:val="002748E5"/>
    <w:rsid w:val="00274A96"/>
    <w:rsid w:val="00274B5C"/>
    <w:rsid w:val="00274C45"/>
    <w:rsid w:val="00274CCC"/>
    <w:rsid w:val="00274D46"/>
    <w:rsid w:val="00274F8A"/>
    <w:rsid w:val="00274FE9"/>
    <w:rsid w:val="0027527A"/>
    <w:rsid w:val="002752A8"/>
    <w:rsid w:val="002752FA"/>
    <w:rsid w:val="002754EF"/>
    <w:rsid w:val="002756D4"/>
    <w:rsid w:val="002756F4"/>
    <w:rsid w:val="002757A3"/>
    <w:rsid w:val="00275A1F"/>
    <w:rsid w:val="00275AF4"/>
    <w:rsid w:val="00275C41"/>
    <w:rsid w:val="00275C67"/>
    <w:rsid w:val="00275DD2"/>
    <w:rsid w:val="00275E2C"/>
    <w:rsid w:val="00275F27"/>
    <w:rsid w:val="00275F7E"/>
    <w:rsid w:val="00275F84"/>
    <w:rsid w:val="00275FC0"/>
    <w:rsid w:val="00276077"/>
    <w:rsid w:val="0027610A"/>
    <w:rsid w:val="0027622D"/>
    <w:rsid w:val="00276302"/>
    <w:rsid w:val="00276523"/>
    <w:rsid w:val="0027656B"/>
    <w:rsid w:val="002766C7"/>
    <w:rsid w:val="00276781"/>
    <w:rsid w:val="002767E9"/>
    <w:rsid w:val="002769A9"/>
    <w:rsid w:val="00276AB5"/>
    <w:rsid w:val="00276CBC"/>
    <w:rsid w:val="00276CD0"/>
    <w:rsid w:val="00276D7A"/>
    <w:rsid w:val="00276EAB"/>
    <w:rsid w:val="00276EC6"/>
    <w:rsid w:val="0027703A"/>
    <w:rsid w:val="00277258"/>
    <w:rsid w:val="00277259"/>
    <w:rsid w:val="002772C0"/>
    <w:rsid w:val="0027747F"/>
    <w:rsid w:val="0027749F"/>
    <w:rsid w:val="002774C2"/>
    <w:rsid w:val="002775AD"/>
    <w:rsid w:val="00277639"/>
    <w:rsid w:val="00277946"/>
    <w:rsid w:val="00277969"/>
    <w:rsid w:val="002779FB"/>
    <w:rsid w:val="00277C63"/>
    <w:rsid w:val="00277D70"/>
    <w:rsid w:val="00277E85"/>
    <w:rsid w:val="00277EEA"/>
    <w:rsid w:val="00280023"/>
    <w:rsid w:val="002800E0"/>
    <w:rsid w:val="00280175"/>
    <w:rsid w:val="0028017F"/>
    <w:rsid w:val="002801A4"/>
    <w:rsid w:val="00280256"/>
    <w:rsid w:val="002803BA"/>
    <w:rsid w:val="0028049C"/>
    <w:rsid w:val="00280751"/>
    <w:rsid w:val="00280755"/>
    <w:rsid w:val="0028084F"/>
    <w:rsid w:val="00280877"/>
    <w:rsid w:val="002809D9"/>
    <w:rsid w:val="002809F1"/>
    <w:rsid w:val="00280BDF"/>
    <w:rsid w:val="00280E27"/>
    <w:rsid w:val="00281021"/>
    <w:rsid w:val="0028107C"/>
    <w:rsid w:val="002812B2"/>
    <w:rsid w:val="0028131D"/>
    <w:rsid w:val="002814CC"/>
    <w:rsid w:val="0028166B"/>
    <w:rsid w:val="00281823"/>
    <w:rsid w:val="0028188A"/>
    <w:rsid w:val="00281974"/>
    <w:rsid w:val="00281A4C"/>
    <w:rsid w:val="00281D15"/>
    <w:rsid w:val="00281DAC"/>
    <w:rsid w:val="00281E19"/>
    <w:rsid w:val="00281E42"/>
    <w:rsid w:val="0028200E"/>
    <w:rsid w:val="002821C9"/>
    <w:rsid w:val="00282245"/>
    <w:rsid w:val="00282261"/>
    <w:rsid w:val="00282473"/>
    <w:rsid w:val="002825CF"/>
    <w:rsid w:val="002825DD"/>
    <w:rsid w:val="002826B4"/>
    <w:rsid w:val="002826F4"/>
    <w:rsid w:val="0028281A"/>
    <w:rsid w:val="00282831"/>
    <w:rsid w:val="00282887"/>
    <w:rsid w:val="00282985"/>
    <w:rsid w:val="00282A12"/>
    <w:rsid w:val="00282A2D"/>
    <w:rsid w:val="00282A5C"/>
    <w:rsid w:val="00282DDA"/>
    <w:rsid w:val="00282E00"/>
    <w:rsid w:val="00282F63"/>
    <w:rsid w:val="00283048"/>
    <w:rsid w:val="002830D0"/>
    <w:rsid w:val="0028315E"/>
    <w:rsid w:val="002831AB"/>
    <w:rsid w:val="0028330A"/>
    <w:rsid w:val="002833CC"/>
    <w:rsid w:val="002834B1"/>
    <w:rsid w:val="0028351E"/>
    <w:rsid w:val="002835FB"/>
    <w:rsid w:val="00283630"/>
    <w:rsid w:val="002837E0"/>
    <w:rsid w:val="0028384D"/>
    <w:rsid w:val="00283B04"/>
    <w:rsid w:val="00283C2E"/>
    <w:rsid w:val="00283CE8"/>
    <w:rsid w:val="00283D61"/>
    <w:rsid w:val="00283D73"/>
    <w:rsid w:val="00283E0F"/>
    <w:rsid w:val="00283E80"/>
    <w:rsid w:val="00284008"/>
    <w:rsid w:val="00284146"/>
    <w:rsid w:val="00284360"/>
    <w:rsid w:val="00284396"/>
    <w:rsid w:val="0028471F"/>
    <w:rsid w:val="002849A9"/>
    <w:rsid w:val="00284DF5"/>
    <w:rsid w:val="002851A5"/>
    <w:rsid w:val="0028528F"/>
    <w:rsid w:val="002853AB"/>
    <w:rsid w:val="002856BF"/>
    <w:rsid w:val="002856E1"/>
    <w:rsid w:val="002856FF"/>
    <w:rsid w:val="00285835"/>
    <w:rsid w:val="002858F8"/>
    <w:rsid w:val="002858FC"/>
    <w:rsid w:val="00285978"/>
    <w:rsid w:val="00285A25"/>
    <w:rsid w:val="00285A26"/>
    <w:rsid w:val="00285A8C"/>
    <w:rsid w:val="00285B63"/>
    <w:rsid w:val="00285C02"/>
    <w:rsid w:val="00285C04"/>
    <w:rsid w:val="00285C7C"/>
    <w:rsid w:val="00285EE4"/>
    <w:rsid w:val="002861AF"/>
    <w:rsid w:val="002867A1"/>
    <w:rsid w:val="00286AEA"/>
    <w:rsid w:val="00286B63"/>
    <w:rsid w:val="002871B9"/>
    <w:rsid w:val="002872C3"/>
    <w:rsid w:val="0028743B"/>
    <w:rsid w:val="00287509"/>
    <w:rsid w:val="00287596"/>
    <w:rsid w:val="00287726"/>
    <w:rsid w:val="002877FF"/>
    <w:rsid w:val="00287871"/>
    <w:rsid w:val="002878F5"/>
    <w:rsid w:val="002879B9"/>
    <w:rsid w:val="002879C2"/>
    <w:rsid w:val="00287B00"/>
    <w:rsid w:val="00287B15"/>
    <w:rsid w:val="00287D6D"/>
    <w:rsid w:val="00287D94"/>
    <w:rsid w:val="00287E8C"/>
    <w:rsid w:val="00287F69"/>
    <w:rsid w:val="002901D5"/>
    <w:rsid w:val="002901DB"/>
    <w:rsid w:val="0029020A"/>
    <w:rsid w:val="0029023B"/>
    <w:rsid w:val="002902AA"/>
    <w:rsid w:val="00290380"/>
    <w:rsid w:val="002903CA"/>
    <w:rsid w:val="002903DD"/>
    <w:rsid w:val="00290449"/>
    <w:rsid w:val="00290493"/>
    <w:rsid w:val="002904D9"/>
    <w:rsid w:val="00290537"/>
    <w:rsid w:val="002906AE"/>
    <w:rsid w:val="00290ABA"/>
    <w:rsid w:val="00290FB7"/>
    <w:rsid w:val="002910B7"/>
    <w:rsid w:val="00291148"/>
    <w:rsid w:val="00291156"/>
    <w:rsid w:val="00291162"/>
    <w:rsid w:val="00291215"/>
    <w:rsid w:val="0029124D"/>
    <w:rsid w:val="002912AB"/>
    <w:rsid w:val="00291350"/>
    <w:rsid w:val="00291431"/>
    <w:rsid w:val="002914C5"/>
    <w:rsid w:val="00291A83"/>
    <w:rsid w:val="00291B85"/>
    <w:rsid w:val="00291C7A"/>
    <w:rsid w:val="00291E7D"/>
    <w:rsid w:val="002922F0"/>
    <w:rsid w:val="00292328"/>
    <w:rsid w:val="0029288B"/>
    <w:rsid w:val="00292A48"/>
    <w:rsid w:val="00292D54"/>
    <w:rsid w:val="00292DCA"/>
    <w:rsid w:val="002931A5"/>
    <w:rsid w:val="0029328D"/>
    <w:rsid w:val="002935BE"/>
    <w:rsid w:val="00293767"/>
    <w:rsid w:val="002937B4"/>
    <w:rsid w:val="00293A4D"/>
    <w:rsid w:val="00293AC0"/>
    <w:rsid w:val="00293AC3"/>
    <w:rsid w:val="00293B26"/>
    <w:rsid w:val="00293D38"/>
    <w:rsid w:val="00293E14"/>
    <w:rsid w:val="00293F23"/>
    <w:rsid w:val="00293F5B"/>
    <w:rsid w:val="00294031"/>
    <w:rsid w:val="00294092"/>
    <w:rsid w:val="002942FA"/>
    <w:rsid w:val="0029430F"/>
    <w:rsid w:val="002943EA"/>
    <w:rsid w:val="0029461E"/>
    <w:rsid w:val="00294681"/>
    <w:rsid w:val="00294717"/>
    <w:rsid w:val="0029498C"/>
    <w:rsid w:val="00294B1F"/>
    <w:rsid w:val="00294B96"/>
    <w:rsid w:val="00294D43"/>
    <w:rsid w:val="00295019"/>
    <w:rsid w:val="002950EA"/>
    <w:rsid w:val="00295132"/>
    <w:rsid w:val="0029529D"/>
    <w:rsid w:val="00295333"/>
    <w:rsid w:val="002953C5"/>
    <w:rsid w:val="002953FC"/>
    <w:rsid w:val="0029569A"/>
    <w:rsid w:val="00295757"/>
    <w:rsid w:val="002958AF"/>
    <w:rsid w:val="00295948"/>
    <w:rsid w:val="00295AA0"/>
    <w:rsid w:val="00295BEA"/>
    <w:rsid w:val="00295DBE"/>
    <w:rsid w:val="00295F88"/>
    <w:rsid w:val="00296054"/>
    <w:rsid w:val="002964D9"/>
    <w:rsid w:val="0029655E"/>
    <w:rsid w:val="002965B5"/>
    <w:rsid w:val="00296834"/>
    <w:rsid w:val="002968AD"/>
    <w:rsid w:val="002968B6"/>
    <w:rsid w:val="002968C1"/>
    <w:rsid w:val="00296919"/>
    <w:rsid w:val="002969B4"/>
    <w:rsid w:val="00296B34"/>
    <w:rsid w:val="00296B6A"/>
    <w:rsid w:val="00296BE7"/>
    <w:rsid w:val="00296D90"/>
    <w:rsid w:val="00296D94"/>
    <w:rsid w:val="00296EAA"/>
    <w:rsid w:val="00297072"/>
    <w:rsid w:val="00297172"/>
    <w:rsid w:val="0029717C"/>
    <w:rsid w:val="002971ED"/>
    <w:rsid w:val="00297332"/>
    <w:rsid w:val="0029737D"/>
    <w:rsid w:val="00297432"/>
    <w:rsid w:val="00297488"/>
    <w:rsid w:val="00297576"/>
    <w:rsid w:val="00297629"/>
    <w:rsid w:val="002978CC"/>
    <w:rsid w:val="002978D4"/>
    <w:rsid w:val="00297A32"/>
    <w:rsid w:val="00297C5F"/>
    <w:rsid w:val="00297CCA"/>
    <w:rsid w:val="00297D61"/>
    <w:rsid w:val="002A004D"/>
    <w:rsid w:val="002A0064"/>
    <w:rsid w:val="002A0132"/>
    <w:rsid w:val="002A0142"/>
    <w:rsid w:val="002A0177"/>
    <w:rsid w:val="002A03C0"/>
    <w:rsid w:val="002A0542"/>
    <w:rsid w:val="002A055F"/>
    <w:rsid w:val="002A05E2"/>
    <w:rsid w:val="002A05FD"/>
    <w:rsid w:val="002A0755"/>
    <w:rsid w:val="002A0837"/>
    <w:rsid w:val="002A0884"/>
    <w:rsid w:val="002A088E"/>
    <w:rsid w:val="002A090E"/>
    <w:rsid w:val="002A0BB5"/>
    <w:rsid w:val="002A0C02"/>
    <w:rsid w:val="002A0E7E"/>
    <w:rsid w:val="002A0E85"/>
    <w:rsid w:val="002A0F68"/>
    <w:rsid w:val="002A151E"/>
    <w:rsid w:val="002A15CC"/>
    <w:rsid w:val="002A16B1"/>
    <w:rsid w:val="002A1863"/>
    <w:rsid w:val="002A18E0"/>
    <w:rsid w:val="002A18F8"/>
    <w:rsid w:val="002A1A55"/>
    <w:rsid w:val="002A1C50"/>
    <w:rsid w:val="002A1D4A"/>
    <w:rsid w:val="002A1DAE"/>
    <w:rsid w:val="002A1E63"/>
    <w:rsid w:val="002A209D"/>
    <w:rsid w:val="002A2143"/>
    <w:rsid w:val="002A2207"/>
    <w:rsid w:val="002A2212"/>
    <w:rsid w:val="002A238C"/>
    <w:rsid w:val="002A23EB"/>
    <w:rsid w:val="002A25E6"/>
    <w:rsid w:val="002A26C8"/>
    <w:rsid w:val="002A2A14"/>
    <w:rsid w:val="002A2A98"/>
    <w:rsid w:val="002A2BDC"/>
    <w:rsid w:val="002A2E47"/>
    <w:rsid w:val="002A2F0A"/>
    <w:rsid w:val="002A2F82"/>
    <w:rsid w:val="002A3059"/>
    <w:rsid w:val="002A3082"/>
    <w:rsid w:val="002A30A8"/>
    <w:rsid w:val="002A3247"/>
    <w:rsid w:val="002A33DD"/>
    <w:rsid w:val="002A35A3"/>
    <w:rsid w:val="002A379F"/>
    <w:rsid w:val="002A3992"/>
    <w:rsid w:val="002A39CC"/>
    <w:rsid w:val="002A39D3"/>
    <w:rsid w:val="002A3A10"/>
    <w:rsid w:val="002A3A2C"/>
    <w:rsid w:val="002A3A8C"/>
    <w:rsid w:val="002A3AB3"/>
    <w:rsid w:val="002A3B05"/>
    <w:rsid w:val="002A3C9D"/>
    <w:rsid w:val="002A3DF0"/>
    <w:rsid w:val="002A3EF3"/>
    <w:rsid w:val="002A40D7"/>
    <w:rsid w:val="002A44A6"/>
    <w:rsid w:val="002A45DF"/>
    <w:rsid w:val="002A475F"/>
    <w:rsid w:val="002A480D"/>
    <w:rsid w:val="002A490E"/>
    <w:rsid w:val="002A495D"/>
    <w:rsid w:val="002A49BB"/>
    <w:rsid w:val="002A4ABA"/>
    <w:rsid w:val="002A5137"/>
    <w:rsid w:val="002A513B"/>
    <w:rsid w:val="002A517C"/>
    <w:rsid w:val="002A519B"/>
    <w:rsid w:val="002A521F"/>
    <w:rsid w:val="002A52A5"/>
    <w:rsid w:val="002A53EF"/>
    <w:rsid w:val="002A5622"/>
    <w:rsid w:val="002A566B"/>
    <w:rsid w:val="002A5877"/>
    <w:rsid w:val="002A587D"/>
    <w:rsid w:val="002A5B46"/>
    <w:rsid w:val="002A5BA9"/>
    <w:rsid w:val="002A5BBC"/>
    <w:rsid w:val="002A5D07"/>
    <w:rsid w:val="002A5DCB"/>
    <w:rsid w:val="002A5E73"/>
    <w:rsid w:val="002A615E"/>
    <w:rsid w:val="002A61E5"/>
    <w:rsid w:val="002A6434"/>
    <w:rsid w:val="002A665A"/>
    <w:rsid w:val="002A6702"/>
    <w:rsid w:val="002A6880"/>
    <w:rsid w:val="002A6B30"/>
    <w:rsid w:val="002A6C24"/>
    <w:rsid w:val="002A6D27"/>
    <w:rsid w:val="002A6D3E"/>
    <w:rsid w:val="002A6F27"/>
    <w:rsid w:val="002A6F77"/>
    <w:rsid w:val="002A70A6"/>
    <w:rsid w:val="002A70CB"/>
    <w:rsid w:val="002A7292"/>
    <w:rsid w:val="002A736A"/>
    <w:rsid w:val="002A7395"/>
    <w:rsid w:val="002A7453"/>
    <w:rsid w:val="002A752B"/>
    <w:rsid w:val="002A781F"/>
    <w:rsid w:val="002A7A8C"/>
    <w:rsid w:val="002A7B7E"/>
    <w:rsid w:val="002A7C67"/>
    <w:rsid w:val="002A7C7B"/>
    <w:rsid w:val="002A7D55"/>
    <w:rsid w:val="002A7DA1"/>
    <w:rsid w:val="002A7E85"/>
    <w:rsid w:val="002A7EB2"/>
    <w:rsid w:val="002A7EE2"/>
    <w:rsid w:val="002B000F"/>
    <w:rsid w:val="002B035C"/>
    <w:rsid w:val="002B03B0"/>
    <w:rsid w:val="002B0473"/>
    <w:rsid w:val="002B05CE"/>
    <w:rsid w:val="002B0654"/>
    <w:rsid w:val="002B0671"/>
    <w:rsid w:val="002B0808"/>
    <w:rsid w:val="002B08D1"/>
    <w:rsid w:val="002B0BB7"/>
    <w:rsid w:val="002B0BBE"/>
    <w:rsid w:val="002B0C72"/>
    <w:rsid w:val="002B0D42"/>
    <w:rsid w:val="002B0DE9"/>
    <w:rsid w:val="002B0E9B"/>
    <w:rsid w:val="002B109B"/>
    <w:rsid w:val="002B10C3"/>
    <w:rsid w:val="002B10D2"/>
    <w:rsid w:val="002B1214"/>
    <w:rsid w:val="002B12DC"/>
    <w:rsid w:val="002B1422"/>
    <w:rsid w:val="002B1489"/>
    <w:rsid w:val="002B14E9"/>
    <w:rsid w:val="002B1532"/>
    <w:rsid w:val="002B1586"/>
    <w:rsid w:val="002B16A7"/>
    <w:rsid w:val="002B18E8"/>
    <w:rsid w:val="002B1BEF"/>
    <w:rsid w:val="002B1BF9"/>
    <w:rsid w:val="002B1CD1"/>
    <w:rsid w:val="002B1D44"/>
    <w:rsid w:val="002B1DF1"/>
    <w:rsid w:val="002B1EBC"/>
    <w:rsid w:val="002B1EBF"/>
    <w:rsid w:val="002B2044"/>
    <w:rsid w:val="002B21D5"/>
    <w:rsid w:val="002B21DE"/>
    <w:rsid w:val="002B22B5"/>
    <w:rsid w:val="002B22CA"/>
    <w:rsid w:val="002B2361"/>
    <w:rsid w:val="002B2451"/>
    <w:rsid w:val="002B27A1"/>
    <w:rsid w:val="002B28F0"/>
    <w:rsid w:val="002B2A49"/>
    <w:rsid w:val="002B2AA4"/>
    <w:rsid w:val="002B2B5A"/>
    <w:rsid w:val="002B2BE3"/>
    <w:rsid w:val="002B2C01"/>
    <w:rsid w:val="002B2D32"/>
    <w:rsid w:val="002B2DAB"/>
    <w:rsid w:val="002B2FD6"/>
    <w:rsid w:val="002B3041"/>
    <w:rsid w:val="002B30F8"/>
    <w:rsid w:val="002B320E"/>
    <w:rsid w:val="002B324F"/>
    <w:rsid w:val="002B32D4"/>
    <w:rsid w:val="002B3625"/>
    <w:rsid w:val="002B38E9"/>
    <w:rsid w:val="002B39AB"/>
    <w:rsid w:val="002B39F2"/>
    <w:rsid w:val="002B39F4"/>
    <w:rsid w:val="002B3B93"/>
    <w:rsid w:val="002B3BBB"/>
    <w:rsid w:val="002B3DE0"/>
    <w:rsid w:val="002B3EC1"/>
    <w:rsid w:val="002B401B"/>
    <w:rsid w:val="002B4042"/>
    <w:rsid w:val="002B404B"/>
    <w:rsid w:val="002B40CF"/>
    <w:rsid w:val="002B4104"/>
    <w:rsid w:val="002B41AF"/>
    <w:rsid w:val="002B41EB"/>
    <w:rsid w:val="002B4458"/>
    <w:rsid w:val="002B4541"/>
    <w:rsid w:val="002B45D0"/>
    <w:rsid w:val="002B4626"/>
    <w:rsid w:val="002B494E"/>
    <w:rsid w:val="002B4986"/>
    <w:rsid w:val="002B4988"/>
    <w:rsid w:val="002B49B9"/>
    <w:rsid w:val="002B4E7A"/>
    <w:rsid w:val="002B5045"/>
    <w:rsid w:val="002B5097"/>
    <w:rsid w:val="002B5339"/>
    <w:rsid w:val="002B53C8"/>
    <w:rsid w:val="002B545D"/>
    <w:rsid w:val="002B548A"/>
    <w:rsid w:val="002B5567"/>
    <w:rsid w:val="002B5576"/>
    <w:rsid w:val="002B5614"/>
    <w:rsid w:val="002B5C2F"/>
    <w:rsid w:val="002B5DAA"/>
    <w:rsid w:val="002B5E5B"/>
    <w:rsid w:val="002B5F5A"/>
    <w:rsid w:val="002B60B3"/>
    <w:rsid w:val="002B61E3"/>
    <w:rsid w:val="002B621C"/>
    <w:rsid w:val="002B62C7"/>
    <w:rsid w:val="002B6330"/>
    <w:rsid w:val="002B659F"/>
    <w:rsid w:val="002B6741"/>
    <w:rsid w:val="002B6827"/>
    <w:rsid w:val="002B6A35"/>
    <w:rsid w:val="002B6AEA"/>
    <w:rsid w:val="002B6AF8"/>
    <w:rsid w:val="002B6C68"/>
    <w:rsid w:val="002B70C2"/>
    <w:rsid w:val="002B7247"/>
    <w:rsid w:val="002B72AE"/>
    <w:rsid w:val="002B72D2"/>
    <w:rsid w:val="002B7349"/>
    <w:rsid w:val="002B7379"/>
    <w:rsid w:val="002B739D"/>
    <w:rsid w:val="002B740C"/>
    <w:rsid w:val="002B7456"/>
    <w:rsid w:val="002B74BD"/>
    <w:rsid w:val="002B74C5"/>
    <w:rsid w:val="002B7664"/>
    <w:rsid w:val="002B778D"/>
    <w:rsid w:val="002B7976"/>
    <w:rsid w:val="002B79B1"/>
    <w:rsid w:val="002B7B25"/>
    <w:rsid w:val="002B7BB1"/>
    <w:rsid w:val="002B7C90"/>
    <w:rsid w:val="002B7D78"/>
    <w:rsid w:val="002B7FF0"/>
    <w:rsid w:val="002C007C"/>
    <w:rsid w:val="002C04B7"/>
    <w:rsid w:val="002C05BC"/>
    <w:rsid w:val="002C064B"/>
    <w:rsid w:val="002C099F"/>
    <w:rsid w:val="002C0A11"/>
    <w:rsid w:val="002C0B0E"/>
    <w:rsid w:val="002C0BC7"/>
    <w:rsid w:val="002C0DCA"/>
    <w:rsid w:val="002C0DF6"/>
    <w:rsid w:val="002C0FF4"/>
    <w:rsid w:val="002C111F"/>
    <w:rsid w:val="002C123B"/>
    <w:rsid w:val="002C12D3"/>
    <w:rsid w:val="002C14DC"/>
    <w:rsid w:val="002C156D"/>
    <w:rsid w:val="002C15FC"/>
    <w:rsid w:val="002C16B5"/>
    <w:rsid w:val="002C16FA"/>
    <w:rsid w:val="002C1737"/>
    <w:rsid w:val="002C1807"/>
    <w:rsid w:val="002C1808"/>
    <w:rsid w:val="002C1F23"/>
    <w:rsid w:val="002C2195"/>
    <w:rsid w:val="002C23A2"/>
    <w:rsid w:val="002C243E"/>
    <w:rsid w:val="002C2572"/>
    <w:rsid w:val="002C25CC"/>
    <w:rsid w:val="002C2B23"/>
    <w:rsid w:val="002C2DAE"/>
    <w:rsid w:val="002C2DDD"/>
    <w:rsid w:val="002C2EEB"/>
    <w:rsid w:val="002C2F7D"/>
    <w:rsid w:val="002C3051"/>
    <w:rsid w:val="002C30DC"/>
    <w:rsid w:val="002C325C"/>
    <w:rsid w:val="002C3266"/>
    <w:rsid w:val="002C3342"/>
    <w:rsid w:val="002C344D"/>
    <w:rsid w:val="002C3BA7"/>
    <w:rsid w:val="002C3DA9"/>
    <w:rsid w:val="002C4057"/>
    <w:rsid w:val="002C4115"/>
    <w:rsid w:val="002C41EB"/>
    <w:rsid w:val="002C435D"/>
    <w:rsid w:val="002C43E6"/>
    <w:rsid w:val="002C4727"/>
    <w:rsid w:val="002C4784"/>
    <w:rsid w:val="002C478D"/>
    <w:rsid w:val="002C488B"/>
    <w:rsid w:val="002C49A1"/>
    <w:rsid w:val="002C49BD"/>
    <w:rsid w:val="002C4A3A"/>
    <w:rsid w:val="002C4A67"/>
    <w:rsid w:val="002C4CCE"/>
    <w:rsid w:val="002C4E12"/>
    <w:rsid w:val="002C4F6B"/>
    <w:rsid w:val="002C51E0"/>
    <w:rsid w:val="002C5207"/>
    <w:rsid w:val="002C5271"/>
    <w:rsid w:val="002C52DA"/>
    <w:rsid w:val="002C53B1"/>
    <w:rsid w:val="002C53FC"/>
    <w:rsid w:val="002C55DE"/>
    <w:rsid w:val="002C55EB"/>
    <w:rsid w:val="002C56B2"/>
    <w:rsid w:val="002C5739"/>
    <w:rsid w:val="002C57F0"/>
    <w:rsid w:val="002C58A5"/>
    <w:rsid w:val="002C5AE9"/>
    <w:rsid w:val="002C5BE9"/>
    <w:rsid w:val="002C5C2C"/>
    <w:rsid w:val="002C5E03"/>
    <w:rsid w:val="002C5F84"/>
    <w:rsid w:val="002C62C3"/>
    <w:rsid w:val="002C63AD"/>
    <w:rsid w:val="002C640F"/>
    <w:rsid w:val="002C65FF"/>
    <w:rsid w:val="002C6675"/>
    <w:rsid w:val="002C6827"/>
    <w:rsid w:val="002C6A18"/>
    <w:rsid w:val="002C6AA5"/>
    <w:rsid w:val="002C6B28"/>
    <w:rsid w:val="002C6B5B"/>
    <w:rsid w:val="002C6C31"/>
    <w:rsid w:val="002C6D80"/>
    <w:rsid w:val="002C6DE6"/>
    <w:rsid w:val="002C6F3D"/>
    <w:rsid w:val="002C70C9"/>
    <w:rsid w:val="002C70D1"/>
    <w:rsid w:val="002C70DB"/>
    <w:rsid w:val="002C7382"/>
    <w:rsid w:val="002C74CB"/>
    <w:rsid w:val="002C7514"/>
    <w:rsid w:val="002C760A"/>
    <w:rsid w:val="002C774A"/>
    <w:rsid w:val="002C7803"/>
    <w:rsid w:val="002C7947"/>
    <w:rsid w:val="002C7A4B"/>
    <w:rsid w:val="002C7A60"/>
    <w:rsid w:val="002C7A85"/>
    <w:rsid w:val="002C7D26"/>
    <w:rsid w:val="002C7D99"/>
    <w:rsid w:val="002C7E16"/>
    <w:rsid w:val="002C7ECC"/>
    <w:rsid w:val="002C7FDA"/>
    <w:rsid w:val="002CE3BE"/>
    <w:rsid w:val="002D00FE"/>
    <w:rsid w:val="002D0201"/>
    <w:rsid w:val="002D04C0"/>
    <w:rsid w:val="002D068D"/>
    <w:rsid w:val="002D0788"/>
    <w:rsid w:val="002D0853"/>
    <w:rsid w:val="002D0961"/>
    <w:rsid w:val="002D097B"/>
    <w:rsid w:val="002D0AC7"/>
    <w:rsid w:val="002D0B7B"/>
    <w:rsid w:val="002D0B9E"/>
    <w:rsid w:val="002D0C63"/>
    <w:rsid w:val="002D0DC6"/>
    <w:rsid w:val="002D0E6D"/>
    <w:rsid w:val="002D0E89"/>
    <w:rsid w:val="002D0F0E"/>
    <w:rsid w:val="002D1283"/>
    <w:rsid w:val="002D13F6"/>
    <w:rsid w:val="002D148C"/>
    <w:rsid w:val="002D165D"/>
    <w:rsid w:val="002D1786"/>
    <w:rsid w:val="002D178D"/>
    <w:rsid w:val="002D1B67"/>
    <w:rsid w:val="002D1B8A"/>
    <w:rsid w:val="002D1BF7"/>
    <w:rsid w:val="002D200C"/>
    <w:rsid w:val="002D21D3"/>
    <w:rsid w:val="002D220B"/>
    <w:rsid w:val="002D224D"/>
    <w:rsid w:val="002D2260"/>
    <w:rsid w:val="002D2276"/>
    <w:rsid w:val="002D22D2"/>
    <w:rsid w:val="002D2373"/>
    <w:rsid w:val="002D23A3"/>
    <w:rsid w:val="002D23F5"/>
    <w:rsid w:val="002D2475"/>
    <w:rsid w:val="002D2574"/>
    <w:rsid w:val="002D2596"/>
    <w:rsid w:val="002D25FB"/>
    <w:rsid w:val="002D26EF"/>
    <w:rsid w:val="002D279D"/>
    <w:rsid w:val="002D29BE"/>
    <w:rsid w:val="002D29CB"/>
    <w:rsid w:val="002D2AA3"/>
    <w:rsid w:val="002D2AB3"/>
    <w:rsid w:val="002D2B6A"/>
    <w:rsid w:val="002D2BA3"/>
    <w:rsid w:val="002D2BB2"/>
    <w:rsid w:val="002D2D9A"/>
    <w:rsid w:val="002D2DB8"/>
    <w:rsid w:val="002D2FE8"/>
    <w:rsid w:val="002D3311"/>
    <w:rsid w:val="002D3750"/>
    <w:rsid w:val="002D3820"/>
    <w:rsid w:val="002D43E3"/>
    <w:rsid w:val="002D4529"/>
    <w:rsid w:val="002D45F2"/>
    <w:rsid w:val="002D46E5"/>
    <w:rsid w:val="002D4799"/>
    <w:rsid w:val="002D484B"/>
    <w:rsid w:val="002D4876"/>
    <w:rsid w:val="002D48EA"/>
    <w:rsid w:val="002D4A5B"/>
    <w:rsid w:val="002D4A8E"/>
    <w:rsid w:val="002D4CE3"/>
    <w:rsid w:val="002D4CF3"/>
    <w:rsid w:val="002D4D10"/>
    <w:rsid w:val="002D4E16"/>
    <w:rsid w:val="002D4FE1"/>
    <w:rsid w:val="002D5023"/>
    <w:rsid w:val="002D5125"/>
    <w:rsid w:val="002D5245"/>
    <w:rsid w:val="002D52C6"/>
    <w:rsid w:val="002D5450"/>
    <w:rsid w:val="002D54D7"/>
    <w:rsid w:val="002D5506"/>
    <w:rsid w:val="002D5544"/>
    <w:rsid w:val="002D5700"/>
    <w:rsid w:val="002D57DF"/>
    <w:rsid w:val="002D583B"/>
    <w:rsid w:val="002D584E"/>
    <w:rsid w:val="002D5852"/>
    <w:rsid w:val="002D5968"/>
    <w:rsid w:val="002D59A8"/>
    <w:rsid w:val="002D5C52"/>
    <w:rsid w:val="002D5C88"/>
    <w:rsid w:val="002D5DDD"/>
    <w:rsid w:val="002D5E05"/>
    <w:rsid w:val="002D5E57"/>
    <w:rsid w:val="002D5F3C"/>
    <w:rsid w:val="002D5F8B"/>
    <w:rsid w:val="002D5F98"/>
    <w:rsid w:val="002D6282"/>
    <w:rsid w:val="002D637D"/>
    <w:rsid w:val="002D664C"/>
    <w:rsid w:val="002D668B"/>
    <w:rsid w:val="002D676F"/>
    <w:rsid w:val="002D6843"/>
    <w:rsid w:val="002D6CE4"/>
    <w:rsid w:val="002D6F74"/>
    <w:rsid w:val="002D74AB"/>
    <w:rsid w:val="002D7534"/>
    <w:rsid w:val="002D75DD"/>
    <w:rsid w:val="002D7686"/>
    <w:rsid w:val="002D76A0"/>
    <w:rsid w:val="002D76D0"/>
    <w:rsid w:val="002D7797"/>
    <w:rsid w:val="002D7976"/>
    <w:rsid w:val="002D79EC"/>
    <w:rsid w:val="002D7A51"/>
    <w:rsid w:val="002D7A8B"/>
    <w:rsid w:val="002D7B8B"/>
    <w:rsid w:val="002D7C36"/>
    <w:rsid w:val="002D7DE7"/>
    <w:rsid w:val="002D7E86"/>
    <w:rsid w:val="002D7EC6"/>
    <w:rsid w:val="002E006D"/>
    <w:rsid w:val="002E009C"/>
    <w:rsid w:val="002E0167"/>
    <w:rsid w:val="002E02A9"/>
    <w:rsid w:val="002E05B4"/>
    <w:rsid w:val="002E05E3"/>
    <w:rsid w:val="002E07D2"/>
    <w:rsid w:val="002E0839"/>
    <w:rsid w:val="002E087B"/>
    <w:rsid w:val="002E095C"/>
    <w:rsid w:val="002E095E"/>
    <w:rsid w:val="002E098F"/>
    <w:rsid w:val="002E0A6C"/>
    <w:rsid w:val="002E0AE3"/>
    <w:rsid w:val="002E0B72"/>
    <w:rsid w:val="002E0B7C"/>
    <w:rsid w:val="002E0CB1"/>
    <w:rsid w:val="002E0D2B"/>
    <w:rsid w:val="002E1080"/>
    <w:rsid w:val="002E1137"/>
    <w:rsid w:val="002E1149"/>
    <w:rsid w:val="002E13F5"/>
    <w:rsid w:val="002E15AF"/>
    <w:rsid w:val="002E15D3"/>
    <w:rsid w:val="002E1A2C"/>
    <w:rsid w:val="002E1B33"/>
    <w:rsid w:val="002E1BE7"/>
    <w:rsid w:val="002E1C5D"/>
    <w:rsid w:val="002E1D50"/>
    <w:rsid w:val="002E1D96"/>
    <w:rsid w:val="002E1E70"/>
    <w:rsid w:val="002E1EBA"/>
    <w:rsid w:val="002E2046"/>
    <w:rsid w:val="002E21D8"/>
    <w:rsid w:val="002E2206"/>
    <w:rsid w:val="002E24AD"/>
    <w:rsid w:val="002E25E2"/>
    <w:rsid w:val="002E2634"/>
    <w:rsid w:val="002E27C7"/>
    <w:rsid w:val="002E27DB"/>
    <w:rsid w:val="002E2B9E"/>
    <w:rsid w:val="002E2C9F"/>
    <w:rsid w:val="002E2DA6"/>
    <w:rsid w:val="002E2E05"/>
    <w:rsid w:val="002E2E16"/>
    <w:rsid w:val="002E2FAA"/>
    <w:rsid w:val="002E30E6"/>
    <w:rsid w:val="002E3179"/>
    <w:rsid w:val="002E3312"/>
    <w:rsid w:val="002E3441"/>
    <w:rsid w:val="002E34DE"/>
    <w:rsid w:val="002E34E2"/>
    <w:rsid w:val="002E3587"/>
    <w:rsid w:val="002E3684"/>
    <w:rsid w:val="002E37D4"/>
    <w:rsid w:val="002E3987"/>
    <w:rsid w:val="002E3CDE"/>
    <w:rsid w:val="002E3DD3"/>
    <w:rsid w:val="002E411F"/>
    <w:rsid w:val="002E43C7"/>
    <w:rsid w:val="002E44EC"/>
    <w:rsid w:val="002E45AF"/>
    <w:rsid w:val="002E4614"/>
    <w:rsid w:val="002E466C"/>
    <w:rsid w:val="002E47FB"/>
    <w:rsid w:val="002E48D2"/>
    <w:rsid w:val="002E49AD"/>
    <w:rsid w:val="002E4A0F"/>
    <w:rsid w:val="002E4AE4"/>
    <w:rsid w:val="002E4C61"/>
    <w:rsid w:val="002E4CF1"/>
    <w:rsid w:val="002E4EB2"/>
    <w:rsid w:val="002E4F81"/>
    <w:rsid w:val="002E4FFD"/>
    <w:rsid w:val="002E503B"/>
    <w:rsid w:val="002E505F"/>
    <w:rsid w:val="002E5159"/>
    <w:rsid w:val="002E5277"/>
    <w:rsid w:val="002E52BD"/>
    <w:rsid w:val="002E5346"/>
    <w:rsid w:val="002E57BB"/>
    <w:rsid w:val="002E5A7B"/>
    <w:rsid w:val="002E5AFC"/>
    <w:rsid w:val="002E600C"/>
    <w:rsid w:val="002E60FC"/>
    <w:rsid w:val="002E610B"/>
    <w:rsid w:val="002E6169"/>
    <w:rsid w:val="002E616A"/>
    <w:rsid w:val="002E6301"/>
    <w:rsid w:val="002E6382"/>
    <w:rsid w:val="002E6437"/>
    <w:rsid w:val="002E6538"/>
    <w:rsid w:val="002E659D"/>
    <w:rsid w:val="002E68A8"/>
    <w:rsid w:val="002E68A9"/>
    <w:rsid w:val="002E698A"/>
    <w:rsid w:val="002E6A9E"/>
    <w:rsid w:val="002E6F09"/>
    <w:rsid w:val="002E6F12"/>
    <w:rsid w:val="002E708E"/>
    <w:rsid w:val="002E70FD"/>
    <w:rsid w:val="002E739D"/>
    <w:rsid w:val="002E746C"/>
    <w:rsid w:val="002E75D4"/>
    <w:rsid w:val="002E7784"/>
    <w:rsid w:val="002E77F7"/>
    <w:rsid w:val="002E77FE"/>
    <w:rsid w:val="002E7872"/>
    <w:rsid w:val="002E78C8"/>
    <w:rsid w:val="002E790F"/>
    <w:rsid w:val="002E796F"/>
    <w:rsid w:val="002E7985"/>
    <w:rsid w:val="002E79CE"/>
    <w:rsid w:val="002E7B82"/>
    <w:rsid w:val="002E7CD7"/>
    <w:rsid w:val="002E7E58"/>
    <w:rsid w:val="002E9DF0"/>
    <w:rsid w:val="002F001F"/>
    <w:rsid w:val="002F05B8"/>
    <w:rsid w:val="002F0627"/>
    <w:rsid w:val="002F08F0"/>
    <w:rsid w:val="002F0A14"/>
    <w:rsid w:val="002F0B7A"/>
    <w:rsid w:val="002F0CB3"/>
    <w:rsid w:val="002F0D3C"/>
    <w:rsid w:val="002F0F9E"/>
    <w:rsid w:val="002F10F4"/>
    <w:rsid w:val="002F1175"/>
    <w:rsid w:val="002F1352"/>
    <w:rsid w:val="002F14B0"/>
    <w:rsid w:val="002F17CB"/>
    <w:rsid w:val="002F1929"/>
    <w:rsid w:val="002F1A06"/>
    <w:rsid w:val="002F1AFD"/>
    <w:rsid w:val="002F1B1B"/>
    <w:rsid w:val="002F1CD7"/>
    <w:rsid w:val="002F1D1B"/>
    <w:rsid w:val="002F1E0D"/>
    <w:rsid w:val="002F1E51"/>
    <w:rsid w:val="002F1EBE"/>
    <w:rsid w:val="002F1EDF"/>
    <w:rsid w:val="002F2163"/>
    <w:rsid w:val="002F2244"/>
    <w:rsid w:val="002F2290"/>
    <w:rsid w:val="002F2744"/>
    <w:rsid w:val="002F27F9"/>
    <w:rsid w:val="002F2869"/>
    <w:rsid w:val="002F2B26"/>
    <w:rsid w:val="002F2D52"/>
    <w:rsid w:val="002F2D8F"/>
    <w:rsid w:val="002F2E06"/>
    <w:rsid w:val="002F2E18"/>
    <w:rsid w:val="002F2E81"/>
    <w:rsid w:val="002F2ED3"/>
    <w:rsid w:val="002F30E7"/>
    <w:rsid w:val="002F3195"/>
    <w:rsid w:val="002F33C8"/>
    <w:rsid w:val="002F3883"/>
    <w:rsid w:val="002F395B"/>
    <w:rsid w:val="002F3C99"/>
    <w:rsid w:val="002F3D0C"/>
    <w:rsid w:val="002F3FC8"/>
    <w:rsid w:val="002F4072"/>
    <w:rsid w:val="002F4111"/>
    <w:rsid w:val="002F415D"/>
    <w:rsid w:val="002F41C9"/>
    <w:rsid w:val="002F4253"/>
    <w:rsid w:val="002F455A"/>
    <w:rsid w:val="002F46EF"/>
    <w:rsid w:val="002F4778"/>
    <w:rsid w:val="002F49A9"/>
    <w:rsid w:val="002F4A82"/>
    <w:rsid w:val="002F4AB5"/>
    <w:rsid w:val="002F4BFC"/>
    <w:rsid w:val="002F4CC4"/>
    <w:rsid w:val="002F4DEC"/>
    <w:rsid w:val="002F4FED"/>
    <w:rsid w:val="002F513E"/>
    <w:rsid w:val="002F5191"/>
    <w:rsid w:val="002F52CD"/>
    <w:rsid w:val="002F52E5"/>
    <w:rsid w:val="002F5391"/>
    <w:rsid w:val="002F53EB"/>
    <w:rsid w:val="002F5556"/>
    <w:rsid w:val="002F55DF"/>
    <w:rsid w:val="002F55EA"/>
    <w:rsid w:val="002F5693"/>
    <w:rsid w:val="002F5826"/>
    <w:rsid w:val="002F5A6E"/>
    <w:rsid w:val="002F5AD0"/>
    <w:rsid w:val="002F5C04"/>
    <w:rsid w:val="002F5D62"/>
    <w:rsid w:val="002F5D8E"/>
    <w:rsid w:val="002F6313"/>
    <w:rsid w:val="002F633B"/>
    <w:rsid w:val="002F63A8"/>
    <w:rsid w:val="002F6481"/>
    <w:rsid w:val="002F6659"/>
    <w:rsid w:val="002F6780"/>
    <w:rsid w:val="002F6914"/>
    <w:rsid w:val="002F6918"/>
    <w:rsid w:val="002F69CD"/>
    <w:rsid w:val="002F69DA"/>
    <w:rsid w:val="002F6CA6"/>
    <w:rsid w:val="002F6D1F"/>
    <w:rsid w:val="002F6D51"/>
    <w:rsid w:val="002F6E69"/>
    <w:rsid w:val="002F71FC"/>
    <w:rsid w:val="002F7477"/>
    <w:rsid w:val="002F74F3"/>
    <w:rsid w:val="002F77B3"/>
    <w:rsid w:val="002F78DB"/>
    <w:rsid w:val="002F78E4"/>
    <w:rsid w:val="002F79AD"/>
    <w:rsid w:val="002F7B73"/>
    <w:rsid w:val="002F7BC1"/>
    <w:rsid w:val="002F7BCE"/>
    <w:rsid w:val="002F7C0A"/>
    <w:rsid w:val="002F7CFC"/>
    <w:rsid w:val="003001D4"/>
    <w:rsid w:val="00300473"/>
    <w:rsid w:val="00300629"/>
    <w:rsid w:val="0030073B"/>
    <w:rsid w:val="00300779"/>
    <w:rsid w:val="0030088D"/>
    <w:rsid w:val="003008D7"/>
    <w:rsid w:val="00300A2E"/>
    <w:rsid w:val="00300A5C"/>
    <w:rsid w:val="00300A72"/>
    <w:rsid w:val="00300EC2"/>
    <w:rsid w:val="00301174"/>
    <w:rsid w:val="003011A2"/>
    <w:rsid w:val="00301239"/>
    <w:rsid w:val="00301382"/>
    <w:rsid w:val="0030145C"/>
    <w:rsid w:val="00301486"/>
    <w:rsid w:val="00301495"/>
    <w:rsid w:val="00301577"/>
    <w:rsid w:val="00301622"/>
    <w:rsid w:val="0030166F"/>
    <w:rsid w:val="0030173E"/>
    <w:rsid w:val="00301AB4"/>
    <w:rsid w:val="00301B75"/>
    <w:rsid w:val="00301D1F"/>
    <w:rsid w:val="00301DD8"/>
    <w:rsid w:val="00301DF0"/>
    <w:rsid w:val="00301FDD"/>
    <w:rsid w:val="00302196"/>
    <w:rsid w:val="003022FA"/>
    <w:rsid w:val="0030231D"/>
    <w:rsid w:val="0030232A"/>
    <w:rsid w:val="0030232B"/>
    <w:rsid w:val="00302356"/>
    <w:rsid w:val="00302398"/>
    <w:rsid w:val="003025DB"/>
    <w:rsid w:val="0030269B"/>
    <w:rsid w:val="00302711"/>
    <w:rsid w:val="00302A4E"/>
    <w:rsid w:val="00302B28"/>
    <w:rsid w:val="00302B70"/>
    <w:rsid w:val="00302CD6"/>
    <w:rsid w:val="00302DD0"/>
    <w:rsid w:val="00302FCE"/>
    <w:rsid w:val="00303034"/>
    <w:rsid w:val="00303057"/>
    <w:rsid w:val="003030F1"/>
    <w:rsid w:val="00303126"/>
    <w:rsid w:val="00303145"/>
    <w:rsid w:val="0030327A"/>
    <w:rsid w:val="003032AD"/>
    <w:rsid w:val="003032F6"/>
    <w:rsid w:val="003032F8"/>
    <w:rsid w:val="0030346D"/>
    <w:rsid w:val="003036DC"/>
    <w:rsid w:val="0030399D"/>
    <w:rsid w:val="003039EF"/>
    <w:rsid w:val="00303A9E"/>
    <w:rsid w:val="00303B4E"/>
    <w:rsid w:val="00303E54"/>
    <w:rsid w:val="00303E6B"/>
    <w:rsid w:val="00304008"/>
    <w:rsid w:val="00304067"/>
    <w:rsid w:val="003040FF"/>
    <w:rsid w:val="003044EC"/>
    <w:rsid w:val="00304574"/>
    <w:rsid w:val="00304764"/>
    <w:rsid w:val="00304875"/>
    <w:rsid w:val="00304958"/>
    <w:rsid w:val="00304991"/>
    <w:rsid w:val="00304AAE"/>
    <w:rsid w:val="00304CA5"/>
    <w:rsid w:val="0030530B"/>
    <w:rsid w:val="00305472"/>
    <w:rsid w:val="003054EF"/>
    <w:rsid w:val="0030566A"/>
    <w:rsid w:val="00305796"/>
    <w:rsid w:val="003057DD"/>
    <w:rsid w:val="003059AB"/>
    <w:rsid w:val="00305C06"/>
    <w:rsid w:val="00305C29"/>
    <w:rsid w:val="00305D8D"/>
    <w:rsid w:val="00305DC0"/>
    <w:rsid w:val="00305DDE"/>
    <w:rsid w:val="00305F78"/>
    <w:rsid w:val="003060FA"/>
    <w:rsid w:val="00306126"/>
    <w:rsid w:val="00306341"/>
    <w:rsid w:val="00306406"/>
    <w:rsid w:val="00306412"/>
    <w:rsid w:val="0030646E"/>
    <w:rsid w:val="003064F2"/>
    <w:rsid w:val="0030652A"/>
    <w:rsid w:val="00306567"/>
    <w:rsid w:val="003065E4"/>
    <w:rsid w:val="0030662A"/>
    <w:rsid w:val="00306776"/>
    <w:rsid w:val="00306AA1"/>
    <w:rsid w:val="00306C2A"/>
    <w:rsid w:val="00306CE6"/>
    <w:rsid w:val="00306FD5"/>
    <w:rsid w:val="00307118"/>
    <w:rsid w:val="0030715D"/>
    <w:rsid w:val="003071F5"/>
    <w:rsid w:val="003073BE"/>
    <w:rsid w:val="003074C3"/>
    <w:rsid w:val="0030760A"/>
    <w:rsid w:val="0030769C"/>
    <w:rsid w:val="00307799"/>
    <w:rsid w:val="00307838"/>
    <w:rsid w:val="003078E0"/>
    <w:rsid w:val="00307B35"/>
    <w:rsid w:val="00307F8D"/>
    <w:rsid w:val="0030CAED"/>
    <w:rsid w:val="003101A3"/>
    <w:rsid w:val="003101C9"/>
    <w:rsid w:val="0031038B"/>
    <w:rsid w:val="00310434"/>
    <w:rsid w:val="0031077C"/>
    <w:rsid w:val="003107EF"/>
    <w:rsid w:val="0031084F"/>
    <w:rsid w:val="00310B01"/>
    <w:rsid w:val="00310BB4"/>
    <w:rsid w:val="00310CEA"/>
    <w:rsid w:val="00310E37"/>
    <w:rsid w:val="00310EC0"/>
    <w:rsid w:val="00310F22"/>
    <w:rsid w:val="00310F9B"/>
    <w:rsid w:val="00310FB4"/>
    <w:rsid w:val="00310FBF"/>
    <w:rsid w:val="00310FDF"/>
    <w:rsid w:val="0031125C"/>
    <w:rsid w:val="0031125F"/>
    <w:rsid w:val="00311267"/>
    <w:rsid w:val="003112E6"/>
    <w:rsid w:val="00311325"/>
    <w:rsid w:val="0031142A"/>
    <w:rsid w:val="003114E1"/>
    <w:rsid w:val="0031151D"/>
    <w:rsid w:val="00311592"/>
    <w:rsid w:val="00311718"/>
    <w:rsid w:val="003117A4"/>
    <w:rsid w:val="003117D9"/>
    <w:rsid w:val="00311864"/>
    <w:rsid w:val="00311C2C"/>
    <w:rsid w:val="00311C4C"/>
    <w:rsid w:val="00311C71"/>
    <w:rsid w:val="00311E95"/>
    <w:rsid w:val="00311F88"/>
    <w:rsid w:val="00311FD2"/>
    <w:rsid w:val="00312131"/>
    <w:rsid w:val="003121D9"/>
    <w:rsid w:val="003122DE"/>
    <w:rsid w:val="0031275F"/>
    <w:rsid w:val="003127B1"/>
    <w:rsid w:val="003129D4"/>
    <w:rsid w:val="00312AAA"/>
    <w:rsid w:val="00312BEC"/>
    <w:rsid w:val="00312C84"/>
    <w:rsid w:val="00312DF9"/>
    <w:rsid w:val="00312F7B"/>
    <w:rsid w:val="00312FC6"/>
    <w:rsid w:val="003130A3"/>
    <w:rsid w:val="0031314B"/>
    <w:rsid w:val="00313241"/>
    <w:rsid w:val="0031331B"/>
    <w:rsid w:val="003134AB"/>
    <w:rsid w:val="003135FF"/>
    <w:rsid w:val="00313867"/>
    <w:rsid w:val="003139A3"/>
    <w:rsid w:val="00313A16"/>
    <w:rsid w:val="00313A1C"/>
    <w:rsid w:val="00313B0A"/>
    <w:rsid w:val="00313C1E"/>
    <w:rsid w:val="00314014"/>
    <w:rsid w:val="00314149"/>
    <w:rsid w:val="003141BD"/>
    <w:rsid w:val="003143A1"/>
    <w:rsid w:val="00314418"/>
    <w:rsid w:val="00314543"/>
    <w:rsid w:val="0031455D"/>
    <w:rsid w:val="00314729"/>
    <w:rsid w:val="0031472B"/>
    <w:rsid w:val="0031473A"/>
    <w:rsid w:val="003148CD"/>
    <w:rsid w:val="00314B17"/>
    <w:rsid w:val="00314D42"/>
    <w:rsid w:val="00314FAF"/>
    <w:rsid w:val="0031508B"/>
    <w:rsid w:val="003153AB"/>
    <w:rsid w:val="0031545A"/>
    <w:rsid w:val="003156B5"/>
    <w:rsid w:val="0031571F"/>
    <w:rsid w:val="00315768"/>
    <w:rsid w:val="00315796"/>
    <w:rsid w:val="00315875"/>
    <w:rsid w:val="00315893"/>
    <w:rsid w:val="003158E9"/>
    <w:rsid w:val="003159B3"/>
    <w:rsid w:val="00315A1C"/>
    <w:rsid w:val="00315A65"/>
    <w:rsid w:val="00315AA8"/>
    <w:rsid w:val="00315C12"/>
    <w:rsid w:val="00315D78"/>
    <w:rsid w:val="00315DB8"/>
    <w:rsid w:val="00315DF4"/>
    <w:rsid w:val="00316014"/>
    <w:rsid w:val="00316083"/>
    <w:rsid w:val="0031662D"/>
    <w:rsid w:val="0031665A"/>
    <w:rsid w:val="003166C0"/>
    <w:rsid w:val="00316871"/>
    <w:rsid w:val="003169FD"/>
    <w:rsid w:val="00316A32"/>
    <w:rsid w:val="00317244"/>
    <w:rsid w:val="0031725A"/>
    <w:rsid w:val="0031742D"/>
    <w:rsid w:val="003174E6"/>
    <w:rsid w:val="0031750C"/>
    <w:rsid w:val="00317556"/>
    <w:rsid w:val="003176D1"/>
    <w:rsid w:val="00317706"/>
    <w:rsid w:val="003178CD"/>
    <w:rsid w:val="003178F8"/>
    <w:rsid w:val="00317BA0"/>
    <w:rsid w:val="00317BD5"/>
    <w:rsid w:val="00317C28"/>
    <w:rsid w:val="00317DE8"/>
    <w:rsid w:val="00317E7A"/>
    <w:rsid w:val="00317FBD"/>
    <w:rsid w:val="00317FC3"/>
    <w:rsid w:val="00320493"/>
    <w:rsid w:val="003205BD"/>
    <w:rsid w:val="0032063E"/>
    <w:rsid w:val="003206C2"/>
    <w:rsid w:val="00320709"/>
    <w:rsid w:val="003207E3"/>
    <w:rsid w:val="00320937"/>
    <w:rsid w:val="00320E4E"/>
    <w:rsid w:val="00320E96"/>
    <w:rsid w:val="00320F07"/>
    <w:rsid w:val="0032130E"/>
    <w:rsid w:val="00321753"/>
    <w:rsid w:val="00321819"/>
    <w:rsid w:val="0032192D"/>
    <w:rsid w:val="00321A38"/>
    <w:rsid w:val="00321B24"/>
    <w:rsid w:val="00321BF3"/>
    <w:rsid w:val="00321CFF"/>
    <w:rsid w:val="00321D54"/>
    <w:rsid w:val="00321EBE"/>
    <w:rsid w:val="00321F3D"/>
    <w:rsid w:val="00322150"/>
    <w:rsid w:val="0032219A"/>
    <w:rsid w:val="0032229B"/>
    <w:rsid w:val="00322740"/>
    <w:rsid w:val="00322781"/>
    <w:rsid w:val="00322807"/>
    <w:rsid w:val="00322815"/>
    <w:rsid w:val="00322991"/>
    <w:rsid w:val="00322A9F"/>
    <w:rsid w:val="00322ADE"/>
    <w:rsid w:val="00322ADF"/>
    <w:rsid w:val="00322AE2"/>
    <w:rsid w:val="00322B01"/>
    <w:rsid w:val="00322C40"/>
    <w:rsid w:val="00322CDD"/>
    <w:rsid w:val="00322D22"/>
    <w:rsid w:val="003230D9"/>
    <w:rsid w:val="0032312B"/>
    <w:rsid w:val="00323357"/>
    <w:rsid w:val="00323435"/>
    <w:rsid w:val="003234B7"/>
    <w:rsid w:val="00323799"/>
    <w:rsid w:val="003237BD"/>
    <w:rsid w:val="0032382F"/>
    <w:rsid w:val="00323923"/>
    <w:rsid w:val="00323B72"/>
    <w:rsid w:val="00323B78"/>
    <w:rsid w:val="00323C41"/>
    <w:rsid w:val="00323C56"/>
    <w:rsid w:val="00323D14"/>
    <w:rsid w:val="00323D84"/>
    <w:rsid w:val="00323EAA"/>
    <w:rsid w:val="003241A8"/>
    <w:rsid w:val="00324207"/>
    <w:rsid w:val="00324226"/>
    <w:rsid w:val="00324813"/>
    <w:rsid w:val="00324881"/>
    <w:rsid w:val="003248D8"/>
    <w:rsid w:val="003248F7"/>
    <w:rsid w:val="00324962"/>
    <w:rsid w:val="00324A37"/>
    <w:rsid w:val="00324A72"/>
    <w:rsid w:val="00324B54"/>
    <w:rsid w:val="00324BEB"/>
    <w:rsid w:val="00325308"/>
    <w:rsid w:val="00325315"/>
    <w:rsid w:val="003253F1"/>
    <w:rsid w:val="00325521"/>
    <w:rsid w:val="00325577"/>
    <w:rsid w:val="00325887"/>
    <w:rsid w:val="0032593D"/>
    <w:rsid w:val="00325955"/>
    <w:rsid w:val="00325BD4"/>
    <w:rsid w:val="00325C97"/>
    <w:rsid w:val="00325DB7"/>
    <w:rsid w:val="0032620B"/>
    <w:rsid w:val="00326333"/>
    <w:rsid w:val="003263DC"/>
    <w:rsid w:val="003264AF"/>
    <w:rsid w:val="003264EF"/>
    <w:rsid w:val="00326515"/>
    <w:rsid w:val="003266C7"/>
    <w:rsid w:val="003268FD"/>
    <w:rsid w:val="00326959"/>
    <w:rsid w:val="003269F7"/>
    <w:rsid w:val="00326B44"/>
    <w:rsid w:val="00326B8F"/>
    <w:rsid w:val="00326C57"/>
    <w:rsid w:val="00326DA9"/>
    <w:rsid w:val="00326F17"/>
    <w:rsid w:val="00327074"/>
    <w:rsid w:val="003270C6"/>
    <w:rsid w:val="003270EA"/>
    <w:rsid w:val="0032720D"/>
    <w:rsid w:val="00327227"/>
    <w:rsid w:val="00327313"/>
    <w:rsid w:val="003273A4"/>
    <w:rsid w:val="003273B5"/>
    <w:rsid w:val="003274A5"/>
    <w:rsid w:val="003277FD"/>
    <w:rsid w:val="003279F2"/>
    <w:rsid w:val="00327A4B"/>
    <w:rsid w:val="00327AD0"/>
    <w:rsid w:val="00327B48"/>
    <w:rsid w:val="00327B8D"/>
    <w:rsid w:val="00327D32"/>
    <w:rsid w:val="00327F34"/>
    <w:rsid w:val="0033028E"/>
    <w:rsid w:val="0033033F"/>
    <w:rsid w:val="00330463"/>
    <w:rsid w:val="00330499"/>
    <w:rsid w:val="00330679"/>
    <w:rsid w:val="00330865"/>
    <w:rsid w:val="0033096D"/>
    <w:rsid w:val="00330D1A"/>
    <w:rsid w:val="00330F2F"/>
    <w:rsid w:val="003312E6"/>
    <w:rsid w:val="003312F5"/>
    <w:rsid w:val="00331522"/>
    <w:rsid w:val="003315D0"/>
    <w:rsid w:val="00331648"/>
    <w:rsid w:val="0033168E"/>
    <w:rsid w:val="003316C1"/>
    <w:rsid w:val="00331756"/>
    <w:rsid w:val="00331893"/>
    <w:rsid w:val="003318FA"/>
    <w:rsid w:val="0033195C"/>
    <w:rsid w:val="0033196C"/>
    <w:rsid w:val="00331AF2"/>
    <w:rsid w:val="00331BCB"/>
    <w:rsid w:val="00331C21"/>
    <w:rsid w:val="00331C31"/>
    <w:rsid w:val="00331C52"/>
    <w:rsid w:val="00331CF1"/>
    <w:rsid w:val="00331D29"/>
    <w:rsid w:val="00332070"/>
    <w:rsid w:val="00332138"/>
    <w:rsid w:val="003323EF"/>
    <w:rsid w:val="00332609"/>
    <w:rsid w:val="00332635"/>
    <w:rsid w:val="003328A4"/>
    <w:rsid w:val="003329F8"/>
    <w:rsid w:val="00332A3B"/>
    <w:rsid w:val="00332AAA"/>
    <w:rsid w:val="00332E6F"/>
    <w:rsid w:val="00332EB6"/>
    <w:rsid w:val="00332F95"/>
    <w:rsid w:val="003332B8"/>
    <w:rsid w:val="003332BC"/>
    <w:rsid w:val="00333558"/>
    <w:rsid w:val="00333610"/>
    <w:rsid w:val="003336C7"/>
    <w:rsid w:val="003337CF"/>
    <w:rsid w:val="0033384C"/>
    <w:rsid w:val="00333B2F"/>
    <w:rsid w:val="00333B3E"/>
    <w:rsid w:val="00333B65"/>
    <w:rsid w:val="00333C00"/>
    <w:rsid w:val="00333E88"/>
    <w:rsid w:val="00334058"/>
    <w:rsid w:val="003340F6"/>
    <w:rsid w:val="00334119"/>
    <w:rsid w:val="003341AD"/>
    <w:rsid w:val="00334223"/>
    <w:rsid w:val="0033427E"/>
    <w:rsid w:val="003343B5"/>
    <w:rsid w:val="0033457D"/>
    <w:rsid w:val="003346E5"/>
    <w:rsid w:val="00334712"/>
    <w:rsid w:val="0033483B"/>
    <w:rsid w:val="00334902"/>
    <w:rsid w:val="00334B19"/>
    <w:rsid w:val="00334CFF"/>
    <w:rsid w:val="00334D3E"/>
    <w:rsid w:val="00334D44"/>
    <w:rsid w:val="00334D7D"/>
    <w:rsid w:val="00334E2F"/>
    <w:rsid w:val="00334E65"/>
    <w:rsid w:val="00334E9B"/>
    <w:rsid w:val="003350A5"/>
    <w:rsid w:val="0033511F"/>
    <w:rsid w:val="00335124"/>
    <w:rsid w:val="00335297"/>
    <w:rsid w:val="003355AF"/>
    <w:rsid w:val="003356FB"/>
    <w:rsid w:val="00335721"/>
    <w:rsid w:val="00335853"/>
    <w:rsid w:val="00335926"/>
    <w:rsid w:val="00335946"/>
    <w:rsid w:val="00335A5F"/>
    <w:rsid w:val="00335A88"/>
    <w:rsid w:val="00335B21"/>
    <w:rsid w:val="00335CF2"/>
    <w:rsid w:val="00335F57"/>
    <w:rsid w:val="00335F70"/>
    <w:rsid w:val="00336026"/>
    <w:rsid w:val="00336075"/>
    <w:rsid w:val="0033626B"/>
    <w:rsid w:val="003362A3"/>
    <w:rsid w:val="0033634D"/>
    <w:rsid w:val="00336472"/>
    <w:rsid w:val="003364A9"/>
    <w:rsid w:val="00336513"/>
    <w:rsid w:val="00336539"/>
    <w:rsid w:val="0033656A"/>
    <w:rsid w:val="0033666F"/>
    <w:rsid w:val="0033672B"/>
    <w:rsid w:val="00336737"/>
    <w:rsid w:val="00336A1D"/>
    <w:rsid w:val="00336ABF"/>
    <w:rsid w:val="00336D5B"/>
    <w:rsid w:val="00336EEA"/>
    <w:rsid w:val="00336EF6"/>
    <w:rsid w:val="00336F10"/>
    <w:rsid w:val="00336F65"/>
    <w:rsid w:val="00337136"/>
    <w:rsid w:val="003371CB"/>
    <w:rsid w:val="003372AB"/>
    <w:rsid w:val="00337540"/>
    <w:rsid w:val="003375E1"/>
    <w:rsid w:val="003378D4"/>
    <w:rsid w:val="003378E0"/>
    <w:rsid w:val="00337B79"/>
    <w:rsid w:val="00337CDD"/>
    <w:rsid w:val="00337D03"/>
    <w:rsid w:val="00337DE8"/>
    <w:rsid w:val="00337FE4"/>
    <w:rsid w:val="00340058"/>
    <w:rsid w:val="00340152"/>
    <w:rsid w:val="00340221"/>
    <w:rsid w:val="003404E3"/>
    <w:rsid w:val="003404F4"/>
    <w:rsid w:val="0034057B"/>
    <w:rsid w:val="00340657"/>
    <w:rsid w:val="003407A4"/>
    <w:rsid w:val="0034080F"/>
    <w:rsid w:val="0034081D"/>
    <w:rsid w:val="00340848"/>
    <w:rsid w:val="0034099D"/>
    <w:rsid w:val="00340C23"/>
    <w:rsid w:val="00340C72"/>
    <w:rsid w:val="00340C81"/>
    <w:rsid w:val="00340D68"/>
    <w:rsid w:val="00340DD2"/>
    <w:rsid w:val="00340F0F"/>
    <w:rsid w:val="00340FDC"/>
    <w:rsid w:val="003410A3"/>
    <w:rsid w:val="003410BB"/>
    <w:rsid w:val="0034130E"/>
    <w:rsid w:val="00341382"/>
    <w:rsid w:val="003414DD"/>
    <w:rsid w:val="00341509"/>
    <w:rsid w:val="003415A1"/>
    <w:rsid w:val="003415A8"/>
    <w:rsid w:val="00341A06"/>
    <w:rsid w:val="00341AF8"/>
    <w:rsid w:val="00341BB2"/>
    <w:rsid w:val="00341C48"/>
    <w:rsid w:val="00341CAB"/>
    <w:rsid w:val="00341D0F"/>
    <w:rsid w:val="00341DE0"/>
    <w:rsid w:val="00341E34"/>
    <w:rsid w:val="00341EB3"/>
    <w:rsid w:val="00341EEB"/>
    <w:rsid w:val="00341EF7"/>
    <w:rsid w:val="0034208F"/>
    <w:rsid w:val="0034223D"/>
    <w:rsid w:val="00342384"/>
    <w:rsid w:val="003423EB"/>
    <w:rsid w:val="003424A2"/>
    <w:rsid w:val="0034251C"/>
    <w:rsid w:val="00342685"/>
    <w:rsid w:val="00342696"/>
    <w:rsid w:val="0034277E"/>
    <w:rsid w:val="00342824"/>
    <w:rsid w:val="00342AFA"/>
    <w:rsid w:val="00342C41"/>
    <w:rsid w:val="00342E24"/>
    <w:rsid w:val="00342F6B"/>
    <w:rsid w:val="00342FA2"/>
    <w:rsid w:val="00343167"/>
    <w:rsid w:val="0034323C"/>
    <w:rsid w:val="0034327F"/>
    <w:rsid w:val="0034335F"/>
    <w:rsid w:val="003434FC"/>
    <w:rsid w:val="00343551"/>
    <w:rsid w:val="003435AB"/>
    <w:rsid w:val="003435F0"/>
    <w:rsid w:val="00343678"/>
    <w:rsid w:val="003436B2"/>
    <w:rsid w:val="00343713"/>
    <w:rsid w:val="003437AE"/>
    <w:rsid w:val="00344266"/>
    <w:rsid w:val="003443F7"/>
    <w:rsid w:val="00344491"/>
    <w:rsid w:val="003444B0"/>
    <w:rsid w:val="00344500"/>
    <w:rsid w:val="0034450B"/>
    <w:rsid w:val="00344539"/>
    <w:rsid w:val="0034468D"/>
    <w:rsid w:val="003446BB"/>
    <w:rsid w:val="003446E0"/>
    <w:rsid w:val="00344814"/>
    <w:rsid w:val="00344A59"/>
    <w:rsid w:val="00344A91"/>
    <w:rsid w:val="00344B5D"/>
    <w:rsid w:val="00344BBB"/>
    <w:rsid w:val="00344CAF"/>
    <w:rsid w:val="00344D53"/>
    <w:rsid w:val="0034506A"/>
    <w:rsid w:val="003451D5"/>
    <w:rsid w:val="003452DE"/>
    <w:rsid w:val="00345365"/>
    <w:rsid w:val="003453A6"/>
    <w:rsid w:val="00345439"/>
    <w:rsid w:val="003454BA"/>
    <w:rsid w:val="003456C3"/>
    <w:rsid w:val="00345A29"/>
    <w:rsid w:val="00345C46"/>
    <w:rsid w:val="00345DCB"/>
    <w:rsid w:val="00346031"/>
    <w:rsid w:val="00346118"/>
    <w:rsid w:val="003462F0"/>
    <w:rsid w:val="00346394"/>
    <w:rsid w:val="003465EF"/>
    <w:rsid w:val="003468B0"/>
    <w:rsid w:val="00346D4A"/>
    <w:rsid w:val="00346D5E"/>
    <w:rsid w:val="00346D79"/>
    <w:rsid w:val="00346D90"/>
    <w:rsid w:val="00346E12"/>
    <w:rsid w:val="00346E14"/>
    <w:rsid w:val="00346FDF"/>
    <w:rsid w:val="003470B1"/>
    <w:rsid w:val="0034710A"/>
    <w:rsid w:val="0034726B"/>
    <w:rsid w:val="0034736D"/>
    <w:rsid w:val="00347ADC"/>
    <w:rsid w:val="00347B36"/>
    <w:rsid w:val="00347DB5"/>
    <w:rsid w:val="00347DC0"/>
    <w:rsid w:val="00347FA0"/>
    <w:rsid w:val="0035017C"/>
    <w:rsid w:val="00350297"/>
    <w:rsid w:val="003502FA"/>
    <w:rsid w:val="00350429"/>
    <w:rsid w:val="0035043E"/>
    <w:rsid w:val="003506D1"/>
    <w:rsid w:val="00350701"/>
    <w:rsid w:val="00350754"/>
    <w:rsid w:val="00350824"/>
    <w:rsid w:val="0035089D"/>
    <w:rsid w:val="00350907"/>
    <w:rsid w:val="00350AE2"/>
    <w:rsid w:val="00350CA7"/>
    <w:rsid w:val="00350D75"/>
    <w:rsid w:val="00350EEF"/>
    <w:rsid w:val="0035104C"/>
    <w:rsid w:val="003512B2"/>
    <w:rsid w:val="003512C7"/>
    <w:rsid w:val="00351417"/>
    <w:rsid w:val="003514A6"/>
    <w:rsid w:val="0035168B"/>
    <w:rsid w:val="003516A2"/>
    <w:rsid w:val="00351940"/>
    <w:rsid w:val="00351A34"/>
    <w:rsid w:val="00351CEA"/>
    <w:rsid w:val="00351D91"/>
    <w:rsid w:val="00351DAD"/>
    <w:rsid w:val="00351E96"/>
    <w:rsid w:val="00351F82"/>
    <w:rsid w:val="003521B6"/>
    <w:rsid w:val="00352443"/>
    <w:rsid w:val="00352500"/>
    <w:rsid w:val="0035254C"/>
    <w:rsid w:val="003525C4"/>
    <w:rsid w:val="0035268B"/>
    <w:rsid w:val="00352719"/>
    <w:rsid w:val="00352799"/>
    <w:rsid w:val="00352807"/>
    <w:rsid w:val="00352EF7"/>
    <w:rsid w:val="00352F9D"/>
    <w:rsid w:val="00353020"/>
    <w:rsid w:val="003530F9"/>
    <w:rsid w:val="00353296"/>
    <w:rsid w:val="003532A2"/>
    <w:rsid w:val="0035341F"/>
    <w:rsid w:val="003538E8"/>
    <w:rsid w:val="00353907"/>
    <w:rsid w:val="003539FB"/>
    <w:rsid w:val="00353B1A"/>
    <w:rsid w:val="00353BDF"/>
    <w:rsid w:val="00353C6A"/>
    <w:rsid w:val="00353CE7"/>
    <w:rsid w:val="00353D7B"/>
    <w:rsid w:val="00353EE8"/>
    <w:rsid w:val="00353FFD"/>
    <w:rsid w:val="003540E9"/>
    <w:rsid w:val="00354140"/>
    <w:rsid w:val="0035443E"/>
    <w:rsid w:val="00354483"/>
    <w:rsid w:val="003545C4"/>
    <w:rsid w:val="003545F2"/>
    <w:rsid w:val="00354614"/>
    <w:rsid w:val="003546FA"/>
    <w:rsid w:val="00354738"/>
    <w:rsid w:val="0035482F"/>
    <w:rsid w:val="00354C7A"/>
    <w:rsid w:val="00354C82"/>
    <w:rsid w:val="00354CCF"/>
    <w:rsid w:val="00354D1E"/>
    <w:rsid w:val="00354D29"/>
    <w:rsid w:val="00354D51"/>
    <w:rsid w:val="00354D59"/>
    <w:rsid w:val="00354D73"/>
    <w:rsid w:val="00354F26"/>
    <w:rsid w:val="0035527F"/>
    <w:rsid w:val="00355283"/>
    <w:rsid w:val="00355306"/>
    <w:rsid w:val="00355356"/>
    <w:rsid w:val="003553AD"/>
    <w:rsid w:val="00355413"/>
    <w:rsid w:val="003554EB"/>
    <w:rsid w:val="0035566E"/>
    <w:rsid w:val="003556A3"/>
    <w:rsid w:val="003556CB"/>
    <w:rsid w:val="0035570F"/>
    <w:rsid w:val="00355761"/>
    <w:rsid w:val="00355A1D"/>
    <w:rsid w:val="00355AAF"/>
    <w:rsid w:val="00355CEB"/>
    <w:rsid w:val="00355E9C"/>
    <w:rsid w:val="00355EC9"/>
    <w:rsid w:val="0035610F"/>
    <w:rsid w:val="00356298"/>
    <w:rsid w:val="0035629E"/>
    <w:rsid w:val="0035633E"/>
    <w:rsid w:val="003563B2"/>
    <w:rsid w:val="003563B7"/>
    <w:rsid w:val="00356509"/>
    <w:rsid w:val="00356571"/>
    <w:rsid w:val="003566DE"/>
    <w:rsid w:val="00356899"/>
    <w:rsid w:val="00356957"/>
    <w:rsid w:val="003569FB"/>
    <w:rsid w:val="00356B47"/>
    <w:rsid w:val="00356B96"/>
    <w:rsid w:val="00356C19"/>
    <w:rsid w:val="00356C25"/>
    <w:rsid w:val="00356C4A"/>
    <w:rsid w:val="00356E86"/>
    <w:rsid w:val="00356F29"/>
    <w:rsid w:val="00357109"/>
    <w:rsid w:val="0035717A"/>
    <w:rsid w:val="00357453"/>
    <w:rsid w:val="003575BD"/>
    <w:rsid w:val="003575F5"/>
    <w:rsid w:val="00357664"/>
    <w:rsid w:val="0035782D"/>
    <w:rsid w:val="003578DA"/>
    <w:rsid w:val="00357927"/>
    <w:rsid w:val="00357A29"/>
    <w:rsid w:val="00357A73"/>
    <w:rsid w:val="00357A8D"/>
    <w:rsid w:val="00357C07"/>
    <w:rsid w:val="00357C3A"/>
    <w:rsid w:val="0036001E"/>
    <w:rsid w:val="00360034"/>
    <w:rsid w:val="003600F4"/>
    <w:rsid w:val="0036016D"/>
    <w:rsid w:val="00360251"/>
    <w:rsid w:val="00360252"/>
    <w:rsid w:val="00360292"/>
    <w:rsid w:val="0036031A"/>
    <w:rsid w:val="00360458"/>
    <w:rsid w:val="003604C3"/>
    <w:rsid w:val="003605BE"/>
    <w:rsid w:val="0036064B"/>
    <w:rsid w:val="00360719"/>
    <w:rsid w:val="00360726"/>
    <w:rsid w:val="003607E9"/>
    <w:rsid w:val="00360823"/>
    <w:rsid w:val="0036086F"/>
    <w:rsid w:val="003608B9"/>
    <w:rsid w:val="00360902"/>
    <w:rsid w:val="00360A5A"/>
    <w:rsid w:val="00360BDC"/>
    <w:rsid w:val="0036100D"/>
    <w:rsid w:val="00361031"/>
    <w:rsid w:val="0036107C"/>
    <w:rsid w:val="00361138"/>
    <w:rsid w:val="00361350"/>
    <w:rsid w:val="003614C1"/>
    <w:rsid w:val="00361583"/>
    <w:rsid w:val="0036173B"/>
    <w:rsid w:val="0036186E"/>
    <w:rsid w:val="003618FD"/>
    <w:rsid w:val="003619EA"/>
    <w:rsid w:val="00361B4C"/>
    <w:rsid w:val="00361E8B"/>
    <w:rsid w:val="00361EA6"/>
    <w:rsid w:val="00361ECA"/>
    <w:rsid w:val="00361FEB"/>
    <w:rsid w:val="00362109"/>
    <w:rsid w:val="003621A3"/>
    <w:rsid w:val="0036222E"/>
    <w:rsid w:val="003622A0"/>
    <w:rsid w:val="003624A4"/>
    <w:rsid w:val="0036257A"/>
    <w:rsid w:val="0036271C"/>
    <w:rsid w:val="003628A4"/>
    <w:rsid w:val="003628F7"/>
    <w:rsid w:val="00362977"/>
    <w:rsid w:val="00362996"/>
    <w:rsid w:val="00362CE4"/>
    <w:rsid w:val="00363020"/>
    <w:rsid w:val="0036312D"/>
    <w:rsid w:val="00363140"/>
    <w:rsid w:val="00363298"/>
    <w:rsid w:val="00363435"/>
    <w:rsid w:val="0036357A"/>
    <w:rsid w:val="003635EA"/>
    <w:rsid w:val="0036366F"/>
    <w:rsid w:val="003636A5"/>
    <w:rsid w:val="0036377D"/>
    <w:rsid w:val="00363941"/>
    <w:rsid w:val="00363948"/>
    <w:rsid w:val="0036399D"/>
    <w:rsid w:val="00363A49"/>
    <w:rsid w:val="00363B38"/>
    <w:rsid w:val="00363B42"/>
    <w:rsid w:val="00363B87"/>
    <w:rsid w:val="00363C97"/>
    <w:rsid w:val="00363CEB"/>
    <w:rsid w:val="00363EC0"/>
    <w:rsid w:val="00363FC6"/>
    <w:rsid w:val="00364091"/>
    <w:rsid w:val="00364102"/>
    <w:rsid w:val="00364118"/>
    <w:rsid w:val="00364139"/>
    <w:rsid w:val="00364292"/>
    <w:rsid w:val="00364363"/>
    <w:rsid w:val="00364533"/>
    <w:rsid w:val="003645D6"/>
    <w:rsid w:val="003646EF"/>
    <w:rsid w:val="003647F0"/>
    <w:rsid w:val="003648C9"/>
    <w:rsid w:val="0036498F"/>
    <w:rsid w:val="003649B9"/>
    <w:rsid w:val="00364A32"/>
    <w:rsid w:val="00364E75"/>
    <w:rsid w:val="00364FE6"/>
    <w:rsid w:val="00365082"/>
    <w:rsid w:val="0036508B"/>
    <w:rsid w:val="003650DF"/>
    <w:rsid w:val="0036522D"/>
    <w:rsid w:val="003652CB"/>
    <w:rsid w:val="0036551A"/>
    <w:rsid w:val="00365635"/>
    <w:rsid w:val="00365643"/>
    <w:rsid w:val="00365660"/>
    <w:rsid w:val="00365AA9"/>
    <w:rsid w:val="00365D4E"/>
    <w:rsid w:val="00365F7D"/>
    <w:rsid w:val="00365F8F"/>
    <w:rsid w:val="00365FA6"/>
    <w:rsid w:val="00365FD4"/>
    <w:rsid w:val="0036600D"/>
    <w:rsid w:val="00366031"/>
    <w:rsid w:val="00366086"/>
    <w:rsid w:val="003660C8"/>
    <w:rsid w:val="0036618E"/>
    <w:rsid w:val="003661C2"/>
    <w:rsid w:val="003661CA"/>
    <w:rsid w:val="0036627A"/>
    <w:rsid w:val="00366292"/>
    <w:rsid w:val="00366369"/>
    <w:rsid w:val="003664D8"/>
    <w:rsid w:val="0036653B"/>
    <w:rsid w:val="0036653C"/>
    <w:rsid w:val="0036660E"/>
    <w:rsid w:val="0036684C"/>
    <w:rsid w:val="003668CE"/>
    <w:rsid w:val="00366920"/>
    <w:rsid w:val="0036698C"/>
    <w:rsid w:val="003669A6"/>
    <w:rsid w:val="00366C2D"/>
    <w:rsid w:val="00366D1C"/>
    <w:rsid w:val="00366E00"/>
    <w:rsid w:val="00366E25"/>
    <w:rsid w:val="00366E32"/>
    <w:rsid w:val="00366FE6"/>
    <w:rsid w:val="00367045"/>
    <w:rsid w:val="0036704B"/>
    <w:rsid w:val="003671A3"/>
    <w:rsid w:val="003671B8"/>
    <w:rsid w:val="0036722A"/>
    <w:rsid w:val="003675DE"/>
    <w:rsid w:val="00367794"/>
    <w:rsid w:val="00367798"/>
    <w:rsid w:val="003678A8"/>
    <w:rsid w:val="003678F2"/>
    <w:rsid w:val="0036794A"/>
    <w:rsid w:val="0036796A"/>
    <w:rsid w:val="00367B44"/>
    <w:rsid w:val="00367C19"/>
    <w:rsid w:val="00367E74"/>
    <w:rsid w:val="00370170"/>
    <w:rsid w:val="003701A4"/>
    <w:rsid w:val="003701B3"/>
    <w:rsid w:val="003704A2"/>
    <w:rsid w:val="00370664"/>
    <w:rsid w:val="003706E0"/>
    <w:rsid w:val="00370717"/>
    <w:rsid w:val="00370756"/>
    <w:rsid w:val="003707B4"/>
    <w:rsid w:val="00370AE2"/>
    <w:rsid w:val="00370AF2"/>
    <w:rsid w:val="00370B45"/>
    <w:rsid w:val="00370B92"/>
    <w:rsid w:val="00370C94"/>
    <w:rsid w:val="00370CC7"/>
    <w:rsid w:val="00370EA0"/>
    <w:rsid w:val="00370EE3"/>
    <w:rsid w:val="00370F3E"/>
    <w:rsid w:val="00370F55"/>
    <w:rsid w:val="00370F8C"/>
    <w:rsid w:val="00371121"/>
    <w:rsid w:val="003712DC"/>
    <w:rsid w:val="0037133B"/>
    <w:rsid w:val="003719DC"/>
    <w:rsid w:val="00371B3C"/>
    <w:rsid w:val="00371B67"/>
    <w:rsid w:val="00371BC6"/>
    <w:rsid w:val="00371D9E"/>
    <w:rsid w:val="00371E74"/>
    <w:rsid w:val="00371EA7"/>
    <w:rsid w:val="00372257"/>
    <w:rsid w:val="003722C1"/>
    <w:rsid w:val="003722E6"/>
    <w:rsid w:val="00372462"/>
    <w:rsid w:val="003725A4"/>
    <w:rsid w:val="003725BE"/>
    <w:rsid w:val="00372668"/>
    <w:rsid w:val="00372671"/>
    <w:rsid w:val="003726E1"/>
    <w:rsid w:val="00372731"/>
    <w:rsid w:val="0037276B"/>
    <w:rsid w:val="0037290C"/>
    <w:rsid w:val="00372999"/>
    <w:rsid w:val="00372AEE"/>
    <w:rsid w:val="00372EAD"/>
    <w:rsid w:val="00372F86"/>
    <w:rsid w:val="0037304F"/>
    <w:rsid w:val="003732AF"/>
    <w:rsid w:val="00373412"/>
    <w:rsid w:val="0037344A"/>
    <w:rsid w:val="003734C0"/>
    <w:rsid w:val="003736E1"/>
    <w:rsid w:val="00373861"/>
    <w:rsid w:val="003738D9"/>
    <w:rsid w:val="00373959"/>
    <w:rsid w:val="00373B52"/>
    <w:rsid w:val="00373BD8"/>
    <w:rsid w:val="00373C99"/>
    <w:rsid w:val="00373DD9"/>
    <w:rsid w:val="00373F1A"/>
    <w:rsid w:val="00373F32"/>
    <w:rsid w:val="003740D6"/>
    <w:rsid w:val="003741D6"/>
    <w:rsid w:val="003743B8"/>
    <w:rsid w:val="003745A2"/>
    <w:rsid w:val="00374703"/>
    <w:rsid w:val="0037475A"/>
    <w:rsid w:val="00374888"/>
    <w:rsid w:val="00374B1D"/>
    <w:rsid w:val="00374BDB"/>
    <w:rsid w:val="00374CB5"/>
    <w:rsid w:val="00374CBA"/>
    <w:rsid w:val="00374D5B"/>
    <w:rsid w:val="00374DC8"/>
    <w:rsid w:val="00374F8A"/>
    <w:rsid w:val="00375221"/>
    <w:rsid w:val="00375614"/>
    <w:rsid w:val="0037571E"/>
    <w:rsid w:val="003759E9"/>
    <w:rsid w:val="00375A86"/>
    <w:rsid w:val="00375D61"/>
    <w:rsid w:val="00375DE3"/>
    <w:rsid w:val="00375F9B"/>
    <w:rsid w:val="0037600F"/>
    <w:rsid w:val="00376049"/>
    <w:rsid w:val="0037610C"/>
    <w:rsid w:val="003761C6"/>
    <w:rsid w:val="0037654E"/>
    <w:rsid w:val="00376573"/>
    <w:rsid w:val="0037686A"/>
    <w:rsid w:val="00376955"/>
    <w:rsid w:val="0037697B"/>
    <w:rsid w:val="00376CC6"/>
    <w:rsid w:val="00377020"/>
    <w:rsid w:val="003770A6"/>
    <w:rsid w:val="003772A2"/>
    <w:rsid w:val="003772AB"/>
    <w:rsid w:val="00377374"/>
    <w:rsid w:val="00377435"/>
    <w:rsid w:val="00377564"/>
    <w:rsid w:val="00377617"/>
    <w:rsid w:val="00377715"/>
    <w:rsid w:val="00377891"/>
    <w:rsid w:val="00377945"/>
    <w:rsid w:val="003800C3"/>
    <w:rsid w:val="0038014F"/>
    <w:rsid w:val="00380225"/>
    <w:rsid w:val="003802A8"/>
    <w:rsid w:val="00380363"/>
    <w:rsid w:val="003805CF"/>
    <w:rsid w:val="003808CA"/>
    <w:rsid w:val="00380BAC"/>
    <w:rsid w:val="00380C62"/>
    <w:rsid w:val="00380CD0"/>
    <w:rsid w:val="00380DC2"/>
    <w:rsid w:val="00380DDE"/>
    <w:rsid w:val="00380E2B"/>
    <w:rsid w:val="00380EAB"/>
    <w:rsid w:val="00380F4B"/>
    <w:rsid w:val="00380FCC"/>
    <w:rsid w:val="0038142E"/>
    <w:rsid w:val="00381438"/>
    <w:rsid w:val="003814DC"/>
    <w:rsid w:val="00381A3D"/>
    <w:rsid w:val="00381B3A"/>
    <w:rsid w:val="00381C2C"/>
    <w:rsid w:val="00381D64"/>
    <w:rsid w:val="00381DBE"/>
    <w:rsid w:val="00382244"/>
    <w:rsid w:val="00382246"/>
    <w:rsid w:val="00382524"/>
    <w:rsid w:val="0038258B"/>
    <w:rsid w:val="00382636"/>
    <w:rsid w:val="00382980"/>
    <w:rsid w:val="00382B59"/>
    <w:rsid w:val="00382EAB"/>
    <w:rsid w:val="00382EEA"/>
    <w:rsid w:val="00383026"/>
    <w:rsid w:val="00383226"/>
    <w:rsid w:val="00383318"/>
    <w:rsid w:val="00383329"/>
    <w:rsid w:val="003833DC"/>
    <w:rsid w:val="0038340C"/>
    <w:rsid w:val="00383508"/>
    <w:rsid w:val="00383573"/>
    <w:rsid w:val="003836F0"/>
    <w:rsid w:val="00383A56"/>
    <w:rsid w:val="00383AE2"/>
    <w:rsid w:val="00383B01"/>
    <w:rsid w:val="00383BCA"/>
    <w:rsid w:val="00383C1E"/>
    <w:rsid w:val="0038435F"/>
    <w:rsid w:val="0038445A"/>
    <w:rsid w:val="00384484"/>
    <w:rsid w:val="003845EB"/>
    <w:rsid w:val="003846BD"/>
    <w:rsid w:val="0038478F"/>
    <w:rsid w:val="003848E7"/>
    <w:rsid w:val="00384965"/>
    <w:rsid w:val="00384BCB"/>
    <w:rsid w:val="00384C1E"/>
    <w:rsid w:val="00384E92"/>
    <w:rsid w:val="00384F5B"/>
    <w:rsid w:val="0038508D"/>
    <w:rsid w:val="0038514B"/>
    <w:rsid w:val="00385182"/>
    <w:rsid w:val="003853C3"/>
    <w:rsid w:val="00385631"/>
    <w:rsid w:val="00385797"/>
    <w:rsid w:val="003859F4"/>
    <w:rsid w:val="00385D32"/>
    <w:rsid w:val="00386160"/>
    <w:rsid w:val="003861BC"/>
    <w:rsid w:val="003861D9"/>
    <w:rsid w:val="00386221"/>
    <w:rsid w:val="003862FC"/>
    <w:rsid w:val="00386412"/>
    <w:rsid w:val="00386573"/>
    <w:rsid w:val="003867B2"/>
    <w:rsid w:val="0038686A"/>
    <w:rsid w:val="00386870"/>
    <w:rsid w:val="00386C00"/>
    <w:rsid w:val="00386C52"/>
    <w:rsid w:val="003871C0"/>
    <w:rsid w:val="0038740D"/>
    <w:rsid w:val="00387513"/>
    <w:rsid w:val="003875E2"/>
    <w:rsid w:val="00387665"/>
    <w:rsid w:val="0038767C"/>
    <w:rsid w:val="003876BD"/>
    <w:rsid w:val="00387750"/>
    <w:rsid w:val="003877E5"/>
    <w:rsid w:val="00387A6F"/>
    <w:rsid w:val="00387AFE"/>
    <w:rsid w:val="00387B0E"/>
    <w:rsid w:val="00387B36"/>
    <w:rsid w:val="00387B4B"/>
    <w:rsid w:val="00387C12"/>
    <w:rsid w:val="00387E4B"/>
    <w:rsid w:val="00387FA9"/>
    <w:rsid w:val="003901A7"/>
    <w:rsid w:val="0039025B"/>
    <w:rsid w:val="00390515"/>
    <w:rsid w:val="003906FB"/>
    <w:rsid w:val="003907F2"/>
    <w:rsid w:val="0039090B"/>
    <w:rsid w:val="00390ACD"/>
    <w:rsid w:val="00390B77"/>
    <w:rsid w:val="00390C35"/>
    <w:rsid w:val="00390D3B"/>
    <w:rsid w:val="00390EB5"/>
    <w:rsid w:val="00390F09"/>
    <w:rsid w:val="0039101C"/>
    <w:rsid w:val="0039102A"/>
    <w:rsid w:val="003910F2"/>
    <w:rsid w:val="00391118"/>
    <w:rsid w:val="0039124A"/>
    <w:rsid w:val="00391618"/>
    <w:rsid w:val="00391621"/>
    <w:rsid w:val="00391715"/>
    <w:rsid w:val="0039179C"/>
    <w:rsid w:val="003918B4"/>
    <w:rsid w:val="0039192C"/>
    <w:rsid w:val="003919E9"/>
    <w:rsid w:val="00391A95"/>
    <w:rsid w:val="00391AAF"/>
    <w:rsid w:val="00391AF4"/>
    <w:rsid w:val="00391D76"/>
    <w:rsid w:val="00391D80"/>
    <w:rsid w:val="00391DA6"/>
    <w:rsid w:val="00391DD8"/>
    <w:rsid w:val="00391E71"/>
    <w:rsid w:val="00391F0F"/>
    <w:rsid w:val="0039201A"/>
    <w:rsid w:val="00392063"/>
    <w:rsid w:val="0039211A"/>
    <w:rsid w:val="00392155"/>
    <w:rsid w:val="003922C9"/>
    <w:rsid w:val="00392310"/>
    <w:rsid w:val="003923B1"/>
    <w:rsid w:val="0039245F"/>
    <w:rsid w:val="00392463"/>
    <w:rsid w:val="0039248E"/>
    <w:rsid w:val="00392501"/>
    <w:rsid w:val="00392581"/>
    <w:rsid w:val="0039270F"/>
    <w:rsid w:val="0039291D"/>
    <w:rsid w:val="00392A1C"/>
    <w:rsid w:val="00392C2D"/>
    <w:rsid w:val="00392CA9"/>
    <w:rsid w:val="00392D79"/>
    <w:rsid w:val="00392E2D"/>
    <w:rsid w:val="00392F22"/>
    <w:rsid w:val="003930DB"/>
    <w:rsid w:val="00393235"/>
    <w:rsid w:val="00393254"/>
    <w:rsid w:val="00393306"/>
    <w:rsid w:val="00393365"/>
    <w:rsid w:val="0039351A"/>
    <w:rsid w:val="003935FB"/>
    <w:rsid w:val="003937D6"/>
    <w:rsid w:val="00393B0E"/>
    <w:rsid w:val="00393B53"/>
    <w:rsid w:val="00393BD5"/>
    <w:rsid w:val="00393E4A"/>
    <w:rsid w:val="00393E82"/>
    <w:rsid w:val="00393F25"/>
    <w:rsid w:val="00393FF1"/>
    <w:rsid w:val="00394024"/>
    <w:rsid w:val="0039406F"/>
    <w:rsid w:val="0039433F"/>
    <w:rsid w:val="00394344"/>
    <w:rsid w:val="0039476F"/>
    <w:rsid w:val="0039479B"/>
    <w:rsid w:val="003947AF"/>
    <w:rsid w:val="00394D5C"/>
    <w:rsid w:val="00394D9C"/>
    <w:rsid w:val="00394E03"/>
    <w:rsid w:val="00394F16"/>
    <w:rsid w:val="00394F46"/>
    <w:rsid w:val="00394FCD"/>
    <w:rsid w:val="00395216"/>
    <w:rsid w:val="00395297"/>
    <w:rsid w:val="0039547D"/>
    <w:rsid w:val="00395491"/>
    <w:rsid w:val="00395664"/>
    <w:rsid w:val="003956C1"/>
    <w:rsid w:val="003958BA"/>
    <w:rsid w:val="00395C2E"/>
    <w:rsid w:val="00395D03"/>
    <w:rsid w:val="00395E09"/>
    <w:rsid w:val="00395E74"/>
    <w:rsid w:val="00396108"/>
    <w:rsid w:val="003961A6"/>
    <w:rsid w:val="003961B6"/>
    <w:rsid w:val="003962A0"/>
    <w:rsid w:val="00396329"/>
    <w:rsid w:val="00396375"/>
    <w:rsid w:val="00396393"/>
    <w:rsid w:val="0039659C"/>
    <w:rsid w:val="003965FD"/>
    <w:rsid w:val="0039683A"/>
    <w:rsid w:val="003969A4"/>
    <w:rsid w:val="00396D97"/>
    <w:rsid w:val="00396F35"/>
    <w:rsid w:val="00397080"/>
    <w:rsid w:val="0039729A"/>
    <w:rsid w:val="0039736A"/>
    <w:rsid w:val="003973AE"/>
    <w:rsid w:val="003974DA"/>
    <w:rsid w:val="003975D2"/>
    <w:rsid w:val="003976C8"/>
    <w:rsid w:val="003977EF"/>
    <w:rsid w:val="003979C3"/>
    <w:rsid w:val="003979E7"/>
    <w:rsid w:val="00397B57"/>
    <w:rsid w:val="00397CAA"/>
    <w:rsid w:val="00397CBC"/>
    <w:rsid w:val="00397E44"/>
    <w:rsid w:val="00397F0A"/>
    <w:rsid w:val="00397F4B"/>
    <w:rsid w:val="003A018C"/>
    <w:rsid w:val="003A0190"/>
    <w:rsid w:val="003A03B2"/>
    <w:rsid w:val="003A04AE"/>
    <w:rsid w:val="003A0568"/>
    <w:rsid w:val="003A05B9"/>
    <w:rsid w:val="003A09F1"/>
    <w:rsid w:val="003A0BB9"/>
    <w:rsid w:val="003A0BD3"/>
    <w:rsid w:val="003A0E40"/>
    <w:rsid w:val="003A1046"/>
    <w:rsid w:val="003A1127"/>
    <w:rsid w:val="003A11BE"/>
    <w:rsid w:val="003A12FE"/>
    <w:rsid w:val="003A1637"/>
    <w:rsid w:val="003A1704"/>
    <w:rsid w:val="003A1744"/>
    <w:rsid w:val="003A1822"/>
    <w:rsid w:val="003A188F"/>
    <w:rsid w:val="003A1BCE"/>
    <w:rsid w:val="003A1BD9"/>
    <w:rsid w:val="003A1C04"/>
    <w:rsid w:val="003A1D52"/>
    <w:rsid w:val="003A1D68"/>
    <w:rsid w:val="003A25B4"/>
    <w:rsid w:val="003A25E8"/>
    <w:rsid w:val="003A263E"/>
    <w:rsid w:val="003A27E7"/>
    <w:rsid w:val="003A28C3"/>
    <w:rsid w:val="003A2948"/>
    <w:rsid w:val="003A2B56"/>
    <w:rsid w:val="003A2C42"/>
    <w:rsid w:val="003A2E41"/>
    <w:rsid w:val="003A2F79"/>
    <w:rsid w:val="003A2FDE"/>
    <w:rsid w:val="003A34C6"/>
    <w:rsid w:val="003A34CC"/>
    <w:rsid w:val="003A34D2"/>
    <w:rsid w:val="003A353E"/>
    <w:rsid w:val="003A3648"/>
    <w:rsid w:val="003A380D"/>
    <w:rsid w:val="003A38DF"/>
    <w:rsid w:val="003A38E0"/>
    <w:rsid w:val="003A3950"/>
    <w:rsid w:val="003A39C6"/>
    <w:rsid w:val="003A3A20"/>
    <w:rsid w:val="003A3B4A"/>
    <w:rsid w:val="003A3E1A"/>
    <w:rsid w:val="003A3F10"/>
    <w:rsid w:val="003A3FA5"/>
    <w:rsid w:val="003A40FE"/>
    <w:rsid w:val="003A4134"/>
    <w:rsid w:val="003A4411"/>
    <w:rsid w:val="003A44B1"/>
    <w:rsid w:val="003A4523"/>
    <w:rsid w:val="003A4571"/>
    <w:rsid w:val="003A45AC"/>
    <w:rsid w:val="003A45B8"/>
    <w:rsid w:val="003A4621"/>
    <w:rsid w:val="003A46A5"/>
    <w:rsid w:val="003A4800"/>
    <w:rsid w:val="003A4808"/>
    <w:rsid w:val="003A48A3"/>
    <w:rsid w:val="003A49A1"/>
    <w:rsid w:val="003A4AE8"/>
    <w:rsid w:val="003A4C0D"/>
    <w:rsid w:val="003A4C72"/>
    <w:rsid w:val="003A4CA8"/>
    <w:rsid w:val="003A4DBA"/>
    <w:rsid w:val="003A4F8A"/>
    <w:rsid w:val="003A505F"/>
    <w:rsid w:val="003A5087"/>
    <w:rsid w:val="003A5147"/>
    <w:rsid w:val="003A5261"/>
    <w:rsid w:val="003A536A"/>
    <w:rsid w:val="003A541E"/>
    <w:rsid w:val="003A542D"/>
    <w:rsid w:val="003A5441"/>
    <w:rsid w:val="003A549F"/>
    <w:rsid w:val="003A54D1"/>
    <w:rsid w:val="003A54D4"/>
    <w:rsid w:val="003A5514"/>
    <w:rsid w:val="003A56D5"/>
    <w:rsid w:val="003A588A"/>
    <w:rsid w:val="003A5A06"/>
    <w:rsid w:val="003A5ACE"/>
    <w:rsid w:val="003A5AE9"/>
    <w:rsid w:val="003A5B51"/>
    <w:rsid w:val="003A5B83"/>
    <w:rsid w:val="003A5C09"/>
    <w:rsid w:val="003A5DA0"/>
    <w:rsid w:val="003A5E4C"/>
    <w:rsid w:val="003A63B7"/>
    <w:rsid w:val="003A66C7"/>
    <w:rsid w:val="003A6A02"/>
    <w:rsid w:val="003A6A36"/>
    <w:rsid w:val="003A6BC3"/>
    <w:rsid w:val="003A6CD7"/>
    <w:rsid w:val="003A6E0B"/>
    <w:rsid w:val="003A7049"/>
    <w:rsid w:val="003A706C"/>
    <w:rsid w:val="003A707D"/>
    <w:rsid w:val="003A71FE"/>
    <w:rsid w:val="003A7344"/>
    <w:rsid w:val="003A79A3"/>
    <w:rsid w:val="003A7A54"/>
    <w:rsid w:val="003A7A5A"/>
    <w:rsid w:val="003A7C60"/>
    <w:rsid w:val="003A7CAA"/>
    <w:rsid w:val="003A7CE0"/>
    <w:rsid w:val="003A7CF1"/>
    <w:rsid w:val="003A7D4E"/>
    <w:rsid w:val="003B0140"/>
    <w:rsid w:val="003B0261"/>
    <w:rsid w:val="003B0423"/>
    <w:rsid w:val="003B043F"/>
    <w:rsid w:val="003B0445"/>
    <w:rsid w:val="003B05D9"/>
    <w:rsid w:val="003B06CE"/>
    <w:rsid w:val="003B076A"/>
    <w:rsid w:val="003B0AA3"/>
    <w:rsid w:val="003B0B1F"/>
    <w:rsid w:val="003B0B85"/>
    <w:rsid w:val="003B0D68"/>
    <w:rsid w:val="003B103E"/>
    <w:rsid w:val="003B1168"/>
    <w:rsid w:val="003B1209"/>
    <w:rsid w:val="003B1215"/>
    <w:rsid w:val="003B1515"/>
    <w:rsid w:val="003B1639"/>
    <w:rsid w:val="003B1732"/>
    <w:rsid w:val="003B182F"/>
    <w:rsid w:val="003B19A1"/>
    <w:rsid w:val="003B1ACA"/>
    <w:rsid w:val="003B1AE5"/>
    <w:rsid w:val="003B1BF1"/>
    <w:rsid w:val="003B1E69"/>
    <w:rsid w:val="003B1EB6"/>
    <w:rsid w:val="003B1EDF"/>
    <w:rsid w:val="003B1F86"/>
    <w:rsid w:val="003B2019"/>
    <w:rsid w:val="003B20D3"/>
    <w:rsid w:val="003B217E"/>
    <w:rsid w:val="003B2356"/>
    <w:rsid w:val="003B2434"/>
    <w:rsid w:val="003B247E"/>
    <w:rsid w:val="003B25A1"/>
    <w:rsid w:val="003B2673"/>
    <w:rsid w:val="003B2946"/>
    <w:rsid w:val="003B29EB"/>
    <w:rsid w:val="003B2A6C"/>
    <w:rsid w:val="003B2ED1"/>
    <w:rsid w:val="003B2F86"/>
    <w:rsid w:val="003B3086"/>
    <w:rsid w:val="003B30DF"/>
    <w:rsid w:val="003B3122"/>
    <w:rsid w:val="003B31CF"/>
    <w:rsid w:val="003B31FD"/>
    <w:rsid w:val="003B3301"/>
    <w:rsid w:val="003B3626"/>
    <w:rsid w:val="003B3A22"/>
    <w:rsid w:val="003B3A7D"/>
    <w:rsid w:val="003B3B34"/>
    <w:rsid w:val="003B3C14"/>
    <w:rsid w:val="003B3CB9"/>
    <w:rsid w:val="003B3CFA"/>
    <w:rsid w:val="003B3D11"/>
    <w:rsid w:val="003B3F41"/>
    <w:rsid w:val="003B41C9"/>
    <w:rsid w:val="003B41DB"/>
    <w:rsid w:val="003B41EE"/>
    <w:rsid w:val="003B42E5"/>
    <w:rsid w:val="003B432B"/>
    <w:rsid w:val="003B445C"/>
    <w:rsid w:val="003B452A"/>
    <w:rsid w:val="003B45C0"/>
    <w:rsid w:val="003B468A"/>
    <w:rsid w:val="003B4754"/>
    <w:rsid w:val="003B4924"/>
    <w:rsid w:val="003B4AB5"/>
    <w:rsid w:val="003B4ABA"/>
    <w:rsid w:val="003B4BC9"/>
    <w:rsid w:val="003B4CB6"/>
    <w:rsid w:val="003B4ECE"/>
    <w:rsid w:val="003B4F7A"/>
    <w:rsid w:val="003B5026"/>
    <w:rsid w:val="003B50AF"/>
    <w:rsid w:val="003B5238"/>
    <w:rsid w:val="003B5310"/>
    <w:rsid w:val="003B5436"/>
    <w:rsid w:val="003B545B"/>
    <w:rsid w:val="003B54A7"/>
    <w:rsid w:val="003B55F4"/>
    <w:rsid w:val="003B5666"/>
    <w:rsid w:val="003B5981"/>
    <w:rsid w:val="003B59AE"/>
    <w:rsid w:val="003B5ACA"/>
    <w:rsid w:val="003B5ADB"/>
    <w:rsid w:val="003B5BD5"/>
    <w:rsid w:val="003B5D45"/>
    <w:rsid w:val="003B5D6A"/>
    <w:rsid w:val="003B5DA9"/>
    <w:rsid w:val="003B5DFC"/>
    <w:rsid w:val="003B5E05"/>
    <w:rsid w:val="003B5E29"/>
    <w:rsid w:val="003B5EA4"/>
    <w:rsid w:val="003B622B"/>
    <w:rsid w:val="003B6836"/>
    <w:rsid w:val="003B685B"/>
    <w:rsid w:val="003B697E"/>
    <w:rsid w:val="003B6998"/>
    <w:rsid w:val="003B6A85"/>
    <w:rsid w:val="003B6AF0"/>
    <w:rsid w:val="003B6B45"/>
    <w:rsid w:val="003B6D1B"/>
    <w:rsid w:val="003B6FE3"/>
    <w:rsid w:val="003B7030"/>
    <w:rsid w:val="003B726B"/>
    <w:rsid w:val="003B73FF"/>
    <w:rsid w:val="003B74CC"/>
    <w:rsid w:val="003B759E"/>
    <w:rsid w:val="003B7600"/>
    <w:rsid w:val="003B764D"/>
    <w:rsid w:val="003B768A"/>
    <w:rsid w:val="003B7723"/>
    <w:rsid w:val="003B7779"/>
    <w:rsid w:val="003B77FF"/>
    <w:rsid w:val="003B79AA"/>
    <w:rsid w:val="003B7C7E"/>
    <w:rsid w:val="003B7D99"/>
    <w:rsid w:val="003B7E36"/>
    <w:rsid w:val="003B7F4C"/>
    <w:rsid w:val="003B7FA2"/>
    <w:rsid w:val="003B7FEF"/>
    <w:rsid w:val="003C027C"/>
    <w:rsid w:val="003C039B"/>
    <w:rsid w:val="003C0444"/>
    <w:rsid w:val="003C06AA"/>
    <w:rsid w:val="003C0753"/>
    <w:rsid w:val="003C0801"/>
    <w:rsid w:val="003C0B29"/>
    <w:rsid w:val="003C0B61"/>
    <w:rsid w:val="003C0C78"/>
    <w:rsid w:val="003C0D11"/>
    <w:rsid w:val="003C0D78"/>
    <w:rsid w:val="003C0EB9"/>
    <w:rsid w:val="003C0FC9"/>
    <w:rsid w:val="003C1095"/>
    <w:rsid w:val="003C10B4"/>
    <w:rsid w:val="003C1114"/>
    <w:rsid w:val="003C11B9"/>
    <w:rsid w:val="003C1495"/>
    <w:rsid w:val="003C15ED"/>
    <w:rsid w:val="003C16D0"/>
    <w:rsid w:val="003C1795"/>
    <w:rsid w:val="003C17D8"/>
    <w:rsid w:val="003C17DA"/>
    <w:rsid w:val="003C1C08"/>
    <w:rsid w:val="003C1D03"/>
    <w:rsid w:val="003C1DDE"/>
    <w:rsid w:val="003C1EEA"/>
    <w:rsid w:val="003C2393"/>
    <w:rsid w:val="003C23F6"/>
    <w:rsid w:val="003C258E"/>
    <w:rsid w:val="003C2786"/>
    <w:rsid w:val="003C2858"/>
    <w:rsid w:val="003C29C1"/>
    <w:rsid w:val="003C2C7C"/>
    <w:rsid w:val="003C2D7F"/>
    <w:rsid w:val="003C2DD5"/>
    <w:rsid w:val="003C2EE3"/>
    <w:rsid w:val="003C3167"/>
    <w:rsid w:val="003C31A8"/>
    <w:rsid w:val="003C31BD"/>
    <w:rsid w:val="003C33C2"/>
    <w:rsid w:val="003C352A"/>
    <w:rsid w:val="003C3626"/>
    <w:rsid w:val="003C3649"/>
    <w:rsid w:val="003C3815"/>
    <w:rsid w:val="003C391E"/>
    <w:rsid w:val="003C39AB"/>
    <w:rsid w:val="003C3B69"/>
    <w:rsid w:val="003C3CD4"/>
    <w:rsid w:val="003C3EEB"/>
    <w:rsid w:val="003C3F10"/>
    <w:rsid w:val="003C4010"/>
    <w:rsid w:val="003C4101"/>
    <w:rsid w:val="003C4230"/>
    <w:rsid w:val="003C431C"/>
    <w:rsid w:val="003C4478"/>
    <w:rsid w:val="003C44A6"/>
    <w:rsid w:val="003C4664"/>
    <w:rsid w:val="003C48C0"/>
    <w:rsid w:val="003C495E"/>
    <w:rsid w:val="003C4A0E"/>
    <w:rsid w:val="003C4CBF"/>
    <w:rsid w:val="003C4E6B"/>
    <w:rsid w:val="003C4F3F"/>
    <w:rsid w:val="003C5173"/>
    <w:rsid w:val="003C525F"/>
    <w:rsid w:val="003C52BF"/>
    <w:rsid w:val="003C5419"/>
    <w:rsid w:val="003C5453"/>
    <w:rsid w:val="003C5511"/>
    <w:rsid w:val="003C5692"/>
    <w:rsid w:val="003C57E7"/>
    <w:rsid w:val="003C57FC"/>
    <w:rsid w:val="003C5811"/>
    <w:rsid w:val="003C5B09"/>
    <w:rsid w:val="003C5DF4"/>
    <w:rsid w:val="003C5FE9"/>
    <w:rsid w:val="003C60ED"/>
    <w:rsid w:val="003C62BE"/>
    <w:rsid w:val="003C6418"/>
    <w:rsid w:val="003C64B1"/>
    <w:rsid w:val="003C6645"/>
    <w:rsid w:val="003C666D"/>
    <w:rsid w:val="003C668A"/>
    <w:rsid w:val="003C66BC"/>
    <w:rsid w:val="003C66FF"/>
    <w:rsid w:val="003C67E5"/>
    <w:rsid w:val="003C680E"/>
    <w:rsid w:val="003C6B85"/>
    <w:rsid w:val="003C6D28"/>
    <w:rsid w:val="003C70A8"/>
    <w:rsid w:val="003C7130"/>
    <w:rsid w:val="003C7173"/>
    <w:rsid w:val="003C723B"/>
    <w:rsid w:val="003C73C2"/>
    <w:rsid w:val="003C7495"/>
    <w:rsid w:val="003C763C"/>
    <w:rsid w:val="003C76D0"/>
    <w:rsid w:val="003C77CE"/>
    <w:rsid w:val="003C7E5B"/>
    <w:rsid w:val="003C7F34"/>
    <w:rsid w:val="003C7F6D"/>
    <w:rsid w:val="003D0015"/>
    <w:rsid w:val="003D0144"/>
    <w:rsid w:val="003D0337"/>
    <w:rsid w:val="003D039F"/>
    <w:rsid w:val="003D06D2"/>
    <w:rsid w:val="003D0802"/>
    <w:rsid w:val="003D0906"/>
    <w:rsid w:val="003D0984"/>
    <w:rsid w:val="003D0B17"/>
    <w:rsid w:val="003D0B67"/>
    <w:rsid w:val="003D0DFC"/>
    <w:rsid w:val="003D0E03"/>
    <w:rsid w:val="003D0F90"/>
    <w:rsid w:val="003D0FEE"/>
    <w:rsid w:val="003D1014"/>
    <w:rsid w:val="003D1561"/>
    <w:rsid w:val="003D16C7"/>
    <w:rsid w:val="003D16F0"/>
    <w:rsid w:val="003D190C"/>
    <w:rsid w:val="003D1CC6"/>
    <w:rsid w:val="003D1CF9"/>
    <w:rsid w:val="003D1DE6"/>
    <w:rsid w:val="003D1DF3"/>
    <w:rsid w:val="003D1E1C"/>
    <w:rsid w:val="003D1ED9"/>
    <w:rsid w:val="003D2174"/>
    <w:rsid w:val="003D21B6"/>
    <w:rsid w:val="003D21FF"/>
    <w:rsid w:val="003D2305"/>
    <w:rsid w:val="003D2339"/>
    <w:rsid w:val="003D2436"/>
    <w:rsid w:val="003D25FF"/>
    <w:rsid w:val="003D2875"/>
    <w:rsid w:val="003D2AEF"/>
    <w:rsid w:val="003D2B2D"/>
    <w:rsid w:val="003D2C07"/>
    <w:rsid w:val="003D2DF6"/>
    <w:rsid w:val="003D30A4"/>
    <w:rsid w:val="003D30AA"/>
    <w:rsid w:val="003D313B"/>
    <w:rsid w:val="003D3157"/>
    <w:rsid w:val="003D31A5"/>
    <w:rsid w:val="003D330D"/>
    <w:rsid w:val="003D349E"/>
    <w:rsid w:val="003D352F"/>
    <w:rsid w:val="003D3676"/>
    <w:rsid w:val="003D37A5"/>
    <w:rsid w:val="003D38C8"/>
    <w:rsid w:val="003D38EE"/>
    <w:rsid w:val="003D3AED"/>
    <w:rsid w:val="003D3C6C"/>
    <w:rsid w:val="003D4067"/>
    <w:rsid w:val="003D420E"/>
    <w:rsid w:val="003D42BA"/>
    <w:rsid w:val="003D42BB"/>
    <w:rsid w:val="003D4536"/>
    <w:rsid w:val="003D47D3"/>
    <w:rsid w:val="003D48B4"/>
    <w:rsid w:val="003D4B71"/>
    <w:rsid w:val="003D4BB4"/>
    <w:rsid w:val="003D4DC0"/>
    <w:rsid w:val="003D4EBE"/>
    <w:rsid w:val="003D50A1"/>
    <w:rsid w:val="003D512C"/>
    <w:rsid w:val="003D529E"/>
    <w:rsid w:val="003D52C8"/>
    <w:rsid w:val="003D53FC"/>
    <w:rsid w:val="003D56B2"/>
    <w:rsid w:val="003D57EA"/>
    <w:rsid w:val="003D58EC"/>
    <w:rsid w:val="003D58FB"/>
    <w:rsid w:val="003D5904"/>
    <w:rsid w:val="003D593F"/>
    <w:rsid w:val="003D5AC4"/>
    <w:rsid w:val="003D61E4"/>
    <w:rsid w:val="003D6234"/>
    <w:rsid w:val="003D626E"/>
    <w:rsid w:val="003D630A"/>
    <w:rsid w:val="003D6407"/>
    <w:rsid w:val="003D656F"/>
    <w:rsid w:val="003D6588"/>
    <w:rsid w:val="003D659D"/>
    <w:rsid w:val="003D67C1"/>
    <w:rsid w:val="003D680C"/>
    <w:rsid w:val="003D682C"/>
    <w:rsid w:val="003D6AEC"/>
    <w:rsid w:val="003D6BDB"/>
    <w:rsid w:val="003D6E8E"/>
    <w:rsid w:val="003D6F75"/>
    <w:rsid w:val="003D7113"/>
    <w:rsid w:val="003D719E"/>
    <w:rsid w:val="003D7366"/>
    <w:rsid w:val="003D7405"/>
    <w:rsid w:val="003D751E"/>
    <w:rsid w:val="003D7548"/>
    <w:rsid w:val="003D75FE"/>
    <w:rsid w:val="003D7767"/>
    <w:rsid w:val="003D77EA"/>
    <w:rsid w:val="003D7E1E"/>
    <w:rsid w:val="003D7E2B"/>
    <w:rsid w:val="003D7E47"/>
    <w:rsid w:val="003D7FEB"/>
    <w:rsid w:val="003E0249"/>
    <w:rsid w:val="003E02CD"/>
    <w:rsid w:val="003E0321"/>
    <w:rsid w:val="003E0457"/>
    <w:rsid w:val="003E0464"/>
    <w:rsid w:val="003E064C"/>
    <w:rsid w:val="003E06F7"/>
    <w:rsid w:val="003E0890"/>
    <w:rsid w:val="003E08E9"/>
    <w:rsid w:val="003E0BE3"/>
    <w:rsid w:val="003E0BEA"/>
    <w:rsid w:val="003E0DDB"/>
    <w:rsid w:val="003E0DEE"/>
    <w:rsid w:val="003E0E52"/>
    <w:rsid w:val="003E0ED2"/>
    <w:rsid w:val="003E0FF3"/>
    <w:rsid w:val="003E129D"/>
    <w:rsid w:val="003E129F"/>
    <w:rsid w:val="003E142E"/>
    <w:rsid w:val="003E1505"/>
    <w:rsid w:val="003E15A8"/>
    <w:rsid w:val="003E15C7"/>
    <w:rsid w:val="003E18A6"/>
    <w:rsid w:val="003E1991"/>
    <w:rsid w:val="003E1AAE"/>
    <w:rsid w:val="003E1AB7"/>
    <w:rsid w:val="003E1C96"/>
    <w:rsid w:val="003E1E23"/>
    <w:rsid w:val="003E2041"/>
    <w:rsid w:val="003E20C4"/>
    <w:rsid w:val="003E23BC"/>
    <w:rsid w:val="003E2425"/>
    <w:rsid w:val="003E2553"/>
    <w:rsid w:val="003E264D"/>
    <w:rsid w:val="003E26F7"/>
    <w:rsid w:val="003E270B"/>
    <w:rsid w:val="003E2864"/>
    <w:rsid w:val="003E2910"/>
    <w:rsid w:val="003E2A17"/>
    <w:rsid w:val="003E2AD2"/>
    <w:rsid w:val="003E2D12"/>
    <w:rsid w:val="003E2DA5"/>
    <w:rsid w:val="003E2E2A"/>
    <w:rsid w:val="003E2EC7"/>
    <w:rsid w:val="003E2F15"/>
    <w:rsid w:val="003E2F49"/>
    <w:rsid w:val="003E31E5"/>
    <w:rsid w:val="003E345E"/>
    <w:rsid w:val="003E34DA"/>
    <w:rsid w:val="003E370C"/>
    <w:rsid w:val="003E37C5"/>
    <w:rsid w:val="003E393F"/>
    <w:rsid w:val="003E3A46"/>
    <w:rsid w:val="003E3B11"/>
    <w:rsid w:val="003E3BA0"/>
    <w:rsid w:val="003E3D0F"/>
    <w:rsid w:val="003E3F80"/>
    <w:rsid w:val="003E414D"/>
    <w:rsid w:val="003E41BC"/>
    <w:rsid w:val="003E459A"/>
    <w:rsid w:val="003E45D9"/>
    <w:rsid w:val="003E473D"/>
    <w:rsid w:val="003E4816"/>
    <w:rsid w:val="003E489F"/>
    <w:rsid w:val="003E4A2E"/>
    <w:rsid w:val="003E4D4C"/>
    <w:rsid w:val="003E4DC3"/>
    <w:rsid w:val="003E4E7E"/>
    <w:rsid w:val="003E4E9C"/>
    <w:rsid w:val="003E4F23"/>
    <w:rsid w:val="003E4FE3"/>
    <w:rsid w:val="003E5019"/>
    <w:rsid w:val="003E50C8"/>
    <w:rsid w:val="003E5139"/>
    <w:rsid w:val="003E518E"/>
    <w:rsid w:val="003E5342"/>
    <w:rsid w:val="003E54B9"/>
    <w:rsid w:val="003E55D7"/>
    <w:rsid w:val="003E5608"/>
    <w:rsid w:val="003E5717"/>
    <w:rsid w:val="003E58F7"/>
    <w:rsid w:val="003E5926"/>
    <w:rsid w:val="003E59A4"/>
    <w:rsid w:val="003E5CD9"/>
    <w:rsid w:val="003E5D37"/>
    <w:rsid w:val="003E5E3D"/>
    <w:rsid w:val="003E5E86"/>
    <w:rsid w:val="003E5F5B"/>
    <w:rsid w:val="003E5F8F"/>
    <w:rsid w:val="003E5FA9"/>
    <w:rsid w:val="003E5FB0"/>
    <w:rsid w:val="003E6135"/>
    <w:rsid w:val="003E627A"/>
    <w:rsid w:val="003E6598"/>
    <w:rsid w:val="003E6765"/>
    <w:rsid w:val="003E68E8"/>
    <w:rsid w:val="003E695B"/>
    <w:rsid w:val="003E6A51"/>
    <w:rsid w:val="003E6AB0"/>
    <w:rsid w:val="003E6BF9"/>
    <w:rsid w:val="003E6C87"/>
    <w:rsid w:val="003E6DB8"/>
    <w:rsid w:val="003E6DC1"/>
    <w:rsid w:val="003E7115"/>
    <w:rsid w:val="003E714E"/>
    <w:rsid w:val="003E71AB"/>
    <w:rsid w:val="003E7210"/>
    <w:rsid w:val="003E727D"/>
    <w:rsid w:val="003E73E4"/>
    <w:rsid w:val="003E742B"/>
    <w:rsid w:val="003E7492"/>
    <w:rsid w:val="003E7592"/>
    <w:rsid w:val="003E76B8"/>
    <w:rsid w:val="003E76CC"/>
    <w:rsid w:val="003E772A"/>
    <w:rsid w:val="003E7796"/>
    <w:rsid w:val="003E7940"/>
    <w:rsid w:val="003E79ED"/>
    <w:rsid w:val="003E7C20"/>
    <w:rsid w:val="003E7D13"/>
    <w:rsid w:val="003E7E97"/>
    <w:rsid w:val="003F0063"/>
    <w:rsid w:val="003F0220"/>
    <w:rsid w:val="003F0254"/>
    <w:rsid w:val="003F02EA"/>
    <w:rsid w:val="003F0496"/>
    <w:rsid w:val="003F0636"/>
    <w:rsid w:val="003F07B8"/>
    <w:rsid w:val="003F0C21"/>
    <w:rsid w:val="003F0E3B"/>
    <w:rsid w:val="003F0FF4"/>
    <w:rsid w:val="003F1014"/>
    <w:rsid w:val="003F10A4"/>
    <w:rsid w:val="003F10C6"/>
    <w:rsid w:val="003F11BC"/>
    <w:rsid w:val="003F1549"/>
    <w:rsid w:val="003F1558"/>
    <w:rsid w:val="003F180D"/>
    <w:rsid w:val="003F18ED"/>
    <w:rsid w:val="003F1950"/>
    <w:rsid w:val="003F1BCA"/>
    <w:rsid w:val="003F1E31"/>
    <w:rsid w:val="003F1F89"/>
    <w:rsid w:val="003F21FA"/>
    <w:rsid w:val="003F220A"/>
    <w:rsid w:val="003F2285"/>
    <w:rsid w:val="003F2591"/>
    <w:rsid w:val="003F2748"/>
    <w:rsid w:val="003F27E4"/>
    <w:rsid w:val="003F2990"/>
    <w:rsid w:val="003F2A22"/>
    <w:rsid w:val="003F2AB9"/>
    <w:rsid w:val="003F2B6D"/>
    <w:rsid w:val="003F2BA2"/>
    <w:rsid w:val="003F2E57"/>
    <w:rsid w:val="003F2F99"/>
    <w:rsid w:val="003F31C5"/>
    <w:rsid w:val="003F3317"/>
    <w:rsid w:val="003F345F"/>
    <w:rsid w:val="003F3472"/>
    <w:rsid w:val="003F361A"/>
    <w:rsid w:val="003F39F2"/>
    <w:rsid w:val="003F3F23"/>
    <w:rsid w:val="003F3F36"/>
    <w:rsid w:val="003F3FCD"/>
    <w:rsid w:val="003F3FEE"/>
    <w:rsid w:val="003F4003"/>
    <w:rsid w:val="003F4158"/>
    <w:rsid w:val="003F416B"/>
    <w:rsid w:val="003F4337"/>
    <w:rsid w:val="003F43AC"/>
    <w:rsid w:val="003F43F2"/>
    <w:rsid w:val="003F463F"/>
    <w:rsid w:val="003F4A7E"/>
    <w:rsid w:val="003F4ADB"/>
    <w:rsid w:val="003F4B8B"/>
    <w:rsid w:val="003F4DC6"/>
    <w:rsid w:val="003F4E16"/>
    <w:rsid w:val="003F4E8F"/>
    <w:rsid w:val="003F4FD3"/>
    <w:rsid w:val="003F51DE"/>
    <w:rsid w:val="003F525D"/>
    <w:rsid w:val="003F53FA"/>
    <w:rsid w:val="003F542A"/>
    <w:rsid w:val="003F5440"/>
    <w:rsid w:val="003F54D2"/>
    <w:rsid w:val="003F5567"/>
    <w:rsid w:val="003F558A"/>
    <w:rsid w:val="003F5904"/>
    <w:rsid w:val="003F597B"/>
    <w:rsid w:val="003F59CA"/>
    <w:rsid w:val="003F5A04"/>
    <w:rsid w:val="003F5A0F"/>
    <w:rsid w:val="003F5AFB"/>
    <w:rsid w:val="003F5B55"/>
    <w:rsid w:val="003F5D99"/>
    <w:rsid w:val="003F5E35"/>
    <w:rsid w:val="003F5E70"/>
    <w:rsid w:val="003F6053"/>
    <w:rsid w:val="003F60B5"/>
    <w:rsid w:val="003F629D"/>
    <w:rsid w:val="003F6389"/>
    <w:rsid w:val="003F63FD"/>
    <w:rsid w:val="003F6513"/>
    <w:rsid w:val="003F6899"/>
    <w:rsid w:val="003F6AEA"/>
    <w:rsid w:val="003F6B60"/>
    <w:rsid w:val="003F6B99"/>
    <w:rsid w:val="003F6C54"/>
    <w:rsid w:val="003F6D96"/>
    <w:rsid w:val="003F7042"/>
    <w:rsid w:val="003F737A"/>
    <w:rsid w:val="003F75D4"/>
    <w:rsid w:val="003F7663"/>
    <w:rsid w:val="003F786A"/>
    <w:rsid w:val="003F7920"/>
    <w:rsid w:val="003F7A03"/>
    <w:rsid w:val="003F7B3B"/>
    <w:rsid w:val="003F7BA4"/>
    <w:rsid w:val="003F7BC0"/>
    <w:rsid w:val="003F7C18"/>
    <w:rsid w:val="003F7C89"/>
    <w:rsid w:val="003F7DDA"/>
    <w:rsid w:val="003F7E9E"/>
    <w:rsid w:val="003F7F61"/>
    <w:rsid w:val="0040000F"/>
    <w:rsid w:val="00400057"/>
    <w:rsid w:val="004001C2"/>
    <w:rsid w:val="004002E2"/>
    <w:rsid w:val="00400426"/>
    <w:rsid w:val="00400725"/>
    <w:rsid w:val="00400951"/>
    <w:rsid w:val="00400C75"/>
    <w:rsid w:val="00400CFD"/>
    <w:rsid w:val="00400E4D"/>
    <w:rsid w:val="00400E8E"/>
    <w:rsid w:val="004011C1"/>
    <w:rsid w:val="004014E8"/>
    <w:rsid w:val="004015E8"/>
    <w:rsid w:val="004017F7"/>
    <w:rsid w:val="0040187F"/>
    <w:rsid w:val="004018D1"/>
    <w:rsid w:val="00401A50"/>
    <w:rsid w:val="00401B41"/>
    <w:rsid w:val="00401C19"/>
    <w:rsid w:val="00401CDE"/>
    <w:rsid w:val="00401D84"/>
    <w:rsid w:val="00401D93"/>
    <w:rsid w:val="00401FF5"/>
    <w:rsid w:val="00402087"/>
    <w:rsid w:val="00402286"/>
    <w:rsid w:val="004024FF"/>
    <w:rsid w:val="00402529"/>
    <w:rsid w:val="004025F0"/>
    <w:rsid w:val="00402791"/>
    <w:rsid w:val="004028FF"/>
    <w:rsid w:val="0040296C"/>
    <w:rsid w:val="0040299A"/>
    <w:rsid w:val="00402AC2"/>
    <w:rsid w:val="00402B74"/>
    <w:rsid w:val="00402BDC"/>
    <w:rsid w:val="00402C9E"/>
    <w:rsid w:val="00402CD6"/>
    <w:rsid w:val="00402D1C"/>
    <w:rsid w:val="00402F2A"/>
    <w:rsid w:val="00402FF3"/>
    <w:rsid w:val="004030E7"/>
    <w:rsid w:val="00403212"/>
    <w:rsid w:val="0040388A"/>
    <w:rsid w:val="0040389A"/>
    <w:rsid w:val="004038A4"/>
    <w:rsid w:val="004038B8"/>
    <w:rsid w:val="00403924"/>
    <w:rsid w:val="00403986"/>
    <w:rsid w:val="0040399B"/>
    <w:rsid w:val="004039A7"/>
    <w:rsid w:val="00404005"/>
    <w:rsid w:val="00404405"/>
    <w:rsid w:val="00404499"/>
    <w:rsid w:val="00404508"/>
    <w:rsid w:val="00404524"/>
    <w:rsid w:val="0040463D"/>
    <w:rsid w:val="0040491E"/>
    <w:rsid w:val="00404AD9"/>
    <w:rsid w:val="00404BCB"/>
    <w:rsid w:val="00404C6D"/>
    <w:rsid w:val="00404CA4"/>
    <w:rsid w:val="00404E14"/>
    <w:rsid w:val="00404E1F"/>
    <w:rsid w:val="00404ED1"/>
    <w:rsid w:val="00405316"/>
    <w:rsid w:val="004056BC"/>
    <w:rsid w:val="0040583F"/>
    <w:rsid w:val="00405899"/>
    <w:rsid w:val="00405949"/>
    <w:rsid w:val="00405A55"/>
    <w:rsid w:val="00405B2F"/>
    <w:rsid w:val="00405BCA"/>
    <w:rsid w:val="00405BDB"/>
    <w:rsid w:val="00405BF2"/>
    <w:rsid w:val="00405D81"/>
    <w:rsid w:val="00405D84"/>
    <w:rsid w:val="00405DCD"/>
    <w:rsid w:val="00405E39"/>
    <w:rsid w:val="00405FCC"/>
    <w:rsid w:val="00406028"/>
    <w:rsid w:val="004060CE"/>
    <w:rsid w:val="004060D7"/>
    <w:rsid w:val="004060DE"/>
    <w:rsid w:val="00406196"/>
    <w:rsid w:val="00406399"/>
    <w:rsid w:val="0040648B"/>
    <w:rsid w:val="00406565"/>
    <w:rsid w:val="00406566"/>
    <w:rsid w:val="004066C0"/>
    <w:rsid w:val="0040676A"/>
    <w:rsid w:val="004067FE"/>
    <w:rsid w:val="00406863"/>
    <w:rsid w:val="00406B80"/>
    <w:rsid w:val="00406BAB"/>
    <w:rsid w:val="00406D60"/>
    <w:rsid w:val="00406FA2"/>
    <w:rsid w:val="00407041"/>
    <w:rsid w:val="00407345"/>
    <w:rsid w:val="0040734F"/>
    <w:rsid w:val="0040737F"/>
    <w:rsid w:val="00407388"/>
    <w:rsid w:val="004073CA"/>
    <w:rsid w:val="0040744C"/>
    <w:rsid w:val="00407706"/>
    <w:rsid w:val="00407807"/>
    <w:rsid w:val="00407945"/>
    <w:rsid w:val="004079D9"/>
    <w:rsid w:val="00407AAD"/>
    <w:rsid w:val="00407B31"/>
    <w:rsid w:val="00407CFD"/>
    <w:rsid w:val="00407E30"/>
    <w:rsid w:val="00407EA5"/>
    <w:rsid w:val="00407EEB"/>
    <w:rsid w:val="00410071"/>
    <w:rsid w:val="00410072"/>
    <w:rsid w:val="00410338"/>
    <w:rsid w:val="00410515"/>
    <w:rsid w:val="00410750"/>
    <w:rsid w:val="00410A04"/>
    <w:rsid w:val="00410A8B"/>
    <w:rsid w:val="00410CB3"/>
    <w:rsid w:val="00410E6E"/>
    <w:rsid w:val="00410EB1"/>
    <w:rsid w:val="00410EEB"/>
    <w:rsid w:val="00410F3A"/>
    <w:rsid w:val="00410F92"/>
    <w:rsid w:val="00411273"/>
    <w:rsid w:val="00411276"/>
    <w:rsid w:val="004113AE"/>
    <w:rsid w:val="00411412"/>
    <w:rsid w:val="004114E8"/>
    <w:rsid w:val="0041177B"/>
    <w:rsid w:val="00411928"/>
    <w:rsid w:val="004119DB"/>
    <w:rsid w:val="00411A86"/>
    <w:rsid w:val="00411ADF"/>
    <w:rsid w:val="00411B3E"/>
    <w:rsid w:val="00411BBA"/>
    <w:rsid w:val="00411E65"/>
    <w:rsid w:val="00411EC1"/>
    <w:rsid w:val="00411FBE"/>
    <w:rsid w:val="00411FE0"/>
    <w:rsid w:val="00412099"/>
    <w:rsid w:val="004120E0"/>
    <w:rsid w:val="00412124"/>
    <w:rsid w:val="00412219"/>
    <w:rsid w:val="004122FA"/>
    <w:rsid w:val="00412460"/>
    <w:rsid w:val="0041257F"/>
    <w:rsid w:val="0041292E"/>
    <w:rsid w:val="00412A73"/>
    <w:rsid w:val="00412CE3"/>
    <w:rsid w:val="00412D57"/>
    <w:rsid w:val="00412DD8"/>
    <w:rsid w:val="00412E84"/>
    <w:rsid w:val="00412FA6"/>
    <w:rsid w:val="00412FB8"/>
    <w:rsid w:val="00413032"/>
    <w:rsid w:val="00413112"/>
    <w:rsid w:val="004132B8"/>
    <w:rsid w:val="00413399"/>
    <w:rsid w:val="004133BC"/>
    <w:rsid w:val="004133FF"/>
    <w:rsid w:val="00413505"/>
    <w:rsid w:val="00413639"/>
    <w:rsid w:val="0041369A"/>
    <w:rsid w:val="004138C6"/>
    <w:rsid w:val="00413AE0"/>
    <w:rsid w:val="00413C2E"/>
    <w:rsid w:val="00413CEF"/>
    <w:rsid w:val="00413DA9"/>
    <w:rsid w:val="00413DBF"/>
    <w:rsid w:val="00413ED8"/>
    <w:rsid w:val="00413F1F"/>
    <w:rsid w:val="00413FB1"/>
    <w:rsid w:val="00413FBC"/>
    <w:rsid w:val="00414045"/>
    <w:rsid w:val="00414305"/>
    <w:rsid w:val="004143B0"/>
    <w:rsid w:val="00414427"/>
    <w:rsid w:val="00414432"/>
    <w:rsid w:val="00414512"/>
    <w:rsid w:val="00414542"/>
    <w:rsid w:val="004145DE"/>
    <w:rsid w:val="004146A0"/>
    <w:rsid w:val="00414721"/>
    <w:rsid w:val="004147DD"/>
    <w:rsid w:val="004149FB"/>
    <w:rsid w:val="00414C40"/>
    <w:rsid w:val="00415038"/>
    <w:rsid w:val="0041515B"/>
    <w:rsid w:val="00415276"/>
    <w:rsid w:val="004155DD"/>
    <w:rsid w:val="00415A33"/>
    <w:rsid w:val="00415A3A"/>
    <w:rsid w:val="00415C4A"/>
    <w:rsid w:val="00415D25"/>
    <w:rsid w:val="00415D35"/>
    <w:rsid w:val="00415FD2"/>
    <w:rsid w:val="00415FF2"/>
    <w:rsid w:val="0041607A"/>
    <w:rsid w:val="004160B5"/>
    <w:rsid w:val="00416127"/>
    <w:rsid w:val="0041614C"/>
    <w:rsid w:val="004162A7"/>
    <w:rsid w:val="00416660"/>
    <w:rsid w:val="004166A9"/>
    <w:rsid w:val="004166D8"/>
    <w:rsid w:val="004166EA"/>
    <w:rsid w:val="00416716"/>
    <w:rsid w:val="00416925"/>
    <w:rsid w:val="004169B5"/>
    <w:rsid w:val="00416B51"/>
    <w:rsid w:val="00416B89"/>
    <w:rsid w:val="00416DBF"/>
    <w:rsid w:val="00416EFA"/>
    <w:rsid w:val="00417040"/>
    <w:rsid w:val="00417377"/>
    <w:rsid w:val="0041767D"/>
    <w:rsid w:val="00417696"/>
    <w:rsid w:val="004176F9"/>
    <w:rsid w:val="00417759"/>
    <w:rsid w:val="0041790F"/>
    <w:rsid w:val="00417973"/>
    <w:rsid w:val="00417982"/>
    <w:rsid w:val="004179DE"/>
    <w:rsid w:val="00417ACB"/>
    <w:rsid w:val="00417B32"/>
    <w:rsid w:val="00417D66"/>
    <w:rsid w:val="00417FCD"/>
    <w:rsid w:val="0042003E"/>
    <w:rsid w:val="00420235"/>
    <w:rsid w:val="00420600"/>
    <w:rsid w:val="00420749"/>
    <w:rsid w:val="00420764"/>
    <w:rsid w:val="00420940"/>
    <w:rsid w:val="00420A48"/>
    <w:rsid w:val="00420A66"/>
    <w:rsid w:val="00420D1C"/>
    <w:rsid w:val="00420E8E"/>
    <w:rsid w:val="00420ED0"/>
    <w:rsid w:val="00421060"/>
    <w:rsid w:val="00421147"/>
    <w:rsid w:val="00421712"/>
    <w:rsid w:val="00421782"/>
    <w:rsid w:val="004217B8"/>
    <w:rsid w:val="004217E1"/>
    <w:rsid w:val="004218B5"/>
    <w:rsid w:val="00421971"/>
    <w:rsid w:val="00421A64"/>
    <w:rsid w:val="0042234A"/>
    <w:rsid w:val="0042249E"/>
    <w:rsid w:val="004224C9"/>
    <w:rsid w:val="004225BE"/>
    <w:rsid w:val="0042264F"/>
    <w:rsid w:val="0042275A"/>
    <w:rsid w:val="004227C2"/>
    <w:rsid w:val="00422A50"/>
    <w:rsid w:val="00422C47"/>
    <w:rsid w:val="00422CBB"/>
    <w:rsid w:val="00423036"/>
    <w:rsid w:val="00423073"/>
    <w:rsid w:val="00423103"/>
    <w:rsid w:val="00423230"/>
    <w:rsid w:val="00423428"/>
    <w:rsid w:val="004234B9"/>
    <w:rsid w:val="004234D5"/>
    <w:rsid w:val="00423749"/>
    <w:rsid w:val="00423865"/>
    <w:rsid w:val="0042389B"/>
    <w:rsid w:val="004238D5"/>
    <w:rsid w:val="004238EC"/>
    <w:rsid w:val="00423AF3"/>
    <w:rsid w:val="00423D16"/>
    <w:rsid w:val="00423DB5"/>
    <w:rsid w:val="00423DCF"/>
    <w:rsid w:val="00423DD5"/>
    <w:rsid w:val="00423E0F"/>
    <w:rsid w:val="00423F99"/>
    <w:rsid w:val="00424348"/>
    <w:rsid w:val="004243A1"/>
    <w:rsid w:val="00424421"/>
    <w:rsid w:val="00424489"/>
    <w:rsid w:val="00424497"/>
    <w:rsid w:val="004244DB"/>
    <w:rsid w:val="004246CD"/>
    <w:rsid w:val="00424731"/>
    <w:rsid w:val="00424AF1"/>
    <w:rsid w:val="00424B5A"/>
    <w:rsid w:val="00424BCA"/>
    <w:rsid w:val="00424CDE"/>
    <w:rsid w:val="00424D50"/>
    <w:rsid w:val="00424D7F"/>
    <w:rsid w:val="00424DFC"/>
    <w:rsid w:val="00424F10"/>
    <w:rsid w:val="0042507B"/>
    <w:rsid w:val="00425248"/>
    <w:rsid w:val="004253CF"/>
    <w:rsid w:val="004253E6"/>
    <w:rsid w:val="004255AE"/>
    <w:rsid w:val="00425622"/>
    <w:rsid w:val="0042573C"/>
    <w:rsid w:val="00425740"/>
    <w:rsid w:val="004257A5"/>
    <w:rsid w:val="004258A8"/>
    <w:rsid w:val="00425997"/>
    <w:rsid w:val="004259E4"/>
    <w:rsid w:val="00425BF1"/>
    <w:rsid w:val="00425E89"/>
    <w:rsid w:val="00425E96"/>
    <w:rsid w:val="00425EFE"/>
    <w:rsid w:val="00425F1B"/>
    <w:rsid w:val="00426052"/>
    <w:rsid w:val="00426096"/>
    <w:rsid w:val="0042609D"/>
    <w:rsid w:val="0042613B"/>
    <w:rsid w:val="004263BD"/>
    <w:rsid w:val="0042654D"/>
    <w:rsid w:val="00426599"/>
    <w:rsid w:val="00426709"/>
    <w:rsid w:val="0042675B"/>
    <w:rsid w:val="00426862"/>
    <w:rsid w:val="00426A2C"/>
    <w:rsid w:val="00426AA8"/>
    <w:rsid w:val="00426C3C"/>
    <w:rsid w:val="00426CB1"/>
    <w:rsid w:val="00426D0F"/>
    <w:rsid w:val="00426DD7"/>
    <w:rsid w:val="00426DE8"/>
    <w:rsid w:val="00426DEF"/>
    <w:rsid w:val="00426FE9"/>
    <w:rsid w:val="00427316"/>
    <w:rsid w:val="00427588"/>
    <w:rsid w:val="004275FD"/>
    <w:rsid w:val="0042760D"/>
    <w:rsid w:val="0042761F"/>
    <w:rsid w:val="0042764E"/>
    <w:rsid w:val="004278CB"/>
    <w:rsid w:val="0042792D"/>
    <w:rsid w:val="00427AF9"/>
    <w:rsid w:val="00427C26"/>
    <w:rsid w:val="00427C40"/>
    <w:rsid w:val="00427D9A"/>
    <w:rsid w:val="00427DAD"/>
    <w:rsid w:val="00427DDC"/>
    <w:rsid w:val="004300FF"/>
    <w:rsid w:val="004302E9"/>
    <w:rsid w:val="0043038C"/>
    <w:rsid w:val="00430402"/>
    <w:rsid w:val="00430536"/>
    <w:rsid w:val="004306D0"/>
    <w:rsid w:val="00430821"/>
    <w:rsid w:val="00430943"/>
    <w:rsid w:val="00430AAE"/>
    <w:rsid w:val="00430B3B"/>
    <w:rsid w:val="00430CD0"/>
    <w:rsid w:val="00430E4A"/>
    <w:rsid w:val="00431104"/>
    <w:rsid w:val="00431185"/>
    <w:rsid w:val="004311A3"/>
    <w:rsid w:val="00431244"/>
    <w:rsid w:val="004313BE"/>
    <w:rsid w:val="00431554"/>
    <w:rsid w:val="00431809"/>
    <w:rsid w:val="004319A1"/>
    <w:rsid w:val="00431BF8"/>
    <w:rsid w:val="00431C6B"/>
    <w:rsid w:val="00431C9D"/>
    <w:rsid w:val="00431FE2"/>
    <w:rsid w:val="00431FE8"/>
    <w:rsid w:val="00432039"/>
    <w:rsid w:val="00432276"/>
    <w:rsid w:val="0043230E"/>
    <w:rsid w:val="00432360"/>
    <w:rsid w:val="0043239D"/>
    <w:rsid w:val="00432510"/>
    <w:rsid w:val="0043275B"/>
    <w:rsid w:val="0043276B"/>
    <w:rsid w:val="00432AB8"/>
    <w:rsid w:val="00432B45"/>
    <w:rsid w:val="00432EF1"/>
    <w:rsid w:val="004331D6"/>
    <w:rsid w:val="004332A8"/>
    <w:rsid w:val="00433325"/>
    <w:rsid w:val="00433871"/>
    <w:rsid w:val="00433A88"/>
    <w:rsid w:val="00433C67"/>
    <w:rsid w:val="00433D34"/>
    <w:rsid w:val="00433D65"/>
    <w:rsid w:val="00433DBC"/>
    <w:rsid w:val="00433E19"/>
    <w:rsid w:val="00433FDA"/>
    <w:rsid w:val="0043407C"/>
    <w:rsid w:val="004341B8"/>
    <w:rsid w:val="00434206"/>
    <w:rsid w:val="0043432A"/>
    <w:rsid w:val="0043438E"/>
    <w:rsid w:val="0043441D"/>
    <w:rsid w:val="00434454"/>
    <w:rsid w:val="004344C4"/>
    <w:rsid w:val="0043462E"/>
    <w:rsid w:val="004349FA"/>
    <w:rsid w:val="00434A85"/>
    <w:rsid w:val="00434A94"/>
    <w:rsid w:val="00434BBE"/>
    <w:rsid w:val="00434BD2"/>
    <w:rsid w:val="00434C6F"/>
    <w:rsid w:val="00434CBA"/>
    <w:rsid w:val="00435085"/>
    <w:rsid w:val="004352B7"/>
    <w:rsid w:val="00435354"/>
    <w:rsid w:val="004358A2"/>
    <w:rsid w:val="00435956"/>
    <w:rsid w:val="004359A7"/>
    <w:rsid w:val="00435B70"/>
    <w:rsid w:val="00435C20"/>
    <w:rsid w:val="00435CFF"/>
    <w:rsid w:val="00435EA7"/>
    <w:rsid w:val="0043624E"/>
    <w:rsid w:val="0043658A"/>
    <w:rsid w:val="0043668B"/>
    <w:rsid w:val="004366A8"/>
    <w:rsid w:val="00436751"/>
    <w:rsid w:val="004368A8"/>
    <w:rsid w:val="0043693C"/>
    <w:rsid w:val="00436BF0"/>
    <w:rsid w:val="00436F3D"/>
    <w:rsid w:val="00437084"/>
    <w:rsid w:val="0043711C"/>
    <w:rsid w:val="004373F9"/>
    <w:rsid w:val="00437488"/>
    <w:rsid w:val="00437667"/>
    <w:rsid w:val="0043769F"/>
    <w:rsid w:val="004376F2"/>
    <w:rsid w:val="00437833"/>
    <w:rsid w:val="004378C1"/>
    <w:rsid w:val="00437972"/>
    <w:rsid w:val="00437978"/>
    <w:rsid w:val="004379E5"/>
    <w:rsid w:val="00437AB6"/>
    <w:rsid w:val="00437DFF"/>
    <w:rsid w:val="00437E22"/>
    <w:rsid w:val="00437F4F"/>
    <w:rsid w:val="00437F85"/>
    <w:rsid w:val="0043E396"/>
    <w:rsid w:val="004400FE"/>
    <w:rsid w:val="0044047D"/>
    <w:rsid w:val="00440635"/>
    <w:rsid w:val="00440738"/>
    <w:rsid w:val="00440870"/>
    <w:rsid w:val="00440AF8"/>
    <w:rsid w:val="00440B00"/>
    <w:rsid w:val="00440DD6"/>
    <w:rsid w:val="00440E8B"/>
    <w:rsid w:val="00440F8E"/>
    <w:rsid w:val="0044103C"/>
    <w:rsid w:val="0044109F"/>
    <w:rsid w:val="004410D7"/>
    <w:rsid w:val="0044111A"/>
    <w:rsid w:val="0044114F"/>
    <w:rsid w:val="00441388"/>
    <w:rsid w:val="0044166A"/>
    <w:rsid w:val="00441941"/>
    <w:rsid w:val="00441A61"/>
    <w:rsid w:val="00441ADA"/>
    <w:rsid w:val="00441AF3"/>
    <w:rsid w:val="00441B07"/>
    <w:rsid w:val="00441C44"/>
    <w:rsid w:val="00441F9D"/>
    <w:rsid w:val="004422D2"/>
    <w:rsid w:val="00442369"/>
    <w:rsid w:val="00442382"/>
    <w:rsid w:val="00442433"/>
    <w:rsid w:val="0044246E"/>
    <w:rsid w:val="004425EB"/>
    <w:rsid w:val="00442631"/>
    <w:rsid w:val="0044277D"/>
    <w:rsid w:val="004427CA"/>
    <w:rsid w:val="00442C9A"/>
    <w:rsid w:val="00442E46"/>
    <w:rsid w:val="00442EBC"/>
    <w:rsid w:val="004430B8"/>
    <w:rsid w:val="0044312D"/>
    <w:rsid w:val="00443372"/>
    <w:rsid w:val="004433C2"/>
    <w:rsid w:val="004434C6"/>
    <w:rsid w:val="00443544"/>
    <w:rsid w:val="00443767"/>
    <w:rsid w:val="004439DF"/>
    <w:rsid w:val="00443B0E"/>
    <w:rsid w:val="00443CB2"/>
    <w:rsid w:val="00443D6A"/>
    <w:rsid w:val="00443DE1"/>
    <w:rsid w:val="00443EB1"/>
    <w:rsid w:val="00443F59"/>
    <w:rsid w:val="00443FA5"/>
    <w:rsid w:val="0044417B"/>
    <w:rsid w:val="00444217"/>
    <w:rsid w:val="00444404"/>
    <w:rsid w:val="00444517"/>
    <w:rsid w:val="0044468B"/>
    <w:rsid w:val="004446F5"/>
    <w:rsid w:val="004446F7"/>
    <w:rsid w:val="0044476C"/>
    <w:rsid w:val="004449E9"/>
    <w:rsid w:val="00444A1E"/>
    <w:rsid w:val="00444B0B"/>
    <w:rsid w:val="00444B2C"/>
    <w:rsid w:val="00444B75"/>
    <w:rsid w:val="00444B79"/>
    <w:rsid w:val="00444C03"/>
    <w:rsid w:val="00444C7D"/>
    <w:rsid w:val="00444D67"/>
    <w:rsid w:val="00444DD4"/>
    <w:rsid w:val="00444EF5"/>
    <w:rsid w:val="00444F1F"/>
    <w:rsid w:val="00445065"/>
    <w:rsid w:val="004450E1"/>
    <w:rsid w:val="00445153"/>
    <w:rsid w:val="004452E7"/>
    <w:rsid w:val="004453BF"/>
    <w:rsid w:val="004456D8"/>
    <w:rsid w:val="004456E8"/>
    <w:rsid w:val="00445766"/>
    <w:rsid w:val="00445BC2"/>
    <w:rsid w:val="00445C43"/>
    <w:rsid w:val="00445DA5"/>
    <w:rsid w:val="00445F08"/>
    <w:rsid w:val="00445F66"/>
    <w:rsid w:val="004464F8"/>
    <w:rsid w:val="004465E8"/>
    <w:rsid w:val="004468B3"/>
    <w:rsid w:val="00446A67"/>
    <w:rsid w:val="00446B2A"/>
    <w:rsid w:val="00446BC7"/>
    <w:rsid w:val="00446C0D"/>
    <w:rsid w:val="00446C8A"/>
    <w:rsid w:val="00446DAA"/>
    <w:rsid w:val="00446F27"/>
    <w:rsid w:val="00447194"/>
    <w:rsid w:val="00447400"/>
    <w:rsid w:val="00447411"/>
    <w:rsid w:val="004477A8"/>
    <w:rsid w:val="004479C7"/>
    <w:rsid w:val="00447AE6"/>
    <w:rsid w:val="00447F20"/>
    <w:rsid w:val="00447F68"/>
    <w:rsid w:val="0045010C"/>
    <w:rsid w:val="00450152"/>
    <w:rsid w:val="00450290"/>
    <w:rsid w:val="004504B5"/>
    <w:rsid w:val="00450626"/>
    <w:rsid w:val="00450718"/>
    <w:rsid w:val="0045097F"/>
    <w:rsid w:val="00450A49"/>
    <w:rsid w:val="00450C4F"/>
    <w:rsid w:val="00450C69"/>
    <w:rsid w:val="00450CDA"/>
    <w:rsid w:val="00450DBF"/>
    <w:rsid w:val="00450F1E"/>
    <w:rsid w:val="00450FA4"/>
    <w:rsid w:val="0045107B"/>
    <w:rsid w:val="004510ED"/>
    <w:rsid w:val="0045112F"/>
    <w:rsid w:val="00451143"/>
    <w:rsid w:val="00451286"/>
    <w:rsid w:val="0045170A"/>
    <w:rsid w:val="004517A2"/>
    <w:rsid w:val="0045182E"/>
    <w:rsid w:val="00451869"/>
    <w:rsid w:val="0045187A"/>
    <w:rsid w:val="004519C7"/>
    <w:rsid w:val="00451A38"/>
    <w:rsid w:val="00451A75"/>
    <w:rsid w:val="00451BA5"/>
    <w:rsid w:val="00451DF7"/>
    <w:rsid w:val="00451E74"/>
    <w:rsid w:val="004521A6"/>
    <w:rsid w:val="004521A9"/>
    <w:rsid w:val="00452249"/>
    <w:rsid w:val="004522C7"/>
    <w:rsid w:val="00452407"/>
    <w:rsid w:val="00452412"/>
    <w:rsid w:val="004524A4"/>
    <w:rsid w:val="004525A0"/>
    <w:rsid w:val="004525C9"/>
    <w:rsid w:val="004525F4"/>
    <w:rsid w:val="0045268E"/>
    <w:rsid w:val="00452723"/>
    <w:rsid w:val="0045273C"/>
    <w:rsid w:val="004528FC"/>
    <w:rsid w:val="00452B0D"/>
    <w:rsid w:val="00452B26"/>
    <w:rsid w:val="00452DC8"/>
    <w:rsid w:val="00452ED6"/>
    <w:rsid w:val="004531B6"/>
    <w:rsid w:val="00453423"/>
    <w:rsid w:val="00453504"/>
    <w:rsid w:val="004535B1"/>
    <w:rsid w:val="0045362B"/>
    <w:rsid w:val="004536DA"/>
    <w:rsid w:val="00453769"/>
    <w:rsid w:val="0045378D"/>
    <w:rsid w:val="004537A5"/>
    <w:rsid w:val="00453A9E"/>
    <w:rsid w:val="00453BB2"/>
    <w:rsid w:val="00453C19"/>
    <w:rsid w:val="00453D02"/>
    <w:rsid w:val="00453E85"/>
    <w:rsid w:val="00453EA8"/>
    <w:rsid w:val="00453ED3"/>
    <w:rsid w:val="00453F44"/>
    <w:rsid w:val="00453FFD"/>
    <w:rsid w:val="00454636"/>
    <w:rsid w:val="00454755"/>
    <w:rsid w:val="004549A5"/>
    <w:rsid w:val="00454AD7"/>
    <w:rsid w:val="00454B1E"/>
    <w:rsid w:val="00454C54"/>
    <w:rsid w:val="00454D2A"/>
    <w:rsid w:val="00454DA0"/>
    <w:rsid w:val="00454E32"/>
    <w:rsid w:val="00454E61"/>
    <w:rsid w:val="00454EAF"/>
    <w:rsid w:val="00454F62"/>
    <w:rsid w:val="0045501D"/>
    <w:rsid w:val="00455029"/>
    <w:rsid w:val="0045506D"/>
    <w:rsid w:val="004550D8"/>
    <w:rsid w:val="00455333"/>
    <w:rsid w:val="004553E0"/>
    <w:rsid w:val="00455428"/>
    <w:rsid w:val="00455438"/>
    <w:rsid w:val="00455700"/>
    <w:rsid w:val="0045585B"/>
    <w:rsid w:val="004558D6"/>
    <w:rsid w:val="00455992"/>
    <w:rsid w:val="00455C76"/>
    <w:rsid w:val="00455EC8"/>
    <w:rsid w:val="00455F6F"/>
    <w:rsid w:val="00456023"/>
    <w:rsid w:val="004560EC"/>
    <w:rsid w:val="004561A3"/>
    <w:rsid w:val="004561DC"/>
    <w:rsid w:val="00456488"/>
    <w:rsid w:val="004564B7"/>
    <w:rsid w:val="004565B4"/>
    <w:rsid w:val="004568A7"/>
    <w:rsid w:val="00456A32"/>
    <w:rsid w:val="00456A6E"/>
    <w:rsid w:val="00456A7A"/>
    <w:rsid w:val="00456ABF"/>
    <w:rsid w:val="00456C48"/>
    <w:rsid w:val="00456C5D"/>
    <w:rsid w:val="00456CA9"/>
    <w:rsid w:val="00456E96"/>
    <w:rsid w:val="0045714B"/>
    <w:rsid w:val="004571DE"/>
    <w:rsid w:val="004571EF"/>
    <w:rsid w:val="00457264"/>
    <w:rsid w:val="004572FD"/>
    <w:rsid w:val="0045743F"/>
    <w:rsid w:val="0045755E"/>
    <w:rsid w:val="0045760E"/>
    <w:rsid w:val="00457722"/>
    <w:rsid w:val="00457791"/>
    <w:rsid w:val="004578C6"/>
    <w:rsid w:val="004579FA"/>
    <w:rsid w:val="00457AD1"/>
    <w:rsid w:val="00457AEB"/>
    <w:rsid w:val="00457C72"/>
    <w:rsid w:val="00457E6C"/>
    <w:rsid w:val="00457F5F"/>
    <w:rsid w:val="00460063"/>
    <w:rsid w:val="00460739"/>
    <w:rsid w:val="00460797"/>
    <w:rsid w:val="0046091B"/>
    <w:rsid w:val="00460952"/>
    <w:rsid w:val="00460A8B"/>
    <w:rsid w:val="00460CB9"/>
    <w:rsid w:val="00460E1B"/>
    <w:rsid w:val="00460FE6"/>
    <w:rsid w:val="00460FEE"/>
    <w:rsid w:val="00461105"/>
    <w:rsid w:val="004613D6"/>
    <w:rsid w:val="0046147C"/>
    <w:rsid w:val="004614F4"/>
    <w:rsid w:val="004616BD"/>
    <w:rsid w:val="004616E7"/>
    <w:rsid w:val="00461837"/>
    <w:rsid w:val="004619B2"/>
    <w:rsid w:val="00461B3F"/>
    <w:rsid w:val="00461B56"/>
    <w:rsid w:val="00461F97"/>
    <w:rsid w:val="004620B8"/>
    <w:rsid w:val="0046217B"/>
    <w:rsid w:val="00462442"/>
    <w:rsid w:val="0046253C"/>
    <w:rsid w:val="00462675"/>
    <w:rsid w:val="00462800"/>
    <w:rsid w:val="00462806"/>
    <w:rsid w:val="0046292D"/>
    <w:rsid w:val="004629D6"/>
    <w:rsid w:val="00462A97"/>
    <w:rsid w:val="00462DBB"/>
    <w:rsid w:val="00462E3E"/>
    <w:rsid w:val="00462EB6"/>
    <w:rsid w:val="00463125"/>
    <w:rsid w:val="0046332E"/>
    <w:rsid w:val="00463335"/>
    <w:rsid w:val="00463472"/>
    <w:rsid w:val="00463569"/>
    <w:rsid w:val="004636C7"/>
    <w:rsid w:val="00463A7B"/>
    <w:rsid w:val="00463C74"/>
    <w:rsid w:val="00463CB5"/>
    <w:rsid w:val="00463CEC"/>
    <w:rsid w:val="00463D5F"/>
    <w:rsid w:val="00463EA6"/>
    <w:rsid w:val="00464096"/>
    <w:rsid w:val="004640FA"/>
    <w:rsid w:val="00464858"/>
    <w:rsid w:val="00464954"/>
    <w:rsid w:val="00464A49"/>
    <w:rsid w:val="00464A54"/>
    <w:rsid w:val="00464B44"/>
    <w:rsid w:val="00464BC0"/>
    <w:rsid w:val="00464C31"/>
    <w:rsid w:val="00464C68"/>
    <w:rsid w:val="00464EEF"/>
    <w:rsid w:val="00464FEE"/>
    <w:rsid w:val="00465344"/>
    <w:rsid w:val="00465577"/>
    <w:rsid w:val="00465A88"/>
    <w:rsid w:val="00465B46"/>
    <w:rsid w:val="00465BAB"/>
    <w:rsid w:val="00465D92"/>
    <w:rsid w:val="004663D3"/>
    <w:rsid w:val="00466495"/>
    <w:rsid w:val="004665DE"/>
    <w:rsid w:val="00466726"/>
    <w:rsid w:val="00466734"/>
    <w:rsid w:val="004668A6"/>
    <w:rsid w:val="0046699D"/>
    <w:rsid w:val="00466AC6"/>
    <w:rsid w:val="00466B41"/>
    <w:rsid w:val="00466B47"/>
    <w:rsid w:val="00466D68"/>
    <w:rsid w:val="00466F5F"/>
    <w:rsid w:val="00466FC9"/>
    <w:rsid w:val="0046718C"/>
    <w:rsid w:val="00467208"/>
    <w:rsid w:val="00467239"/>
    <w:rsid w:val="0046725C"/>
    <w:rsid w:val="00467308"/>
    <w:rsid w:val="0046742A"/>
    <w:rsid w:val="004674D0"/>
    <w:rsid w:val="0046757B"/>
    <w:rsid w:val="004675CE"/>
    <w:rsid w:val="00467602"/>
    <w:rsid w:val="00467632"/>
    <w:rsid w:val="004676D1"/>
    <w:rsid w:val="004678D1"/>
    <w:rsid w:val="00467901"/>
    <w:rsid w:val="00467A8B"/>
    <w:rsid w:val="00467D9A"/>
    <w:rsid w:val="00467F08"/>
    <w:rsid w:val="00470094"/>
    <w:rsid w:val="0047018B"/>
    <w:rsid w:val="004701B3"/>
    <w:rsid w:val="004701C3"/>
    <w:rsid w:val="004701C9"/>
    <w:rsid w:val="00470281"/>
    <w:rsid w:val="004703A0"/>
    <w:rsid w:val="004705E9"/>
    <w:rsid w:val="00470666"/>
    <w:rsid w:val="0047069F"/>
    <w:rsid w:val="00470AEF"/>
    <w:rsid w:val="00470BA1"/>
    <w:rsid w:val="00470F65"/>
    <w:rsid w:val="00471146"/>
    <w:rsid w:val="0047123F"/>
    <w:rsid w:val="00471247"/>
    <w:rsid w:val="0047154A"/>
    <w:rsid w:val="00471553"/>
    <w:rsid w:val="004716CF"/>
    <w:rsid w:val="004718DD"/>
    <w:rsid w:val="00471F0F"/>
    <w:rsid w:val="00471F30"/>
    <w:rsid w:val="0047241E"/>
    <w:rsid w:val="0047255C"/>
    <w:rsid w:val="004727F5"/>
    <w:rsid w:val="00472827"/>
    <w:rsid w:val="0047299E"/>
    <w:rsid w:val="004729A5"/>
    <w:rsid w:val="00472A9C"/>
    <w:rsid w:val="00472CCA"/>
    <w:rsid w:val="00472D17"/>
    <w:rsid w:val="00473208"/>
    <w:rsid w:val="00473301"/>
    <w:rsid w:val="004733A7"/>
    <w:rsid w:val="004733A8"/>
    <w:rsid w:val="004733BF"/>
    <w:rsid w:val="004733CA"/>
    <w:rsid w:val="004733E8"/>
    <w:rsid w:val="0047346F"/>
    <w:rsid w:val="0047387C"/>
    <w:rsid w:val="0047388E"/>
    <w:rsid w:val="00473894"/>
    <w:rsid w:val="00473A09"/>
    <w:rsid w:val="00473CAB"/>
    <w:rsid w:val="00473D86"/>
    <w:rsid w:val="00474065"/>
    <w:rsid w:val="004741D7"/>
    <w:rsid w:val="004744D2"/>
    <w:rsid w:val="0047462E"/>
    <w:rsid w:val="004746D5"/>
    <w:rsid w:val="0047492B"/>
    <w:rsid w:val="00474A9A"/>
    <w:rsid w:val="00474AD8"/>
    <w:rsid w:val="00474C30"/>
    <w:rsid w:val="00474E54"/>
    <w:rsid w:val="00474EE7"/>
    <w:rsid w:val="00474F36"/>
    <w:rsid w:val="00475079"/>
    <w:rsid w:val="0047524D"/>
    <w:rsid w:val="004753FB"/>
    <w:rsid w:val="004754C4"/>
    <w:rsid w:val="00475529"/>
    <w:rsid w:val="00475562"/>
    <w:rsid w:val="00475609"/>
    <w:rsid w:val="00475637"/>
    <w:rsid w:val="004756B5"/>
    <w:rsid w:val="0047573B"/>
    <w:rsid w:val="0047580A"/>
    <w:rsid w:val="004758C0"/>
    <w:rsid w:val="00475914"/>
    <w:rsid w:val="0047596A"/>
    <w:rsid w:val="00475A88"/>
    <w:rsid w:val="00475C8D"/>
    <w:rsid w:val="00475EB0"/>
    <w:rsid w:val="004762A8"/>
    <w:rsid w:val="00476328"/>
    <w:rsid w:val="00476334"/>
    <w:rsid w:val="0047634E"/>
    <w:rsid w:val="004764F4"/>
    <w:rsid w:val="00476503"/>
    <w:rsid w:val="0047655A"/>
    <w:rsid w:val="004765EE"/>
    <w:rsid w:val="004766C5"/>
    <w:rsid w:val="0047681A"/>
    <w:rsid w:val="00476AF9"/>
    <w:rsid w:val="00476C3E"/>
    <w:rsid w:val="00476C86"/>
    <w:rsid w:val="00476E9E"/>
    <w:rsid w:val="00476EA2"/>
    <w:rsid w:val="00476F29"/>
    <w:rsid w:val="00476F70"/>
    <w:rsid w:val="00477034"/>
    <w:rsid w:val="00477041"/>
    <w:rsid w:val="00477162"/>
    <w:rsid w:val="00477348"/>
    <w:rsid w:val="004773AA"/>
    <w:rsid w:val="00477490"/>
    <w:rsid w:val="004774E3"/>
    <w:rsid w:val="004775E4"/>
    <w:rsid w:val="0047775A"/>
    <w:rsid w:val="004778EB"/>
    <w:rsid w:val="00477A0F"/>
    <w:rsid w:val="00477AB6"/>
    <w:rsid w:val="00477EB9"/>
    <w:rsid w:val="00477EEA"/>
    <w:rsid w:val="00477FE9"/>
    <w:rsid w:val="004800C9"/>
    <w:rsid w:val="00480336"/>
    <w:rsid w:val="0048035E"/>
    <w:rsid w:val="00480712"/>
    <w:rsid w:val="00480866"/>
    <w:rsid w:val="004808A9"/>
    <w:rsid w:val="00480917"/>
    <w:rsid w:val="00480951"/>
    <w:rsid w:val="00480BA7"/>
    <w:rsid w:val="00480C36"/>
    <w:rsid w:val="00480D2A"/>
    <w:rsid w:val="00480D36"/>
    <w:rsid w:val="00480DF5"/>
    <w:rsid w:val="00480F35"/>
    <w:rsid w:val="00481083"/>
    <w:rsid w:val="00481209"/>
    <w:rsid w:val="00481213"/>
    <w:rsid w:val="00481468"/>
    <w:rsid w:val="004814B8"/>
    <w:rsid w:val="00481561"/>
    <w:rsid w:val="004816B2"/>
    <w:rsid w:val="00481B0D"/>
    <w:rsid w:val="00481B95"/>
    <w:rsid w:val="00481EF1"/>
    <w:rsid w:val="004823D1"/>
    <w:rsid w:val="0048242A"/>
    <w:rsid w:val="00482628"/>
    <w:rsid w:val="00482775"/>
    <w:rsid w:val="0048283E"/>
    <w:rsid w:val="00482993"/>
    <w:rsid w:val="00482A6D"/>
    <w:rsid w:val="00482BC1"/>
    <w:rsid w:val="00482D1F"/>
    <w:rsid w:val="00482D59"/>
    <w:rsid w:val="00482D5B"/>
    <w:rsid w:val="00482D9F"/>
    <w:rsid w:val="00482E3E"/>
    <w:rsid w:val="004830AB"/>
    <w:rsid w:val="004830E7"/>
    <w:rsid w:val="004830F8"/>
    <w:rsid w:val="00483118"/>
    <w:rsid w:val="004831AB"/>
    <w:rsid w:val="00483391"/>
    <w:rsid w:val="004833F1"/>
    <w:rsid w:val="0048340B"/>
    <w:rsid w:val="00483444"/>
    <w:rsid w:val="0048349A"/>
    <w:rsid w:val="00483724"/>
    <w:rsid w:val="0048373E"/>
    <w:rsid w:val="00483755"/>
    <w:rsid w:val="004837A2"/>
    <w:rsid w:val="00483863"/>
    <w:rsid w:val="004838E0"/>
    <w:rsid w:val="00483C28"/>
    <w:rsid w:val="00483C7A"/>
    <w:rsid w:val="00483D8A"/>
    <w:rsid w:val="00483DF5"/>
    <w:rsid w:val="00483ED7"/>
    <w:rsid w:val="004840AB"/>
    <w:rsid w:val="004840FD"/>
    <w:rsid w:val="00484206"/>
    <w:rsid w:val="00484390"/>
    <w:rsid w:val="0048440F"/>
    <w:rsid w:val="00484709"/>
    <w:rsid w:val="00484A45"/>
    <w:rsid w:val="00484D35"/>
    <w:rsid w:val="00484D4E"/>
    <w:rsid w:val="00484EB3"/>
    <w:rsid w:val="00484F6F"/>
    <w:rsid w:val="00485027"/>
    <w:rsid w:val="00485055"/>
    <w:rsid w:val="0048530A"/>
    <w:rsid w:val="00485315"/>
    <w:rsid w:val="0048596C"/>
    <w:rsid w:val="00485B44"/>
    <w:rsid w:val="00485C42"/>
    <w:rsid w:val="00485C68"/>
    <w:rsid w:val="00485C69"/>
    <w:rsid w:val="00485CFC"/>
    <w:rsid w:val="00485D3C"/>
    <w:rsid w:val="00485D84"/>
    <w:rsid w:val="00485E64"/>
    <w:rsid w:val="00485E68"/>
    <w:rsid w:val="00485EE5"/>
    <w:rsid w:val="0048601C"/>
    <w:rsid w:val="0048630A"/>
    <w:rsid w:val="00486438"/>
    <w:rsid w:val="004865BE"/>
    <w:rsid w:val="0048670C"/>
    <w:rsid w:val="0048695F"/>
    <w:rsid w:val="00486B86"/>
    <w:rsid w:val="00486C4F"/>
    <w:rsid w:val="00486D56"/>
    <w:rsid w:val="00486D6C"/>
    <w:rsid w:val="00486F4A"/>
    <w:rsid w:val="004871DC"/>
    <w:rsid w:val="00487349"/>
    <w:rsid w:val="0048735C"/>
    <w:rsid w:val="0048756F"/>
    <w:rsid w:val="004875B3"/>
    <w:rsid w:val="00487726"/>
    <w:rsid w:val="0048780B"/>
    <w:rsid w:val="004878CE"/>
    <w:rsid w:val="0048799B"/>
    <w:rsid w:val="00487A61"/>
    <w:rsid w:val="00487CAC"/>
    <w:rsid w:val="00487CAD"/>
    <w:rsid w:val="00487E12"/>
    <w:rsid w:val="00487FE6"/>
    <w:rsid w:val="00487FF4"/>
    <w:rsid w:val="0049013C"/>
    <w:rsid w:val="00490170"/>
    <w:rsid w:val="004902B1"/>
    <w:rsid w:val="004902CA"/>
    <w:rsid w:val="004903CC"/>
    <w:rsid w:val="004904B5"/>
    <w:rsid w:val="004905BD"/>
    <w:rsid w:val="00490788"/>
    <w:rsid w:val="00490880"/>
    <w:rsid w:val="00490BC7"/>
    <w:rsid w:val="00490C44"/>
    <w:rsid w:val="00490DC1"/>
    <w:rsid w:val="00490DDD"/>
    <w:rsid w:val="00490E22"/>
    <w:rsid w:val="00490EC3"/>
    <w:rsid w:val="00490F21"/>
    <w:rsid w:val="00490F28"/>
    <w:rsid w:val="00490FB1"/>
    <w:rsid w:val="00490FB9"/>
    <w:rsid w:val="004911AB"/>
    <w:rsid w:val="00491236"/>
    <w:rsid w:val="00491329"/>
    <w:rsid w:val="004913BB"/>
    <w:rsid w:val="004914E9"/>
    <w:rsid w:val="00491655"/>
    <w:rsid w:val="004917AE"/>
    <w:rsid w:val="004917C3"/>
    <w:rsid w:val="004917FA"/>
    <w:rsid w:val="004919DD"/>
    <w:rsid w:val="00491C7A"/>
    <w:rsid w:val="00491CE0"/>
    <w:rsid w:val="00491D24"/>
    <w:rsid w:val="004923A4"/>
    <w:rsid w:val="004923DD"/>
    <w:rsid w:val="0049250E"/>
    <w:rsid w:val="004927E6"/>
    <w:rsid w:val="00492941"/>
    <w:rsid w:val="00492979"/>
    <w:rsid w:val="004929E8"/>
    <w:rsid w:val="00492B1D"/>
    <w:rsid w:val="00492C4E"/>
    <w:rsid w:val="00492E53"/>
    <w:rsid w:val="00492FC1"/>
    <w:rsid w:val="00493074"/>
    <w:rsid w:val="00493108"/>
    <w:rsid w:val="00493223"/>
    <w:rsid w:val="0049334E"/>
    <w:rsid w:val="0049335A"/>
    <w:rsid w:val="00493392"/>
    <w:rsid w:val="0049345D"/>
    <w:rsid w:val="00493874"/>
    <w:rsid w:val="00493CD7"/>
    <w:rsid w:val="00493DA6"/>
    <w:rsid w:val="00493DF1"/>
    <w:rsid w:val="00493F26"/>
    <w:rsid w:val="00493F67"/>
    <w:rsid w:val="004940AB"/>
    <w:rsid w:val="00494126"/>
    <w:rsid w:val="00494150"/>
    <w:rsid w:val="0049456F"/>
    <w:rsid w:val="004946B6"/>
    <w:rsid w:val="00494835"/>
    <w:rsid w:val="004948C2"/>
    <w:rsid w:val="00494A17"/>
    <w:rsid w:val="00494A91"/>
    <w:rsid w:val="00494A96"/>
    <w:rsid w:val="00494AE5"/>
    <w:rsid w:val="00494C6D"/>
    <w:rsid w:val="00494C7D"/>
    <w:rsid w:val="00494CD2"/>
    <w:rsid w:val="00494F22"/>
    <w:rsid w:val="00494FBF"/>
    <w:rsid w:val="00495173"/>
    <w:rsid w:val="0049519D"/>
    <w:rsid w:val="004951F4"/>
    <w:rsid w:val="004955EA"/>
    <w:rsid w:val="00495670"/>
    <w:rsid w:val="004956F6"/>
    <w:rsid w:val="00495AC6"/>
    <w:rsid w:val="00495D13"/>
    <w:rsid w:val="00495DF8"/>
    <w:rsid w:val="00495E8D"/>
    <w:rsid w:val="00495F81"/>
    <w:rsid w:val="00496163"/>
    <w:rsid w:val="0049618F"/>
    <w:rsid w:val="004961A7"/>
    <w:rsid w:val="004963D0"/>
    <w:rsid w:val="00496636"/>
    <w:rsid w:val="004966AF"/>
    <w:rsid w:val="00496B9C"/>
    <w:rsid w:val="00496DE3"/>
    <w:rsid w:val="00496F08"/>
    <w:rsid w:val="00496F3F"/>
    <w:rsid w:val="00496F4A"/>
    <w:rsid w:val="00496FCF"/>
    <w:rsid w:val="00496FD4"/>
    <w:rsid w:val="00497021"/>
    <w:rsid w:val="00497093"/>
    <w:rsid w:val="00497217"/>
    <w:rsid w:val="0049722D"/>
    <w:rsid w:val="00497474"/>
    <w:rsid w:val="0049755F"/>
    <w:rsid w:val="0049776C"/>
    <w:rsid w:val="00497818"/>
    <w:rsid w:val="00497A7A"/>
    <w:rsid w:val="00497A7E"/>
    <w:rsid w:val="00497AAA"/>
    <w:rsid w:val="00497D64"/>
    <w:rsid w:val="00497D6C"/>
    <w:rsid w:val="00497DE8"/>
    <w:rsid w:val="004A007E"/>
    <w:rsid w:val="004A01D0"/>
    <w:rsid w:val="004A01DE"/>
    <w:rsid w:val="004A02A5"/>
    <w:rsid w:val="004A02FC"/>
    <w:rsid w:val="004A04EA"/>
    <w:rsid w:val="004A08EC"/>
    <w:rsid w:val="004A08F5"/>
    <w:rsid w:val="004A0C7B"/>
    <w:rsid w:val="004A0C81"/>
    <w:rsid w:val="004A0E19"/>
    <w:rsid w:val="004A1032"/>
    <w:rsid w:val="004A1095"/>
    <w:rsid w:val="004A10ED"/>
    <w:rsid w:val="004A1110"/>
    <w:rsid w:val="004A1230"/>
    <w:rsid w:val="004A124A"/>
    <w:rsid w:val="004A1269"/>
    <w:rsid w:val="004A13DD"/>
    <w:rsid w:val="004A141E"/>
    <w:rsid w:val="004A1708"/>
    <w:rsid w:val="004A170E"/>
    <w:rsid w:val="004A17AB"/>
    <w:rsid w:val="004A17FD"/>
    <w:rsid w:val="004A1844"/>
    <w:rsid w:val="004A1A63"/>
    <w:rsid w:val="004A1AD4"/>
    <w:rsid w:val="004A1B51"/>
    <w:rsid w:val="004A1C07"/>
    <w:rsid w:val="004A1D16"/>
    <w:rsid w:val="004A1D36"/>
    <w:rsid w:val="004A1E26"/>
    <w:rsid w:val="004A1F3C"/>
    <w:rsid w:val="004A208E"/>
    <w:rsid w:val="004A2163"/>
    <w:rsid w:val="004A218E"/>
    <w:rsid w:val="004A23CC"/>
    <w:rsid w:val="004A25AB"/>
    <w:rsid w:val="004A2667"/>
    <w:rsid w:val="004A2B2B"/>
    <w:rsid w:val="004A2B2C"/>
    <w:rsid w:val="004A2C48"/>
    <w:rsid w:val="004A2C99"/>
    <w:rsid w:val="004A2CFC"/>
    <w:rsid w:val="004A2D44"/>
    <w:rsid w:val="004A2DB2"/>
    <w:rsid w:val="004A2E1D"/>
    <w:rsid w:val="004A2F9E"/>
    <w:rsid w:val="004A2FC8"/>
    <w:rsid w:val="004A308E"/>
    <w:rsid w:val="004A30FB"/>
    <w:rsid w:val="004A310E"/>
    <w:rsid w:val="004A321B"/>
    <w:rsid w:val="004A33BD"/>
    <w:rsid w:val="004A37EC"/>
    <w:rsid w:val="004A3934"/>
    <w:rsid w:val="004A3AB9"/>
    <w:rsid w:val="004A3BAD"/>
    <w:rsid w:val="004A3BDB"/>
    <w:rsid w:val="004A3CA5"/>
    <w:rsid w:val="004A3F75"/>
    <w:rsid w:val="004A4053"/>
    <w:rsid w:val="004A4946"/>
    <w:rsid w:val="004A4987"/>
    <w:rsid w:val="004A4A46"/>
    <w:rsid w:val="004A4AF0"/>
    <w:rsid w:val="004A4D1E"/>
    <w:rsid w:val="004A509A"/>
    <w:rsid w:val="004A5150"/>
    <w:rsid w:val="004A52B4"/>
    <w:rsid w:val="004A52C4"/>
    <w:rsid w:val="004A52E2"/>
    <w:rsid w:val="004A54AC"/>
    <w:rsid w:val="004A55A1"/>
    <w:rsid w:val="004A568D"/>
    <w:rsid w:val="004A56E9"/>
    <w:rsid w:val="004A574E"/>
    <w:rsid w:val="004A581B"/>
    <w:rsid w:val="004A59A1"/>
    <w:rsid w:val="004A5C06"/>
    <w:rsid w:val="004A5C4D"/>
    <w:rsid w:val="004A5D50"/>
    <w:rsid w:val="004A5DDD"/>
    <w:rsid w:val="004A5F09"/>
    <w:rsid w:val="004A5F57"/>
    <w:rsid w:val="004A5FC8"/>
    <w:rsid w:val="004A60F9"/>
    <w:rsid w:val="004A6143"/>
    <w:rsid w:val="004A61C8"/>
    <w:rsid w:val="004A6242"/>
    <w:rsid w:val="004A639D"/>
    <w:rsid w:val="004A6495"/>
    <w:rsid w:val="004A65F2"/>
    <w:rsid w:val="004A65F7"/>
    <w:rsid w:val="004A660E"/>
    <w:rsid w:val="004A66F1"/>
    <w:rsid w:val="004A6765"/>
    <w:rsid w:val="004A686B"/>
    <w:rsid w:val="004A68F3"/>
    <w:rsid w:val="004A6B18"/>
    <w:rsid w:val="004A6B39"/>
    <w:rsid w:val="004A6B3B"/>
    <w:rsid w:val="004A6B4D"/>
    <w:rsid w:val="004A6B57"/>
    <w:rsid w:val="004A6D13"/>
    <w:rsid w:val="004A6DA0"/>
    <w:rsid w:val="004A6E77"/>
    <w:rsid w:val="004A7251"/>
    <w:rsid w:val="004A7294"/>
    <w:rsid w:val="004A7435"/>
    <w:rsid w:val="004A744B"/>
    <w:rsid w:val="004A757E"/>
    <w:rsid w:val="004A75BB"/>
    <w:rsid w:val="004A7879"/>
    <w:rsid w:val="004A78B5"/>
    <w:rsid w:val="004A7A5F"/>
    <w:rsid w:val="004A7AA3"/>
    <w:rsid w:val="004A7C08"/>
    <w:rsid w:val="004A7CA9"/>
    <w:rsid w:val="004A7D14"/>
    <w:rsid w:val="004B0043"/>
    <w:rsid w:val="004B018E"/>
    <w:rsid w:val="004B020C"/>
    <w:rsid w:val="004B0222"/>
    <w:rsid w:val="004B0287"/>
    <w:rsid w:val="004B05B0"/>
    <w:rsid w:val="004B05E0"/>
    <w:rsid w:val="004B069E"/>
    <w:rsid w:val="004B0700"/>
    <w:rsid w:val="004B0716"/>
    <w:rsid w:val="004B0915"/>
    <w:rsid w:val="004B092A"/>
    <w:rsid w:val="004B0A14"/>
    <w:rsid w:val="004B0C5F"/>
    <w:rsid w:val="004B0E4E"/>
    <w:rsid w:val="004B0F96"/>
    <w:rsid w:val="004B1356"/>
    <w:rsid w:val="004B14AA"/>
    <w:rsid w:val="004B16A2"/>
    <w:rsid w:val="004B1754"/>
    <w:rsid w:val="004B1839"/>
    <w:rsid w:val="004B1887"/>
    <w:rsid w:val="004B1C5A"/>
    <w:rsid w:val="004B1C90"/>
    <w:rsid w:val="004B1CC0"/>
    <w:rsid w:val="004B1CFD"/>
    <w:rsid w:val="004B1DF2"/>
    <w:rsid w:val="004B1E6D"/>
    <w:rsid w:val="004B1E8D"/>
    <w:rsid w:val="004B202E"/>
    <w:rsid w:val="004B20D2"/>
    <w:rsid w:val="004B20D4"/>
    <w:rsid w:val="004B2148"/>
    <w:rsid w:val="004B2245"/>
    <w:rsid w:val="004B2353"/>
    <w:rsid w:val="004B24AF"/>
    <w:rsid w:val="004B24CB"/>
    <w:rsid w:val="004B289D"/>
    <w:rsid w:val="004B28BB"/>
    <w:rsid w:val="004B2A4A"/>
    <w:rsid w:val="004B2BAC"/>
    <w:rsid w:val="004B2BC0"/>
    <w:rsid w:val="004B2D7E"/>
    <w:rsid w:val="004B2E1B"/>
    <w:rsid w:val="004B2E77"/>
    <w:rsid w:val="004B2F3C"/>
    <w:rsid w:val="004B3131"/>
    <w:rsid w:val="004B31C2"/>
    <w:rsid w:val="004B3225"/>
    <w:rsid w:val="004B3274"/>
    <w:rsid w:val="004B3435"/>
    <w:rsid w:val="004B348D"/>
    <w:rsid w:val="004B3580"/>
    <w:rsid w:val="004B36FE"/>
    <w:rsid w:val="004B393A"/>
    <w:rsid w:val="004B3944"/>
    <w:rsid w:val="004B3B50"/>
    <w:rsid w:val="004B3D47"/>
    <w:rsid w:val="004B3DC7"/>
    <w:rsid w:val="004B3F31"/>
    <w:rsid w:val="004B403C"/>
    <w:rsid w:val="004B40DF"/>
    <w:rsid w:val="004B4141"/>
    <w:rsid w:val="004B41AD"/>
    <w:rsid w:val="004B4293"/>
    <w:rsid w:val="004B431E"/>
    <w:rsid w:val="004B4595"/>
    <w:rsid w:val="004B45EA"/>
    <w:rsid w:val="004B4600"/>
    <w:rsid w:val="004B46E1"/>
    <w:rsid w:val="004B4859"/>
    <w:rsid w:val="004B48BB"/>
    <w:rsid w:val="004B497A"/>
    <w:rsid w:val="004B4A81"/>
    <w:rsid w:val="004B4DFF"/>
    <w:rsid w:val="004B4E7A"/>
    <w:rsid w:val="004B4FAF"/>
    <w:rsid w:val="004B514A"/>
    <w:rsid w:val="004B528B"/>
    <w:rsid w:val="004B52EF"/>
    <w:rsid w:val="004B53BA"/>
    <w:rsid w:val="004B5451"/>
    <w:rsid w:val="004B563C"/>
    <w:rsid w:val="004B5691"/>
    <w:rsid w:val="004B5743"/>
    <w:rsid w:val="004B57E5"/>
    <w:rsid w:val="004B58FA"/>
    <w:rsid w:val="004B5CB1"/>
    <w:rsid w:val="004B5EFA"/>
    <w:rsid w:val="004B5F5A"/>
    <w:rsid w:val="004B5F6E"/>
    <w:rsid w:val="004B61D7"/>
    <w:rsid w:val="004B620C"/>
    <w:rsid w:val="004B6418"/>
    <w:rsid w:val="004B6885"/>
    <w:rsid w:val="004B68DC"/>
    <w:rsid w:val="004B693C"/>
    <w:rsid w:val="004B69E1"/>
    <w:rsid w:val="004B6ACE"/>
    <w:rsid w:val="004B6B43"/>
    <w:rsid w:val="004B6DE0"/>
    <w:rsid w:val="004B726A"/>
    <w:rsid w:val="004B74F6"/>
    <w:rsid w:val="004B7514"/>
    <w:rsid w:val="004B75ED"/>
    <w:rsid w:val="004B7721"/>
    <w:rsid w:val="004B78BA"/>
    <w:rsid w:val="004B78D0"/>
    <w:rsid w:val="004B7921"/>
    <w:rsid w:val="004B7A2A"/>
    <w:rsid w:val="004B7B9F"/>
    <w:rsid w:val="004B7C3E"/>
    <w:rsid w:val="004B7CC1"/>
    <w:rsid w:val="004B7E2E"/>
    <w:rsid w:val="004C0041"/>
    <w:rsid w:val="004C00D9"/>
    <w:rsid w:val="004C0132"/>
    <w:rsid w:val="004C020C"/>
    <w:rsid w:val="004C0749"/>
    <w:rsid w:val="004C0768"/>
    <w:rsid w:val="004C0865"/>
    <w:rsid w:val="004C086A"/>
    <w:rsid w:val="004C0978"/>
    <w:rsid w:val="004C09F9"/>
    <w:rsid w:val="004C0A2B"/>
    <w:rsid w:val="004C0AF1"/>
    <w:rsid w:val="004C0D07"/>
    <w:rsid w:val="004C0D14"/>
    <w:rsid w:val="004C0EC4"/>
    <w:rsid w:val="004C100C"/>
    <w:rsid w:val="004C108E"/>
    <w:rsid w:val="004C1107"/>
    <w:rsid w:val="004C11D0"/>
    <w:rsid w:val="004C1327"/>
    <w:rsid w:val="004C1445"/>
    <w:rsid w:val="004C1446"/>
    <w:rsid w:val="004C14A5"/>
    <w:rsid w:val="004C15CD"/>
    <w:rsid w:val="004C16AD"/>
    <w:rsid w:val="004C179C"/>
    <w:rsid w:val="004C187B"/>
    <w:rsid w:val="004C1894"/>
    <w:rsid w:val="004C18B2"/>
    <w:rsid w:val="004C18D2"/>
    <w:rsid w:val="004C1992"/>
    <w:rsid w:val="004C19A8"/>
    <w:rsid w:val="004C19AA"/>
    <w:rsid w:val="004C1B81"/>
    <w:rsid w:val="004C1C63"/>
    <w:rsid w:val="004C1D53"/>
    <w:rsid w:val="004C1EA1"/>
    <w:rsid w:val="004C1FEB"/>
    <w:rsid w:val="004C268F"/>
    <w:rsid w:val="004C2793"/>
    <w:rsid w:val="004C29F5"/>
    <w:rsid w:val="004C2A60"/>
    <w:rsid w:val="004C2D86"/>
    <w:rsid w:val="004C2F1F"/>
    <w:rsid w:val="004C3025"/>
    <w:rsid w:val="004C3233"/>
    <w:rsid w:val="004C326F"/>
    <w:rsid w:val="004C32D9"/>
    <w:rsid w:val="004C33E7"/>
    <w:rsid w:val="004C344B"/>
    <w:rsid w:val="004C35BA"/>
    <w:rsid w:val="004C3735"/>
    <w:rsid w:val="004C385E"/>
    <w:rsid w:val="004C38C1"/>
    <w:rsid w:val="004C3A10"/>
    <w:rsid w:val="004C3B47"/>
    <w:rsid w:val="004C3BB8"/>
    <w:rsid w:val="004C3C20"/>
    <w:rsid w:val="004C3FEA"/>
    <w:rsid w:val="004C4145"/>
    <w:rsid w:val="004C41CF"/>
    <w:rsid w:val="004C4255"/>
    <w:rsid w:val="004C42A3"/>
    <w:rsid w:val="004C42E4"/>
    <w:rsid w:val="004C4309"/>
    <w:rsid w:val="004C4409"/>
    <w:rsid w:val="004C446F"/>
    <w:rsid w:val="004C44B4"/>
    <w:rsid w:val="004C454C"/>
    <w:rsid w:val="004C45BB"/>
    <w:rsid w:val="004C46B6"/>
    <w:rsid w:val="004C46FC"/>
    <w:rsid w:val="004C4705"/>
    <w:rsid w:val="004C49B8"/>
    <w:rsid w:val="004C4B4D"/>
    <w:rsid w:val="004C4B52"/>
    <w:rsid w:val="004C4EE4"/>
    <w:rsid w:val="004C4F21"/>
    <w:rsid w:val="004C50C6"/>
    <w:rsid w:val="004C5159"/>
    <w:rsid w:val="004C51D6"/>
    <w:rsid w:val="004C51DB"/>
    <w:rsid w:val="004C5225"/>
    <w:rsid w:val="004C5263"/>
    <w:rsid w:val="004C54F6"/>
    <w:rsid w:val="004C55E8"/>
    <w:rsid w:val="004C56D1"/>
    <w:rsid w:val="004C57D4"/>
    <w:rsid w:val="004C580F"/>
    <w:rsid w:val="004C5870"/>
    <w:rsid w:val="004C5880"/>
    <w:rsid w:val="004C597B"/>
    <w:rsid w:val="004C5C4F"/>
    <w:rsid w:val="004C5CE5"/>
    <w:rsid w:val="004C5E55"/>
    <w:rsid w:val="004C6076"/>
    <w:rsid w:val="004C60C3"/>
    <w:rsid w:val="004C6320"/>
    <w:rsid w:val="004C633F"/>
    <w:rsid w:val="004C63F1"/>
    <w:rsid w:val="004C6411"/>
    <w:rsid w:val="004C664E"/>
    <w:rsid w:val="004C6884"/>
    <w:rsid w:val="004C68F4"/>
    <w:rsid w:val="004C6970"/>
    <w:rsid w:val="004C6AE2"/>
    <w:rsid w:val="004C6B2D"/>
    <w:rsid w:val="004C6CD4"/>
    <w:rsid w:val="004C6CF3"/>
    <w:rsid w:val="004C6EC2"/>
    <w:rsid w:val="004C705E"/>
    <w:rsid w:val="004C71D6"/>
    <w:rsid w:val="004C71D9"/>
    <w:rsid w:val="004C766A"/>
    <w:rsid w:val="004C7765"/>
    <w:rsid w:val="004C77DA"/>
    <w:rsid w:val="004C7C72"/>
    <w:rsid w:val="004C7F1C"/>
    <w:rsid w:val="004D00CC"/>
    <w:rsid w:val="004D02E1"/>
    <w:rsid w:val="004D031E"/>
    <w:rsid w:val="004D03ED"/>
    <w:rsid w:val="004D044D"/>
    <w:rsid w:val="004D0487"/>
    <w:rsid w:val="004D04E5"/>
    <w:rsid w:val="004D04E8"/>
    <w:rsid w:val="004D0663"/>
    <w:rsid w:val="004D0745"/>
    <w:rsid w:val="004D0840"/>
    <w:rsid w:val="004D0862"/>
    <w:rsid w:val="004D08DD"/>
    <w:rsid w:val="004D0AFB"/>
    <w:rsid w:val="004D0B58"/>
    <w:rsid w:val="004D0CEE"/>
    <w:rsid w:val="004D0D0F"/>
    <w:rsid w:val="004D0D2F"/>
    <w:rsid w:val="004D0E54"/>
    <w:rsid w:val="004D0FE3"/>
    <w:rsid w:val="004D0FFD"/>
    <w:rsid w:val="004D1094"/>
    <w:rsid w:val="004D12A2"/>
    <w:rsid w:val="004D1326"/>
    <w:rsid w:val="004D14FA"/>
    <w:rsid w:val="004D1503"/>
    <w:rsid w:val="004D1560"/>
    <w:rsid w:val="004D175E"/>
    <w:rsid w:val="004D1B19"/>
    <w:rsid w:val="004D1FE4"/>
    <w:rsid w:val="004D1FF3"/>
    <w:rsid w:val="004D20C8"/>
    <w:rsid w:val="004D2216"/>
    <w:rsid w:val="004D23D4"/>
    <w:rsid w:val="004D242D"/>
    <w:rsid w:val="004D243C"/>
    <w:rsid w:val="004D2597"/>
    <w:rsid w:val="004D2673"/>
    <w:rsid w:val="004D26B1"/>
    <w:rsid w:val="004D28A3"/>
    <w:rsid w:val="004D2B40"/>
    <w:rsid w:val="004D2C1D"/>
    <w:rsid w:val="004D2C21"/>
    <w:rsid w:val="004D2D60"/>
    <w:rsid w:val="004D2F94"/>
    <w:rsid w:val="004D3061"/>
    <w:rsid w:val="004D312F"/>
    <w:rsid w:val="004D321E"/>
    <w:rsid w:val="004D32DB"/>
    <w:rsid w:val="004D3315"/>
    <w:rsid w:val="004D3774"/>
    <w:rsid w:val="004D388A"/>
    <w:rsid w:val="004D399D"/>
    <w:rsid w:val="004D3A00"/>
    <w:rsid w:val="004D3A67"/>
    <w:rsid w:val="004D3D11"/>
    <w:rsid w:val="004D3F18"/>
    <w:rsid w:val="004D3FB2"/>
    <w:rsid w:val="004D4067"/>
    <w:rsid w:val="004D4079"/>
    <w:rsid w:val="004D40C7"/>
    <w:rsid w:val="004D41D6"/>
    <w:rsid w:val="004D422A"/>
    <w:rsid w:val="004D425C"/>
    <w:rsid w:val="004D42B9"/>
    <w:rsid w:val="004D4744"/>
    <w:rsid w:val="004D49DF"/>
    <w:rsid w:val="004D4AD7"/>
    <w:rsid w:val="004D4AF3"/>
    <w:rsid w:val="004D4C41"/>
    <w:rsid w:val="004D4D02"/>
    <w:rsid w:val="004D4D5B"/>
    <w:rsid w:val="004D522D"/>
    <w:rsid w:val="004D526C"/>
    <w:rsid w:val="004D540B"/>
    <w:rsid w:val="004D566D"/>
    <w:rsid w:val="004D5798"/>
    <w:rsid w:val="004D5926"/>
    <w:rsid w:val="004D5990"/>
    <w:rsid w:val="004D5AD8"/>
    <w:rsid w:val="004D5B90"/>
    <w:rsid w:val="004D5BA3"/>
    <w:rsid w:val="004D5CC6"/>
    <w:rsid w:val="004D5F89"/>
    <w:rsid w:val="004D606C"/>
    <w:rsid w:val="004D6216"/>
    <w:rsid w:val="004D6361"/>
    <w:rsid w:val="004D65C1"/>
    <w:rsid w:val="004D6731"/>
    <w:rsid w:val="004D68C1"/>
    <w:rsid w:val="004D695E"/>
    <w:rsid w:val="004D699B"/>
    <w:rsid w:val="004D6AB0"/>
    <w:rsid w:val="004D6BD4"/>
    <w:rsid w:val="004D6EC0"/>
    <w:rsid w:val="004D6F62"/>
    <w:rsid w:val="004D70A1"/>
    <w:rsid w:val="004D720F"/>
    <w:rsid w:val="004D7278"/>
    <w:rsid w:val="004D73A8"/>
    <w:rsid w:val="004D7672"/>
    <w:rsid w:val="004D789B"/>
    <w:rsid w:val="004D78CF"/>
    <w:rsid w:val="004D791F"/>
    <w:rsid w:val="004D7AD6"/>
    <w:rsid w:val="004D7BC4"/>
    <w:rsid w:val="004D7C0E"/>
    <w:rsid w:val="004D7CD7"/>
    <w:rsid w:val="004D7DA4"/>
    <w:rsid w:val="004D7DD8"/>
    <w:rsid w:val="004E00FA"/>
    <w:rsid w:val="004E01C7"/>
    <w:rsid w:val="004E024D"/>
    <w:rsid w:val="004E042A"/>
    <w:rsid w:val="004E08F9"/>
    <w:rsid w:val="004E0960"/>
    <w:rsid w:val="004E0972"/>
    <w:rsid w:val="004E0A54"/>
    <w:rsid w:val="004E0C26"/>
    <w:rsid w:val="004E0CE4"/>
    <w:rsid w:val="004E0D2D"/>
    <w:rsid w:val="004E0F48"/>
    <w:rsid w:val="004E1037"/>
    <w:rsid w:val="004E106A"/>
    <w:rsid w:val="004E1159"/>
    <w:rsid w:val="004E12C2"/>
    <w:rsid w:val="004E12DE"/>
    <w:rsid w:val="004E13BA"/>
    <w:rsid w:val="004E1541"/>
    <w:rsid w:val="004E1546"/>
    <w:rsid w:val="004E15CA"/>
    <w:rsid w:val="004E1867"/>
    <w:rsid w:val="004E1B31"/>
    <w:rsid w:val="004E1BF3"/>
    <w:rsid w:val="004E1D37"/>
    <w:rsid w:val="004E1DBD"/>
    <w:rsid w:val="004E2024"/>
    <w:rsid w:val="004E207E"/>
    <w:rsid w:val="004E236F"/>
    <w:rsid w:val="004E25A6"/>
    <w:rsid w:val="004E25E2"/>
    <w:rsid w:val="004E289B"/>
    <w:rsid w:val="004E298E"/>
    <w:rsid w:val="004E2A42"/>
    <w:rsid w:val="004E2ABF"/>
    <w:rsid w:val="004E2B6E"/>
    <w:rsid w:val="004E2D56"/>
    <w:rsid w:val="004E2F4E"/>
    <w:rsid w:val="004E2FF2"/>
    <w:rsid w:val="004E304B"/>
    <w:rsid w:val="004E305F"/>
    <w:rsid w:val="004E3071"/>
    <w:rsid w:val="004E31D2"/>
    <w:rsid w:val="004E32F1"/>
    <w:rsid w:val="004E34CD"/>
    <w:rsid w:val="004E3595"/>
    <w:rsid w:val="004E36CF"/>
    <w:rsid w:val="004E3813"/>
    <w:rsid w:val="004E3ABF"/>
    <w:rsid w:val="004E3C38"/>
    <w:rsid w:val="004E3E8F"/>
    <w:rsid w:val="004E3F5A"/>
    <w:rsid w:val="004E3FD0"/>
    <w:rsid w:val="004E4096"/>
    <w:rsid w:val="004E40E8"/>
    <w:rsid w:val="004E43D5"/>
    <w:rsid w:val="004E441E"/>
    <w:rsid w:val="004E4744"/>
    <w:rsid w:val="004E47DA"/>
    <w:rsid w:val="004E48A2"/>
    <w:rsid w:val="004E490D"/>
    <w:rsid w:val="004E4A3E"/>
    <w:rsid w:val="004E4AC6"/>
    <w:rsid w:val="004E4B7F"/>
    <w:rsid w:val="004E4C3C"/>
    <w:rsid w:val="004E4CAB"/>
    <w:rsid w:val="004E4F59"/>
    <w:rsid w:val="004E51A7"/>
    <w:rsid w:val="004E5375"/>
    <w:rsid w:val="004E54F3"/>
    <w:rsid w:val="004E556D"/>
    <w:rsid w:val="004E56C1"/>
    <w:rsid w:val="004E58C1"/>
    <w:rsid w:val="004E5BE9"/>
    <w:rsid w:val="004E5C25"/>
    <w:rsid w:val="004E5D0C"/>
    <w:rsid w:val="004E5DB5"/>
    <w:rsid w:val="004E5F55"/>
    <w:rsid w:val="004E63BA"/>
    <w:rsid w:val="004E6534"/>
    <w:rsid w:val="004E6542"/>
    <w:rsid w:val="004E66EF"/>
    <w:rsid w:val="004E690E"/>
    <w:rsid w:val="004E6B73"/>
    <w:rsid w:val="004E6D79"/>
    <w:rsid w:val="004E6DEF"/>
    <w:rsid w:val="004E6E72"/>
    <w:rsid w:val="004E6EA1"/>
    <w:rsid w:val="004E7011"/>
    <w:rsid w:val="004E70F3"/>
    <w:rsid w:val="004E7267"/>
    <w:rsid w:val="004E72AA"/>
    <w:rsid w:val="004E73E6"/>
    <w:rsid w:val="004E7456"/>
    <w:rsid w:val="004E75B2"/>
    <w:rsid w:val="004E76A1"/>
    <w:rsid w:val="004E7812"/>
    <w:rsid w:val="004E7964"/>
    <w:rsid w:val="004E7C7A"/>
    <w:rsid w:val="004E7C9D"/>
    <w:rsid w:val="004E7C9F"/>
    <w:rsid w:val="004E7D01"/>
    <w:rsid w:val="004F035C"/>
    <w:rsid w:val="004F05D1"/>
    <w:rsid w:val="004F07EB"/>
    <w:rsid w:val="004F07FF"/>
    <w:rsid w:val="004F0A20"/>
    <w:rsid w:val="004F0AB9"/>
    <w:rsid w:val="004F0B88"/>
    <w:rsid w:val="004F0BF4"/>
    <w:rsid w:val="004F0C1F"/>
    <w:rsid w:val="004F0C36"/>
    <w:rsid w:val="004F0DDE"/>
    <w:rsid w:val="004F0F25"/>
    <w:rsid w:val="004F10CB"/>
    <w:rsid w:val="004F110C"/>
    <w:rsid w:val="004F1127"/>
    <w:rsid w:val="004F12EC"/>
    <w:rsid w:val="004F1368"/>
    <w:rsid w:val="004F136D"/>
    <w:rsid w:val="004F1474"/>
    <w:rsid w:val="004F1A0B"/>
    <w:rsid w:val="004F1BB5"/>
    <w:rsid w:val="004F1C30"/>
    <w:rsid w:val="004F203F"/>
    <w:rsid w:val="004F20D8"/>
    <w:rsid w:val="004F2148"/>
    <w:rsid w:val="004F22EB"/>
    <w:rsid w:val="004F2526"/>
    <w:rsid w:val="004F2897"/>
    <w:rsid w:val="004F293A"/>
    <w:rsid w:val="004F29B7"/>
    <w:rsid w:val="004F2A4D"/>
    <w:rsid w:val="004F2B27"/>
    <w:rsid w:val="004F2BDB"/>
    <w:rsid w:val="004F2BF1"/>
    <w:rsid w:val="004F2C94"/>
    <w:rsid w:val="004F2E31"/>
    <w:rsid w:val="004F2E7A"/>
    <w:rsid w:val="004F2F02"/>
    <w:rsid w:val="004F2F56"/>
    <w:rsid w:val="004F2FB0"/>
    <w:rsid w:val="004F2FD8"/>
    <w:rsid w:val="004F310A"/>
    <w:rsid w:val="004F34C3"/>
    <w:rsid w:val="004F34E2"/>
    <w:rsid w:val="004F35CA"/>
    <w:rsid w:val="004F36A4"/>
    <w:rsid w:val="004F3810"/>
    <w:rsid w:val="004F3904"/>
    <w:rsid w:val="004F3984"/>
    <w:rsid w:val="004F3A18"/>
    <w:rsid w:val="004F3A87"/>
    <w:rsid w:val="004F3AED"/>
    <w:rsid w:val="004F3CF3"/>
    <w:rsid w:val="004F3D03"/>
    <w:rsid w:val="004F3D98"/>
    <w:rsid w:val="004F3F90"/>
    <w:rsid w:val="004F4094"/>
    <w:rsid w:val="004F4192"/>
    <w:rsid w:val="004F425C"/>
    <w:rsid w:val="004F4265"/>
    <w:rsid w:val="004F4278"/>
    <w:rsid w:val="004F430C"/>
    <w:rsid w:val="004F4618"/>
    <w:rsid w:val="004F494A"/>
    <w:rsid w:val="004F49AC"/>
    <w:rsid w:val="004F4BD7"/>
    <w:rsid w:val="004F4F7B"/>
    <w:rsid w:val="004F4FCD"/>
    <w:rsid w:val="004F4FCF"/>
    <w:rsid w:val="004F4FFC"/>
    <w:rsid w:val="004F502A"/>
    <w:rsid w:val="004F5165"/>
    <w:rsid w:val="004F51B1"/>
    <w:rsid w:val="004F526B"/>
    <w:rsid w:val="004F549F"/>
    <w:rsid w:val="004F54B2"/>
    <w:rsid w:val="004F5659"/>
    <w:rsid w:val="004F56B8"/>
    <w:rsid w:val="004F5746"/>
    <w:rsid w:val="004F5941"/>
    <w:rsid w:val="004F5AD4"/>
    <w:rsid w:val="004F5B95"/>
    <w:rsid w:val="004F5D53"/>
    <w:rsid w:val="004F5E39"/>
    <w:rsid w:val="004F5FBF"/>
    <w:rsid w:val="004F5FCB"/>
    <w:rsid w:val="004F5FD7"/>
    <w:rsid w:val="004F604F"/>
    <w:rsid w:val="004F60D3"/>
    <w:rsid w:val="004F6323"/>
    <w:rsid w:val="004F64D3"/>
    <w:rsid w:val="004F64D5"/>
    <w:rsid w:val="004F684C"/>
    <w:rsid w:val="004F686A"/>
    <w:rsid w:val="004F6875"/>
    <w:rsid w:val="004F68AE"/>
    <w:rsid w:val="004F695D"/>
    <w:rsid w:val="004F6B57"/>
    <w:rsid w:val="004F6D09"/>
    <w:rsid w:val="004F6D99"/>
    <w:rsid w:val="004F6FA2"/>
    <w:rsid w:val="004F6FD5"/>
    <w:rsid w:val="004F71D7"/>
    <w:rsid w:val="004F74A9"/>
    <w:rsid w:val="004F74CC"/>
    <w:rsid w:val="004F760E"/>
    <w:rsid w:val="004F76D7"/>
    <w:rsid w:val="004F7A17"/>
    <w:rsid w:val="004F7B3E"/>
    <w:rsid w:val="004F7BD1"/>
    <w:rsid w:val="004F7BF7"/>
    <w:rsid w:val="004F7C25"/>
    <w:rsid w:val="004F7D5C"/>
    <w:rsid w:val="004F7DCE"/>
    <w:rsid w:val="004F7E85"/>
    <w:rsid w:val="0050017F"/>
    <w:rsid w:val="00500218"/>
    <w:rsid w:val="00500249"/>
    <w:rsid w:val="005005F7"/>
    <w:rsid w:val="005006F2"/>
    <w:rsid w:val="00500784"/>
    <w:rsid w:val="00500836"/>
    <w:rsid w:val="00500A2B"/>
    <w:rsid w:val="00500CAC"/>
    <w:rsid w:val="00500CFB"/>
    <w:rsid w:val="00500EA1"/>
    <w:rsid w:val="00500F2C"/>
    <w:rsid w:val="0050118D"/>
    <w:rsid w:val="005012D0"/>
    <w:rsid w:val="0050130B"/>
    <w:rsid w:val="005013C3"/>
    <w:rsid w:val="00501613"/>
    <w:rsid w:val="0050168B"/>
    <w:rsid w:val="00501744"/>
    <w:rsid w:val="005018A6"/>
    <w:rsid w:val="0050192C"/>
    <w:rsid w:val="00501ADA"/>
    <w:rsid w:val="00501BB8"/>
    <w:rsid w:val="00501C0D"/>
    <w:rsid w:val="00501CF7"/>
    <w:rsid w:val="00501D1C"/>
    <w:rsid w:val="00501F09"/>
    <w:rsid w:val="00501F43"/>
    <w:rsid w:val="00501F98"/>
    <w:rsid w:val="00501FD4"/>
    <w:rsid w:val="005020F6"/>
    <w:rsid w:val="0050210D"/>
    <w:rsid w:val="0050228B"/>
    <w:rsid w:val="005023EF"/>
    <w:rsid w:val="0050242B"/>
    <w:rsid w:val="0050267A"/>
    <w:rsid w:val="005026E8"/>
    <w:rsid w:val="00502808"/>
    <w:rsid w:val="00502809"/>
    <w:rsid w:val="00502888"/>
    <w:rsid w:val="005028BB"/>
    <w:rsid w:val="00502A3F"/>
    <w:rsid w:val="00502BEE"/>
    <w:rsid w:val="00502D30"/>
    <w:rsid w:val="00502E19"/>
    <w:rsid w:val="00502E88"/>
    <w:rsid w:val="005031F4"/>
    <w:rsid w:val="00503263"/>
    <w:rsid w:val="00503389"/>
    <w:rsid w:val="005033B0"/>
    <w:rsid w:val="005033EC"/>
    <w:rsid w:val="0050345B"/>
    <w:rsid w:val="0050359E"/>
    <w:rsid w:val="005035AD"/>
    <w:rsid w:val="005036E2"/>
    <w:rsid w:val="00503958"/>
    <w:rsid w:val="00503A14"/>
    <w:rsid w:val="00503B04"/>
    <w:rsid w:val="00503B2F"/>
    <w:rsid w:val="00503BAD"/>
    <w:rsid w:val="00503C1D"/>
    <w:rsid w:val="00503FB2"/>
    <w:rsid w:val="00504354"/>
    <w:rsid w:val="005044F7"/>
    <w:rsid w:val="005045B6"/>
    <w:rsid w:val="00504612"/>
    <w:rsid w:val="00504622"/>
    <w:rsid w:val="005047B5"/>
    <w:rsid w:val="00504814"/>
    <w:rsid w:val="0050486C"/>
    <w:rsid w:val="0050491C"/>
    <w:rsid w:val="00504933"/>
    <w:rsid w:val="00504974"/>
    <w:rsid w:val="00504A13"/>
    <w:rsid w:val="00504AF7"/>
    <w:rsid w:val="00504B56"/>
    <w:rsid w:val="00504B7E"/>
    <w:rsid w:val="00504D57"/>
    <w:rsid w:val="00504D68"/>
    <w:rsid w:val="00504D6D"/>
    <w:rsid w:val="00504E3A"/>
    <w:rsid w:val="00504FC0"/>
    <w:rsid w:val="0050500C"/>
    <w:rsid w:val="00505172"/>
    <w:rsid w:val="005051D5"/>
    <w:rsid w:val="0050547B"/>
    <w:rsid w:val="0050552E"/>
    <w:rsid w:val="00505691"/>
    <w:rsid w:val="00505712"/>
    <w:rsid w:val="0050578F"/>
    <w:rsid w:val="00505820"/>
    <w:rsid w:val="00505AF3"/>
    <w:rsid w:val="00505B2C"/>
    <w:rsid w:val="00505EAE"/>
    <w:rsid w:val="00505F45"/>
    <w:rsid w:val="00505F87"/>
    <w:rsid w:val="005061E6"/>
    <w:rsid w:val="00506365"/>
    <w:rsid w:val="0050650E"/>
    <w:rsid w:val="00506579"/>
    <w:rsid w:val="005065A5"/>
    <w:rsid w:val="005065BA"/>
    <w:rsid w:val="0050677C"/>
    <w:rsid w:val="005068B8"/>
    <w:rsid w:val="005068BA"/>
    <w:rsid w:val="00506A9D"/>
    <w:rsid w:val="00506BDE"/>
    <w:rsid w:val="00506C58"/>
    <w:rsid w:val="00506CB3"/>
    <w:rsid w:val="00506D15"/>
    <w:rsid w:val="00506D88"/>
    <w:rsid w:val="00506ED1"/>
    <w:rsid w:val="0050700C"/>
    <w:rsid w:val="00507056"/>
    <w:rsid w:val="005073B3"/>
    <w:rsid w:val="0050744C"/>
    <w:rsid w:val="0050773E"/>
    <w:rsid w:val="00507751"/>
    <w:rsid w:val="00507804"/>
    <w:rsid w:val="00507854"/>
    <w:rsid w:val="005078E3"/>
    <w:rsid w:val="00507905"/>
    <w:rsid w:val="00507BDF"/>
    <w:rsid w:val="00507CF7"/>
    <w:rsid w:val="0051018D"/>
    <w:rsid w:val="005101C8"/>
    <w:rsid w:val="00510269"/>
    <w:rsid w:val="00510371"/>
    <w:rsid w:val="00510438"/>
    <w:rsid w:val="0051044D"/>
    <w:rsid w:val="005104C0"/>
    <w:rsid w:val="0051079C"/>
    <w:rsid w:val="0051084E"/>
    <w:rsid w:val="00510A3E"/>
    <w:rsid w:val="00510ACC"/>
    <w:rsid w:val="00510B20"/>
    <w:rsid w:val="00510BD3"/>
    <w:rsid w:val="00510D55"/>
    <w:rsid w:val="00510D5A"/>
    <w:rsid w:val="00510D6B"/>
    <w:rsid w:val="00510DF0"/>
    <w:rsid w:val="00511263"/>
    <w:rsid w:val="0051151F"/>
    <w:rsid w:val="005115EB"/>
    <w:rsid w:val="00511610"/>
    <w:rsid w:val="0051163B"/>
    <w:rsid w:val="00511664"/>
    <w:rsid w:val="00511934"/>
    <w:rsid w:val="005119C0"/>
    <w:rsid w:val="005119EB"/>
    <w:rsid w:val="00511A83"/>
    <w:rsid w:val="00511D08"/>
    <w:rsid w:val="00511DF1"/>
    <w:rsid w:val="00511FB7"/>
    <w:rsid w:val="00512026"/>
    <w:rsid w:val="005120A5"/>
    <w:rsid w:val="0051214A"/>
    <w:rsid w:val="00512172"/>
    <w:rsid w:val="0051219A"/>
    <w:rsid w:val="00512225"/>
    <w:rsid w:val="00512226"/>
    <w:rsid w:val="00512353"/>
    <w:rsid w:val="0051245D"/>
    <w:rsid w:val="005126D1"/>
    <w:rsid w:val="0051272A"/>
    <w:rsid w:val="00512759"/>
    <w:rsid w:val="00512B05"/>
    <w:rsid w:val="00512B1E"/>
    <w:rsid w:val="00512B60"/>
    <w:rsid w:val="00512BCA"/>
    <w:rsid w:val="00512C25"/>
    <w:rsid w:val="00512DC3"/>
    <w:rsid w:val="00512EC0"/>
    <w:rsid w:val="00512FBB"/>
    <w:rsid w:val="00513031"/>
    <w:rsid w:val="00513195"/>
    <w:rsid w:val="00513250"/>
    <w:rsid w:val="005134F7"/>
    <w:rsid w:val="005135FF"/>
    <w:rsid w:val="00513670"/>
    <w:rsid w:val="005137F7"/>
    <w:rsid w:val="00513805"/>
    <w:rsid w:val="005138CE"/>
    <w:rsid w:val="00513B02"/>
    <w:rsid w:val="00513D12"/>
    <w:rsid w:val="00513FE6"/>
    <w:rsid w:val="00513FEF"/>
    <w:rsid w:val="00514120"/>
    <w:rsid w:val="0051413A"/>
    <w:rsid w:val="00514190"/>
    <w:rsid w:val="00514229"/>
    <w:rsid w:val="0051425B"/>
    <w:rsid w:val="00514360"/>
    <w:rsid w:val="005146BD"/>
    <w:rsid w:val="00514746"/>
    <w:rsid w:val="005147CB"/>
    <w:rsid w:val="005147EB"/>
    <w:rsid w:val="00514942"/>
    <w:rsid w:val="00514953"/>
    <w:rsid w:val="005149CB"/>
    <w:rsid w:val="005149D9"/>
    <w:rsid w:val="005149F2"/>
    <w:rsid w:val="00514AB4"/>
    <w:rsid w:val="00514AFC"/>
    <w:rsid w:val="00514B16"/>
    <w:rsid w:val="00514CE8"/>
    <w:rsid w:val="00514DEB"/>
    <w:rsid w:val="005151A5"/>
    <w:rsid w:val="005153B1"/>
    <w:rsid w:val="005153F1"/>
    <w:rsid w:val="005154D2"/>
    <w:rsid w:val="0051557E"/>
    <w:rsid w:val="0051559E"/>
    <w:rsid w:val="00515683"/>
    <w:rsid w:val="005156C4"/>
    <w:rsid w:val="005156F2"/>
    <w:rsid w:val="0051576B"/>
    <w:rsid w:val="00515952"/>
    <w:rsid w:val="00515A20"/>
    <w:rsid w:val="00515A3F"/>
    <w:rsid w:val="00515BBC"/>
    <w:rsid w:val="00515EB7"/>
    <w:rsid w:val="00515F6A"/>
    <w:rsid w:val="00515FB1"/>
    <w:rsid w:val="00516112"/>
    <w:rsid w:val="005161D6"/>
    <w:rsid w:val="0051623A"/>
    <w:rsid w:val="00516343"/>
    <w:rsid w:val="005163B1"/>
    <w:rsid w:val="005163CE"/>
    <w:rsid w:val="00516434"/>
    <w:rsid w:val="0051644C"/>
    <w:rsid w:val="00516626"/>
    <w:rsid w:val="00516636"/>
    <w:rsid w:val="00516783"/>
    <w:rsid w:val="00516928"/>
    <w:rsid w:val="0051699C"/>
    <w:rsid w:val="005169D5"/>
    <w:rsid w:val="00516B6F"/>
    <w:rsid w:val="00516C08"/>
    <w:rsid w:val="00516EE9"/>
    <w:rsid w:val="00516F16"/>
    <w:rsid w:val="00516F6B"/>
    <w:rsid w:val="00516F87"/>
    <w:rsid w:val="00516FDB"/>
    <w:rsid w:val="0051700A"/>
    <w:rsid w:val="005171CC"/>
    <w:rsid w:val="00517386"/>
    <w:rsid w:val="005174CA"/>
    <w:rsid w:val="005178A1"/>
    <w:rsid w:val="005179AE"/>
    <w:rsid w:val="005179D2"/>
    <w:rsid w:val="005179FD"/>
    <w:rsid w:val="00517A4E"/>
    <w:rsid w:val="00517B50"/>
    <w:rsid w:val="00517D27"/>
    <w:rsid w:val="00517DBF"/>
    <w:rsid w:val="005204F0"/>
    <w:rsid w:val="005205D4"/>
    <w:rsid w:val="005207D0"/>
    <w:rsid w:val="00520896"/>
    <w:rsid w:val="005208A7"/>
    <w:rsid w:val="00520969"/>
    <w:rsid w:val="00520973"/>
    <w:rsid w:val="005209E8"/>
    <w:rsid w:val="00520A21"/>
    <w:rsid w:val="00520B71"/>
    <w:rsid w:val="00520BB4"/>
    <w:rsid w:val="00521020"/>
    <w:rsid w:val="00521186"/>
    <w:rsid w:val="005212C0"/>
    <w:rsid w:val="00521321"/>
    <w:rsid w:val="0052144A"/>
    <w:rsid w:val="005216B8"/>
    <w:rsid w:val="005218B9"/>
    <w:rsid w:val="00521B57"/>
    <w:rsid w:val="00521C8C"/>
    <w:rsid w:val="00521CA5"/>
    <w:rsid w:val="00521F17"/>
    <w:rsid w:val="00521F79"/>
    <w:rsid w:val="00522009"/>
    <w:rsid w:val="005221DE"/>
    <w:rsid w:val="005221E2"/>
    <w:rsid w:val="005221F7"/>
    <w:rsid w:val="00522239"/>
    <w:rsid w:val="0052229C"/>
    <w:rsid w:val="005222F5"/>
    <w:rsid w:val="00522ADA"/>
    <w:rsid w:val="00522C29"/>
    <w:rsid w:val="00522F87"/>
    <w:rsid w:val="00522FDA"/>
    <w:rsid w:val="00523013"/>
    <w:rsid w:val="0052303D"/>
    <w:rsid w:val="0052318A"/>
    <w:rsid w:val="005232B9"/>
    <w:rsid w:val="0052332E"/>
    <w:rsid w:val="0052342E"/>
    <w:rsid w:val="0052345F"/>
    <w:rsid w:val="00523544"/>
    <w:rsid w:val="0052385D"/>
    <w:rsid w:val="00523894"/>
    <w:rsid w:val="00523A22"/>
    <w:rsid w:val="00523D20"/>
    <w:rsid w:val="00523D65"/>
    <w:rsid w:val="00523E20"/>
    <w:rsid w:val="00523F25"/>
    <w:rsid w:val="00523F59"/>
    <w:rsid w:val="005241FF"/>
    <w:rsid w:val="005242CD"/>
    <w:rsid w:val="00524306"/>
    <w:rsid w:val="00524382"/>
    <w:rsid w:val="005243C9"/>
    <w:rsid w:val="005245CB"/>
    <w:rsid w:val="00524696"/>
    <w:rsid w:val="005247A1"/>
    <w:rsid w:val="005249A5"/>
    <w:rsid w:val="005249D5"/>
    <w:rsid w:val="00524A04"/>
    <w:rsid w:val="00524AAC"/>
    <w:rsid w:val="00524CE8"/>
    <w:rsid w:val="00524D1A"/>
    <w:rsid w:val="00524D94"/>
    <w:rsid w:val="00524DBF"/>
    <w:rsid w:val="00524DF3"/>
    <w:rsid w:val="00524E50"/>
    <w:rsid w:val="005251D3"/>
    <w:rsid w:val="005253A6"/>
    <w:rsid w:val="00525587"/>
    <w:rsid w:val="005256FE"/>
    <w:rsid w:val="005257CB"/>
    <w:rsid w:val="00525912"/>
    <w:rsid w:val="00525972"/>
    <w:rsid w:val="00525A00"/>
    <w:rsid w:val="00525C13"/>
    <w:rsid w:val="00525E02"/>
    <w:rsid w:val="00525E1D"/>
    <w:rsid w:val="00525E27"/>
    <w:rsid w:val="00525E58"/>
    <w:rsid w:val="00525F42"/>
    <w:rsid w:val="00525FBB"/>
    <w:rsid w:val="0052627D"/>
    <w:rsid w:val="005262DE"/>
    <w:rsid w:val="005267C0"/>
    <w:rsid w:val="005267DB"/>
    <w:rsid w:val="0052687F"/>
    <w:rsid w:val="00526AA7"/>
    <w:rsid w:val="00526AEC"/>
    <w:rsid w:val="00526B23"/>
    <w:rsid w:val="00526B84"/>
    <w:rsid w:val="00526F48"/>
    <w:rsid w:val="00526FBA"/>
    <w:rsid w:val="00527002"/>
    <w:rsid w:val="00527026"/>
    <w:rsid w:val="005271CE"/>
    <w:rsid w:val="005273C3"/>
    <w:rsid w:val="0052751E"/>
    <w:rsid w:val="005275C3"/>
    <w:rsid w:val="0052767F"/>
    <w:rsid w:val="005276CC"/>
    <w:rsid w:val="0052776B"/>
    <w:rsid w:val="0052776D"/>
    <w:rsid w:val="005279CD"/>
    <w:rsid w:val="00527BD3"/>
    <w:rsid w:val="00527F4E"/>
    <w:rsid w:val="00527F7A"/>
    <w:rsid w:val="00527FC7"/>
    <w:rsid w:val="00527FEC"/>
    <w:rsid w:val="00530038"/>
    <w:rsid w:val="00530247"/>
    <w:rsid w:val="005302C2"/>
    <w:rsid w:val="0053045A"/>
    <w:rsid w:val="005304CC"/>
    <w:rsid w:val="005308EF"/>
    <w:rsid w:val="0053091E"/>
    <w:rsid w:val="0053098E"/>
    <w:rsid w:val="00530996"/>
    <w:rsid w:val="00530AD8"/>
    <w:rsid w:val="00530CA8"/>
    <w:rsid w:val="00530E17"/>
    <w:rsid w:val="00530EEE"/>
    <w:rsid w:val="00530FC9"/>
    <w:rsid w:val="0053102F"/>
    <w:rsid w:val="00531100"/>
    <w:rsid w:val="0053115F"/>
    <w:rsid w:val="005311BD"/>
    <w:rsid w:val="00531593"/>
    <w:rsid w:val="0053160A"/>
    <w:rsid w:val="005316F3"/>
    <w:rsid w:val="0053184E"/>
    <w:rsid w:val="00531884"/>
    <w:rsid w:val="005318CA"/>
    <w:rsid w:val="00531A8C"/>
    <w:rsid w:val="00531BAB"/>
    <w:rsid w:val="00531DEB"/>
    <w:rsid w:val="00531F30"/>
    <w:rsid w:val="00532009"/>
    <w:rsid w:val="005321F5"/>
    <w:rsid w:val="00532246"/>
    <w:rsid w:val="00532361"/>
    <w:rsid w:val="005324EC"/>
    <w:rsid w:val="0053267A"/>
    <w:rsid w:val="00532972"/>
    <w:rsid w:val="00532992"/>
    <w:rsid w:val="00532BCD"/>
    <w:rsid w:val="00532C76"/>
    <w:rsid w:val="00532E00"/>
    <w:rsid w:val="00532E5E"/>
    <w:rsid w:val="00532EB3"/>
    <w:rsid w:val="0053310E"/>
    <w:rsid w:val="005332B0"/>
    <w:rsid w:val="0053341F"/>
    <w:rsid w:val="005334FA"/>
    <w:rsid w:val="0053383A"/>
    <w:rsid w:val="00533935"/>
    <w:rsid w:val="00533999"/>
    <w:rsid w:val="00533D45"/>
    <w:rsid w:val="00533DC4"/>
    <w:rsid w:val="00533E7D"/>
    <w:rsid w:val="00533EB2"/>
    <w:rsid w:val="00533EDB"/>
    <w:rsid w:val="00533F87"/>
    <w:rsid w:val="00534031"/>
    <w:rsid w:val="00534097"/>
    <w:rsid w:val="0053410C"/>
    <w:rsid w:val="00534167"/>
    <w:rsid w:val="00534170"/>
    <w:rsid w:val="00534615"/>
    <w:rsid w:val="0053462C"/>
    <w:rsid w:val="005347F7"/>
    <w:rsid w:val="0053497F"/>
    <w:rsid w:val="005349B1"/>
    <w:rsid w:val="00534B47"/>
    <w:rsid w:val="00534F93"/>
    <w:rsid w:val="00535061"/>
    <w:rsid w:val="005350AB"/>
    <w:rsid w:val="005351AE"/>
    <w:rsid w:val="005353EF"/>
    <w:rsid w:val="00535471"/>
    <w:rsid w:val="005354A2"/>
    <w:rsid w:val="005354B9"/>
    <w:rsid w:val="00535564"/>
    <w:rsid w:val="0053565D"/>
    <w:rsid w:val="0053574E"/>
    <w:rsid w:val="00535776"/>
    <w:rsid w:val="00535D8D"/>
    <w:rsid w:val="00535F4E"/>
    <w:rsid w:val="00535F65"/>
    <w:rsid w:val="0053602E"/>
    <w:rsid w:val="00536253"/>
    <w:rsid w:val="00536393"/>
    <w:rsid w:val="0053640B"/>
    <w:rsid w:val="005364E4"/>
    <w:rsid w:val="00536629"/>
    <w:rsid w:val="00536631"/>
    <w:rsid w:val="00536832"/>
    <w:rsid w:val="00536928"/>
    <w:rsid w:val="00536B5E"/>
    <w:rsid w:val="00536BBE"/>
    <w:rsid w:val="00536C3A"/>
    <w:rsid w:val="00536C96"/>
    <w:rsid w:val="00536CAD"/>
    <w:rsid w:val="00536E14"/>
    <w:rsid w:val="0053728E"/>
    <w:rsid w:val="005373B5"/>
    <w:rsid w:val="00537486"/>
    <w:rsid w:val="005374AA"/>
    <w:rsid w:val="005375D3"/>
    <w:rsid w:val="00537653"/>
    <w:rsid w:val="005377C2"/>
    <w:rsid w:val="0053789E"/>
    <w:rsid w:val="00537932"/>
    <w:rsid w:val="00537BC9"/>
    <w:rsid w:val="00537CB1"/>
    <w:rsid w:val="00537CC1"/>
    <w:rsid w:val="00537D77"/>
    <w:rsid w:val="00537E2A"/>
    <w:rsid w:val="00540493"/>
    <w:rsid w:val="005404A8"/>
    <w:rsid w:val="0054069C"/>
    <w:rsid w:val="005406D6"/>
    <w:rsid w:val="0054077C"/>
    <w:rsid w:val="0054084B"/>
    <w:rsid w:val="0054084E"/>
    <w:rsid w:val="005409D2"/>
    <w:rsid w:val="00540BFF"/>
    <w:rsid w:val="00540D4B"/>
    <w:rsid w:val="00540EE4"/>
    <w:rsid w:val="005410D4"/>
    <w:rsid w:val="005412C4"/>
    <w:rsid w:val="005414F8"/>
    <w:rsid w:val="005414FB"/>
    <w:rsid w:val="00541517"/>
    <w:rsid w:val="00541533"/>
    <w:rsid w:val="0054162A"/>
    <w:rsid w:val="005416A0"/>
    <w:rsid w:val="005418DC"/>
    <w:rsid w:val="00541BBF"/>
    <w:rsid w:val="00541DD9"/>
    <w:rsid w:val="00541E07"/>
    <w:rsid w:val="00541E3C"/>
    <w:rsid w:val="00541E46"/>
    <w:rsid w:val="00541F0F"/>
    <w:rsid w:val="00541F85"/>
    <w:rsid w:val="00541FAF"/>
    <w:rsid w:val="00542030"/>
    <w:rsid w:val="005420BA"/>
    <w:rsid w:val="0054211F"/>
    <w:rsid w:val="005421A9"/>
    <w:rsid w:val="005422D6"/>
    <w:rsid w:val="00542489"/>
    <w:rsid w:val="0054255A"/>
    <w:rsid w:val="00542787"/>
    <w:rsid w:val="005427EB"/>
    <w:rsid w:val="00542A7A"/>
    <w:rsid w:val="00542D7C"/>
    <w:rsid w:val="00542FD4"/>
    <w:rsid w:val="005430E3"/>
    <w:rsid w:val="005432F3"/>
    <w:rsid w:val="00543558"/>
    <w:rsid w:val="005435EB"/>
    <w:rsid w:val="00543622"/>
    <w:rsid w:val="005436A6"/>
    <w:rsid w:val="0054395A"/>
    <w:rsid w:val="00543962"/>
    <w:rsid w:val="00543A05"/>
    <w:rsid w:val="00543A7C"/>
    <w:rsid w:val="00543E7D"/>
    <w:rsid w:val="005441D1"/>
    <w:rsid w:val="00544207"/>
    <w:rsid w:val="00544285"/>
    <w:rsid w:val="00544328"/>
    <w:rsid w:val="005447B4"/>
    <w:rsid w:val="00544877"/>
    <w:rsid w:val="0054487C"/>
    <w:rsid w:val="005449F9"/>
    <w:rsid w:val="00544A3E"/>
    <w:rsid w:val="00544B75"/>
    <w:rsid w:val="00544C8F"/>
    <w:rsid w:val="00544E56"/>
    <w:rsid w:val="00544FC4"/>
    <w:rsid w:val="00545102"/>
    <w:rsid w:val="00545266"/>
    <w:rsid w:val="005452C9"/>
    <w:rsid w:val="00545366"/>
    <w:rsid w:val="00545439"/>
    <w:rsid w:val="0054548A"/>
    <w:rsid w:val="0054566F"/>
    <w:rsid w:val="0054575E"/>
    <w:rsid w:val="005457AB"/>
    <w:rsid w:val="00545A8A"/>
    <w:rsid w:val="00545AFF"/>
    <w:rsid w:val="00545B84"/>
    <w:rsid w:val="00545C21"/>
    <w:rsid w:val="00545D3B"/>
    <w:rsid w:val="00546041"/>
    <w:rsid w:val="005460C4"/>
    <w:rsid w:val="00546177"/>
    <w:rsid w:val="00546231"/>
    <w:rsid w:val="0054623E"/>
    <w:rsid w:val="005462D1"/>
    <w:rsid w:val="0054635A"/>
    <w:rsid w:val="005464B6"/>
    <w:rsid w:val="00546599"/>
    <w:rsid w:val="005465BF"/>
    <w:rsid w:val="00546627"/>
    <w:rsid w:val="0054665C"/>
    <w:rsid w:val="005466BA"/>
    <w:rsid w:val="005467C0"/>
    <w:rsid w:val="00546825"/>
    <w:rsid w:val="00546850"/>
    <w:rsid w:val="00546918"/>
    <w:rsid w:val="0054695A"/>
    <w:rsid w:val="005469A7"/>
    <w:rsid w:val="00546BAA"/>
    <w:rsid w:val="00546BC2"/>
    <w:rsid w:val="00546C39"/>
    <w:rsid w:val="005470AE"/>
    <w:rsid w:val="005470B7"/>
    <w:rsid w:val="00547208"/>
    <w:rsid w:val="0054720B"/>
    <w:rsid w:val="0054726A"/>
    <w:rsid w:val="0054727D"/>
    <w:rsid w:val="00547433"/>
    <w:rsid w:val="005476D9"/>
    <w:rsid w:val="005477BB"/>
    <w:rsid w:val="00547848"/>
    <w:rsid w:val="00547885"/>
    <w:rsid w:val="00547D9F"/>
    <w:rsid w:val="005501B8"/>
    <w:rsid w:val="00550273"/>
    <w:rsid w:val="00550289"/>
    <w:rsid w:val="00550323"/>
    <w:rsid w:val="005504DE"/>
    <w:rsid w:val="00550529"/>
    <w:rsid w:val="00550551"/>
    <w:rsid w:val="00550615"/>
    <w:rsid w:val="00550623"/>
    <w:rsid w:val="005506E2"/>
    <w:rsid w:val="005507A5"/>
    <w:rsid w:val="005508B8"/>
    <w:rsid w:val="00550A23"/>
    <w:rsid w:val="00550A6E"/>
    <w:rsid w:val="00550AC6"/>
    <w:rsid w:val="00550DD0"/>
    <w:rsid w:val="00550E79"/>
    <w:rsid w:val="00550F88"/>
    <w:rsid w:val="00550FDF"/>
    <w:rsid w:val="0055106D"/>
    <w:rsid w:val="005510AA"/>
    <w:rsid w:val="00551188"/>
    <w:rsid w:val="005514C9"/>
    <w:rsid w:val="00551625"/>
    <w:rsid w:val="00551770"/>
    <w:rsid w:val="0055186C"/>
    <w:rsid w:val="00551A16"/>
    <w:rsid w:val="00551A92"/>
    <w:rsid w:val="00551D24"/>
    <w:rsid w:val="00551ED2"/>
    <w:rsid w:val="0055213C"/>
    <w:rsid w:val="005524C9"/>
    <w:rsid w:val="005526C6"/>
    <w:rsid w:val="0055271F"/>
    <w:rsid w:val="0055273A"/>
    <w:rsid w:val="0055295A"/>
    <w:rsid w:val="00552973"/>
    <w:rsid w:val="005529E7"/>
    <w:rsid w:val="00552A0C"/>
    <w:rsid w:val="00552E5C"/>
    <w:rsid w:val="00552FFE"/>
    <w:rsid w:val="00553137"/>
    <w:rsid w:val="00553168"/>
    <w:rsid w:val="005531B5"/>
    <w:rsid w:val="00553202"/>
    <w:rsid w:val="0055326F"/>
    <w:rsid w:val="0055343A"/>
    <w:rsid w:val="00553444"/>
    <w:rsid w:val="0055369F"/>
    <w:rsid w:val="00553714"/>
    <w:rsid w:val="0055375C"/>
    <w:rsid w:val="00553781"/>
    <w:rsid w:val="005539A2"/>
    <w:rsid w:val="00553AAE"/>
    <w:rsid w:val="00553B07"/>
    <w:rsid w:val="00553B26"/>
    <w:rsid w:val="00553B67"/>
    <w:rsid w:val="00553D48"/>
    <w:rsid w:val="00553D7D"/>
    <w:rsid w:val="00553E1F"/>
    <w:rsid w:val="00553E2C"/>
    <w:rsid w:val="005540BB"/>
    <w:rsid w:val="00554126"/>
    <w:rsid w:val="005543E9"/>
    <w:rsid w:val="00554441"/>
    <w:rsid w:val="00554542"/>
    <w:rsid w:val="00554650"/>
    <w:rsid w:val="005546D5"/>
    <w:rsid w:val="0055483D"/>
    <w:rsid w:val="00554976"/>
    <w:rsid w:val="005549B8"/>
    <w:rsid w:val="00554CA1"/>
    <w:rsid w:val="00554FB2"/>
    <w:rsid w:val="00555280"/>
    <w:rsid w:val="005552A2"/>
    <w:rsid w:val="005552F4"/>
    <w:rsid w:val="00555308"/>
    <w:rsid w:val="0055547C"/>
    <w:rsid w:val="00555519"/>
    <w:rsid w:val="005555B5"/>
    <w:rsid w:val="00555722"/>
    <w:rsid w:val="0055582B"/>
    <w:rsid w:val="0055590B"/>
    <w:rsid w:val="0055597D"/>
    <w:rsid w:val="005559DD"/>
    <w:rsid w:val="005559E3"/>
    <w:rsid w:val="00555D3C"/>
    <w:rsid w:val="00555F13"/>
    <w:rsid w:val="00556043"/>
    <w:rsid w:val="00556161"/>
    <w:rsid w:val="0055637E"/>
    <w:rsid w:val="005564E2"/>
    <w:rsid w:val="0055655A"/>
    <w:rsid w:val="00556599"/>
    <w:rsid w:val="00556673"/>
    <w:rsid w:val="005566A4"/>
    <w:rsid w:val="00556739"/>
    <w:rsid w:val="0055679B"/>
    <w:rsid w:val="005567EA"/>
    <w:rsid w:val="00556814"/>
    <w:rsid w:val="00556819"/>
    <w:rsid w:val="00556894"/>
    <w:rsid w:val="005568FB"/>
    <w:rsid w:val="00556970"/>
    <w:rsid w:val="00556984"/>
    <w:rsid w:val="005569EE"/>
    <w:rsid w:val="00556A3D"/>
    <w:rsid w:val="00556AED"/>
    <w:rsid w:val="00556B9C"/>
    <w:rsid w:val="00556BE5"/>
    <w:rsid w:val="00556BFD"/>
    <w:rsid w:val="00556FDE"/>
    <w:rsid w:val="00557068"/>
    <w:rsid w:val="005570A4"/>
    <w:rsid w:val="005572EE"/>
    <w:rsid w:val="005573B5"/>
    <w:rsid w:val="005574AC"/>
    <w:rsid w:val="00557550"/>
    <w:rsid w:val="0055756D"/>
    <w:rsid w:val="00557618"/>
    <w:rsid w:val="00557625"/>
    <w:rsid w:val="00557911"/>
    <w:rsid w:val="00557A47"/>
    <w:rsid w:val="00557B50"/>
    <w:rsid w:val="00557E5C"/>
    <w:rsid w:val="005600BA"/>
    <w:rsid w:val="0056012F"/>
    <w:rsid w:val="005601F8"/>
    <w:rsid w:val="005602B7"/>
    <w:rsid w:val="0056040C"/>
    <w:rsid w:val="0056047C"/>
    <w:rsid w:val="005607F9"/>
    <w:rsid w:val="0056080C"/>
    <w:rsid w:val="00560B23"/>
    <w:rsid w:val="00560B29"/>
    <w:rsid w:val="00560D87"/>
    <w:rsid w:val="00560ECD"/>
    <w:rsid w:val="00560FC3"/>
    <w:rsid w:val="00561050"/>
    <w:rsid w:val="0056110C"/>
    <w:rsid w:val="0056127B"/>
    <w:rsid w:val="005612D9"/>
    <w:rsid w:val="005612DD"/>
    <w:rsid w:val="00561565"/>
    <w:rsid w:val="005615C0"/>
    <w:rsid w:val="0056177E"/>
    <w:rsid w:val="00561841"/>
    <w:rsid w:val="0056192A"/>
    <w:rsid w:val="00561A21"/>
    <w:rsid w:val="00561C56"/>
    <w:rsid w:val="00561CB7"/>
    <w:rsid w:val="00561D5B"/>
    <w:rsid w:val="00561E85"/>
    <w:rsid w:val="00561F02"/>
    <w:rsid w:val="00561F74"/>
    <w:rsid w:val="00562281"/>
    <w:rsid w:val="0056252C"/>
    <w:rsid w:val="0056256E"/>
    <w:rsid w:val="00562580"/>
    <w:rsid w:val="005626AE"/>
    <w:rsid w:val="00562918"/>
    <w:rsid w:val="00562B88"/>
    <w:rsid w:val="00562D01"/>
    <w:rsid w:val="00562D33"/>
    <w:rsid w:val="00562E20"/>
    <w:rsid w:val="00562ECA"/>
    <w:rsid w:val="00562FB7"/>
    <w:rsid w:val="005630A3"/>
    <w:rsid w:val="005630E0"/>
    <w:rsid w:val="0056340B"/>
    <w:rsid w:val="005634FB"/>
    <w:rsid w:val="00563553"/>
    <w:rsid w:val="0056370C"/>
    <w:rsid w:val="005637FE"/>
    <w:rsid w:val="00563806"/>
    <w:rsid w:val="0056390D"/>
    <w:rsid w:val="005639E8"/>
    <w:rsid w:val="00563B00"/>
    <w:rsid w:val="00563E33"/>
    <w:rsid w:val="00563F34"/>
    <w:rsid w:val="00563FE9"/>
    <w:rsid w:val="005640CC"/>
    <w:rsid w:val="0056415B"/>
    <w:rsid w:val="005643D5"/>
    <w:rsid w:val="00564467"/>
    <w:rsid w:val="00564469"/>
    <w:rsid w:val="0056456F"/>
    <w:rsid w:val="0056459B"/>
    <w:rsid w:val="005646CE"/>
    <w:rsid w:val="0056480B"/>
    <w:rsid w:val="005648A9"/>
    <w:rsid w:val="005649AD"/>
    <w:rsid w:val="00564A31"/>
    <w:rsid w:val="00564A69"/>
    <w:rsid w:val="00564BD5"/>
    <w:rsid w:val="00564D20"/>
    <w:rsid w:val="00564D56"/>
    <w:rsid w:val="00564D73"/>
    <w:rsid w:val="00564F2C"/>
    <w:rsid w:val="005651FD"/>
    <w:rsid w:val="0056547B"/>
    <w:rsid w:val="00565680"/>
    <w:rsid w:val="0056570C"/>
    <w:rsid w:val="0056593C"/>
    <w:rsid w:val="00565A10"/>
    <w:rsid w:val="00565C0C"/>
    <w:rsid w:val="00565C79"/>
    <w:rsid w:val="00565EAA"/>
    <w:rsid w:val="00565F23"/>
    <w:rsid w:val="00565F33"/>
    <w:rsid w:val="0056613A"/>
    <w:rsid w:val="005661A9"/>
    <w:rsid w:val="00566297"/>
    <w:rsid w:val="00566329"/>
    <w:rsid w:val="00566351"/>
    <w:rsid w:val="00566355"/>
    <w:rsid w:val="0056638D"/>
    <w:rsid w:val="00566660"/>
    <w:rsid w:val="0056675D"/>
    <w:rsid w:val="00566882"/>
    <w:rsid w:val="00566908"/>
    <w:rsid w:val="00566AF1"/>
    <w:rsid w:val="00566C7A"/>
    <w:rsid w:val="00566D10"/>
    <w:rsid w:val="00566E0E"/>
    <w:rsid w:val="00566F3C"/>
    <w:rsid w:val="00567000"/>
    <w:rsid w:val="0056730C"/>
    <w:rsid w:val="00567389"/>
    <w:rsid w:val="0056740D"/>
    <w:rsid w:val="00567443"/>
    <w:rsid w:val="0056747D"/>
    <w:rsid w:val="005674A6"/>
    <w:rsid w:val="00567531"/>
    <w:rsid w:val="0056778E"/>
    <w:rsid w:val="00567875"/>
    <w:rsid w:val="005678D3"/>
    <w:rsid w:val="00567A96"/>
    <w:rsid w:val="00567B3E"/>
    <w:rsid w:val="00567EC0"/>
    <w:rsid w:val="00567F0B"/>
    <w:rsid w:val="00567F2F"/>
    <w:rsid w:val="00567F48"/>
    <w:rsid w:val="00567F8D"/>
    <w:rsid w:val="00567F90"/>
    <w:rsid w:val="00570048"/>
    <w:rsid w:val="00570199"/>
    <w:rsid w:val="005702B0"/>
    <w:rsid w:val="0057034B"/>
    <w:rsid w:val="005703AA"/>
    <w:rsid w:val="00570451"/>
    <w:rsid w:val="0057049C"/>
    <w:rsid w:val="005704BF"/>
    <w:rsid w:val="005704C0"/>
    <w:rsid w:val="005705A7"/>
    <w:rsid w:val="00570AF8"/>
    <w:rsid w:val="00570BA0"/>
    <w:rsid w:val="00570E49"/>
    <w:rsid w:val="00570E5B"/>
    <w:rsid w:val="00570E97"/>
    <w:rsid w:val="005711B4"/>
    <w:rsid w:val="005711CB"/>
    <w:rsid w:val="0057129B"/>
    <w:rsid w:val="005712D1"/>
    <w:rsid w:val="0057135C"/>
    <w:rsid w:val="0057140F"/>
    <w:rsid w:val="005714C5"/>
    <w:rsid w:val="00571615"/>
    <w:rsid w:val="00571756"/>
    <w:rsid w:val="00571890"/>
    <w:rsid w:val="00571A34"/>
    <w:rsid w:val="00571A7D"/>
    <w:rsid w:val="00571AD8"/>
    <w:rsid w:val="00571B5B"/>
    <w:rsid w:val="00571C2E"/>
    <w:rsid w:val="00571D0A"/>
    <w:rsid w:val="00571DFB"/>
    <w:rsid w:val="0057217E"/>
    <w:rsid w:val="005721B2"/>
    <w:rsid w:val="00572482"/>
    <w:rsid w:val="00572526"/>
    <w:rsid w:val="0057288F"/>
    <w:rsid w:val="0057289C"/>
    <w:rsid w:val="00572A8D"/>
    <w:rsid w:val="00572AB8"/>
    <w:rsid w:val="00572AD9"/>
    <w:rsid w:val="00572B66"/>
    <w:rsid w:val="00572C78"/>
    <w:rsid w:val="00572F56"/>
    <w:rsid w:val="00573179"/>
    <w:rsid w:val="005732F5"/>
    <w:rsid w:val="00573594"/>
    <w:rsid w:val="0057386A"/>
    <w:rsid w:val="00573875"/>
    <w:rsid w:val="00573958"/>
    <w:rsid w:val="0057395B"/>
    <w:rsid w:val="00573A53"/>
    <w:rsid w:val="00573C11"/>
    <w:rsid w:val="005740F0"/>
    <w:rsid w:val="005741BB"/>
    <w:rsid w:val="00574231"/>
    <w:rsid w:val="005742F3"/>
    <w:rsid w:val="0057432B"/>
    <w:rsid w:val="0057453F"/>
    <w:rsid w:val="00574682"/>
    <w:rsid w:val="005749D9"/>
    <w:rsid w:val="00574A99"/>
    <w:rsid w:val="00574A9B"/>
    <w:rsid w:val="00574E93"/>
    <w:rsid w:val="00575011"/>
    <w:rsid w:val="00575163"/>
    <w:rsid w:val="0057517F"/>
    <w:rsid w:val="005751B2"/>
    <w:rsid w:val="0057536A"/>
    <w:rsid w:val="00575495"/>
    <w:rsid w:val="005756D2"/>
    <w:rsid w:val="0057577A"/>
    <w:rsid w:val="005757A8"/>
    <w:rsid w:val="00575B50"/>
    <w:rsid w:val="00575C5C"/>
    <w:rsid w:val="00575DE2"/>
    <w:rsid w:val="00575F21"/>
    <w:rsid w:val="00575FB9"/>
    <w:rsid w:val="00576196"/>
    <w:rsid w:val="005761D3"/>
    <w:rsid w:val="00576259"/>
    <w:rsid w:val="005764B8"/>
    <w:rsid w:val="005765D2"/>
    <w:rsid w:val="00576829"/>
    <w:rsid w:val="00576A44"/>
    <w:rsid w:val="00576C3E"/>
    <w:rsid w:val="00576DAD"/>
    <w:rsid w:val="00576DD8"/>
    <w:rsid w:val="00576E2B"/>
    <w:rsid w:val="00576F3E"/>
    <w:rsid w:val="0057711B"/>
    <w:rsid w:val="00577196"/>
    <w:rsid w:val="00577222"/>
    <w:rsid w:val="0057725D"/>
    <w:rsid w:val="00577277"/>
    <w:rsid w:val="0057746D"/>
    <w:rsid w:val="005774F5"/>
    <w:rsid w:val="0057762F"/>
    <w:rsid w:val="00577645"/>
    <w:rsid w:val="00577913"/>
    <w:rsid w:val="00577CFC"/>
    <w:rsid w:val="00577CFD"/>
    <w:rsid w:val="00577DB1"/>
    <w:rsid w:val="00577F20"/>
    <w:rsid w:val="00580015"/>
    <w:rsid w:val="005801A3"/>
    <w:rsid w:val="00580205"/>
    <w:rsid w:val="005802FB"/>
    <w:rsid w:val="00580578"/>
    <w:rsid w:val="0058057D"/>
    <w:rsid w:val="00580693"/>
    <w:rsid w:val="00580802"/>
    <w:rsid w:val="00580845"/>
    <w:rsid w:val="0058085C"/>
    <w:rsid w:val="005808CE"/>
    <w:rsid w:val="00580995"/>
    <w:rsid w:val="00580A9B"/>
    <w:rsid w:val="00580D0C"/>
    <w:rsid w:val="00580D86"/>
    <w:rsid w:val="00580DC6"/>
    <w:rsid w:val="00580E09"/>
    <w:rsid w:val="00580F36"/>
    <w:rsid w:val="0058106E"/>
    <w:rsid w:val="005810AA"/>
    <w:rsid w:val="00581329"/>
    <w:rsid w:val="005813E6"/>
    <w:rsid w:val="0058146E"/>
    <w:rsid w:val="0058149A"/>
    <w:rsid w:val="0058149E"/>
    <w:rsid w:val="00581884"/>
    <w:rsid w:val="005818FC"/>
    <w:rsid w:val="0058190B"/>
    <w:rsid w:val="00581916"/>
    <w:rsid w:val="00581AAB"/>
    <w:rsid w:val="00581AE5"/>
    <w:rsid w:val="00581E63"/>
    <w:rsid w:val="00581EC8"/>
    <w:rsid w:val="00581F24"/>
    <w:rsid w:val="00581FBB"/>
    <w:rsid w:val="0058206B"/>
    <w:rsid w:val="00582295"/>
    <w:rsid w:val="005823B4"/>
    <w:rsid w:val="00582444"/>
    <w:rsid w:val="00582522"/>
    <w:rsid w:val="00582693"/>
    <w:rsid w:val="0058274A"/>
    <w:rsid w:val="00582883"/>
    <w:rsid w:val="00582A21"/>
    <w:rsid w:val="00582B3E"/>
    <w:rsid w:val="00582DC2"/>
    <w:rsid w:val="00582F2F"/>
    <w:rsid w:val="005831A6"/>
    <w:rsid w:val="005832E8"/>
    <w:rsid w:val="00583301"/>
    <w:rsid w:val="0058339F"/>
    <w:rsid w:val="005834CA"/>
    <w:rsid w:val="00583716"/>
    <w:rsid w:val="0058379B"/>
    <w:rsid w:val="00583B7B"/>
    <w:rsid w:val="00583C22"/>
    <w:rsid w:val="00583D77"/>
    <w:rsid w:val="00583DC5"/>
    <w:rsid w:val="00583E47"/>
    <w:rsid w:val="00583EC8"/>
    <w:rsid w:val="00583FEA"/>
    <w:rsid w:val="005842C6"/>
    <w:rsid w:val="005842D4"/>
    <w:rsid w:val="00584312"/>
    <w:rsid w:val="0058431B"/>
    <w:rsid w:val="005843C2"/>
    <w:rsid w:val="005843F9"/>
    <w:rsid w:val="005849C2"/>
    <w:rsid w:val="00584A2D"/>
    <w:rsid w:val="00584B0B"/>
    <w:rsid w:val="00584B8E"/>
    <w:rsid w:val="00584BD9"/>
    <w:rsid w:val="00584C77"/>
    <w:rsid w:val="00584D07"/>
    <w:rsid w:val="00584D19"/>
    <w:rsid w:val="00584DE7"/>
    <w:rsid w:val="00584E57"/>
    <w:rsid w:val="00584FD1"/>
    <w:rsid w:val="00585077"/>
    <w:rsid w:val="005850FD"/>
    <w:rsid w:val="00585141"/>
    <w:rsid w:val="0058532F"/>
    <w:rsid w:val="00585349"/>
    <w:rsid w:val="0058536F"/>
    <w:rsid w:val="005853D5"/>
    <w:rsid w:val="00585448"/>
    <w:rsid w:val="00585686"/>
    <w:rsid w:val="005856EF"/>
    <w:rsid w:val="00585741"/>
    <w:rsid w:val="0058579F"/>
    <w:rsid w:val="005857A2"/>
    <w:rsid w:val="00585816"/>
    <w:rsid w:val="00585870"/>
    <w:rsid w:val="00585919"/>
    <w:rsid w:val="00585C76"/>
    <w:rsid w:val="00585CDD"/>
    <w:rsid w:val="00585DE3"/>
    <w:rsid w:val="00585E81"/>
    <w:rsid w:val="00585F62"/>
    <w:rsid w:val="00585FC9"/>
    <w:rsid w:val="005860C4"/>
    <w:rsid w:val="0058610E"/>
    <w:rsid w:val="00586396"/>
    <w:rsid w:val="005868D2"/>
    <w:rsid w:val="005869C9"/>
    <w:rsid w:val="005869D2"/>
    <w:rsid w:val="005869E5"/>
    <w:rsid w:val="00586A0B"/>
    <w:rsid w:val="00586ADC"/>
    <w:rsid w:val="00586D38"/>
    <w:rsid w:val="005870AB"/>
    <w:rsid w:val="00587377"/>
    <w:rsid w:val="00587393"/>
    <w:rsid w:val="005873D3"/>
    <w:rsid w:val="005874D7"/>
    <w:rsid w:val="00587588"/>
    <w:rsid w:val="005875E2"/>
    <w:rsid w:val="00587699"/>
    <w:rsid w:val="00587718"/>
    <w:rsid w:val="005879BB"/>
    <w:rsid w:val="00587A4B"/>
    <w:rsid w:val="00587A87"/>
    <w:rsid w:val="00587B02"/>
    <w:rsid w:val="00587B58"/>
    <w:rsid w:val="00587C3C"/>
    <w:rsid w:val="00587DDE"/>
    <w:rsid w:val="00587ECA"/>
    <w:rsid w:val="0059000C"/>
    <w:rsid w:val="0059029B"/>
    <w:rsid w:val="005902F6"/>
    <w:rsid w:val="005906B3"/>
    <w:rsid w:val="00590855"/>
    <w:rsid w:val="00590AE4"/>
    <w:rsid w:val="00590B36"/>
    <w:rsid w:val="00590B9B"/>
    <w:rsid w:val="00590C77"/>
    <w:rsid w:val="00590D87"/>
    <w:rsid w:val="00590E08"/>
    <w:rsid w:val="00590E7F"/>
    <w:rsid w:val="00590E8A"/>
    <w:rsid w:val="00590F07"/>
    <w:rsid w:val="00590FB8"/>
    <w:rsid w:val="00591015"/>
    <w:rsid w:val="0059112F"/>
    <w:rsid w:val="005911AC"/>
    <w:rsid w:val="0059128F"/>
    <w:rsid w:val="005912D1"/>
    <w:rsid w:val="00591390"/>
    <w:rsid w:val="0059141A"/>
    <w:rsid w:val="00591457"/>
    <w:rsid w:val="00591713"/>
    <w:rsid w:val="00591908"/>
    <w:rsid w:val="00591A18"/>
    <w:rsid w:val="00591A54"/>
    <w:rsid w:val="00591B01"/>
    <w:rsid w:val="00591B73"/>
    <w:rsid w:val="00591C47"/>
    <w:rsid w:val="00591C7E"/>
    <w:rsid w:val="00591D1C"/>
    <w:rsid w:val="00591D29"/>
    <w:rsid w:val="00591E0F"/>
    <w:rsid w:val="00591E60"/>
    <w:rsid w:val="00592099"/>
    <w:rsid w:val="00592137"/>
    <w:rsid w:val="005924A1"/>
    <w:rsid w:val="0059253E"/>
    <w:rsid w:val="00592547"/>
    <w:rsid w:val="00592581"/>
    <w:rsid w:val="005925AB"/>
    <w:rsid w:val="0059277F"/>
    <w:rsid w:val="0059281B"/>
    <w:rsid w:val="0059290C"/>
    <w:rsid w:val="00592A3F"/>
    <w:rsid w:val="00592AAE"/>
    <w:rsid w:val="00592CBF"/>
    <w:rsid w:val="00592DEB"/>
    <w:rsid w:val="00592F34"/>
    <w:rsid w:val="00593024"/>
    <w:rsid w:val="005931FF"/>
    <w:rsid w:val="00593219"/>
    <w:rsid w:val="00593223"/>
    <w:rsid w:val="00593373"/>
    <w:rsid w:val="00593430"/>
    <w:rsid w:val="0059349B"/>
    <w:rsid w:val="005935DC"/>
    <w:rsid w:val="0059369D"/>
    <w:rsid w:val="0059373B"/>
    <w:rsid w:val="00593759"/>
    <w:rsid w:val="005937DF"/>
    <w:rsid w:val="00593955"/>
    <w:rsid w:val="00593B77"/>
    <w:rsid w:val="00593C05"/>
    <w:rsid w:val="00593C18"/>
    <w:rsid w:val="00593E17"/>
    <w:rsid w:val="00593E35"/>
    <w:rsid w:val="00593EA9"/>
    <w:rsid w:val="00593EEC"/>
    <w:rsid w:val="00593F85"/>
    <w:rsid w:val="00593FB6"/>
    <w:rsid w:val="005940D6"/>
    <w:rsid w:val="005940EB"/>
    <w:rsid w:val="00594221"/>
    <w:rsid w:val="005942AC"/>
    <w:rsid w:val="005944F3"/>
    <w:rsid w:val="00594581"/>
    <w:rsid w:val="0059465C"/>
    <w:rsid w:val="005946E4"/>
    <w:rsid w:val="0059482C"/>
    <w:rsid w:val="00594871"/>
    <w:rsid w:val="00594878"/>
    <w:rsid w:val="0059493A"/>
    <w:rsid w:val="00594AAC"/>
    <w:rsid w:val="00594BEE"/>
    <w:rsid w:val="00594C40"/>
    <w:rsid w:val="00594CE7"/>
    <w:rsid w:val="00594D4C"/>
    <w:rsid w:val="00594DC4"/>
    <w:rsid w:val="00594F1A"/>
    <w:rsid w:val="0059501A"/>
    <w:rsid w:val="0059504C"/>
    <w:rsid w:val="005951EB"/>
    <w:rsid w:val="00595241"/>
    <w:rsid w:val="005953E7"/>
    <w:rsid w:val="00595442"/>
    <w:rsid w:val="0059559A"/>
    <w:rsid w:val="00595623"/>
    <w:rsid w:val="005957C4"/>
    <w:rsid w:val="0059588B"/>
    <w:rsid w:val="00595900"/>
    <w:rsid w:val="00595A8F"/>
    <w:rsid w:val="00595AD8"/>
    <w:rsid w:val="00595C16"/>
    <w:rsid w:val="00595C2B"/>
    <w:rsid w:val="00595DB8"/>
    <w:rsid w:val="00595EE8"/>
    <w:rsid w:val="00596029"/>
    <w:rsid w:val="0059608B"/>
    <w:rsid w:val="0059617A"/>
    <w:rsid w:val="00596282"/>
    <w:rsid w:val="0059631B"/>
    <w:rsid w:val="0059631F"/>
    <w:rsid w:val="005963AD"/>
    <w:rsid w:val="005963F7"/>
    <w:rsid w:val="005964DA"/>
    <w:rsid w:val="00596737"/>
    <w:rsid w:val="00596868"/>
    <w:rsid w:val="00596895"/>
    <w:rsid w:val="005969CA"/>
    <w:rsid w:val="00596B2B"/>
    <w:rsid w:val="00596B41"/>
    <w:rsid w:val="00596B9B"/>
    <w:rsid w:val="00596FD8"/>
    <w:rsid w:val="005971C8"/>
    <w:rsid w:val="005972B6"/>
    <w:rsid w:val="0059749A"/>
    <w:rsid w:val="00597643"/>
    <w:rsid w:val="005976AC"/>
    <w:rsid w:val="005977F4"/>
    <w:rsid w:val="005979C0"/>
    <w:rsid w:val="00597C11"/>
    <w:rsid w:val="00597C63"/>
    <w:rsid w:val="00597CA6"/>
    <w:rsid w:val="00597CB3"/>
    <w:rsid w:val="00597D44"/>
    <w:rsid w:val="00597EDD"/>
    <w:rsid w:val="00597F0F"/>
    <w:rsid w:val="00597F92"/>
    <w:rsid w:val="00597FAD"/>
    <w:rsid w:val="005A0119"/>
    <w:rsid w:val="005A0209"/>
    <w:rsid w:val="005A0243"/>
    <w:rsid w:val="005A0454"/>
    <w:rsid w:val="005A0BC5"/>
    <w:rsid w:val="005A0E6B"/>
    <w:rsid w:val="005A0FF1"/>
    <w:rsid w:val="005A1068"/>
    <w:rsid w:val="005A10FE"/>
    <w:rsid w:val="005A1155"/>
    <w:rsid w:val="005A117F"/>
    <w:rsid w:val="005A1280"/>
    <w:rsid w:val="005A1479"/>
    <w:rsid w:val="005A150A"/>
    <w:rsid w:val="005A1662"/>
    <w:rsid w:val="005A1A24"/>
    <w:rsid w:val="005A1A2C"/>
    <w:rsid w:val="005A1A84"/>
    <w:rsid w:val="005A1B1A"/>
    <w:rsid w:val="005A1E4F"/>
    <w:rsid w:val="005A2045"/>
    <w:rsid w:val="005A20A5"/>
    <w:rsid w:val="005A20BA"/>
    <w:rsid w:val="005A2332"/>
    <w:rsid w:val="005A24DF"/>
    <w:rsid w:val="005A24E6"/>
    <w:rsid w:val="005A253A"/>
    <w:rsid w:val="005A2578"/>
    <w:rsid w:val="005A2A89"/>
    <w:rsid w:val="005A2B26"/>
    <w:rsid w:val="005A2B31"/>
    <w:rsid w:val="005A2B34"/>
    <w:rsid w:val="005A2C0F"/>
    <w:rsid w:val="005A2C91"/>
    <w:rsid w:val="005A2E32"/>
    <w:rsid w:val="005A2EA8"/>
    <w:rsid w:val="005A2FC4"/>
    <w:rsid w:val="005A3545"/>
    <w:rsid w:val="005A35FF"/>
    <w:rsid w:val="005A3601"/>
    <w:rsid w:val="005A37A3"/>
    <w:rsid w:val="005A395E"/>
    <w:rsid w:val="005A39ED"/>
    <w:rsid w:val="005A3A56"/>
    <w:rsid w:val="005A3A75"/>
    <w:rsid w:val="005A3A85"/>
    <w:rsid w:val="005A3B1B"/>
    <w:rsid w:val="005A3C2A"/>
    <w:rsid w:val="005A3C60"/>
    <w:rsid w:val="005A3CCB"/>
    <w:rsid w:val="005A3EC9"/>
    <w:rsid w:val="005A3F85"/>
    <w:rsid w:val="005A40AB"/>
    <w:rsid w:val="005A40DB"/>
    <w:rsid w:val="005A4155"/>
    <w:rsid w:val="005A43F6"/>
    <w:rsid w:val="005A440E"/>
    <w:rsid w:val="005A44AD"/>
    <w:rsid w:val="005A451F"/>
    <w:rsid w:val="005A45BC"/>
    <w:rsid w:val="005A48FB"/>
    <w:rsid w:val="005A4987"/>
    <w:rsid w:val="005A4AE7"/>
    <w:rsid w:val="005A4C59"/>
    <w:rsid w:val="005A4CE4"/>
    <w:rsid w:val="005A4EF5"/>
    <w:rsid w:val="005A4FA2"/>
    <w:rsid w:val="005A51D7"/>
    <w:rsid w:val="005A56EC"/>
    <w:rsid w:val="005A581C"/>
    <w:rsid w:val="005A5A27"/>
    <w:rsid w:val="005A5E37"/>
    <w:rsid w:val="005A6000"/>
    <w:rsid w:val="005A607B"/>
    <w:rsid w:val="005A63AF"/>
    <w:rsid w:val="005A66BF"/>
    <w:rsid w:val="005A67A7"/>
    <w:rsid w:val="005A69A2"/>
    <w:rsid w:val="005A6A13"/>
    <w:rsid w:val="005A6AC7"/>
    <w:rsid w:val="005A6B83"/>
    <w:rsid w:val="005A6DD7"/>
    <w:rsid w:val="005A6E98"/>
    <w:rsid w:val="005A6EA6"/>
    <w:rsid w:val="005A6F03"/>
    <w:rsid w:val="005A712C"/>
    <w:rsid w:val="005A7139"/>
    <w:rsid w:val="005A72E5"/>
    <w:rsid w:val="005A72F0"/>
    <w:rsid w:val="005A72FC"/>
    <w:rsid w:val="005A731C"/>
    <w:rsid w:val="005A7344"/>
    <w:rsid w:val="005A762F"/>
    <w:rsid w:val="005A7664"/>
    <w:rsid w:val="005A7921"/>
    <w:rsid w:val="005A793D"/>
    <w:rsid w:val="005A7966"/>
    <w:rsid w:val="005A7AF9"/>
    <w:rsid w:val="005A7D3E"/>
    <w:rsid w:val="005A7D96"/>
    <w:rsid w:val="005A7F18"/>
    <w:rsid w:val="005A7FE4"/>
    <w:rsid w:val="005B0023"/>
    <w:rsid w:val="005B0052"/>
    <w:rsid w:val="005B011E"/>
    <w:rsid w:val="005B02B9"/>
    <w:rsid w:val="005B0701"/>
    <w:rsid w:val="005B0725"/>
    <w:rsid w:val="005B075E"/>
    <w:rsid w:val="005B0836"/>
    <w:rsid w:val="005B0AF1"/>
    <w:rsid w:val="005B0C60"/>
    <w:rsid w:val="005B0F38"/>
    <w:rsid w:val="005B128E"/>
    <w:rsid w:val="005B1413"/>
    <w:rsid w:val="005B1463"/>
    <w:rsid w:val="005B1633"/>
    <w:rsid w:val="005B17F8"/>
    <w:rsid w:val="005B190D"/>
    <w:rsid w:val="005B1940"/>
    <w:rsid w:val="005B19A6"/>
    <w:rsid w:val="005B1D5A"/>
    <w:rsid w:val="005B1D79"/>
    <w:rsid w:val="005B1E59"/>
    <w:rsid w:val="005B1E93"/>
    <w:rsid w:val="005B1ECA"/>
    <w:rsid w:val="005B1F1D"/>
    <w:rsid w:val="005B1F81"/>
    <w:rsid w:val="005B2215"/>
    <w:rsid w:val="005B221F"/>
    <w:rsid w:val="005B222F"/>
    <w:rsid w:val="005B22AC"/>
    <w:rsid w:val="005B23C9"/>
    <w:rsid w:val="005B2459"/>
    <w:rsid w:val="005B253F"/>
    <w:rsid w:val="005B2849"/>
    <w:rsid w:val="005B290A"/>
    <w:rsid w:val="005B2B65"/>
    <w:rsid w:val="005B2BE5"/>
    <w:rsid w:val="005B2C57"/>
    <w:rsid w:val="005B2E54"/>
    <w:rsid w:val="005B335F"/>
    <w:rsid w:val="005B3632"/>
    <w:rsid w:val="005B3634"/>
    <w:rsid w:val="005B365D"/>
    <w:rsid w:val="005B367E"/>
    <w:rsid w:val="005B3C40"/>
    <w:rsid w:val="005B3D4F"/>
    <w:rsid w:val="005B3D6C"/>
    <w:rsid w:val="005B3D83"/>
    <w:rsid w:val="005B40E3"/>
    <w:rsid w:val="005B41A7"/>
    <w:rsid w:val="005B433B"/>
    <w:rsid w:val="005B4589"/>
    <w:rsid w:val="005B46EA"/>
    <w:rsid w:val="005B4717"/>
    <w:rsid w:val="005B4B70"/>
    <w:rsid w:val="005B4E7D"/>
    <w:rsid w:val="005B53B6"/>
    <w:rsid w:val="005B55CD"/>
    <w:rsid w:val="005B567D"/>
    <w:rsid w:val="005B5696"/>
    <w:rsid w:val="005B5867"/>
    <w:rsid w:val="005B59B2"/>
    <w:rsid w:val="005B5B02"/>
    <w:rsid w:val="005B5B1C"/>
    <w:rsid w:val="005B5CD0"/>
    <w:rsid w:val="005B5EA4"/>
    <w:rsid w:val="005B6046"/>
    <w:rsid w:val="005B60DA"/>
    <w:rsid w:val="005B61C8"/>
    <w:rsid w:val="005B6575"/>
    <w:rsid w:val="005B6631"/>
    <w:rsid w:val="005B679D"/>
    <w:rsid w:val="005B6892"/>
    <w:rsid w:val="005B68B2"/>
    <w:rsid w:val="005B6900"/>
    <w:rsid w:val="005B6C92"/>
    <w:rsid w:val="005B6CCE"/>
    <w:rsid w:val="005B6CFB"/>
    <w:rsid w:val="005B6E2F"/>
    <w:rsid w:val="005B6EEC"/>
    <w:rsid w:val="005B70B4"/>
    <w:rsid w:val="005B70C7"/>
    <w:rsid w:val="005B7129"/>
    <w:rsid w:val="005B7277"/>
    <w:rsid w:val="005B72DA"/>
    <w:rsid w:val="005B72F5"/>
    <w:rsid w:val="005B7422"/>
    <w:rsid w:val="005B7457"/>
    <w:rsid w:val="005B754E"/>
    <w:rsid w:val="005B782D"/>
    <w:rsid w:val="005B78FC"/>
    <w:rsid w:val="005B7946"/>
    <w:rsid w:val="005B79C2"/>
    <w:rsid w:val="005B7B35"/>
    <w:rsid w:val="005B7C56"/>
    <w:rsid w:val="005B7C62"/>
    <w:rsid w:val="005B7CBE"/>
    <w:rsid w:val="005B7D1D"/>
    <w:rsid w:val="005B7D75"/>
    <w:rsid w:val="005B7E09"/>
    <w:rsid w:val="005B7FF8"/>
    <w:rsid w:val="005C012D"/>
    <w:rsid w:val="005C019D"/>
    <w:rsid w:val="005C01D1"/>
    <w:rsid w:val="005C024B"/>
    <w:rsid w:val="005C0303"/>
    <w:rsid w:val="005C04AC"/>
    <w:rsid w:val="005C04E4"/>
    <w:rsid w:val="005C0750"/>
    <w:rsid w:val="005C07DF"/>
    <w:rsid w:val="005C0808"/>
    <w:rsid w:val="005C0830"/>
    <w:rsid w:val="005C0AC7"/>
    <w:rsid w:val="005C0DA0"/>
    <w:rsid w:val="005C0E1A"/>
    <w:rsid w:val="005C0F62"/>
    <w:rsid w:val="005C1029"/>
    <w:rsid w:val="005C1038"/>
    <w:rsid w:val="005C121B"/>
    <w:rsid w:val="005C1329"/>
    <w:rsid w:val="005C15C5"/>
    <w:rsid w:val="005C1837"/>
    <w:rsid w:val="005C1B1D"/>
    <w:rsid w:val="005C1B5A"/>
    <w:rsid w:val="005C1B91"/>
    <w:rsid w:val="005C1D93"/>
    <w:rsid w:val="005C1DF1"/>
    <w:rsid w:val="005C1E52"/>
    <w:rsid w:val="005C1F16"/>
    <w:rsid w:val="005C20CF"/>
    <w:rsid w:val="005C217C"/>
    <w:rsid w:val="005C2411"/>
    <w:rsid w:val="005C24EA"/>
    <w:rsid w:val="005C2546"/>
    <w:rsid w:val="005C2AE1"/>
    <w:rsid w:val="005C2B9C"/>
    <w:rsid w:val="005C2C42"/>
    <w:rsid w:val="005C2C8B"/>
    <w:rsid w:val="005C2D9D"/>
    <w:rsid w:val="005C2DD9"/>
    <w:rsid w:val="005C2DE5"/>
    <w:rsid w:val="005C2E8B"/>
    <w:rsid w:val="005C3256"/>
    <w:rsid w:val="005C35C1"/>
    <w:rsid w:val="005C3740"/>
    <w:rsid w:val="005C3786"/>
    <w:rsid w:val="005C3AAF"/>
    <w:rsid w:val="005C3CB8"/>
    <w:rsid w:val="005C3D64"/>
    <w:rsid w:val="005C3DA2"/>
    <w:rsid w:val="005C3DAA"/>
    <w:rsid w:val="005C3E29"/>
    <w:rsid w:val="005C3EF3"/>
    <w:rsid w:val="005C3FE1"/>
    <w:rsid w:val="005C429D"/>
    <w:rsid w:val="005C43E0"/>
    <w:rsid w:val="005C4684"/>
    <w:rsid w:val="005C46C3"/>
    <w:rsid w:val="005C4710"/>
    <w:rsid w:val="005C47D1"/>
    <w:rsid w:val="005C47DB"/>
    <w:rsid w:val="005C4A32"/>
    <w:rsid w:val="005C4A5E"/>
    <w:rsid w:val="005C4AC8"/>
    <w:rsid w:val="005C4BCE"/>
    <w:rsid w:val="005C4DD3"/>
    <w:rsid w:val="005C51A1"/>
    <w:rsid w:val="005C5225"/>
    <w:rsid w:val="005C52B6"/>
    <w:rsid w:val="005C540F"/>
    <w:rsid w:val="005C5474"/>
    <w:rsid w:val="005C56A1"/>
    <w:rsid w:val="005C5962"/>
    <w:rsid w:val="005C5D84"/>
    <w:rsid w:val="005C5DB3"/>
    <w:rsid w:val="005C5E77"/>
    <w:rsid w:val="005C5EB3"/>
    <w:rsid w:val="005C63DF"/>
    <w:rsid w:val="005C65EC"/>
    <w:rsid w:val="005C682A"/>
    <w:rsid w:val="005C69E8"/>
    <w:rsid w:val="005C6A80"/>
    <w:rsid w:val="005C6C16"/>
    <w:rsid w:val="005C6E8E"/>
    <w:rsid w:val="005C6EE9"/>
    <w:rsid w:val="005C6FD7"/>
    <w:rsid w:val="005C7145"/>
    <w:rsid w:val="005C71EB"/>
    <w:rsid w:val="005C72D2"/>
    <w:rsid w:val="005C7338"/>
    <w:rsid w:val="005C7431"/>
    <w:rsid w:val="005C77AE"/>
    <w:rsid w:val="005C7953"/>
    <w:rsid w:val="005C7C22"/>
    <w:rsid w:val="005C7C5B"/>
    <w:rsid w:val="005C7E12"/>
    <w:rsid w:val="005C7E48"/>
    <w:rsid w:val="005C7E83"/>
    <w:rsid w:val="005C7FB2"/>
    <w:rsid w:val="005D0091"/>
    <w:rsid w:val="005D00AB"/>
    <w:rsid w:val="005D0214"/>
    <w:rsid w:val="005D072B"/>
    <w:rsid w:val="005D07E6"/>
    <w:rsid w:val="005D09B3"/>
    <w:rsid w:val="005D0D44"/>
    <w:rsid w:val="005D105F"/>
    <w:rsid w:val="005D10F7"/>
    <w:rsid w:val="005D113D"/>
    <w:rsid w:val="005D1164"/>
    <w:rsid w:val="005D1194"/>
    <w:rsid w:val="005D121D"/>
    <w:rsid w:val="005D12D5"/>
    <w:rsid w:val="005D1776"/>
    <w:rsid w:val="005D179A"/>
    <w:rsid w:val="005D1818"/>
    <w:rsid w:val="005D194D"/>
    <w:rsid w:val="005D1A22"/>
    <w:rsid w:val="005D1A38"/>
    <w:rsid w:val="005D1BF2"/>
    <w:rsid w:val="005D1C5E"/>
    <w:rsid w:val="005D1D01"/>
    <w:rsid w:val="005D249A"/>
    <w:rsid w:val="005D258F"/>
    <w:rsid w:val="005D25C6"/>
    <w:rsid w:val="005D2944"/>
    <w:rsid w:val="005D2ADD"/>
    <w:rsid w:val="005D2CBD"/>
    <w:rsid w:val="005D2CCB"/>
    <w:rsid w:val="005D2CF4"/>
    <w:rsid w:val="005D2F2E"/>
    <w:rsid w:val="005D2F88"/>
    <w:rsid w:val="005D2F96"/>
    <w:rsid w:val="005D30BD"/>
    <w:rsid w:val="005D30D1"/>
    <w:rsid w:val="005D30FB"/>
    <w:rsid w:val="005D3119"/>
    <w:rsid w:val="005D3187"/>
    <w:rsid w:val="005D3212"/>
    <w:rsid w:val="005D3231"/>
    <w:rsid w:val="005D34AC"/>
    <w:rsid w:val="005D34BE"/>
    <w:rsid w:val="005D3547"/>
    <w:rsid w:val="005D363B"/>
    <w:rsid w:val="005D3730"/>
    <w:rsid w:val="005D37B5"/>
    <w:rsid w:val="005D37C0"/>
    <w:rsid w:val="005D3CAD"/>
    <w:rsid w:val="005D3D52"/>
    <w:rsid w:val="005D3EB9"/>
    <w:rsid w:val="005D3FFE"/>
    <w:rsid w:val="005D404F"/>
    <w:rsid w:val="005D4138"/>
    <w:rsid w:val="005D41FF"/>
    <w:rsid w:val="005D42C6"/>
    <w:rsid w:val="005D45B0"/>
    <w:rsid w:val="005D46AA"/>
    <w:rsid w:val="005D4822"/>
    <w:rsid w:val="005D49C6"/>
    <w:rsid w:val="005D49D9"/>
    <w:rsid w:val="005D4A3C"/>
    <w:rsid w:val="005D4B81"/>
    <w:rsid w:val="005D4BA2"/>
    <w:rsid w:val="005D4CE6"/>
    <w:rsid w:val="005D4D42"/>
    <w:rsid w:val="005D4D85"/>
    <w:rsid w:val="005D4EDF"/>
    <w:rsid w:val="005D5010"/>
    <w:rsid w:val="005D5109"/>
    <w:rsid w:val="005D5129"/>
    <w:rsid w:val="005D53BC"/>
    <w:rsid w:val="005D547A"/>
    <w:rsid w:val="005D56C1"/>
    <w:rsid w:val="005D572E"/>
    <w:rsid w:val="005D576C"/>
    <w:rsid w:val="005D578B"/>
    <w:rsid w:val="005D579E"/>
    <w:rsid w:val="005D5C6C"/>
    <w:rsid w:val="005D5D8F"/>
    <w:rsid w:val="005D5EEA"/>
    <w:rsid w:val="005D61DC"/>
    <w:rsid w:val="005D6358"/>
    <w:rsid w:val="005D6543"/>
    <w:rsid w:val="005D6558"/>
    <w:rsid w:val="005D6743"/>
    <w:rsid w:val="005D6839"/>
    <w:rsid w:val="005D684E"/>
    <w:rsid w:val="005D6855"/>
    <w:rsid w:val="005D69EF"/>
    <w:rsid w:val="005D6B2B"/>
    <w:rsid w:val="005D6B5E"/>
    <w:rsid w:val="005D6CB5"/>
    <w:rsid w:val="005D6ED4"/>
    <w:rsid w:val="005D7020"/>
    <w:rsid w:val="005D7333"/>
    <w:rsid w:val="005D7543"/>
    <w:rsid w:val="005D7806"/>
    <w:rsid w:val="005D7829"/>
    <w:rsid w:val="005D7943"/>
    <w:rsid w:val="005D794D"/>
    <w:rsid w:val="005D7E59"/>
    <w:rsid w:val="005D7FF1"/>
    <w:rsid w:val="005E00FF"/>
    <w:rsid w:val="005E0361"/>
    <w:rsid w:val="005E039A"/>
    <w:rsid w:val="005E04B7"/>
    <w:rsid w:val="005E051B"/>
    <w:rsid w:val="005E0546"/>
    <w:rsid w:val="005E077A"/>
    <w:rsid w:val="005E0955"/>
    <w:rsid w:val="005E0A3B"/>
    <w:rsid w:val="005E0A9F"/>
    <w:rsid w:val="005E0C1F"/>
    <w:rsid w:val="005E0E39"/>
    <w:rsid w:val="005E0F3C"/>
    <w:rsid w:val="005E1007"/>
    <w:rsid w:val="005E1293"/>
    <w:rsid w:val="005E1581"/>
    <w:rsid w:val="005E1598"/>
    <w:rsid w:val="005E18FE"/>
    <w:rsid w:val="005E1924"/>
    <w:rsid w:val="005E1942"/>
    <w:rsid w:val="005E1B8D"/>
    <w:rsid w:val="005E1B9A"/>
    <w:rsid w:val="005E1D1D"/>
    <w:rsid w:val="005E1EA4"/>
    <w:rsid w:val="005E2053"/>
    <w:rsid w:val="005E242D"/>
    <w:rsid w:val="005E24CE"/>
    <w:rsid w:val="005E27A7"/>
    <w:rsid w:val="005E28A7"/>
    <w:rsid w:val="005E2A03"/>
    <w:rsid w:val="005E2D63"/>
    <w:rsid w:val="005E2EB9"/>
    <w:rsid w:val="005E2F85"/>
    <w:rsid w:val="005E301B"/>
    <w:rsid w:val="005E303D"/>
    <w:rsid w:val="005E3177"/>
    <w:rsid w:val="005E3330"/>
    <w:rsid w:val="005E343A"/>
    <w:rsid w:val="005E34EB"/>
    <w:rsid w:val="005E3536"/>
    <w:rsid w:val="005E36B3"/>
    <w:rsid w:val="005E3A5F"/>
    <w:rsid w:val="005E3A7E"/>
    <w:rsid w:val="005E3CE3"/>
    <w:rsid w:val="005E4004"/>
    <w:rsid w:val="005E40C7"/>
    <w:rsid w:val="005E40E4"/>
    <w:rsid w:val="005E4102"/>
    <w:rsid w:val="005E43B9"/>
    <w:rsid w:val="005E455A"/>
    <w:rsid w:val="005E45AA"/>
    <w:rsid w:val="005E4637"/>
    <w:rsid w:val="005E4715"/>
    <w:rsid w:val="005E4748"/>
    <w:rsid w:val="005E48F0"/>
    <w:rsid w:val="005E49C2"/>
    <w:rsid w:val="005E4C15"/>
    <w:rsid w:val="005E4DFC"/>
    <w:rsid w:val="005E4E83"/>
    <w:rsid w:val="005E5122"/>
    <w:rsid w:val="005E5188"/>
    <w:rsid w:val="005E52CF"/>
    <w:rsid w:val="005E533B"/>
    <w:rsid w:val="005E5372"/>
    <w:rsid w:val="005E53CF"/>
    <w:rsid w:val="005E53E3"/>
    <w:rsid w:val="005E54E4"/>
    <w:rsid w:val="005E5528"/>
    <w:rsid w:val="005E55AC"/>
    <w:rsid w:val="005E5799"/>
    <w:rsid w:val="005E58A1"/>
    <w:rsid w:val="005E59C9"/>
    <w:rsid w:val="005E5B8C"/>
    <w:rsid w:val="005E5D0F"/>
    <w:rsid w:val="005E5D39"/>
    <w:rsid w:val="005E5D56"/>
    <w:rsid w:val="005E5E05"/>
    <w:rsid w:val="005E5ED2"/>
    <w:rsid w:val="005E5F3F"/>
    <w:rsid w:val="005E6005"/>
    <w:rsid w:val="005E64C5"/>
    <w:rsid w:val="005E6644"/>
    <w:rsid w:val="005E66E5"/>
    <w:rsid w:val="005E677F"/>
    <w:rsid w:val="005E6846"/>
    <w:rsid w:val="005E688B"/>
    <w:rsid w:val="005E68E8"/>
    <w:rsid w:val="005E68F0"/>
    <w:rsid w:val="005E6AAD"/>
    <w:rsid w:val="005E6B2F"/>
    <w:rsid w:val="005E6BDF"/>
    <w:rsid w:val="005E6D1C"/>
    <w:rsid w:val="005E6DC7"/>
    <w:rsid w:val="005E6E86"/>
    <w:rsid w:val="005E6E93"/>
    <w:rsid w:val="005E7161"/>
    <w:rsid w:val="005E7309"/>
    <w:rsid w:val="005E75B0"/>
    <w:rsid w:val="005E7671"/>
    <w:rsid w:val="005E78BF"/>
    <w:rsid w:val="005E78F3"/>
    <w:rsid w:val="005E79B1"/>
    <w:rsid w:val="005E79D7"/>
    <w:rsid w:val="005E7A8F"/>
    <w:rsid w:val="005E7B5B"/>
    <w:rsid w:val="005E7B63"/>
    <w:rsid w:val="005E7B6B"/>
    <w:rsid w:val="005E7F6B"/>
    <w:rsid w:val="005E7FEF"/>
    <w:rsid w:val="005F006A"/>
    <w:rsid w:val="005F008A"/>
    <w:rsid w:val="005F009F"/>
    <w:rsid w:val="005F01ED"/>
    <w:rsid w:val="005F0461"/>
    <w:rsid w:val="005F04C1"/>
    <w:rsid w:val="005F076C"/>
    <w:rsid w:val="005F09C1"/>
    <w:rsid w:val="005F09D4"/>
    <w:rsid w:val="005F0B2E"/>
    <w:rsid w:val="005F0C45"/>
    <w:rsid w:val="005F0C88"/>
    <w:rsid w:val="005F0C8F"/>
    <w:rsid w:val="005F0D31"/>
    <w:rsid w:val="005F1026"/>
    <w:rsid w:val="005F10DB"/>
    <w:rsid w:val="005F10DF"/>
    <w:rsid w:val="005F11A7"/>
    <w:rsid w:val="005F126C"/>
    <w:rsid w:val="005F128F"/>
    <w:rsid w:val="005F1490"/>
    <w:rsid w:val="005F14EC"/>
    <w:rsid w:val="005F1625"/>
    <w:rsid w:val="005F16E0"/>
    <w:rsid w:val="005F1743"/>
    <w:rsid w:val="005F1A9B"/>
    <w:rsid w:val="005F1BD9"/>
    <w:rsid w:val="005F1CB5"/>
    <w:rsid w:val="005F1D01"/>
    <w:rsid w:val="005F1EB6"/>
    <w:rsid w:val="005F2041"/>
    <w:rsid w:val="005F2094"/>
    <w:rsid w:val="005F2105"/>
    <w:rsid w:val="005F2127"/>
    <w:rsid w:val="005F2337"/>
    <w:rsid w:val="005F245C"/>
    <w:rsid w:val="005F25AD"/>
    <w:rsid w:val="005F28FB"/>
    <w:rsid w:val="005F2907"/>
    <w:rsid w:val="005F2A26"/>
    <w:rsid w:val="005F2A7A"/>
    <w:rsid w:val="005F2AA7"/>
    <w:rsid w:val="005F2B83"/>
    <w:rsid w:val="005F2BBD"/>
    <w:rsid w:val="005F2BC1"/>
    <w:rsid w:val="005F2C1F"/>
    <w:rsid w:val="005F2C2F"/>
    <w:rsid w:val="005F2D32"/>
    <w:rsid w:val="005F2E96"/>
    <w:rsid w:val="005F312D"/>
    <w:rsid w:val="005F318F"/>
    <w:rsid w:val="005F32E9"/>
    <w:rsid w:val="005F33C0"/>
    <w:rsid w:val="005F363D"/>
    <w:rsid w:val="005F374D"/>
    <w:rsid w:val="005F37C5"/>
    <w:rsid w:val="005F37F5"/>
    <w:rsid w:val="005F39B8"/>
    <w:rsid w:val="005F3BA8"/>
    <w:rsid w:val="005F3E9A"/>
    <w:rsid w:val="005F3F9A"/>
    <w:rsid w:val="005F419F"/>
    <w:rsid w:val="005F440D"/>
    <w:rsid w:val="005F462A"/>
    <w:rsid w:val="005F46C5"/>
    <w:rsid w:val="005F47B1"/>
    <w:rsid w:val="005F48CE"/>
    <w:rsid w:val="005F49AB"/>
    <w:rsid w:val="005F49DD"/>
    <w:rsid w:val="005F4AE3"/>
    <w:rsid w:val="005F4C0E"/>
    <w:rsid w:val="005F4DEE"/>
    <w:rsid w:val="005F4E2D"/>
    <w:rsid w:val="005F4FBC"/>
    <w:rsid w:val="005F50A6"/>
    <w:rsid w:val="005F5137"/>
    <w:rsid w:val="005F5426"/>
    <w:rsid w:val="005F5503"/>
    <w:rsid w:val="005F554B"/>
    <w:rsid w:val="005F5861"/>
    <w:rsid w:val="005F5C62"/>
    <w:rsid w:val="005F5C8A"/>
    <w:rsid w:val="005F5D33"/>
    <w:rsid w:val="005F609F"/>
    <w:rsid w:val="005F60C3"/>
    <w:rsid w:val="005F6252"/>
    <w:rsid w:val="005F6301"/>
    <w:rsid w:val="005F65E6"/>
    <w:rsid w:val="005F6688"/>
    <w:rsid w:val="005F67C6"/>
    <w:rsid w:val="005F6987"/>
    <w:rsid w:val="005F69A4"/>
    <w:rsid w:val="005F6C81"/>
    <w:rsid w:val="005F6CC9"/>
    <w:rsid w:val="005F6CD7"/>
    <w:rsid w:val="005F6ED3"/>
    <w:rsid w:val="005F70AE"/>
    <w:rsid w:val="005F7109"/>
    <w:rsid w:val="005F71EA"/>
    <w:rsid w:val="005F7277"/>
    <w:rsid w:val="005F73F8"/>
    <w:rsid w:val="005F773C"/>
    <w:rsid w:val="005F7756"/>
    <w:rsid w:val="005F785B"/>
    <w:rsid w:val="005F7995"/>
    <w:rsid w:val="005F7A65"/>
    <w:rsid w:val="005F7ABB"/>
    <w:rsid w:val="005F7AEC"/>
    <w:rsid w:val="00600210"/>
    <w:rsid w:val="00600250"/>
    <w:rsid w:val="006002CE"/>
    <w:rsid w:val="006002EC"/>
    <w:rsid w:val="0060038C"/>
    <w:rsid w:val="006003F6"/>
    <w:rsid w:val="00600412"/>
    <w:rsid w:val="00600431"/>
    <w:rsid w:val="006004A9"/>
    <w:rsid w:val="006004E6"/>
    <w:rsid w:val="006005D1"/>
    <w:rsid w:val="00600677"/>
    <w:rsid w:val="006007B1"/>
    <w:rsid w:val="006007DA"/>
    <w:rsid w:val="006009BD"/>
    <w:rsid w:val="00600A1C"/>
    <w:rsid w:val="00600A99"/>
    <w:rsid w:val="00600AA0"/>
    <w:rsid w:val="00600B6E"/>
    <w:rsid w:val="00600C7C"/>
    <w:rsid w:val="00600D0D"/>
    <w:rsid w:val="00600E03"/>
    <w:rsid w:val="00600EB0"/>
    <w:rsid w:val="00601031"/>
    <w:rsid w:val="006010D0"/>
    <w:rsid w:val="006013DB"/>
    <w:rsid w:val="00601669"/>
    <w:rsid w:val="006016C7"/>
    <w:rsid w:val="0060170D"/>
    <w:rsid w:val="00601822"/>
    <w:rsid w:val="006018B5"/>
    <w:rsid w:val="00601999"/>
    <w:rsid w:val="00601A12"/>
    <w:rsid w:val="00601AE9"/>
    <w:rsid w:val="00601BFF"/>
    <w:rsid w:val="00601C1A"/>
    <w:rsid w:val="00601CDF"/>
    <w:rsid w:val="00601F8C"/>
    <w:rsid w:val="00602056"/>
    <w:rsid w:val="00602255"/>
    <w:rsid w:val="006023C7"/>
    <w:rsid w:val="006023E2"/>
    <w:rsid w:val="006024B0"/>
    <w:rsid w:val="006025BF"/>
    <w:rsid w:val="006025D6"/>
    <w:rsid w:val="006026D0"/>
    <w:rsid w:val="00602786"/>
    <w:rsid w:val="006027A0"/>
    <w:rsid w:val="006027BD"/>
    <w:rsid w:val="00602964"/>
    <w:rsid w:val="00602AC9"/>
    <w:rsid w:val="00602CDC"/>
    <w:rsid w:val="00602E13"/>
    <w:rsid w:val="0060303B"/>
    <w:rsid w:val="00603042"/>
    <w:rsid w:val="00603085"/>
    <w:rsid w:val="006030EC"/>
    <w:rsid w:val="00603116"/>
    <w:rsid w:val="00603433"/>
    <w:rsid w:val="00603441"/>
    <w:rsid w:val="006034D0"/>
    <w:rsid w:val="0060352D"/>
    <w:rsid w:val="006035DB"/>
    <w:rsid w:val="006035DF"/>
    <w:rsid w:val="006037E3"/>
    <w:rsid w:val="006037F8"/>
    <w:rsid w:val="00603828"/>
    <w:rsid w:val="006038B3"/>
    <w:rsid w:val="0060392C"/>
    <w:rsid w:val="00603940"/>
    <w:rsid w:val="00603EAC"/>
    <w:rsid w:val="0060406D"/>
    <w:rsid w:val="006041EC"/>
    <w:rsid w:val="006044A7"/>
    <w:rsid w:val="006044C7"/>
    <w:rsid w:val="00604936"/>
    <w:rsid w:val="00604971"/>
    <w:rsid w:val="006049A1"/>
    <w:rsid w:val="006049B3"/>
    <w:rsid w:val="00604B66"/>
    <w:rsid w:val="00604CF8"/>
    <w:rsid w:val="00605166"/>
    <w:rsid w:val="00605398"/>
    <w:rsid w:val="00605501"/>
    <w:rsid w:val="0060552C"/>
    <w:rsid w:val="0060576C"/>
    <w:rsid w:val="006057B5"/>
    <w:rsid w:val="00605819"/>
    <w:rsid w:val="0060591B"/>
    <w:rsid w:val="00605939"/>
    <w:rsid w:val="00605A1F"/>
    <w:rsid w:val="00605A8A"/>
    <w:rsid w:val="00605B41"/>
    <w:rsid w:val="00605C87"/>
    <w:rsid w:val="00605DD7"/>
    <w:rsid w:val="00605DD9"/>
    <w:rsid w:val="00605E11"/>
    <w:rsid w:val="00605E8A"/>
    <w:rsid w:val="00606352"/>
    <w:rsid w:val="0060652F"/>
    <w:rsid w:val="0060655F"/>
    <w:rsid w:val="006065EC"/>
    <w:rsid w:val="0060676D"/>
    <w:rsid w:val="0060691D"/>
    <w:rsid w:val="0060691E"/>
    <w:rsid w:val="00606A99"/>
    <w:rsid w:val="00606AC9"/>
    <w:rsid w:val="00606B0A"/>
    <w:rsid w:val="00606C37"/>
    <w:rsid w:val="00606DCE"/>
    <w:rsid w:val="00606E6C"/>
    <w:rsid w:val="00606ECB"/>
    <w:rsid w:val="00606F94"/>
    <w:rsid w:val="006071D8"/>
    <w:rsid w:val="00607201"/>
    <w:rsid w:val="006074AA"/>
    <w:rsid w:val="0060757C"/>
    <w:rsid w:val="00607586"/>
    <w:rsid w:val="0060762E"/>
    <w:rsid w:val="00607732"/>
    <w:rsid w:val="0060776C"/>
    <w:rsid w:val="00607772"/>
    <w:rsid w:val="006077C3"/>
    <w:rsid w:val="0060788D"/>
    <w:rsid w:val="00607931"/>
    <w:rsid w:val="006079AC"/>
    <w:rsid w:val="00607C72"/>
    <w:rsid w:val="00607C91"/>
    <w:rsid w:val="00607CCC"/>
    <w:rsid w:val="00607D11"/>
    <w:rsid w:val="00607EAB"/>
    <w:rsid w:val="006100D4"/>
    <w:rsid w:val="00610283"/>
    <w:rsid w:val="0061042F"/>
    <w:rsid w:val="006105DF"/>
    <w:rsid w:val="006109A2"/>
    <w:rsid w:val="00610B2F"/>
    <w:rsid w:val="00610BE8"/>
    <w:rsid w:val="00610C76"/>
    <w:rsid w:val="00610C88"/>
    <w:rsid w:val="00610DF3"/>
    <w:rsid w:val="00610E75"/>
    <w:rsid w:val="00610E76"/>
    <w:rsid w:val="00610F19"/>
    <w:rsid w:val="00610F94"/>
    <w:rsid w:val="00611037"/>
    <w:rsid w:val="006110A4"/>
    <w:rsid w:val="0061113C"/>
    <w:rsid w:val="00611158"/>
    <w:rsid w:val="00611285"/>
    <w:rsid w:val="00611323"/>
    <w:rsid w:val="00611357"/>
    <w:rsid w:val="0061147E"/>
    <w:rsid w:val="00611599"/>
    <w:rsid w:val="00611882"/>
    <w:rsid w:val="00611907"/>
    <w:rsid w:val="00611A8D"/>
    <w:rsid w:val="00611BF0"/>
    <w:rsid w:val="00611CDC"/>
    <w:rsid w:val="00611D2A"/>
    <w:rsid w:val="00611E39"/>
    <w:rsid w:val="00611F9E"/>
    <w:rsid w:val="00611FF7"/>
    <w:rsid w:val="006120F7"/>
    <w:rsid w:val="0061213B"/>
    <w:rsid w:val="0061222D"/>
    <w:rsid w:val="00612692"/>
    <w:rsid w:val="006126B3"/>
    <w:rsid w:val="006126FF"/>
    <w:rsid w:val="006127B1"/>
    <w:rsid w:val="006128A9"/>
    <w:rsid w:val="006128C8"/>
    <w:rsid w:val="00612938"/>
    <w:rsid w:val="0061296B"/>
    <w:rsid w:val="006129F7"/>
    <w:rsid w:val="00612BDD"/>
    <w:rsid w:val="00612ECB"/>
    <w:rsid w:val="00612F5C"/>
    <w:rsid w:val="00613001"/>
    <w:rsid w:val="00613198"/>
    <w:rsid w:val="006131EC"/>
    <w:rsid w:val="0061329F"/>
    <w:rsid w:val="006132AC"/>
    <w:rsid w:val="006132E6"/>
    <w:rsid w:val="00613316"/>
    <w:rsid w:val="006133FF"/>
    <w:rsid w:val="006134D0"/>
    <w:rsid w:val="006135C9"/>
    <w:rsid w:val="006135F2"/>
    <w:rsid w:val="00613607"/>
    <w:rsid w:val="006136A0"/>
    <w:rsid w:val="0061373A"/>
    <w:rsid w:val="006138B5"/>
    <w:rsid w:val="0061393A"/>
    <w:rsid w:val="00613965"/>
    <w:rsid w:val="006139A1"/>
    <w:rsid w:val="006139AF"/>
    <w:rsid w:val="00613A4C"/>
    <w:rsid w:val="00613A65"/>
    <w:rsid w:val="00613B19"/>
    <w:rsid w:val="00613B73"/>
    <w:rsid w:val="00613BB6"/>
    <w:rsid w:val="00613EE8"/>
    <w:rsid w:val="00613FEF"/>
    <w:rsid w:val="0061407C"/>
    <w:rsid w:val="00614082"/>
    <w:rsid w:val="00614154"/>
    <w:rsid w:val="006142EB"/>
    <w:rsid w:val="0061443B"/>
    <w:rsid w:val="00614681"/>
    <w:rsid w:val="006147D1"/>
    <w:rsid w:val="0061493C"/>
    <w:rsid w:val="00614B0D"/>
    <w:rsid w:val="00614C25"/>
    <w:rsid w:val="00614C88"/>
    <w:rsid w:val="00614DA5"/>
    <w:rsid w:val="00614F9B"/>
    <w:rsid w:val="00614FE9"/>
    <w:rsid w:val="006152DD"/>
    <w:rsid w:val="0061590F"/>
    <w:rsid w:val="00615AA5"/>
    <w:rsid w:val="00615ADE"/>
    <w:rsid w:val="00615B6A"/>
    <w:rsid w:val="00615B74"/>
    <w:rsid w:val="00615E5D"/>
    <w:rsid w:val="00616051"/>
    <w:rsid w:val="00616199"/>
    <w:rsid w:val="006161C9"/>
    <w:rsid w:val="006161F4"/>
    <w:rsid w:val="00616205"/>
    <w:rsid w:val="0061620A"/>
    <w:rsid w:val="00616293"/>
    <w:rsid w:val="0061629C"/>
    <w:rsid w:val="0061638C"/>
    <w:rsid w:val="00616587"/>
    <w:rsid w:val="00616824"/>
    <w:rsid w:val="00616A9D"/>
    <w:rsid w:val="00616C83"/>
    <w:rsid w:val="00616E41"/>
    <w:rsid w:val="00616FBF"/>
    <w:rsid w:val="00616FEA"/>
    <w:rsid w:val="00617131"/>
    <w:rsid w:val="006174F6"/>
    <w:rsid w:val="00617580"/>
    <w:rsid w:val="0061763C"/>
    <w:rsid w:val="006178C7"/>
    <w:rsid w:val="00617B04"/>
    <w:rsid w:val="00617C37"/>
    <w:rsid w:val="00617E70"/>
    <w:rsid w:val="00617ED0"/>
    <w:rsid w:val="0062019E"/>
    <w:rsid w:val="00620321"/>
    <w:rsid w:val="0062046B"/>
    <w:rsid w:val="006205C8"/>
    <w:rsid w:val="0062063E"/>
    <w:rsid w:val="006207E4"/>
    <w:rsid w:val="00620876"/>
    <w:rsid w:val="006208A3"/>
    <w:rsid w:val="006208E0"/>
    <w:rsid w:val="00620D7D"/>
    <w:rsid w:val="00620E0C"/>
    <w:rsid w:val="00620E3D"/>
    <w:rsid w:val="00620E7C"/>
    <w:rsid w:val="00620F63"/>
    <w:rsid w:val="00620FD1"/>
    <w:rsid w:val="00620FFB"/>
    <w:rsid w:val="0062115C"/>
    <w:rsid w:val="006212F4"/>
    <w:rsid w:val="0062137E"/>
    <w:rsid w:val="006213F2"/>
    <w:rsid w:val="00621408"/>
    <w:rsid w:val="00621414"/>
    <w:rsid w:val="0062143A"/>
    <w:rsid w:val="00621479"/>
    <w:rsid w:val="0062171D"/>
    <w:rsid w:val="00621810"/>
    <w:rsid w:val="0062183D"/>
    <w:rsid w:val="006218C3"/>
    <w:rsid w:val="00621A42"/>
    <w:rsid w:val="00621E01"/>
    <w:rsid w:val="00621E59"/>
    <w:rsid w:val="00621E96"/>
    <w:rsid w:val="00621F87"/>
    <w:rsid w:val="00621FFC"/>
    <w:rsid w:val="0062209A"/>
    <w:rsid w:val="006221AC"/>
    <w:rsid w:val="0062225B"/>
    <w:rsid w:val="00622371"/>
    <w:rsid w:val="0062246B"/>
    <w:rsid w:val="0062250C"/>
    <w:rsid w:val="006225CC"/>
    <w:rsid w:val="006225DD"/>
    <w:rsid w:val="006226B9"/>
    <w:rsid w:val="0062279D"/>
    <w:rsid w:val="006227C7"/>
    <w:rsid w:val="0062292E"/>
    <w:rsid w:val="006229C0"/>
    <w:rsid w:val="00622A01"/>
    <w:rsid w:val="00622AE9"/>
    <w:rsid w:val="00622B91"/>
    <w:rsid w:val="00622E01"/>
    <w:rsid w:val="00622E2E"/>
    <w:rsid w:val="00623040"/>
    <w:rsid w:val="006230A2"/>
    <w:rsid w:val="00623121"/>
    <w:rsid w:val="0062318D"/>
    <w:rsid w:val="006232ED"/>
    <w:rsid w:val="006234E9"/>
    <w:rsid w:val="00623508"/>
    <w:rsid w:val="00623552"/>
    <w:rsid w:val="006236B6"/>
    <w:rsid w:val="00623996"/>
    <w:rsid w:val="00623DD0"/>
    <w:rsid w:val="00623DE1"/>
    <w:rsid w:val="00623E40"/>
    <w:rsid w:val="00623EE4"/>
    <w:rsid w:val="00623F88"/>
    <w:rsid w:val="006241CB"/>
    <w:rsid w:val="006242E4"/>
    <w:rsid w:val="0062443C"/>
    <w:rsid w:val="00624470"/>
    <w:rsid w:val="006244F0"/>
    <w:rsid w:val="0062465C"/>
    <w:rsid w:val="0062469B"/>
    <w:rsid w:val="006248DC"/>
    <w:rsid w:val="00624C61"/>
    <w:rsid w:val="00624E11"/>
    <w:rsid w:val="00625390"/>
    <w:rsid w:val="00625489"/>
    <w:rsid w:val="006254E8"/>
    <w:rsid w:val="00625604"/>
    <w:rsid w:val="006257A1"/>
    <w:rsid w:val="006257BC"/>
    <w:rsid w:val="00625814"/>
    <w:rsid w:val="00625B22"/>
    <w:rsid w:val="00625DF5"/>
    <w:rsid w:val="00625E5D"/>
    <w:rsid w:val="00625FB4"/>
    <w:rsid w:val="00625FDA"/>
    <w:rsid w:val="006264F2"/>
    <w:rsid w:val="00626620"/>
    <w:rsid w:val="00626701"/>
    <w:rsid w:val="006267E4"/>
    <w:rsid w:val="006269F9"/>
    <w:rsid w:val="00626A39"/>
    <w:rsid w:val="00626A5C"/>
    <w:rsid w:val="00626EE3"/>
    <w:rsid w:val="00627180"/>
    <w:rsid w:val="006271E7"/>
    <w:rsid w:val="0062744C"/>
    <w:rsid w:val="0062768C"/>
    <w:rsid w:val="00627714"/>
    <w:rsid w:val="006279E3"/>
    <w:rsid w:val="00627B9F"/>
    <w:rsid w:val="00627BF2"/>
    <w:rsid w:val="00627CD0"/>
    <w:rsid w:val="00627E20"/>
    <w:rsid w:val="00630051"/>
    <w:rsid w:val="006300E8"/>
    <w:rsid w:val="00630306"/>
    <w:rsid w:val="006303E9"/>
    <w:rsid w:val="0063043E"/>
    <w:rsid w:val="00630567"/>
    <w:rsid w:val="0063057E"/>
    <w:rsid w:val="006309B8"/>
    <w:rsid w:val="006309ED"/>
    <w:rsid w:val="00630CAC"/>
    <w:rsid w:val="00630D3C"/>
    <w:rsid w:val="00630DAB"/>
    <w:rsid w:val="00630DE7"/>
    <w:rsid w:val="00630DFF"/>
    <w:rsid w:val="00630E15"/>
    <w:rsid w:val="00630F63"/>
    <w:rsid w:val="00630F71"/>
    <w:rsid w:val="006310B9"/>
    <w:rsid w:val="0063124E"/>
    <w:rsid w:val="006313EC"/>
    <w:rsid w:val="006314E7"/>
    <w:rsid w:val="00631714"/>
    <w:rsid w:val="00631853"/>
    <w:rsid w:val="006318FE"/>
    <w:rsid w:val="00631BB0"/>
    <w:rsid w:val="00631BEA"/>
    <w:rsid w:val="00631C71"/>
    <w:rsid w:val="00631C77"/>
    <w:rsid w:val="00631FAA"/>
    <w:rsid w:val="0063210A"/>
    <w:rsid w:val="00632161"/>
    <w:rsid w:val="006321C4"/>
    <w:rsid w:val="00632231"/>
    <w:rsid w:val="00632315"/>
    <w:rsid w:val="00632355"/>
    <w:rsid w:val="006323FD"/>
    <w:rsid w:val="0063240C"/>
    <w:rsid w:val="0063256B"/>
    <w:rsid w:val="0063267E"/>
    <w:rsid w:val="006326ED"/>
    <w:rsid w:val="00632765"/>
    <w:rsid w:val="00632A64"/>
    <w:rsid w:val="00632B20"/>
    <w:rsid w:val="00632B3E"/>
    <w:rsid w:val="00632D20"/>
    <w:rsid w:val="00632E85"/>
    <w:rsid w:val="00632F2D"/>
    <w:rsid w:val="00632FA6"/>
    <w:rsid w:val="00632FD7"/>
    <w:rsid w:val="00632FDF"/>
    <w:rsid w:val="0063343A"/>
    <w:rsid w:val="006334DA"/>
    <w:rsid w:val="00633851"/>
    <w:rsid w:val="0063398A"/>
    <w:rsid w:val="00633A2F"/>
    <w:rsid w:val="00633A99"/>
    <w:rsid w:val="00633C03"/>
    <w:rsid w:val="00633C5D"/>
    <w:rsid w:val="00633D9E"/>
    <w:rsid w:val="00633DD1"/>
    <w:rsid w:val="00633DEA"/>
    <w:rsid w:val="00633E4D"/>
    <w:rsid w:val="00633F8D"/>
    <w:rsid w:val="00634036"/>
    <w:rsid w:val="0063429B"/>
    <w:rsid w:val="00634308"/>
    <w:rsid w:val="00634391"/>
    <w:rsid w:val="006343C8"/>
    <w:rsid w:val="0063443A"/>
    <w:rsid w:val="006345BD"/>
    <w:rsid w:val="006347A0"/>
    <w:rsid w:val="006347CE"/>
    <w:rsid w:val="0063483D"/>
    <w:rsid w:val="0063490B"/>
    <w:rsid w:val="00634964"/>
    <w:rsid w:val="00634A39"/>
    <w:rsid w:val="00634B9D"/>
    <w:rsid w:val="00634D0E"/>
    <w:rsid w:val="00634D7C"/>
    <w:rsid w:val="00634DB6"/>
    <w:rsid w:val="00634E64"/>
    <w:rsid w:val="00634F3B"/>
    <w:rsid w:val="00634FAC"/>
    <w:rsid w:val="0063502A"/>
    <w:rsid w:val="0063506E"/>
    <w:rsid w:val="00635370"/>
    <w:rsid w:val="00635378"/>
    <w:rsid w:val="00635481"/>
    <w:rsid w:val="006355D9"/>
    <w:rsid w:val="0063562A"/>
    <w:rsid w:val="00635689"/>
    <w:rsid w:val="00635796"/>
    <w:rsid w:val="006357E4"/>
    <w:rsid w:val="00635809"/>
    <w:rsid w:val="00635A8A"/>
    <w:rsid w:val="00635AD5"/>
    <w:rsid w:val="00635B5F"/>
    <w:rsid w:val="00635C50"/>
    <w:rsid w:val="00635CC5"/>
    <w:rsid w:val="00635E4D"/>
    <w:rsid w:val="00635F0A"/>
    <w:rsid w:val="00636282"/>
    <w:rsid w:val="00636394"/>
    <w:rsid w:val="006363F1"/>
    <w:rsid w:val="00636513"/>
    <w:rsid w:val="0063652D"/>
    <w:rsid w:val="00636536"/>
    <w:rsid w:val="0063657C"/>
    <w:rsid w:val="00636580"/>
    <w:rsid w:val="00636874"/>
    <w:rsid w:val="0063695B"/>
    <w:rsid w:val="006369B0"/>
    <w:rsid w:val="00636A61"/>
    <w:rsid w:val="00636A69"/>
    <w:rsid w:val="00636A83"/>
    <w:rsid w:val="00636B9E"/>
    <w:rsid w:val="00636C69"/>
    <w:rsid w:val="00636C99"/>
    <w:rsid w:val="00636DBE"/>
    <w:rsid w:val="00636DFA"/>
    <w:rsid w:val="006371EF"/>
    <w:rsid w:val="0063720C"/>
    <w:rsid w:val="006372B7"/>
    <w:rsid w:val="00637332"/>
    <w:rsid w:val="00637496"/>
    <w:rsid w:val="0063751B"/>
    <w:rsid w:val="006375CE"/>
    <w:rsid w:val="0063763C"/>
    <w:rsid w:val="0063763E"/>
    <w:rsid w:val="0063769A"/>
    <w:rsid w:val="006377CF"/>
    <w:rsid w:val="0063780D"/>
    <w:rsid w:val="00637899"/>
    <w:rsid w:val="00637B6A"/>
    <w:rsid w:val="00637D4E"/>
    <w:rsid w:val="00637D54"/>
    <w:rsid w:val="00637D6A"/>
    <w:rsid w:val="00637FF3"/>
    <w:rsid w:val="0064001E"/>
    <w:rsid w:val="0064007A"/>
    <w:rsid w:val="0064014C"/>
    <w:rsid w:val="00640172"/>
    <w:rsid w:val="006401FE"/>
    <w:rsid w:val="00640335"/>
    <w:rsid w:val="00640371"/>
    <w:rsid w:val="006404E3"/>
    <w:rsid w:val="00640694"/>
    <w:rsid w:val="00640887"/>
    <w:rsid w:val="006409BA"/>
    <w:rsid w:val="00640D38"/>
    <w:rsid w:val="00640D69"/>
    <w:rsid w:val="00640E74"/>
    <w:rsid w:val="00640FB8"/>
    <w:rsid w:val="006412CA"/>
    <w:rsid w:val="0064141E"/>
    <w:rsid w:val="0064154F"/>
    <w:rsid w:val="0064161A"/>
    <w:rsid w:val="0064162F"/>
    <w:rsid w:val="00641943"/>
    <w:rsid w:val="006419D0"/>
    <w:rsid w:val="00641A15"/>
    <w:rsid w:val="00641AC1"/>
    <w:rsid w:val="00641B99"/>
    <w:rsid w:val="00641BC3"/>
    <w:rsid w:val="00641C9D"/>
    <w:rsid w:val="00641CB1"/>
    <w:rsid w:val="00641CB6"/>
    <w:rsid w:val="00641CF6"/>
    <w:rsid w:val="00641F6A"/>
    <w:rsid w:val="00642480"/>
    <w:rsid w:val="006424D9"/>
    <w:rsid w:val="0064255B"/>
    <w:rsid w:val="006425F2"/>
    <w:rsid w:val="0064288D"/>
    <w:rsid w:val="00642BB3"/>
    <w:rsid w:val="00642C25"/>
    <w:rsid w:val="00642C93"/>
    <w:rsid w:val="00642DCF"/>
    <w:rsid w:val="00642EBE"/>
    <w:rsid w:val="006430F8"/>
    <w:rsid w:val="0064338B"/>
    <w:rsid w:val="006433DC"/>
    <w:rsid w:val="006433F5"/>
    <w:rsid w:val="00643515"/>
    <w:rsid w:val="006436F5"/>
    <w:rsid w:val="00643ACA"/>
    <w:rsid w:val="00643B31"/>
    <w:rsid w:val="00643B38"/>
    <w:rsid w:val="00643BD2"/>
    <w:rsid w:val="00643C1D"/>
    <w:rsid w:val="00643DA8"/>
    <w:rsid w:val="00643E2A"/>
    <w:rsid w:val="00643E91"/>
    <w:rsid w:val="00643EED"/>
    <w:rsid w:val="00643F4B"/>
    <w:rsid w:val="0064400D"/>
    <w:rsid w:val="00644068"/>
    <w:rsid w:val="00644098"/>
    <w:rsid w:val="00644134"/>
    <w:rsid w:val="006441D3"/>
    <w:rsid w:val="0064420E"/>
    <w:rsid w:val="0064427B"/>
    <w:rsid w:val="00644343"/>
    <w:rsid w:val="00644393"/>
    <w:rsid w:val="00644476"/>
    <w:rsid w:val="0064447E"/>
    <w:rsid w:val="006444CD"/>
    <w:rsid w:val="006447D9"/>
    <w:rsid w:val="00644883"/>
    <w:rsid w:val="006448FF"/>
    <w:rsid w:val="00644A34"/>
    <w:rsid w:val="00644A6C"/>
    <w:rsid w:val="00644AE6"/>
    <w:rsid w:val="00644B5B"/>
    <w:rsid w:val="00644BF6"/>
    <w:rsid w:val="00644DD6"/>
    <w:rsid w:val="0064508C"/>
    <w:rsid w:val="0064517F"/>
    <w:rsid w:val="006453A7"/>
    <w:rsid w:val="00645478"/>
    <w:rsid w:val="006454BC"/>
    <w:rsid w:val="0064550B"/>
    <w:rsid w:val="00645547"/>
    <w:rsid w:val="00645633"/>
    <w:rsid w:val="00645656"/>
    <w:rsid w:val="00645668"/>
    <w:rsid w:val="006458CF"/>
    <w:rsid w:val="006459AC"/>
    <w:rsid w:val="00645B34"/>
    <w:rsid w:val="00645CCE"/>
    <w:rsid w:val="00645DB0"/>
    <w:rsid w:val="00645E11"/>
    <w:rsid w:val="00645F2E"/>
    <w:rsid w:val="00646027"/>
    <w:rsid w:val="006460A7"/>
    <w:rsid w:val="006460BC"/>
    <w:rsid w:val="0064633B"/>
    <w:rsid w:val="00646358"/>
    <w:rsid w:val="006463D3"/>
    <w:rsid w:val="006463F3"/>
    <w:rsid w:val="0064645D"/>
    <w:rsid w:val="00646496"/>
    <w:rsid w:val="00646506"/>
    <w:rsid w:val="0064661E"/>
    <w:rsid w:val="006467F2"/>
    <w:rsid w:val="006469F3"/>
    <w:rsid w:val="00646A73"/>
    <w:rsid w:val="00646B57"/>
    <w:rsid w:val="00646BA6"/>
    <w:rsid w:val="00646DF2"/>
    <w:rsid w:val="00646EE9"/>
    <w:rsid w:val="00647004"/>
    <w:rsid w:val="0064710C"/>
    <w:rsid w:val="00647178"/>
    <w:rsid w:val="00647206"/>
    <w:rsid w:val="00647347"/>
    <w:rsid w:val="0064735E"/>
    <w:rsid w:val="006476DD"/>
    <w:rsid w:val="00647876"/>
    <w:rsid w:val="00647957"/>
    <w:rsid w:val="00647AE1"/>
    <w:rsid w:val="00647C88"/>
    <w:rsid w:val="00647E29"/>
    <w:rsid w:val="00647E86"/>
    <w:rsid w:val="00647F41"/>
    <w:rsid w:val="00647FEA"/>
    <w:rsid w:val="00650186"/>
    <w:rsid w:val="0065020A"/>
    <w:rsid w:val="006502C4"/>
    <w:rsid w:val="00650350"/>
    <w:rsid w:val="00650365"/>
    <w:rsid w:val="00650414"/>
    <w:rsid w:val="00650490"/>
    <w:rsid w:val="006504F4"/>
    <w:rsid w:val="006504F6"/>
    <w:rsid w:val="0065054E"/>
    <w:rsid w:val="0065084F"/>
    <w:rsid w:val="0065086D"/>
    <w:rsid w:val="006509DE"/>
    <w:rsid w:val="00650CA5"/>
    <w:rsid w:val="00650D86"/>
    <w:rsid w:val="00650E53"/>
    <w:rsid w:val="006510A4"/>
    <w:rsid w:val="00651100"/>
    <w:rsid w:val="006511F0"/>
    <w:rsid w:val="006512F3"/>
    <w:rsid w:val="0065137A"/>
    <w:rsid w:val="00651428"/>
    <w:rsid w:val="0065144C"/>
    <w:rsid w:val="0065145B"/>
    <w:rsid w:val="006515E3"/>
    <w:rsid w:val="00651690"/>
    <w:rsid w:val="006516FA"/>
    <w:rsid w:val="0065179E"/>
    <w:rsid w:val="00651904"/>
    <w:rsid w:val="006519E9"/>
    <w:rsid w:val="00651AD5"/>
    <w:rsid w:val="00651B3D"/>
    <w:rsid w:val="00651C8E"/>
    <w:rsid w:val="00651E5C"/>
    <w:rsid w:val="00651EB0"/>
    <w:rsid w:val="00651EFC"/>
    <w:rsid w:val="00651F5B"/>
    <w:rsid w:val="00651F75"/>
    <w:rsid w:val="00651FCB"/>
    <w:rsid w:val="00652073"/>
    <w:rsid w:val="00652088"/>
    <w:rsid w:val="006520C1"/>
    <w:rsid w:val="00652102"/>
    <w:rsid w:val="0065215A"/>
    <w:rsid w:val="0065237D"/>
    <w:rsid w:val="006524DA"/>
    <w:rsid w:val="00652502"/>
    <w:rsid w:val="006526D2"/>
    <w:rsid w:val="006528B8"/>
    <w:rsid w:val="00652996"/>
    <w:rsid w:val="00652A74"/>
    <w:rsid w:val="00652A75"/>
    <w:rsid w:val="00652AC7"/>
    <w:rsid w:val="00652B50"/>
    <w:rsid w:val="00652C0C"/>
    <w:rsid w:val="00652D0A"/>
    <w:rsid w:val="00652D70"/>
    <w:rsid w:val="00652D83"/>
    <w:rsid w:val="00652D95"/>
    <w:rsid w:val="00652DAB"/>
    <w:rsid w:val="00652DDF"/>
    <w:rsid w:val="00652E67"/>
    <w:rsid w:val="00652EA4"/>
    <w:rsid w:val="006532A1"/>
    <w:rsid w:val="00653449"/>
    <w:rsid w:val="0065354E"/>
    <w:rsid w:val="00653877"/>
    <w:rsid w:val="00653987"/>
    <w:rsid w:val="00653CC8"/>
    <w:rsid w:val="00653D13"/>
    <w:rsid w:val="00653D83"/>
    <w:rsid w:val="00653E2B"/>
    <w:rsid w:val="00653E8A"/>
    <w:rsid w:val="00653F6C"/>
    <w:rsid w:val="00653F6D"/>
    <w:rsid w:val="0065423F"/>
    <w:rsid w:val="006542E0"/>
    <w:rsid w:val="00654417"/>
    <w:rsid w:val="00654588"/>
    <w:rsid w:val="00654638"/>
    <w:rsid w:val="0065467F"/>
    <w:rsid w:val="006546C0"/>
    <w:rsid w:val="0065477C"/>
    <w:rsid w:val="00654786"/>
    <w:rsid w:val="0065484B"/>
    <w:rsid w:val="0065486E"/>
    <w:rsid w:val="00654905"/>
    <w:rsid w:val="00654999"/>
    <w:rsid w:val="00654A15"/>
    <w:rsid w:val="00654A7B"/>
    <w:rsid w:val="00654C89"/>
    <w:rsid w:val="00654D3A"/>
    <w:rsid w:val="00655038"/>
    <w:rsid w:val="00655090"/>
    <w:rsid w:val="0065554A"/>
    <w:rsid w:val="00655785"/>
    <w:rsid w:val="00655836"/>
    <w:rsid w:val="00655839"/>
    <w:rsid w:val="00655855"/>
    <w:rsid w:val="00655B46"/>
    <w:rsid w:val="00655D66"/>
    <w:rsid w:val="00655E6F"/>
    <w:rsid w:val="00655F6E"/>
    <w:rsid w:val="00655F87"/>
    <w:rsid w:val="006560C0"/>
    <w:rsid w:val="006560E3"/>
    <w:rsid w:val="00656218"/>
    <w:rsid w:val="006562B1"/>
    <w:rsid w:val="006565F0"/>
    <w:rsid w:val="0065673E"/>
    <w:rsid w:val="006567D8"/>
    <w:rsid w:val="00656833"/>
    <w:rsid w:val="00656A20"/>
    <w:rsid w:val="00656A4D"/>
    <w:rsid w:val="00656BAF"/>
    <w:rsid w:val="00656D1D"/>
    <w:rsid w:val="00656D97"/>
    <w:rsid w:val="00656F08"/>
    <w:rsid w:val="0065702B"/>
    <w:rsid w:val="00657242"/>
    <w:rsid w:val="0065760C"/>
    <w:rsid w:val="00657632"/>
    <w:rsid w:val="006576D0"/>
    <w:rsid w:val="00657705"/>
    <w:rsid w:val="006577E6"/>
    <w:rsid w:val="0065780C"/>
    <w:rsid w:val="00657C14"/>
    <w:rsid w:val="00657CEC"/>
    <w:rsid w:val="00657E77"/>
    <w:rsid w:val="00657FEE"/>
    <w:rsid w:val="00660112"/>
    <w:rsid w:val="00660360"/>
    <w:rsid w:val="0066085A"/>
    <w:rsid w:val="006608EA"/>
    <w:rsid w:val="00660922"/>
    <w:rsid w:val="00660BA1"/>
    <w:rsid w:val="00661262"/>
    <w:rsid w:val="0066161A"/>
    <w:rsid w:val="0066171B"/>
    <w:rsid w:val="006617AA"/>
    <w:rsid w:val="0066195B"/>
    <w:rsid w:val="006619AF"/>
    <w:rsid w:val="00661AD9"/>
    <w:rsid w:val="00661BF3"/>
    <w:rsid w:val="00661C3A"/>
    <w:rsid w:val="006622A3"/>
    <w:rsid w:val="00662366"/>
    <w:rsid w:val="0066238F"/>
    <w:rsid w:val="0066265A"/>
    <w:rsid w:val="006627AE"/>
    <w:rsid w:val="006627D6"/>
    <w:rsid w:val="0066281C"/>
    <w:rsid w:val="006628B2"/>
    <w:rsid w:val="00662A25"/>
    <w:rsid w:val="00662B9D"/>
    <w:rsid w:val="00662C02"/>
    <w:rsid w:val="00662F6B"/>
    <w:rsid w:val="006631AD"/>
    <w:rsid w:val="0066342D"/>
    <w:rsid w:val="00663766"/>
    <w:rsid w:val="006637AA"/>
    <w:rsid w:val="00663849"/>
    <w:rsid w:val="006638B3"/>
    <w:rsid w:val="00663A35"/>
    <w:rsid w:val="00663EDD"/>
    <w:rsid w:val="00663EF5"/>
    <w:rsid w:val="00663F8C"/>
    <w:rsid w:val="00663FC7"/>
    <w:rsid w:val="00664021"/>
    <w:rsid w:val="00664171"/>
    <w:rsid w:val="0066434A"/>
    <w:rsid w:val="00664354"/>
    <w:rsid w:val="00664521"/>
    <w:rsid w:val="006646E7"/>
    <w:rsid w:val="00664771"/>
    <w:rsid w:val="00664784"/>
    <w:rsid w:val="00664992"/>
    <w:rsid w:val="00664A3D"/>
    <w:rsid w:val="00664C32"/>
    <w:rsid w:val="00664CA8"/>
    <w:rsid w:val="00664D75"/>
    <w:rsid w:val="00664EF7"/>
    <w:rsid w:val="00664F0D"/>
    <w:rsid w:val="00665030"/>
    <w:rsid w:val="00665059"/>
    <w:rsid w:val="006650FB"/>
    <w:rsid w:val="0066515D"/>
    <w:rsid w:val="006651C2"/>
    <w:rsid w:val="0066530D"/>
    <w:rsid w:val="006653C5"/>
    <w:rsid w:val="00665806"/>
    <w:rsid w:val="006658D8"/>
    <w:rsid w:val="00665998"/>
    <w:rsid w:val="00665C2D"/>
    <w:rsid w:val="00665D3D"/>
    <w:rsid w:val="00665D8D"/>
    <w:rsid w:val="00665E83"/>
    <w:rsid w:val="00665F0C"/>
    <w:rsid w:val="00665F4F"/>
    <w:rsid w:val="00665FF8"/>
    <w:rsid w:val="00666130"/>
    <w:rsid w:val="006661B9"/>
    <w:rsid w:val="00666212"/>
    <w:rsid w:val="0066639C"/>
    <w:rsid w:val="00666538"/>
    <w:rsid w:val="006667EC"/>
    <w:rsid w:val="00666843"/>
    <w:rsid w:val="00666914"/>
    <w:rsid w:val="00666956"/>
    <w:rsid w:val="00666962"/>
    <w:rsid w:val="00666B25"/>
    <w:rsid w:val="00666CC1"/>
    <w:rsid w:val="00666D1E"/>
    <w:rsid w:val="00666E44"/>
    <w:rsid w:val="0066701A"/>
    <w:rsid w:val="00667199"/>
    <w:rsid w:val="006673EC"/>
    <w:rsid w:val="0066740F"/>
    <w:rsid w:val="00667535"/>
    <w:rsid w:val="00667557"/>
    <w:rsid w:val="00667652"/>
    <w:rsid w:val="006676D5"/>
    <w:rsid w:val="006678E7"/>
    <w:rsid w:val="00667A33"/>
    <w:rsid w:val="00667DB6"/>
    <w:rsid w:val="00667DC2"/>
    <w:rsid w:val="00667E9D"/>
    <w:rsid w:val="00670420"/>
    <w:rsid w:val="006704C8"/>
    <w:rsid w:val="00670540"/>
    <w:rsid w:val="00670562"/>
    <w:rsid w:val="00670870"/>
    <w:rsid w:val="0067091E"/>
    <w:rsid w:val="00670C29"/>
    <w:rsid w:val="00670CAD"/>
    <w:rsid w:val="00670D65"/>
    <w:rsid w:val="00670D8C"/>
    <w:rsid w:val="00671095"/>
    <w:rsid w:val="0067123C"/>
    <w:rsid w:val="006713B0"/>
    <w:rsid w:val="006713B9"/>
    <w:rsid w:val="0067143B"/>
    <w:rsid w:val="00671453"/>
    <w:rsid w:val="006714F0"/>
    <w:rsid w:val="00671AFD"/>
    <w:rsid w:val="00671B38"/>
    <w:rsid w:val="00671B90"/>
    <w:rsid w:val="00671CB5"/>
    <w:rsid w:val="00671D19"/>
    <w:rsid w:val="00671FA7"/>
    <w:rsid w:val="006723C6"/>
    <w:rsid w:val="00672566"/>
    <w:rsid w:val="00672614"/>
    <w:rsid w:val="006728C1"/>
    <w:rsid w:val="0067290F"/>
    <w:rsid w:val="00672AAD"/>
    <w:rsid w:val="0067311D"/>
    <w:rsid w:val="006732B2"/>
    <w:rsid w:val="0067337F"/>
    <w:rsid w:val="006734AE"/>
    <w:rsid w:val="00673624"/>
    <w:rsid w:val="006736FA"/>
    <w:rsid w:val="0067374B"/>
    <w:rsid w:val="006739A8"/>
    <w:rsid w:val="00673A91"/>
    <w:rsid w:val="00673C75"/>
    <w:rsid w:val="00673DA3"/>
    <w:rsid w:val="00673FC9"/>
    <w:rsid w:val="00673FD3"/>
    <w:rsid w:val="00674046"/>
    <w:rsid w:val="006740B0"/>
    <w:rsid w:val="006740D5"/>
    <w:rsid w:val="006740FC"/>
    <w:rsid w:val="00674341"/>
    <w:rsid w:val="0067437E"/>
    <w:rsid w:val="00674394"/>
    <w:rsid w:val="00674564"/>
    <w:rsid w:val="006745BE"/>
    <w:rsid w:val="00674679"/>
    <w:rsid w:val="006747A6"/>
    <w:rsid w:val="006747AA"/>
    <w:rsid w:val="00674819"/>
    <w:rsid w:val="00674845"/>
    <w:rsid w:val="0067487C"/>
    <w:rsid w:val="00674A92"/>
    <w:rsid w:val="00674AA2"/>
    <w:rsid w:val="00674C76"/>
    <w:rsid w:val="0067510D"/>
    <w:rsid w:val="006751C8"/>
    <w:rsid w:val="00675433"/>
    <w:rsid w:val="0067556C"/>
    <w:rsid w:val="006757F3"/>
    <w:rsid w:val="00675821"/>
    <w:rsid w:val="0067585F"/>
    <w:rsid w:val="006759D0"/>
    <w:rsid w:val="006759E5"/>
    <w:rsid w:val="00675B61"/>
    <w:rsid w:val="00675C54"/>
    <w:rsid w:val="00675D23"/>
    <w:rsid w:val="00675D89"/>
    <w:rsid w:val="00675D91"/>
    <w:rsid w:val="00675E0F"/>
    <w:rsid w:val="00675FA9"/>
    <w:rsid w:val="006761B6"/>
    <w:rsid w:val="006764EE"/>
    <w:rsid w:val="00676572"/>
    <w:rsid w:val="006766D4"/>
    <w:rsid w:val="0067670B"/>
    <w:rsid w:val="00676732"/>
    <w:rsid w:val="006767FF"/>
    <w:rsid w:val="00676812"/>
    <w:rsid w:val="00676925"/>
    <w:rsid w:val="00676ABA"/>
    <w:rsid w:val="00676B7F"/>
    <w:rsid w:val="00676CD1"/>
    <w:rsid w:val="00676CD8"/>
    <w:rsid w:val="006770BE"/>
    <w:rsid w:val="0067716D"/>
    <w:rsid w:val="00677244"/>
    <w:rsid w:val="00677538"/>
    <w:rsid w:val="00677857"/>
    <w:rsid w:val="006778C1"/>
    <w:rsid w:val="0067794C"/>
    <w:rsid w:val="0067795D"/>
    <w:rsid w:val="0067795F"/>
    <w:rsid w:val="00677AC5"/>
    <w:rsid w:val="00677AEE"/>
    <w:rsid w:val="00677B59"/>
    <w:rsid w:val="00677BE0"/>
    <w:rsid w:val="006800EB"/>
    <w:rsid w:val="0068013F"/>
    <w:rsid w:val="006801A3"/>
    <w:rsid w:val="006801EE"/>
    <w:rsid w:val="00680457"/>
    <w:rsid w:val="00680638"/>
    <w:rsid w:val="0068066E"/>
    <w:rsid w:val="006807F2"/>
    <w:rsid w:val="0068084A"/>
    <w:rsid w:val="00680BA5"/>
    <w:rsid w:val="00680DD3"/>
    <w:rsid w:val="00680E7D"/>
    <w:rsid w:val="00680F0F"/>
    <w:rsid w:val="00680FCF"/>
    <w:rsid w:val="00681031"/>
    <w:rsid w:val="006810F9"/>
    <w:rsid w:val="00681248"/>
    <w:rsid w:val="006812D0"/>
    <w:rsid w:val="006813FB"/>
    <w:rsid w:val="0068146C"/>
    <w:rsid w:val="00681573"/>
    <w:rsid w:val="0068158C"/>
    <w:rsid w:val="006816B2"/>
    <w:rsid w:val="006816C7"/>
    <w:rsid w:val="00681728"/>
    <w:rsid w:val="00681F65"/>
    <w:rsid w:val="006822E8"/>
    <w:rsid w:val="006823CD"/>
    <w:rsid w:val="006823E0"/>
    <w:rsid w:val="00682415"/>
    <w:rsid w:val="0068263A"/>
    <w:rsid w:val="00682C7E"/>
    <w:rsid w:val="00682CBE"/>
    <w:rsid w:val="00682EA3"/>
    <w:rsid w:val="006833A5"/>
    <w:rsid w:val="006833FF"/>
    <w:rsid w:val="00683730"/>
    <w:rsid w:val="006837DC"/>
    <w:rsid w:val="0068388E"/>
    <w:rsid w:val="00683961"/>
    <w:rsid w:val="00683A99"/>
    <w:rsid w:val="00683CA5"/>
    <w:rsid w:val="00683CA9"/>
    <w:rsid w:val="00683CF8"/>
    <w:rsid w:val="00683D4D"/>
    <w:rsid w:val="00683DF4"/>
    <w:rsid w:val="00683ED4"/>
    <w:rsid w:val="006843FD"/>
    <w:rsid w:val="00684553"/>
    <w:rsid w:val="006845F4"/>
    <w:rsid w:val="0068464D"/>
    <w:rsid w:val="0068467A"/>
    <w:rsid w:val="006846AD"/>
    <w:rsid w:val="006846B0"/>
    <w:rsid w:val="006846D7"/>
    <w:rsid w:val="0068498C"/>
    <w:rsid w:val="00684993"/>
    <w:rsid w:val="006849E7"/>
    <w:rsid w:val="00684A52"/>
    <w:rsid w:val="00684A60"/>
    <w:rsid w:val="00684BE3"/>
    <w:rsid w:val="00684C20"/>
    <w:rsid w:val="00684C77"/>
    <w:rsid w:val="00684CB7"/>
    <w:rsid w:val="00684D54"/>
    <w:rsid w:val="00684DC1"/>
    <w:rsid w:val="00684DC8"/>
    <w:rsid w:val="00684E4A"/>
    <w:rsid w:val="00685025"/>
    <w:rsid w:val="00685181"/>
    <w:rsid w:val="006854E7"/>
    <w:rsid w:val="006856C7"/>
    <w:rsid w:val="00685C11"/>
    <w:rsid w:val="00685D66"/>
    <w:rsid w:val="00685DD4"/>
    <w:rsid w:val="006861A3"/>
    <w:rsid w:val="006861BA"/>
    <w:rsid w:val="006863E8"/>
    <w:rsid w:val="006864DE"/>
    <w:rsid w:val="006864EB"/>
    <w:rsid w:val="0068685D"/>
    <w:rsid w:val="0068693F"/>
    <w:rsid w:val="00686B21"/>
    <w:rsid w:val="00686CF8"/>
    <w:rsid w:val="00686DA8"/>
    <w:rsid w:val="00686DE3"/>
    <w:rsid w:val="00686F50"/>
    <w:rsid w:val="00687098"/>
    <w:rsid w:val="0068717F"/>
    <w:rsid w:val="006872FC"/>
    <w:rsid w:val="006873BA"/>
    <w:rsid w:val="006874C5"/>
    <w:rsid w:val="006874CC"/>
    <w:rsid w:val="006875E7"/>
    <w:rsid w:val="006876E2"/>
    <w:rsid w:val="00687854"/>
    <w:rsid w:val="006879FE"/>
    <w:rsid w:val="00687E4F"/>
    <w:rsid w:val="00687FCB"/>
    <w:rsid w:val="0069018B"/>
    <w:rsid w:val="006901C3"/>
    <w:rsid w:val="00690330"/>
    <w:rsid w:val="00690399"/>
    <w:rsid w:val="00690403"/>
    <w:rsid w:val="006905F2"/>
    <w:rsid w:val="00690612"/>
    <w:rsid w:val="00690621"/>
    <w:rsid w:val="006906D4"/>
    <w:rsid w:val="00690726"/>
    <w:rsid w:val="006907B5"/>
    <w:rsid w:val="0069087F"/>
    <w:rsid w:val="0069090C"/>
    <w:rsid w:val="006909B7"/>
    <w:rsid w:val="00690AAB"/>
    <w:rsid w:val="00690B8E"/>
    <w:rsid w:val="00690C06"/>
    <w:rsid w:val="00690CC1"/>
    <w:rsid w:val="00690EB4"/>
    <w:rsid w:val="006910B7"/>
    <w:rsid w:val="006910DC"/>
    <w:rsid w:val="0069111C"/>
    <w:rsid w:val="006911DD"/>
    <w:rsid w:val="006912DB"/>
    <w:rsid w:val="006912F9"/>
    <w:rsid w:val="00691415"/>
    <w:rsid w:val="0069166F"/>
    <w:rsid w:val="006918B9"/>
    <w:rsid w:val="0069191F"/>
    <w:rsid w:val="006919A0"/>
    <w:rsid w:val="006919A1"/>
    <w:rsid w:val="00691D0B"/>
    <w:rsid w:val="00691E61"/>
    <w:rsid w:val="00691ED8"/>
    <w:rsid w:val="00691F0C"/>
    <w:rsid w:val="00692027"/>
    <w:rsid w:val="006922DA"/>
    <w:rsid w:val="00692300"/>
    <w:rsid w:val="006923F9"/>
    <w:rsid w:val="0069260D"/>
    <w:rsid w:val="00692633"/>
    <w:rsid w:val="006926B0"/>
    <w:rsid w:val="006926D2"/>
    <w:rsid w:val="006927FA"/>
    <w:rsid w:val="00692823"/>
    <w:rsid w:val="006928DD"/>
    <w:rsid w:val="00692940"/>
    <w:rsid w:val="006929C5"/>
    <w:rsid w:val="006929FD"/>
    <w:rsid w:val="00692B24"/>
    <w:rsid w:val="00692B85"/>
    <w:rsid w:val="00692EBF"/>
    <w:rsid w:val="00692FFB"/>
    <w:rsid w:val="0069302E"/>
    <w:rsid w:val="0069399A"/>
    <w:rsid w:val="00693A5E"/>
    <w:rsid w:val="00693AD4"/>
    <w:rsid w:val="00693CBA"/>
    <w:rsid w:val="00693CEC"/>
    <w:rsid w:val="00693CF0"/>
    <w:rsid w:val="00693FEE"/>
    <w:rsid w:val="006940D8"/>
    <w:rsid w:val="006943D1"/>
    <w:rsid w:val="00694611"/>
    <w:rsid w:val="00694754"/>
    <w:rsid w:val="00694888"/>
    <w:rsid w:val="0069490B"/>
    <w:rsid w:val="00694CD7"/>
    <w:rsid w:val="00694DD1"/>
    <w:rsid w:val="00694DDC"/>
    <w:rsid w:val="00694EFB"/>
    <w:rsid w:val="006950CB"/>
    <w:rsid w:val="00695289"/>
    <w:rsid w:val="00695671"/>
    <w:rsid w:val="006956E3"/>
    <w:rsid w:val="00695AAF"/>
    <w:rsid w:val="00695B3C"/>
    <w:rsid w:val="00695B64"/>
    <w:rsid w:val="00695D45"/>
    <w:rsid w:val="00695DEE"/>
    <w:rsid w:val="00695EBB"/>
    <w:rsid w:val="00695F8D"/>
    <w:rsid w:val="00696002"/>
    <w:rsid w:val="006963C4"/>
    <w:rsid w:val="006965AF"/>
    <w:rsid w:val="00696863"/>
    <w:rsid w:val="00696896"/>
    <w:rsid w:val="00696A52"/>
    <w:rsid w:val="00696A9A"/>
    <w:rsid w:val="00696B1A"/>
    <w:rsid w:val="00696B75"/>
    <w:rsid w:val="00696D9B"/>
    <w:rsid w:val="00697082"/>
    <w:rsid w:val="00697459"/>
    <w:rsid w:val="006974B8"/>
    <w:rsid w:val="0069772E"/>
    <w:rsid w:val="00697879"/>
    <w:rsid w:val="00697C4C"/>
    <w:rsid w:val="00697C65"/>
    <w:rsid w:val="00697CAC"/>
    <w:rsid w:val="00697E5B"/>
    <w:rsid w:val="00697EC6"/>
    <w:rsid w:val="00697F8E"/>
    <w:rsid w:val="006A01F4"/>
    <w:rsid w:val="006A0265"/>
    <w:rsid w:val="006A02CA"/>
    <w:rsid w:val="006A0326"/>
    <w:rsid w:val="006A03AC"/>
    <w:rsid w:val="006A0510"/>
    <w:rsid w:val="006A0565"/>
    <w:rsid w:val="006A05E3"/>
    <w:rsid w:val="006A05EB"/>
    <w:rsid w:val="006A078A"/>
    <w:rsid w:val="006A082A"/>
    <w:rsid w:val="006A0866"/>
    <w:rsid w:val="006A087B"/>
    <w:rsid w:val="006A0A6C"/>
    <w:rsid w:val="006A0DF1"/>
    <w:rsid w:val="006A0E5D"/>
    <w:rsid w:val="006A1067"/>
    <w:rsid w:val="006A11A6"/>
    <w:rsid w:val="006A1493"/>
    <w:rsid w:val="006A14D6"/>
    <w:rsid w:val="006A15B0"/>
    <w:rsid w:val="006A1669"/>
    <w:rsid w:val="006A166F"/>
    <w:rsid w:val="006A16DF"/>
    <w:rsid w:val="006A1738"/>
    <w:rsid w:val="006A1758"/>
    <w:rsid w:val="006A190B"/>
    <w:rsid w:val="006A190C"/>
    <w:rsid w:val="006A1A38"/>
    <w:rsid w:val="006A1B7F"/>
    <w:rsid w:val="006A1CBC"/>
    <w:rsid w:val="006A1CCE"/>
    <w:rsid w:val="006A1D10"/>
    <w:rsid w:val="006A1D75"/>
    <w:rsid w:val="006A1DF2"/>
    <w:rsid w:val="006A1F00"/>
    <w:rsid w:val="006A1F6B"/>
    <w:rsid w:val="006A201B"/>
    <w:rsid w:val="006A2236"/>
    <w:rsid w:val="006A23D3"/>
    <w:rsid w:val="006A2607"/>
    <w:rsid w:val="006A2686"/>
    <w:rsid w:val="006A2881"/>
    <w:rsid w:val="006A2AB1"/>
    <w:rsid w:val="006A2B48"/>
    <w:rsid w:val="006A2B90"/>
    <w:rsid w:val="006A2E6C"/>
    <w:rsid w:val="006A2EA4"/>
    <w:rsid w:val="006A3219"/>
    <w:rsid w:val="006A36DD"/>
    <w:rsid w:val="006A37AE"/>
    <w:rsid w:val="006A389E"/>
    <w:rsid w:val="006A39A8"/>
    <w:rsid w:val="006A3A58"/>
    <w:rsid w:val="006A3B2C"/>
    <w:rsid w:val="006A3B36"/>
    <w:rsid w:val="006A3B91"/>
    <w:rsid w:val="006A3CF9"/>
    <w:rsid w:val="006A3D11"/>
    <w:rsid w:val="006A42D4"/>
    <w:rsid w:val="006A430E"/>
    <w:rsid w:val="006A4386"/>
    <w:rsid w:val="006A44BB"/>
    <w:rsid w:val="006A462A"/>
    <w:rsid w:val="006A46D8"/>
    <w:rsid w:val="006A4745"/>
    <w:rsid w:val="006A48AB"/>
    <w:rsid w:val="006A48B8"/>
    <w:rsid w:val="006A4938"/>
    <w:rsid w:val="006A49D6"/>
    <w:rsid w:val="006A4A08"/>
    <w:rsid w:val="006A4A37"/>
    <w:rsid w:val="006A4AFD"/>
    <w:rsid w:val="006A4AFF"/>
    <w:rsid w:val="006A4B86"/>
    <w:rsid w:val="006A4CA9"/>
    <w:rsid w:val="006A50FE"/>
    <w:rsid w:val="006A5123"/>
    <w:rsid w:val="006A5146"/>
    <w:rsid w:val="006A52F3"/>
    <w:rsid w:val="006A5329"/>
    <w:rsid w:val="006A537F"/>
    <w:rsid w:val="006A55CC"/>
    <w:rsid w:val="006A569F"/>
    <w:rsid w:val="006A570D"/>
    <w:rsid w:val="006A5A9F"/>
    <w:rsid w:val="006A5AD7"/>
    <w:rsid w:val="006A5B76"/>
    <w:rsid w:val="006A5C62"/>
    <w:rsid w:val="006A5C8F"/>
    <w:rsid w:val="006A5ECA"/>
    <w:rsid w:val="006A618C"/>
    <w:rsid w:val="006A629C"/>
    <w:rsid w:val="006A645C"/>
    <w:rsid w:val="006A64B1"/>
    <w:rsid w:val="006A64BC"/>
    <w:rsid w:val="006A652A"/>
    <w:rsid w:val="006A653B"/>
    <w:rsid w:val="006A6618"/>
    <w:rsid w:val="006A6686"/>
    <w:rsid w:val="006A671F"/>
    <w:rsid w:val="006A6921"/>
    <w:rsid w:val="006A6A1F"/>
    <w:rsid w:val="006A6AC1"/>
    <w:rsid w:val="006A6BC8"/>
    <w:rsid w:val="006A6C14"/>
    <w:rsid w:val="006A6C1F"/>
    <w:rsid w:val="006A6D93"/>
    <w:rsid w:val="006A6DCE"/>
    <w:rsid w:val="006A6E37"/>
    <w:rsid w:val="006A71A1"/>
    <w:rsid w:val="006A722A"/>
    <w:rsid w:val="006A7244"/>
    <w:rsid w:val="006A738E"/>
    <w:rsid w:val="006A7977"/>
    <w:rsid w:val="006A7AB5"/>
    <w:rsid w:val="006A7AE0"/>
    <w:rsid w:val="006A7DB0"/>
    <w:rsid w:val="006A7DD4"/>
    <w:rsid w:val="006A7DE3"/>
    <w:rsid w:val="006A7ED7"/>
    <w:rsid w:val="006A7F0B"/>
    <w:rsid w:val="006B00AC"/>
    <w:rsid w:val="006B00BD"/>
    <w:rsid w:val="006B00C1"/>
    <w:rsid w:val="006B00D9"/>
    <w:rsid w:val="006B00F1"/>
    <w:rsid w:val="006B01AC"/>
    <w:rsid w:val="006B03E8"/>
    <w:rsid w:val="006B0437"/>
    <w:rsid w:val="006B04F0"/>
    <w:rsid w:val="006B0740"/>
    <w:rsid w:val="006B076D"/>
    <w:rsid w:val="006B0882"/>
    <w:rsid w:val="006B08B9"/>
    <w:rsid w:val="006B08D0"/>
    <w:rsid w:val="006B0930"/>
    <w:rsid w:val="006B0B72"/>
    <w:rsid w:val="006B0BF3"/>
    <w:rsid w:val="006B0E40"/>
    <w:rsid w:val="006B11C9"/>
    <w:rsid w:val="006B1355"/>
    <w:rsid w:val="006B13A4"/>
    <w:rsid w:val="006B13C6"/>
    <w:rsid w:val="006B14AA"/>
    <w:rsid w:val="006B15D2"/>
    <w:rsid w:val="006B173D"/>
    <w:rsid w:val="006B186B"/>
    <w:rsid w:val="006B1977"/>
    <w:rsid w:val="006B198B"/>
    <w:rsid w:val="006B19B5"/>
    <w:rsid w:val="006B19E7"/>
    <w:rsid w:val="006B1A82"/>
    <w:rsid w:val="006B1C01"/>
    <w:rsid w:val="006B1C42"/>
    <w:rsid w:val="006B1E13"/>
    <w:rsid w:val="006B203E"/>
    <w:rsid w:val="006B20B0"/>
    <w:rsid w:val="006B20F9"/>
    <w:rsid w:val="006B2173"/>
    <w:rsid w:val="006B2201"/>
    <w:rsid w:val="006B2454"/>
    <w:rsid w:val="006B25E7"/>
    <w:rsid w:val="006B2631"/>
    <w:rsid w:val="006B263F"/>
    <w:rsid w:val="006B26CD"/>
    <w:rsid w:val="006B26E0"/>
    <w:rsid w:val="006B289B"/>
    <w:rsid w:val="006B291A"/>
    <w:rsid w:val="006B2957"/>
    <w:rsid w:val="006B29EC"/>
    <w:rsid w:val="006B2A45"/>
    <w:rsid w:val="006B2C60"/>
    <w:rsid w:val="006B2CB4"/>
    <w:rsid w:val="006B2D9A"/>
    <w:rsid w:val="006B32DB"/>
    <w:rsid w:val="006B32F3"/>
    <w:rsid w:val="006B3348"/>
    <w:rsid w:val="006B33C4"/>
    <w:rsid w:val="006B3427"/>
    <w:rsid w:val="006B356B"/>
    <w:rsid w:val="006B36CC"/>
    <w:rsid w:val="006B373A"/>
    <w:rsid w:val="006B389B"/>
    <w:rsid w:val="006B393E"/>
    <w:rsid w:val="006B3AE2"/>
    <w:rsid w:val="006B3D4D"/>
    <w:rsid w:val="006B41C2"/>
    <w:rsid w:val="006B4236"/>
    <w:rsid w:val="006B4540"/>
    <w:rsid w:val="006B4931"/>
    <w:rsid w:val="006B49F5"/>
    <w:rsid w:val="006B4B01"/>
    <w:rsid w:val="006B4B2B"/>
    <w:rsid w:val="006B4C10"/>
    <w:rsid w:val="006B4CC1"/>
    <w:rsid w:val="006B4EBE"/>
    <w:rsid w:val="006B5056"/>
    <w:rsid w:val="006B51B1"/>
    <w:rsid w:val="006B51B5"/>
    <w:rsid w:val="006B52A2"/>
    <w:rsid w:val="006B5472"/>
    <w:rsid w:val="006B5716"/>
    <w:rsid w:val="006B57C3"/>
    <w:rsid w:val="006B593A"/>
    <w:rsid w:val="006B59B9"/>
    <w:rsid w:val="006B59E9"/>
    <w:rsid w:val="006B5A9F"/>
    <w:rsid w:val="006B5C8C"/>
    <w:rsid w:val="006B5CC0"/>
    <w:rsid w:val="006B5FC3"/>
    <w:rsid w:val="006B6005"/>
    <w:rsid w:val="006B6242"/>
    <w:rsid w:val="006B6461"/>
    <w:rsid w:val="006B651A"/>
    <w:rsid w:val="006B6603"/>
    <w:rsid w:val="006B69C7"/>
    <w:rsid w:val="006B6B7C"/>
    <w:rsid w:val="006B6BD5"/>
    <w:rsid w:val="006B6CC3"/>
    <w:rsid w:val="006B6E33"/>
    <w:rsid w:val="006B6F3E"/>
    <w:rsid w:val="006B7097"/>
    <w:rsid w:val="006B70AC"/>
    <w:rsid w:val="006B70B8"/>
    <w:rsid w:val="006B7205"/>
    <w:rsid w:val="006B722C"/>
    <w:rsid w:val="006B72B2"/>
    <w:rsid w:val="006B73F4"/>
    <w:rsid w:val="006B7460"/>
    <w:rsid w:val="006B765C"/>
    <w:rsid w:val="006B79DC"/>
    <w:rsid w:val="006B7B66"/>
    <w:rsid w:val="006C02A8"/>
    <w:rsid w:val="006C04AC"/>
    <w:rsid w:val="006C04C2"/>
    <w:rsid w:val="006C0660"/>
    <w:rsid w:val="006C06D1"/>
    <w:rsid w:val="006C0712"/>
    <w:rsid w:val="006C0B4B"/>
    <w:rsid w:val="006C0BFF"/>
    <w:rsid w:val="006C0C20"/>
    <w:rsid w:val="006C0CD5"/>
    <w:rsid w:val="006C0E61"/>
    <w:rsid w:val="006C0E87"/>
    <w:rsid w:val="006C116E"/>
    <w:rsid w:val="006C11AE"/>
    <w:rsid w:val="006C11D3"/>
    <w:rsid w:val="006C1261"/>
    <w:rsid w:val="006C1264"/>
    <w:rsid w:val="006C137A"/>
    <w:rsid w:val="006C141A"/>
    <w:rsid w:val="006C147C"/>
    <w:rsid w:val="006C19FD"/>
    <w:rsid w:val="006C1A77"/>
    <w:rsid w:val="006C1ABF"/>
    <w:rsid w:val="006C1C15"/>
    <w:rsid w:val="006C1EC0"/>
    <w:rsid w:val="006C204B"/>
    <w:rsid w:val="006C238F"/>
    <w:rsid w:val="006C23ED"/>
    <w:rsid w:val="006C2570"/>
    <w:rsid w:val="006C27D2"/>
    <w:rsid w:val="006C27FC"/>
    <w:rsid w:val="006C2C51"/>
    <w:rsid w:val="006C2C9C"/>
    <w:rsid w:val="006C2CFD"/>
    <w:rsid w:val="006C33BF"/>
    <w:rsid w:val="006C345C"/>
    <w:rsid w:val="006C3485"/>
    <w:rsid w:val="006C3510"/>
    <w:rsid w:val="006C354D"/>
    <w:rsid w:val="006C3664"/>
    <w:rsid w:val="006C3717"/>
    <w:rsid w:val="006C37E1"/>
    <w:rsid w:val="006C38B2"/>
    <w:rsid w:val="006C3985"/>
    <w:rsid w:val="006C39C5"/>
    <w:rsid w:val="006C3AA1"/>
    <w:rsid w:val="006C3F7A"/>
    <w:rsid w:val="006C40F4"/>
    <w:rsid w:val="006C4329"/>
    <w:rsid w:val="006C43C8"/>
    <w:rsid w:val="006C440A"/>
    <w:rsid w:val="006C4628"/>
    <w:rsid w:val="006C48AB"/>
    <w:rsid w:val="006C4C65"/>
    <w:rsid w:val="006C4C66"/>
    <w:rsid w:val="006C4D55"/>
    <w:rsid w:val="006C4E65"/>
    <w:rsid w:val="006C4E7C"/>
    <w:rsid w:val="006C4F05"/>
    <w:rsid w:val="006C4FEC"/>
    <w:rsid w:val="006C50DA"/>
    <w:rsid w:val="006C5182"/>
    <w:rsid w:val="006C5261"/>
    <w:rsid w:val="006C52E2"/>
    <w:rsid w:val="006C53B3"/>
    <w:rsid w:val="006C55C4"/>
    <w:rsid w:val="006C56AE"/>
    <w:rsid w:val="006C57D8"/>
    <w:rsid w:val="006C5899"/>
    <w:rsid w:val="006C5901"/>
    <w:rsid w:val="006C5A7A"/>
    <w:rsid w:val="006C5ACA"/>
    <w:rsid w:val="006C5E0A"/>
    <w:rsid w:val="006C5EC1"/>
    <w:rsid w:val="006C5F67"/>
    <w:rsid w:val="006C5F73"/>
    <w:rsid w:val="006C6063"/>
    <w:rsid w:val="006C6134"/>
    <w:rsid w:val="006C63E3"/>
    <w:rsid w:val="006C69BC"/>
    <w:rsid w:val="006C69E4"/>
    <w:rsid w:val="006C6AFD"/>
    <w:rsid w:val="006C6BC6"/>
    <w:rsid w:val="006C6D6E"/>
    <w:rsid w:val="006C6E92"/>
    <w:rsid w:val="006C7063"/>
    <w:rsid w:val="006C7198"/>
    <w:rsid w:val="006C71AC"/>
    <w:rsid w:val="006C7658"/>
    <w:rsid w:val="006C7881"/>
    <w:rsid w:val="006C79F0"/>
    <w:rsid w:val="006C7B0C"/>
    <w:rsid w:val="006C7B6E"/>
    <w:rsid w:val="006C7C59"/>
    <w:rsid w:val="006C7E92"/>
    <w:rsid w:val="006C7EA9"/>
    <w:rsid w:val="006C7EB2"/>
    <w:rsid w:val="006D0046"/>
    <w:rsid w:val="006D0101"/>
    <w:rsid w:val="006D02AF"/>
    <w:rsid w:val="006D0352"/>
    <w:rsid w:val="006D0356"/>
    <w:rsid w:val="006D038A"/>
    <w:rsid w:val="006D03B5"/>
    <w:rsid w:val="006D065E"/>
    <w:rsid w:val="006D077F"/>
    <w:rsid w:val="006D078B"/>
    <w:rsid w:val="006D089A"/>
    <w:rsid w:val="006D08C0"/>
    <w:rsid w:val="006D0973"/>
    <w:rsid w:val="006D09D0"/>
    <w:rsid w:val="006D0A10"/>
    <w:rsid w:val="006D0A51"/>
    <w:rsid w:val="006D0A5D"/>
    <w:rsid w:val="006D0AE9"/>
    <w:rsid w:val="006D0AF0"/>
    <w:rsid w:val="006D0E5B"/>
    <w:rsid w:val="006D0F4A"/>
    <w:rsid w:val="006D0F55"/>
    <w:rsid w:val="006D1126"/>
    <w:rsid w:val="006D11E1"/>
    <w:rsid w:val="006D1323"/>
    <w:rsid w:val="006D13B9"/>
    <w:rsid w:val="006D15E9"/>
    <w:rsid w:val="006D1907"/>
    <w:rsid w:val="006D1A42"/>
    <w:rsid w:val="006D1A6E"/>
    <w:rsid w:val="006D1A95"/>
    <w:rsid w:val="006D1D2F"/>
    <w:rsid w:val="006D1F81"/>
    <w:rsid w:val="006D2037"/>
    <w:rsid w:val="006D23B7"/>
    <w:rsid w:val="006D249B"/>
    <w:rsid w:val="006D2547"/>
    <w:rsid w:val="006D25F7"/>
    <w:rsid w:val="006D2610"/>
    <w:rsid w:val="006D2641"/>
    <w:rsid w:val="006D27A8"/>
    <w:rsid w:val="006D28FF"/>
    <w:rsid w:val="006D2A88"/>
    <w:rsid w:val="006D2AF2"/>
    <w:rsid w:val="006D2BEA"/>
    <w:rsid w:val="006D2CEC"/>
    <w:rsid w:val="006D2CFE"/>
    <w:rsid w:val="006D2DDC"/>
    <w:rsid w:val="006D2E2D"/>
    <w:rsid w:val="006D2F20"/>
    <w:rsid w:val="006D2FE7"/>
    <w:rsid w:val="006D312E"/>
    <w:rsid w:val="006D31FB"/>
    <w:rsid w:val="006D32DA"/>
    <w:rsid w:val="006D338B"/>
    <w:rsid w:val="006D346F"/>
    <w:rsid w:val="006D348E"/>
    <w:rsid w:val="006D34EE"/>
    <w:rsid w:val="006D3504"/>
    <w:rsid w:val="006D3505"/>
    <w:rsid w:val="006D35DB"/>
    <w:rsid w:val="006D35E7"/>
    <w:rsid w:val="006D3602"/>
    <w:rsid w:val="006D3660"/>
    <w:rsid w:val="006D3787"/>
    <w:rsid w:val="006D38D0"/>
    <w:rsid w:val="006D3C5E"/>
    <w:rsid w:val="006D3CDB"/>
    <w:rsid w:val="006D3E04"/>
    <w:rsid w:val="006D3EEA"/>
    <w:rsid w:val="006D3F90"/>
    <w:rsid w:val="006D3FC9"/>
    <w:rsid w:val="006D41AC"/>
    <w:rsid w:val="006D4236"/>
    <w:rsid w:val="006D43F9"/>
    <w:rsid w:val="006D449E"/>
    <w:rsid w:val="006D44A3"/>
    <w:rsid w:val="006D4657"/>
    <w:rsid w:val="006D467F"/>
    <w:rsid w:val="006D4683"/>
    <w:rsid w:val="006D46D9"/>
    <w:rsid w:val="006D47B6"/>
    <w:rsid w:val="006D480B"/>
    <w:rsid w:val="006D484F"/>
    <w:rsid w:val="006D4889"/>
    <w:rsid w:val="006D48D4"/>
    <w:rsid w:val="006D49D1"/>
    <w:rsid w:val="006D49ED"/>
    <w:rsid w:val="006D4ABB"/>
    <w:rsid w:val="006D4B2F"/>
    <w:rsid w:val="006D4B36"/>
    <w:rsid w:val="006D4B4B"/>
    <w:rsid w:val="006D4DB1"/>
    <w:rsid w:val="006D501C"/>
    <w:rsid w:val="006D5201"/>
    <w:rsid w:val="006D5388"/>
    <w:rsid w:val="006D53BF"/>
    <w:rsid w:val="006D549D"/>
    <w:rsid w:val="006D58C9"/>
    <w:rsid w:val="006D5A5F"/>
    <w:rsid w:val="006D5BDB"/>
    <w:rsid w:val="006D5F2D"/>
    <w:rsid w:val="006D5FF0"/>
    <w:rsid w:val="006D6072"/>
    <w:rsid w:val="006D621B"/>
    <w:rsid w:val="006D636A"/>
    <w:rsid w:val="006D6419"/>
    <w:rsid w:val="006D648F"/>
    <w:rsid w:val="006D675E"/>
    <w:rsid w:val="006D6DCA"/>
    <w:rsid w:val="006D6F03"/>
    <w:rsid w:val="006D719C"/>
    <w:rsid w:val="006D7225"/>
    <w:rsid w:val="006D726C"/>
    <w:rsid w:val="006D7516"/>
    <w:rsid w:val="006D7559"/>
    <w:rsid w:val="006D7573"/>
    <w:rsid w:val="006D774C"/>
    <w:rsid w:val="006D794D"/>
    <w:rsid w:val="006D7D3F"/>
    <w:rsid w:val="006D7E83"/>
    <w:rsid w:val="006D7EFE"/>
    <w:rsid w:val="006E0065"/>
    <w:rsid w:val="006E02C0"/>
    <w:rsid w:val="006E040D"/>
    <w:rsid w:val="006E06F1"/>
    <w:rsid w:val="006E09E5"/>
    <w:rsid w:val="006E0C90"/>
    <w:rsid w:val="006E0EEE"/>
    <w:rsid w:val="006E0F44"/>
    <w:rsid w:val="006E0F6C"/>
    <w:rsid w:val="006E1046"/>
    <w:rsid w:val="006E1199"/>
    <w:rsid w:val="006E13E3"/>
    <w:rsid w:val="006E1414"/>
    <w:rsid w:val="006E143A"/>
    <w:rsid w:val="006E1466"/>
    <w:rsid w:val="006E15E1"/>
    <w:rsid w:val="006E1627"/>
    <w:rsid w:val="006E165C"/>
    <w:rsid w:val="006E182D"/>
    <w:rsid w:val="006E1A57"/>
    <w:rsid w:val="006E1B5C"/>
    <w:rsid w:val="006E1D4F"/>
    <w:rsid w:val="006E1E32"/>
    <w:rsid w:val="006E2031"/>
    <w:rsid w:val="006E2048"/>
    <w:rsid w:val="006E20AC"/>
    <w:rsid w:val="006E20CE"/>
    <w:rsid w:val="006E20ED"/>
    <w:rsid w:val="006E2416"/>
    <w:rsid w:val="006E2933"/>
    <w:rsid w:val="006E2ABC"/>
    <w:rsid w:val="006E2C00"/>
    <w:rsid w:val="006E2CE4"/>
    <w:rsid w:val="006E2D97"/>
    <w:rsid w:val="006E2DA2"/>
    <w:rsid w:val="006E2E24"/>
    <w:rsid w:val="006E2FD6"/>
    <w:rsid w:val="006E2FE0"/>
    <w:rsid w:val="006E31F2"/>
    <w:rsid w:val="006E31FE"/>
    <w:rsid w:val="006E3327"/>
    <w:rsid w:val="006E3558"/>
    <w:rsid w:val="006E358F"/>
    <w:rsid w:val="006E3662"/>
    <w:rsid w:val="006E36AD"/>
    <w:rsid w:val="006E3712"/>
    <w:rsid w:val="006E3963"/>
    <w:rsid w:val="006E3A62"/>
    <w:rsid w:val="006E3B8E"/>
    <w:rsid w:val="006E3C2F"/>
    <w:rsid w:val="006E3E44"/>
    <w:rsid w:val="006E3F18"/>
    <w:rsid w:val="006E3FFA"/>
    <w:rsid w:val="006E4185"/>
    <w:rsid w:val="006E4256"/>
    <w:rsid w:val="006E42C2"/>
    <w:rsid w:val="006E4357"/>
    <w:rsid w:val="006E4360"/>
    <w:rsid w:val="006E4458"/>
    <w:rsid w:val="006E453D"/>
    <w:rsid w:val="006E4979"/>
    <w:rsid w:val="006E499A"/>
    <w:rsid w:val="006E4AC1"/>
    <w:rsid w:val="006E4B33"/>
    <w:rsid w:val="006E4CF0"/>
    <w:rsid w:val="006E4D95"/>
    <w:rsid w:val="006E4EB0"/>
    <w:rsid w:val="006E50B3"/>
    <w:rsid w:val="006E520A"/>
    <w:rsid w:val="006E5222"/>
    <w:rsid w:val="006E52F9"/>
    <w:rsid w:val="006E5416"/>
    <w:rsid w:val="006E542C"/>
    <w:rsid w:val="006E543E"/>
    <w:rsid w:val="006E5578"/>
    <w:rsid w:val="006E55FF"/>
    <w:rsid w:val="006E5628"/>
    <w:rsid w:val="006E56D3"/>
    <w:rsid w:val="006E56E8"/>
    <w:rsid w:val="006E5873"/>
    <w:rsid w:val="006E590F"/>
    <w:rsid w:val="006E59AF"/>
    <w:rsid w:val="006E5A14"/>
    <w:rsid w:val="006E5A98"/>
    <w:rsid w:val="006E5AEE"/>
    <w:rsid w:val="006E5B1A"/>
    <w:rsid w:val="006E5BC4"/>
    <w:rsid w:val="006E5C10"/>
    <w:rsid w:val="006E5C46"/>
    <w:rsid w:val="006E5CC2"/>
    <w:rsid w:val="006E5DE7"/>
    <w:rsid w:val="006E5DF8"/>
    <w:rsid w:val="006E5E28"/>
    <w:rsid w:val="006E60BD"/>
    <w:rsid w:val="006E60CC"/>
    <w:rsid w:val="006E60FC"/>
    <w:rsid w:val="006E6170"/>
    <w:rsid w:val="006E617E"/>
    <w:rsid w:val="006E618D"/>
    <w:rsid w:val="006E6371"/>
    <w:rsid w:val="006E6601"/>
    <w:rsid w:val="006E66F4"/>
    <w:rsid w:val="006E6723"/>
    <w:rsid w:val="006E6857"/>
    <w:rsid w:val="006E6897"/>
    <w:rsid w:val="006E6A05"/>
    <w:rsid w:val="006E6BF0"/>
    <w:rsid w:val="006E6FFC"/>
    <w:rsid w:val="006E701B"/>
    <w:rsid w:val="006E71A4"/>
    <w:rsid w:val="006E71E3"/>
    <w:rsid w:val="006E72F9"/>
    <w:rsid w:val="006E753D"/>
    <w:rsid w:val="006E76D8"/>
    <w:rsid w:val="006E791B"/>
    <w:rsid w:val="006E79E1"/>
    <w:rsid w:val="006E7A3B"/>
    <w:rsid w:val="006E7A9D"/>
    <w:rsid w:val="006E7AC4"/>
    <w:rsid w:val="006E7D43"/>
    <w:rsid w:val="006E7DA2"/>
    <w:rsid w:val="006E7DDE"/>
    <w:rsid w:val="006E7E20"/>
    <w:rsid w:val="006E7FE6"/>
    <w:rsid w:val="006F0176"/>
    <w:rsid w:val="006F036D"/>
    <w:rsid w:val="006F0370"/>
    <w:rsid w:val="006F04A2"/>
    <w:rsid w:val="006F062F"/>
    <w:rsid w:val="006F09D2"/>
    <w:rsid w:val="006F0A18"/>
    <w:rsid w:val="006F0A9E"/>
    <w:rsid w:val="006F0BCA"/>
    <w:rsid w:val="006F0C90"/>
    <w:rsid w:val="006F0E72"/>
    <w:rsid w:val="006F0E7A"/>
    <w:rsid w:val="006F0EA0"/>
    <w:rsid w:val="006F0F8C"/>
    <w:rsid w:val="006F1008"/>
    <w:rsid w:val="006F1010"/>
    <w:rsid w:val="006F1193"/>
    <w:rsid w:val="006F122E"/>
    <w:rsid w:val="006F1331"/>
    <w:rsid w:val="006F1385"/>
    <w:rsid w:val="006F148E"/>
    <w:rsid w:val="006F16A3"/>
    <w:rsid w:val="006F1732"/>
    <w:rsid w:val="006F17AA"/>
    <w:rsid w:val="006F1800"/>
    <w:rsid w:val="006F1A7F"/>
    <w:rsid w:val="006F1B0E"/>
    <w:rsid w:val="006F1BBA"/>
    <w:rsid w:val="006F1C6C"/>
    <w:rsid w:val="006F1CEE"/>
    <w:rsid w:val="006F1EBC"/>
    <w:rsid w:val="006F1EFA"/>
    <w:rsid w:val="006F1F1F"/>
    <w:rsid w:val="006F2012"/>
    <w:rsid w:val="006F20AD"/>
    <w:rsid w:val="006F2630"/>
    <w:rsid w:val="006F282D"/>
    <w:rsid w:val="006F28DF"/>
    <w:rsid w:val="006F2A58"/>
    <w:rsid w:val="006F2A7A"/>
    <w:rsid w:val="006F2FE5"/>
    <w:rsid w:val="006F302A"/>
    <w:rsid w:val="006F304B"/>
    <w:rsid w:val="006F31F1"/>
    <w:rsid w:val="006F3478"/>
    <w:rsid w:val="006F3ADD"/>
    <w:rsid w:val="006F3B26"/>
    <w:rsid w:val="006F3C5A"/>
    <w:rsid w:val="006F3CDC"/>
    <w:rsid w:val="006F3E54"/>
    <w:rsid w:val="006F3ECE"/>
    <w:rsid w:val="006F3F1A"/>
    <w:rsid w:val="006F4154"/>
    <w:rsid w:val="006F4333"/>
    <w:rsid w:val="006F449D"/>
    <w:rsid w:val="006F44C1"/>
    <w:rsid w:val="006F4558"/>
    <w:rsid w:val="006F462F"/>
    <w:rsid w:val="006F4631"/>
    <w:rsid w:val="006F48D1"/>
    <w:rsid w:val="006F49CE"/>
    <w:rsid w:val="006F4A71"/>
    <w:rsid w:val="006F4C90"/>
    <w:rsid w:val="006F4CCC"/>
    <w:rsid w:val="006F4E9A"/>
    <w:rsid w:val="006F507C"/>
    <w:rsid w:val="006F5180"/>
    <w:rsid w:val="006F5636"/>
    <w:rsid w:val="006F578C"/>
    <w:rsid w:val="006F5940"/>
    <w:rsid w:val="006F59B7"/>
    <w:rsid w:val="006F5A56"/>
    <w:rsid w:val="006F5BE1"/>
    <w:rsid w:val="006F5C06"/>
    <w:rsid w:val="006F5D8B"/>
    <w:rsid w:val="006F5DC1"/>
    <w:rsid w:val="006F5E67"/>
    <w:rsid w:val="006F5F05"/>
    <w:rsid w:val="006F600E"/>
    <w:rsid w:val="006F602A"/>
    <w:rsid w:val="006F609F"/>
    <w:rsid w:val="006F611D"/>
    <w:rsid w:val="006F6293"/>
    <w:rsid w:val="006F648F"/>
    <w:rsid w:val="006F652B"/>
    <w:rsid w:val="006F6547"/>
    <w:rsid w:val="006F6634"/>
    <w:rsid w:val="006F668E"/>
    <w:rsid w:val="006F682B"/>
    <w:rsid w:val="006F69DC"/>
    <w:rsid w:val="006F6A31"/>
    <w:rsid w:val="006F6A5A"/>
    <w:rsid w:val="006F6B05"/>
    <w:rsid w:val="006F6C03"/>
    <w:rsid w:val="006F6C50"/>
    <w:rsid w:val="006F6D82"/>
    <w:rsid w:val="006F6E74"/>
    <w:rsid w:val="006F7018"/>
    <w:rsid w:val="006F7123"/>
    <w:rsid w:val="006F7352"/>
    <w:rsid w:val="006F783B"/>
    <w:rsid w:val="006F798C"/>
    <w:rsid w:val="006F7A76"/>
    <w:rsid w:val="006F7C19"/>
    <w:rsid w:val="006F7D44"/>
    <w:rsid w:val="006F7D5B"/>
    <w:rsid w:val="006F7DDA"/>
    <w:rsid w:val="006F7E56"/>
    <w:rsid w:val="006F7E9D"/>
    <w:rsid w:val="006F7F78"/>
    <w:rsid w:val="006F7FAE"/>
    <w:rsid w:val="00700103"/>
    <w:rsid w:val="00700168"/>
    <w:rsid w:val="007001EF"/>
    <w:rsid w:val="0070028F"/>
    <w:rsid w:val="00700330"/>
    <w:rsid w:val="0070043D"/>
    <w:rsid w:val="007004FC"/>
    <w:rsid w:val="007005BB"/>
    <w:rsid w:val="00700787"/>
    <w:rsid w:val="007007B7"/>
    <w:rsid w:val="00700AA6"/>
    <w:rsid w:val="00700D25"/>
    <w:rsid w:val="0070125A"/>
    <w:rsid w:val="007012DA"/>
    <w:rsid w:val="007014DE"/>
    <w:rsid w:val="0070151A"/>
    <w:rsid w:val="00701665"/>
    <w:rsid w:val="007016B1"/>
    <w:rsid w:val="007019CA"/>
    <w:rsid w:val="00701A82"/>
    <w:rsid w:val="00701B7A"/>
    <w:rsid w:val="00701BB9"/>
    <w:rsid w:val="00701F37"/>
    <w:rsid w:val="00702065"/>
    <w:rsid w:val="0070211E"/>
    <w:rsid w:val="007021D0"/>
    <w:rsid w:val="00702256"/>
    <w:rsid w:val="007022C0"/>
    <w:rsid w:val="0070232A"/>
    <w:rsid w:val="00702370"/>
    <w:rsid w:val="0070244E"/>
    <w:rsid w:val="0070258A"/>
    <w:rsid w:val="00702679"/>
    <w:rsid w:val="0070268D"/>
    <w:rsid w:val="0070290C"/>
    <w:rsid w:val="007029A0"/>
    <w:rsid w:val="00702A59"/>
    <w:rsid w:val="00702B91"/>
    <w:rsid w:val="00702C5A"/>
    <w:rsid w:val="00702C81"/>
    <w:rsid w:val="00702D09"/>
    <w:rsid w:val="00702D6D"/>
    <w:rsid w:val="00702EE1"/>
    <w:rsid w:val="00702F21"/>
    <w:rsid w:val="007030BE"/>
    <w:rsid w:val="007036E2"/>
    <w:rsid w:val="007037D1"/>
    <w:rsid w:val="0070388D"/>
    <w:rsid w:val="0070395A"/>
    <w:rsid w:val="0070395F"/>
    <w:rsid w:val="00703A25"/>
    <w:rsid w:val="00703AB8"/>
    <w:rsid w:val="00703AF8"/>
    <w:rsid w:val="00703B43"/>
    <w:rsid w:val="00703F98"/>
    <w:rsid w:val="00703FA8"/>
    <w:rsid w:val="0070409A"/>
    <w:rsid w:val="007042D0"/>
    <w:rsid w:val="007042E7"/>
    <w:rsid w:val="00704323"/>
    <w:rsid w:val="00704403"/>
    <w:rsid w:val="0070441D"/>
    <w:rsid w:val="007044CB"/>
    <w:rsid w:val="007045E3"/>
    <w:rsid w:val="0070461A"/>
    <w:rsid w:val="00704842"/>
    <w:rsid w:val="00704869"/>
    <w:rsid w:val="00704A00"/>
    <w:rsid w:val="00704C18"/>
    <w:rsid w:val="00704CD0"/>
    <w:rsid w:val="00704D1A"/>
    <w:rsid w:val="00704D28"/>
    <w:rsid w:val="00704E1A"/>
    <w:rsid w:val="00704E68"/>
    <w:rsid w:val="00704FB9"/>
    <w:rsid w:val="0070503D"/>
    <w:rsid w:val="0070507E"/>
    <w:rsid w:val="00705155"/>
    <w:rsid w:val="0070535E"/>
    <w:rsid w:val="0070545D"/>
    <w:rsid w:val="0070550B"/>
    <w:rsid w:val="007055B7"/>
    <w:rsid w:val="0070563B"/>
    <w:rsid w:val="0070578A"/>
    <w:rsid w:val="00705885"/>
    <w:rsid w:val="00705B33"/>
    <w:rsid w:val="00705CA5"/>
    <w:rsid w:val="00705D15"/>
    <w:rsid w:val="00705E5F"/>
    <w:rsid w:val="00705F50"/>
    <w:rsid w:val="00705FB6"/>
    <w:rsid w:val="0070613F"/>
    <w:rsid w:val="00706337"/>
    <w:rsid w:val="0070634A"/>
    <w:rsid w:val="007064A9"/>
    <w:rsid w:val="007064B4"/>
    <w:rsid w:val="00706778"/>
    <w:rsid w:val="00706908"/>
    <w:rsid w:val="00706A86"/>
    <w:rsid w:val="00706ADA"/>
    <w:rsid w:val="00706D00"/>
    <w:rsid w:val="00706D20"/>
    <w:rsid w:val="00706E0B"/>
    <w:rsid w:val="00706E5B"/>
    <w:rsid w:val="00706EE9"/>
    <w:rsid w:val="00706FE7"/>
    <w:rsid w:val="00707124"/>
    <w:rsid w:val="007071E4"/>
    <w:rsid w:val="00707318"/>
    <w:rsid w:val="007073A4"/>
    <w:rsid w:val="00707438"/>
    <w:rsid w:val="00707681"/>
    <w:rsid w:val="007078F9"/>
    <w:rsid w:val="00707969"/>
    <w:rsid w:val="00707B16"/>
    <w:rsid w:val="00707E35"/>
    <w:rsid w:val="00710099"/>
    <w:rsid w:val="00710410"/>
    <w:rsid w:val="007107B1"/>
    <w:rsid w:val="007109B3"/>
    <w:rsid w:val="007109C0"/>
    <w:rsid w:val="00710BD3"/>
    <w:rsid w:val="00710D89"/>
    <w:rsid w:val="00710DE3"/>
    <w:rsid w:val="00710E80"/>
    <w:rsid w:val="00710EF4"/>
    <w:rsid w:val="00710F8F"/>
    <w:rsid w:val="00711033"/>
    <w:rsid w:val="00711226"/>
    <w:rsid w:val="0071127E"/>
    <w:rsid w:val="007114EC"/>
    <w:rsid w:val="00711502"/>
    <w:rsid w:val="00711524"/>
    <w:rsid w:val="00711542"/>
    <w:rsid w:val="00711584"/>
    <w:rsid w:val="007117F6"/>
    <w:rsid w:val="007118B9"/>
    <w:rsid w:val="00711A04"/>
    <w:rsid w:val="00711A0F"/>
    <w:rsid w:val="00711B37"/>
    <w:rsid w:val="00711B8A"/>
    <w:rsid w:val="00711BF9"/>
    <w:rsid w:val="00711C07"/>
    <w:rsid w:val="00711D75"/>
    <w:rsid w:val="00711E23"/>
    <w:rsid w:val="00711E57"/>
    <w:rsid w:val="00711F44"/>
    <w:rsid w:val="0071244B"/>
    <w:rsid w:val="0071251B"/>
    <w:rsid w:val="0071254F"/>
    <w:rsid w:val="0071255A"/>
    <w:rsid w:val="00712610"/>
    <w:rsid w:val="00712642"/>
    <w:rsid w:val="00712687"/>
    <w:rsid w:val="00712762"/>
    <w:rsid w:val="0071289F"/>
    <w:rsid w:val="007129B6"/>
    <w:rsid w:val="00712A32"/>
    <w:rsid w:val="00712C85"/>
    <w:rsid w:val="00712CED"/>
    <w:rsid w:val="00712D61"/>
    <w:rsid w:val="00713333"/>
    <w:rsid w:val="00713497"/>
    <w:rsid w:val="007134DA"/>
    <w:rsid w:val="007134F0"/>
    <w:rsid w:val="00713515"/>
    <w:rsid w:val="00713843"/>
    <w:rsid w:val="007138DC"/>
    <w:rsid w:val="007138E6"/>
    <w:rsid w:val="00713A92"/>
    <w:rsid w:val="00713AEB"/>
    <w:rsid w:val="00713B81"/>
    <w:rsid w:val="00713E15"/>
    <w:rsid w:val="00713EC1"/>
    <w:rsid w:val="0071405F"/>
    <w:rsid w:val="007140ED"/>
    <w:rsid w:val="00714109"/>
    <w:rsid w:val="00714160"/>
    <w:rsid w:val="00714285"/>
    <w:rsid w:val="007142C3"/>
    <w:rsid w:val="007142D5"/>
    <w:rsid w:val="007142FB"/>
    <w:rsid w:val="00714321"/>
    <w:rsid w:val="007146AA"/>
    <w:rsid w:val="0071470B"/>
    <w:rsid w:val="007147E0"/>
    <w:rsid w:val="00714950"/>
    <w:rsid w:val="007149A3"/>
    <w:rsid w:val="00714CB4"/>
    <w:rsid w:val="00714CDE"/>
    <w:rsid w:val="00714D2C"/>
    <w:rsid w:val="00714DDE"/>
    <w:rsid w:val="00714DFE"/>
    <w:rsid w:val="00714E9C"/>
    <w:rsid w:val="00714F60"/>
    <w:rsid w:val="007150D2"/>
    <w:rsid w:val="00715154"/>
    <w:rsid w:val="00715180"/>
    <w:rsid w:val="007151E1"/>
    <w:rsid w:val="00715241"/>
    <w:rsid w:val="007153B2"/>
    <w:rsid w:val="007153C6"/>
    <w:rsid w:val="007153E6"/>
    <w:rsid w:val="00715424"/>
    <w:rsid w:val="007154A6"/>
    <w:rsid w:val="00715543"/>
    <w:rsid w:val="00715632"/>
    <w:rsid w:val="0071574A"/>
    <w:rsid w:val="0071582C"/>
    <w:rsid w:val="007159E7"/>
    <w:rsid w:val="00715A0C"/>
    <w:rsid w:val="00715ADC"/>
    <w:rsid w:val="00715BD0"/>
    <w:rsid w:val="00715C23"/>
    <w:rsid w:val="00715CEE"/>
    <w:rsid w:val="00715D6C"/>
    <w:rsid w:val="00716038"/>
    <w:rsid w:val="0071611F"/>
    <w:rsid w:val="0071617E"/>
    <w:rsid w:val="0071620F"/>
    <w:rsid w:val="0071624A"/>
    <w:rsid w:val="007165AA"/>
    <w:rsid w:val="0071674D"/>
    <w:rsid w:val="00716799"/>
    <w:rsid w:val="00716871"/>
    <w:rsid w:val="00716B63"/>
    <w:rsid w:val="00716C80"/>
    <w:rsid w:val="00716DDF"/>
    <w:rsid w:val="00716DFB"/>
    <w:rsid w:val="00716E67"/>
    <w:rsid w:val="00716FFD"/>
    <w:rsid w:val="00717109"/>
    <w:rsid w:val="00717110"/>
    <w:rsid w:val="00717482"/>
    <w:rsid w:val="007176B7"/>
    <w:rsid w:val="0071775A"/>
    <w:rsid w:val="00717830"/>
    <w:rsid w:val="00717927"/>
    <w:rsid w:val="00717A7C"/>
    <w:rsid w:val="00717C96"/>
    <w:rsid w:val="00717D7E"/>
    <w:rsid w:val="00717DDC"/>
    <w:rsid w:val="00717EAE"/>
    <w:rsid w:val="00720048"/>
    <w:rsid w:val="00720113"/>
    <w:rsid w:val="007201EC"/>
    <w:rsid w:val="00720347"/>
    <w:rsid w:val="007203BC"/>
    <w:rsid w:val="007203E9"/>
    <w:rsid w:val="00720472"/>
    <w:rsid w:val="007204C8"/>
    <w:rsid w:val="007204E0"/>
    <w:rsid w:val="00720590"/>
    <w:rsid w:val="0072059A"/>
    <w:rsid w:val="007206DC"/>
    <w:rsid w:val="00720773"/>
    <w:rsid w:val="007207FB"/>
    <w:rsid w:val="007209D4"/>
    <w:rsid w:val="00720C29"/>
    <w:rsid w:val="00720C88"/>
    <w:rsid w:val="00720EB3"/>
    <w:rsid w:val="00720F8B"/>
    <w:rsid w:val="00721160"/>
    <w:rsid w:val="0072126E"/>
    <w:rsid w:val="00721270"/>
    <w:rsid w:val="007212CC"/>
    <w:rsid w:val="007212F0"/>
    <w:rsid w:val="0072131D"/>
    <w:rsid w:val="00721322"/>
    <w:rsid w:val="00721421"/>
    <w:rsid w:val="007214BC"/>
    <w:rsid w:val="007214D9"/>
    <w:rsid w:val="00721786"/>
    <w:rsid w:val="007217C2"/>
    <w:rsid w:val="007218FE"/>
    <w:rsid w:val="00721937"/>
    <w:rsid w:val="00721A5D"/>
    <w:rsid w:val="00721A72"/>
    <w:rsid w:val="00721A9D"/>
    <w:rsid w:val="00721AC2"/>
    <w:rsid w:val="00721BC3"/>
    <w:rsid w:val="00722020"/>
    <w:rsid w:val="007220CC"/>
    <w:rsid w:val="007221F6"/>
    <w:rsid w:val="007221FF"/>
    <w:rsid w:val="0072224B"/>
    <w:rsid w:val="007224E3"/>
    <w:rsid w:val="00722596"/>
    <w:rsid w:val="0072270D"/>
    <w:rsid w:val="0072271D"/>
    <w:rsid w:val="0072288C"/>
    <w:rsid w:val="00722BF1"/>
    <w:rsid w:val="00722D06"/>
    <w:rsid w:val="00722EE8"/>
    <w:rsid w:val="00722F24"/>
    <w:rsid w:val="00723037"/>
    <w:rsid w:val="0072311B"/>
    <w:rsid w:val="007231EB"/>
    <w:rsid w:val="007231FC"/>
    <w:rsid w:val="0072321B"/>
    <w:rsid w:val="007233BC"/>
    <w:rsid w:val="00723425"/>
    <w:rsid w:val="007236CE"/>
    <w:rsid w:val="007237AD"/>
    <w:rsid w:val="007237F7"/>
    <w:rsid w:val="00723929"/>
    <w:rsid w:val="0072396A"/>
    <w:rsid w:val="007239C0"/>
    <w:rsid w:val="00723A40"/>
    <w:rsid w:val="00723C18"/>
    <w:rsid w:val="00723C45"/>
    <w:rsid w:val="00723DF9"/>
    <w:rsid w:val="00723E7C"/>
    <w:rsid w:val="00723E84"/>
    <w:rsid w:val="00723ED4"/>
    <w:rsid w:val="00723F17"/>
    <w:rsid w:val="00723F39"/>
    <w:rsid w:val="0072406F"/>
    <w:rsid w:val="007240B1"/>
    <w:rsid w:val="00724523"/>
    <w:rsid w:val="007246C4"/>
    <w:rsid w:val="007247C6"/>
    <w:rsid w:val="00724819"/>
    <w:rsid w:val="007248C7"/>
    <w:rsid w:val="00724981"/>
    <w:rsid w:val="007249B5"/>
    <w:rsid w:val="00724BD3"/>
    <w:rsid w:val="00724C8E"/>
    <w:rsid w:val="00724CFC"/>
    <w:rsid w:val="00724D8B"/>
    <w:rsid w:val="00725073"/>
    <w:rsid w:val="007250FC"/>
    <w:rsid w:val="00725262"/>
    <w:rsid w:val="00725267"/>
    <w:rsid w:val="00725302"/>
    <w:rsid w:val="007253CB"/>
    <w:rsid w:val="007253F7"/>
    <w:rsid w:val="00725411"/>
    <w:rsid w:val="007254C1"/>
    <w:rsid w:val="007255E9"/>
    <w:rsid w:val="00725730"/>
    <w:rsid w:val="007258C0"/>
    <w:rsid w:val="00725A6D"/>
    <w:rsid w:val="00725D03"/>
    <w:rsid w:val="00725D9E"/>
    <w:rsid w:val="00725DCF"/>
    <w:rsid w:val="00725DFE"/>
    <w:rsid w:val="00725FD0"/>
    <w:rsid w:val="00726029"/>
    <w:rsid w:val="007260F5"/>
    <w:rsid w:val="00726176"/>
    <w:rsid w:val="007262D3"/>
    <w:rsid w:val="00726363"/>
    <w:rsid w:val="00726801"/>
    <w:rsid w:val="00726968"/>
    <w:rsid w:val="0072698C"/>
    <w:rsid w:val="00726B7A"/>
    <w:rsid w:val="00726D73"/>
    <w:rsid w:val="00726FA0"/>
    <w:rsid w:val="00727136"/>
    <w:rsid w:val="00727190"/>
    <w:rsid w:val="0072719F"/>
    <w:rsid w:val="007272E2"/>
    <w:rsid w:val="007273E0"/>
    <w:rsid w:val="007273F2"/>
    <w:rsid w:val="007274B2"/>
    <w:rsid w:val="00727537"/>
    <w:rsid w:val="007275E9"/>
    <w:rsid w:val="00727663"/>
    <w:rsid w:val="007278DD"/>
    <w:rsid w:val="00727974"/>
    <w:rsid w:val="00727A25"/>
    <w:rsid w:val="00727C4C"/>
    <w:rsid w:val="0073004E"/>
    <w:rsid w:val="00730095"/>
    <w:rsid w:val="0073009A"/>
    <w:rsid w:val="007300A8"/>
    <w:rsid w:val="007303E3"/>
    <w:rsid w:val="00730623"/>
    <w:rsid w:val="0073068A"/>
    <w:rsid w:val="0073082B"/>
    <w:rsid w:val="007308BB"/>
    <w:rsid w:val="00730940"/>
    <w:rsid w:val="0073098F"/>
    <w:rsid w:val="00730AE6"/>
    <w:rsid w:val="00730BB4"/>
    <w:rsid w:val="00730BD9"/>
    <w:rsid w:val="00730C37"/>
    <w:rsid w:val="00730E2C"/>
    <w:rsid w:val="00730EBE"/>
    <w:rsid w:val="007310A3"/>
    <w:rsid w:val="007311B4"/>
    <w:rsid w:val="0073121D"/>
    <w:rsid w:val="00731263"/>
    <w:rsid w:val="007313D7"/>
    <w:rsid w:val="007314A8"/>
    <w:rsid w:val="0073159F"/>
    <w:rsid w:val="0073162D"/>
    <w:rsid w:val="00731724"/>
    <w:rsid w:val="00731852"/>
    <w:rsid w:val="007318C5"/>
    <w:rsid w:val="00731ADD"/>
    <w:rsid w:val="00731C59"/>
    <w:rsid w:val="00731C99"/>
    <w:rsid w:val="00731D66"/>
    <w:rsid w:val="00731DFD"/>
    <w:rsid w:val="00731E40"/>
    <w:rsid w:val="00731FE4"/>
    <w:rsid w:val="007321BB"/>
    <w:rsid w:val="0073222C"/>
    <w:rsid w:val="007323CB"/>
    <w:rsid w:val="0073241C"/>
    <w:rsid w:val="007324E3"/>
    <w:rsid w:val="007324E5"/>
    <w:rsid w:val="007324F2"/>
    <w:rsid w:val="0073261D"/>
    <w:rsid w:val="0073267D"/>
    <w:rsid w:val="0073277B"/>
    <w:rsid w:val="0073279A"/>
    <w:rsid w:val="0073296F"/>
    <w:rsid w:val="007329A6"/>
    <w:rsid w:val="00732A0B"/>
    <w:rsid w:val="00732A90"/>
    <w:rsid w:val="00732C14"/>
    <w:rsid w:val="00732DA6"/>
    <w:rsid w:val="00733000"/>
    <w:rsid w:val="0073319A"/>
    <w:rsid w:val="0073320E"/>
    <w:rsid w:val="00733263"/>
    <w:rsid w:val="00733358"/>
    <w:rsid w:val="0073339D"/>
    <w:rsid w:val="007333B5"/>
    <w:rsid w:val="0073341E"/>
    <w:rsid w:val="007334F5"/>
    <w:rsid w:val="00733519"/>
    <w:rsid w:val="00733544"/>
    <w:rsid w:val="00733577"/>
    <w:rsid w:val="007335D2"/>
    <w:rsid w:val="0073388A"/>
    <w:rsid w:val="007339A9"/>
    <w:rsid w:val="007339E0"/>
    <w:rsid w:val="00733A7F"/>
    <w:rsid w:val="00733A91"/>
    <w:rsid w:val="00733AAE"/>
    <w:rsid w:val="00733AC5"/>
    <w:rsid w:val="00733CA5"/>
    <w:rsid w:val="00733D48"/>
    <w:rsid w:val="00733DCF"/>
    <w:rsid w:val="00733E9C"/>
    <w:rsid w:val="00733F7D"/>
    <w:rsid w:val="0073422A"/>
    <w:rsid w:val="00734239"/>
    <w:rsid w:val="00734266"/>
    <w:rsid w:val="007342AE"/>
    <w:rsid w:val="0073436D"/>
    <w:rsid w:val="007346CA"/>
    <w:rsid w:val="007346F4"/>
    <w:rsid w:val="00734734"/>
    <w:rsid w:val="0073495F"/>
    <w:rsid w:val="00734991"/>
    <w:rsid w:val="00734CA2"/>
    <w:rsid w:val="00734CEC"/>
    <w:rsid w:val="00734E0B"/>
    <w:rsid w:val="00734F18"/>
    <w:rsid w:val="00734FA7"/>
    <w:rsid w:val="007350B6"/>
    <w:rsid w:val="007352FA"/>
    <w:rsid w:val="0073559F"/>
    <w:rsid w:val="00735740"/>
    <w:rsid w:val="007358CD"/>
    <w:rsid w:val="007359CA"/>
    <w:rsid w:val="00735A5D"/>
    <w:rsid w:val="00735AAC"/>
    <w:rsid w:val="00735C6D"/>
    <w:rsid w:val="00735CA4"/>
    <w:rsid w:val="00735E59"/>
    <w:rsid w:val="00735ED5"/>
    <w:rsid w:val="00735F84"/>
    <w:rsid w:val="0073617D"/>
    <w:rsid w:val="00736433"/>
    <w:rsid w:val="00736437"/>
    <w:rsid w:val="00736500"/>
    <w:rsid w:val="00736732"/>
    <w:rsid w:val="00736736"/>
    <w:rsid w:val="0073679C"/>
    <w:rsid w:val="007367E2"/>
    <w:rsid w:val="00736A3E"/>
    <w:rsid w:val="00736BE7"/>
    <w:rsid w:val="00736E0F"/>
    <w:rsid w:val="00736ECF"/>
    <w:rsid w:val="007370C0"/>
    <w:rsid w:val="007372F0"/>
    <w:rsid w:val="007373A4"/>
    <w:rsid w:val="007375C0"/>
    <w:rsid w:val="007375FA"/>
    <w:rsid w:val="0073770F"/>
    <w:rsid w:val="00737741"/>
    <w:rsid w:val="00737B65"/>
    <w:rsid w:val="00737CB8"/>
    <w:rsid w:val="00737CE9"/>
    <w:rsid w:val="00737D06"/>
    <w:rsid w:val="00737D4D"/>
    <w:rsid w:val="00737E30"/>
    <w:rsid w:val="00737F85"/>
    <w:rsid w:val="00740027"/>
    <w:rsid w:val="00740166"/>
    <w:rsid w:val="007403F0"/>
    <w:rsid w:val="0074067E"/>
    <w:rsid w:val="007406D9"/>
    <w:rsid w:val="007406EB"/>
    <w:rsid w:val="00740BAF"/>
    <w:rsid w:val="00740DDE"/>
    <w:rsid w:val="00740DF1"/>
    <w:rsid w:val="00740E48"/>
    <w:rsid w:val="00740EC6"/>
    <w:rsid w:val="00740EE5"/>
    <w:rsid w:val="0074136D"/>
    <w:rsid w:val="0074137E"/>
    <w:rsid w:val="007413F8"/>
    <w:rsid w:val="00741569"/>
    <w:rsid w:val="00741570"/>
    <w:rsid w:val="007415BF"/>
    <w:rsid w:val="007418E2"/>
    <w:rsid w:val="00741AE7"/>
    <w:rsid w:val="00741B34"/>
    <w:rsid w:val="00741B89"/>
    <w:rsid w:val="00741D56"/>
    <w:rsid w:val="00741F4C"/>
    <w:rsid w:val="00742068"/>
    <w:rsid w:val="00742110"/>
    <w:rsid w:val="007423EA"/>
    <w:rsid w:val="007425B4"/>
    <w:rsid w:val="007426D3"/>
    <w:rsid w:val="007426F4"/>
    <w:rsid w:val="00742765"/>
    <w:rsid w:val="00742864"/>
    <w:rsid w:val="00742C1F"/>
    <w:rsid w:val="00742C51"/>
    <w:rsid w:val="00742C96"/>
    <w:rsid w:val="00742D19"/>
    <w:rsid w:val="00742E67"/>
    <w:rsid w:val="0074303B"/>
    <w:rsid w:val="0074335A"/>
    <w:rsid w:val="007434FE"/>
    <w:rsid w:val="00743593"/>
    <w:rsid w:val="007435B8"/>
    <w:rsid w:val="007435D7"/>
    <w:rsid w:val="00743751"/>
    <w:rsid w:val="0074385D"/>
    <w:rsid w:val="00743978"/>
    <w:rsid w:val="00743E85"/>
    <w:rsid w:val="007441C5"/>
    <w:rsid w:val="0074449A"/>
    <w:rsid w:val="007444CA"/>
    <w:rsid w:val="007445CB"/>
    <w:rsid w:val="00744657"/>
    <w:rsid w:val="007447C8"/>
    <w:rsid w:val="00744831"/>
    <w:rsid w:val="007449A0"/>
    <w:rsid w:val="007449F5"/>
    <w:rsid w:val="00744A7A"/>
    <w:rsid w:val="00744A85"/>
    <w:rsid w:val="00744E16"/>
    <w:rsid w:val="0074508D"/>
    <w:rsid w:val="007451A8"/>
    <w:rsid w:val="007452C6"/>
    <w:rsid w:val="00745393"/>
    <w:rsid w:val="007453C5"/>
    <w:rsid w:val="0074547B"/>
    <w:rsid w:val="0074555C"/>
    <w:rsid w:val="0074561C"/>
    <w:rsid w:val="00745712"/>
    <w:rsid w:val="00745769"/>
    <w:rsid w:val="0074589F"/>
    <w:rsid w:val="00745993"/>
    <w:rsid w:val="00745AAA"/>
    <w:rsid w:val="00745B74"/>
    <w:rsid w:val="00745C23"/>
    <w:rsid w:val="00745EFB"/>
    <w:rsid w:val="00745EFF"/>
    <w:rsid w:val="00745FA0"/>
    <w:rsid w:val="00746041"/>
    <w:rsid w:val="0074607F"/>
    <w:rsid w:val="00746371"/>
    <w:rsid w:val="00746390"/>
    <w:rsid w:val="0074641A"/>
    <w:rsid w:val="00746842"/>
    <w:rsid w:val="007469D7"/>
    <w:rsid w:val="00746A16"/>
    <w:rsid w:val="00746A1D"/>
    <w:rsid w:val="00746B9C"/>
    <w:rsid w:val="00746BA4"/>
    <w:rsid w:val="00746D4B"/>
    <w:rsid w:val="00746DFE"/>
    <w:rsid w:val="00746E88"/>
    <w:rsid w:val="00746F1C"/>
    <w:rsid w:val="00746F6A"/>
    <w:rsid w:val="00747079"/>
    <w:rsid w:val="007470B5"/>
    <w:rsid w:val="007472DA"/>
    <w:rsid w:val="00747344"/>
    <w:rsid w:val="0074737A"/>
    <w:rsid w:val="00747447"/>
    <w:rsid w:val="007474FB"/>
    <w:rsid w:val="00747525"/>
    <w:rsid w:val="0074769B"/>
    <w:rsid w:val="00747790"/>
    <w:rsid w:val="00747811"/>
    <w:rsid w:val="00747812"/>
    <w:rsid w:val="00747868"/>
    <w:rsid w:val="00747972"/>
    <w:rsid w:val="00747A38"/>
    <w:rsid w:val="00747C56"/>
    <w:rsid w:val="00747CF9"/>
    <w:rsid w:val="00747E3D"/>
    <w:rsid w:val="00747EE0"/>
    <w:rsid w:val="00747F08"/>
    <w:rsid w:val="00750073"/>
    <w:rsid w:val="007500D7"/>
    <w:rsid w:val="00750104"/>
    <w:rsid w:val="00750192"/>
    <w:rsid w:val="0075028C"/>
    <w:rsid w:val="00750393"/>
    <w:rsid w:val="007503B5"/>
    <w:rsid w:val="00750422"/>
    <w:rsid w:val="00750497"/>
    <w:rsid w:val="007505B0"/>
    <w:rsid w:val="007505DE"/>
    <w:rsid w:val="00750691"/>
    <w:rsid w:val="007506DB"/>
    <w:rsid w:val="00750773"/>
    <w:rsid w:val="0075079D"/>
    <w:rsid w:val="00750976"/>
    <w:rsid w:val="00750A63"/>
    <w:rsid w:val="00750C75"/>
    <w:rsid w:val="00750D58"/>
    <w:rsid w:val="00750E0C"/>
    <w:rsid w:val="00750E6C"/>
    <w:rsid w:val="0075106B"/>
    <w:rsid w:val="00751253"/>
    <w:rsid w:val="007514E0"/>
    <w:rsid w:val="00751578"/>
    <w:rsid w:val="007516C2"/>
    <w:rsid w:val="0075177A"/>
    <w:rsid w:val="00751783"/>
    <w:rsid w:val="00751800"/>
    <w:rsid w:val="0075182A"/>
    <w:rsid w:val="007518CE"/>
    <w:rsid w:val="007518F8"/>
    <w:rsid w:val="0075194C"/>
    <w:rsid w:val="00751DCE"/>
    <w:rsid w:val="00751DEA"/>
    <w:rsid w:val="00751DF2"/>
    <w:rsid w:val="00751F44"/>
    <w:rsid w:val="007520B9"/>
    <w:rsid w:val="0075218F"/>
    <w:rsid w:val="007521EC"/>
    <w:rsid w:val="007522AD"/>
    <w:rsid w:val="0075230D"/>
    <w:rsid w:val="00752407"/>
    <w:rsid w:val="007524CA"/>
    <w:rsid w:val="0075257F"/>
    <w:rsid w:val="007525C7"/>
    <w:rsid w:val="0075264E"/>
    <w:rsid w:val="0075282F"/>
    <w:rsid w:val="00752920"/>
    <w:rsid w:val="00752951"/>
    <w:rsid w:val="007529FC"/>
    <w:rsid w:val="00752A7C"/>
    <w:rsid w:val="00752BA5"/>
    <w:rsid w:val="00752BB3"/>
    <w:rsid w:val="00752C32"/>
    <w:rsid w:val="00752CB5"/>
    <w:rsid w:val="00752F35"/>
    <w:rsid w:val="00752FDC"/>
    <w:rsid w:val="0075322F"/>
    <w:rsid w:val="007532A9"/>
    <w:rsid w:val="00753366"/>
    <w:rsid w:val="00753379"/>
    <w:rsid w:val="00753393"/>
    <w:rsid w:val="0075339D"/>
    <w:rsid w:val="007534E5"/>
    <w:rsid w:val="007534EA"/>
    <w:rsid w:val="007535C3"/>
    <w:rsid w:val="00753626"/>
    <w:rsid w:val="00753752"/>
    <w:rsid w:val="00753785"/>
    <w:rsid w:val="0075378F"/>
    <w:rsid w:val="007538E9"/>
    <w:rsid w:val="00753A0A"/>
    <w:rsid w:val="00753A24"/>
    <w:rsid w:val="00753AA5"/>
    <w:rsid w:val="00753AE8"/>
    <w:rsid w:val="00753B68"/>
    <w:rsid w:val="00753BF1"/>
    <w:rsid w:val="00753C3C"/>
    <w:rsid w:val="00753C5C"/>
    <w:rsid w:val="00753DCD"/>
    <w:rsid w:val="00753E8C"/>
    <w:rsid w:val="00754330"/>
    <w:rsid w:val="007543B0"/>
    <w:rsid w:val="007543F7"/>
    <w:rsid w:val="00754619"/>
    <w:rsid w:val="007546E8"/>
    <w:rsid w:val="0075478D"/>
    <w:rsid w:val="0075481B"/>
    <w:rsid w:val="0075497C"/>
    <w:rsid w:val="00754B35"/>
    <w:rsid w:val="00754B64"/>
    <w:rsid w:val="00754BC1"/>
    <w:rsid w:val="00754BCC"/>
    <w:rsid w:val="00754E6B"/>
    <w:rsid w:val="00754F7E"/>
    <w:rsid w:val="00754FDB"/>
    <w:rsid w:val="007551C8"/>
    <w:rsid w:val="007551D0"/>
    <w:rsid w:val="00755266"/>
    <w:rsid w:val="007555AD"/>
    <w:rsid w:val="00755607"/>
    <w:rsid w:val="00755880"/>
    <w:rsid w:val="00755A65"/>
    <w:rsid w:val="00755B32"/>
    <w:rsid w:val="00755E8A"/>
    <w:rsid w:val="00755F83"/>
    <w:rsid w:val="00755FA5"/>
    <w:rsid w:val="00755FAB"/>
    <w:rsid w:val="00756065"/>
    <w:rsid w:val="00756181"/>
    <w:rsid w:val="007561C6"/>
    <w:rsid w:val="00756248"/>
    <w:rsid w:val="007562C2"/>
    <w:rsid w:val="00756347"/>
    <w:rsid w:val="007563C0"/>
    <w:rsid w:val="007566E2"/>
    <w:rsid w:val="007566FF"/>
    <w:rsid w:val="0075673F"/>
    <w:rsid w:val="0075683F"/>
    <w:rsid w:val="00756927"/>
    <w:rsid w:val="00756930"/>
    <w:rsid w:val="00756B86"/>
    <w:rsid w:val="00756CCF"/>
    <w:rsid w:val="00756CD3"/>
    <w:rsid w:val="00756CD9"/>
    <w:rsid w:val="00756D32"/>
    <w:rsid w:val="00756D8B"/>
    <w:rsid w:val="00756DD4"/>
    <w:rsid w:val="00756EAE"/>
    <w:rsid w:val="00756ED2"/>
    <w:rsid w:val="00756FB9"/>
    <w:rsid w:val="00756FE6"/>
    <w:rsid w:val="00757099"/>
    <w:rsid w:val="00757178"/>
    <w:rsid w:val="007571A7"/>
    <w:rsid w:val="007571D0"/>
    <w:rsid w:val="0075732D"/>
    <w:rsid w:val="007574DE"/>
    <w:rsid w:val="00757648"/>
    <w:rsid w:val="007576EA"/>
    <w:rsid w:val="007577F2"/>
    <w:rsid w:val="00757844"/>
    <w:rsid w:val="0075789F"/>
    <w:rsid w:val="007578DE"/>
    <w:rsid w:val="007579A2"/>
    <w:rsid w:val="00757BC0"/>
    <w:rsid w:val="00757C0D"/>
    <w:rsid w:val="00757CE4"/>
    <w:rsid w:val="00757DCA"/>
    <w:rsid w:val="00757DFB"/>
    <w:rsid w:val="007600B0"/>
    <w:rsid w:val="00760145"/>
    <w:rsid w:val="007601CD"/>
    <w:rsid w:val="00760449"/>
    <w:rsid w:val="007604B9"/>
    <w:rsid w:val="007604FB"/>
    <w:rsid w:val="00760528"/>
    <w:rsid w:val="0076069F"/>
    <w:rsid w:val="007606CA"/>
    <w:rsid w:val="0076082D"/>
    <w:rsid w:val="00760882"/>
    <w:rsid w:val="00760995"/>
    <w:rsid w:val="007609A1"/>
    <w:rsid w:val="00760A39"/>
    <w:rsid w:val="00760AAC"/>
    <w:rsid w:val="00760B0B"/>
    <w:rsid w:val="00760C29"/>
    <w:rsid w:val="00760CDA"/>
    <w:rsid w:val="00760D38"/>
    <w:rsid w:val="00760D6E"/>
    <w:rsid w:val="00760D75"/>
    <w:rsid w:val="00760F42"/>
    <w:rsid w:val="0076101A"/>
    <w:rsid w:val="007611E5"/>
    <w:rsid w:val="0076135E"/>
    <w:rsid w:val="007613F7"/>
    <w:rsid w:val="00761647"/>
    <w:rsid w:val="00761688"/>
    <w:rsid w:val="007616F4"/>
    <w:rsid w:val="0076193B"/>
    <w:rsid w:val="00761BDA"/>
    <w:rsid w:val="00761C4A"/>
    <w:rsid w:val="00761C9E"/>
    <w:rsid w:val="00761CD3"/>
    <w:rsid w:val="00761CE5"/>
    <w:rsid w:val="00761D88"/>
    <w:rsid w:val="007620B7"/>
    <w:rsid w:val="007622CE"/>
    <w:rsid w:val="007623A8"/>
    <w:rsid w:val="007623F9"/>
    <w:rsid w:val="007625C4"/>
    <w:rsid w:val="0076261C"/>
    <w:rsid w:val="0076265D"/>
    <w:rsid w:val="007626F8"/>
    <w:rsid w:val="00762705"/>
    <w:rsid w:val="00762900"/>
    <w:rsid w:val="00762927"/>
    <w:rsid w:val="007629BA"/>
    <w:rsid w:val="007629FF"/>
    <w:rsid w:val="00762A58"/>
    <w:rsid w:val="00762B8D"/>
    <w:rsid w:val="00762C95"/>
    <w:rsid w:val="00762D86"/>
    <w:rsid w:val="00762F9A"/>
    <w:rsid w:val="00763346"/>
    <w:rsid w:val="00763362"/>
    <w:rsid w:val="007637D7"/>
    <w:rsid w:val="0076413B"/>
    <w:rsid w:val="007641B4"/>
    <w:rsid w:val="007643A7"/>
    <w:rsid w:val="0076440F"/>
    <w:rsid w:val="00764474"/>
    <w:rsid w:val="007644D2"/>
    <w:rsid w:val="007645E2"/>
    <w:rsid w:val="007645F0"/>
    <w:rsid w:val="00764734"/>
    <w:rsid w:val="00764880"/>
    <w:rsid w:val="0076497A"/>
    <w:rsid w:val="00764A0C"/>
    <w:rsid w:val="00764A43"/>
    <w:rsid w:val="00764A61"/>
    <w:rsid w:val="00764E1B"/>
    <w:rsid w:val="0076501E"/>
    <w:rsid w:val="007651D0"/>
    <w:rsid w:val="00765249"/>
    <w:rsid w:val="0076546B"/>
    <w:rsid w:val="00765549"/>
    <w:rsid w:val="00765613"/>
    <w:rsid w:val="00765633"/>
    <w:rsid w:val="0076596C"/>
    <w:rsid w:val="00765A6A"/>
    <w:rsid w:val="00765AC4"/>
    <w:rsid w:val="00765B9B"/>
    <w:rsid w:val="00765BD6"/>
    <w:rsid w:val="00765CC4"/>
    <w:rsid w:val="00765D0C"/>
    <w:rsid w:val="00765DEA"/>
    <w:rsid w:val="00765F8F"/>
    <w:rsid w:val="00766130"/>
    <w:rsid w:val="00766168"/>
    <w:rsid w:val="007661EA"/>
    <w:rsid w:val="00766294"/>
    <w:rsid w:val="007662CA"/>
    <w:rsid w:val="00766353"/>
    <w:rsid w:val="00766B02"/>
    <w:rsid w:val="00766CED"/>
    <w:rsid w:val="00766E96"/>
    <w:rsid w:val="00766F35"/>
    <w:rsid w:val="00766F6E"/>
    <w:rsid w:val="00766FD2"/>
    <w:rsid w:val="00767076"/>
    <w:rsid w:val="00767095"/>
    <w:rsid w:val="007670E9"/>
    <w:rsid w:val="007671FE"/>
    <w:rsid w:val="0076741E"/>
    <w:rsid w:val="00767442"/>
    <w:rsid w:val="00767555"/>
    <w:rsid w:val="00767706"/>
    <w:rsid w:val="00767768"/>
    <w:rsid w:val="007677EA"/>
    <w:rsid w:val="0076788B"/>
    <w:rsid w:val="00767B01"/>
    <w:rsid w:val="00767E5F"/>
    <w:rsid w:val="00767E9E"/>
    <w:rsid w:val="00767FA4"/>
    <w:rsid w:val="0077001F"/>
    <w:rsid w:val="0077014C"/>
    <w:rsid w:val="00770325"/>
    <w:rsid w:val="00770379"/>
    <w:rsid w:val="00770397"/>
    <w:rsid w:val="0077061D"/>
    <w:rsid w:val="0077083D"/>
    <w:rsid w:val="00770A37"/>
    <w:rsid w:val="00770AD5"/>
    <w:rsid w:val="00770AD8"/>
    <w:rsid w:val="00770B9D"/>
    <w:rsid w:val="00770B9E"/>
    <w:rsid w:val="00770BA2"/>
    <w:rsid w:val="00770C10"/>
    <w:rsid w:val="00770DF4"/>
    <w:rsid w:val="00770EB2"/>
    <w:rsid w:val="00770ECC"/>
    <w:rsid w:val="00770FE0"/>
    <w:rsid w:val="0077100F"/>
    <w:rsid w:val="007713DC"/>
    <w:rsid w:val="0077155B"/>
    <w:rsid w:val="00771699"/>
    <w:rsid w:val="00771A19"/>
    <w:rsid w:val="00771AB7"/>
    <w:rsid w:val="00771C27"/>
    <w:rsid w:val="00771D0F"/>
    <w:rsid w:val="00771D68"/>
    <w:rsid w:val="00771D84"/>
    <w:rsid w:val="00771E5B"/>
    <w:rsid w:val="00772069"/>
    <w:rsid w:val="007721D8"/>
    <w:rsid w:val="00772401"/>
    <w:rsid w:val="00772525"/>
    <w:rsid w:val="0077262C"/>
    <w:rsid w:val="0077262D"/>
    <w:rsid w:val="0077264A"/>
    <w:rsid w:val="00772717"/>
    <w:rsid w:val="0077274D"/>
    <w:rsid w:val="00772805"/>
    <w:rsid w:val="00772885"/>
    <w:rsid w:val="0077296C"/>
    <w:rsid w:val="00772B7A"/>
    <w:rsid w:val="00772D6D"/>
    <w:rsid w:val="00772DF7"/>
    <w:rsid w:val="00772F74"/>
    <w:rsid w:val="0077309F"/>
    <w:rsid w:val="007732BC"/>
    <w:rsid w:val="0077335F"/>
    <w:rsid w:val="0077342B"/>
    <w:rsid w:val="00773466"/>
    <w:rsid w:val="00773482"/>
    <w:rsid w:val="0077348C"/>
    <w:rsid w:val="00773571"/>
    <w:rsid w:val="007735D5"/>
    <w:rsid w:val="00773633"/>
    <w:rsid w:val="00773717"/>
    <w:rsid w:val="00773826"/>
    <w:rsid w:val="007738CA"/>
    <w:rsid w:val="00773906"/>
    <w:rsid w:val="00773A23"/>
    <w:rsid w:val="00773A64"/>
    <w:rsid w:val="00773AAF"/>
    <w:rsid w:val="00773BAC"/>
    <w:rsid w:val="00773BBE"/>
    <w:rsid w:val="00773D21"/>
    <w:rsid w:val="00773EFC"/>
    <w:rsid w:val="00774045"/>
    <w:rsid w:val="007740FA"/>
    <w:rsid w:val="00774201"/>
    <w:rsid w:val="00774307"/>
    <w:rsid w:val="007743E3"/>
    <w:rsid w:val="00774427"/>
    <w:rsid w:val="007744C0"/>
    <w:rsid w:val="007744CD"/>
    <w:rsid w:val="00774581"/>
    <w:rsid w:val="007747F8"/>
    <w:rsid w:val="007748E5"/>
    <w:rsid w:val="007749DC"/>
    <w:rsid w:val="007749E9"/>
    <w:rsid w:val="00774A51"/>
    <w:rsid w:val="00774A9A"/>
    <w:rsid w:val="00774CBF"/>
    <w:rsid w:val="00774DDB"/>
    <w:rsid w:val="00774E9F"/>
    <w:rsid w:val="00774EB5"/>
    <w:rsid w:val="00774F48"/>
    <w:rsid w:val="00774FD9"/>
    <w:rsid w:val="00775163"/>
    <w:rsid w:val="007751A0"/>
    <w:rsid w:val="007751AA"/>
    <w:rsid w:val="00775298"/>
    <w:rsid w:val="00775391"/>
    <w:rsid w:val="007753A5"/>
    <w:rsid w:val="0077545B"/>
    <w:rsid w:val="0077582A"/>
    <w:rsid w:val="00775880"/>
    <w:rsid w:val="007759EC"/>
    <w:rsid w:val="00775BBE"/>
    <w:rsid w:val="00775CC6"/>
    <w:rsid w:val="00775DAA"/>
    <w:rsid w:val="00775FF3"/>
    <w:rsid w:val="00776211"/>
    <w:rsid w:val="00776224"/>
    <w:rsid w:val="007762AF"/>
    <w:rsid w:val="00776525"/>
    <w:rsid w:val="007765E3"/>
    <w:rsid w:val="00776814"/>
    <w:rsid w:val="00776CB3"/>
    <w:rsid w:val="00776DA3"/>
    <w:rsid w:val="00776E46"/>
    <w:rsid w:val="00777119"/>
    <w:rsid w:val="00777146"/>
    <w:rsid w:val="00777195"/>
    <w:rsid w:val="0077732F"/>
    <w:rsid w:val="00777390"/>
    <w:rsid w:val="00777584"/>
    <w:rsid w:val="007776D5"/>
    <w:rsid w:val="0077785C"/>
    <w:rsid w:val="007779D5"/>
    <w:rsid w:val="00777EA6"/>
    <w:rsid w:val="00780082"/>
    <w:rsid w:val="0078024D"/>
    <w:rsid w:val="00780282"/>
    <w:rsid w:val="0078040B"/>
    <w:rsid w:val="00780414"/>
    <w:rsid w:val="007804AC"/>
    <w:rsid w:val="0078053D"/>
    <w:rsid w:val="0078066D"/>
    <w:rsid w:val="007807AE"/>
    <w:rsid w:val="007807EF"/>
    <w:rsid w:val="007808EE"/>
    <w:rsid w:val="00780A52"/>
    <w:rsid w:val="00780A61"/>
    <w:rsid w:val="00780BE5"/>
    <w:rsid w:val="00780C66"/>
    <w:rsid w:val="00780D3A"/>
    <w:rsid w:val="00780E96"/>
    <w:rsid w:val="00780EB2"/>
    <w:rsid w:val="00780F3F"/>
    <w:rsid w:val="00780FBA"/>
    <w:rsid w:val="0078100B"/>
    <w:rsid w:val="007816D0"/>
    <w:rsid w:val="00781828"/>
    <w:rsid w:val="00781A35"/>
    <w:rsid w:val="00781A72"/>
    <w:rsid w:val="00781AC5"/>
    <w:rsid w:val="00781AE4"/>
    <w:rsid w:val="00781BA5"/>
    <w:rsid w:val="00781D2B"/>
    <w:rsid w:val="00781D71"/>
    <w:rsid w:val="00781E95"/>
    <w:rsid w:val="00781EA5"/>
    <w:rsid w:val="0078226D"/>
    <w:rsid w:val="007823FE"/>
    <w:rsid w:val="00782526"/>
    <w:rsid w:val="007825A0"/>
    <w:rsid w:val="0078274C"/>
    <w:rsid w:val="007827D9"/>
    <w:rsid w:val="00782923"/>
    <w:rsid w:val="00782AAD"/>
    <w:rsid w:val="00782B15"/>
    <w:rsid w:val="00782C1E"/>
    <w:rsid w:val="00782D6D"/>
    <w:rsid w:val="00782EEC"/>
    <w:rsid w:val="00782FAF"/>
    <w:rsid w:val="00783212"/>
    <w:rsid w:val="00783281"/>
    <w:rsid w:val="00783290"/>
    <w:rsid w:val="007833AF"/>
    <w:rsid w:val="007834D0"/>
    <w:rsid w:val="00783773"/>
    <w:rsid w:val="00783901"/>
    <w:rsid w:val="00783943"/>
    <w:rsid w:val="007839ED"/>
    <w:rsid w:val="00783A4F"/>
    <w:rsid w:val="00783C67"/>
    <w:rsid w:val="00783F51"/>
    <w:rsid w:val="007840E4"/>
    <w:rsid w:val="00784302"/>
    <w:rsid w:val="00784382"/>
    <w:rsid w:val="0078448B"/>
    <w:rsid w:val="00784495"/>
    <w:rsid w:val="007845D6"/>
    <w:rsid w:val="007846C8"/>
    <w:rsid w:val="00784857"/>
    <w:rsid w:val="0078497E"/>
    <w:rsid w:val="007849DC"/>
    <w:rsid w:val="00784A3D"/>
    <w:rsid w:val="00784B5C"/>
    <w:rsid w:val="00784C57"/>
    <w:rsid w:val="00784D90"/>
    <w:rsid w:val="00784FC1"/>
    <w:rsid w:val="00785031"/>
    <w:rsid w:val="00785357"/>
    <w:rsid w:val="007853C8"/>
    <w:rsid w:val="00785649"/>
    <w:rsid w:val="00785765"/>
    <w:rsid w:val="007859B7"/>
    <w:rsid w:val="00785A56"/>
    <w:rsid w:val="00785ACF"/>
    <w:rsid w:val="00785BEE"/>
    <w:rsid w:val="00785CDC"/>
    <w:rsid w:val="007864C1"/>
    <w:rsid w:val="00786653"/>
    <w:rsid w:val="00786663"/>
    <w:rsid w:val="007868D4"/>
    <w:rsid w:val="00786916"/>
    <w:rsid w:val="007869CC"/>
    <w:rsid w:val="00786A32"/>
    <w:rsid w:val="00786A93"/>
    <w:rsid w:val="00786C49"/>
    <w:rsid w:val="00786C85"/>
    <w:rsid w:val="00786CBE"/>
    <w:rsid w:val="00786D75"/>
    <w:rsid w:val="00786EFE"/>
    <w:rsid w:val="00786F39"/>
    <w:rsid w:val="00787020"/>
    <w:rsid w:val="00787124"/>
    <w:rsid w:val="007872E8"/>
    <w:rsid w:val="007875D6"/>
    <w:rsid w:val="0078764B"/>
    <w:rsid w:val="0078767A"/>
    <w:rsid w:val="0078782C"/>
    <w:rsid w:val="007878F2"/>
    <w:rsid w:val="0078790C"/>
    <w:rsid w:val="00787B99"/>
    <w:rsid w:val="00787CD6"/>
    <w:rsid w:val="00787FDE"/>
    <w:rsid w:val="00787FE3"/>
    <w:rsid w:val="0079004D"/>
    <w:rsid w:val="0079011A"/>
    <w:rsid w:val="00790439"/>
    <w:rsid w:val="0079050A"/>
    <w:rsid w:val="0079055A"/>
    <w:rsid w:val="007905C1"/>
    <w:rsid w:val="00790804"/>
    <w:rsid w:val="007909A9"/>
    <w:rsid w:val="007909C4"/>
    <w:rsid w:val="00790B31"/>
    <w:rsid w:val="00790EC9"/>
    <w:rsid w:val="007910BB"/>
    <w:rsid w:val="00791340"/>
    <w:rsid w:val="0079143B"/>
    <w:rsid w:val="00791500"/>
    <w:rsid w:val="00791656"/>
    <w:rsid w:val="007918B3"/>
    <w:rsid w:val="00791C82"/>
    <w:rsid w:val="00791D07"/>
    <w:rsid w:val="00791E84"/>
    <w:rsid w:val="00791F13"/>
    <w:rsid w:val="00791F92"/>
    <w:rsid w:val="007922C0"/>
    <w:rsid w:val="007922CA"/>
    <w:rsid w:val="0079236E"/>
    <w:rsid w:val="007923CB"/>
    <w:rsid w:val="00792497"/>
    <w:rsid w:val="007924EB"/>
    <w:rsid w:val="0079257E"/>
    <w:rsid w:val="007926D2"/>
    <w:rsid w:val="007926FB"/>
    <w:rsid w:val="007928C9"/>
    <w:rsid w:val="00792909"/>
    <w:rsid w:val="00792953"/>
    <w:rsid w:val="00792D3D"/>
    <w:rsid w:val="00792E34"/>
    <w:rsid w:val="00792EBE"/>
    <w:rsid w:val="00792F70"/>
    <w:rsid w:val="0079309A"/>
    <w:rsid w:val="00793212"/>
    <w:rsid w:val="00793217"/>
    <w:rsid w:val="0079327E"/>
    <w:rsid w:val="00793288"/>
    <w:rsid w:val="007932A5"/>
    <w:rsid w:val="007932B4"/>
    <w:rsid w:val="007932FE"/>
    <w:rsid w:val="00793486"/>
    <w:rsid w:val="007935EF"/>
    <w:rsid w:val="00793645"/>
    <w:rsid w:val="0079387F"/>
    <w:rsid w:val="00793CBA"/>
    <w:rsid w:val="00793D2F"/>
    <w:rsid w:val="00793D55"/>
    <w:rsid w:val="00793DB5"/>
    <w:rsid w:val="00793F05"/>
    <w:rsid w:val="007940FC"/>
    <w:rsid w:val="00794173"/>
    <w:rsid w:val="00794204"/>
    <w:rsid w:val="00794320"/>
    <w:rsid w:val="00794578"/>
    <w:rsid w:val="0079469A"/>
    <w:rsid w:val="00794773"/>
    <w:rsid w:val="007947D4"/>
    <w:rsid w:val="0079492F"/>
    <w:rsid w:val="00794BB0"/>
    <w:rsid w:val="00794C38"/>
    <w:rsid w:val="00794D0E"/>
    <w:rsid w:val="00794E6F"/>
    <w:rsid w:val="00794ED5"/>
    <w:rsid w:val="007950EC"/>
    <w:rsid w:val="00795112"/>
    <w:rsid w:val="00795209"/>
    <w:rsid w:val="00795218"/>
    <w:rsid w:val="00795242"/>
    <w:rsid w:val="007954B8"/>
    <w:rsid w:val="00795579"/>
    <w:rsid w:val="00795FB1"/>
    <w:rsid w:val="0079609A"/>
    <w:rsid w:val="00796326"/>
    <w:rsid w:val="007964F5"/>
    <w:rsid w:val="007964FC"/>
    <w:rsid w:val="00796518"/>
    <w:rsid w:val="0079655E"/>
    <w:rsid w:val="007965AB"/>
    <w:rsid w:val="007965EB"/>
    <w:rsid w:val="0079675B"/>
    <w:rsid w:val="007967C9"/>
    <w:rsid w:val="00796B19"/>
    <w:rsid w:val="00796B3A"/>
    <w:rsid w:val="00796B55"/>
    <w:rsid w:val="00796BE7"/>
    <w:rsid w:val="00796C69"/>
    <w:rsid w:val="00796D6B"/>
    <w:rsid w:val="00796DC1"/>
    <w:rsid w:val="00796ED2"/>
    <w:rsid w:val="00796FAF"/>
    <w:rsid w:val="00796FE2"/>
    <w:rsid w:val="007973CD"/>
    <w:rsid w:val="00797430"/>
    <w:rsid w:val="00797910"/>
    <w:rsid w:val="00797B48"/>
    <w:rsid w:val="00797C43"/>
    <w:rsid w:val="00797D80"/>
    <w:rsid w:val="00797F6B"/>
    <w:rsid w:val="007A0074"/>
    <w:rsid w:val="007A00F8"/>
    <w:rsid w:val="007A0276"/>
    <w:rsid w:val="007A0304"/>
    <w:rsid w:val="007A0323"/>
    <w:rsid w:val="007A0445"/>
    <w:rsid w:val="007A049C"/>
    <w:rsid w:val="007A0607"/>
    <w:rsid w:val="007A098F"/>
    <w:rsid w:val="007A0A29"/>
    <w:rsid w:val="007A0A8B"/>
    <w:rsid w:val="007A0BC1"/>
    <w:rsid w:val="007A0C7C"/>
    <w:rsid w:val="007A0CFD"/>
    <w:rsid w:val="007A0D45"/>
    <w:rsid w:val="007A0E90"/>
    <w:rsid w:val="007A18DE"/>
    <w:rsid w:val="007A1927"/>
    <w:rsid w:val="007A19A8"/>
    <w:rsid w:val="007A1BB9"/>
    <w:rsid w:val="007A1C5C"/>
    <w:rsid w:val="007A1DF5"/>
    <w:rsid w:val="007A1E56"/>
    <w:rsid w:val="007A1F18"/>
    <w:rsid w:val="007A1F60"/>
    <w:rsid w:val="007A20A4"/>
    <w:rsid w:val="007A220C"/>
    <w:rsid w:val="007A25C8"/>
    <w:rsid w:val="007A27EE"/>
    <w:rsid w:val="007A2831"/>
    <w:rsid w:val="007A2A72"/>
    <w:rsid w:val="007A2A89"/>
    <w:rsid w:val="007A2B5B"/>
    <w:rsid w:val="007A2BAA"/>
    <w:rsid w:val="007A2E95"/>
    <w:rsid w:val="007A312B"/>
    <w:rsid w:val="007A316D"/>
    <w:rsid w:val="007A334E"/>
    <w:rsid w:val="007A344D"/>
    <w:rsid w:val="007A35A4"/>
    <w:rsid w:val="007A35E6"/>
    <w:rsid w:val="007A37C2"/>
    <w:rsid w:val="007A37CB"/>
    <w:rsid w:val="007A3876"/>
    <w:rsid w:val="007A3ACC"/>
    <w:rsid w:val="007A3AF3"/>
    <w:rsid w:val="007A3AF9"/>
    <w:rsid w:val="007A3B6F"/>
    <w:rsid w:val="007A3C36"/>
    <w:rsid w:val="007A3EC8"/>
    <w:rsid w:val="007A4132"/>
    <w:rsid w:val="007A441A"/>
    <w:rsid w:val="007A44EC"/>
    <w:rsid w:val="007A4771"/>
    <w:rsid w:val="007A48F0"/>
    <w:rsid w:val="007A48F4"/>
    <w:rsid w:val="007A4924"/>
    <w:rsid w:val="007A49B5"/>
    <w:rsid w:val="007A4AC1"/>
    <w:rsid w:val="007A4AF0"/>
    <w:rsid w:val="007A4AFD"/>
    <w:rsid w:val="007A4C57"/>
    <w:rsid w:val="007A4C8B"/>
    <w:rsid w:val="007A4D7F"/>
    <w:rsid w:val="007A4E2B"/>
    <w:rsid w:val="007A4E30"/>
    <w:rsid w:val="007A5042"/>
    <w:rsid w:val="007A508B"/>
    <w:rsid w:val="007A5200"/>
    <w:rsid w:val="007A5362"/>
    <w:rsid w:val="007A53E8"/>
    <w:rsid w:val="007A5484"/>
    <w:rsid w:val="007A55BF"/>
    <w:rsid w:val="007A5737"/>
    <w:rsid w:val="007A57FC"/>
    <w:rsid w:val="007A5812"/>
    <w:rsid w:val="007A5814"/>
    <w:rsid w:val="007A5AF8"/>
    <w:rsid w:val="007A5C08"/>
    <w:rsid w:val="007A60C9"/>
    <w:rsid w:val="007A61B8"/>
    <w:rsid w:val="007A61F4"/>
    <w:rsid w:val="007A6363"/>
    <w:rsid w:val="007A63FC"/>
    <w:rsid w:val="007A670C"/>
    <w:rsid w:val="007A672B"/>
    <w:rsid w:val="007A67F2"/>
    <w:rsid w:val="007A686B"/>
    <w:rsid w:val="007A6878"/>
    <w:rsid w:val="007A6999"/>
    <w:rsid w:val="007A6B18"/>
    <w:rsid w:val="007A6BC6"/>
    <w:rsid w:val="007A6C2B"/>
    <w:rsid w:val="007A6C4B"/>
    <w:rsid w:val="007A6C4C"/>
    <w:rsid w:val="007A6C8F"/>
    <w:rsid w:val="007A6E52"/>
    <w:rsid w:val="007A6E60"/>
    <w:rsid w:val="007A6F29"/>
    <w:rsid w:val="007A6F8D"/>
    <w:rsid w:val="007A718C"/>
    <w:rsid w:val="007A71DD"/>
    <w:rsid w:val="007A7205"/>
    <w:rsid w:val="007A7233"/>
    <w:rsid w:val="007A72B1"/>
    <w:rsid w:val="007A7437"/>
    <w:rsid w:val="007A750D"/>
    <w:rsid w:val="007A7530"/>
    <w:rsid w:val="007A7556"/>
    <w:rsid w:val="007A76AE"/>
    <w:rsid w:val="007A77CA"/>
    <w:rsid w:val="007A7957"/>
    <w:rsid w:val="007A79BF"/>
    <w:rsid w:val="007A7C22"/>
    <w:rsid w:val="007A7CD5"/>
    <w:rsid w:val="007A7DDF"/>
    <w:rsid w:val="007A7E49"/>
    <w:rsid w:val="007A7ED9"/>
    <w:rsid w:val="007B0003"/>
    <w:rsid w:val="007B03B7"/>
    <w:rsid w:val="007B04EC"/>
    <w:rsid w:val="007B052D"/>
    <w:rsid w:val="007B078E"/>
    <w:rsid w:val="007B09E3"/>
    <w:rsid w:val="007B0AC6"/>
    <w:rsid w:val="007B0AF9"/>
    <w:rsid w:val="007B0BF3"/>
    <w:rsid w:val="007B0CCE"/>
    <w:rsid w:val="007B0CFA"/>
    <w:rsid w:val="007B0DCA"/>
    <w:rsid w:val="007B0E53"/>
    <w:rsid w:val="007B11D1"/>
    <w:rsid w:val="007B16DB"/>
    <w:rsid w:val="007B171E"/>
    <w:rsid w:val="007B17EE"/>
    <w:rsid w:val="007B17FB"/>
    <w:rsid w:val="007B19A2"/>
    <w:rsid w:val="007B1B10"/>
    <w:rsid w:val="007B1B96"/>
    <w:rsid w:val="007B1DC9"/>
    <w:rsid w:val="007B1EC6"/>
    <w:rsid w:val="007B1FB8"/>
    <w:rsid w:val="007B1FC5"/>
    <w:rsid w:val="007B20BA"/>
    <w:rsid w:val="007B21DB"/>
    <w:rsid w:val="007B2316"/>
    <w:rsid w:val="007B2484"/>
    <w:rsid w:val="007B2595"/>
    <w:rsid w:val="007B259D"/>
    <w:rsid w:val="007B2604"/>
    <w:rsid w:val="007B2654"/>
    <w:rsid w:val="007B28A2"/>
    <w:rsid w:val="007B28DD"/>
    <w:rsid w:val="007B2906"/>
    <w:rsid w:val="007B29B2"/>
    <w:rsid w:val="007B2A8B"/>
    <w:rsid w:val="007B2AC5"/>
    <w:rsid w:val="007B2C43"/>
    <w:rsid w:val="007B2C89"/>
    <w:rsid w:val="007B2F14"/>
    <w:rsid w:val="007B2FB6"/>
    <w:rsid w:val="007B305E"/>
    <w:rsid w:val="007B3098"/>
    <w:rsid w:val="007B3192"/>
    <w:rsid w:val="007B328F"/>
    <w:rsid w:val="007B34F3"/>
    <w:rsid w:val="007B3543"/>
    <w:rsid w:val="007B3714"/>
    <w:rsid w:val="007B3816"/>
    <w:rsid w:val="007B393B"/>
    <w:rsid w:val="007B39A6"/>
    <w:rsid w:val="007B3A2F"/>
    <w:rsid w:val="007B3A4F"/>
    <w:rsid w:val="007B3A6E"/>
    <w:rsid w:val="007B3D1E"/>
    <w:rsid w:val="007B3F57"/>
    <w:rsid w:val="007B4015"/>
    <w:rsid w:val="007B44C7"/>
    <w:rsid w:val="007B450E"/>
    <w:rsid w:val="007B487A"/>
    <w:rsid w:val="007B4A4F"/>
    <w:rsid w:val="007B4B2F"/>
    <w:rsid w:val="007B4B53"/>
    <w:rsid w:val="007B4CA0"/>
    <w:rsid w:val="007B4EB6"/>
    <w:rsid w:val="007B4FC3"/>
    <w:rsid w:val="007B509F"/>
    <w:rsid w:val="007B51A2"/>
    <w:rsid w:val="007B55BB"/>
    <w:rsid w:val="007B5645"/>
    <w:rsid w:val="007B572B"/>
    <w:rsid w:val="007B57C2"/>
    <w:rsid w:val="007B59B4"/>
    <w:rsid w:val="007B59E7"/>
    <w:rsid w:val="007B5A1A"/>
    <w:rsid w:val="007B5B4B"/>
    <w:rsid w:val="007B5BDA"/>
    <w:rsid w:val="007B6073"/>
    <w:rsid w:val="007B6219"/>
    <w:rsid w:val="007B62D9"/>
    <w:rsid w:val="007B651E"/>
    <w:rsid w:val="007B655C"/>
    <w:rsid w:val="007B663D"/>
    <w:rsid w:val="007B668E"/>
    <w:rsid w:val="007B67CB"/>
    <w:rsid w:val="007B6885"/>
    <w:rsid w:val="007B6986"/>
    <w:rsid w:val="007B6A1E"/>
    <w:rsid w:val="007B6AC9"/>
    <w:rsid w:val="007B6B67"/>
    <w:rsid w:val="007B6B8D"/>
    <w:rsid w:val="007B6C21"/>
    <w:rsid w:val="007B6CEF"/>
    <w:rsid w:val="007B6D1D"/>
    <w:rsid w:val="007B709C"/>
    <w:rsid w:val="007B70E9"/>
    <w:rsid w:val="007B71C9"/>
    <w:rsid w:val="007B721F"/>
    <w:rsid w:val="007B732D"/>
    <w:rsid w:val="007B73EB"/>
    <w:rsid w:val="007B752D"/>
    <w:rsid w:val="007B7569"/>
    <w:rsid w:val="007B784B"/>
    <w:rsid w:val="007B7912"/>
    <w:rsid w:val="007B7925"/>
    <w:rsid w:val="007B7949"/>
    <w:rsid w:val="007B7A12"/>
    <w:rsid w:val="007B7B41"/>
    <w:rsid w:val="007B7BC4"/>
    <w:rsid w:val="007B7CEA"/>
    <w:rsid w:val="007B7D4F"/>
    <w:rsid w:val="007C0038"/>
    <w:rsid w:val="007C0054"/>
    <w:rsid w:val="007C005A"/>
    <w:rsid w:val="007C0164"/>
    <w:rsid w:val="007C0352"/>
    <w:rsid w:val="007C04D9"/>
    <w:rsid w:val="007C0518"/>
    <w:rsid w:val="007C0811"/>
    <w:rsid w:val="007C09FA"/>
    <w:rsid w:val="007C0A75"/>
    <w:rsid w:val="007C0ABC"/>
    <w:rsid w:val="007C0ADF"/>
    <w:rsid w:val="007C1079"/>
    <w:rsid w:val="007C10BC"/>
    <w:rsid w:val="007C1379"/>
    <w:rsid w:val="007C13E9"/>
    <w:rsid w:val="007C1562"/>
    <w:rsid w:val="007C17C0"/>
    <w:rsid w:val="007C1822"/>
    <w:rsid w:val="007C1859"/>
    <w:rsid w:val="007C1B03"/>
    <w:rsid w:val="007C1B57"/>
    <w:rsid w:val="007C1BFD"/>
    <w:rsid w:val="007C1E1F"/>
    <w:rsid w:val="007C1F40"/>
    <w:rsid w:val="007C215A"/>
    <w:rsid w:val="007C22F4"/>
    <w:rsid w:val="007C2395"/>
    <w:rsid w:val="007C25CC"/>
    <w:rsid w:val="007C2709"/>
    <w:rsid w:val="007C27E0"/>
    <w:rsid w:val="007C2A0E"/>
    <w:rsid w:val="007C2AA3"/>
    <w:rsid w:val="007C2ACE"/>
    <w:rsid w:val="007C2B6B"/>
    <w:rsid w:val="007C2CB3"/>
    <w:rsid w:val="007C2CCE"/>
    <w:rsid w:val="007C2CE4"/>
    <w:rsid w:val="007C2D8A"/>
    <w:rsid w:val="007C2E3D"/>
    <w:rsid w:val="007C2E66"/>
    <w:rsid w:val="007C2F83"/>
    <w:rsid w:val="007C2FC8"/>
    <w:rsid w:val="007C30C0"/>
    <w:rsid w:val="007C3161"/>
    <w:rsid w:val="007C3175"/>
    <w:rsid w:val="007C3241"/>
    <w:rsid w:val="007C3293"/>
    <w:rsid w:val="007C32D3"/>
    <w:rsid w:val="007C3415"/>
    <w:rsid w:val="007C351E"/>
    <w:rsid w:val="007C3768"/>
    <w:rsid w:val="007C383B"/>
    <w:rsid w:val="007C386C"/>
    <w:rsid w:val="007C39D9"/>
    <w:rsid w:val="007C3BC4"/>
    <w:rsid w:val="007C3C24"/>
    <w:rsid w:val="007C3C69"/>
    <w:rsid w:val="007C3CA9"/>
    <w:rsid w:val="007C3E75"/>
    <w:rsid w:val="007C3E79"/>
    <w:rsid w:val="007C3FFB"/>
    <w:rsid w:val="007C4300"/>
    <w:rsid w:val="007C4378"/>
    <w:rsid w:val="007C440E"/>
    <w:rsid w:val="007C46DC"/>
    <w:rsid w:val="007C4C42"/>
    <w:rsid w:val="007C4CF7"/>
    <w:rsid w:val="007C4DCE"/>
    <w:rsid w:val="007C4F06"/>
    <w:rsid w:val="007C4F8B"/>
    <w:rsid w:val="007C50BE"/>
    <w:rsid w:val="007C5142"/>
    <w:rsid w:val="007C52C1"/>
    <w:rsid w:val="007C538B"/>
    <w:rsid w:val="007C53C4"/>
    <w:rsid w:val="007C56C8"/>
    <w:rsid w:val="007C57F6"/>
    <w:rsid w:val="007C5887"/>
    <w:rsid w:val="007C59BB"/>
    <w:rsid w:val="007C5A41"/>
    <w:rsid w:val="007C5B7C"/>
    <w:rsid w:val="007C5CE7"/>
    <w:rsid w:val="007C5D0F"/>
    <w:rsid w:val="007C5D8F"/>
    <w:rsid w:val="007C5E5A"/>
    <w:rsid w:val="007C6179"/>
    <w:rsid w:val="007C61B9"/>
    <w:rsid w:val="007C6357"/>
    <w:rsid w:val="007C64C1"/>
    <w:rsid w:val="007C6582"/>
    <w:rsid w:val="007C6706"/>
    <w:rsid w:val="007C6EB8"/>
    <w:rsid w:val="007C6F9A"/>
    <w:rsid w:val="007C70D9"/>
    <w:rsid w:val="007C70DA"/>
    <w:rsid w:val="007C71CA"/>
    <w:rsid w:val="007C7352"/>
    <w:rsid w:val="007C76A4"/>
    <w:rsid w:val="007C76D4"/>
    <w:rsid w:val="007C78D8"/>
    <w:rsid w:val="007C7959"/>
    <w:rsid w:val="007C7BA4"/>
    <w:rsid w:val="007C7BDB"/>
    <w:rsid w:val="007C7C7C"/>
    <w:rsid w:val="007C7CBA"/>
    <w:rsid w:val="007C7CC6"/>
    <w:rsid w:val="007C7E50"/>
    <w:rsid w:val="007C7F78"/>
    <w:rsid w:val="007CA2FE"/>
    <w:rsid w:val="007D004C"/>
    <w:rsid w:val="007D014D"/>
    <w:rsid w:val="007D02C1"/>
    <w:rsid w:val="007D03B4"/>
    <w:rsid w:val="007D03C2"/>
    <w:rsid w:val="007D0487"/>
    <w:rsid w:val="007D0694"/>
    <w:rsid w:val="007D06AA"/>
    <w:rsid w:val="007D06B1"/>
    <w:rsid w:val="007D071E"/>
    <w:rsid w:val="007D0835"/>
    <w:rsid w:val="007D08C1"/>
    <w:rsid w:val="007D0A25"/>
    <w:rsid w:val="007D0ACF"/>
    <w:rsid w:val="007D0BC0"/>
    <w:rsid w:val="007D0C39"/>
    <w:rsid w:val="007D0C68"/>
    <w:rsid w:val="007D0CB8"/>
    <w:rsid w:val="007D1043"/>
    <w:rsid w:val="007D109F"/>
    <w:rsid w:val="007D1238"/>
    <w:rsid w:val="007D12CF"/>
    <w:rsid w:val="007D1356"/>
    <w:rsid w:val="007D14F4"/>
    <w:rsid w:val="007D169E"/>
    <w:rsid w:val="007D18AC"/>
    <w:rsid w:val="007D1953"/>
    <w:rsid w:val="007D1955"/>
    <w:rsid w:val="007D19AD"/>
    <w:rsid w:val="007D1BCA"/>
    <w:rsid w:val="007D1C42"/>
    <w:rsid w:val="007D1EEA"/>
    <w:rsid w:val="007D1F21"/>
    <w:rsid w:val="007D1FC1"/>
    <w:rsid w:val="007D2197"/>
    <w:rsid w:val="007D21FF"/>
    <w:rsid w:val="007D229C"/>
    <w:rsid w:val="007D22C4"/>
    <w:rsid w:val="007D22EB"/>
    <w:rsid w:val="007D242B"/>
    <w:rsid w:val="007D2552"/>
    <w:rsid w:val="007D2624"/>
    <w:rsid w:val="007D2708"/>
    <w:rsid w:val="007D2713"/>
    <w:rsid w:val="007D2728"/>
    <w:rsid w:val="007D2744"/>
    <w:rsid w:val="007D28AA"/>
    <w:rsid w:val="007D2912"/>
    <w:rsid w:val="007D298A"/>
    <w:rsid w:val="007D2AAE"/>
    <w:rsid w:val="007D2B75"/>
    <w:rsid w:val="007D2C4E"/>
    <w:rsid w:val="007D2CDB"/>
    <w:rsid w:val="007D2E2E"/>
    <w:rsid w:val="007D2F26"/>
    <w:rsid w:val="007D3093"/>
    <w:rsid w:val="007D3104"/>
    <w:rsid w:val="007D319A"/>
    <w:rsid w:val="007D31A8"/>
    <w:rsid w:val="007D329D"/>
    <w:rsid w:val="007D33D5"/>
    <w:rsid w:val="007D353D"/>
    <w:rsid w:val="007D3561"/>
    <w:rsid w:val="007D36D9"/>
    <w:rsid w:val="007D3758"/>
    <w:rsid w:val="007D388A"/>
    <w:rsid w:val="007D3AC3"/>
    <w:rsid w:val="007D3BDA"/>
    <w:rsid w:val="007D3C14"/>
    <w:rsid w:val="007D3E8F"/>
    <w:rsid w:val="007D3F3D"/>
    <w:rsid w:val="007D3FDA"/>
    <w:rsid w:val="007D4194"/>
    <w:rsid w:val="007D425C"/>
    <w:rsid w:val="007D4284"/>
    <w:rsid w:val="007D43BE"/>
    <w:rsid w:val="007D44FB"/>
    <w:rsid w:val="007D46CD"/>
    <w:rsid w:val="007D4813"/>
    <w:rsid w:val="007D4900"/>
    <w:rsid w:val="007D494F"/>
    <w:rsid w:val="007D4A23"/>
    <w:rsid w:val="007D4A35"/>
    <w:rsid w:val="007D4CCD"/>
    <w:rsid w:val="007D4F95"/>
    <w:rsid w:val="007D508B"/>
    <w:rsid w:val="007D50A6"/>
    <w:rsid w:val="007D51D1"/>
    <w:rsid w:val="007D529F"/>
    <w:rsid w:val="007D5489"/>
    <w:rsid w:val="007D565B"/>
    <w:rsid w:val="007D56CE"/>
    <w:rsid w:val="007D5754"/>
    <w:rsid w:val="007D5987"/>
    <w:rsid w:val="007D59B9"/>
    <w:rsid w:val="007D59FB"/>
    <w:rsid w:val="007D5C26"/>
    <w:rsid w:val="007D5D08"/>
    <w:rsid w:val="007D5FDA"/>
    <w:rsid w:val="007D6149"/>
    <w:rsid w:val="007D6368"/>
    <w:rsid w:val="007D63DD"/>
    <w:rsid w:val="007D6595"/>
    <w:rsid w:val="007D6615"/>
    <w:rsid w:val="007D6808"/>
    <w:rsid w:val="007D6956"/>
    <w:rsid w:val="007D69A6"/>
    <w:rsid w:val="007D6B40"/>
    <w:rsid w:val="007D6B90"/>
    <w:rsid w:val="007D6C5A"/>
    <w:rsid w:val="007D6E64"/>
    <w:rsid w:val="007D6E8A"/>
    <w:rsid w:val="007D6EC9"/>
    <w:rsid w:val="007D7010"/>
    <w:rsid w:val="007D74B5"/>
    <w:rsid w:val="007D75E0"/>
    <w:rsid w:val="007D7671"/>
    <w:rsid w:val="007D76B1"/>
    <w:rsid w:val="007D77C0"/>
    <w:rsid w:val="007D79CC"/>
    <w:rsid w:val="007D7A2B"/>
    <w:rsid w:val="007D7B19"/>
    <w:rsid w:val="007D7B23"/>
    <w:rsid w:val="007D7C19"/>
    <w:rsid w:val="007D7C42"/>
    <w:rsid w:val="007D7CC0"/>
    <w:rsid w:val="007D7D0F"/>
    <w:rsid w:val="007D7EC7"/>
    <w:rsid w:val="007D7FA4"/>
    <w:rsid w:val="007E01AC"/>
    <w:rsid w:val="007E0273"/>
    <w:rsid w:val="007E02EA"/>
    <w:rsid w:val="007E04AF"/>
    <w:rsid w:val="007E0505"/>
    <w:rsid w:val="007E05FE"/>
    <w:rsid w:val="007E07BD"/>
    <w:rsid w:val="007E0842"/>
    <w:rsid w:val="007E08F9"/>
    <w:rsid w:val="007E0922"/>
    <w:rsid w:val="007E099F"/>
    <w:rsid w:val="007E0B25"/>
    <w:rsid w:val="007E0CBC"/>
    <w:rsid w:val="007E0EB4"/>
    <w:rsid w:val="007E0F0A"/>
    <w:rsid w:val="007E0F35"/>
    <w:rsid w:val="007E0F6E"/>
    <w:rsid w:val="007E1089"/>
    <w:rsid w:val="007E1554"/>
    <w:rsid w:val="007E1632"/>
    <w:rsid w:val="007E180A"/>
    <w:rsid w:val="007E1860"/>
    <w:rsid w:val="007E1A13"/>
    <w:rsid w:val="007E1B0F"/>
    <w:rsid w:val="007E1B14"/>
    <w:rsid w:val="007E1B91"/>
    <w:rsid w:val="007E1D4B"/>
    <w:rsid w:val="007E1E2F"/>
    <w:rsid w:val="007E1FC1"/>
    <w:rsid w:val="007E1FC8"/>
    <w:rsid w:val="007E21BC"/>
    <w:rsid w:val="007E22AD"/>
    <w:rsid w:val="007E237B"/>
    <w:rsid w:val="007E23D3"/>
    <w:rsid w:val="007E23DE"/>
    <w:rsid w:val="007E2556"/>
    <w:rsid w:val="007E2782"/>
    <w:rsid w:val="007E28D9"/>
    <w:rsid w:val="007E29B2"/>
    <w:rsid w:val="007E29C3"/>
    <w:rsid w:val="007E29FE"/>
    <w:rsid w:val="007E2AA9"/>
    <w:rsid w:val="007E2C9E"/>
    <w:rsid w:val="007E2D5F"/>
    <w:rsid w:val="007E2DA6"/>
    <w:rsid w:val="007E2E1B"/>
    <w:rsid w:val="007E3180"/>
    <w:rsid w:val="007E31F7"/>
    <w:rsid w:val="007E32D8"/>
    <w:rsid w:val="007E3305"/>
    <w:rsid w:val="007E33B1"/>
    <w:rsid w:val="007E34EE"/>
    <w:rsid w:val="007E353E"/>
    <w:rsid w:val="007E3582"/>
    <w:rsid w:val="007E35CB"/>
    <w:rsid w:val="007E3676"/>
    <w:rsid w:val="007E3D3E"/>
    <w:rsid w:val="007E3E92"/>
    <w:rsid w:val="007E3F98"/>
    <w:rsid w:val="007E3FA5"/>
    <w:rsid w:val="007E43EA"/>
    <w:rsid w:val="007E467A"/>
    <w:rsid w:val="007E46F8"/>
    <w:rsid w:val="007E49F2"/>
    <w:rsid w:val="007E4C44"/>
    <w:rsid w:val="007E4CD3"/>
    <w:rsid w:val="007E4F0B"/>
    <w:rsid w:val="007E4FDC"/>
    <w:rsid w:val="007E54F9"/>
    <w:rsid w:val="007E5576"/>
    <w:rsid w:val="007E5588"/>
    <w:rsid w:val="007E563D"/>
    <w:rsid w:val="007E566E"/>
    <w:rsid w:val="007E56B1"/>
    <w:rsid w:val="007E5744"/>
    <w:rsid w:val="007E5770"/>
    <w:rsid w:val="007E5783"/>
    <w:rsid w:val="007E5902"/>
    <w:rsid w:val="007E591A"/>
    <w:rsid w:val="007E5940"/>
    <w:rsid w:val="007E5AD3"/>
    <w:rsid w:val="007E5AEB"/>
    <w:rsid w:val="007E5CAC"/>
    <w:rsid w:val="007E5E52"/>
    <w:rsid w:val="007E5F95"/>
    <w:rsid w:val="007E5FE5"/>
    <w:rsid w:val="007E6051"/>
    <w:rsid w:val="007E618B"/>
    <w:rsid w:val="007E61CA"/>
    <w:rsid w:val="007E6307"/>
    <w:rsid w:val="007E6666"/>
    <w:rsid w:val="007E6927"/>
    <w:rsid w:val="007E6A6F"/>
    <w:rsid w:val="007E6E90"/>
    <w:rsid w:val="007E729E"/>
    <w:rsid w:val="007E7357"/>
    <w:rsid w:val="007E7379"/>
    <w:rsid w:val="007E7667"/>
    <w:rsid w:val="007E78BB"/>
    <w:rsid w:val="007E78BE"/>
    <w:rsid w:val="007E78C6"/>
    <w:rsid w:val="007E7954"/>
    <w:rsid w:val="007E79B4"/>
    <w:rsid w:val="007E7A31"/>
    <w:rsid w:val="007E7C73"/>
    <w:rsid w:val="007E7D81"/>
    <w:rsid w:val="007E7EFE"/>
    <w:rsid w:val="007E7F0E"/>
    <w:rsid w:val="007F01A3"/>
    <w:rsid w:val="007F0329"/>
    <w:rsid w:val="007F039B"/>
    <w:rsid w:val="007F0544"/>
    <w:rsid w:val="007F0630"/>
    <w:rsid w:val="007F0826"/>
    <w:rsid w:val="007F0880"/>
    <w:rsid w:val="007F0930"/>
    <w:rsid w:val="007F0950"/>
    <w:rsid w:val="007F0AF2"/>
    <w:rsid w:val="007F0B38"/>
    <w:rsid w:val="007F0E31"/>
    <w:rsid w:val="007F0E4E"/>
    <w:rsid w:val="007F0EA8"/>
    <w:rsid w:val="007F1010"/>
    <w:rsid w:val="007F1104"/>
    <w:rsid w:val="007F11C7"/>
    <w:rsid w:val="007F1265"/>
    <w:rsid w:val="007F1309"/>
    <w:rsid w:val="007F1639"/>
    <w:rsid w:val="007F1842"/>
    <w:rsid w:val="007F18AF"/>
    <w:rsid w:val="007F19E7"/>
    <w:rsid w:val="007F1AB0"/>
    <w:rsid w:val="007F1ACF"/>
    <w:rsid w:val="007F1C32"/>
    <w:rsid w:val="007F1D5A"/>
    <w:rsid w:val="007F1DC6"/>
    <w:rsid w:val="007F1E0B"/>
    <w:rsid w:val="007F1E96"/>
    <w:rsid w:val="007F1EAD"/>
    <w:rsid w:val="007F1FC7"/>
    <w:rsid w:val="007F2020"/>
    <w:rsid w:val="007F214F"/>
    <w:rsid w:val="007F2191"/>
    <w:rsid w:val="007F21EA"/>
    <w:rsid w:val="007F232D"/>
    <w:rsid w:val="007F24E7"/>
    <w:rsid w:val="007F2559"/>
    <w:rsid w:val="007F260A"/>
    <w:rsid w:val="007F263D"/>
    <w:rsid w:val="007F2690"/>
    <w:rsid w:val="007F2803"/>
    <w:rsid w:val="007F2862"/>
    <w:rsid w:val="007F2887"/>
    <w:rsid w:val="007F290A"/>
    <w:rsid w:val="007F2950"/>
    <w:rsid w:val="007F29AF"/>
    <w:rsid w:val="007F2BF3"/>
    <w:rsid w:val="007F2D69"/>
    <w:rsid w:val="007F2D9B"/>
    <w:rsid w:val="007F2E44"/>
    <w:rsid w:val="007F32D7"/>
    <w:rsid w:val="007F3365"/>
    <w:rsid w:val="007F342E"/>
    <w:rsid w:val="007F342F"/>
    <w:rsid w:val="007F34AB"/>
    <w:rsid w:val="007F3786"/>
    <w:rsid w:val="007F3789"/>
    <w:rsid w:val="007F38A6"/>
    <w:rsid w:val="007F39AC"/>
    <w:rsid w:val="007F3AAB"/>
    <w:rsid w:val="007F3BEC"/>
    <w:rsid w:val="007F41F5"/>
    <w:rsid w:val="007F42EA"/>
    <w:rsid w:val="007F4303"/>
    <w:rsid w:val="007F4390"/>
    <w:rsid w:val="007F4394"/>
    <w:rsid w:val="007F4705"/>
    <w:rsid w:val="007F4706"/>
    <w:rsid w:val="007F49A8"/>
    <w:rsid w:val="007F49AC"/>
    <w:rsid w:val="007F4F7F"/>
    <w:rsid w:val="007F4FFD"/>
    <w:rsid w:val="007F50D9"/>
    <w:rsid w:val="007F5187"/>
    <w:rsid w:val="007F5222"/>
    <w:rsid w:val="007F549C"/>
    <w:rsid w:val="007F5655"/>
    <w:rsid w:val="007F58CF"/>
    <w:rsid w:val="007F58DB"/>
    <w:rsid w:val="007F5935"/>
    <w:rsid w:val="007F5B7F"/>
    <w:rsid w:val="007F5D42"/>
    <w:rsid w:val="007F5DE8"/>
    <w:rsid w:val="007F5DFB"/>
    <w:rsid w:val="007F5EB6"/>
    <w:rsid w:val="007F5EFB"/>
    <w:rsid w:val="007F6014"/>
    <w:rsid w:val="007F60F8"/>
    <w:rsid w:val="007F615C"/>
    <w:rsid w:val="007F62C4"/>
    <w:rsid w:val="007F6447"/>
    <w:rsid w:val="007F644D"/>
    <w:rsid w:val="007F6A69"/>
    <w:rsid w:val="007F6B0D"/>
    <w:rsid w:val="007F6BDA"/>
    <w:rsid w:val="007F6D9E"/>
    <w:rsid w:val="007F6E6E"/>
    <w:rsid w:val="007F6F73"/>
    <w:rsid w:val="007F70AC"/>
    <w:rsid w:val="007F70F1"/>
    <w:rsid w:val="007F7141"/>
    <w:rsid w:val="007F71C2"/>
    <w:rsid w:val="007F72CA"/>
    <w:rsid w:val="007F7798"/>
    <w:rsid w:val="007F7A13"/>
    <w:rsid w:val="007F7CA5"/>
    <w:rsid w:val="007F7DEB"/>
    <w:rsid w:val="007F7E13"/>
    <w:rsid w:val="007F7F83"/>
    <w:rsid w:val="0080046F"/>
    <w:rsid w:val="00800633"/>
    <w:rsid w:val="0080075C"/>
    <w:rsid w:val="00800A11"/>
    <w:rsid w:val="00800DEE"/>
    <w:rsid w:val="00800F6D"/>
    <w:rsid w:val="0080138A"/>
    <w:rsid w:val="008014A6"/>
    <w:rsid w:val="00801537"/>
    <w:rsid w:val="0080154D"/>
    <w:rsid w:val="0080161C"/>
    <w:rsid w:val="008016CD"/>
    <w:rsid w:val="008019B2"/>
    <w:rsid w:val="008019D9"/>
    <w:rsid w:val="00801C13"/>
    <w:rsid w:val="00801CDE"/>
    <w:rsid w:val="00801DF0"/>
    <w:rsid w:val="00801E0F"/>
    <w:rsid w:val="008021C2"/>
    <w:rsid w:val="008021EC"/>
    <w:rsid w:val="0080233E"/>
    <w:rsid w:val="008023F6"/>
    <w:rsid w:val="00802439"/>
    <w:rsid w:val="0080285D"/>
    <w:rsid w:val="00802876"/>
    <w:rsid w:val="00802A4E"/>
    <w:rsid w:val="00802A8F"/>
    <w:rsid w:val="00802ABB"/>
    <w:rsid w:val="00802B4E"/>
    <w:rsid w:val="00802BB1"/>
    <w:rsid w:val="00802C23"/>
    <w:rsid w:val="0080311A"/>
    <w:rsid w:val="0080311E"/>
    <w:rsid w:val="0080314D"/>
    <w:rsid w:val="0080324B"/>
    <w:rsid w:val="00803321"/>
    <w:rsid w:val="00803442"/>
    <w:rsid w:val="0080363C"/>
    <w:rsid w:val="008036A7"/>
    <w:rsid w:val="008039E4"/>
    <w:rsid w:val="00803D0E"/>
    <w:rsid w:val="00803D68"/>
    <w:rsid w:val="00803E31"/>
    <w:rsid w:val="00803E69"/>
    <w:rsid w:val="00803ECC"/>
    <w:rsid w:val="00803FFF"/>
    <w:rsid w:val="008040EE"/>
    <w:rsid w:val="008041BD"/>
    <w:rsid w:val="00804341"/>
    <w:rsid w:val="008043B6"/>
    <w:rsid w:val="0080447A"/>
    <w:rsid w:val="008044FB"/>
    <w:rsid w:val="00804599"/>
    <w:rsid w:val="0080464D"/>
    <w:rsid w:val="0080469C"/>
    <w:rsid w:val="00804814"/>
    <w:rsid w:val="0080487B"/>
    <w:rsid w:val="008048C9"/>
    <w:rsid w:val="008048D6"/>
    <w:rsid w:val="00804C19"/>
    <w:rsid w:val="00804C6A"/>
    <w:rsid w:val="00804DC5"/>
    <w:rsid w:val="00805122"/>
    <w:rsid w:val="008051F7"/>
    <w:rsid w:val="008054F5"/>
    <w:rsid w:val="0080551F"/>
    <w:rsid w:val="00805614"/>
    <w:rsid w:val="00805ABB"/>
    <w:rsid w:val="00805C78"/>
    <w:rsid w:val="00805DA7"/>
    <w:rsid w:val="00805DA9"/>
    <w:rsid w:val="00805DAE"/>
    <w:rsid w:val="00805EFA"/>
    <w:rsid w:val="00806029"/>
    <w:rsid w:val="00806084"/>
    <w:rsid w:val="0080614A"/>
    <w:rsid w:val="00806193"/>
    <w:rsid w:val="0080619A"/>
    <w:rsid w:val="008062C6"/>
    <w:rsid w:val="00806352"/>
    <w:rsid w:val="00806374"/>
    <w:rsid w:val="0080651B"/>
    <w:rsid w:val="0080685E"/>
    <w:rsid w:val="00806A27"/>
    <w:rsid w:val="00806C61"/>
    <w:rsid w:val="00806CA6"/>
    <w:rsid w:val="00806CD0"/>
    <w:rsid w:val="00806E60"/>
    <w:rsid w:val="0080702F"/>
    <w:rsid w:val="00807197"/>
    <w:rsid w:val="00807360"/>
    <w:rsid w:val="0080745C"/>
    <w:rsid w:val="00807830"/>
    <w:rsid w:val="00807936"/>
    <w:rsid w:val="00807A37"/>
    <w:rsid w:val="00807B52"/>
    <w:rsid w:val="00807C49"/>
    <w:rsid w:val="00807DE9"/>
    <w:rsid w:val="00807F2C"/>
    <w:rsid w:val="0081012C"/>
    <w:rsid w:val="0081017B"/>
    <w:rsid w:val="008103B1"/>
    <w:rsid w:val="008106F1"/>
    <w:rsid w:val="0081074A"/>
    <w:rsid w:val="0081077F"/>
    <w:rsid w:val="00810826"/>
    <w:rsid w:val="00810974"/>
    <w:rsid w:val="008109E0"/>
    <w:rsid w:val="00810A01"/>
    <w:rsid w:val="00810BCD"/>
    <w:rsid w:val="00810C8B"/>
    <w:rsid w:val="00810CC7"/>
    <w:rsid w:val="0081106B"/>
    <w:rsid w:val="008110A4"/>
    <w:rsid w:val="008111A0"/>
    <w:rsid w:val="0081135A"/>
    <w:rsid w:val="00811486"/>
    <w:rsid w:val="0081197B"/>
    <w:rsid w:val="00811AA7"/>
    <w:rsid w:val="00811C5A"/>
    <w:rsid w:val="00811E15"/>
    <w:rsid w:val="00811F63"/>
    <w:rsid w:val="00812163"/>
    <w:rsid w:val="00812205"/>
    <w:rsid w:val="00812284"/>
    <w:rsid w:val="008122D7"/>
    <w:rsid w:val="008122F3"/>
    <w:rsid w:val="00812323"/>
    <w:rsid w:val="0081233B"/>
    <w:rsid w:val="0081248E"/>
    <w:rsid w:val="008124CC"/>
    <w:rsid w:val="0081252C"/>
    <w:rsid w:val="00812632"/>
    <w:rsid w:val="008127B2"/>
    <w:rsid w:val="00812889"/>
    <w:rsid w:val="00812D24"/>
    <w:rsid w:val="00812E28"/>
    <w:rsid w:val="00812E84"/>
    <w:rsid w:val="00812FC6"/>
    <w:rsid w:val="00812FD2"/>
    <w:rsid w:val="00812FD6"/>
    <w:rsid w:val="008130F3"/>
    <w:rsid w:val="00813101"/>
    <w:rsid w:val="00813164"/>
    <w:rsid w:val="008131B6"/>
    <w:rsid w:val="008131C9"/>
    <w:rsid w:val="008133B4"/>
    <w:rsid w:val="0081372B"/>
    <w:rsid w:val="00813928"/>
    <w:rsid w:val="00813A4A"/>
    <w:rsid w:val="00813B73"/>
    <w:rsid w:val="00813D0D"/>
    <w:rsid w:val="008142B8"/>
    <w:rsid w:val="00814441"/>
    <w:rsid w:val="0081447A"/>
    <w:rsid w:val="008144E8"/>
    <w:rsid w:val="00814587"/>
    <w:rsid w:val="008145F5"/>
    <w:rsid w:val="008148D5"/>
    <w:rsid w:val="00814A2F"/>
    <w:rsid w:val="00814AF0"/>
    <w:rsid w:val="00814C48"/>
    <w:rsid w:val="00814DCE"/>
    <w:rsid w:val="00815001"/>
    <w:rsid w:val="0081507C"/>
    <w:rsid w:val="008151C0"/>
    <w:rsid w:val="008152B9"/>
    <w:rsid w:val="00815300"/>
    <w:rsid w:val="0081531F"/>
    <w:rsid w:val="0081539D"/>
    <w:rsid w:val="0081560D"/>
    <w:rsid w:val="008157B4"/>
    <w:rsid w:val="008157DB"/>
    <w:rsid w:val="0081588C"/>
    <w:rsid w:val="00815A74"/>
    <w:rsid w:val="00815B2C"/>
    <w:rsid w:val="00816305"/>
    <w:rsid w:val="0081647A"/>
    <w:rsid w:val="008164CC"/>
    <w:rsid w:val="00816570"/>
    <w:rsid w:val="008167DC"/>
    <w:rsid w:val="00816A95"/>
    <w:rsid w:val="00816B0B"/>
    <w:rsid w:val="00816C0F"/>
    <w:rsid w:val="00816CA0"/>
    <w:rsid w:val="00816D21"/>
    <w:rsid w:val="00816E5E"/>
    <w:rsid w:val="00816EC8"/>
    <w:rsid w:val="00816F73"/>
    <w:rsid w:val="0081722A"/>
    <w:rsid w:val="00817586"/>
    <w:rsid w:val="00817681"/>
    <w:rsid w:val="008177A7"/>
    <w:rsid w:val="00817A47"/>
    <w:rsid w:val="00817A90"/>
    <w:rsid w:val="00817BEA"/>
    <w:rsid w:val="00817C6D"/>
    <w:rsid w:val="00817C96"/>
    <w:rsid w:val="00817E16"/>
    <w:rsid w:val="00820098"/>
    <w:rsid w:val="008201D4"/>
    <w:rsid w:val="008202AD"/>
    <w:rsid w:val="008204D5"/>
    <w:rsid w:val="00820584"/>
    <w:rsid w:val="00820799"/>
    <w:rsid w:val="0082087E"/>
    <w:rsid w:val="00820C30"/>
    <w:rsid w:val="00820C72"/>
    <w:rsid w:val="00820D83"/>
    <w:rsid w:val="00820D85"/>
    <w:rsid w:val="0082107C"/>
    <w:rsid w:val="00821142"/>
    <w:rsid w:val="008214D5"/>
    <w:rsid w:val="008214F4"/>
    <w:rsid w:val="00821513"/>
    <w:rsid w:val="00821541"/>
    <w:rsid w:val="008216C1"/>
    <w:rsid w:val="008217D0"/>
    <w:rsid w:val="0082180C"/>
    <w:rsid w:val="00821844"/>
    <w:rsid w:val="0082189B"/>
    <w:rsid w:val="008219A9"/>
    <w:rsid w:val="00821A1B"/>
    <w:rsid w:val="00821A2D"/>
    <w:rsid w:val="00821B89"/>
    <w:rsid w:val="00821C2A"/>
    <w:rsid w:val="00821C76"/>
    <w:rsid w:val="00821DD9"/>
    <w:rsid w:val="00821FBF"/>
    <w:rsid w:val="00822073"/>
    <w:rsid w:val="008222D9"/>
    <w:rsid w:val="0082231B"/>
    <w:rsid w:val="008224E3"/>
    <w:rsid w:val="00822514"/>
    <w:rsid w:val="008226FD"/>
    <w:rsid w:val="00822833"/>
    <w:rsid w:val="00822860"/>
    <w:rsid w:val="008228A8"/>
    <w:rsid w:val="008229A3"/>
    <w:rsid w:val="00822B99"/>
    <w:rsid w:val="00822C18"/>
    <w:rsid w:val="00822C4F"/>
    <w:rsid w:val="00822D49"/>
    <w:rsid w:val="008232CE"/>
    <w:rsid w:val="00823381"/>
    <w:rsid w:val="008233CF"/>
    <w:rsid w:val="008233E9"/>
    <w:rsid w:val="008235FB"/>
    <w:rsid w:val="008238B9"/>
    <w:rsid w:val="0082390E"/>
    <w:rsid w:val="00823B2C"/>
    <w:rsid w:val="00823CD1"/>
    <w:rsid w:val="00823DCD"/>
    <w:rsid w:val="00823E83"/>
    <w:rsid w:val="00824017"/>
    <w:rsid w:val="008240BE"/>
    <w:rsid w:val="008240EA"/>
    <w:rsid w:val="008241BF"/>
    <w:rsid w:val="0082436E"/>
    <w:rsid w:val="00824375"/>
    <w:rsid w:val="008244A1"/>
    <w:rsid w:val="0082465A"/>
    <w:rsid w:val="0082467D"/>
    <w:rsid w:val="008246DF"/>
    <w:rsid w:val="008247ED"/>
    <w:rsid w:val="008248BA"/>
    <w:rsid w:val="0082494D"/>
    <w:rsid w:val="00824957"/>
    <w:rsid w:val="00824968"/>
    <w:rsid w:val="008249B6"/>
    <w:rsid w:val="008249FB"/>
    <w:rsid w:val="00824AED"/>
    <w:rsid w:val="00824B32"/>
    <w:rsid w:val="00824BF4"/>
    <w:rsid w:val="00824D18"/>
    <w:rsid w:val="00825302"/>
    <w:rsid w:val="0082535D"/>
    <w:rsid w:val="00825362"/>
    <w:rsid w:val="00825390"/>
    <w:rsid w:val="008253E9"/>
    <w:rsid w:val="008255F4"/>
    <w:rsid w:val="008256F1"/>
    <w:rsid w:val="00825778"/>
    <w:rsid w:val="0082588B"/>
    <w:rsid w:val="008258AC"/>
    <w:rsid w:val="00825931"/>
    <w:rsid w:val="0082594E"/>
    <w:rsid w:val="00825985"/>
    <w:rsid w:val="00825A50"/>
    <w:rsid w:val="00825CC1"/>
    <w:rsid w:val="00825F2B"/>
    <w:rsid w:val="00825F75"/>
    <w:rsid w:val="00825FE3"/>
    <w:rsid w:val="008260BB"/>
    <w:rsid w:val="008260E2"/>
    <w:rsid w:val="0082629E"/>
    <w:rsid w:val="00826340"/>
    <w:rsid w:val="008263D2"/>
    <w:rsid w:val="008266BB"/>
    <w:rsid w:val="0082688F"/>
    <w:rsid w:val="00826996"/>
    <w:rsid w:val="00826A29"/>
    <w:rsid w:val="00826D17"/>
    <w:rsid w:val="00826DA4"/>
    <w:rsid w:val="00827021"/>
    <w:rsid w:val="00827296"/>
    <w:rsid w:val="008272A5"/>
    <w:rsid w:val="0082736C"/>
    <w:rsid w:val="008275BC"/>
    <w:rsid w:val="008276A0"/>
    <w:rsid w:val="008276AF"/>
    <w:rsid w:val="0082775F"/>
    <w:rsid w:val="00827AAD"/>
    <w:rsid w:val="00827AD4"/>
    <w:rsid w:val="00827C25"/>
    <w:rsid w:val="00827C45"/>
    <w:rsid w:val="00827FC6"/>
    <w:rsid w:val="00827FEA"/>
    <w:rsid w:val="0083015A"/>
    <w:rsid w:val="00830177"/>
    <w:rsid w:val="008301CD"/>
    <w:rsid w:val="008301E6"/>
    <w:rsid w:val="00830391"/>
    <w:rsid w:val="008306E8"/>
    <w:rsid w:val="00830749"/>
    <w:rsid w:val="00830786"/>
    <w:rsid w:val="008307AC"/>
    <w:rsid w:val="00830903"/>
    <w:rsid w:val="00830AA0"/>
    <w:rsid w:val="00830B23"/>
    <w:rsid w:val="00830E82"/>
    <w:rsid w:val="00830FF9"/>
    <w:rsid w:val="00831045"/>
    <w:rsid w:val="00831178"/>
    <w:rsid w:val="008311FA"/>
    <w:rsid w:val="008314A3"/>
    <w:rsid w:val="008314C0"/>
    <w:rsid w:val="008315D2"/>
    <w:rsid w:val="0083172D"/>
    <w:rsid w:val="00831779"/>
    <w:rsid w:val="0083185E"/>
    <w:rsid w:val="008318DA"/>
    <w:rsid w:val="008318ED"/>
    <w:rsid w:val="00831B3C"/>
    <w:rsid w:val="00831DE8"/>
    <w:rsid w:val="00831F6A"/>
    <w:rsid w:val="00831F8D"/>
    <w:rsid w:val="00831FA8"/>
    <w:rsid w:val="008320BA"/>
    <w:rsid w:val="008320BD"/>
    <w:rsid w:val="00832113"/>
    <w:rsid w:val="0083219D"/>
    <w:rsid w:val="008322C9"/>
    <w:rsid w:val="00832435"/>
    <w:rsid w:val="00832608"/>
    <w:rsid w:val="008328A5"/>
    <w:rsid w:val="00832A57"/>
    <w:rsid w:val="00832AE8"/>
    <w:rsid w:val="00832CD6"/>
    <w:rsid w:val="00832ED1"/>
    <w:rsid w:val="00832EE3"/>
    <w:rsid w:val="00833014"/>
    <w:rsid w:val="0083325B"/>
    <w:rsid w:val="00833383"/>
    <w:rsid w:val="008333B8"/>
    <w:rsid w:val="0083350B"/>
    <w:rsid w:val="008335CB"/>
    <w:rsid w:val="0083364E"/>
    <w:rsid w:val="008338D4"/>
    <w:rsid w:val="0083393B"/>
    <w:rsid w:val="00833A85"/>
    <w:rsid w:val="00833B8A"/>
    <w:rsid w:val="00833BFF"/>
    <w:rsid w:val="00833CD1"/>
    <w:rsid w:val="00833D73"/>
    <w:rsid w:val="00833EF6"/>
    <w:rsid w:val="00834028"/>
    <w:rsid w:val="008342BC"/>
    <w:rsid w:val="008344CA"/>
    <w:rsid w:val="008344F8"/>
    <w:rsid w:val="00834907"/>
    <w:rsid w:val="0083491A"/>
    <w:rsid w:val="00834964"/>
    <w:rsid w:val="0083497B"/>
    <w:rsid w:val="00834B05"/>
    <w:rsid w:val="00834BEB"/>
    <w:rsid w:val="00834CCB"/>
    <w:rsid w:val="00834F35"/>
    <w:rsid w:val="00834F8F"/>
    <w:rsid w:val="00835067"/>
    <w:rsid w:val="008350BD"/>
    <w:rsid w:val="008350E0"/>
    <w:rsid w:val="00835155"/>
    <w:rsid w:val="0083521D"/>
    <w:rsid w:val="008353C9"/>
    <w:rsid w:val="00835622"/>
    <w:rsid w:val="008357DA"/>
    <w:rsid w:val="00835AA8"/>
    <w:rsid w:val="00835B12"/>
    <w:rsid w:val="00835B3E"/>
    <w:rsid w:val="00835B5A"/>
    <w:rsid w:val="00835EB6"/>
    <w:rsid w:val="008360BB"/>
    <w:rsid w:val="00836131"/>
    <w:rsid w:val="00836175"/>
    <w:rsid w:val="008361FC"/>
    <w:rsid w:val="00836259"/>
    <w:rsid w:val="00836314"/>
    <w:rsid w:val="0083631A"/>
    <w:rsid w:val="0083634F"/>
    <w:rsid w:val="008363C1"/>
    <w:rsid w:val="008364C7"/>
    <w:rsid w:val="00836519"/>
    <w:rsid w:val="0083679C"/>
    <w:rsid w:val="00836B48"/>
    <w:rsid w:val="00836BA0"/>
    <w:rsid w:val="00836D70"/>
    <w:rsid w:val="00836ED5"/>
    <w:rsid w:val="0083727F"/>
    <w:rsid w:val="008372B2"/>
    <w:rsid w:val="0083737A"/>
    <w:rsid w:val="008373E7"/>
    <w:rsid w:val="008375C3"/>
    <w:rsid w:val="00837694"/>
    <w:rsid w:val="008376A6"/>
    <w:rsid w:val="00837780"/>
    <w:rsid w:val="00837867"/>
    <w:rsid w:val="0083789E"/>
    <w:rsid w:val="008378AD"/>
    <w:rsid w:val="00837A37"/>
    <w:rsid w:val="00837A55"/>
    <w:rsid w:val="00837B48"/>
    <w:rsid w:val="00837C82"/>
    <w:rsid w:val="00837C93"/>
    <w:rsid w:val="00837DF1"/>
    <w:rsid w:val="00837E21"/>
    <w:rsid w:val="00837EDD"/>
    <w:rsid w:val="0083C79E"/>
    <w:rsid w:val="008400BA"/>
    <w:rsid w:val="00840230"/>
    <w:rsid w:val="0084027D"/>
    <w:rsid w:val="00840507"/>
    <w:rsid w:val="0084052F"/>
    <w:rsid w:val="0084069F"/>
    <w:rsid w:val="008407E5"/>
    <w:rsid w:val="00840867"/>
    <w:rsid w:val="00840988"/>
    <w:rsid w:val="00840B84"/>
    <w:rsid w:val="00840C03"/>
    <w:rsid w:val="00840CC5"/>
    <w:rsid w:val="00840CF5"/>
    <w:rsid w:val="00840D77"/>
    <w:rsid w:val="00840DA6"/>
    <w:rsid w:val="00840E06"/>
    <w:rsid w:val="00840E3A"/>
    <w:rsid w:val="0084104F"/>
    <w:rsid w:val="008411C4"/>
    <w:rsid w:val="00841322"/>
    <w:rsid w:val="008413D2"/>
    <w:rsid w:val="008413EA"/>
    <w:rsid w:val="00841592"/>
    <w:rsid w:val="00841683"/>
    <w:rsid w:val="0084172C"/>
    <w:rsid w:val="0084177E"/>
    <w:rsid w:val="00841820"/>
    <w:rsid w:val="008419B2"/>
    <w:rsid w:val="00841A8D"/>
    <w:rsid w:val="00841ABC"/>
    <w:rsid w:val="00841AEE"/>
    <w:rsid w:val="00841B61"/>
    <w:rsid w:val="00841B79"/>
    <w:rsid w:val="00841CDA"/>
    <w:rsid w:val="00841DBD"/>
    <w:rsid w:val="00842286"/>
    <w:rsid w:val="008422CB"/>
    <w:rsid w:val="008422E1"/>
    <w:rsid w:val="008424BC"/>
    <w:rsid w:val="00842551"/>
    <w:rsid w:val="0084256A"/>
    <w:rsid w:val="00842631"/>
    <w:rsid w:val="008427A0"/>
    <w:rsid w:val="0084296B"/>
    <w:rsid w:val="00842AC2"/>
    <w:rsid w:val="00842C1A"/>
    <w:rsid w:val="00842C1F"/>
    <w:rsid w:val="00842F95"/>
    <w:rsid w:val="00843149"/>
    <w:rsid w:val="0084318C"/>
    <w:rsid w:val="008431F0"/>
    <w:rsid w:val="008432FA"/>
    <w:rsid w:val="008433B5"/>
    <w:rsid w:val="00843672"/>
    <w:rsid w:val="00843675"/>
    <w:rsid w:val="00843724"/>
    <w:rsid w:val="008437E4"/>
    <w:rsid w:val="00843833"/>
    <w:rsid w:val="00843887"/>
    <w:rsid w:val="00843BCF"/>
    <w:rsid w:val="0084434A"/>
    <w:rsid w:val="00844469"/>
    <w:rsid w:val="00844524"/>
    <w:rsid w:val="00844740"/>
    <w:rsid w:val="00844A4E"/>
    <w:rsid w:val="00844B8D"/>
    <w:rsid w:val="00844BDD"/>
    <w:rsid w:val="00844D90"/>
    <w:rsid w:val="00844DB5"/>
    <w:rsid w:val="00844DC5"/>
    <w:rsid w:val="00844E59"/>
    <w:rsid w:val="00844E7D"/>
    <w:rsid w:val="00844F1D"/>
    <w:rsid w:val="00844F34"/>
    <w:rsid w:val="00844F89"/>
    <w:rsid w:val="00845117"/>
    <w:rsid w:val="00845159"/>
    <w:rsid w:val="0084516D"/>
    <w:rsid w:val="00845230"/>
    <w:rsid w:val="008452F0"/>
    <w:rsid w:val="0084545D"/>
    <w:rsid w:val="00845642"/>
    <w:rsid w:val="0084573E"/>
    <w:rsid w:val="008457E1"/>
    <w:rsid w:val="0084582E"/>
    <w:rsid w:val="00845891"/>
    <w:rsid w:val="0084591C"/>
    <w:rsid w:val="008459B9"/>
    <w:rsid w:val="00845A0D"/>
    <w:rsid w:val="00845BD4"/>
    <w:rsid w:val="00845E79"/>
    <w:rsid w:val="00845FFF"/>
    <w:rsid w:val="00846004"/>
    <w:rsid w:val="008460B3"/>
    <w:rsid w:val="008461BB"/>
    <w:rsid w:val="008461EA"/>
    <w:rsid w:val="0084621C"/>
    <w:rsid w:val="00846423"/>
    <w:rsid w:val="00846661"/>
    <w:rsid w:val="00846681"/>
    <w:rsid w:val="0084678F"/>
    <w:rsid w:val="00846A6F"/>
    <w:rsid w:val="00846BCD"/>
    <w:rsid w:val="00846BD0"/>
    <w:rsid w:val="00846FC3"/>
    <w:rsid w:val="00847133"/>
    <w:rsid w:val="00847138"/>
    <w:rsid w:val="0084718E"/>
    <w:rsid w:val="008471BA"/>
    <w:rsid w:val="008471DF"/>
    <w:rsid w:val="008471EA"/>
    <w:rsid w:val="008471FA"/>
    <w:rsid w:val="0084721A"/>
    <w:rsid w:val="008473BA"/>
    <w:rsid w:val="00847440"/>
    <w:rsid w:val="008477AE"/>
    <w:rsid w:val="00847923"/>
    <w:rsid w:val="0084797C"/>
    <w:rsid w:val="00847AB4"/>
    <w:rsid w:val="00847AEC"/>
    <w:rsid w:val="00847CC3"/>
    <w:rsid w:val="00847FAA"/>
    <w:rsid w:val="00847FC0"/>
    <w:rsid w:val="00850154"/>
    <w:rsid w:val="0085030C"/>
    <w:rsid w:val="0085040D"/>
    <w:rsid w:val="008506BF"/>
    <w:rsid w:val="0085078F"/>
    <w:rsid w:val="00850790"/>
    <w:rsid w:val="008508AB"/>
    <w:rsid w:val="0085092C"/>
    <w:rsid w:val="00850941"/>
    <w:rsid w:val="00850A17"/>
    <w:rsid w:val="00850A2E"/>
    <w:rsid w:val="00850B61"/>
    <w:rsid w:val="00850CB0"/>
    <w:rsid w:val="00850DA2"/>
    <w:rsid w:val="00850E34"/>
    <w:rsid w:val="00850EB5"/>
    <w:rsid w:val="008510DC"/>
    <w:rsid w:val="0085114E"/>
    <w:rsid w:val="0085160A"/>
    <w:rsid w:val="0085169D"/>
    <w:rsid w:val="008516A0"/>
    <w:rsid w:val="008518BE"/>
    <w:rsid w:val="00851AB1"/>
    <w:rsid w:val="00851ACA"/>
    <w:rsid w:val="00851C4F"/>
    <w:rsid w:val="00851CB3"/>
    <w:rsid w:val="00851D36"/>
    <w:rsid w:val="00851DF4"/>
    <w:rsid w:val="00851DFA"/>
    <w:rsid w:val="00851EB8"/>
    <w:rsid w:val="00851FC5"/>
    <w:rsid w:val="00851FEF"/>
    <w:rsid w:val="0085203E"/>
    <w:rsid w:val="008524BE"/>
    <w:rsid w:val="00852867"/>
    <w:rsid w:val="00852949"/>
    <w:rsid w:val="00852D70"/>
    <w:rsid w:val="00853115"/>
    <w:rsid w:val="0085337A"/>
    <w:rsid w:val="008533FF"/>
    <w:rsid w:val="00853705"/>
    <w:rsid w:val="008537F1"/>
    <w:rsid w:val="00853843"/>
    <w:rsid w:val="008539B7"/>
    <w:rsid w:val="008539DB"/>
    <w:rsid w:val="00853C11"/>
    <w:rsid w:val="00853D51"/>
    <w:rsid w:val="00853D6F"/>
    <w:rsid w:val="00853D72"/>
    <w:rsid w:val="00853FD0"/>
    <w:rsid w:val="00854029"/>
    <w:rsid w:val="0085402E"/>
    <w:rsid w:val="0085427A"/>
    <w:rsid w:val="008543DB"/>
    <w:rsid w:val="008544DF"/>
    <w:rsid w:val="0085456F"/>
    <w:rsid w:val="008545AC"/>
    <w:rsid w:val="008547DE"/>
    <w:rsid w:val="008547E4"/>
    <w:rsid w:val="00854A00"/>
    <w:rsid w:val="00854A65"/>
    <w:rsid w:val="00854A80"/>
    <w:rsid w:val="00854E69"/>
    <w:rsid w:val="00854E76"/>
    <w:rsid w:val="00855019"/>
    <w:rsid w:val="0085502B"/>
    <w:rsid w:val="00855160"/>
    <w:rsid w:val="0085518E"/>
    <w:rsid w:val="0085520F"/>
    <w:rsid w:val="00855258"/>
    <w:rsid w:val="008552E0"/>
    <w:rsid w:val="00855377"/>
    <w:rsid w:val="0085564E"/>
    <w:rsid w:val="008556C3"/>
    <w:rsid w:val="0085581D"/>
    <w:rsid w:val="00855A11"/>
    <w:rsid w:val="00855AF0"/>
    <w:rsid w:val="00855B98"/>
    <w:rsid w:val="00855BBF"/>
    <w:rsid w:val="00855DAE"/>
    <w:rsid w:val="00855DF3"/>
    <w:rsid w:val="00855E12"/>
    <w:rsid w:val="00855F2E"/>
    <w:rsid w:val="00855F75"/>
    <w:rsid w:val="00855F7D"/>
    <w:rsid w:val="0085604B"/>
    <w:rsid w:val="008560BC"/>
    <w:rsid w:val="008562BC"/>
    <w:rsid w:val="008563C9"/>
    <w:rsid w:val="00856519"/>
    <w:rsid w:val="008565C8"/>
    <w:rsid w:val="008566DA"/>
    <w:rsid w:val="00856741"/>
    <w:rsid w:val="0085692F"/>
    <w:rsid w:val="00856A20"/>
    <w:rsid w:val="00856BE3"/>
    <w:rsid w:val="00856DAF"/>
    <w:rsid w:val="00856DDF"/>
    <w:rsid w:val="008571BE"/>
    <w:rsid w:val="008573D5"/>
    <w:rsid w:val="00857445"/>
    <w:rsid w:val="008575F8"/>
    <w:rsid w:val="008577D0"/>
    <w:rsid w:val="008579A7"/>
    <w:rsid w:val="00857A69"/>
    <w:rsid w:val="00857A92"/>
    <w:rsid w:val="00857B7F"/>
    <w:rsid w:val="00857C96"/>
    <w:rsid w:val="00857F28"/>
    <w:rsid w:val="008601BB"/>
    <w:rsid w:val="00860235"/>
    <w:rsid w:val="00860250"/>
    <w:rsid w:val="00860400"/>
    <w:rsid w:val="008605E0"/>
    <w:rsid w:val="00860620"/>
    <w:rsid w:val="008609D0"/>
    <w:rsid w:val="00860AFD"/>
    <w:rsid w:val="00860CF4"/>
    <w:rsid w:val="00860D57"/>
    <w:rsid w:val="00860D8C"/>
    <w:rsid w:val="00860E79"/>
    <w:rsid w:val="00860E95"/>
    <w:rsid w:val="00860F5E"/>
    <w:rsid w:val="00860FCE"/>
    <w:rsid w:val="008611D2"/>
    <w:rsid w:val="00861576"/>
    <w:rsid w:val="0086167A"/>
    <w:rsid w:val="008618D3"/>
    <w:rsid w:val="0086198C"/>
    <w:rsid w:val="00861A04"/>
    <w:rsid w:val="00861B83"/>
    <w:rsid w:val="00861C36"/>
    <w:rsid w:val="00861D38"/>
    <w:rsid w:val="00861DDE"/>
    <w:rsid w:val="00861E29"/>
    <w:rsid w:val="00861EB3"/>
    <w:rsid w:val="00861EE8"/>
    <w:rsid w:val="00861F59"/>
    <w:rsid w:val="00862067"/>
    <w:rsid w:val="00862141"/>
    <w:rsid w:val="0086215F"/>
    <w:rsid w:val="008621D2"/>
    <w:rsid w:val="008621D7"/>
    <w:rsid w:val="008622B0"/>
    <w:rsid w:val="0086233D"/>
    <w:rsid w:val="0086234E"/>
    <w:rsid w:val="00862468"/>
    <w:rsid w:val="008625E4"/>
    <w:rsid w:val="00862931"/>
    <w:rsid w:val="00862AEB"/>
    <w:rsid w:val="00862BFE"/>
    <w:rsid w:val="00862EEC"/>
    <w:rsid w:val="00862F4B"/>
    <w:rsid w:val="0086306E"/>
    <w:rsid w:val="0086324C"/>
    <w:rsid w:val="008632F5"/>
    <w:rsid w:val="0086346F"/>
    <w:rsid w:val="00863554"/>
    <w:rsid w:val="0086356C"/>
    <w:rsid w:val="008636D9"/>
    <w:rsid w:val="0086370C"/>
    <w:rsid w:val="0086386F"/>
    <w:rsid w:val="008638A3"/>
    <w:rsid w:val="0086390D"/>
    <w:rsid w:val="00863AF5"/>
    <w:rsid w:val="00863C1F"/>
    <w:rsid w:val="00863C55"/>
    <w:rsid w:val="00863CD2"/>
    <w:rsid w:val="00863E3C"/>
    <w:rsid w:val="0086410A"/>
    <w:rsid w:val="00864200"/>
    <w:rsid w:val="008642CE"/>
    <w:rsid w:val="008642D5"/>
    <w:rsid w:val="008642FB"/>
    <w:rsid w:val="008643C1"/>
    <w:rsid w:val="008643C2"/>
    <w:rsid w:val="008643F3"/>
    <w:rsid w:val="008644F1"/>
    <w:rsid w:val="008645DA"/>
    <w:rsid w:val="0086465A"/>
    <w:rsid w:val="00864760"/>
    <w:rsid w:val="00864863"/>
    <w:rsid w:val="008648AF"/>
    <w:rsid w:val="00864A82"/>
    <w:rsid w:val="00864ACE"/>
    <w:rsid w:val="00864C55"/>
    <w:rsid w:val="00864CDE"/>
    <w:rsid w:val="00864EED"/>
    <w:rsid w:val="00864FAD"/>
    <w:rsid w:val="008652EB"/>
    <w:rsid w:val="008653C2"/>
    <w:rsid w:val="0086542B"/>
    <w:rsid w:val="008654CD"/>
    <w:rsid w:val="008654EA"/>
    <w:rsid w:val="00865501"/>
    <w:rsid w:val="0086550D"/>
    <w:rsid w:val="00865521"/>
    <w:rsid w:val="008655D1"/>
    <w:rsid w:val="0086564C"/>
    <w:rsid w:val="0086574B"/>
    <w:rsid w:val="00865A21"/>
    <w:rsid w:val="00865D32"/>
    <w:rsid w:val="00865EE5"/>
    <w:rsid w:val="00866017"/>
    <w:rsid w:val="00866103"/>
    <w:rsid w:val="00866300"/>
    <w:rsid w:val="00866429"/>
    <w:rsid w:val="008664A7"/>
    <w:rsid w:val="0086656E"/>
    <w:rsid w:val="008665BC"/>
    <w:rsid w:val="0086674F"/>
    <w:rsid w:val="008667CA"/>
    <w:rsid w:val="0086688F"/>
    <w:rsid w:val="008668CE"/>
    <w:rsid w:val="00866A7A"/>
    <w:rsid w:val="00866AF2"/>
    <w:rsid w:val="00866D39"/>
    <w:rsid w:val="00866DDD"/>
    <w:rsid w:val="00866E94"/>
    <w:rsid w:val="00866F83"/>
    <w:rsid w:val="0086717F"/>
    <w:rsid w:val="0086726A"/>
    <w:rsid w:val="00867340"/>
    <w:rsid w:val="0086755B"/>
    <w:rsid w:val="00867602"/>
    <w:rsid w:val="008676A0"/>
    <w:rsid w:val="008679B2"/>
    <w:rsid w:val="008679EA"/>
    <w:rsid w:val="00867B0D"/>
    <w:rsid w:val="00867B5A"/>
    <w:rsid w:val="00867C5F"/>
    <w:rsid w:val="00867D24"/>
    <w:rsid w:val="00867D4F"/>
    <w:rsid w:val="00867E09"/>
    <w:rsid w:val="008700AD"/>
    <w:rsid w:val="008701CA"/>
    <w:rsid w:val="008701E8"/>
    <w:rsid w:val="008702C7"/>
    <w:rsid w:val="008703D0"/>
    <w:rsid w:val="0087060A"/>
    <w:rsid w:val="00870681"/>
    <w:rsid w:val="00870897"/>
    <w:rsid w:val="00870A4B"/>
    <w:rsid w:val="00870AC6"/>
    <w:rsid w:val="00870AE3"/>
    <w:rsid w:val="00870B9E"/>
    <w:rsid w:val="00870C50"/>
    <w:rsid w:val="00870D9D"/>
    <w:rsid w:val="00870F9C"/>
    <w:rsid w:val="0087108B"/>
    <w:rsid w:val="008710A4"/>
    <w:rsid w:val="008710AF"/>
    <w:rsid w:val="00871278"/>
    <w:rsid w:val="008712C7"/>
    <w:rsid w:val="008713FB"/>
    <w:rsid w:val="008714E1"/>
    <w:rsid w:val="00871792"/>
    <w:rsid w:val="00871A59"/>
    <w:rsid w:val="00871AB7"/>
    <w:rsid w:val="00871C89"/>
    <w:rsid w:val="00871CBC"/>
    <w:rsid w:val="00871F6E"/>
    <w:rsid w:val="0087202E"/>
    <w:rsid w:val="00872067"/>
    <w:rsid w:val="00872121"/>
    <w:rsid w:val="00872154"/>
    <w:rsid w:val="00872224"/>
    <w:rsid w:val="008722F5"/>
    <w:rsid w:val="0087255E"/>
    <w:rsid w:val="00872704"/>
    <w:rsid w:val="008727FA"/>
    <w:rsid w:val="00872893"/>
    <w:rsid w:val="00872904"/>
    <w:rsid w:val="00872A4A"/>
    <w:rsid w:val="00872C2D"/>
    <w:rsid w:val="00872CA3"/>
    <w:rsid w:val="0087304B"/>
    <w:rsid w:val="00873096"/>
    <w:rsid w:val="00873138"/>
    <w:rsid w:val="0087321F"/>
    <w:rsid w:val="008732FD"/>
    <w:rsid w:val="0087331D"/>
    <w:rsid w:val="0087348F"/>
    <w:rsid w:val="008734ED"/>
    <w:rsid w:val="00873563"/>
    <w:rsid w:val="00873614"/>
    <w:rsid w:val="00873670"/>
    <w:rsid w:val="0087367E"/>
    <w:rsid w:val="00873757"/>
    <w:rsid w:val="0087384B"/>
    <w:rsid w:val="0087385D"/>
    <w:rsid w:val="00873873"/>
    <w:rsid w:val="0087387E"/>
    <w:rsid w:val="008739D5"/>
    <w:rsid w:val="00873A28"/>
    <w:rsid w:val="00873BAA"/>
    <w:rsid w:val="00873CD0"/>
    <w:rsid w:val="0087402D"/>
    <w:rsid w:val="0087413A"/>
    <w:rsid w:val="00874462"/>
    <w:rsid w:val="0087449E"/>
    <w:rsid w:val="008744B7"/>
    <w:rsid w:val="008744EE"/>
    <w:rsid w:val="00874553"/>
    <w:rsid w:val="0087463A"/>
    <w:rsid w:val="008747BC"/>
    <w:rsid w:val="00874A9E"/>
    <w:rsid w:val="00874B6F"/>
    <w:rsid w:val="00874C8C"/>
    <w:rsid w:val="00874C96"/>
    <w:rsid w:val="00874EF9"/>
    <w:rsid w:val="00874F4A"/>
    <w:rsid w:val="00874FB5"/>
    <w:rsid w:val="0087505D"/>
    <w:rsid w:val="008750E5"/>
    <w:rsid w:val="008751C2"/>
    <w:rsid w:val="00875296"/>
    <w:rsid w:val="00875339"/>
    <w:rsid w:val="008753DC"/>
    <w:rsid w:val="008755C1"/>
    <w:rsid w:val="00875604"/>
    <w:rsid w:val="0087573E"/>
    <w:rsid w:val="00875777"/>
    <w:rsid w:val="008758A3"/>
    <w:rsid w:val="00875BAE"/>
    <w:rsid w:val="00875C4D"/>
    <w:rsid w:val="00875E17"/>
    <w:rsid w:val="008760DC"/>
    <w:rsid w:val="0087617B"/>
    <w:rsid w:val="008762B5"/>
    <w:rsid w:val="0087633B"/>
    <w:rsid w:val="008763DC"/>
    <w:rsid w:val="00876466"/>
    <w:rsid w:val="008765C2"/>
    <w:rsid w:val="008767BD"/>
    <w:rsid w:val="0087698C"/>
    <w:rsid w:val="00876A9C"/>
    <w:rsid w:val="00876D85"/>
    <w:rsid w:val="00876DD0"/>
    <w:rsid w:val="00876F50"/>
    <w:rsid w:val="00877005"/>
    <w:rsid w:val="0087712C"/>
    <w:rsid w:val="0087725A"/>
    <w:rsid w:val="00877288"/>
    <w:rsid w:val="00877483"/>
    <w:rsid w:val="0087770E"/>
    <w:rsid w:val="0087785E"/>
    <w:rsid w:val="00877991"/>
    <w:rsid w:val="00877BD2"/>
    <w:rsid w:val="00877C93"/>
    <w:rsid w:val="00877D72"/>
    <w:rsid w:val="00877E69"/>
    <w:rsid w:val="00877F63"/>
    <w:rsid w:val="00880054"/>
    <w:rsid w:val="008800CF"/>
    <w:rsid w:val="008800E6"/>
    <w:rsid w:val="00880100"/>
    <w:rsid w:val="00880181"/>
    <w:rsid w:val="0088028A"/>
    <w:rsid w:val="00880316"/>
    <w:rsid w:val="00880443"/>
    <w:rsid w:val="008804F2"/>
    <w:rsid w:val="0088052F"/>
    <w:rsid w:val="008806A8"/>
    <w:rsid w:val="008806C1"/>
    <w:rsid w:val="00880740"/>
    <w:rsid w:val="008808DD"/>
    <w:rsid w:val="00880928"/>
    <w:rsid w:val="00880B2F"/>
    <w:rsid w:val="00880B47"/>
    <w:rsid w:val="00880C19"/>
    <w:rsid w:val="00880C51"/>
    <w:rsid w:val="00880C57"/>
    <w:rsid w:val="00880EF8"/>
    <w:rsid w:val="00880F58"/>
    <w:rsid w:val="008813B0"/>
    <w:rsid w:val="00881911"/>
    <w:rsid w:val="00881979"/>
    <w:rsid w:val="00881B00"/>
    <w:rsid w:val="00881B9E"/>
    <w:rsid w:val="00881CD0"/>
    <w:rsid w:val="00881CF5"/>
    <w:rsid w:val="00881E5B"/>
    <w:rsid w:val="00881F34"/>
    <w:rsid w:val="00882137"/>
    <w:rsid w:val="0088216A"/>
    <w:rsid w:val="008822A3"/>
    <w:rsid w:val="0088246B"/>
    <w:rsid w:val="0088277D"/>
    <w:rsid w:val="00882788"/>
    <w:rsid w:val="008828D5"/>
    <w:rsid w:val="0088290E"/>
    <w:rsid w:val="0088293D"/>
    <w:rsid w:val="00882E1F"/>
    <w:rsid w:val="00882E2C"/>
    <w:rsid w:val="008830C3"/>
    <w:rsid w:val="00883285"/>
    <w:rsid w:val="0088328A"/>
    <w:rsid w:val="008832E1"/>
    <w:rsid w:val="0088341B"/>
    <w:rsid w:val="008834FE"/>
    <w:rsid w:val="00883615"/>
    <w:rsid w:val="00883641"/>
    <w:rsid w:val="0088367C"/>
    <w:rsid w:val="008836C8"/>
    <w:rsid w:val="008837BD"/>
    <w:rsid w:val="008837DD"/>
    <w:rsid w:val="008838B3"/>
    <w:rsid w:val="00883B6E"/>
    <w:rsid w:val="00883C37"/>
    <w:rsid w:val="00883D38"/>
    <w:rsid w:val="00883E87"/>
    <w:rsid w:val="008840AA"/>
    <w:rsid w:val="00884200"/>
    <w:rsid w:val="00884247"/>
    <w:rsid w:val="008846EE"/>
    <w:rsid w:val="00884721"/>
    <w:rsid w:val="00884908"/>
    <w:rsid w:val="00884965"/>
    <w:rsid w:val="00884AF1"/>
    <w:rsid w:val="00884C64"/>
    <w:rsid w:val="00884D73"/>
    <w:rsid w:val="00884F2D"/>
    <w:rsid w:val="0088500F"/>
    <w:rsid w:val="0088501B"/>
    <w:rsid w:val="008850E7"/>
    <w:rsid w:val="008851CD"/>
    <w:rsid w:val="008852C0"/>
    <w:rsid w:val="00885329"/>
    <w:rsid w:val="00885390"/>
    <w:rsid w:val="008853A3"/>
    <w:rsid w:val="0088558E"/>
    <w:rsid w:val="008855C7"/>
    <w:rsid w:val="00885626"/>
    <w:rsid w:val="00885660"/>
    <w:rsid w:val="0088581A"/>
    <w:rsid w:val="00885A51"/>
    <w:rsid w:val="00885A73"/>
    <w:rsid w:val="00885B15"/>
    <w:rsid w:val="00885BEC"/>
    <w:rsid w:val="00885C5E"/>
    <w:rsid w:val="00885DEC"/>
    <w:rsid w:val="00885E73"/>
    <w:rsid w:val="00885EE5"/>
    <w:rsid w:val="008860D2"/>
    <w:rsid w:val="00886183"/>
    <w:rsid w:val="00886190"/>
    <w:rsid w:val="0088634A"/>
    <w:rsid w:val="008863B2"/>
    <w:rsid w:val="00886471"/>
    <w:rsid w:val="008869AC"/>
    <w:rsid w:val="00886B02"/>
    <w:rsid w:val="00886B3E"/>
    <w:rsid w:val="00886B82"/>
    <w:rsid w:val="00886BF1"/>
    <w:rsid w:val="00886C3A"/>
    <w:rsid w:val="00886D29"/>
    <w:rsid w:val="00886D31"/>
    <w:rsid w:val="00886DE4"/>
    <w:rsid w:val="00887053"/>
    <w:rsid w:val="008871B4"/>
    <w:rsid w:val="00887200"/>
    <w:rsid w:val="008876BE"/>
    <w:rsid w:val="0088776A"/>
    <w:rsid w:val="008877FB"/>
    <w:rsid w:val="00887A22"/>
    <w:rsid w:val="00887A49"/>
    <w:rsid w:val="00887C63"/>
    <w:rsid w:val="00887C95"/>
    <w:rsid w:val="00887E82"/>
    <w:rsid w:val="00887EBF"/>
    <w:rsid w:val="00887EF8"/>
    <w:rsid w:val="00887F12"/>
    <w:rsid w:val="00887FC7"/>
    <w:rsid w:val="0089043C"/>
    <w:rsid w:val="00890470"/>
    <w:rsid w:val="0089075D"/>
    <w:rsid w:val="0089080B"/>
    <w:rsid w:val="008908C8"/>
    <w:rsid w:val="00890A1F"/>
    <w:rsid w:val="00890AEA"/>
    <w:rsid w:val="00890D4C"/>
    <w:rsid w:val="00890EB5"/>
    <w:rsid w:val="00890F67"/>
    <w:rsid w:val="00891005"/>
    <w:rsid w:val="00891101"/>
    <w:rsid w:val="00891254"/>
    <w:rsid w:val="008912B6"/>
    <w:rsid w:val="00891307"/>
    <w:rsid w:val="0089146A"/>
    <w:rsid w:val="008915AD"/>
    <w:rsid w:val="008915B6"/>
    <w:rsid w:val="008915D7"/>
    <w:rsid w:val="00891673"/>
    <w:rsid w:val="00891729"/>
    <w:rsid w:val="0089185D"/>
    <w:rsid w:val="008919F1"/>
    <w:rsid w:val="00891D6A"/>
    <w:rsid w:val="00891DC8"/>
    <w:rsid w:val="00891DF8"/>
    <w:rsid w:val="00891E34"/>
    <w:rsid w:val="00891E64"/>
    <w:rsid w:val="00891F26"/>
    <w:rsid w:val="00892089"/>
    <w:rsid w:val="008921DB"/>
    <w:rsid w:val="008921F1"/>
    <w:rsid w:val="008923BC"/>
    <w:rsid w:val="008925F5"/>
    <w:rsid w:val="008925F7"/>
    <w:rsid w:val="008926A8"/>
    <w:rsid w:val="00892773"/>
    <w:rsid w:val="00892A36"/>
    <w:rsid w:val="00892A7A"/>
    <w:rsid w:val="00892A80"/>
    <w:rsid w:val="00892B50"/>
    <w:rsid w:val="00892C5C"/>
    <w:rsid w:val="00892C7F"/>
    <w:rsid w:val="00892D32"/>
    <w:rsid w:val="00892F22"/>
    <w:rsid w:val="00892F2A"/>
    <w:rsid w:val="00892F6E"/>
    <w:rsid w:val="0089314C"/>
    <w:rsid w:val="008931C2"/>
    <w:rsid w:val="00893224"/>
    <w:rsid w:val="008933C4"/>
    <w:rsid w:val="00893678"/>
    <w:rsid w:val="00893A0C"/>
    <w:rsid w:val="00893B82"/>
    <w:rsid w:val="00893BC2"/>
    <w:rsid w:val="00893EE4"/>
    <w:rsid w:val="00893FDA"/>
    <w:rsid w:val="00893FFC"/>
    <w:rsid w:val="00894011"/>
    <w:rsid w:val="008940C1"/>
    <w:rsid w:val="00894110"/>
    <w:rsid w:val="0089413B"/>
    <w:rsid w:val="00894226"/>
    <w:rsid w:val="00894295"/>
    <w:rsid w:val="00894401"/>
    <w:rsid w:val="00894416"/>
    <w:rsid w:val="008945A5"/>
    <w:rsid w:val="008945AB"/>
    <w:rsid w:val="0089462C"/>
    <w:rsid w:val="008946AA"/>
    <w:rsid w:val="00894994"/>
    <w:rsid w:val="00894A43"/>
    <w:rsid w:val="00894BB9"/>
    <w:rsid w:val="00894E4E"/>
    <w:rsid w:val="00894EFB"/>
    <w:rsid w:val="00894F89"/>
    <w:rsid w:val="00895001"/>
    <w:rsid w:val="0089533D"/>
    <w:rsid w:val="0089553D"/>
    <w:rsid w:val="008957FB"/>
    <w:rsid w:val="0089581C"/>
    <w:rsid w:val="0089592C"/>
    <w:rsid w:val="00895D58"/>
    <w:rsid w:val="00895DDA"/>
    <w:rsid w:val="00895E0A"/>
    <w:rsid w:val="00895EAC"/>
    <w:rsid w:val="008963AF"/>
    <w:rsid w:val="008963E6"/>
    <w:rsid w:val="00896417"/>
    <w:rsid w:val="00896745"/>
    <w:rsid w:val="008967AC"/>
    <w:rsid w:val="008967C4"/>
    <w:rsid w:val="008969D6"/>
    <w:rsid w:val="00896C15"/>
    <w:rsid w:val="00896CB9"/>
    <w:rsid w:val="00896D20"/>
    <w:rsid w:val="00896E22"/>
    <w:rsid w:val="00896E2C"/>
    <w:rsid w:val="00896E85"/>
    <w:rsid w:val="0089700B"/>
    <w:rsid w:val="00897201"/>
    <w:rsid w:val="00897228"/>
    <w:rsid w:val="00897294"/>
    <w:rsid w:val="008972BA"/>
    <w:rsid w:val="0089753B"/>
    <w:rsid w:val="008975D5"/>
    <w:rsid w:val="008975E6"/>
    <w:rsid w:val="00897737"/>
    <w:rsid w:val="0089775A"/>
    <w:rsid w:val="00897780"/>
    <w:rsid w:val="008979A7"/>
    <w:rsid w:val="00897A1C"/>
    <w:rsid w:val="00897AA3"/>
    <w:rsid w:val="00897AB1"/>
    <w:rsid w:val="00897AE1"/>
    <w:rsid w:val="00897B72"/>
    <w:rsid w:val="00897CEE"/>
    <w:rsid w:val="00897DA5"/>
    <w:rsid w:val="00897E9F"/>
    <w:rsid w:val="00897FA5"/>
    <w:rsid w:val="008A01D6"/>
    <w:rsid w:val="008A0345"/>
    <w:rsid w:val="008A03E2"/>
    <w:rsid w:val="008A044B"/>
    <w:rsid w:val="008A061A"/>
    <w:rsid w:val="008A069A"/>
    <w:rsid w:val="008A0848"/>
    <w:rsid w:val="008A086F"/>
    <w:rsid w:val="008A08E5"/>
    <w:rsid w:val="008A0C79"/>
    <w:rsid w:val="008A0D2D"/>
    <w:rsid w:val="008A0EAE"/>
    <w:rsid w:val="008A1334"/>
    <w:rsid w:val="008A14F5"/>
    <w:rsid w:val="008A1A6E"/>
    <w:rsid w:val="008A1A8D"/>
    <w:rsid w:val="008A1AA9"/>
    <w:rsid w:val="008A1ABE"/>
    <w:rsid w:val="008A1BC8"/>
    <w:rsid w:val="008A1CD0"/>
    <w:rsid w:val="008A1D28"/>
    <w:rsid w:val="008A21B8"/>
    <w:rsid w:val="008A223A"/>
    <w:rsid w:val="008A223C"/>
    <w:rsid w:val="008A22F0"/>
    <w:rsid w:val="008A231D"/>
    <w:rsid w:val="008A2325"/>
    <w:rsid w:val="008A232F"/>
    <w:rsid w:val="008A23AC"/>
    <w:rsid w:val="008A23BA"/>
    <w:rsid w:val="008A25FA"/>
    <w:rsid w:val="008A2654"/>
    <w:rsid w:val="008A2AE6"/>
    <w:rsid w:val="008A2D65"/>
    <w:rsid w:val="008A306A"/>
    <w:rsid w:val="008A3392"/>
    <w:rsid w:val="008A33BB"/>
    <w:rsid w:val="008A34D0"/>
    <w:rsid w:val="008A3695"/>
    <w:rsid w:val="008A39C6"/>
    <w:rsid w:val="008A3AF6"/>
    <w:rsid w:val="008A3D1D"/>
    <w:rsid w:val="008A3DB8"/>
    <w:rsid w:val="008A3E69"/>
    <w:rsid w:val="008A3FE6"/>
    <w:rsid w:val="008A4188"/>
    <w:rsid w:val="008A4460"/>
    <w:rsid w:val="008A4563"/>
    <w:rsid w:val="008A468B"/>
    <w:rsid w:val="008A4724"/>
    <w:rsid w:val="008A48C9"/>
    <w:rsid w:val="008A4979"/>
    <w:rsid w:val="008A49C0"/>
    <w:rsid w:val="008A4B0D"/>
    <w:rsid w:val="008A4CF4"/>
    <w:rsid w:val="008A4D74"/>
    <w:rsid w:val="008A4E25"/>
    <w:rsid w:val="008A51F0"/>
    <w:rsid w:val="008A5379"/>
    <w:rsid w:val="008A53EC"/>
    <w:rsid w:val="008A5624"/>
    <w:rsid w:val="008A56A6"/>
    <w:rsid w:val="008A5826"/>
    <w:rsid w:val="008A592D"/>
    <w:rsid w:val="008A5A37"/>
    <w:rsid w:val="008A5A85"/>
    <w:rsid w:val="008A5A98"/>
    <w:rsid w:val="008A5BC8"/>
    <w:rsid w:val="008A5C02"/>
    <w:rsid w:val="008A5D9E"/>
    <w:rsid w:val="008A5DB1"/>
    <w:rsid w:val="008A5DC2"/>
    <w:rsid w:val="008A5DE3"/>
    <w:rsid w:val="008A5E06"/>
    <w:rsid w:val="008A5E7A"/>
    <w:rsid w:val="008A5F39"/>
    <w:rsid w:val="008A5F52"/>
    <w:rsid w:val="008A5FBF"/>
    <w:rsid w:val="008A6045"/>
    <w:rsid w:val="008A62AF"/>
    <w:rsid w:val="008A62DE"/>
    <w:rsid w:val="008A64CC"/>
    <w:rsid w:val="008A6550"/>
    <w:rsid w:val="008A676A"/>
    <w:rsid w:val="008A67D7"/>
    <w:rsid w:val="008A67FB"/>
    <w:rsid w:val="008A69AE"/>
    <w:rsid w:val="008A69C9"/>
    <w:rsid w:val="008A69ED"/>
    <w:rsid w:val="008A6A75"/>
    <w:rsid w:val="008A6A80"/>
    <w:rsid w:val="008A6B44"/>
    <w:rsid w:val="008A6BE0"/>
    <w:rsid w:val="008A6CC6"/>
    <w:rsid w:val="008A6F70"/>
    <w:rsid w:val="008A7218"/>
    <w:rsid w:val="008A726B"/>
    <w:rsid w:val="008A7303"/>
    <w:rsid w:val="008A76A8"/>
    <w:rsid w:val="008A76CB"/>
    <w:rsid w:val="008A7792"/>
    <w:rsid w:val="008A7B1D"/>
    <w:rsid w:val="008A7FB1"/>
    <w:rsid w:val="008B0137"/>
    <w:rsid w:val="008B01DD"/>
    <w:rsid w:val="008B02D6"/>
    <w:rsid w:val="008B02F4"/>
    <w:rsid w:val="008B0407"/>
    <w:rsid w:val="008B0415"/>
    <w:rsid w:val="008B0613"/>
    <w:rsid w:val="008B0660"/>
    <w:rsid w:val="008B067F"/>
    <w:rsid w:val="008B06E9"/>
    <w:rsid w:val="008B0755"/>
    <w:rsid w:val="008B0A8D"/>
    <w:rsid w:val="008B0C5C"/>
    <w:rsid w:val="008B0E68"/>
    <w:rsid w:val="008B0F34"/>
    <w:rsid w:val="008B11B8"/>
    <w:rsid w:val="008B1226"/>
    <w:rsid w:val="008B1261"/>
    <w:rsid w:val="008B127E"/>
    <w:rsid w:val="008B12FE"/>
    <w:rsid w:val="008B1357"/>
    <w:rsid w:val="008B1747"/>
    <w:rsid w:val="008B1795"/>
    <w:rsid w:val="008B181E"/>
    <w:rsid w:val="008B18A9"/>
    <w:rsid w:val="008B198D"/>
    <w:rsid w:val="008B1A78"/>
    <w:rsid w:val="008B1AA8"/>
    <w:rsid w:val="008B1B07"/>
    <w:rsid w:val="008B1B32"/>
    <w:rsid w:val="008B1BE2"/>
    <w:rsid w:val="008B1F3B"/>
    <w:rsid w:val="008B1F94"/>
    <w:rsid w:val="008B2253"/>
    <w:rsid w:val="008B235F"/>
    <w:rsid w:val="008B23D5"/>
    <w:rsid w:val="008B27DC"/>
    <w:rsid w:val="008B2882"/>
    <w:rsid w:val="008B288C"/>
    <w:rsid w:val="008B288E"/>
    <w:rsid w:val="008B2914"/>
    <w:rsid w:val="008B29E6"/>
    <w:rsid w:val="008B2E86"/>
    <w:rsid w:val="008B31AE"/>
    <w:rsid w:val="008B3249"/>
    <w:rsid w:val="008B32E1"/>
    <w:rsid w:val="008B3378"/>
    <w:rsid w:val="008B3381"/>
    <w:rsid w:val="008B3561"/>
    <w:rsid w:val="008B35BC"/>
    <w:rsid w:val="008B3713"/>
    <w:rsid w:val="008B396E"/>
    <w:rsid w:val="008B3A56"/>
    <w:rsid w:val="008B3A6D"/>
    <w:rsid w:val="008B3B12"/>
    <w:rsid w:val="008B3B8B"/>
    <w:rsid w:val="008B3B95"/>
    <w:rsid w:val="008B3C71"/>
    <w:rsid w:val="008B3CF5"/>
    <w:rsid w:val="008B3DD8"/>
    <w:rsid w:val="008B3F56"/>
    <w:rsid w:val="008B4410"/>
    <w:rsid w:val="008B4538"/>
    <w:rsid w:val="008B45D0"/>
    <w:rsid w:val="008B4A97"/>
    <w:rsid w:val="008B4ADA"/>
    <w:rsid w:val="008B4B54"/>
    <w:rsid w:val="008B4CEF"/>
    <w:rsid w:val="008B4D6D"/>
    <w:rsid w:val="008B512E"/>
    <w:rsid w:val="008B52BC"/>
    <w:rsid w:val="008B53CB"/>
    <w:rsid w:val="008B5524"/>
    <w:rsid w:val="008B575A"/>
    <w:rsid w:val="008B584D"/>
    <w:rsid w:val="008B5914"/>
    <w:rsid w:val="008B5A7D"/>
    <w:rsid w:val="008B5AF4"/>
    <w:rsid w:val="008B5AFC"/>
    <w:rsid w:val="008B5B84"/>
    <w:rsid w:val="008B5CAD"/>
    <w:rsid w:val="008B5D35"/>
    <w:rsid w:val="008B5D9D"/>
    <w:rsid w:val="008B5E42"/>
    <w:rsid w:val="008B5F5A"/>
    <w:rsid w:val="008B6080"/>
    <w:rsid w:val="008B6137"/>
    <w:rsid w:val="008B617E"/>
    <w:rsid w:val="008B6274"/>
    <w:rsid w:val="008B6496"/>
    <w:rsid w:val="008B6652"/>
    <w:rsid w:val="008B6756"/>
    <w:rsid w:val="008B68C2"/>
    <w:rsid w:val="008B69CC"/>
    <w:rsid w:val="008B6AAC"/>
    <w:rsid w:val="008B6BED"/>
    <w:rsid w:val="008B6C42"/>
    <w:rsid w:val="008B6C43"/>
    <w:rsid w:val="008B6D98"/>
    <w:rsid w:val="008B6E36"/>
    <w:rsid w:val="008B6E3F"/>
    <w:rsid w:val="008B7071"/>
    <w:rsid w:val="008B72D6"/>
    <w:rsid w:val="008B73B7"/>
    <w:rsid w:val="008B73DA"/>
    <w:rsid w:val="008B74A1"/>
    <w:rsid w:val="008B7588"/>
    <w:rsid w:val="008B75AA"/>
    <w:rsid w:val="008B75B2"/>
    <w:rsid w:val="008B7605"/>
    <w:rsid w:val="008B7657"/>
    <w:rsid w:val="008B789A"/>
    <w:rsid w:val="008B791D"/>
    <w:rsid w:val="008B7A78"/>
    <w:rsid w:val="008B7AAF"/>
    <w:rsid w:val="008B7B08"/>
    <w:rsid w:val="008B7B58"/>
    <w:rsid w:val="008B7BBC"/>
    <w:rsid w:val="008B7CC6"/>
    <w:rsid w:val="008B7EC0"/>
    <w:rsid w:val="008B7F0B"/>
    <w:rsid w:val="008B7F48"/>
    <w:rsid w:val="008B7FB2"/>
    <w:rsid w:val="008BD3CB"/>
    <w:rsid w:val="008C026B"/>
    <w:rsid w:val="008C0529"/>
    <w:rsid w:val="008C05A9"/>
    <w:rsid w:val="008C0602"/>
    <w:rsid w:val="008C062D"/>
    <w:rsid w:val="008C06BD"/>
    <w:rsid w:val="008C0709"/>
    <w:rsid w:val="008C090D"/>
    <w:rsid w:val="008C0913"/>
    <w:rsid w:val="008C0B4E"/>
    <w:rsid w:val="008C0BCC"/>
    <w:rsid w:val="008C0C22"/>
    <w:rsid w:val="008C0F69"/>
    <w:rsid w:val="008C0F7C"/>
    <w:rsid w:val="008C1051"/>
    <w:rsid w:val="008C1229"/>
    <w:rsid w:val="008C172E"/>
    <w:rsid w:val="008C182C"/>
    <w:rsid w:val="008C18F7"/>
    <w:rsid w:val="008C19C6"/>
    <w:rsid w:val="008C1A7D"/>
    <w:rsid w:val="008C1B2E"/>
    <w:rsid w:val="008C1DAF"/>
    <w:rsid w:val="008C1E0B"/>
    <w:rsid w:val="008C1EA1"/>
    <w:rsid w:val="008C1EF2"/>
    <w:rsid w:val="008C1F1F"/>
    <w:rsid w:val="008C208C"/>
    <w:rsid w:val="008C20D8"/>
    <w:rsid w:val="008C21AD"/>
    <w:rsid w:val="008C22CE"/>
    <w:rsid w:val="008C22F5"/>
    <w:rsid w:val="008C2484"/>
    <w:rsid w:val="008C2494"/>
    <w:rsid w:val="008C273E"/>
    <w:rsid w:val="008C297B"/>
    <w:rsid w:val="008C2AB4"/>
    <w:rsid w:val="008C2AEB"/>
    <w:rsid w:val="008C2C52"/>
    <w:rsid w:val="008C2CC1"/>
    <w:rsid w:val="008C2E60"/>
    <w:rsid w:val="008C2FC7"/>
    <w:rsid w:val="008C30E7"/>
    <w:rsid w:val="008C31FC"/>
    <w:rsid w:val="008C3223"/>
    <w:rsid w:val="008C33E8"/>
    <w:rsid w:val="008C3719"/>
    <w:rsid w:val="008C3740"/>
    <w:rsid w:val="008C37FF"/>
    <w:rsid w:val="008C3823"/>
    <w:rsid w:val="008C3A42"/>
    <w:rsid w:val="008C3B23"/>
    <w:rsid w:val="008C3E51"/>
    <w:rsid w:val="008C3E66"/>
    <w:rsid w:val="008C3E91"/>
    <w:rsid w:val="008C4363"/>
    <w:rsid w:val="008C4535"/>
    <w:rsid w:val="008C4543"/>
    <w:rsid w:val="008C4564"/>
    <w:rsid w:val="008C4722"/>
    <w:rsid w:val="008C49BE"/>
    <w:rsid w:val="008C4A53"/>
    <w:rsid w:val="008C4BEA"/>
    <w:rsid w:val="008C4C96"/>
    <w:rsid w:val="008C4CB7"/>
    <w:rsid w:val="008C4D31"/>
    <w:rsid w:val="008C4DCA"/>
    <w:rsid w:val="008C4DE3"/>
    <w:rsid w:val="008C4E3E"/>
    <w:rsid w:val="008C4F88"/>
    <w:rsid w:val="008C5068"/>
    <w:rsid w:val="008C519E"/>
    <w:rsid w:val="008C51D0"/>
    <w:rsid w:val="008C535B"/>
    <w:rsid w:val="008C540D"/>
    <w:rsid w:val="008C548D"/>
    <w:rsid w:val="008C5751"/>
    <w:rsid w:val="008C5794"/>
    <w:rsid w:val="008C5915"/>
    <w:rsid w:val="008C59FE"/>
    <w:rsid w:val="008C5A40"/>
    <w:rsid w:val="008C5BCA"/>
    <w:rsid w:val="008C5C59"/>
    <w:rsid w:val="008C5CAA"/>
    <w:rsid w:val="008C5DF1"/>
    <w:rsid w:val="008C61B4"/>
    <w:rsid w:val="008C621D"/>
    <w:rsid w:val="008C655A"/>
    <w:rsid w:val="008C6661"/>
    <w:rsid w:val="008C66A7"/>
    <w:rsid w:val="008C66EC"/>
    <w:rsid w:val="008C6865"/>
    <w:rsid w:val="008C693B"/>
    <w:rsid w:val="008C69AE"/>
    <w:rsid w:val="008C6A49"/>
    <w:rsid w:val="008C6CCD"/>
    <w:rsid w:val="008C6DE6"/>
    <w:rsid w:val="008C6EE1"/>
    <w:rsid w:val="008C6F1F"/>
    <w:rsid w:val="008C6F22"/>
    <w:rsid w:val="008C747D"/>
    <w:rsid w:val="008C752E"/>
    <w:rsid w:val="008C75A6"/>
    <w:rsid w:val="008C75CE"/>
    <w:rsid w:val="008C7624"/>
    <w:rsid w:val="008C7666"/>
    <w:rsid w:val="008C775A"/>
    <w:rsid w:val="008C7A4A"/>
    <w:rsid w:val="008C7B52"/>
    <w:rsid w:val="008C7B76"/>
    <w:rsid w:val="008C7D1F"/>
    <w:rsid w:val="008C7D6C"/>
    <w:rsid w:val="008C7FB8"/>
    <w:rsid w:val="008D0242"/>
    <w:rsid w:val="008D0291"/>
    <w:rsid w:val="008D02A6"/>
    <w:rsid w:val="008D0571"/>
    <w:rsid w:val="008D07D5"/>
    <w:rsid w:val="008D08BA"/>
    <w:rsid w:val="008D0AC5"/>
    <w:rsid w:val="008D0BAB"/>
    <w:rsid w:val="008D0C95"/>
    <w:rsid w:val="008D0D26"/>
    <w:rsid w:val="008D0D74"/>
    <w:rsid w:val="008D0DAB"/>
    <w:rsid w:val="008D0DB8"/>
    <w:rsid w:val="008D0DE4"/>
    <w:rsid w:val="008D0EAA"/>
    <w:rsid w:val="008D0EF8"/>
    <w:rsid w:val="008D0FD7"/>
    <w:rsid w:val="008D103E"/>
    <w:rsid w:val="008D1250"/>
    <w:rsid w:val="008D1263"/>
    <w:rsid w:val="008D138F"/>
    <w:rsid w:val="008D14DC"/>
    <w:rsid w:val="008D1598"/>
    <w:rsid w:val="008D15C4"/>
    <w:rsid w:val="008D1601"/>
    <w:rsid w:val="008D1771"/>
    <w:rsid w:val="008D1853"/>
    <w:rsid w:val="008D1A91"/>
    <w:rsid w:val="008D1BBB"/>
    <w:rsid w:val="008D1FBB"/>
    <w:rsid w:val="008D203F"/>
    <w:rsid w:val="008D206C"/>
    <w:rsid w:val="008D20AB"/>
    <w:rsid w:val="008D20AF"/>
    <w:rsid w:val="008D230F"/>
    <w:rsid w:val="008D232F"/>
    <w:rsid w:val="008D2552"/>
    <w:rsid w:val="008D26A5"/>
    <w:rsid w:val="008D26B8"/>
    <w:rsid w:val="008D272D"/>
    <w:rsid w:val="008D2CD2"/>
    <w:rsid w:val="008D2E72"/>
    <w:rsid w:val="008D2F0B"/>
    <w:rsid w:val="008D2F46"/>
    <w:rsid w:val="008D2F67"/>
    <w:rsid w:val="008D30CE"/>
    <w:rsid w:val="008D30DA"/>
    <w:rsid w:val="008D3611"/>
    <w:rsid w:val="008D3992"/>
    <w:rsid w:val="008D3A2B"/>
    <w:rsid w:val="008D3A64"/>
    <w:rsid w:val="008D3B89"/>
    <w:rsid w:val="008D3C09"/>
    <w:rsid w:val="008D3CCF"/>
    <w:rsid w:val="008D3CDD"/>
    <w:rsid w:val="008D3FE0"/>
    <w:rsid w:val="008D4047"/>
    <w:rsid w:val="008D40F9"/>
    <w:rsid w:val="008D4169"/>
    <w:rsid w:val="008D430F"/>
    <w:rsid w:val="008D431C"/>
    <w:rsid w:val="008D44B1"/>
    <w:rsid w:val="008D44C8"/>
    <w:rsid w:val="008D45C8"/>
    <w:rsid w:val="008D47D7"/>
    <w:rsid w:val="008D4844"/>
    <w:rsid w:val="008D4950"/>
    <w:rsid w:val="008D4A1A"/>
    <w:rsid w:val="008D4B16"/>
    <w:rsid w:val="008D4CF5"/>
    <w:rsid w:val="008D4DA9"/>
    <w:rsid w:val="008D4F2A"/>
    <w:rsid w:val="008D513C"/>
    <w:rsid w:val="008D51EF"/>
    <w:rsid w:val="008D5741"/>
    <w:rsid w:val="008D575F"/>
    <w:rsid w:val="008D59A1"/>
    <w:rsid w:val="008D59A5"/>
    <w:rsid w:val="008D5D23"/>
    <w:rsid w:val="008D5E32"/>
    <w:rsid w:val="008D5F22"/>
    <w:rsid w:val="008D60E5"/>
    <w:rsid w:val="008D635C"/>
    <w:rsid w:val="008D67B0"/>
    <w:rsid w:val="008D68A7"/>
    <w:rsid w:val="008D68B8"/>
    <w:rsid w:val="008D6DC2"/>
    <w:rsid w:val="008D6E80"/>
    <w:rsid w:val="008D6EE1"/>
    <w:rsid w:val="008D6FA7"/>
    <w:rsid w:val="008D716F"/>
    <w:rsid w:val="008D7692"/>
    <w:rsid w:val="008D76A2"/>
    <w:rsid w:val="008D78E9"/>
    <w:rsid w:val="008D7A36"/>
    <w:rsid w:val="008D7AA0"/>
    <w:rsid w:val="008D7AAD"/>
    <w:rsid w:val="008D7C54"/>
    <w:rsid w:val="008D7C98"/>
    <w:rsid w:val="008D7DA1"/>
    <w:rsid w:val="008D7E08"/>
    <w:rsid w:val="008D7F08"/>
    <w:rsid w:val="008E01B3"/>
    <w:rsid w:val="008E028A"/>
    <w:rsid w:val="008E0313"/>
    <w:rsid w:val="008E0384"/>
    <w:rsid w:val="008E0668"/>
    <w:rsid w:val="008E0758"/>
    <w:rsid w:val="008E08D5"/>
    <w:rsid w:val="008E0A4B"/>
    <w:rsid w:val="008E0CFD"/>
    <w:rsid w:val="008E0FEF"/>
    <w:rsid w:val="008E100C"/>
    <w:rsid w:val="008E12D0"/>
    <w:rsid w:val="008E140F"/>
    <w:rsid w:val="008E1474"/>
    <w:rsid w:val="008E1A46"/>
    <w:rsid w:val="008E1EAE"/>
    <w:rsid w:val="008E2101"/>
    <w:rsid w:val="008E21D4"/>
    <w:rsid w:val="008E2499"/>
    <w:rsid w:val="008E26ED"/>
    <w:rsid w:val="008E272D"/>
    <w:rsid w:val="008E27E4"/>
    <w:rsid w:val="008E29BB"/>
    <w:rsid w:val="008E29F0"/>
    <w:rsid w:val="008E2AA2"/>
    <w:rsid w:val="008E2BB3"/>
    <w:rsid w:val="008E2C10"/>
    <w:rsid w:val="008E2C41"/>
    <w:rsid w:val="008E2C87"/>
    <w:rsid w:val="008E2E8A"/>
    <w:rsid w:val="008E2F6D"/>
    <w:rsid w:val="008E31D9"/>
    <w:rsid w:val="008E34D5"/>
    <w:rsid w:val="008E3571"/>
    <w:rsid w:val="008E371A"/>
    <w:rsid w:val="008E3819"/>
    <w:rsid w:val="008E3854"/>
    <w:rsid w:val="008E3899"/>
    <w:rsid w:val="008E392C"/>
    <w:rsid w:val="008E3959"/>
    <w:rsid w:val="008E3CA1"/>
    <w:rsid w:val="008E4015"/>
    <w:rsid w:val="008E4023"/>
    <w:rsid w:val="008E4176"/>
    <w:rsid w:val="008E4188"/>
    <w:rsid w:val="008E42CD"/>
    <w:rsid w:val="008E433E"/>
    <w:rsid w:val="008E43E4"/>
    <w:rsid w:val="008E45BA"/>
    <w:rsid w:val="008E45C0"/>
    <w:rsid w:val="008E47BF"/>
    <w:rsid w:val="008E481E"/>
    <w:rsid w:val="008E4844"/>
    <w:rsid w:val="008E484B"/>
    <w:rsid w:val="008E488B"/>
    <w:rsid w:val="008E4D25"/>
    <w:rsid w:val="008E4EE3"/>
    <w:rsid w:val="008E5155"/>
    <w:rsid w:val="008E537E"/>
    <w:rsid w:val="008E5459"/>
    <w:rsid w:val="008E554F"/>
    <w:rsid w:val="008E559D"/>
    <w:rsid w:val="008E56CC"/>
    <w:rsid w:val="008E5803"/>
    <w:rsid w:val="008E5851"/>
    <w:rsid w:val="008E58A7"/>
    <w:rsid w:val="008E58CF"/>
    <w:rsid w:val="008E58F6"/>
    <w:rsid w:val="008E5948"/>
    <w:rsid w:val="008E5A37"/>
    <w:rsid w:val="008E5C14"/>
    <w:rsid w:val="008E5CA9"/>
    <w:rsid w:val="008E5D2E"/>
    <w:rsid w:val="008E5D31"/>
    <w:rsid w:val="008E5EA1"/>
    <w:rsid w:val="008E5F4C"/>
    <w:rsid w:val="008E62F2"/>
    <w:rsid w:val="008E6319"/>
    <w:rsid w:val="008E6382"/>
    <w:rsid w:val="008E63FA"/>
    <w:rsid w:val="008E6B0D"/>
    <w:rsid w:val="008E6BA3"/>
    <w:rsid w:val="008E6BCE"/>
    <w:rsid w:val="008E6D76"/>
    <w:rsid w:val="008E6E40"/>
    <w:rsid w:val="008E6E80"/>
    <w:rsid w:val="008E6F06"/>
    <w:rsid w:val="008E7099"/>
    <w:rsid w:val="008E70C4"/>
    <w:rsid w:val="008E71A0"/>
    <w:rsid w:val="008E7236"/>
    <w:rsid w:val="008E72B8"/>
    <w:rsid w:val="008E7369"/>
    <w:rsid w:val="008E755F"/>
    <w:rsid w:val="008E7A9E"/>
    <w:rsid w:val="008E7B27"/>
    <w:rsid w:val="008E7CF1"/>
    <w:rsid w:val="008E7D30"/>
    <w:rsid w:val="008E7DCF"/>
    <w:rsid w:val="008E7F76"/>
    <w:rsid w:val="008F02B3"/>
    <w:rsid w:val="008F02E0"/>
    <w:rsid w:val="008F036E"/>
    <w:rsid w:val="008F037B"/>
    <w:rsid w:val="008F049E"/>
    <w:rsid w:val="008F0906"/>
    <w:rsid w:val="008F0955"/>
    <w:rsid w:val="008F0D26"/>
    <w:rsid w:val="008F0D92"/>
    <w:rsid w:val="008F0D9C"/>
    <w:rsid w:val="008F0EBD"/>
    <w:rsid w:val="008F0ED4"/>
    <w:rsid w:val="008F0FFF"/>
    <w:rsid w:val="008F10D1"/>
    <w:rsid w:val="008F1265"/>
    <w:rsid w:val="008F136E"/>
    <w:rsid w:val="008F1548"/>
    <w:rsid w:val="008F1636"/>
    <w:rsid w:val="008F168D"/>
    <w:rsid w:val="008F169F"/>
    <w:rsid w:val="008F17B9"/>
    <w:rsid w:val="008F1959"/>
    <w:rsid w:val="008F1B1D"/>
    <w:rsid w:val="008F1EED"/>
    <w:rsid w:val="008F1F6C"/>
    <w:rsid w:val="008F2081"/>
    <w:rsid w:val="008F275A"/>
    <w:rsid w:val="008F2935"/>
    <w:rsid w:val="008F2B14"/>
    <w:rsid w:val="008F2BE1"/>
    <w:rsid w:val="008F2E45"/>
    <w:rsid w:val="008F3005"/>
    <w:rsid w:val="008F3026"/>
    <w:rsid w:val="008F303B"/>
    <w:rsid w:val="008F312A"/>
    <w:rsid w:val="008F31F6"/>
    <w:rsid w:val="008F32A5"/>
    <w:rsid w:val="008F33FA"/>
    <w:rsid w:val="008F3428"/>
    <w:rsid w:val="008F3434"/>
    <w:rsid w:val="008F3566"/>
    <w:rsid w:val="008F3596"/>
    <w:rsid w:val="008F3723"/>
    <w:rsid w:val="008F386F"/>
    <w:rsid w:val="008F38B9"/>
    <w:rsid w:val="008F3C3E"/>
    <w:rsid w:val="008F3CBE"/>
    <w:rsid w:val="008F3F24"/>
    <w:rsid w:val="008F3F31"/>
    <w:rsid w:val="008F416B"/>
    <w:rsid w:val="008F4507"/>
    <w:rsid w:val="008F451B"/>
    <w:rsid w:val="008F4629"/>
    <w:rsid w:val="008F46AD"/>
    <w:rsid w:val="008F46D6"/>
    <w:rsid w:val="008F4737"/>
    <w:rsid w:val="008F4772"/>
    <w:rsid w:val="008F4784"/>
    <w:rsid w:val="008F47AB"/>
    <w:rsid w:val="008F499F"/>
    <w:rsid w:val="008F50B5"/>
    <w:rsid w:val="008F50DD"/>
    <w:rsid w:val="008F51A6"/>
    <w:rsid w:val="008F52BD"/>
    <w:rsid w:val="008F538E"/>
    <w:rsid w:val="008F5473"/>
    <w:rsid w:val="008F56F5"/>
    <w:rsid w:val="008F5912"/>
    <w:rsid w:val="008F5955"/>
    <w:rsid w:val="008F5AF5"/>
    <w:rsid w:val="008F5B3C"/>
    <w:rsid w:val="008F5E4A"/>
    <w:rsid w:val="008F5F2B"/>
    <w:rsid w:val="008F5FA0"/>
    <w:rsid w:val="008F60BB"/>
    <w:rsid w:val="008F6497"/>
    <w:rsid w:val="008F65C6"/>
    <w:rsid w:val="008F66DE"/>
    <w:rsid w:val="008F67FB"/>
    <w:rsid w:val="008F6C4D"/>
    <w:rsid w:val="008F6C7E"/>
    <w:rsid w:val="008F6C9E"/>
    <w:rsid w:val="008F6ED9"/>
    <w:rsid w:val="008F7031"/>
    <w:rsid w:val="008F73B3"/>
    <w:rsid w:val="008F73D1"/>
    <w:rsid w:val="008F776A"/>
    <w:rsid w:val="008F78C5"/>
    <w:rsid w:val="008F796F"/>
    <w:rsid w:val="008F7A45"/>
    <w:rsid w:val="008F7D86"/>
    <w:rsid w:val="008F7D8E"/>
    <w:rsid w:val="008F7E9A"/>
    <w:rsid w:val="00900018"/>
    <w:rsid w:val="0090003A"/>
    <w:rsid w:val="0090014F"/>
    <w:rsid w:val="0090022B"/>
    <w:rsid w:val="009003BF"/>
    <w:rsid w:val="00900468"/>
    <w:rsid w:val="009004D5"/>
    <w:rsid w:val="00900521"/>
    <w:rsid w:val="0090067A"/>
    <w:rsid w:val="009006DD"/>
    <w:rsid w:val="00900718"/>
    <w:rsid w:val="009007D0"/>
    <w:rsid w:val="00900945"/>
    <w:rsid w:val="009009EF"/>
    <w:rsid w:val="00900A91"/>
    <w:rsid w:val="00900B3B"/>
    <w:rsid w:val="00900CA1"/>
    <w:rsid w:val="00901012"/>
    <w:rsid w:val="0090106A"/>
    <w:rsid w:val="0090110D"/>
    <w:rsid w:val="0090111A"/>
    <w:rsid w:val="0090114E"/>
    <w:rsid w:val="009012A7"/>
    <w:rsid w:val="009012B5"/>
    <w:rsid w:val="009012C8"/>
    <w:rsid w:val="009012FA"/>
    <w:rsid w:val="00901316"/>
    <w:rsid w:val="00901401"/>
    <w:rsid w:val="009015EF"/>
    <w:rsid w:val="00901BC2"/>
    <w:rsid w:val="00901BC4"/>
    <w:rsid w:val="00901C22"/>
    <w:rsid w:val="00901D0A"/>
    <w:rsid w:val="00901D2B"/>
    <w:rsid w:val="00901DCF"/>
    <w:rsid w:val="00901E03"/>
    <w:rsid w:val="00901EFD"/>
    <w:rsid w:val="00901F1B"/>
    <w:rsid w:val="0090200B"/>
    <w:rsid w:val="00902128"/>
    <w:rsid w:val="0090219F"/>
    <w:rsid w:val="00902219"/>
    <w:rsid w:val="0090223C"/>
    <w:rsid w:val="00902256"/>
    <w:rsid w:val="009022F2"/>
    <w:rsid w:val="00902488"/>
    <w:rsid w:val="0090259C"/>
    <w:rsid w:val="00902623"/>
    <w:rsid w:val="00902661"/>
    <w:rsid w:val="009026CE"/>
    <w:rsid w:val="0090273F"/>
    <w:rsid w:val="0090279D"/>
    <w:rsid w:val="00902C42"/>
    <w:rsid w:val="00902D22"/>
    <w:rsid w:val="00902E92"/>
    <w:rsid w:val="00902EE6"/>
    <w:rsid w:val="0090326A"/>
    <w:rsid w:val="009034F0"/>
    <w:rsid w:val="00903842"/>
    <w:rsid w:val="00903887"/>
    <w:rsid w:val="00903950"/>
    <w:rsid w:val="00903A23"/>
    <w:rsid w:val="00903B64"/>
    <w:rsid w:val="00903C6C"/>
    <w:rsid w:val="00903DA0"/>
    <w:rsid w:val="00903E15"/>
    <w:rsid w:val="00903F21"/>
    <w:rsid w:val="00903FAF"/>
    <w:rsid w:val="00904146"/>
    <w:rsid w:val="0090419F"/>
    <w:rsid w:val="00904579"/>
    <w:rsid w:val="00904646"/>
    <w:rsid w:val="00904666"/>
    <w:rsid w:val="0090473E"/>
    <w:rsid w:val="00904B7F"/>
    <w:rsid w:val="00904DD7"/>
    <w:rsid w:val="00904DFF"/>
    <w:rsid w:val="00904ECB"/>
    <w:rsid w:val="00904FCA"/>
    <w:rsid w:val="0090510B"/>
    <w:rsid w:val="009053B4"/>
    <w:rsid w:val="009054A5"/>
    <w:rsid w:val="0090552E"/>
    <w:rsid w:val="00905532"/>
    <w:rsid w:val="00905572"/>
    <w:rsid w:val="00905618"/>
    <w:rsid w:val="009056F4"/>
    <w:rsid w:val="009057D4"/>
    <w:rsid w:val="0090598B"/>
    <w:rsid w:val="009059B0"/>
    <w:rsid w:val="00905A84"/>
    <w:rsid w:val="00905CDA"/>
    <w:rsid w:val="00905E74"/>
    <w:rsid w:val="00906024"/>
    <w:rsid w:val="009061D7"/>
    <w:rsid w:val="009061FF"/>
    <w:rsid w:val="00906207"/>
    <w:rsid w:val="00906208"/>
    <w:rsid w:val="00906422"/>
    <w:rsid w:val="00906463"/>
    <w:rsid w:val="00906577"/>
    <w:rsid w:val="009066AB"/>
    <w:rsid w:val="00906780"/>
    <w:rsid w:val="00906821"/>
    <w:rsid w:val="00906C3E"/>
    <w:rsid w:val="00906C84"/>
    <w:rsid w:val="00906E45"/>
    <w:rsid w:val="00906E9C"/>
    <w:rsid w:val="00906F85"/>
    <w:rsid w:val="009070A8"/>
    <w:rsid w:val="00907125"/>
    <w:rsid w:val="00907232"/>
    <w:rsid w:val="009075F9"/>
    <w:rsid w:val="00907651"/>
    <w:rsid w:val="009076DA"/>
    <w:rsid w:val="009076E5"/>
    <w:rsid w:val="00907870"/>
    <w:rsid w:val="00907C0F"/>
    <w:rsid w:val="00907C85"/>
    <w:rsid w:val="00907D90"/>
    <w:rsid w:val="00907DE1"/>
    <w:rsid w:val="00907DEE"/>
    <w:rsid w:val="00907F95"/>
    <w:rsid w:val="009100BB"/>
    <w:rsid w:val="0091015E"/>
    <w:rsid w:val="009101C1"/>
    <w:rsid w:val="009101C6"/>
    <w:rsid w:val="009101FB"/>
    <w:rsid w:val="009101FF"/>
    <w:rsid w:val="009105E3"/>
    <w:rsid w:val="009105FB"/>
    <w:rsid w:val="009107AA"/>
    <w:rsid w:val="009108FB"/>
    <w:rsid w:val="009109D8"/>
    <w:rsid w:val="00910AD4"/>
    <w:rsid w:val="00910AF2"/>
    <w:rsid w:val="00910BF1"/>
    <w:rsid w:val="00910CD8"/>
    <w:rsid w:val="00910E40"/>
    <w:rsid w:val="00910E66"/>
    <w:rsid w:val="00910EAA"/>
    <w:rsid w:val="009115A2"/>
    <w:rsid w:val="00911644"/>
    <w:rsid w:val="0091174D"/>
    <w:rsid w:val="009118A1"/>
    <w:rsid w:val="00911B5F"/>
    <w:rsid w:val="00911C52"/>
    <w:rsid w:val="00911EC4"/>
    <w:rsid w:val="00911F15"/>
    <w:rsid w:val="00912210"/>
    <w:rsid w:val="00912228"/>
    <w:rsid w:val="009122DE"/>
    <w:rsid w:val="009125D8"/>
    <w:rsid w:val="00912621"/>
    <w:rsid w:val="0091263C"/>
    <w:rsid w:val="00912783"/>
    <w:rsid w:val="00912821"/>
    <w:rsid w:val="009129E2"/>
    <w:rsid w:val="00912A9A"/>
    <w:rsid w:val="00912B12"/>
    <w:rsid w:val="00912D03"/>
    <w:rsid w:val="00913000"/>
    <w:rsid w:val="0091301F"/>
    <w:rsid w:val="0091302A"/>
    <w:rsid w:val="009131D2"/>
    <w:rsid w:val="00913691"/>
    <w:rsid w:val="00913B70"/>
    <w:rsid w:val="00913C7F"/>
    <w:rsid w:val="00913D37"/>
    <w:rsid w:val="00913E1A"/>
    <w:rsid w:val="00913FD5"/>
    <w:rsid w:val="00914056"/>
    <w:rsid w:val="009143E4"/>
    <w:rsid w:val="00914770"/>
    <w:rsid w:val="009147F7"/>
    <w:rsid w:val="0091488C"/>
    <w:rsid w:val="009148B1"/>
    <w:rsid w:val="0091496D"/>
    <w:rsid w:val="00914A6D"/>
    <w:rsid w:val="00914BB5"/>
    <w:rsid w:val="00914C20"/>
    <w:rsid w:val="00914C8F"/>
    <w:rsid w:val="00914CC3"/>
    <w:rsid w:val="00914DCC"/>
    <w:rsid w:val="00915575"/>
    <w:rsid w:val="00915583"/>
    <w:rsid w:val="009155F8"/>
    <w:rsid w:val="00915642"/>
    <w:rsid w:val="00915656"/>
    <w:rsid w:val="0091576B"/>
    <w:rsid w:val="009157A5"/>
    <w:rsid w:val="009157BB"/>
    <w:rsid w:val="0091585B"/>
    <w:rsid w:val="00915A51"/>
    <w:rsid w:val="00915A72"/>
    <w:rsid w:val="00915A7A"/>
    <w:rsid w:val="00915BFD"/>
    <w:rsid w:val="00915D0B"/>
    <w:rsid w:val="00915E0D"/>
    <w:rsid w:val="00916096"/>
    <w:rsid w:val="0091624C"/>
    <w:rsid w:val="009163F3"/>
    <w:rsid w:val="00916486"/>
    <w:rsid w:val="0091649D"/>
    <w:rsid w:val="0091671E"/>
    <w:rsid w:val="00916785"/>
    <w:rsid w:val="0091678C"/>
    <w:rsid w:val="0091697D"/>
    <w:rsid w:val="00916D14"/>
    <w:rsid w:val="00916D1A"/>
    <w:rsid w:val="00916E0A"/>
    <w:rsid w:val="00916F2D"/>
    <w:rsid w:val="00917045"/>
    <w:rsid w:val="009170C6"/>
    <w:rsid w:val="009171EE"/>
    <w:rsid w:val="00917316"/>
    <w:rsid w:val="0091731B"/>
    <w:rsid w:val="00917585"/>
    <w:rsid w:val="0091764E"/>
    <w:rsid w:val="00917694"/>
    <w:rsid w:val="00917774"/>
    <w:rsid w:val="00917817"/>
    <w:rsid w:val="00917821"/>
    <w:rsid w:val="009179F0"/>
    <w:rsid w:val="00917B46"/>
    <w:rsid w:val="00917C88"/>
    <w:rsid w:val="00917D5B"/>
    <w:rsid w:val="00917EF0"/>
    <w:rsid w:val="009200BE"/>
    <w:rsid w:val="009201B5"/>
    <w:rsid w:val="00920283"/>
    <w:rsid w:val="00920487"/>
    <w:rsid w:val="00920535"/>
    <w:rsid w:val="009205DD"/>
    <w:rsid w:val="00920648"/>
    <w:rsid w:val="0092076F"/>
    <w:rsid w:val="0092099D"/>
    <w:rsid w:val="00920ADD"/>
    <w:rsid w:val="00920CA6"/>
    <w:rsid w:val="00920DAB"/>
    <w:rsid w:val="00920E04"/>
    <w:rsid w:val="00920FCD"/>
    <w:rsid w:val="0092126A"/>
    <w:rsid w:val="0092145B"/>
    <w:rsid w:val="00921460"/>
    <w:rsid w:val="0092149B"/>
    <w:rsid w:val="0092164B"/>
    <w:rsid w:val="00921733"/>
    <w:rsid w:val="009217CA"/>
    <w:rsid w:val="0092187F"/>
    <w:rsid w:val="0092190F"/>
    <w:rsid w:val="00921A99"/>
    <w:rsid w:val="00921BFA"/>
    <w:rsid w:val="00921E62"/>
    <w:rsid w:val="00921F71"/>
    <w:rsid w:val="0092209C"/>
    <w:rsid w:val="009220C1"/>
    <w:rsid w:val="00922224"/>
    <w:rsid w:val="00922230"/>
    <w:rsid w:val="0092238B"/>
    <w:rsid w:val="0092242E"/>
    <w:rsid w:val="0092249A"/>
    <w:rsid w:val="0092261D"/>
    <w:rsid w:val="00922636"/>
    <w:rsid w:val="00922878"/>
    <w:rsid w:val="0092289D"/>
    <w:rsid w:val="009229E3"/>
    <w:rsid w:val="00922B6D"/>
    <w:rsid w:val="00922BB2"/>
    <w:rsid w:val="00922C29"/>
    <w:rsid w:val="00922DBF"/>
    <w:rsid w:val="00922F35"/>
    <w:rsid w:val="00923049"/>
    <w:rsid w:val="00923111"/>
    <w:rsid w:val="009231A4"/>
    <w:rsid w:val="00923269"/>
    <w:rsid w:val="00923726"/>
    <w:rsid w:val="00923789"/>
    <w:rsid w:val="00923794"/>
    <w:rsid w:val="009238C2"/>
    <w:rsid w:val="009239EB"/>
    <w:rsid w:val="00923A0C"/>
    <w:rsid w:val="00923A66"/>
    <w:rsid w:val="00923B78"/>
    <w:rsid w:val="00923E8E"/>
    <w:rsid w:val="00923F4E"/>
    <w:rsid w:val="009240C9"/>
    <w:rsid w:val="00924217"/>
    <w:rsid w:val="00924252"/>
    <w:rsid w:val="00924407"/>
    <w:rsid w:val="00924565"/>
    <w:rsid w:val="009245CC"/>
    <w:rsid w:val="009245CF"/>
    <w:rsid w:val="0092477C"/>
    <w:rsid w:val="009247AD"/>
    <w:rsid w:val="009247C9"/>
    <w:rsid w:val="0092481B"/>
    <w:rsid w:val="009249C2"/>
    <w:rsid w:val="00924ACE"/>
    <w:rsid w:val="00924D4F"/>
    <w:rsid w:val="00924ECC"/>
    <w:rsid w:val="00924EE0"/>
    <w:rsid w:val="009251A0"/>
    <w:rsid w:val="0092520D"/>
    <w:rsid w:val="0092527F"/>
    <w:rsid w:val="009252C0"/>
    <w:rsid w:val="00925551"/>
    <w:rsid w:val="0092564B"/>
    <w:rsid w:val="00925842"/>
    <w:rsid w:val="009258F7"/>
    <w:rsid w:val="0092594C"/>
    <w:rsid w:val="00925AEC"/>
    <w:rsid w:val="00925C27"/>
    <w:rsid w:val="00925C8B"/>
    <w:rsid w:val="00925D19"/>
    <w:rsid w:val="00925DAA"/>
    <w:rsid w:val="00926008"/>
    <w:rsid w:val="0092611A"/>
    <w:rsid w:val="009261E8"/>
    <w:rsid w:val="009262F4"/>
    <w:rsid w:val="00926530"/>
    <w:rsid w:val="00926835"/>
    <w:rsid w:val="00926890"/>
    <w:rsid w:val="009269FE"/>
    <w:rsid w:val="00926CB8"/>
    <w:rsid w:val="00926D9B"/>
    <w:rsid w:val="00926DE2"/>
    <w:rsid w:val="00926E1D"/>
    <w:rsid w:val="00926E96"/>
    <w:rsid w:val="00926F5D"/>
    <w:rsid w:val="009272FB"/>
    <w:rsid w:val="009273C5"/>
    <w:rsid w:val="0092758B"/>
    <w:rsid w:val="00927658"/>
    <w:rsid w:val="009278D8"/>
    <w:rsid w:val="009279A2"/>
    <w:rsid w:val="00927A19"/>
    <w:rsid w:val="00927A58"/>
    <w:rsid w:val="00927A71"/>
    <w:rsid w:val="00927D68"/>
    <w:rsid w:val="00927DC9"/>
    <w:rsid w:val="00927FA4"/>
    <w:rsid w:val="009300BC"/>
    <w:rsid w:val="00930118"/>
    <w:rsid w:val="0093029D"/>
    <w:rsid w:val="009302B4"/>
    <w:rsid w:val="00930395"/>
    <w:rsid w:val="009303A3"/>
    <w:rsid w:val="009303B8"/>
    <w:rsid w:val="009303FD"/>
    <w:rsid w:val="0093049D"/>
    <w:rsid w:val="009306C0"/>
    <w:rsid w:val="00930894"/>
    <w:rsid w:val="00930BDD"/>
    <w:rsid w:val="00930C64"/>
    <w:rsid w:val="00930C91"/>
    <w:rsid w:val="00930DEE"/>
    <w:rsid w:val="00930FF0"/>
    <w:rsid w:val="00931049"/>
    <w:rsid w:val="009314E3"/>
    <w:rsid w:val="0093162C"/>
    <w:rsid w:val="0093163F"/>
    <w:rsid w:val="00931717"/>
    <w:rsid w:val="00931788"/>
    <w:rsid w:val="00931899"/>
    <w:rsid w:val="009319F2"/>
    <w:rsid w:val="00931B79"/>
    <w:rsid w:val="00931C83"/>
    <w:rsid w:val="00931CFE"/>
    <w:rsid w:val="00931D37"/>
    <w:rsid w:val="00931D61"/>
    <w:rsid w:val="00931DA9"/>
    <w:rsid w:val="00931DDF"/>
    <w:rsid w:val="00931E40"/>
    <w:rsid w:val="00931EA6"/>
    <w:rsid w:val="00931EC9"/>
    <w:rsid w:val="00932008"/>
    <w:rsid w:val="0093201E"/>
    <w:rsid w:val="009321E5"/>
    <w:rsid w:val="0093235F"/>
    <w:rsid w:val="00932401"/>
    <w:rsid w:val="009324F6"/>
    <w:rsid w:val="009325AB"/>
    <w:rsid w:val="00932639"/>
    <w:rsid w:val="009326B0"/>
    <w:rsid w:val="009326B5"/>
    <w:rsid w:val="00932879"/>
    <w:rsid w:val="00932AED"/>
    <w:rsid w:val="00932CA0"/>
    <w:rsid w:val="00932D0A"/>
    <w:rsid w:val="00933048"/>
    <w:rsid w:val="00933122"/>
    <w:rsid w:val="00933124"/>
    <w:rsid w:val="0093317F"/>
    <w:rsid w:val="00933183"/>
    <w:rsid w:val="00933219"/>
    <w:rsid w:val="0093326E"/>
    <w:rsid w:val="009332E1"/>
    <w:rsid w:val="00933461"/>
    <w:rsid w:val="00933499"/>
    <w:rsid w:val="0093355B"/>
    <w:rsid w:val="0093387E"/>
    <w:rsid w:val="009339DC"/>
    <w:rsid w:val="009339EB"/>
    <w:rsid w:val="00933A06"/>
    <w:rsid w:val="00933CB1"/>
    <w:rsid w:val="00933E64"/>
    <w:rsid w:val="00933FDB"/>
    <w:rsid w:val="0093403E"/>
    <w:rsid w:val="009340D7"/>
    <w:rsid w:val="009340DC"/>
    <w:rsid w:val="00934122"/>
    <w:rsid w:val="009341C7"/>
    <w:rsid w:val="00934217"/>
    <w:rsid w:val="00934319"/>
    <w:rsid w:val="00934416"/>
    <w:rsid w:val="009344FA"/>
    <w:rsid w:val="009346ED"/>
    <w:rsid w:val="0093479D"/>
    <w:rsid w:val="00934816"/>
    <w:rsid w:val="00934855"/>
    <w:rsid w:val="00934A25"/>
    <w:rsid w:val="00934AA3"/>
    <w:rsid w:val="00934BA6"/>
    <w:rsid w:val="00934BF0"/>
    <w:rsid w:val="00934DC8"/>
    <w:rsid w:val="00934EDA"/>
    <w:rsid w:val="00935597"/>
    <w:rsid w:val="0093575A"/>
    <w:rsid w:val="00935874"/>
    <w:rsid w:val="00935BF1"/>
    <w:rsid w:val="00935DC9"/>
    <w:rsid w:val="0093604A"/>
    <w:rsid w:val="00936230"/>
    <w:rsid w:val="009366CF"/>
    <w:rsid w:val="00936808"/>
    <w:rsid w:val="00936817"/>
    <w:rsid w:val="0093687D"/>
    <w:rsid w:val="009368F7"/>
    <w:rsid w:val="009369E2"/>
    <w:rsid w:val="00936B0B"/>
    <w:rsid w:val="00936E45"/>
    <w:rsid w:val="0093708F"/>
    <w:rsid w:val="009371FB"/>
    <w:rsid w:val="00937296"/>
    <w:rsid w:val="009375C3"/>
    <w:rsid w:val="009375CC"/>
    <w:rsid w:val="00937664"/>
    <w:rsid w:val="00937A4D"/>
    <w:rsid w:val="00937AC0"/>
    <w:rsid w:val="00937D01"/>
    <w:rsid w:val="00937DE7"/>
    <w:rsid w:val="00937E0D"/>
    <w:rsid w:val="00937E51"/>
    <w:rsid w:val="00937F67"/>
    <w:rsid w:val="00937F78"/>
    <w:rsid w:val="00940037"/>
    <w:rsid w:val="009400CE"/>
    <w:rsid w:val="009401AD"/>
    <w:rsid w:val="00940222"/>
    <w:rsid w:val="0094027C"/>
    <w:rsid w:val="0094039A"/>
    <w:rsid w:val="009403A7"/>
    <w:rsid w:val="009403C3"/>
    <w:rsid w:val="00940474"/>
    <w:rsid w:val="00940569"/>
    <w:rsid w:val="009406C3"/>
    <w:rsid w:val="00940B0F"/>
    <w:rsid w:val="00940D21"/>
    <w:rsid w:val="00940F58"/>
    <w:rsid w:val="00941058"/>
    <w:rsid w:val="0094118D"/>
    <w:rsid w:val="009411AE"/>
    <w:rsid w:val="0094135E"/>
    <w:rsid w:val="00941505"/>
    <w:rsid w:val="009415D4"/>
    <w:rsid w:val="009415E1"/>
    <w:rsid w:val="0094168B"/>
    <w:rsid w:val="009416F1"/>
    <w:rsid w:val="0094194D"/>
    <w:rsid w:val="00941A12"/>
    <w:rsid w:val="00941A28"/>
    <w:rsid w:val="00941D49"/>
    <w:rsid w:val="00941D73"/>
    <w:rsid w:val="00941DFE"/>
    <w:rsid w:val="00941ED2"/>
    <w:rsid w:val="00941F8C"/>
    <w:rsid w:val="00941FA5"/>
    <w:rsid w:val="00941FE5"/>
    <w:rsid w:val="0094202A"/>
    <w:rsid w:val="009420E4"/>
    <w:rsid w:val="0094220B"/>
    <w:rsid w:val="0094235E"/>
    <w:rsid w:val="009423A3"/>
    <w:rsid w:val="00942592"/>
    <w:rsid w:val="009425CD"/>
    <w:rsid w:val="0094264D"/>
    <w:rsid w:val="0094287D"/>
    <w:rsid w:val="0094294B"/>
    <w:rsid w:val="009429A7"/>
    <w:rsid w:val="00942B27"/>
    <w:rsid w:val="00942BAC"/>
    <w:rsid w:val="00942D22"/>
    <w:rsid w:val="00942EA4"/>
    <w:rsid w:val="009431B0"/>
    <w:rsid w:val="0094332B"/>
    <w:rsid w:val="0094346F"/>
    <w:rsid w:val="009434B1"/>
    <w:rsid w:val="009434B2"/>
    <w:rsid w:val="009435AA"/>
    <w:rsid w:val="00943675"/>
    <w:rsid w:val="0094378D"/>
    <w:rsid w:val="009438C4"/>
    <w:rsid w:val="009439A1"/>
    <w:rsid w:val="00943B40"/>
    <w:rsid w:val="00943BE9"/>
    <w:rsid w:val="00943C3B"/>
    <w:rsid w:val="00943D1A"/>
    <w:rsid w:val="00943E13"/>
    <w:rsid w:val="00943E2C"/>
    <w:rsid w:val="00943F9D"/>
    <w:rsid w:val="00944042"/>
    <w:rsid w:val="0094413F"/>
    <w:rsid w:val="009441F2"/>
    <w:rsid w:val="0094427A"/>
    <w:rsid w:val="0094428F"/>
    <w:rsid w:val="00944606"/>
    <w:rsid w:val="0094477E"/>
    <w:rsid w:val="00944864"/>
    <w:rsid w:val="00944A8D"/>
    <w:rsid w:val="00944A96"/>
    <w:rsid w:val="00944AA6"/>
    <w:rsid w:val="00944B10"/>
    <w:rsid w:val="00944B8E"/>
    <w:rsid w:val="00944D3C"/>
    <w:rsid w:val="00944DDC"/>
    <w:rsid w:val="00944DE7"/>
    <w:rsid w:val="00944FA1"/>
    <w:rsid w:val="0094501F"/>
    <w:rsid w:val="00945071"/>
    <w:rsid w:val="00945081"/>
    <w:rsid w:val="0094509F"/>
    <w:rsid w:val="00945127"/>
    <w:rsid w:val="00945168"/>
    <w:rsid w:val="009452FD"/>
    <w:rsid w:val="0094553C"/>
    <w:rsid w:val="009456AE"/>
    <w:rsid w:val="0094586F"/>
    <w:rsid w:val="00945A77"/>
    <w:rsid w:val="00945BB3"/>
    <w:rsid w:val="00945C72"/>
    <w:rsid w:val="00945C7D"/>
    <w:rsid w:val="00945CB6"/>
    <w:rsid w:val="00945E06"/>
    <w:rsid w:val="009460BD"/>
    <w:rsid w:val="00946132"/>
    <w:rsid w:val="00946194"/>
    <w:rsid w:val="0094626E"/>
    <w:rsid w:val="009463AA"/>
    <w:rsid w:val="009463F5"/>
    <w:rsid w:val="009464B2"/>
    <w:rsid w:val="00946532"/>
    <w:rsid w:val="009465CC"/>
    <w:rsid w:val="009465F9"/>
    <w:rsid w:val="009466C1"/>
    <w:rsid w:val="0094686A"/>
    <w:rsid w:val="009469F4"/>
    <w:rsid w:val="00946AEF"/>
    <w:rsid w:val="00946B6F"/>
    <w:rsid w:val="00946D6C"/>
    <w:rsid w:val="00946E30"/>
    <w:rsid w:val="009470B2"/>
    <w:rsid w:val="0094720E"/>
    <w:rsid w:val="0094726A"/>
    <w:rsid w:val="009472ED"/>
    <w:rsid w:val="0094739D"/>
    <w:rsid w:val="00947410"/>
    <w:rsid w:val="009474DD"/>
    <w:rsid w:val="00947656"/>
    <w:rsid w:val="009476E7"/>
    <w:rsid w:val="00947721"/>
    <w:rsid w:val="00947802"/>
    <w:rsid w:val="00947924"/>
    <w:rsid w:val="00947AD4"/>
    <w:rsid w:val="00947D7D"/>
    <w:rsid w:val="00950023"/>
    <w:rsid w:val="009500D6"/>
    <w:rsid w:val="0095027E"/>
    <w:rsid w:val="009503DB"/>
    <w:rsid w:val="009503E1"/>
    <w:rsid w:val="00950428"/>
    <w:rsid w:val="00950509"/>
    <w:rsid w:val="0095059F"/>
    <w:rsid w:val="009506C7"/>
    <w:rsid w:val="009507FE"/>
    <w:rsid w:val="00950806"/>
    <w:rsid w:val="0095093E"/>
    <w:rsid w:val="00950A6A"/>
    <w:rsid w:val="00950AB6"/>
    <w:rsid w:val="00950AC6"/>
    <w:rsid w:val="00950C3B"/>
    <w:rsid w:val="00950C8F"/>
    <w:rsid w:val="00950CFE"/>
    <w:rsid w:val="009510DE"/>
    <w:rsid w:val="00951172"/>
    <w:rsid w:val="009513BD"/>
    <w:rsid w:val="0095145E"/>
    <w:rsid w:val="0095146B"/>
    <w:rsid w:val="009514B3"/>
    <w:rsid w:val="0095156B"/>
    <w:rsid w:val="00951663"/>
    <w:rsid w:val="009516BB"/>
    <w:rsid w:val="009516F4"/>
    <w:rsid w:val="00951718"/>
    <w:rsid w:val="00951772"/>
    <w:rsid w:val="009517F5"/>
    <w:rsid w:val="00951942"/>
    <w:rsid w:val="00951A5F"/>
    <w:rsid w:val="00951AAB"/>
    <w:rsid w:val="00951ADA"/>
    <w:rsid w:val="00951B0C"/>
    <w:rsid w:val="00951B7F"/>
    <w:rsid w:val="00951F65"/>
    <w:rsid w:val="00952041"/>
    <w:rsid w:val="00952063"/>
    <w:rsid w:val="00952089"/>
    <w:rsid w:val="009520A9"/>
    <w:rsid w:val="009524CD"/>
    <w:rsid w:val="009526B8"/>
    <w:rsid w:val="00952722"/>
    <w:rsid w:val="009529B9"/>
    <w:rsid w:val="00952AD2"/>
    <w:rsid w:val="00952ADD"/>
    <w:rsid w:val="00952AE5"/>
    <w:rsid w:val="00952D8F"/>
    <w:rsid w:val="00952DF2"/>
    <w:rsid w:val="00952E29"/>
    <w:rsid w:val="00953070"/>
    <w:rsid w:val="0095369E"/>
    <w:rsid w:val="00953721"/>
    <w:rsid w:val="0095396B"/>
    <w:rsid w:val="009539BE"/>
    <w:rsid w:val="009539FF"/>
    <w:rsid w:val="00953A5C"/>
    <w:rsid w:val="00953B60"/>
    <w:rsid w:val="00953BBC"/>
    <w:rsid w:val="00953C00"/>
    <w:rsid w:val="00953EE2"/>
    <w:rsid w:val="00954208"/>
    <w:rsid w:val="009542CE"/>
    <w:rsid w:val="009542D9"/>
    <w:rsid w:val="00954370"/>
    <w:rsid w:val="0095445B"/>
    <w:rsid w:val="009546FA"/>
    <w:rsid w:val="00954747"/>
    <w:rsid w:val="009547C8"/>
    <w:rsid w:val="00954939"/>
    <w:rsid w:val="00954AB3"/>
    <w:rsid w:val="00955127"/>
    <w:rsid w:val="009551AA"/>
    <w:rsid w:val="009551D4"/>
    <w:rsid w:val="00955620"/>
    <w:rsid w:val="0095569A"/>
    <w:rsid w:val="00955706"/>
    <w:rsid w:val="00955880"/>
    <w:rsid w:val="009558D2"/>
    <w:rsid w:val="00955953"/>
    <w:rsid w:val="00955971"/>
    <w:rsid w:val="00955A78"/>
    <w:rsid w:val="00955B7B"/>
    <w:rsid w:val="00955D32"/>
    <w:rsid w:val="00955DC3"/>
    <w:rsid w:val="00955DCE"/>
    <w:rsid w:val="00955E76"/>
    <w:rsid w:val="00955FA7"/>
    <w:rsid w:val="00956062"/>
    <w:rsid w:val="00956089"/>
    <w:rsid w:val="009560BF"/>
    <w:rsid w:val="009562FE"/>
    <w:rsid w:val="009563B3"/>
    <w:rsid w:val="009563C0"/>
    <w:rsid w:val="0095640B"/>
    <w:rsid w:val="009564AF"/>
    <w:rsid w:val="00956692"/>
    <w:rsid w:val="00956717"/>
    <w:rsid w:val="0095687B"/>
    <w:rsid w:val="0095687C"/>
    <w:rsid w:val="00956A09"/>
    <w:rsid w:val="00956B56"/>
    <w:rsid w:val="00956CFB"/>
    <w:rsid w:val="00956DB0"/>
    <w:rsid w:val="00956DC9"/>
    <w:rsid w:val="00956DCD"/>
    <w:rsid w:val="00956F42"/>
    <w:rsid w:val="00957103"/>
    <w:rsid w:val="0095721C"/>
    <w:rsid w:val="009575AD"/>
    <w:rsid w:val="009577C7"/>
    <w:rsid w:val="00957893"/>
    <w:rsid w:val="0095799D"/>
    <w:rsid w:val="009579E9"/>
    <w:rsid w:val="00957A61"/>
    <w:rsid w:val="00957ACE"/>
    <w:rsid w:val="00957B8F"/>
    <w:rsid w:val="00957CDE"/>
    <w:rsid w:val="00957D5F"/>
    <w:rsid w:val="0096000A"/>
    <w:rsid w:val="00960021"/>
    <w:rsid w:val="009601CD"/>
    <w:rsid w:val="00960266"/>
    <w:rsid w:val="009602F8"/>
    <w:rsid w:val="009603DB"/>
    <w:rsid w:val="009604CB"/>
    <w:rsid w:val="00960527"/>
    <w:rsid w:val="00960553"/>
    <w:rsid w:val="00960595"/>
    <w:rsid w:val="00960799"/>
    <w:rsid w:val="009607C0"/>
    <w:rsid w:val="009608FC"/>
    <w:rsid w:val="00960AC6"/>
    <w:rsid w:val="00960B6F"/>
    <w:rsid w:val="00960BBE"/>
    <w:rsid w:val="00960C01"/>
    <w:rsid w:val="00960F9F"/>
    <w:rsid w:val="00961038"/>
    <w:rsid w:val="009610FD"/>
    <w:rsid w:val="0096110D"/>
    <w:rsid w:val="0096118B"/>
    <w:rsid w:val="009612B0"/>
    <w:rsid w:val="009612B7"/>
    <w:rsid w:val="009613F7"/>
    <w:rsid w:val="00961567"/>
    <w:rsid w:val="00961651"/>
    <w:rsid w:val="00961735"/>
    <w:rsid w:val="00961814"/>
    <w:rsid w:val="0096181A"/>
    <w:rsid w:val="0096187D"/>
    <w:rsid w:val="00961889"/>
    <w:rsid w:val="009618EB"/>
    <w:rsid w:val="00961912"/>
    <w:rsid w:val="00961CBC"/>
    <w:rsid w:val="00961D74"/>
    <w:rsid w:val="00961F32"/>
    <w:rsid w:val="00961FED"/>
    <w:rsid w:val="009621D2"/>
    <w:rsid w:val="009622C1"/>
    <w:rsid w:val="009624CA"/>
    <w:rsid w:val="00962568"/>
    <w:rsid w:val="00962793"/>
    <w:rsid w:val="00962811"/>
    <w:rsid w:val="009628D9"/>
    <w:rsid w:val="0096291E"/>
    <w:rsid w:val="00962999"/>
    <w:rsid w:val="00962A59"/>
    <w:rsid w:val="00962D79"/>
    <w:rsid w:val="00962DAB"/>
    <w:rsid w:val="00962F30"/>
    <w:rsid w:val="00962FF2"/>
    <w:rsid w:val="00963035"/>
    <w:rsid w:val="00963120"/>
    <w:rsid w:val="0096327B"/>
    <w:rsid w:val="0096328B"/>
    <w:rsid w:val="0096342C"/>
    <w:rsid w:val="00963598"/>
    <w:rsid w:val="00963663"/>
    <w:rsid w:val="0096368B"/>
    <w:rsid w:val="0096391B"/>
    <w:rsid w:val="00963933"/>
    <w:rsid w:val="0096396C"/>
    <w:rsid w:val="009639C2"/>
    <w:rsid w:val="00963A14"/>
    <w:rsid w:val="00963A7D"/>
    <w:rsid w:val="00963D14"/>
    <w:rsid w:val="00963D7A"/>
    <w:rsid w:val="00963E0B"/>
    <w:rsid w:val="00963E21"/>
    <w:rsid w:val="009640BE"/>
    <w:rsid w:val="00964184"/>
    <w:rsid w:val="009641AA"/>
    <w:rsid w:val="0096440B"/>
    <w:rsid w:val="00964459"/>
    <w:rsid w:val="009644B4"/>
    <w:rsid w:val="009646D5"/>
    <w:rsid w:val="009648B7"/>
    <w:rsid w:val="00964995"/>
    <w:rsid w:val="009649A8"/>
    <w:rsid w:val="00964A37"/>
    <w:rsid w:val="00964A3D"/>
    <w:rsid w:val="00964D84"/>
    <w:rsid w:val="00964DA0"/>
    <w:rsid w:val="00964E0C"/>
    <w:rsid w:val="00964E95"/>
    <w:rsid w:val="00964FD1"/>
    <w:rsid w:val="00964FFC"/>
    <w:rsid w:val="0096501E"/>
    <w:rsid w:val="009652AF"/>
    <w:rsid w:val="009652B7"/>
    <w:rsid w:val="0096538A"/>
    <w:rsid w:val="009657DA"/>
    <w:rsid w:val="00965848"/>
    <w:rsid w:val="009659E9"/>
    <w:rsid w:val="00965C2A"/>
    <w:rsid w:val="00965D14"/>
    <w:rsid w:val="00965D2F"/>
    <w:rsid w:val="00965DDE"/>
    <w:rsid w:val="00965E5B"/>
    <w:rsid w:val="00965F11"/>
    <w:rsid w:val="00966063"/>
    <w:rsid w:val="0096607F"/>
    <w:rsid w:val="00966203"/>
    <w:rsid w:val="0096624F"/>
    <w:rsid w:val="009662AF"/>
    <w:rsid w:val="009663F4"/>
    <w:rsid w:val="0096646F"/>
    <w:rsid w:val="0096658B"/>
    <w:rsid w:val="009665D0"/>
    <w:rsid w:val="009667B4"/>
    <w:rsid w:val="009667DB"/>
    <w:rsid w:val="00966B55"/>
    <w:rsid w:val="00966C96"/>
    <w:rsid w:val="00966DC9"/>
    <w:rsid w:val="00966E5D"/>
    <w:rsid w:val="00967058"/>
    <w:rsid w:val="00967065"/>
    <w:rsid w:val="00967103"/>
    <w:rsid w:val="00967174"/>
    <w:rsid w:val="009671D2"/>
    <w:rsid w:val="00967453"/>
    <w:rsid w:val="0096748D"/>
    <w:rsid w:val="009674B4"/>
    <w:rsid w:val="0096765B"/>
    <w:rsid w:val="00967721"/>
    <w:rsid w:val="009677B8"/>
    <w:rsid w:val="00967A76"/>
    <w:rsid w:val="00967DCF"/>
    <w:rsid w:val="00967EBD"/>
    <w:rsid w:val="00967F94"/>
    <w:rsid w:val="00970181"/>
    <w:rsid w:val="0097019D"/>
    <w:rsid w:val="009701B3"/>
    <w:rsid w:val="00970367"/>
    <w:rsid w:val="0097036C"/>
    <w:rsid w:val="00970451"/>
    <w:rsid w:val="00970698"/>
    <w:rsid w:val="00970752"/>
    <w:rsid w:val="00970A61"/>
    <w:rsid w:val="00970A88"/>
    <w:rsid w:val="00970A95"/>
    <w:rsid w:val="00970DED"/>
    <w:rsid w:val="00970E41"/>
    <w:rsid w:val="0097110E"/>
    <w:rsid w:val="00971295"/>
    <w:rsid w:val="00971308"/>
    <w:rsid w:val="0097131E"/>
    <w:rsid w:val="009713A3"/>
    <w:rsid w:val="0097143E"/>
    <w:rsid w:val="00971576"/>
    <w:rsid w:val="00971594"/>
    <w:rsid w:val="00971A95"/>
    <w:rsid w:val="00971AF3"/>
    <w:rsid w:val="00971C3B"/>
    <w:rsid w:val="00971C58"/>
    <w:rsid w:val="00971D71"/>
    <w:rsid w:val="00972099"/>
    <w:rsid w:val="00972449"/>
    <w:rsid w:val="00972626"/>
    <w:rsid w:val="00972675"/>
    <w:rsid w:val="0097277E"/>
    <w:rsid w:val="0097279A"/>
    <w:rsid w:val="00972A89"/>
    <w:rsid w:val="00972A91"/>
    <w:rsid w:val="00972B26"/>
    <w:rsid w:val="00972B8B"/>
    <w:rsid w:val="00972B93"/>
    <w:rsid w:val="00972BA8"/>
    <w:rsid w:val="00972BB0"/>
    <w:rsid w:val="00972C2A"/>
    <w:rsid w:val="00972C74"/>
    <w:rsid w:val="00972C91"/>
    <w:rsid w:val="00972D9B"/>
    <w:rsid w:val="00972E80"/>
    <w:rsid w:val="00972FC8"/>
    <w:rsid w:val="0097303A"/>
    <w:rsid w:val="009731D2"/>
    <w:rsid w:val="0097326B"/>
    <w:rsid w:val="0097367A"/>
    <w:rsid w:val="009736F0"/>
    <w:rsid w:val="00973847"/>
    <w:rsid w:val="0097385E"/>
    <w:rsid w:val="00973973"/>
    <w:rsid w:val="00973ABC"/>
    <w:rsid w:val="00973BA1"/>
    <w:rsid w:val="00973C04"/>
    <w:rsid w:val="00973CD4"/>
    <w:rsid w:val="00973E68"/>
    <w:rsid w:val="00973FA4"/>
    <w:rsid w:val="009741AA"/>
    <w:rsid w:val="00974262"/>
    <w:rsid w:val="009742FA"/>
    <w:rsid w:val="00974745"/>
    <w:rsid w:val="009747F8"/>
    <w:rsid w:val="00974A6F"/>
    <w:rsid w:val="00974C9B"/>
    <w:rsid w:val="00974E24"/>
    <w:rsid w:val="00974F2F"/>
    <w:rsid w:val="00975099"/>
    <w:rsid w:val="009751C0"/>
    <w:rsid w:val="00975612"/>
    <w:rsid w:val="00975842"/>
    <w:rsid w:val="009758BB"/>
    <w:rsid w:val="00975B65"/>
    <w:rsid w:val="00975BEC"/>
    <w:rsid w:val="00975DEC"/>
    <w:rsid w:val="00975EF6"/>
    <w:rsid w:val="00975FCE"/>
    <w:rsid w:val="0097603E"/>
    <w:rsid w:val="00976053"/>
    <w:rsid w:val="009760FD"/>
    <w:rsid w:val="009761E7"/>
    <w:rsid w:val="0097631E"/>
    <w:rsid w:val="00976436"/>
    <w:rsid w:val="00976509"/>
    <w:rsid w:val="00976740"/>
    <w:rsid w:val="0097680D"/>
    <w:rsid w:val="009768E0"/>
    <w:rsid w:val="009768EE"/>
    <w:rsid w:val="009769B5"/>
    <w:rsid w:val="00976D91"/>
    <w:rsid w:val="00976E0C"/>
    <w:rsid w:val="00976F3C"/>
    <w:rsid w:val="00976F7F"/>
    <w:rsid w:val="00976FED"/>
    <w:rsid w:val="009770FE"/>
    <w:rsid w:val="0097711B"/>
    <w:rsid w:val="00977405"/>
    <w:rsid w:val="009777B2"/>
    <w:rsid w:val="0097796E"/>
    <w:rsid w:val="00977AA2"/>
    <w:rsid w:val="00977C20"/>
    <w:rsid w:val="00977CE2"/>
    <w:rsid w:val="00977CEB"/>
    <w:rsid w:val="00977E25"/>
    <w:rsid w:val="00977E5D"/>
    <w:rsid w:val="00977E5E"/>
    <w:rsid w:val="00977FD4"/>
    <w:rsid w:val="0098009B"/>
    <w:rsid w:val="009800CC"/>
    <w:rsid w:val="009801B5"/>
    <w:rsid w:val="0098028B"/>
    <w:rsid w:val="0098059B"/>
    <w:rsid w:val="0098062D"/>
    <w:rsid w:val="00980650"/>
    <w:rsid w:val="009806D9"/>
    <w:rsid w:val="00980714"/>
    <w:rsid w:val="0098072C"/>
    <w:rsid w:val="00980737"/>
    <w:rsid w:val="009807B8"/>
    <w:rsid w:val="00980A0E"/>
    <w:rsid w:val="00980BA1"/>
    <w:rsid w:val="00980BE1"/>
    <w:rsid w:val="00980EA9"/>
    <w:rsid w:val="00980F38"/>
    <w:rsid w:val="00980FF4"/>
    <w:rsid w:val="00981277"/>
    <w:rsid w:val="00981286"/>
    <w:rsid w:val="0098145F"/>
    <w:rsid w:val="009814A7"/>
    <w:rsid w:val="00981573"/>
    <w:rsid w:val="00981688"/>
    <w:rsid w:val="00981718"/>
    <w:rsid w:val="009817C5"/>
    <w:rsid w:val="00981AB4"/>
    <w:rsid w:val="00981ACF"/>
    <w:rsid w:val="00981D86"/>
    <w:rsid w:val="00981DE1"/>
    <w:rsid w:val="00981E01"/>
    <w:rsid w:val="00981F42"/>
    <w:rsid w:val="00981FAE"/>
    <w:rsid w:val="00982086"/>
    <w:rsid w:val="0098222B"/>
    <w:rsid w:val="009823C6"/>
    <w:rsid w:val="00982626"/>
    <w:rsid w:val="00982651"/>
    <w:rsid w:val="009827B4"/>
    <w:rsid w:val="009827FC"/>
    <w:rsid w:val="00982918"/>
    <w:rsid w:val="00982995"/>
    <w:rsid w:val="00982996"/>
    <w:rsid w:val="00982B83"/>
    <w:rsid w:val="00982BBE"/>
    <w:rsid w:val="00982C84"/>
    <w:rsid w:val="00982C98"/>
    <w:rsid w:val="00982F96"/>
    <w:rsid w:val="00983089"/>
    <w:rsid w:val="00983310"/>
    <w:rsid w:val="0098333E"/>
    <w:rsid w:val="0098336E"/>
    <w:rsid w:val="009833E2"/>
    <w:rsid w:val="0098345A"/>
    <w:rsid w:val="0098348A"/>
    <w:rsid w:val="0098352E"/>
    <w:rsid w:val="009835D1"/>
    <w:rsid w:val="0098360B"/>
    <w:rsid w:val="0098376F"/>
    <w:rsid w:val="00983940"/>
    <w:rsid w:val="00983978"/>
    <w:rsid w:val="009839E7"/>
    <w:rsid w:val="009839FC"/>
    <w:rsid w:val="00983BCE"/>
    <w:rsid w:val="00983C02"/>
    <w:rsid w:val="00983E12"/>
    <w:rsid w:val="00983EB9"/>
    <w:rsid w:val="00983F4E"/>
    <w:rsid w:val="00984300"/>
    <w:rsid w:val="00984497"/>
    <w:rsid w:val="00984506"/>
    <w:rsid w:val="0098453D"/>
    <w:rsid w:val="00984756"/>
    <w:rsid w:val="009847D8"/>
    <w:rsid w:val="009848DA"/>
    <w:rsid w:val="00984CF1"/>
    <w:rsid w:val="00984D05"/>
    <w:rsid w:val="00984D2F"/>
    <w:rsid w:val="00984D61"/>
    <w:rsid w:val="00984E07"/>
    <w:rsid w:val="00984E0A"/>
    <w:rsid w:val="00984E8F"/>
    <w:rsid w:val="00984F11"/>
    <w:rsid w:val="0098523D"/>
    <w:rsid w:val="009852ED"/>
    <w:rsid w:val="0098543A"/>
    <w:rsid w:val="0098561A"/>
    <w:rsid w:val="009856B4"/>
    <w:rsid w:val="009856CF"/>
    <w:rsid w:val="009856D3"/>
    <w:rsid w:val="00985718"/>
    <w:rsid w:val="009857FC"/>
    <w:rsid w:val="00985812"/>
    <w:rsid w:val="009859B7"/>
    <w:rsid w:val="00985A60"/>
    <w:rsid w:val="00985A8A"/>
    <w:rsid w:val="00985A92"/>
    <w:rsid w:val="00985CDF"/>
    <w:rsid w:val="00985D51"/>
    <w:rsid w:val="00985DB3"/>
    <w:rsid w:val="00985E62"/>
    <w:rsid w:val="009860E4"/>
    <w:rsid w:val="00986132"/>
    <w:rsid w:val="00986138"/>
    <w:rsid w:val="0098621C"/>
    <w:rsid w:val="0098624F"/>
    <w:rsid w:val="00986295"/>
    <w:rsid w:val="0098642E"/>
    <w:rsid w:val="00986660"/>
    <w:rsid w:val="009869C9"/>
    <w:rsid w:val="00986BEF"/>
    <w:rsid w:val="00986C26"/>
    <w:rsid w:val="00986E93"/>
    <w:rsid w:val="00987325"/>
    <w:rsid w:val="00987350"/>
    <w:rsid w:val="00987383"/>
    <w:rsid w:val="00987672"/>
    <w:rsid w:val="0098772A"/>
    <w:rsid w:val="009879BE"/>
    <w:rsid w:val="00987E2F"/>
    <w:rsid w:val="00987EAF"/>
    <w:rsid w:val="0099013A"/>
    <w:rsid w:val="00990280"/>
    <w:rsid w:val="009903B1"/>
    <w:rsid w:val="0099058D"/>
    <w:rsid w:val="009905A5"/>
    <w:rsid w:val="009906D9"/>
    <w:rsid w:val="00990835"/>
    <w:rsid w:val="0099084B"/>
    <w:rsid w:val="009908F7"/>
    <w:rsid w:val="009909A0"/>
    <w:rsid w:val="009909BA"/>
    <w:rsid w:val="00990B26"/>
    <w:rsid w:val="00990B42"/>
    <w:rsid w:val="00990BA9"/>
    <w:rsid w:val="0099141D"/>
    <w:rsid w:val="0099145D"/>
    <w:rsid w:val="009914B4"/>
    <w:rsid w:val="009915AB"/>
    <w:rsid w:val="00991638"/>
    <w:rsid w:val="009917BE"/>
    <w:rsid w:val="00991A84"/>
    <w:rsid w:val="00991B5B"/>
    <w:rsid w:val="00991D49"/>
    <w:rsid w:val="00991D5F"/>
    <w:rsid w:val="00991EE7"/>
    <w:rsid w:val="009922DC"/>
    <w:rsid w:val="00992494"/>
    <w:rsid w:val="00992513"/>
    <w:rsid w:val="00992515"/>
    <w:rsid w:val="00992575"/>
    <w:rsid w:val="0099267F"/>
    <w:rsid w:val="00992766"/>
    <w:rsid w:val="009927CC"/>
    <w:rsid w:val="009928EC"/>
    <w:rsid w:val="00992BA9"/>
    <w:rsid w:val="00992BBB"/>
    <w:rsid w:val="00992D4F"/>
    <w:rsid w:val="00992DE6"/>
    <w:rsid w:val="00992E04"/>
    <w:rsid w:val="009930C5"/>
    <w:rsid w:val="009930FB"/>
    <w:rsid w:val="009931C8"/>
    <w:rsid w:val="009933C6"/>
    <w:rsid w:val="009934BF"/>
    <w:rsid w:val="009934F3"/>
    <w:rsid w:val="00993521"/>
    <w:rsid w:val="009935F6"/>
    <w:rsid w:val="009936C3"/>
    <w:rsid w:val="009938CC"/>
    <w:rsid w:val="0099396B"/>
    <w:rsid w:val="00993A0A"/>
    <w:rsid w:val="00993AAC"/>
    <w:rsid w:val="00993C5D"/>
    <w:rsid w:val="00993CC6"/>
    <w:rsid w:val="00993DB8"/>
    <w:rsid w:val="00993EE9"/>
    <w:rsid w:val="00994086"/>
    <w:rsid w:val="009943D2"/>
    <w:rsid w:val="0099442E"/>
    <w:rsid w:val="009944F5"/>
    <w:rsid w:val="0099453C"/>
    <w:rsid w:val="009947FC"/>
    <w:rsid w:val="00994846"/>
    <w:rsid w:val="0099497E"/>
    <w:rsid w:val="00994B0C"/>
    <w:rsid w:val="00994B35"/>
    <w:rsid w:val="00994B48"/>
    <w:rsid w:val="00994C23"/>
    <w:rsid w:val="00994DE2"/>
    <w:rsid w:val="00994E0F"/>
    <w:rsid w:val="00994EE9"/>
    <w:rsid w:val="00994F87"/>
    <w:rsid w:val="00994F9F"/>
    <w:rsid w:val="009951B9"/>
    <w:rsid w:val="009951F8"/>
    <w:rsid w:val="0099526E"/>
    <w:rsid w:val="009954BC"/>
    <w:rsid w:val="00995576"/>
    <w:rsid w:val="009959A1"/>
    <w:rsid w:val="00995A1D"/>
    <w:rsid w:val="00995B5C"/>
    <w:rsid w:val="00995E53"/>
    <w:rsid w:val="0099627F"/>
    <w:rsid w:val="00996305"/>
    <w:rsid w:val="009963FB"/>
    <w:rsid w:val="0099645C"/>
    <w:rsid w:val="009964D2"/>
    <w:rsid w:val="0099650D"/>
    <w:rsid w:val="0099658E"/>
    <w:rsid w:val="009965C6"/>
    <w:rsid w:val="009965DA"/>
    <w:rsid w:val="0099662E"/>
    <w:rsid w:val="00996823"/>
    <w:rsid w:val="0099684B"/>
    <w:rsid w:val="0099685B"/>
    <w:rsid w:val="00996914"/>
    <w:rsid w:val="00996C09"/>
    <w:rsid w:val="00996CB7"/>
    <w:rsid w:val="00996D8C"/>
    <w:rsid w:val="00996DBD"/>
    <w:rsid w:val="00996E0A"/>
    <w:rsid w:val="00996E90"/>
    <w:rsid w:val="00996FA4"/>
    <w:rsid w:val="00996FB9"/>
    <w:rsid w:val="00997086"/>
    <w:rsid w:val="0099733D"/>
    <w:rsid w:val="00997350"/>
    <w:rsid w:val="00997362"/>
    <w:rsid w:val="00997430"/>
    <w:rsid w:val="0099751F"/>
    <w:rsid w:val="0099760B"/>
    <w:rsid w:val="009976A7"/>
    <w:rsid w:val="00997855"/>
    <w:rsid w:val="00997A2A"/>
    <w:rsid w:val="00997BAD"/>
    <w:rsid w:val="00997EDC"/>
    <w:rsid w:val="009A00C0"/>
    <w:rsid w:val="009A0313"/>
    <w:rsid w:val="009A055F"/>
    <w:rsid w:val="009A059A"/>
    <w:rsid w:val="009A05F5"/>
    <w:rsid w:val="009A081D"/>
    <w:rsid w:val="009A0C1E"/>
    <w:rsid w:val="009A0CC3"/>
    <w:rsid w:val="009A0EB5"/>
    <w:rsid w:val="009A0F6D"/>
    <w:rsid w:val="009A103E"/>
    <w:rsid w:val="009A111B"/>
    <w:rsid w:val="009A1334"/>
    <w:rsid w:val="009A15AA"/>
    <w:rsid w:val="009A15F0"/>
    <w:rsid w:val="009A1817"/>
    <w:rsid w:val="009A1C2B"/>
    <w:rsid w:val="009A1D28"/>
    <w:rsid w:val="009A1E19"/>
    <w:rsid w:val="009A1F06"/>
    <w:rsid w:val="009A1F81"/>
    <w:rsid w:val="009A2052"/>
    <w:rsid w:val="009A215E"/>
    <w:rsid w:val="009A2180"/>
    <w:rsid w:val="009A2336"/>
    <w:rsid w:val="009A2396"/>
    <w:rsid w:val="009A2406"/>
    <w:rsid w:val="009A24CE"/>
    <w:rsid w:val="009A2624"/>
    <w:rsid w:val="009A2862"/>
    <w:rsid w:val="009A28D1"/>
    <w:rsid w:val="009A2E41"/>
    <w:rsid w:val="009A2F84"/>
    <w:rsid w:val="009A2FCB"/>
    <w:rsid w:val="009A30E6"/>
    <w:rsid w:val="009A321E"/>
    <w:rsid w:val="009A323F"/>
    <w:rsid w:val="009A327A"/>
    <w:rsid w:val="009A32BF"/>
    <w:rsid w:val="009A32C8"/>
    <w:rsid w:val="009A3346"/>
    <w:rsid w:val="009A3603"/>
    <w:rsid w:val="009A39DF"/>
    <w:rsid w:val="009A3A4C"/>
    <w:rsid w:val="009A3B05"/>
    <w:rsid w:val="009A3B4C"/>
    <w:rsid w:val="009A3CD0"/>
    <w:rsid w:val="009A3D78"/>
    <w:rsid w:val="009A4100"/>
    <w:rsid w:val="009A416A"/>
    <w:rsid w:val="009A4458"/>
    <w:rsid w:val="009A4543"/>
    <w:rsid w:val="009A457F"/>
    <w:rsid w:val="009A4755"/>
    <w:rsid w:val="009A4906"/>
    <w:rsid w:val="009A4997"/>
    <w:rsid w:val="009A4AF6"/>
    <w:rsid w:val="009A4AF7"/>
    <w:rsid w:val="009A4BBF"/>
    <w:rsid w:val="009A4D07"/>
    <w:rsid w:val="009A4DA9"/>
    <w:rsid w:val="009A4EFC"/>
    <w:rsid w:val="009A4F05"/>
    <w:rsid w:val="009A4F15"/>
    <w:rsid w:val="009A5051"/>
    <w:rsid w:val="009A50AD"/>
    <w:rsid w:val="009A50D9"/>
    <w:rsid w:val="009A51C6"/>
    <w:rsid w:val="009A51CC"/>
    <w:rsid w:val="009A5592"/>
    <w:rsid w:val="009A57C1"/>
    <w:rsid w:val="009A583B"/>
    <w:rsid w:val="009A5AC4"/>
    <w:rsid w:val="009A5B99"/>
    <w:rsid w:val="009A5E17"/>
    <w:rsid w:val="009A5F27"/>
    <w:rsid w:val="009A5F9D"/>
    <w:rsid w:val="009A600D"/>
    <w:rsid w:val="009A63AC"/>
    <w:rsid w:val="009A659C"/>
    <w:rsid w:val="009A66D5"/>
    <w:rsid w:val="009A6734"/>
    <w:rsid w:val="009A6806"/>
    <w:rsid w:val="009A6875"/>
    <w:rsid w:val="009A68A0"/>
    <w:rsid w:val="009A6966"/>
    <w:rsid w:val="009A6979"/>
    <w:rsid w:val="009A6AE3"/>
    <w:rsid w:val="009A6B9C"/>
    <w:rsid w:val="009A6C96"/>
    <w:rsid w:val="009A6E5D"/>
    <w:rsid w:val="009A6F20"/>
    <w:rsid w:val="009A6FF2"/>
    <w:rsid w:val="009A70E0"/>
    <w:rsid w:val="009A7440"/>
    <w:rsid w:val="009A7536"/>
    <w:rsid w:val="009A78D9"/>
    <w:rsid w:val="009A7D09"/>
    <w:rsid w:val="009A7FC2"/>
    <w:rsid w:val="009B001D"/>
    <w:rsid w:val="009B01ED"/>
    <w:rsid w:val="009B0314"/>
    <w:rsid w:val="009B054C"/>
    <w:rsid w:val="009B06BD"/>
    <w:rsid w:val="009B07D4"/>
    <w:rsid w:val="009B089E"/>
    <w:rsid w:val="009B091C"/>
    <w:rsid w:val="009B0924"/>
    <w:rsid w:val="009B0B13"/>
    <w:rsid w:val="009B0B20"/>
    <w:rsid w:val="009B0CD8"/>
    <w:rsid w:val="009B0E2F"/>
    <w:rsid w:val="009B0FA8"/>
    <w:rsid w:val="009B10F2"/>
    <w:rsid w:val="009B11E7"/>
    <w:rsid w:val="009B1217"/>
    <w:rsid w:val="009B1298"/>
    <w:rsid w:val="009B1473"/>
    <w:rsid w:val="009B15F4"/>
    <w:rsid w:val="009B1611"/>
    <w:rsid w:val="009B168F"/>
    <w:rsid w:val="009B16BF"/>
    <w:rsid w:val="009B1899"/>
    <w:rsid w:val="009B19A0"/>
    <w:rsid w:val="009B1A70"/>
    <w:rsid w:val="009B1A90"/>
    <w:rsid w:val="009B1C54"/>
    <w:rsid w:val="009B1CDF"/>
    <w:rsid w:val="009B1DF2"/>
    <w:rsid w:val="009B1E20"/>
    <w:rsid w:val="009B1EED"/>
    <w:rsid w:val="009B200B"/>
    <w:rsid w:val="009B239A"/>
    <w:rsid w:val="009B2418"/>
    <w:rsid w:val="009B2453"/>
    <w:rsid w:val="009B251C"/>
    <w:rsid w:val="009B2864"/>
    <w:rsid w:val="009B29FE"/>
    <w:rsid w:val="009B2B7F"/>
    <w:rsid w:val="009B2CB8"/>
    <w:rsid w:val="009B2D2D"/>
    <w:rsid w:val="009B2D46"/>
    <w:rsid w:val="009B2D88"/>
    <w:rsid w:val="009B2DE5"/>
    <w:rsid w:val="009B2E32"/>
    <w:rsid w:val="009B2E5B"/>
    <w:rsid w:val="009B2FF2"/>
    <w:rsid w:val="009B3243"/>
    <w:rsid w:val="009B3470"/>
    <w:rsid w:val="009B3749"/>
    <w:rsid w:val="009B37F0"/>
    <w:rsid w:val="009B385F"/>
    <w:rsid w:val="009B386A"/>
    <w:rsid w:val="009B3896"/>
    <w:rsid w:val="009B3AF3"/>
    <w:rsid w:val="009B3B3F"/>
    <w:rsid w:val="009B3C7C"/>
    <w:rsid w:val="009B3C7F"/>
    <w:rsid w:val="009B3CDD"/>
    <w:rsid w:val="009B40B0"/>
    <w:rsid w:val="009B4166"/>
    <w:rsid w:val="009B417B"/>
    <w:rsid w:val="009B41A7"/>
    <w:rsid w:val="009B41E1"/>
    <w:rsid w:val="009B4222"/>
    <w:rsid w:val="009B4245"/>
    <w:rsid w:val="009B4292"/>
    <w:rsid w:val="009B461F"/>
    <w:rsid w:val="009B47C9"/>
    <w:rsid w:val="009B4801"/>
    <w:rsid w:val="009B4878"/>
    <w:rsid w:val="009B48AD"/>
    <w:rsid w:val="009B49E1"/>
    <w:rsid w:val="009B4B53"/>
    <w:rsid w:val="009B4C3C"/>
    <w:rsid w:val="009B4EE5"/>
    <w:rsid w:val="009B5019"/>
    <w:rsid w:val="009B50F5"/>
    <w:rsid w:val="009B5204"/>
    <w:rsid w:val="009B52FE"/>
    <w:rsid w:val="009B530E"/>
    <w:rsid w:val="009B5320"/>
    <w:rsid w:val="009B53CC"/>
    <w:rsid w:val="009B55BA"/>
    <w:rsid w:val="009B56EC"/>
    <w:rsid w:val="009B584C"/>
    <w:rsid w:val="009B5883"/>
    <w:rsid w:val="009B5BD3"/>
    <w:rsid w:val="009B5DFA"/>
    <w:rsid w:val="009B5EDA"/>
    <w:rsid w:val="009B5F48"/>
    <w:rsid w:val="009B5FDD"/>
    <w:rsid w:val="009B611F"/>
    <w:rsid w:val="009B61DC"/>
    <w:rsid w:val="009B622A"/>
    <w:rsid w:val="009B6384"/>
    <w:rsid w:val="009B64A6"/>
    <w:rsid w:val="009B66FC"/>
    <w:rsid w:val="009B67BC"/>
    <w:rsid w:val="009B6827"/>
    <w:rsid w:val="009B6AC5"/>
    <w:rsid w:val="009B6C98"/>
    <w:rsid w:val="009B70DC"/>
    <w:rsid w:val="009B71FE"/>
    <w:rsid w:val="009B7264"/>
    <w:rsid w:val="009B72A2"/>
    <w:rsid w:val="009B7324"/>
    <w:rsid w:val="009B7431"/>
    <w:rsid w:val="009B74DB"/>
    <w:rsid w:val="009B756E"/>
    <w:rsid w:val="009B757A"/>
    <w:rsid w:val="009B7586"/>
    <w:rsid w:val="009B762B"/>
    <w:rsid w:val="009B76F0"/>
    <w:rsid w:val="009B7745"/>
    <w:rsid w:val="009B7791"/>
    <w:rsid w:val="009B7811"/>
    <w:rsid w:val="009B781E"/>
    <w:rsid w:val="009B788F"/>
    <w:rsid w:val="009B7B2A"/>
    <w:rsid w:val="009B7BA6"/>
    <w:rsid w:val="009B7CFC"/>
    <w:rsid w:val="009B7D00"/>
    <w:rsid w:val="009B7D18"/>
    <w:rsid w:val="009B7E86"/>
    <w:rsid w:val="009B7FAD"/>
    <w:rsid w:val="009C01CF"/>
    <w:rsid w:val="009C0315"/>
    <w:rsid w:val="009C04D5"/>
    <w:rsid w:val="009C04E0"/>
    <w:rsid w:val="009C05CE"/>
    <w:rsid w:val="009C05E2"/>
    <w:rsid w:val="009C0609"/>
    <w:rsid w:val="009C06D5"/>
    <w:rsid w:val="009C096A"/>
    <w:rsid w:val="009C0AD9"/>
    <w:rsid w:val="009C0C6B"/>
    <w:rsid w:val="009C0D84"/>
    <w:rsid w:val="009C0DA7"/>
    <w:rsid w:val="009C0E2F"/>
    <w:rsid w:val="009C0E93"/>
    <w:rsid w:val="009C0FEE"/>
    <w:rsid w:val="009C1013"/>
    <w:rsid w:val="009C1030"/>
    <w:rsid w:val="009C1089"/>
    <w:rsid w:val="009C10E9"/>
    <w:rsid w:val="009C1126"/>
    <w:rsid w:val="009C1555"/>
    <w:rsid w:val="009C177B"/>
    <w:rsid w:val="009C19BF"/>
    <w:rsid w:val="009C1BB6"/>
    <w:rsid w:val="009C1C34"/>
    <w:rsid w:val="009C1C9E"/>
    <w:rsid w:val="009C1CD4"/>
    <w:rsid w:val="009C1E80"/>
    <w:rsid w:val="009C1EB6"/>
    <w:rsid w:val="009C21FF"/>
    <w:rsid w:val="009C23AF"/>
    <w:rsid w:val="009C25D4"/>
    <w:rsid w:val="009C26FC"/>
    <w:rsid w:val="009C2723"/>
    <w:rsid w:val="009C2975"/>
    <w:rsid w:val="009C2B02"/>
    <w:rsid w:val="009C2B37"/>
    <w:rsid w:val="009C2B6C"/>
    <w:rsid w:val="009C2C21"/>
    <w:rsid w:val="009C2C3A"/>
    <w:rsid w:val="009C2CCD"/>
    <w:rsid w:val="009C2DCB"/>
    <w:rsid w:val="009C2E07"/>
    <w:rsid w:val="009C2EB2"/>
    <w:rsid w:val="009C32C0"/>
    <w:rsid w:val="009C3309"/>
    <w:rsid w:val="009C33CB"/>
    <w:rsid w:val="009C3519"/>
    <w:rsid w:val="009C3559"/>
    <w:rsid w:val="009C3776"/>
    <w:rsid w:val="009C37DC"/>
    <w:rsid w:val="009C3AAE"/>
    <w:rsid w:val="009C3B67"/>
    <w:rsid w:val="009C3CA6"/>
    <w:rsid w:val="009C3DC9"/>
    <w:rsid w:val="009C3E1E"/>
    <w:rsid w:val="009C3F32"/>
    <w:rsid w:val="009C3FE6"/>
    <w:rsid w:val="009C41FD"/>
    <w:rsid w:val="009C42ED"/>
    <w:rsid w:val="009C4432"/>
    <w:rsid w:val="009C45DB"/>
    <w:rsid w:val="009C4785"/>
    <w:rsid w:val="009C480C"/>
    <w:rsid w:val="009C489D"/>
    <w:rsid w:val="009C48C1"/>
    <w:rsid w:val="009C48D9"/>
    <w:rsid w:val="009C4985"/>
    <w:rsid w:val="009C49A2"/>
    <w:rsid w:val="009C4A04"/>
    <w:rsid w:val="009C4BFF"/>
    <w:rsid w:val="009C4C28"/>
    <w:rsid w:val="009C4DF2"/>
    <w:rsid w:val="009C4E2C"/>
    <w:rsid w:val="009C4E6E"/>
    <w:rsid w:val="009C4F57"/>
    <w:rsid w:val="009C4FE4"/>
    <w:rsid w:val="009C4FF9"/>
    <w:rsid w:val="009C50BF"/>
    <w:rsid w:val="009C512D"/>
    <w:rsid w:val="009C52AE"/>
    <w:rsid w:val="009C5502"/>
    <w:rsid w:val="009C555A"/>
    <w:rsid w:val="009C56F8"/>
    <w:rsid w:val="009C570D"/>
    <w:rsid w:val="009C5B47"/>
    <w:rsid w:val="009C5B5A"/>
    <w:rsid w:val="009C5BA2"/>
    <w:rsid w:val="009C5BA7"/>
    <w:rsid w:val="009C5BE3"/>
    <w:rsid w:val="009C5E90"/>
    <w:rsid w:val="009C5EA1"/>
    <w:rsid w:val="009C6034"/>
    <w:rsid w:val="009C6138"/>
    <w:rsid w:val="009C625A"/>
    <w:rsid w:val="009C626D"/>
    <w:rsid w:val="009C6321"/>
    <w:rsid w:val="009C6692"/>
    <w:rsid w:val="009C6793"/>
    <w:rsid w:val="009C682B"/>
    <w:rsid w:val="009C6AFA"/>
    <w:rsid w:val="009C6E1F"/>
    <w:rsid w:val="009C6F8C"/>
    <w:rsid w:val="009C71C1"/>
    <w:rsid w:val="009C7217"/>
    <w:rsid w:val="009C721C"/>
    <w:rsid w:val="009C7274"/>
    <w:rsid w:val="009C740D"/>
    <w:rsid w:val="009C74B2"/>
    <w:rsid w:val="009C7501"/>
    <w:rsid w:val="009C758A"/>
    <w:rsid w:val="009C7595"/>
    <w:rsid w:val="009C77D6"/>
    <w:rsid w:val="009C7861"/>
    <w:rsid w:val="009C793E"/>
    <w:rsid w:val="009C7C5A"/>
    <w:rsid w:val="009C7ECA"/>
    <w:rsid w:val="009C7F65"/>
    <w:rsid w:val="009D009D"/>
    <w:rsid w:val="009D0140"/>
    <w:rsid w:val="009D02D7"/>
    <w:rsid w:val="009D07FE"/>
    <w:rsid w:val="009D08D7"/>
    <w:rsid w:val="009D0D2F"/>
    <w:rsid w:val="009D0D3E"/>
    <w:rsid w:val="009D0DF5"/>
    <w:rsid w:val="009D0E2F"/>
    <w:rsid w:val="009D0E3C"/>
    <w:rsid w:val="009D1061"/>
    <w:rsid w:val="009D106B"/>
    <w:rsid w:val="009D1141"/>
    <w:rsid w:val="009D11EC"/>
    <w:rsid w:val="009D1268"/>
    <w:rsid w:val="009D1414"/>
    <w:rsid w:val="009D15DF"/>
    <w:rsid w:val="009D1707"/>
    <w:rsid w:val="009D178E"/>
    <w:rsid w:val="009D1938"/>
    <w:rsid w:val="009D1BDA"/>
    <w:rsid w:val="009D1E32"/>
    <w:rsid w:val="009D1EC6"/>
    <w:rsid w:val="009D1EC7"/>
    <w:rsid w:val="009D1F7F"/>
    <w:rsid w:val="009D1FFA"/>
    <w:rsid w:val="009D207D"/>
    <w:rsid w:val="009D2128"/>
    <w:rsid w:val="009D2178"/>
    <w:rsid w:val="009D22D4"/>
    <w:rsid w:val="009D238E"/>
    <w:rsid w:val="009D2425"/>
    <w:rsid w:val="009D2465"/>
    <w:rsid w:val="009D24EE"/>
    <w:rsid w:val="009D261D"/>
    <w:rsid w:val="009D2977"/>
    <w:rsid w:val="009D29D5"/>
    <w:rsid w:val="009D2AB7"/>
    <w:rsid w:val="009D2AD2"/>
    <w:rsid w:val="009D2B27"/>
    <w:rsid w:val="009D2CCB"/>
    <w:rsid w:val="009D2D28"/>
    <w:rsid w:val="009D2D58"/>
    <w:rsid w:val="009D2DC2"/>
    <w:rsid w:val="009D2DF0"/>
    <w:rsid w:val="009D2F47"/>
    <w:rsid w:val="009D30DB"/>
    <w:rsid w:val="009D31BC"/>
    <w:rsid w:val="009D32FD"/>
    <w:rsid w:val="009D347A"/>
    <w:rsid w:val="009D34F2"/>
    <w:rsid w:val="009D3594"/>
    <w:rsid w:val="009D35F1"/>
    <w:rsid w:val="009D3810"/>
    <w:rsid w:val="009D3885"/>
    <w:rsid w:val="009D39E4"/>
    <w:rsid w:val="009D3A4A"/>
    <w:rsid w:val="009D3AA5"/>
    <w:rsid w:val="009D3B26"/>
    <w:rsid w:val="009D3BED"/>
    <w:rsid w:val="009D3D6E"/>
    <w:rsid w:val="009D3E0F"/>
    <w:rsid w:val="009D3E72"/>
    <w:rsid w:val="009D3E8D"/>
    <w:rsid w:val="009D3EE3"/>
    <w:rsid w:val="009D4085"/>
    <w:rsid w:val="009D4153"/>
    <w:rsid w:val="009D42A8"/>
    <w:rsid w:val="009D430B"/>
    <w:rsid w:val="009D43B0"/>
    <w:rsid w:val="009D454D"/>
    <w:rsid w:val="009D4563"/>
    <w:rsid w:val="009D46F1"/>
    <w:rsid w:val="009D474E"/>
    <w:rsid w:val="009D4925"/>
    <w:rsid w:val="009D49AA"/>
    <w:rsid w:val="009D4A4E"/>
    <w:rsid w:val="009D4B44"/>
    <w:rsid w:val="009D518E"/>
    <w:rsid w:val="009D5229"/>
    <w:rsid w:val="009D5508"/>
    <w:rsid w:val="009D55A6"/>
    <w:rsid w:val="009D5626"/>
    <w:rsid w:val="009D5688"/>
    <w:rsid w:val="009D572B"/>
    <w:rsid w:val="009D577A"/>
    <w:rsid w:val="009D5AC0"/>
    <w:rsid w:val="009D5EA3"/>
    <w:rsid w:val="009D5EE6"/>
    <w:rsid w:val="009D5F38"/>
    <w:rsid w:val="009D6010"/>
    <w:rsid w:val="009D6092"/>
    <w:rsid w:val="009D6348"/>
    <w:rsid w:val="009D64D2"/>
    <w:rsid w:val="009D6561"/>
    <w:rsid w:val="009D65CE"/>
    <w:rsid w:val="009D66B4"/>
    <w:rsid w:val="009D6900"/>
    <w:rsid w:val="009D691F"/>
    <w:rsid w:val="009D6925"/>
    <w:rsid w:val="009D6939"/>
    <w:rsid w:val="009D6A53"/>
    <w:rsid w:val="009D6A99"/>
    <w:rsid w:val="009D6AE4"/>
    <w:rsid w:val="009D6AEB"/>
    <w:rsid w:val="009D6B4B"/>
    <w:rsid w:val="009D6BCA"/>
    <w:rsid w:val="009D6C66"/>
    <w:rsid w:val="009D6E2D"/>
    <w:rsid w:val="009D6EF8"/>
    <w:rsid w:val="009D705A"/>
    <w:rsid w:val="009D7239"/>
    <w:rsid w:val="009D735F"/>
    <w:rsid w:val="009D7612"/>
    <w:rsid w:val="009D76B2"/>
    <w:rsid w:val="009D76CF"/>
    <w:rsid w:val="009D776D"/>
    <w:rsid w:val="009D77A7"/>
    <w:rsid w:val="009D77C1"/>
    <w:rsid w:val="009D7829"/>
    <w:rsid w:val="009D7A55"/>
    <w:rsid w:val="009D7AD0"/>
    <w:rsid w:val="009D7C55"/>
    <w:rsid w:val="009D7DAB"/>
    <w:rsid w:val="009DBAA7"/>
    <w:rsid w:val="009E00BF"/>
    <w:rsid w:val="009E0122"/>
    <w:rsid w:val="009E0188"/>
    <w:rsid w:val="009E01D7"/>
    <w:rsid w:val="009E0203"/>
    <w:rsid w:val="009E0310"/>
    <w:rsid w:val="009E03CE"/>
    <w:rsid w:val="009E056F"/>
    <w:rsid w:val="009E0575"/>
    <w:rsid w:val="009E0947"/>
    <w:rsid w:val="009E09F1"/>
    <w:rsid w:val="009E0ACB"/>
    <w:rsid w:val="009E0AF4"/>
    <w:rsid w:val="009E0E2E"/>
    <w:rsid w:val="009E0EF8"/>
    <w:rsid w:val="009E1004"/>
    <w:rsid w:val="009E1068"/>
    <w:rsid w:val="009E1205"/>
    <w:rsid w:val="009E12CB"/>
    <w:rsid w:val="009E1525"/>
    <w:rsid w:val="009E153A"/>
    <w:rsid w:val="009E1642"/>
    <w:rsid w:val="009E175D"/>
    <w:rsid w:val="009E17F1"/>
    <w:rsid w:val="009E1846"/>
    <w:rsid w:val="009E1A05"/>
    <w:rsid w:val="009E1A71"/>
    <w:rsid w:val="009E1B3F"/>
    <w:rsid w:val="009E1CF6"/>
    <w:rsid w:val="009E1D77"/>
    <w:rsid w:val="009E1F11"/>
    <w:rsid w:val="009E1FE0"/>
    <w:rsid w:val="009E2050"/>
    <w:rsid w:val="009E20BB"/>
    <w:rsid w:val="009E20E3"/>
    <w:rsid w:val="009E2205"/>
    <w:rsid w:val="009E22D5"/>
    <w:rsid w:val="009E254B"/>
    <w:rsid w:val="009E255D"/>
    <w:rsid w:val="009E256B"/>
    <w:rsid w:val="009E25D0"/>
    <w:rsid w:val="009E2730"/>
    <w:rsid w:val="009E28DF"/>
    <w:rsid w:val="009E2915"/>
    <w:rsid w:val="009E2922"/>
    <w:rsid w:val="009E29A0"/>
    <w:rsid w:val="009E29D9"/>
    <w:rsid w:val="009E2A7B"/>
    <w:rsid w:val="009E2B06"/>
    <w:rsid w:val="009E2CF8"/>
    <w:rsid w:val="009E2DD3"/>
    <w:rsid w:val="009E2DFE"/>
    <w:rsid w:val="009E2E29"/>
    <w:rsid w:val="009E2F53"/>
    <w:rsid w:val="009E2F6B"/>
    <w:rsid w:val="009E31C0"/>
    <w:rsid w:val="009E31EA"/>
    <w:rsid w:val="009E330C"/>
    <w:rsid w:val="009E33EF"/>
    <w:rsid w:val="009E33FD"/>
    <w:rsid w:val="009E35FC"/>
    <w:rsid w:val="009E36A7"/>
    <w:rsid w:val="009E37DE"/>
    <w:rsid w:val="009E3939"/>
    <w:rsid w:val="009E3ADA"/>
    <w:rsid w:val="009E3C67"/>
    <w:rsid w:val="009E3D74"/>
    <w:rsid w:val="009E3DE0"/>
    <w:rsid w:val="009E4160"/>
    <w:rsid w:val="009E425C"/>
    <w:rsid w:val="009E426D"/>
    <w:rsid w:val="009E42D9"/>
    <w:rsid w:val="009E44D5"/>
    <w:rsid w:val="009E44DD"/>
    <w:rsid w:val="009E456F"/>
    <w:rsid w:val="009E4749"/>
    <w:rsid w:val="009E4884"/>
    <w:rsid w:val="009E4929"/>
    <w:rsid w:val="009E4A03"/>
    <w:rsid w:val="009E4A90"/>
    <w:rsid w:val="009E4CAE"/>
    <w:rsid w:val="009E4CB7"/>
    <w:rsid w:val="009E4CE8"/>
    <w:rsid w:val="009E4DE8"/>
    <w:rsid w:val="009E4F2D"/>
    <w:rsid w:val="009E4FBE"/>
    <w:rsid w:val="009E502C"/>
    <w:rsid w:val="009E5108"/>
    <w:rsid w:val="009E5150"/>
    <w:rsid w:val="009E5168"/>
    <w:rsid w:val="009E51A2"/>
    <w:rsid w:val="009E51F3"/>
    <w:rsid w:val="009E5578"/>
    <w:rsid w:val="009E584F"/>
    <w:rsid w:val="009E585B"/>
    <w:rsid w:val="009E58A6"/>
    <w:rsid w:val="009E5B58"/>
    <w:rsid w:val="009E5B65"/>
    <w:rsid w:val="009E5D65"/>
    <w:rsid w:val="009E5E0D"/>
    <w:rsid w:val="009E5E69"/>
    <w:rsid w:val="009E5E70"/>
    <w:rsid w:val="009E5F2A"/>
    <w:rsid w:val="009E6115"/>
    <w:rsid w:val="009E61D7"/>
    <w:rsid w:val="009E6286"/>
    <w:rsid w:val="009E6311"/>
    <w:rsid w:val="009E6457"/>
    <w:rsid w:val="009E65BF"/>
    <w:rsid w:val="009E6842"/>
    <w:rsid w:val="009E69B7"/>
    <w:rsid w:val="009E6A2C"/>
    <w:rsid w:val="009E6A35"/>
    <w:rsid w:val="009E6AC3"/>
    <w:rsid w:val="009E6B3F"/>
    <w:rsid w:val="009E6D35"/>
    <w:rsid w:val="009E6DC7"/>
    <w:rsid w:val="009E6E62"/>
    <w:rsid w:val="009E6E66"/>
    <w:rsid w:val="009E6F79"/>
    <w:rsid w:val="009E6F8A"/>
    <w:rsid w:val="009E7098"/>
    <w:rsid w:val="009E70E7"/>
    <w:rsid w:val="009E725E"/>
    <w:rsid w:val="009E739B"/>
    <w:rsid w:val="009E7524"/>
    <w:rsid w:val="009E7541"/>
    <w:rsid w:val="009E75F3"/>
    <w:rsid w:val="009E7728"/>
    <w:rsid w:val="009E773D"/>
    <w:rsid w:val="009E78A0"/>
    <w:rsid w:val="009E7B0C"/>
    <w:rsid w:val="009E7D2A"/>
    <w:rsid w:val="009E7EB6"/>
    <w:rsid w:val="009F0201"/>
    <w:rsid w:val="009F036E"/>
    <w:rsid w:val="009F07B7"/>
    <w:rsid w:val="009F0864"/>
    <w:rsid w:val="009F087B"/>
    <w:rsid w:val="009F0907"/>
    <w:rsid w:val="009F0961"/>
    <w:rsid w:val="009F0A9F"/>
    <w:rsid w:val="009F0D29"/>
    <w:rsid w:val="009F0D2A"/>
    <w:rsid w:val="009F10B4"/>
    <w:rsid w:val="009F1106"/>
    <w:rsid w:val="009F111F"/>
    <w:rsid w:val="009F1367"/>
    <w:rsid w:val="009F13C8"/>
    <w:rsid w:val="009F173B"/>
    <w:rsid w:val="009F193F"/>
    <w:rsid w:val="009F1A11"/>
    <w:rsid w:val="009F1C25"/>
    <w:rsid w:val="009F1C74"/>
    <w:rsid w:val="009F1C7A"/>
    <w:rsid w:val="009F1F74"/>
    <w:rsid w:val="009F1FB2"/>
    <w:rsid w:val="009F200C"/>
    <w:rsid w:val="009F2058"/>
    <w:rsid w:val="009F2236"/>
    <w:rsid w:val="009F2358"/>
    <w:rsid w:val="009F238F"/>
    <w:rsid w:val="009F24B6"/>
    <w:rsid w:val="009F261D"/>
    <w:rsid w:val="009F26C9"/>
    <w:rsid w:val="009F298B"/>
    <w:rsid w:val="009F29A4"/>
    <w:rsid w:val="009F29B0"/>
    <w:rsid w:val="009F2BE1"/>
    <w:rsid w:val="009F2EF2"/>
    <w:rsid w:val="009F3145"/>
    <w:rsid w:val="009F3372"/>
    <w:rsid w:val="009F3708"/>
    <w:rsid w:val="009F37EA"/>
    <w:rsid w:val="009F3808"/>
    <w:rsid w:val="009F384B"/>
    <w:rsid w:val="009F3953"/>
    <w:rsid w:val="009F39E6"/>
    <w:rsid w:val="009F3AE1"/>
    <w:rsid w:val="009F3C35"/>
    <w:rsid w:val="009F3D30"/>
    <w:rsid w:val="009F3DCC"/>
    <w:rsid w:val="009F3DFC"/>
    <w:rsid w:val="009F3F62"/>
    <w:rsid w:val="009F3F71"/>
    <w:rsid w:val="009F400C"/>
    <w:rsid w:val="009F4031"/>
    <w:rsid w:val="009F40C7"/>
    <w:rsid w:val="009F421E"/>
    <w:rsid w:val="009F4278"/>
    <w:rsid w:val="009F43FE"/>
    <w:rsid w:val="009F4403"/>
    <w:rsid w:val="009F44B0"/>
    <w:rsid w:val="009F44BA"/>
    <w:rsid w:val="009F4832"/>
    <w:rsid w:val="009F4847"/>
    <w:rsid w:val="009F498D"/>
    <w:rsid w:val="009F49E7"/>
    <w:rsid w:val="009F4A06"/>
    <w:rsid w:val="009F4B01"/>
    <w:rsid w:val="009F4BF2"/>
    <w:rsid w:val="009F4DC9"/>
    <w:rsid w:val="009F4ED1"/>
    <w:rsid w:val="009F4F2D"/>
    <w:rsid w:val="009F510D"/>
    <w:rsid w:val="009F52E3"/>
    <w:rsid w:val="009F52EF"/>
    <w:rsid w:val="009F5381"/>
    <w:rsid w:val="009F5658"/>
    <w:rsid w:val="009F592D"/>
    <w:rsid w:val="009F5AC3"/>
    <w:rsid w:val="009F5B87"/>
    <w:rsid w:val="009F5C6C"/>
    <w:rsid w:val="009F5E5F"/>
    <w:rsid w:val="009F5F00"/>
    <w:rsid w:val="009F6240"/>
    <w:rsid w:val="009F6885"/>
    <w:rsid w:val="009F68B7"/>
    <w:rsid w:val="009F68D6"/>
    <w:rsid w:val="009F68EB"/>
    <w:rsid w:val="009F69FB"/>
    <w:rsid w:val="009F6A3E"/>
    <w:rsid w:val="009F6C94"/>
    <w:rsid w:val="009F6DA0"/>
    <w:rsid w:val="009F7067"/>
    <w:rsid w:val="009F70E8"/>
    <w:rsid w:val="009F71B2"/>
    <w:rsid w:val="009F7258"/>
    <w:rsid w:val="009F7276"/>
    <w:rsid w:val="009F7612"/>
    <w:rsid w:val="009F7749"/>
    <w:rsid w:val="009F7CA9"/>
    <w:rsid w:val="009F7EEA"/>
    <w:rsid w:val="00A00004"/>
    <w:rsid w:val="00A003A9"/>
    <w:rsid w:val="00A00409"/>
    <w:rsid w:val="00A005C5"/>
    <w:rsid w:val="00A00850"/>
    <w:rsid w:val="00A00851"/>
    <w:rsid w:val="00A0087D"/>
    <w:rsid w:val="00A00A1B"/>
    <w:rsid w:val="00A00AE5"/>
    <w:rsid w:val="00A00B5D"/>
    <w:rsid w:val="00A00D33"/>
    <w:rsid w:val="00A00E62"/>
    <w:rsid w:val="00A00EF5"/>
    <w:rsid w:val="00A00F5B"/>
    <w:rsid w:val="00A00FB8"/>
    <w:rsid w:val="00A01228"/>
    <w:rsid w:val="00A01233"/>
    <w:rsid w:val="00A01254"/>
    <w:rsid w:val="00A0148A"/>
    <w:rsid w:val="00A0158C"/>
    <w:rsid w:val="00A0170C"/>
    <w:rsid w:val="00A0175A"/>
    <w:rsid w:val="00A01763"/>
    <w:rsid w:val="00A0185A"/>
    <w:rsid w:val="00A018BA"/>
    <w:rsid w:val="00A01935"/>
    <w:rsid w:val="00A0195D"/>
    <w:rsid w:val="00A01A13"/>
    <w:rsid w:val="00A01A22"/>
    <w:rsid w:val="00A01AF6"/>
    <w:rsid w:val="00A01CEB"/>
    <w:rsid w:val="00A021AD"/>
    <w:rsid w:val="00A0233D"/>
    <w:rsid w:val="00A023C1"/>
    <w:rsid w:val="00A024DC"/>
    <w:rsid w:val="00A025E3"/>
    <w:rsid w:val="00A027AA"/>
    <w:rsid w:val="00A029E7"/>
    <w:rsid w:val="00A02C58"/>
    <w:rsid w:val="00A02CB7"/>
    <w:rsid w:val="00A02E38"/>
    <w:rsid w:val="00A02EFB"/>
    <w:rsid w:val="00A02F3B"/>
    <w:rsid w:val="00A03423"/>
    <w:rsid w:val="00A0345D"/>
    <w:rsid w:val="00A034B6"/>
    <w:rsid w:val="00A035C8"/>
    <w:rsid w:val="00A03851"/>
    <w:rsid w:val="00A03A79"/>
    <w:rsid w:val="00A03B02"/>
    <w:rsid w:val="00A03C21"/>
    <w:rsid w:val="00A03E01"/>
    <w:rsid w:val="00A03F5F"/>
    <w:rsid w:val="00A0400D"/>
    <w:rsid w:val="00A04082"/>
    <w:rsid w:val="00A04089"/>
    <w:rsid w:val="00A04092"/>
    <w:rsid w:val="00A040F1"/>
    <w:rsid w:val="00A04112"/>
    <w:rsid w:val="00A041A9"/>
    <w:rsid w:val="00A042D2"/>
    <w:rsid w:val="00A0430B"/>
    <w:rsid w:val="00A04389"/>
    <w:rsid w:val="00A0443F"/>
    <w:rsid w:val="00A04444"/>
    <w:rsid w:val="00A04465"/>
    <w:rsid w:val="00A044CD"/>
    <w:rsid w:val="00A046BB"/>
    <w:rsid w:val="00A046BD"/>
    <w:rsid w:val="00A046BF"/>
    <w:rsid w:val="00A046D8"/>
    <w:rsid w:val="00A046F9"/>
    <w:rsid w:val="00A04762"/>
    <w:rsid w:val="00A04A9D"/>
    <w:rsid w:val="00A04B56"/>
    <w:rsid w:val="00A04B58"/>
    <w:rsid w:val="00A04C2B"/>
    <w:rsid w:val="00A04D35"/>
    <w:rsid w:val="00A04EFB"/>
    <w:rsid w:val="00A04F96"/>
    <w:rsid w:val="00A053B8"/>
    <w:rsid w:val="00A055A5"/>
    <w:rsid w:val="00A0587D"/>
    <w:rsid w:val="00A0598C"/>
    <w:rsid w:val="00A059ED"/>
    <w:rsid w:val="00A05A3D"/>
    <w:rsid w:val="00A05AFC"/>
    <w:rsid w:val="00A05C94"/>
    <w:rsid w:val="00A05D38"/>
    <w:rsid w:val="00A05F0E"/>
    <w:rsid w:val="00A05FEE"/>
    <w:rsid w:val="00A06217"/>
    <w:rsid w:val="00A0626A"/>
    <w:rsid w:val="00A0638A"/>
    <w:rsid w:val="00A064DF"/>
    <w:rsid w:val="00A06604"/>
    <w:rsid w:val="00A06786"/>
    <w:rsid w:val="00A067C7"/>
    <w:rsid w:val="00A06AD4"/>
    <w:rsid w:val="00A06AF3"/>
    <w:rsid w:val="00A06BE0"/>
    <w:rsid w:val="00A06DBB"/>
    <w:rsid w:val="00A06DBF"/>
    <w:rsid w:val="00A06E5E"/>
    <w:rsid w:val="00A06ECF"/>
    <w:rsid w:val="00A07044"/>
    <w:rsid w:val="00A074CF"/>
    <w:rsid w:val="00A07529"/>
    <w:rsid w:val="00A07549"/>
    <w:rsid w:val="00A0760F"/>
    <w:rsid w:val="00A07616"/>
    <w:rsid w:val="00A07708"/>
    <w:rsid w:val="00A0771A"/>
    <w:rsid w:val="00A07A0F"/>
    <w:rsid w:val="00A07BC0"/>
    <w:rsid w:val="00A07D79"/>
    <w:rsid w:val="00A07E68"/>
    <w:rsid w:val="00A07ECF"/>
    <w:rsid w:val="00A10111"/>
    <w:rsid w:val="00A10257"/>
    <w:rsid w:val="00A102F5"/>
    <w:rsid w:val="00A10354"/>
    <w:rsid w:val="00A10444"/>
    <w:rsid w:val="00A105AB"/>
    <w:rsid w:val="00A10660"/>
    <w:rsid w:val="00A108BE"/>
    <w:rsid w:val="00A1095D"/>
    <w:rsid w:val="00A1096C"/>
    <w:rsid w:val="00A10980"/>
    <w:rsid w:val="00A109C2"/>
    <w:rsid w:val="00A10BAC"/>
    <w:rsid w:val="00A10C05"/>
    <w:rsid w:val="00A10C1C"/>
    <w:rsid w:val="00A10E5C"/>
    <w:rsid w:val="00A10EC0"/>
    <w:rsid w:val="00A1105B"/>
    <w:rsid w:val="00A110CF"/>
    <w:rsid w:val="00A1118E"/>
    <w:rsid w:val="00A111E9"/>
    <w:rsid w:val="00A111F3"/>
    <w:rsid w:val="00A112BA"/>
    <w:rsid w:val="00A112CE"/>
    <w:rsid w:val="00A11362"/>
    <w:rsid w:val="00A11381"/>
    <w:rsid w:val="00A1143A"/>
    <w:rsid w:val="00A114F7"/>
    <w:rsid w:val="00A11502"/>
    <w:rsid w:val="00A11527"/>
    <w:rsid w:val="00A11592"/>
    <w:rsid w:val="00A11D8A"/>
    <w:rsid w:val="00A11E54"/>
    <w:rsid w:val="00A11EC5"/>
    <w:rsid w:val="00A1205E"/>
    <w:rsid w:val="00A1206B"/>
    <w:rsid w:val="00A1219F"/>
    <w:rsid w:val="00A121A7"/>
    <w:rsid w:val="00A12269"/>
    <w:rsid w:val="00A12543"/>
    <w:rsid w:val="00A12961"/>
    <w:rsid w:val="00A12E82"/>
    <w:rsid w:val="00A12EB1"/>
    <w:rsid w:val="00A12EB9"/>
    <w:rsid w:val="00A12F9B"/>
    <w:rsid w:val="00A136A5"/>
    <w:rsid w:val="00A13AC9"/>
    <w:rsid w:val="00A13BA7"/>
    <w:rsid w:val="00A13BD6"/>
    <w:rsid w:val="00A13C8E"/>
    <w:rsid w:val="00A13F45"/>
    <w:rsid w:val="00A14147"/>
    <w:rsid w:val="00A14350"/>
    <w:rsid w:val="00A14414"/>
    <w:rsid w:val="00A1457D"/>
    <w:rsid w:val="00A1457F"/>
    <w:rsid w:val="00A14AFA"/>
    <w:rsid w:val="00A14B6A"/>
    <w:rsid w:val="00A14C78"/>
    <w:rsid w:val="00A14C97"/>
    <w:rsid w:val="00A150AF"/>
    <w:rsid w:val="00A15560"/>
    <w:rsid w:val="00A15591"/>
    <w:rsid w:val="00A15686"/>
    <w:rsid w:val="00A15694"/>
    <w:rsid w:val="00A15857"/>
    <w:rsid w:val="00A15CA9"/>
    <w:rsid w:val="00A15CAA"/>
    <w:rsid w:val="00A15DAA"/>
    <w:rsid w:val="00A15F71"/>
    <w:rsid w:val="00A15FD5"/>
    <w:rsid w:val="00A15FEF"/>
    <w:rsid w:val="00A16004"/>
    <w:rsid w:val="00A16016"/>
    <w:rsid w:val="00A16252"/>
    <w:rsid w:val="00A162D6"/>
    <w:rsid w:val="00A16303"/>
    <w:rsid w:val="00A16453"/>
    <w:rsid w:val="00A16566"/>
    <w:rsid w:val="00A1658E"/>
    <w:rsid w:val="00A16599"/>
    <w:rsid w:val="00A165B0"/>
    <w:rsid w:val="00A16626"/>
    <w:rsid w:val="00A1663E"/>
    <w:rsid w:val="00A168A5"/>
    <w:rsid w:val="00A16CFC"/>
    <w:rsid w:val="00A16DCE"/>
    <w:rsid w:val="00A16FCE"/>
    <w:rsid w:val="00A17154"/>
    <w:rsid w:val="00A17157"/>
    <w:rsid w:val="00A171E4"/>
    <w:rsid w:val="00A17369"/>
    <w:rsid w:val="00A174C9"/>
    <w:rsid w:val="00A176C9"/>
    <w:rsid w:val="00A176CB"/>
    <w:rsid w:val="00A1776D"/>
    <w:rsid w:val="00A17882"/>
    <w:rsid w:val="00A17930"/>
    <w:rsid w:val="00A17985"/>
    <w:rsid w:val="00A17989"/>
    <w:rsid w:val="00A17B6E"/>
    <w:rsid w:val="00A17BF8"/>
    <w:rsid w:val="00A17BFE"/>
    <w:rsid w:val="00A17C14"/>
    <w:rsid w:val="00A17D13"/>
    <w:rsid w:val="00A17DA4"/>
    <w:rsid w:val="00A20419"/>
    <w:rsid w:val="00A20455"/>
    <w:rsid w:val="00A20490"/>
    <w:rsid w:val="00A20496"/>
    <w:rsid w:val="00A20B39"/>
    <w:rsid w:val="00A20F13"/>
    <w:rsid w:val="00A20F3F"/>
    <w:rsid w:val="00A20F49"/>
    <w:rsid w:val="00A20FF5"/>
    <w:rsid w:val="00A210E1"/>
    <w:rsid w:val="00A2125A"/>
    <w:rsid w:val="00A213F1"/>
    <w:rsid w:val="00A21557"/>
    <w:rsid w:val="00A215F8"/>
    <w:rsid w:val="00A21604"/>
    <w:rsid w:val="00A216A8"/>
    <w:rsid w:val="00A216AD"/>
    <w:rsid w:val="00A216D5"/>
    <w:rsid w:val="00A2198E"/>
    <w:rsid w:val="00A219FE"/>
    <w:rsid w:val="00A21E00"/>
    <w:rsid w:val="00A21E08"/>
    <w:rsid w:val="00A21EB6"/>
    <w:rsid w:val="00A22007"/>
    <w:rsid w:val="00A220F4"/>
    <w:rsid w:val="00A22685"/>
    <w:rsid w:val="00A226C6"/>
    <w:rsid w:val="00A228CA"/>
    <w:rsid w:val="00A228EE"/>
    <w:rsid w:val="00A229F6"/>
    <w:rsid w:val="00A22BAB"/>
    <w:rsid w:val="00A22E6E"/>
    <w:rsid w:val="00A22F44"/>
    <w:rsid w:val="00A2304E"/>
    <w:rsid w:val="00A23079"/>
    <w:rsid w:val="00A234E2"/>
    <w:rsid w:val="00A23543"/>
    <w:rsid w:val="00A2356C"/>
    <w:rsid w:val="00A23720"/>
    <w:rsid w:val="00A23721"/>
    <w:rsid w:val="00A237E6"/>
    <w:rsid w:val="00A237EA"/>
    <w:rsid w:val="00A23810"/>
    <w:rsid w:val="00A2390A"/>
    <w:rsid w:val="00A239C5"/>
    <w:rsid w:val="00A23D12"/>
    <w:rsid w:val="00A23DB9"/>
    <w:rsid w:val="00A23E67"/>
    <w:rsid w:val="00A23EE0"/>
    <w:rsid w:val="00A23FAD"/>
    <w:rsid w:val="00A24086"/>
    <w:rsid w:val="00A2409C"/>
    <w:rsid w:val="00A24312"/>
    <w:rsid w:val="00A24377"/>
    <w:rsid w:val="00A24475"/>
    <w:rsid w:val="00A24753"/>
    <w:rsid w:val="00A247A4"/>
    <w:rsid w:val="00A249E7"/>
    <w:rsid w:val="00A24ABE"/>
    <w:rsid w:val="00A24B49"/>
    <w:rsid w:val="00A24B9C"/>
    <w:rsid w:val="00A24BDA"/>
    <w:rsid w:val="00A24C07"/>
    <w:rsid w:val="00A24CD7"/>
    <w:rsid w:val="00A24CEC"/>
    <w:rsid w:val="00A24E2D"/>
    <w:rsid w:val="00A2506A"/>
    <w:rsid w:val="00A25170"/>
    <w:rsid w:val="00A251FC"/>
    <w:rsid w:val="00A2520B"/>
    <w:rsid w:val="00A2555E"/>
    <w:rsid w:val="00A25695"/>
    <w:rsid w:val="00A2571E"/>
    <w:rsid w:val="00A258A6"/>
    <w:rsid w:val="00A25974"/>
    <w:rsid w:val="00A2599A"/>
    <w:rsid w:val="00A25CC3"/>
    <w:rsid w:val="00A25D9D"/>
    <w:rsid w:val="00A25E28"/>
    <w:rsid w:val="00A25E4A"/>
    <w:rsid w:val="00A25F67"/>
    <w:rsid w:val="00A25F91"/>
    <w:rsid w:val="00A26400"/>
    <w:rsid w:val="00A26406"/>
    <w:rsid w:val="00A2643F"/>
    <w:rsid w:val="00A264C9"/>
    <w:rsid w:val="00A26644"/>
    <w:rsid w:val="00A26684"/>
    <w:rsid w:val="00A268D8"/>
    <w:rsid w:val="00A26AB7"/>
    <w:rsid w:val="00A26AE5"/>
    <w:rsid w:val="00A26B8F"/>
    <w:rsid w:val="00A26C5D"/>
    <w:rsid w:val="00A26D1A"/>
    <w:rsid w:val="00A26E59"/>
    <w:rsid w:val="00A26F32"/>
    <w:rsid w:val="00A270BF"/>
    <w:rsid w:val="00A27108"/>
    <w:rsid w:val="00A27110"/>
    <w:rsid w:val="00A271FF"/>
    <w:rsid w:val="00A27318"/>
    <w:rsid w:val="00A2739F"/>
    <w:rsid w:val="00A273A6"/>
    <w:rsid w:val="00A27520"/>
    <w:rsid w:val="00A27542"/>
    <w:rsid w:val="00A276D8"/>
    <w:rsid w:val="00A2771C"/>
    <w:rsid w:val="00A277EB"/>
    <w:rsid w:val="00A277FC"/>
    <w:rsid w:val="00A278FB"/>
    <w:rsid w:val="00A279B3"/>
    <w:rsid w:val="00A27A82"/>
    <w:rsid w:val="00A27AF2"/>
    <w:rsid w:val="00A27BC1"/>
    <w:rsid w:val="00A27DAB"/>
    <w:rsid w:val="00A2C468"/>
    <w:rsid w:val="00A30115"/>
    <w:rsid w:val="00A3027F"/>
    <w:rsid w:val="00A303F6"/>
    <w:rsid w:val="00A30401"/>
    <w:rsid w:val="00A3046A"/>
    <w:rsid w:val="00A306CD"/>
    <w:rsid w:val="00A3075F"/>
    <w:rsid w:val="00A308C0"/>
    <w:rsid w:val="00A3091B"/>
    <w:rsid w:val="00A30A68"/>
    <w:rsid w:val="00A30A82"/>
    <w:rsid w:val="00A30C54"/>
    <w:rsid w:val="00A310BB"/>
    <w:rsid w:val="00A31195"/>
    <w:rsid w:val="00A312D1"/>
    <w:rsid w:val="00A3133E"/>
    <w:rsid w:val="00A313D8"/>
    <w:rsid w:val="00A314B4"/>
    <w:rsid w:val="00A315BF"/>
    <w:rsid w:val="00A3162F"/>
    <w:rsid w:val="00A317E2"/>
    <w:rsid w:val="00A31878"/>
    <w:rsid w:val="00A31951"/>
    <w:rsid w:val="00A31AFF"/>
    <w:rsid w:val="00A31E13"/>
    <w:rsid w:val="00A31E36"/>
    <w:rsid w:val="00A31E81"/>
    <w:rsid w:val="00A31EBA"/>
    <w:rsid w:val="00A32043"/>
    <w:rsid w:val="00A320EC"/>
    <w:rsid w:val="00A32245"/>
    <w:rsid w:val="00A3237E"/>
    <w:rsid w:val="00A32394"/>
    <w:rsid w:val="00A323DF"/>
    <w:rsid w:val="00A323FE"/>
    <w:rsid w:val="00A326B8"/>
    <w:rsid w:val="00A32A69"/>
    <w:rsid w:val="00A32A89"/>
    <w:rsid w:val="00A32DCC"/>
    <w:rsid w:val="00A32E1C"/>
    <w:rsid w:val="00A32F39"/>
    <w:rsid w:val="00A32F97"/>
    <w:rsid w:val="00A32FB7"/>
    <w:rsid w:val="00A33009"/>
    <w:rsid w:val="00A331E2"/>
    <w:rsid w:val="00A3320F"/>
    <w:rsid w:val="00A33283"/>
    <w:rsid w:val="00A333D8"/>
    <w:rsid w:val="00A33491"/>
    <w:rsid w:val="00A3353C"/>
    <w:rsid w:val="00A338F9"/>
    <w:rsid w:val="00A33A24"/>
    <w:rsid w:val="00A33AB0"/>
    <w:rsid w:val="00A33C77"/>
    <w:rsid w:val="00A33CE9"/>
    <w:rsid w:val="00A33D9F"/>
    <w:rsid w:val="00A33E7A"/>
    <w:rsid w:val="00A33EB3"/>
    <w:rsid w:val="00A33F31"/>
    <w:rsid w:val="00A33F64"/>
    <w:rsid w:val="00A342A3"/>
    <w:rsid w:val="00A342CF"/>
    <w:rsid w:val="00A34646"/>
    <w:rsid w:val="00A34751"/>
    <w:rsid w:val="00A34948"/>
    <w:rsid w:val="00A34A09"/>
    <w:rsid w:val="00A34AC8"/>
    <w:rsid w:val="00A34C86"/>
    <w:rsid w:val="00A34DEF"/>
    <w:rsid w:val="00A34EDC"/>
    <w:rsid w:val="00A3501F"/>
    <w:rsid w:val="00A350B5"/>
    <w:rsid w:val="00A351A7"/>
    <w:rsid w:val="00A351F3"/>
    <w:rsid w:val="00A35365"/>
    <w:rsid w:val="00A354C6"/>
    <w:rsid w:val="00A3562A"/>
    <w:rsid w:val="00A359B6"/>
    <w:rsid w:val="00A35A0D"/>
    <w:rsid w:val="00A35A28"/>
    <w:rsid w:val="00A35B37"/>
    <w:rsid w:val="00A35B9C"/>
    <w:rsid w:val="00A35CC5"/>
    <w:rsid w:val="00A35DB2"/>
    <w:rsid w:val="00A35E64"/>
    <w:rsid w:val="00A35E86"/>
    <w:rsid w:val="00A35EB6"/>
    <w:rsid w:val="00A35F54"/>
    <w:rsid w:val="00A36039"/>
    <w:rsid w:val="00A361B3"/>
    <w:rsid w:val="00A36206"/>
    <w:rsid w:val="00A3624C"/>
    <w:rsid w:val="00A36367"/>
    <w:rsid w:val="00A367A5"/>
    <w:rsid w:val="00A368F1"/>
    <w:rsid w:val="00A36A2E"/>
    <w:rsid w:val="00A36C06"/>
    <w:rsid w:val="00A36D1F"/>
    <w:rsid w:val="00A36D48"/>
    <w:rsid w:val="00A36DCD"/>
    <w:rsid w:val="00A36EE9"/>
    <w:rsid w:val="00A36FB5"/>
    <w:rsid w:val="00A37082"/>
    <w:rsid w:val="00A37106"/>
    <w:rsid w:val="00A3715B"/>
    <w:rsid w:val="00A3727F"/>
    <w:rsid w:val="00A372F3"/>
    <w:rsid w:val="00A37414"/>
    <w:rsid w:val="00A37646"/>
    <w:rsid w:val="00A37697"/>
    <w:rsid w:val="00A377AE"/>
    <w:rsid w:val="00A378C0"/>
    <w:rsid w:val="00A378E0"/>
    <w:rsid w:val="00A37A31"/>
    <w:rsid w:val="00A37A58"/>
    <w:rsid w:val="00A37BF6"/>
    <w:rsid w:val="00A37C42"/>
    <w:rsid w:val="00A37D11"/>
    <w:rsid w:val="00A37D4F"/>
    <w:rsid w:val="00A37D5C"/>
    <w:rsid w:val="00A37E3E"/>
    <w:rsid w:val="00A37E5B"/>
    <w:rsid w:val="00A37E82"/>
    <w:rsid w:val="00A37EAF"/>
    <w:rsid w:val="00A37ED0"/>
    <w:rsid w:val="00A37F4D"/>
    <w:rsid w:val="00A37F7C"/>
    <w:rsid w:val="00A37F9A"/>
    <w:rsid w:val="00A4010E"/>
    <w:rsid w:val="00A40177"/>
    <w:rsid w:val="00A401B3"/>
    <w:rsid w:val="00A40587"/>
    <w:rsid w:val="00A406DE"/>
    <w:rsid w:val="00A408BE"/>
    <w:rsid w:val="00A40BAF"/>
    <w:rsid w:val="00A40C73"/>
    <w:rsid w:val="00A40D07"/>
    <w:rsid w:val="00A40E79"/>
    <w:rsid w:val="00A40F7D"/>
    <w:rsid w:val="00A40FDB"/>
    <w:rsid w:val="00A412DD"/>
    <w:rsid w:val="00A41441"/>
    <w:rsid w:val="00A414A0"/>
    <w:rsid w:val="00A41508"/>
    <w:rsid w:val="00A4188C"/>
    <w:rsid w:val="00A41952"/>
    <w:rsid w:val="00A41B0F"/>
    <w:rsid w:val="00A41C97"/>
    <w:rsid w:val="00A41D8A"/>
    <w:rsid w:val="00A41E33"/>
    <w:rsid w:val="00A41EC0"/>
    <w:rsid w:val="00A41FD8"/>
    <w:rsid w:val="00A42093"/>
    <w:rsid w:val="00A420C2"/>
    <w:rsid w:val="00A420C7"/>
    <w:rsid w:val="00A422F6"/>
    <w:rsid w:val="00A4234E"/>
    <w:rsid w:val="00A426A9"/>
    <w:rsid w:val="00A42A7D"/>
    <w:rsid w:val="00A42A7E"/>
    <w:rsid w:val="00A42EE9"/>
    <w:rsid w:val="00A430CB"/>
    <w:rsid w:val="00A43172"/>
    <w:rsid w:val="00A432F7"/>
    <w:rsid w:val="00A43412"/>
    <w:rsid w:val="00A43455"/>
    <w:rsid w:val="00A4348D"/>
    <w:rsid w:val="00A434EB"/>
    <w:rsid w:val="00A43614"/>
    <w:rsid w:val="00A436A2"/>
    <w:rsid w:val="00A437D2"/>
    <w:rsid w:val="00A439E1"/>
    <w:rsid w:val="00A43BA6"/>
    <w:rsid w:val="00A43C20"/>
    <w:rsid w:val="00A43E08"/>
    <w:rsid w:val="00A43EFE"/>
    <w:rsid w:val="00A43F39"/>
    <w:rsid w:val="00A44024"/>
    <w:rsid w:val="00A4427B"/>
    <w:rsid w:val="00A443E2"/>
    <w:rsid w:val="00A444FD"/>
    <w:rsid w:val="00A44847"/>
    <w:rsid w:val="00A44882"/>
    <w:rsid w:val="00A44E12"/>
    <w:rsid w:val="00A45282"/>
    <w:rsid w:val="00A453B5"/>
    <w:rsid w:val="00A453E7"/>
    <w:rsid w:val="00A45471"/>
    <w:rsid w:val="00A45482"/>
    <w:rsid w:val="00A455A6"/>
    <w:rsid w:val="00A45773"/>
    <w:rsid w:val="00A45781"/>
    <w:rsid w:val="00A4580C"/>
    <w:rsid w:val="00A45AF6"/>
    <w:rsid w:val="00A45AFA"/>
    <w:rsid w:val="00A45BBB"/>
    <w:rsid w:val="00A45E80"/>
    <w:rsid w:val="00A45EF5"/>
    <w:rsid w:val="00A45FC4"/>
    <w:rsid w:val="00A46095"/>
    <w:rsid w:val="00A46097"/>
    <w:rsid w:val="00A46196"/>
    <w:rsid w:val="00A46435"/>
    <w:rsid w:val="00A467C6"/>
    <w:rsid w:val="00A467E6"/>
    <w:rsid w:val="00A468B0"/>
    <w:rsid w:val="00A46946"/>
    <w:rsid w:val="00A46976"/>
    <w:rsid w:val="00A46A3D"/>
    <w:rsid w:val="00A46C20"/>
    <w:rsid w:val="00A47091"/>
    <w:rsid w:val="00A47250"/>
    <w:rsid w:val="00A472EF"/>
    <w:rsid w:val="00A4730E"/>
    <w:rsid w:val="00A47433"/>
    <w:rsid w:val="00A474EF"/>
    <w:rsid w:val="00A47669"/>
    <w:rsid w:val="00A47695"/>
    <w:rsid w:val="00A4778E"/>
    <w:rsid w:val="00A479BD"/>
    <w:rsid w:val="00A47B7E"/>
    <w:rsid w:val="00A47BAA"/>
    <w:rsid w:val="00A47DDC"/>
    <w:rsid w:val="00A50021"/>
    <w:rsid w:val="00A50029"/>
    <w:rsid w:val="00A50059"/>
    <w:rsid w:val="00A501F5"/>
    <w:rsid w:val="00A5025F"/>
    <w:rsid w:val="00A502B5"/>
    <w:rsid w:val="00A502BA"/>
    <w:rsid w:val="00A503BB"/>
    <w:rsid w:val="00A503F9"/>
    <w:rsid w:val="00A50526"/>
    <w:rsid w:val="00A505B9"/>
    <w:rsid w:val="00A5069F"/>
    <w:rsid w:val="00A506CD"/>
    <w:rsid w:val="00A50725"/>
    <w:rsid w:val="00A50741"/>
    <w:rsid w:val="00A50760"/>
    <w:rsid w:val="00A50786"/>
    <w:rsid w:val="00A50A98"/>
    <w:rsid w:val="00A50C72"/>
    <w:rsid w:val="00A50D22"/>
    <w:rsid w:val="00A50D80"/>
    <w:rsid w:val="00A50E86"/>
    <w:rsid w:val="00A51006"/>
    <w:rsid w:val="00A51088"/>
    <w:rsid w:val="00A510DC"/>
    <w:rsid w:val="00A51376"/>
    <w:rsid w:val="00A514CA"/>
    <w:rsid w:val="00A514E0"/>
    <w:rsid w:val="00A51617"/>
    <w:rsid w:val="00A5167A"/>
    <w:rsid w:val="00A51836"/>
    <w:rsid w:val="00A51BAB"/>
    <w:rsid w:val="00A51C8B"/>
    <w:rsid w:val="00A51F1B"/>
    <w:rsid w:val="00A51F86"/>
    <w:rsid w:val="00A52040"/>
    <w:rsid w:val="00A52086"/>
    <w:rsid w:val="00A52298"/>
    <w:rsid w:val="00A52384"/>
    <w:rsid w:val="00A5239E"/>
    <w:rsid w:val="00A523C0"/>
    <w:rsid w:val="00A5259D"/>
    <w:rsid w:val="00A52631"/>
    <w:rsid w:val="00A5266A"/>
    <w:rsid w:val="00A527A5"/>
    <w:rsid w:val="00A5287F"/>
    <w:rsid w:val="00A52892"/>
    <w:rsid w:val="00A528F5"/>
    <w:rsid w:val="00A52942"/>
    <w:rsid w:val="00A52B1A"/>
    <w:rsid w:val="00A52D6E"/>
    <w:rsid w:val="00A52D90"/>
    <w:rsid w:val="00A52EA9"/>
    <w:rsid w:val="00A52FA5"/>
    <w:rsid w:val="00A534A1"/>
    <w:rsid w:val="00A5351B"/>
    <w:rsid w:val="00A53652"/>
    <w:rsid w:val="00A53736"/>
    <w:rsid w:val="00A537A2"/>
    <w:rsid w:val="00A53822"/>
    <w:rsid w:val="00A538B8"/>
    <w:rsid w:val="00A5396A"/>
    <w:rsid w:val="00A53ABF"/>
    <w:rsid w:val="00A53B77"/>
    <w:rsid w:val="00A53F7A"/>
    <w:rsid w:val="00A53FA8"/>
    <w:rsid w:val="00A53FF8"/>
    <w:rsid w:val="00A54151"/>
    <w:rsid w:val="00A54272"/>
    <w:rsid w:val="00A54486"/>
    <w:rsid w:val="00A5460A"/>
    <w:rsid w:val="00A5469B"/>
    <w:rsid w:val="00A546B7"/>
    <w:rsid w:val="00A546F6"/>
    <w:rsid w:val="00A547E2"/>
    <w:rsid w:val="00A5485E"/>
    <w:rsid w:val="00A54965"/>
    <w:rsid w:val="00A54A6E"/>
    <w:rsid w:val="00A54B98"/>
    <w:rsid w:val="00A54C1A"/>
    <w:rsid w:val="00A54D47"/>
    <w:rsid w:val="00A54F92"/>
    <w:rsid w:val="00A5502C"/>
    <w:rsid w:val="00A551FD"/>
    <w:rsid w:val="00A552AA"/>
    <w:rsid w:val="00A55345"/>
    <w:rsid w:val="00A553E0"/>
    <w:rsid w:val="00A5541A"/>
    <w:rsid w:val="00A55690"/>
    <w:rsid w:val="00A55818"/>
    <w:rsid w:val="00A5587C"/>
    <w:rsid w:val="00A558A4"/>
    <w:rsid w:val="00A558E1"/>
    <w:rsid w:val="00A5592B"/>
    <w:rsid w:val="00A55AE7"/>
    <w:rsid w:val="00A55B55"/>
    <w:rsid w:val="00A55DBF"/>
    <w:rsid w:val="00A55EF7"/>
    <w:rsid w:val="00A562F0"/>
    <w:rsid w:val="00A5631F"/>
    <w:rsid w:val="00A563C8"/>
    <w:rsid w:val="00A565F5"/>
    <w:rsid w:val="00A566E6"/>
    <w:rsid w:val="00A56700"/>
    <w:rsid w:val="00A56A13"/>
    <w:rsid w:val="00A56A4F"/>
    <w:rsid w:val="00A56AE3"/>
    <w:rsid w:val="00A56B48"/>
    <w:rsid w:val="00A56B9E"/>
    <w:rsid w:val="00A56C9D"/>
    <w:rsid w:val="00A56CC8"/>
    <w:rsid w:val="00A56D5A"/>
    <w:rsid w:val="00A56DBB"/>
    <w:rsid w:val="00A56F40"/>
    <w:rsid w:val="00A57082"/>
    <w:rsid w:val="00A570EB"/>
    <w:rsid w:val="00A571D5"/>
    <w:rsid w:val="00A57434"/>
    <w:rsid w:val="00A5752A"/>
    <w:rsid w:val="00A5783F"/>
    <w:rsid w:val="00A57843"/>
    <w:rsid w:val="00A57880"/>
    <w:rsid w:val="00A57DFA"/>
    <w:rsid w:val="00A6011E"/>
    <w:rsid w:val="00A6025C"/>
    <w:rsid w:val="00A60275"/>
    <w:rsid w:val="00A602D4"/>
    <w:rsid w:val="00A603FA"/>
    <w:rsid w:val="00A607BD"/>
    <w:rsid w:val="00A60922"/>
    <w:rsid w:val="00A609C3"/>
    <w:rsid w:val="00A609E8"/>
    <w:rsid w:val="00A60B8C"/>
    <w:rsid w:val="00A60C3E"/>
    <w:rsid w:val="00A60E36"/>
    <w:rsid w:val="00A60F2A"/>
    <w:rsid w:val="00A6111E"/>
    <w:rsid w:val="00A61361"/>
    <w:rsid w:val="00A6136B"/>
    <w:rsid w:val="00A61378"/>
    <w:rsid w:val="00A6171C"/>
    <w:rsid w:val="00A6179D"/>
    <w:rsid w:val="00A618B3"/>
    <w:rsid w:val="00A6193B"/>
    <w:rsid w:val="00A61A5C"/>
    <w:rsid w:val="00A61B77"/>
    <w:rsid w:val="00A61C21"/>
    <w:rsid w:val="00A61DFF"/>
    <w:rsid w:val="00A61E26"/>
    <w:rsid w:val="00A61EA4"/>
    <w:rsid w:val="00A61EAF"/>
    <w:rsid w:val="00A621C7"/>
    <w:rsid w:val="00A622D3"/>
    <w:rsid w:val="00A62394"/>
    <w:rsid w:val="00A62398"/>
    <w:rsid w:val="00A6242B"/>
    <w:rsid w:val="00A626EF"/>
    <w:rsid w:val="00A626F0"/>
    <w:rsid w:val="00A62721"/>
    <w:rsid w:val="00A628FA"/>
    <w:rsid w:val="00A62901"/>
    <w:rsid w:val="00A62916"/>
    <w:rsid w:val="00A62A15"/>
    <w:rsid w:val="00A62A42"/>
    <w:rsid w:val="00A62A44"/>
    <w:rsid w:val="00A62A71"/>
    <w:rsid w:val="00A62D4B"/>
    <w:rsid w:val="00A62E82"/>
    <w:rsid w:val="00A62FE4"/>
    <w:rsid w:val="00A63455"/>
    <w:rsid w:val="00A634A0"/>
    <w:rsid w:val="00A63658"/>
    <w:rsid w:val="00A6368A"/>
    <w:rsid w:val="00A636F1"/>
    <w:rsid w:val="00A6379A"/>
    <w:rsid w:val="00A637E0"/>
    <w:rsid w:val="00A63839"/>
    <w:rsid w:val="00A63A83"/>
    <w:rsid w:val="00A63BF5"/>
    <w:rsid w:val="00A63C1E"/>
    <w:rsid w:val="00A63DA0"/>
    <w:rsid w:val="00A640A1"/>
    <w:rsid w:val="00A641AA"/>
    <w:rsid w:val="00A6425A"/>
    <w:rsid w:val="00A6428B"/>
    <w:rsid w:val="00A6429A"/>
    <w:rsid w:val="00A643F7"/>
    <w:rsid w:val="00A6468A"/>
    <w:rsid w:val="00A64760"/>
    <w:rsid w:val="00A64770"/>
    <w:rsid w:val="00A647A6"/>
    <w:rsid w:val="00A647FD"/>
    <w:rsid w:val="00A64832"/>
    <w:rsid w:val="00A6483B"/>
    <w:rsid w:val="00A64909"/>
    <w:rsid w:val="00A6494A"/>
    <w:rsid w:val="00A649AC"/>
    <w:rsid w:val="00A64A91"/>
    <w:rsid w:val="00A64B84"/>
    <w:rsid w:val="00A64CBB"/>
    <w:rsid w:val="00A64DEC"/>
    <w:rsid w:val="00A64E59"/>
    <w:rsid w:val="00A650E9"/>
    <w:rsid w:val="00A65120"/>
    <w:rsid w:val="00A652B2"/>
    <w:rsid w:val="00A6534E"/>
    <w:rsid w:val="00A654E7"/>
    <w:rsid w:val="00A6553F"/>
    <w:rsid w:val="00A65589"/>
    <w:rsid w:val="00A65701"/>
    <w:rsid w:val="00A65753"/>
    <w:rsid w:val="00A65822"/>
    <w:rsid w:val="00A65888"/>
    <w:rsid w:val="00A65B36"/>
    <w:rsid w:val="00A65BD3"/>
    <w:rsid w:val="00A65C0F"/>
    <w:rsid w:val="00A65C45"/>
    <w:rsid w:val="00A65CCC"/>
    <w:rsid w:val="00A65E20"/>
    <w:rsid w:val="00A660AD"/>
    <w:rsid w:val="00A6611E"/>
    <w:rsid w:val="00A66260"/>
    <w:rsid w:val="00A6628B"/>
    <w:rsid w:val="00A663F7"/>
    <w:rsid w:val="00A664FD"/>
    <w:rsid w:val="00A66504"/>
    <w:rsid w:val="00A6677C"/>
    <w:rsid w:val="00A6679E"/>
    <w:rsid w:val="00A667B8"/>
    <w:rsid w:val="00A66813"/>
    <w:rsid w:val="00A66866"/>
    <w:rsid w:val="00A6693B"/>
    <w:rsid w:val="00A66A8E"/>
    <w:rsid w:val="00A66C3F"/>
    <w:rsid w:val="00A66C7C"/>
    <w:rsid w:val="00A66F37"/>
    <w:rsid w:val="00A66F90"/>
    <w:rsid w:val="00A66F94"/>
    <w:rsid w:val="00A67350"/>
    <w:rsid w:val="00A673D0"/>
    <w:rsid w:val="00A673EB"/>
    <w:rsid w:val="00A674FA"/>
    <w:rsid w:val="00A6766F"/>
    <w:rsid w:val="00A676DF"/>
    <w:rsid w:val="00A679AE"/>
    <w:rsid w:val="00A67A4D"/>
    <w:rsid w:val="00A67BE4"/>
    <w:rsid w:val="00A70107"/>
    <w:rsid w:val="00A701CC"/>
    <w:rsid w:val="00A701EC"/>
    <w:rsid w:val="00A7022E"/>
    <w:rsid w:val="00A702FE"/>
    <w:rsid w:val="00A704FA"/>
    <w:rsid w:val="00A7050B"/>
    <w:rsid w:val="00A70523"/>
    <w:rsid w:val="00A70528"/>
    <w:rsid w:val="00A708CD"/>
    <w:rsid w:val="00A70981"/>
    <w:rsid w:val="00A70A07"/>
    <w:rsid w:val="00A70B8E"/>
    <w:rsid w:val="00A70B97"/>
    <w:rsid w:val="00A70BD0"/>
    <w:rsid w:val="00A70CB9"/>
    <w:rsid w:val="00A70D1E"/>
    <w:rsid w:val="00A70D7F"/>
    <w:rsid w:val="00A70E06"/>
    <w:rsid w:val="00A70F01"/>
    <w:rsid w:val="00A70F47"/>
    <w:rsid w:val="00A71059"/>
    <w:rsid w:val="00A71118"/>
    <w:rsid w:val="00A71175"/>
    <w:rsid w:val="00A711BC"/>
    <w:rsid w:val="00A7143B"/>
    <w:rsid w:val="00A71524"/>
    <w:rsid w:val="00A715FF"/>
    <w:rsid w:val="00A719D8"/>
    <w:rsid w:val="00A71BA8"/>
    <w:rsid w:val="00A71C5D"/>
    <w:rsid w:val="00A71DF2"/>
    <w:rsid w:val="00A7200F"/>
    <w:rsid w:val="00A7205B"/>
    <w:rsid w:val="00A721CC"/>
    <w:rsid w:val="00A721D6"/>
    <w:rsid w:val="00A722B6"/>
    <w:rsid w:val="00A722E2"/>
    <w:rsid w:val="00A7238C"/>
    <w:rsid w:val="00A723EE"/>
    <w:rsid w:val="00A72747"/>
    <w:rsid w:val="00A729D5"/>
    <w:rsid w:val="00A72A66"/>
    <w:rsid w:val="00A72A86"/>
    <w:rsid w:val="00A72BC8"/>
    <w:rsid w:val="00A72BCD"/>
    <w:rsid w:val="00A72BF3"/>
    <w:rsid w:val="00A72CB6"/>
    <w:rsid w:val="00A72CDA"/>
    <w:rsid w:val="00A72D79"/>
    <w:rsid w:val="00A72D8D"/>
    <w:rsid w:val="00A72E0E"/>
    <w:rsid w:val="00A72E6B"/>
    <w:rsid w:val="00A72EA4"/>
    <w:rsid w:val="00A73124"/>
    <w:rsid w:val="00A7361C"/>
    <w:rsid w:val="00A736AB"/>
    <w:rsid w:val="00A7383A"/>
    <w:rsid w:val="00A73A83"/>
    <w:rsid w:val="00A73AD0"/>
    <w:rsid w:val="00A73BBE"/>
    <w:rsid w:val="00A73E3B"/>
    <w:rsid w:val="00A73EB9"/>
    <w:rsid w:val="00A7408C"/>
    <w:rsid w:val="00A740CC"/>
    <w:rsid w:val="00A740EB"/>
    <w:rsid w:val="00A7429A"/>
    <w:rsid w:val="00A744B3"/>
    <w:rsid w:val="00A74626"/>
    <w:rsid w:val="00A74689"/>
    <w:rsid w:val="00A74749"/>
    <w:rsid w:val="00A749FC"/>
    <w:rsid w:val="00A74AE9"/>
    <w:rsid w:val="00A74B5F"/>
    <w:rsid w:val="00A74BBF"/>
    <w:rsid w:val="00A74DE5"/>
    <w:rsid w:val="00A74DE8"/>
    <w:rsid w:val="00A74F41"/>
    <w:rsid w:val="00A750C4"/>
    <w:rsid w:val="00A75194"/>
    <w:rsid w:val="00A75229"/>
    <w:rsid w:val="00A754EB"/>
    <w:rsid w:val="00A7575E"/>
    <w:rsid w:val="00A75863"/>
    <w:rsid w:val="00A7593D"/>
    <w:rsid w:val="00A759F1"/>
    <w:rsid w:val="00A75DD2"/>
    <w:rsid w:val="00A75EC2"/>
    <w:rsid w:val="00A75EDB"/>
    <w:rsid w:val="00A75F55"/>
    <w:rsid w:val="00A75F57"/>
    <w:rsid w:val="00A76433"/>
    <w:rsid w:val="00A767A9"/>
    <w:rsid w:val="00A76AE5"/>
    <w:rsid w:val="00A76E29"/>
    <w:rsid w:val="00A76E87"/>
    <w:rsid w:val="00A76EE3"/>
    <w:rsid w:val="00A76FDB"/>
    <w:rsid w:val="00A7701E"/>
    <w:rsid w:val="00A773AD"/>
    <w:rsid w:val="00A77492"/>
    <w:rsid w:val="00A77732"/>
    <w:rsid w:val="00A77750"/>
    <w:rsid w:val="00A779F8"/>
    <w:rsid w:val="00A77C0E"/>
    <w:rsid w:val="00A77C91"/>
    <w:rsid w:val="00A77CB7"/>
    <w:rsid w:val="00A77EC3"/>
    <w:rsid w:val="00A77F77"/>
    <w:rsid w:val="00A80285"/>
    <w:rsid w:val="00A802D7"/>
    <w:rsid w:val="00A804D9"/>
    <w:rsid w:val="00A80631"/>
    <w:rsid w:val="00A808EB"/>
    <w:rsid w:val="00A809C7"/>
    <w:rsid w:val="00A809D1"/>
    <w:rsid w:val="00A80BF4"/>
    <w:rsid w:val="00A80D75"/>
    <w:rsid w:val="00A80DB4"/>
    <w:rsid w:val="00A80EAA"/>
    <w:rsid w:val="00A80F71"/>
    <w:rsid w:val="00A8101F"/>
    <w:rsid w:val="00A8116B"/>
    <w:rsid w:val="00A812D1"/>
    <w:rsid w:val="00A813AA"/>
    <w:rsid w:val="00A814CF"/>
    <w:rsid w:val="00A81500"/>
    <w:rsid w:val="00A8174C"/>
    <w:rsid w:val="00A81784"/>
    <w:rsid w:val="00A8186C"/>
    <w:rsid w:val="00A818FB"/>
    <w:rsid w:val="00A81904"/>
    <w:rsid w:val="00A819D1"/>
    <w:rsid w:val="00A81A22"/>
    <w:rsid w:val="00A81AC0"/>
    <w:rsid w:val="00A81AF2"/>
    <w:rsid w:val="00A81B0E"/>
    <w:rsid w:val="00A81BE0"/>
    <w:rsid w:val="00A81C93"/>
    <w:rsid w:val="00A81D37"/>
    <w:rsid w:val="00A81DAE"/>
    <w:rsid w:val="00A81DDD"/>
    <w:rsid w:val="00A81DE0"/>
    <w:rsid w:val="00A81F44"/>
    <w:rsid w:val="00A82108"/>
    <w:rsid w:val="00A8210B"/>
    <w:rsid w:val="00A82234"/>
    <w:rsid w:val="00A82607"/>
    <w:rsid w:val="00A82653"/>
    <w:rsid w:val="00A82913"/>
    <w:rsid w:val="00A82972"/>
    <w:rsid w:val="00A82AE4"/>
    <w:rsid w:val="00A82AF1"/>
    <w:rsid w:val="00A82B9D"/>
    <w:rsid w:val="00A82C4F"/>
    <w:rsid w:val="00A82D66"/>
    <w:rsid w:val="00A82E1C"/>
    <w:rsid w:val="00A82ED3"/>
    <w:rsid w:val="00A82EDA"/>
    <w:rsid w:val="00A82FAA"/>
    <w:rsid w:val="00A833ED"/>
    <w:rsid w:val="00A8341C"/>
    <w:rsid w:val="00A8349D"/>
    <w:rsid w:val="00A83510"/>
    <w:rsid w:val="00A83556"/>
    <w:rsid w:val="00A8357C"/>
    <w:rsid w:val="00A836B9"/>
    <w:rsid w:val="00A8373F"/>
    <w:rsid w:val="00A837FB"/>
    <w:rsid w:val="00A83822"/>
    <w:rsid w:val="00A83CE0"/>
    <w:rsid w:val="00A84293"/>
    <w:rsid w:val="00A843E5"/>
    <w:rsid w:val="00A84589"/>
    <w:rsid w:val="00A8470E"/>
    <w:rsid w:val="00A849A0"/>
    <w:rsid w:val="00A849FE"/>
    <w:rsid w:val="00A84A20"/>
    <w:rsid w:val="00A84C19"/>
    <w:rsid w:val="00A84C2B"/>
    <w:rsid w:val="00A850E9"/>
    <w:rsid w:val="00A851A8"/>
    <w:rsid w:val="00A8528D"/>
    <w:rsid w:val="00A85303"/>
    <w:rsid w:val="00A85435"/>
    <w:rsid w:val="00A85466"/>
    <w:rsid w:val="00A85495"/>
    <w:rsid w:val="00A8556E"/>
    <w:rsid w:val="00A85684"/>
    <w:rsid w:val="00A8585B"/>
    <w:rsid w:val="00A858B1"/>
    <w:rsid w:val="00A8591C"/>
    <w:rsid w:val="00A85980"/>
    <w:rsid w:val="00A85D22"/>
    <w:rsid w:val="00A85DBE"/>
    <w:rsid w:val="00A85E94"/>
    <w:rsid w:val="00A85FFB"/>
    <w:rsid w:val="00A8607F"/>
    <w:rsid w:val="00A86186"/>
    <w:rsid w:val="00A8628D"/>
    <w:rsid w:val="00A86290"/>
    <w:rsid w:val="00A862D5"/>
    <w:rsid w:val="00A866D9"/>
    <w:rsid w:val="00A868C2"/>
    <w:rsid w:val="00A868C8"/>
    <w:rsid w:val="00A86A3D"/>
    <w:rsid w:val="00A86A59"/>
    <w:rsid w:val="00A86C8F"/>
    <w:rsid w:val="00A86CAC"/>
    <w:rsid w:val="00A8703E"/>
    <w:rsid w:val="00A870DD"/>
    <w:rsid w:val="00A870E7"/>
    <w:rsid w:val="00A87130"/>
    <w:rsid w:val="00A87249"/>
    <w:rsid w:val="00A872B4"/>
    <w:rsid w:val="00A873A8"/>
    <w:rsid w:val="00A87406"/>
    <w:rsid w:val="00A87715"/>
    <w:rsid w:val="00A87759"/>
    <w:rsid w:val="00A8780D"/>
    <w:rsid w:val="00A878D0"/>
    <w:rsid w:val="00A87BD0"/>
    <w:rsid w:val="00A87BD7"/>
    <w:rsid w:val="00A87C4D"/>
    <w:rsid w:val="00A87CF9"/>
    <w:rsid w:val="00A87EDB"/>
    <w:rsid w:val="00A87FB6"/>
    <w:rsid w:val="00A87FC2"/>
    <w:rsid w:val="00A901AC"/>
    <w:rsid w:val="00A9026E"/>
    <w:rsid w:val="00A9040D"/>
    <w:rsid w:val="00A9046E"/>
    <w:rsid w:val="00A9057A"/>
    <w:rsid w:val="00A90677"/>
    <w:rsid w:val="00A9084E"/>
    <w:rsid w:val="00A90B7C"/>
    <w:rsid w:val="00A910A4"/>
    <w:rsid w:val="00A910CE"/>
    <w:rsid w:val="00A911E6"/>
    <w:rsid w:val="00A9130C"/>
    <w:rsid w:val="00A9149E"/>
    <w:rsid w:val="00A914BD"/>
    <w:rsid w:val="00A9156F"/>
    <w:rsid w:val="00A91650"/>
    <w:rsid w:val="00A91892"/>
    <w:rsid w:val="00A919E1"/>
    <w:rsid w:val="00A91A49"/>
    <w:rsid w:val="00A91BAB"/>
    <w:rsid w:val="00A91D14"/>
    <w:rsid w:val="00A91E3F"/>
    <w:rsid w:val="00A91F58"/>
    <w:rsid w:val="00A920AA"/>
    <w:rsid w:val="00A920D7"/>
    <w:rsid w:val="00A92187"/>
    <w:rsid w:val="00A923B3"/>
    <w:rsid w:val="00A923C4"/>
    <w:rsid w:val="00A92527"/>
    <w:rsid w:val="00A92541"/>
    <w:rsid w:val="00A926CD"/>
    <w:rsid w:val="00A92A0F"/>
    <w:rsid w:val="00A92A59"/>
    <w:rsid w:val="00A92A91"/>
    <w:rsid w:val="00A92CDF"/>
    <w:rsid w:val="00A930D7"/>
    <w:rsid w:val="00A933E0"/>
    <w:rsid w:val="00A9349D"/>
    <w:rsid w:val="00A93624"/>
    <w:rsid w:val="00A936C4"/>
    <w:rsid w:val="00A9377D"/>
    <w:rsid w:val="00A93890"/>
    <w:rsid w:val="00A93C3C"/>
    <w:rsid w:val="00A93D25"/>
    <w:rsid w:val="00A93E53"/>
    <w:rsid w:val="00A93FAD"/>
    <w:rsid w:val="00A940F1"/>
    <w:rsid w:val="00A943D9"/>
    <w:rsid w:val="00A94453"/>
    <w:rsid w:val="00A9450A"/>
    <w:rsid w:val="00A946F4"/>
    <w:rsid w:val="00A947C2"/>
    <w:rsid w:val="00A94983"/>
    <w:rsid w:val="00A94A67"/>
    <w:rsid w:val="00A94D32"/>
    <w:rsid w:val="00A94FDF"/>
    <w:rsid w:val="00A9520F"/>
    <w:rsid w:val="00A954DF"/>
    <w:rsid w:val="00A955BE"/>
    <w:rsid w:val="00A9562F"/>
    <w:rsid w:val="00A957CA"/>
    <w:rsid w:val="00A958DD"/>
    <w:rsid w:val="00A959B4"/>
    <w:rsid w:val="00A959BB"/>
    <w:rsid w:val="00A95AF7"/>
    <w:rsid w:val="00A95B74"/>
    <w:rsid w:val="00A95B99"/>
    <w:rsid w:val="00A95C42"/>
    <w:rsid w:val="00A95C74"/>
    <w:rsid w:val="00A95C93"/>
    <w:rsid w:val="00A95CFF"/>
    <w:rsid w:val="00A95D5B"/>
    <w:rsid w:val="00A95DCC"/>
    <w:rsid w:val="00A95EE5"/>
    <w:rsid w:val="00A95F32"/>
    <w:rsid w:val="00A95F56"/>
    <w:rsid w:val="00A95FD9"/>
    <w:rsid w:val="00A96088"/>
    <w:rsid w:val="00A960C3"/>
    <w:rsid w:val="00A960C5"/>
    <w:rsid w:val="00A9625B"/>
    <w:rsid w:val="00A9639A"/>
    <w:rsid w:val="00A965EB"/>
    <w:rsid w:val="00A96953"/>
    <w:rsid w:val="00A969A2"/>
    <w:rsid w:val="00A96CBD"/>
    <w:rsid w:val="00A96CED"/>
    <w:rsid w:val="00A96DC0"/>
    <w:rsid w:val="00A96FDA"/>
    <w:rsid w:val="00A9722F"/>
    <w:rsid w:val="00A97713"/>
    <w:rsid w:val="00A97726"/>
    <w:rsid w:val="00A977E8"/>
    <w:rsid w:val="00A9784E"/>
    <w:rsid w:val="00A97A78"/>
    <w:rsid w:val="00A97C4F"/>
    <w:rsid w:val="00AA01A9"/>
    <w:rsid w:val="00AA01DE"/>
    <w:rsid w:val="00AA01ED"/>
    <w:rsid w:val="00AA04CA"/>
    <w:rsid w:val="00AA06DB"/>
    <w:rsid w:val="00AA08AF"/>
    <w:rsid w:val="00AA0918"/>
    <w:rsid w:val="00AA0B8C"/>
    <w:rsid w:val="00AA0BFA"/>
    <w:rsid w:val="00AA0D35"/>
    <w:rsid w:val="00AA0D6C"/>
    <w:rsid w:val="00AA0EFF"/>
    <w:rsid w:val="00AA0F31"/>
    <w:rsid w:val="00AA0F86"/>
    <w:rsid w:val="00AA1134"/>
    <w:rsid w:val="00AA11C6"/>
    <w:rsid w:val="00AA12AF"/>
    <w:rsid w:val="00AA12B9"/>
    <w:rsid w:val="00AA12C9"/>
    <w:rsid w:val="00AA149B"/>
    <w:rsid w:val="00AA17E6"/>
    <w:rsid w:val="00AA18C3"/>
    <w:rsid w:val="00AA1A32"/>
    <w:rsid w:val="00AA1A87"/>
    <w:rsid w:val="00AA1B4D"/>
    <w:rsid w:val="00AA1B62"/>
    <w:rsid w:val="00AA1C13"/>
    <w:rsid w:val="00AA1D9B"/>
    <w:rsid w:val="00AA1F12"/>
    <w:rsid w:val="00AA1F2F"/>
    <w:rsid w:val="00AA1FE7"/>
    <w:rsid w:val="00AA2117"/>
    <w:rsid w:val="00AA2216"/>
    <w:rsid w:val="00AA22AA"/>
    <w:rsid w:val="00AA22B5"/>
    <w:rsid w:val="00AA230F"/>
    <w:rsid w:val="00AA239F"/>
    <w:rsid w:val="00AA23F1"/>
    <w:rsid w:val="00AA23F9"/>
    <w:rsid w:val="00AA25D1"/>
    <w:rsid w:val="00AA2727"/>
    <w:rsid w:val="00AA2963"/>
    <w:rsid w:val="00AA2A46"/>
    <w:rsid w:val="00AA2AF2"/>
    <w:rsid w:val="00AA2B30"/>
    <w:rsid w:val="00AA2C20"/>
    <w:rsid w:val="00AA2CEC"/>
    <w:rsid w:val="00AA2DEA"/>
    <w:rsid w:val="00AA2EB6"/>
    <w:rsid w:val="00AA30F6"/>
    <w:rsid w:val="00AA353F"/>
    <w:rsid w:val="00AA3540"/>
    <w:rsid w:val="00AA35EF"/>
    <w:rsid w:val="00AA39CF"/>
    <w:rsid w:val="00AA3AC5"/>
    <w:rsid w:val="00AA3AE6"/>
    <w:rsid w:val="00AA3BD3"/>
    <w:rsid w:val="00AA3C28"/>
    <w:rsid w:val="00AA3E42"/>
    <w:rsid w:val="00AA40EC"/>
    <w:rsid w:val="00AA43B1"/>
    <w:rsid w:val="00AA43B2"/>
    <w:rsid w:val="00AA4405"/>
    <w:rsid w:val="00AA45A8"/>
    <w:rsid w:val="00AA46E9"/>
    <w:rsid w:val="00AA478E"/>
    <w:rsid w:val="00AA4798"/>
    <w:rsid w:val="00AA4ADB"/>
    <w:rsid w:val="00AA4E5E"/>
    <w:rsid w:val="00AA51FF"/>
    <w:rsid w:val="00AA52E5"/>
    <w:rsid w:val="00AA532A"/>
    <w:rsid w:val="00AA550B"/>
    <w:rsid w:val="00AA5592"/>
    <w:rsid w:val="00AA55F9"/>
    <w:rsid w:val="00AA560B"/>
    <w:rsid w:val="00AA58B4"/>
    <w:rsid w:val="00AA58F5"/>
    <w:rsid w:val="00AA5A13"/>
    <w:rsid w:val="00AA5D44"/>
    <w:rsid w:val="00AA5F0C"/>
    <w:rsid w:val="00AA60A1"/>
    <w:rsid w:val="00AA61B1"/>
    <w:rsid w:val="00AA6231"/>
    <w:rsid w:val="00AA62E6"/>
    <w:rsid w:val="00AA62F1"/>
    <w:rsid w:val="00AA63A4"/>
    <w:rsid w:val="00AA64FB"/>
    <w:rsid w:val="00AA651A"/>
    <w:rsid w:val="00AA66BA"/>
    <w:rsid w:val="00AA66F5"/>
    <w:rsid w:val="00AA67D7"/>
    <w:rsid w:val="00AA6BF3"/>
    <w:rsid w:val="00AA6C1A"/>
    <w:rsid w:val="00AA6C41"/>
    <w:rsid w:val="00AA6C8E"/>
    <w:rsid w:val="00AA6CBA"/>
    <w:rsid w:val="00AA6CCF"/>
    <w:rsid w:val="00AA6CD2"/>
    <w:rsid w:val="00AA6E49"/>
    <w:rsid w:val="00AA6E64"/>
    <w:rsid w:val="00AA6EE4"/>
    <w:rsid w:val="00AA6F0F"/>
    <w:rsid w:val="00AA6FD8"/>
    <w:rsid w:val="00AA702E"/>
    <w:rsid w:val="00AA703F"/>
    <w:rsid w:val="00AA72CA"/>
    <w:rsid w:val="00AA7361"/>
    <w:rsid w:val="00AA73EF"/>
    <w:rsid w:val="00AA7457"/>
    <w:rsid w:val="00AA77EE"/>
    <w:rsid w:val="00AA780C"/>
    <w:rsid w:val="00AA780E"/>
    <w:rsid w:val="00AA7844"/>
    <w:rsid w:val="00AA7935"/>
    <w:rsid w:val="00AA7961"/>
    <w:rsid w:val="00AA79B6"/>
    <w:rsid w:val="00AA7A1B"/>
    <w:rsid w:val="00AA7B6A"/>
    <w:rsid w:val="00AA7EDC"/>
    <w:rsid w:val="00AB0108"/>
    <w:rsid w:val="00AB031D"/>
    <w:rsid w:val="00AB05B8"/>
    <w:rsid w:val="00AB067B"/>
    <w:rsid w:val="00AB0688"/>
    <w:rsid w:val="00AB06CF"/>
    <w:rsid w:val="00AB0755"/>
    <w:rsid w:val="00AB084B"/>
    <w:rsid w:val="00AB089C"/>
    <w:rsid w:val="00AB08C2"/>
    <w:rsid w:val="00AB0972"/>
    <w:rsid w:val="00AB0A5B"/>
    <w:rsid w:val="00AB0AB9"/>
    <w:rsid w:val="00AB0B1E"/>
    <w:rsid w:val="00AB0B6E"/>
    <w:rsid w:val="00AB0C68"/>
    <w:rsid w:val="00AB0D8F"/>
    <w:rsid w:val="00AB0DE9"/>
    <w:rsid w:val="00AB0E29"/>
    <w:rsid w:val="00AB104A"/>
    <w:rsid w:val="00AB1094"/>
    <w:rsid w:val="00AB144E"/>
    <w:rsid w:val="00AB1640"/>
    <w:rsid w:val="00AB1A44"/>
    <w:rsid w:val="00AB1AB2"/>
    <w:rsid w:val="00AB1B4E"/>
    <w:rsid w:val="00AB1B77"/>
    <w:rsid w:val="00AB1BE7"/>
    <w:rsid w:val="00AB1E0A"/>
    <w:rsid w:val="00AB1E1A"/>
    <w:rsid w:val="00AB1FCD"/>
    <w:rsid w:val="00AB2099"/>
    <w:rsid w:val="00AB2155"/>
    <w:rsid w:val="00AB21C9"/>
    <w:rsid w:val="00AB23D8"/>
    <w:rsid w:val="00AB2474"/>
    <w:rsid w:val="00AB24B9"/>
    <w:rsid w:val="00AB26C9"/>
    <w:rsid w:val="00AB26E1"/>
    <w:rsid w:val="00AB2840"/>
    <w:rsid w:val="00AB2AD3"/>
    <w:rsid w:val="00AB2B3C"/>
    <w:rsid w:val="00AB2CCC"/>
    <w:rsid w:val="00AB2D07"/>
    <w:rsid w:val="00AB2D81"/>
    <w:rsid w:val="00AB31AD"/>
    <w:rsid w:val="00AB3272"/>
    <w:rsid w:val="00AB32B9"/>
    <w:rsid w:val="00AB33CA"/>
    <w:rsid w:val="00AB350B"/>
    <w:rsid w:val="00AB3519"/>
    <w:rsid w:val="00AB377F"/>
    <w:rsid w:val="00AB3850"/>
    <w:rsid w:val="00AB3A8A"/>
    <w:rsid w:val="00AB3B58"/>
    <w:rsid w:val="00AB3BB6"/>
    <w:rsid w:val="00AB3C47"/>
    <w:rsid w:val="00AB3C54"/>
    <w:rsid w:val="00AB402A"/>
    <w:rsid w:val="00AB42C3"/>
    <w:rsid w:val="00AB459C"/>
    <w:rsid w:val="00AB4760"/>
    <w:rsid w:val="00AB480C"/>
    <w:rsid w:val="00AB48DF"/>
    <w:rsid w:val="00AB4AF9"/>
    <w:rsid w:val="00AB4B73"/>
    <w:rsid w:val="00AB4CD8"/>
    <w:rsid w:val="00AB4D0D"/>
    <w:rsid w:val="00AB4D4B"/>
    <w:rsid w:val="00AB4DED"/>
    <w:rsid w:val="00AB4F66"/>
    <w:rsid w:val="00AB50B9"/>
    <w:rsid w:val="00AB5154"/>
    <w:rsid w:val="00AB515B"/>
    <w:rsid w:val="00AB519C"/>
    <w:rsid w:val="00AB5388"/>
    <w:rsid w:val="00AB5500"/>
    <w:rsid w:val="00AB56E0"/>
    <w:rsid w:val="00AB5820"/>
    <w:rsid w:val="00AB582D"/>
    <w:rsid w:val="00AB5951"/>
    <w:rsid w:val="00AB5A7A"/>
    <w:rsid w:val="00AB5B13"/>
    <w:rsid w:val="00AB5DFB"/>
    <w:rsid w:val="00AB5F20"/>
    <w:rsid w:val="00AB5F28"/>
    <w:rsid w:val="00AB5FE1"/>
    <w:rsid w:val="00AB641E"/>
    <w:rsid w:val="00AB652E"/>
    <w:rsid w:val="00AB663F"/>
    <w:rsid w:val="00AB66A3"/>
    <w:rsid w:val="00AB67B6"/>
    <w:rsid w:val="00AB688F"/>
    <w:rsid w:val="00AB6989"/>
    <w:rsid w:val="00AB6B61"/>
    <w:rsid w:val="00AB6B79"/>
    <w:rsid w:val="00AB6F74"/>
    <w:rsid w:val="00AB6FDD"/>
    <w:rsid w:val="00AB716E"/>
    <w:rsid w:val="00AB73F9"/>
    <w:rsid w:val="00AB745E"/>
    <w:rsid w:val="00AB757B"/>
    <w:rsid w:val="00AB76E8"/>
    <w:rsid w:val="00AB78CA"/>
    <w:rsid w:val="00AB7900"/>
    <w:rsid w:val="00AB799D"/>
    <w:rsid w:val="00AB7BA5"/>
    <w:rsid w:val="00AB7E55"/>
    <w:rsid w:val="00AC00EC"/>
    <w:rsid w:val="00AC05E7"/>
    <w:rsid w:val="00AC0610"/>
    <w:rsid w:val="00AC0623"/>
    <w:rsid w:val="00AC066B"/>
    <w:rsid w:val="00AC068E"/>
    <w:rsid w:val="00AC073D"/>
    <w:rsid w:val="00AC07BD"/>
    <w:rsid w:val="00AC0A74"/>
    <w:rsid w:val="00AC0B44"/>
    <w:rsid w:val="00AC0B81"/>
    <w:rsid w:val="00AC0C7E"/>
    <w:rsid w:val="00AC0E13"/>
    <w:rsid w:val="00AC0E35"/>
    <w:rsid w:val="00AC0E74"/>
    <w:rsid w:val="00AC0F05"/>
    <w:rsid w:val="00AC1088"/>
    <w:rsid w:val="00AC1278"/>
    <w:rsid w:val="00AC1313"/>
    <w:rsid w:val="00AC1471"/>
    <w:rsid w:val="00AC163B"/>
    <w:rsid w:val="00AC1670"/>
    <w:rsid w:val="00AC16F7"/>
    <w:rsid w:val="00AC1845"/>
    <w:rsid w:val="00AC18B0"/>
    <w:rsid w:val="00AC19A3"/>
    <w:rsid w:val="00AC19C1"/>
    <w:rsid w:val="00AC1A51"/>
    <w:rsid w:val="00AC1A70"/>
    <w:rsid w:val="00AC1BFB"/>
    <w:rsid w:val="00AC1D74"/>
    <w:rsid w:val="00AC1E00"/>
    <w:rsid w:val="00AC1E05"/>
    <w:rsid w:val="00AC1E37"/>
    <w:rsid w:val="00AC1FB3"/>
    <w:rsid w:val="00AC1FF0"/>
    <w:rsid w:val="00AC20FC"/>
    <w:rsid w:val="00AC249D"/>
    <w:rsid w:val="00AC249E"/>
    <w:rsid w:val="00AC259E"/>
    <w:rsid w:val="00AC266E"/>
    <w:rsid w:val="00AC2724"/>
    <w:rsid w:val="00AC2860"/>
    <w:rsid w:val="00AC2A19"/>
    <w:rsid w:val="00AC2A62"/>
    <w:rsid w:val="00AC2A79"/>
    <w:rsid w:val="00AC2A95"/>
    <w:rsid w:val="00AC2B38"/>
    <w:rsid w:val="00AC2C80"/>
    <w:rsid w:val="00AC2D0E"/>
    <w:rsid w:val="00AC2D13"/>
    <w:rsid w:val="00AC2D45"/>
    <w:rsid w:val="00AC2DA5"/>
    <w:rsid w:val="00AC2F56"/>
    <w:rsid w:val="00AC3105"/>
    <w:rsid w:val="00AC3156"/>
    <w:rsid w:val="00AC3159"/>
    <w:rsid w:val="00AC335A"/>
    <w:rsid w:val="00AC336D"/>
    <w:rsid w:val="00AC3392"/>
    <w:rsid w:val="00AC376A"/>
    <w:rsid w:val="00AC39BD"/>
    <w:rsid w:val="00AC3AC8"/>
    <w:rsid w:val="00AC3EC6"/>
    <w:rsid w:val="00AC4058"/>
    <w:rsid w:val="00AC40CF"/>
    <w:rsid w:val="00AC42E5"/>
    <w:rsid w:val="00AC43DE"/>
    <w:rsid w:val="00AC4500"/>
    <w:rsid w:val="00AC46AE"/>
    <w:rsid w:val="00AC4734"/>
    <w:rsid w:val="00AC4779"/>
    <w:rsid w:val="00AC48D3"/>
    <w:rsid w:val="00AC4924"/>
    <w:rsid w:val="00AC4C3E"/>
    <w:rsid w:val="00AC4CFA"/>
    <w:rsid w:val="00AC4D0C"/>
    <w:rsid w:val="00AC4E23"/>
    <w:rsid w:val="00AC4EED"/>
    <w:rsid w:val="00AC50E7"/>
    <w:rsid w:val="00AC520C"/>
    <w:rsid w:val="00AC5215"/>
    <w:rsid w:val="00AC527F"/>
    <w:rsid w:val="00AC585B"/>
    <w:rsid w:val="00AC5888"/>
    <w:rsid w:val="00AC59B9"/>
    <w:rsid w:val="00AC5A54"/>
    <w:rsid w:val="00AC5A7B"/>
    <w:rsid w:val="00AC5A92"/>
    <w:rsid w:val="00AC5A9D"/>
    <w:rsid w:val="00AC5AB8"/>
    <w:rsid w:val="00AC5C81"/>
    <w:rsid w:val="00AC5CE9"/>
    <w:rsid w:val="00AC5DC0"/>
    <w:rsid w:val="00AC5E92"/>
    <w:rsid w:val="00AC5F64"/>
    <w:rsid w:val="00AC5F95"/>
    <w:rsid w:val="00AC601A"/>
    <w:rsid w:val="00AC604A"/>
    <w:rsid w:val="00AC6062"/>
    <w:rsid w:val="00AC635F"/>
    <w:rsid w:val="00AC6854"/>
    <w:rsid w:val="00AC6875"/>
    <w:rsid w:val="00AC68C1"/>
    <w:rsid w:val="00AC69C2"/>
    <w:rsid w:val="00AC6C30"/>
    <w:rsid w:val="00AC6C83"/>
    <w:rsid w:val="00AC6CD7"/>
    <w:rsid w:val="00AC6D18"/>
    <w:rsid w:val="00AC6ED8"/>
    <w:rsid w:val="00AC6FBA"/>
    <w:rsid w:val="00AC7007"/>
    <w:rsid w:val="00AC706E"/>
    <w:rsid w:val="00AC70E8"/>
    <w:rsid w:val="00AC7127"/>
    <w:rsid w:val="00AC71A7"/>
    <w:rsid w:val="00AC7356"/>
    <w:rsid w:val="00AC7487"/>
    <w:rsid w:val="00AC76D8"/>
    <w:rsid w:val="00AC76EE"/>
    <w:rsid w:val="00AC7825"/>
    <w:rsid w:val="00AC78CE"/>
    <w:rsid w:val="00AC798D"/>
    <w:rsid w:val="00AC7AF3"/>
    <w:rsid w:val="00AC7C29"/>
    <w:rsid w:val="00AD041B"/>
    <w:rsid w:val="00AD0484"/>
    <w:rsid w:val="00AD04FD"/>
    <w:rsid w:val="00AD0765"/>
    <w:rsid w:val="00AD0AD8"/>
    <w:rsid w:val="00AD0BC3"/>
    <w:rsid w:val="00AD0CF1"/>
    <w:rsid w:val="00AD0E84"/>
    <w:rsid w:val="00AD0FD1"/>
    <w:rsid w:val="00AD1202"/>
    <w:rsid w:val="00AD132E"/>
    <w:rsid w:val="00AD14FA"/>
    <w:rsid w:val="00AD171F"/>
    <w:rsid w:val="00AD172C"/>
    <w:rsid w:val="00AD18C7"/>
    <w:rsid w:val="00AD1979"/>
    <w:rsid w:val="00AD1BA1"/>
    <w:rsid w:val="00AD1BCB"/>
    <w:rsid w:val="00AD1D26"/>
    <w:rsid w:val="00AD1DE4"/>
    <w:rsid w:val="00AD226D"/>
    <w:rsid w:val="00AD239F"/>
    <w:rsid w:val="00AD2521"/>
    <w:rsid w:val="00AD2558"/>
    <w:rsid w:val="00AD259F"/>
    <w:rsid w:val="00AD2839"/>
    <w:rsid w:val="00AD29DB"/>
    <w:rsid w:val="00AD2A88"/>
    <w:rsid w:val="00AD2ACD"/>
    <w:rsid w:val="00AD2AEB"/>
    <w:rsid w:val="00AD2BE3"/>
    <w:rsid w:val="00AD2C28"/>
    <w:rsid w:val="00AD2DA0"/>
    <w:rsid w:val="00AD2E19"/>
    <w:rsid w:val="00AD2EAF"/>
    <w:rsid w:val="00AD2EC5"/>
    <w:rsid w:val="00AD317C"/>
    <w:rsid w:val="00AD33D2"/>
    <w:rsid w:val="00AD341A"/>
    <w:rsid w:val="00AD3491"/>
    <w:rsid w:val="00AD3499"/>
    <w:rsid w:val="00AD36B9"/>
    <w:rsid w:val="00AD380F"/>
    <w:rsid w:val="00AD3843"/>
    <w:rsid w:val="00AD399C"/>
    <w:rsid w:val="00AD3A1A"/>
    <w:rsid w:val="00AD3BE0"/>
    <w:rsid w:val="00AD3C45"/>
    <w:rsid w:val="00AD3CDE"/>
    <w:rsid w:val="00AD3D0D"/>
    <w:rsid w:val="00AD3D4E"/>
    <w:rsid w:val="00AD43AB"/>
    <w:rsid w:val="00AD462C"/>
    <w:rsid w:val="00AD46C6"/>
    <w:rsid w:val="00AD46F0"/>
    <w:rsid w:val="00AD475C"/>
    <w:rsid w:val="00AD4828"/>
    <w:rsid w:val="00AD4A04"/>
    <w:rsid w:val="00AD4A95"/>
    <w:rsid w:val="00AD4AAE"/>
    <w:rsid w:val="00AD4ACF"/>
    <w:rsid w:val="00AD4AFF"/>
    <w:rsid w:val="00AD4BFE"/>
    <w:rsid w:val="00AD4EF8"/>
    <w:rsid w:val="00AD50A8"/>
    <w:rsid w:val="00AD5258"/>
    <w:rsid w:val="00AD53A6"/>
    <w:rsid w:val="00AD53E8"/>
    <w:rsid w:val="00AD55CD"/>
    <w:rsid w:val="00AD55D8"/>
    <w:rsid w:val="00AD55DE"/>
    <w:rsid w:val="00AD567C"/>
    <w:rsid w:val="00AD56FB"/>
    <w:rsid w:val="00AD57C5"/>
    <w:rsid w:val="00AD5878"/>
    <w:rsid w:val="00AD5A41"/>
    <w:rsid w:val="00AD5AB9"/>
    <w:rsid w:val="00AD5B39"/>
    <w:rsid w:val="00AD5D33"/>
    <w:rsid w:val="00AD5DDF"/>
    <w:rsid w:val="00AD5E22"/>
    <w:rsid w:val="00AD5EB6"/>
    <w:rsid w:val="00AD60A6"/>
    <w:rsid w:val="00AD61C7"/>
    <w:rsid w:val="00AD62F5"/>
    <w:rsid w:val="00AD6308"/>
    <w:rsid w:val="00AD636F"/>
    <w:rsid w:val="00AD6372"/>
    <w:rsid w:val="00AD6424"/>
    <w:rsid w:val="00AD685E"/>
    <w:rsid w:val="00AD6C15"/>
    <w:rsid w:val="00AD6CDB"/>
    <w:rsid w:val="00AD6F1C"/>
    <w:rsid w:val="00AD7052"/>
    <w:rsid w:val="00AD7155"/>
    <w:rsid w:val="00AD71E8"/>
    <w:rsid w:val="00AD722B"/>
    <w:rsid w:val="00AD74C0"/>
    <w:rsid w:val="00AD7575"/>
    <w:rsid w:val="00AD7815"/>
    <w:rsid w:val="00AD7876"/>
    <w:rsid w:val="00AD7C0A"/>
    <w:rsid w:val="00AD7C1A"/>
    <w:rsid w:val="00AD7C4B"/>
    <w:rsid w:val="00AD7C98"/>
    <w:rsid w:val="00AD7D4B"/>
    <w:rsid w:val="00AD7DD7"/>
    <w:rsid w:val="00AE00BC"/>
    <w:rsid w:val="00AE0260"/>
    <w:rsid w:val="00AE0568"/>
    <w:rsid w:val="00AE05A9"/>
    <w:rsid w:val="00AE0655"/>
    <w:rsid w:val="00AE06DE"/>
    <w:rsid w:val="00AE07E8"/>
    <w:rsid w:val="00AE090D"/>
    <w:rsid w:val="00AE0B7B"/>
    <w:rsid w:val="00AE0C79"/>
    <w:rsid w:val="00AE0C90"/>
    <w:rsid w:val="00AE0D45"/>
    <w:rsid w:val="00AE0D8F"/>
    <w:rsid w:val="00AE0F0B"/>
    <w:rsid w:val="00AE0FA8"/>
    <w:rsid w:val="00AE107C"/>
    <w:rsid w:val="00AE119F"/>
    <w:rsid w:val="00AE1394"/>
    <w:rsid w:val="00AE151D"/>
    <w:rsid w:val="00AE15AF"/>
    <w:rsid w:val="00AE197F"/>
    <w:rsid w:val="00AE1A0F"/>
    <w:rsid w:val="00AE1B67"/>
    <w:rsid w:val="00AE1C69"/>
    <w:rsid w:val="00AE1D21"/>
    <w:rsid w:val="00AE1DD6"/>
    <w:rsid w:val="00AE203A"/>
    <w:rsid w:val="00AE2199"/>
    <w:rsid w:val="00AE21C7"/>
    <w:rsid w:val="00AE229E"/>
    <w:rsid w:val="00AE230E"/>
    <w:rsid w:val="00AE2328"/>
    <w:rsid w:val="00AE2414"/>
    <w:rsid w:val="00AE2497"/>
    <w:rsid w:val="00AE268B"/>
    <w:rsid w:val="00AE2693"/>
    <w:rsid w:val="00AE2884"/>
    <w:rsid w:val="00AE2A02"/>
    <w:rsid w:val="00AE2A71"/>
    <w:rsid w:val="00AE2D13"/>
    <w:rsid w:val="00AE33F2"/>
    <w:rsid w:val="00AE355E"/>
    <w:rsid w:val="00AE3677"/>
    <w:rsid w:val="00AE3719"/>
    <w:rsid w:val="00AE37B5"/>
    <w:rsid w:val="00AE3843"/>
    <w:rsid w:val="00AE3B05"/>
    <w:rsid w:val="00AE3B46"/>
    <w:rsid w:val="00AE3B80"/>
    <w:rsid w:val="00AE405A"/>
    <w:rsid w:val="00AE42AA"/>
    <w:rsid w:val="00AE434D"/>
    <w:rsid w:val="00AE4397"/>
    <w:rsid w:val="00AE4402"/>
    <w:rsid w:val="00AE4456"/>
    <w:rsid w:val="00AE44BA"/>
    <w:rsid w:val="00AE451F"/>
    <w:rsid w:val="00AE4547"/>
    <w:rsid w:val="00AE46D0"/>
    <w:rsid w:val="00AE496F"/>
    <w:rsid w:val="00AE4A04"/>
    <w:rsid w:val="00AE4A80"/>
    <w:rsid w:val="00AE4ABA"/>
    <w:rsid w:val="00AE4BB9"/>
    <w:rsid w:val="00AE4BD8"/>
    <w:rsid w:val="00AE4D2D"/>
    <w:rsid w:val="00AE4FDD"/>
    <w:rsid w:val="00AE51EE"/>
    <w:rsid w:val="00AE5523"/>
    <w:rsid w:val="00AE56D1"/>
    <w:rsid w:val="00AE575B"/>
    <w:rsid w:val="00AE5873"/>
    <w:rsid w:val="00AE58B3"/>
    <w:rsid w:val="00AE590B"/>
    <w:rsid w:val="00AE5E3C"/>
    <w:rsid w:val="00AE5F0A"/>
    <w:rsid w:val="00AE5F77"/>
    <w:rsid w:val="00AE6071"/>
    <w:rsid w:val="00AE6359"/>
    <w:rsid w:val="00AE6372"/>
    <w:rsid w:val="00AE63FA"/>
    <w:rsid w:val="00AE6470"/>
    <w:rsid w:val="00AE6FCA"/>
    <w:rsid w:val="00AE6FFF"/>
    <w:rsid w:val="00AE7015"/>
    <w:rsid w:val="00AE7039"/>
    <w:rsid w:val="00AE7330"/>
    <w:rsid w:val="00AE7371"/>
    <w:rsid w:val="00AE7453"/>
    <w:rsid w:val="00AE74AD"/>
    <w:rsid w:val="00AE75B7"/>
    <w:rsid w:val="00AE761C"/>
    <w:rsid w:val="00AE7790"/>
    <w:rsid w:val="00AE77EF"/>
    <w:rsid w:val="00AE7B39"/>
    <w:rsid w:val="00AE7BEE"/>
    <w:rsid w:val="00AE7E1C"/>
    <w:rsid w:val="00AE7F32"/>
    <w:rsid w:val="00AF02B9"/>
    <w:rsid w:val="00AF04DC"/>
    <w:rsid w:val="00AF0583"/>
    <w:rsid w:val="00AF05C1"/>
    <w:rsid w:val="00AF061F"/>
    <w:rsid w:val="00AF070F"/>
    <w:rsid w:val="00AF076F"/>
    <w:rsid w:val="00AF08E1"/>
    <w:rsid w:val="00AF0B8C"/>
    <w:rsid w:val="00AF0C15"/>
    <w:rsid w:val="00AF0C8B"/>
    <w:rsid w:val="00AF0D24"/>
    <w:rsid w:val="00AF0DA6"/>
    <w:rsid w:val="00AF0DB2"/>
    <w:rsid w:val="00AF106C"/>
    <w:rsid w:val="00AF1205"/>
    <w:rsid w:val="00AF120C"/>
    <w:rsid w:val="00AF1276"/>
    <w:rsid w:val="00AF13B6"/>
    <w:rsid w:val="00AF1445"/>
    <w:rsid w:val="00AF157F"/>
    <w:rsid w:val="00AF1910"/>
    <w:rsid w:val="00AF19EB"/>
    <w:rsid w:val="00AF1A72"/>
    <w:rsid w:val="00AF1AD0"/>
    <w:rsid w:val="00AF1AE7"/>
    <w:rsid w:val="00AF1B02"/>
    <w:rsid w:val="00AF1BD3"/>
    <w:rsid w:val="00AF1EEF"/>
    <w:rsid w:val="00AF206D"/>
    <w:rsid w:val="00AF208F"/>
    <w:rsid w:val="00AF2252"/>
    <w:rsid w:val="00AF22E0"/>
    <w:rsid w:val="00AF243D"/>
    <w:rsid w:val="00AF2444"/>
    <w:rsid w:val="00AF2881"/>
    <w:rsid w:val="00AF2971"/>
    <w:rsid w:val="00AF29A2"/>
    <w:rsid w:val="00AF2AD5"/>
    <w:rsid w:val="00AF2D3E"/>
    <w:rsid w:val="00AF2E81"/>
    <w:rsid w:val="00AF2FE1"/>
    <w:rsid w:val="00AF3280"/>
    <w:rsid w:val="00AF32A3"/>
    <w:rsid w:val="00AF3390"/>
    <w:rsid w:val="00AF33EA"/>
    <w:rsid w:val="00AF34F7"/>
    <w:rsid w:val="00AF36A1"/>
    <w:rsid w:val="00AF394D"/>
    <w:rsid w:val="00AF3AB4"/>
    <w:rsid w:val="00AF3B37"/>
    <w:rsid w:val="00AF3D43"/>
    <w:rsid w:val="00AF3ED5"/>
    <w:rsid w:val="00AF3F70"/>
    <w:rsid w:val="00AF3FBD"/>
    <w:rsid w:val="00AF400B"/>
    <w:rsid w:val="00AF4012"/>
    <w:rsid w:val="00AF40BA"/>
    <w:rsid w:val="00AF426F"/>
    <w:rsid w:val="00AF438D"/>
    <w:rsid w:val="00AF45C9"/>
    <w:rsid w:val="00AF4639"/>
    <w:rsid w:val="00AF46C4"/>
    <w:rsid w:val="00AF46E0"/>
    <w:rsid w:val="00AF492B"/>
    <w:rsid w:val="00AF4A00"/>
    <w:rsid w:val="00AF4A19"/>
    <w:rsid w:val="00AF4BBD"/>
    <w:rsid w:val="00AF4BEB"/>
    <w:rsid w:val="00AF4C3A"/>
    <w:rsid w:val="00AF4CAE"/>
    <w:rsid w:val="00AF4D62"/>
    <w:rsid w:val="00AF4DF0"/>
    <w:rsid w:val="00AF5090"/>
    <w:rsid w:val="00AF5106"/>
    <w:rsid w:val="00AF511B"/>
    <w:rsid w:val="00AF52DD"/>
    <w:rsid w:val="00AF54BE"/>
    <w:rsid w:val="00AF54C1"/>
    <w:rsid w:val="00AF55DA"/>
    <w:rsid w:val="00AF56D9"/>
    <w:rsid w:val="00AF5703"/>
    <w:rsid w:val="00AF584C"/>
    <w:rsid w:val="00AF5B1E"/>
    <w:rsid w:val="00AF5C0B"/>
    <w:rsid w:val="00AF5DE6"/>
    <w:rsid w:val="00AF5F26"/>
    <w:rsid w:val="00AF5F6B"/>
    <w:rsid w:val="00AF6026"/>
    <w:rsid w:val="00AF6046"/>
    <w:rsid w:val="00AF6126"/>
    <w:rsid w:val="00AF61CB"/>
    <w:rsid w:val="00AF625E"/>
    <w:rsid w:val="00AF62A0"/>
    <w:rsid w:val="00AF64AC"/>
    <w:rsid w:val="00AF65B0"/>
    <w:rsid w:val="00AF65B1"/>
    <w:rsid w:val="00AF669C"/>
    <w:rsid w:val="00AF687D"/>
    <w:rsid w:val="00AF68D3"/>
    <w:rsid w:val="00AF690A"/>
    <w:rsid w:val="00AF6ACE"/>
    <w:rsid w:val="00AF6C3E"/>
    <w:rsid w:val="00AF6C73"/>
    <w:rsid w:val="00AF6EE1"/>
    <w:rsid w:val="00AF6F4A"/>
    <w:rsid w:val="00AF6F4E"/>
    <w:rsid w:val="00AF7059"/>
    <w:rsid w:val="00AF71CB"/>
    <w:rsid w:val="00AF76D6"/>
    <w:rsid w:val="00AF76EE"/>
    <w:rsid w:val="00AF7B16"/>
    <w:rsid w:val="00AF7BA5"/>
    <w:rsid w:val="00AF7C7B"/>
    <w:rsid w:val="00AF7DE0"/>
    <w:rsid w:val="00B000DB"/>
    <w:rsid w:val="00B00244"/>
    <w:rsid w:val="00B0028C"/>
    <w:rsid w:val="00B002F3"/>
    <w:rsid w:val="00B004A2"/>
    <w:rsid w:val="00B00548"/>
    <w:rsid w:val="00B0059A"/>
    <w:rsid w:val="00B005CC"/>
    <w:rsid w:val="00B0064B"/>
    <w:rsid w:val="00B00732"/>
    <w:rsid w:val="00B007F9"/>
    <w:rsid w:val="00B00832"/>
    <w:rsid w:val="00B0087A"/>
    <w:rsid w:val="00B00969"/>
    <w:rsid w:val="00B009ED"/>
    <w:rsid w:val="00B00A60"/>
    <w:rsid w:val="00B00A95"/>
    <w:rsid w:val="00B00AD3"/>
    <w:rsid w:val="00B00D43"/>
    <w:rsid w:val="00B00DDC"/>
    <w:rsid w:val="00B00EAC"/>
    <w:rsid w:val="00B00EC9"/>
    <w:rsid w:val="00B00F20"/>
    <w:rsid w:val="00B011E3"/>
    <w:rsid w:val="00B0126F"/>
    <w:rsid w:val="00B013C0"/>
    <w:rsid w:val="00B014D2"/>
    <w:rsid w:val="00B016BE"/>
    <w:rsid w:val="00B018FC"/>
    <w:rsid w:val="00B01965"/>
    <w:rsid w:val="00B0199D"/>
    <w:rsid w:val="00B01AEB"/>
    <w:rsid w:val="00B01B3F"/>
    <w:rsid w:val="00B01D68"/>
    <w:rsid w:val="00B01D72"/>
    <w:rsid w:val="00B01DCB"/>
    <w:rsid w:val="00B01EE8"/>
    <w:rsid w:val="00B01FDE"/>
    <w:rsid w:val="00B0208B"/>
    <w:rsid w:val="00B02099"/>
    <w:rsid w:val="00B02204"/>
    <w:rsid w:val="00B02317"/>
    <w:rsid w:val="00B0234B"/>
    <w:rsid w:val="00B02518"/>
    <w:rsid w:val="00B0253E"/>
    <w:rsid w:val="00B02877"/>
    <w:rsid w:val="00B028E4"/>
    <w:rsid w:val="00B02B42"/>
    <w:rsid w:val="00B02C71"/>
    <w:rsid w:val="00B02D47"/>
    <w:rsid w:val="00B02E54"/>
    <w:rsid w:val="00B02EDB"/>
    <w:rsid w:val="00B030C3"/>
    <w:rsid w:val="00B03427"/>
    <w:rsid w:val="00B0348E"/>
    <w:rsid w:val="00B036E0"/>
    <w:rsid w:val="00B0373B"/>
    <w:rsid w:val="00B03761"/>
    <w:rsid w:val="00B037F0"/>
    <w:rsid w:val="00B03886"/>
    <w:rsid w:val="00B03BBD"/>
    <w:rsid w:val="00B03BC7"/>
    <w:rsid w:val="00B03BCF"/>
    <w:rsid w:val="00B03C30"/>
    <w:rsid w:val="00B03C67"/>
    <w:rsid w:val="00B03C6E"/>
    <w:rsid w:val="00B03D1E"/>
    <w:rsid w:val="00B03E19"/>
    <w:rsid w:val="00B03E36"/>
    <w:rsid w:val="00B03EF3"/>
    <w:rsid w:val="00B03F36"/>
    <w:rsid w:val="00B04087"/>
    <w:rsid w:val="00B0424C"/>
    <w:rsid w:val="00B042A6"/>
    <w:rsid w:val="00B046EA"/>
    <w:rsid w:val="00B04715"/>
    <w:rsid w:val="00B0473B"/>
    <w:rsid w:val="00B04777"/>
    <w:rsid w:val="00B047C4"/>
    <w:rsid w:val="00B04A67"/>
    <w:rsid w:val="00B04A6B"/>
    <w:rsid w:val="00B04AF9"/>
    <w:rsid w:val="00B04C6C"/>
    <w:rsid w:val="00B04D7B"/>
    <w:rsid w:val="00B04FD1"/>
    <w:rsid w:val="00B0504E"/>
    <w:rsid w:val="00B050CE"/>
    <w:rsid w:val="00B05105"/>
    <w:rsid w:val="00B05318"/>
    <w:rsid w:val="00B053E3"/>
    <w:rsid w:val="00B055A3"/>
    <w:rsid w:val="00B057B8"/>
    <w:rsid w:val="00B059D5"/>
    <w:rsid w:val="00B05BA2"/>
    <w:rsid w:val="00B05DB1"/>
    <w:rsid w:val="00B060C3"/>
    <w:rsid w:val="00B060FB"/>
    <w:rsid w:val="00B0614A"/>
    <w:rsid w:val="00B0615B"/>
    <w:rsid w:val="00B06174"/>
    <w:rsid w:val="00B0644A"/>
    <w:rsid w:val="00B06491"/>
    <w:rsid w:val="00B06605"/>
    <w:rsid w:val="00B066B6"/>
    <w:rsid w:val="00B066C0"/>
    <w:rsid w:val="00B0671A"/>
    <w:rsid w:val="00B06782"/>
    <w:rsid w:val="00B067E3"/>
    <w:rsid w:val="00B06812"/>
    <w:rsid w:val="00B06BD8"/>
    <w:rsid w:val="00B06D51"/>
    <w:rsid w:val="00B06F27"/>
    <w:rsid w:val="00B070AB"/>
    <w:rsid w:val="00B071F5"/>
    <w:rsid w:val="00B07647"/>
    <w:rsid w:val="00B07798"/>
    <w:rsid w:val="00B07861"/>
    <w:rsid w:val="00B0789D"/>
    <w:rsid w:val="00B07978"/>
    <w:rsid w:val="00B07B51"/>
    <w:rsid w:val="00B07BA0"/>
    <w:rsid w:val="00B07DC5"/>
    <w:rsid w:val="00B07F64"/>
    <w:rsid w:val="00B07F93"/>
    <w:rsid w:val="00B101BC"/>
    <w:rsid w:val="00B102C0"/>
    <w:rsid w:val="00B1036E"/>
    <w:rsid w:val="00B104DA"/>
    <w:rsid w:val="00B105DB"/>
    <w:rsid w:val="00B10661"/>
    <w:rsid w:val="00B1070F"/>
    <w:rsid w:val="00B10796"/>
    <w:rsid w:val="00B108B7"/>
    <w:rsid w:val="00B1094A"/>
    <w:rsid w:val="00B1094E"/>
    <w:rsid w:val="00B10A8F"/>
    <w:rsid w:val="00B10B34"/>
    <w:rsid w:val="00B10C15"/>
    <w:rsid w:val="00B10E52"/>
    <w:rsid w:val="00B110A7"/>
    <w:rsid w:val="00B111B2"/>
    <w:rsid w:val="00B1122F"/>
    <w:rsid w:val="00B112FD"/>
    <w:rsid w:val="00B113F8"/>
    <w:rsid w:val="00B11422"/>
    <w:rsid w:val="00B115AB"/>
    <w:rsid w:val="00B11729"/>
    <w:rsid w:val="00B1174B"/>
    <w:rsid w:val="00B117BC"/>
    <w:rsid w:val="00B11817"/>
    <w:rsid w:val="00B11AFA"/>
    <w:rsid w:val="00B11BB5"/>
    <w:rsid w:val="00B11F82"/>
    <w:rsid w:val="00B12026"/>
    <w:rsid w:val="00B1214D"/>
    <w:rsid w:val="00B12161"/>
    <w:rsid w:val="00B12499"/>
    <w:rsid w:val="00B125E3"/>
    <w:rsid w:val="00B1279C"/>
    <w:rsid w:val="00B127A3"/>
    <w:rsid w:val="00B128D4"/>
    <w:rsid w:val="00B12A40"/>
    <w:rsid w:val="00B12C52"/>
    <w:rsid w:val="00B12CD5"/>
    <w:rsid w:val="00B12E63"/>
    <w:rsid w:val="00B12F96"/>
    <w:rsid w:val="00B13012"/>
    <w:rsid w:val="00B13315"/>
    <w:rsid w:val="00B133ED"/>
    <w:rsid w:val="00B1349C"/>
    <w:rsid w:val="00B134C2"/>
    <w:rsid w:val="00B134F8"/>
    <w:rsid w:val="00B13781"/>
    <w:rsid w:val="00B13812"/>
    <w:rsid w:val="00B13CD2"/>
    <w:rsid w:val="00B13FD0"/>
    <w:rsid w:val="00B1406C"/>
    <w:rsid w:val="00B1408A"/>
    <w:rsid w:val="00B14185"/>
    <w:rsid w:val="00B14189"/>
    <w:rsid w:val="00B141CF"/>
    <w:rsid w:val="00B142E6"/>
    <w:rsid w:val="00B143A9"/>
    <w:rsid w:val="00B14626"/>
    <w:rsid w:val="00B146F9"/>
    <w:rsid w:val="00B1471B"/>
    <w:rsid w:val="00B14754"/>
    <w:rsid w:val="00B149A5"/>
    <w:rsid w:val="00B14A17"/>
    <w:rsid w:val="00B14AF5"/>
    <w:rsid w:val="00B14B2C"/>
    <w:rsid w:val="00B150DB"/>
    <w:rsid w:val="00B1523D"/>
    <w:rsid w:val="00B1530D"/>
    <w:rsid w:val="00B15696"/>
    <w:rsid w:val="00B1579A"/>
    <w:rsid w:val="00B157CE"/>
    <w:rsid w:val="00B157D6"/>
    <w:rsid w:val="00B157D7"/>
    <w:rsid w:val="00B157E8"/>
    <w:rsid w:val="00B15A4F"/>
    <w:rsid w:val="00B15B78"/>
    <w:rsid w:val="00B15BCF"/>
    <w:rsid w:val="00B15C54"/>
    <w:rsid w:val="00B15EB7"/>
    <w:rsid w:val="00B15EE4"/>
    <w:rsid w:val="00B1600E"/>
    <w:rsid w:val="00B16079"/>
    <w:rsid w:val="00B16287"/>
    <w:rsid w:val="00B16312"/>
    <w:rsid w:val="00B16419"/>
    <w:rsid w:val="00B1651F"/>
    <w:rsid w:val="00B1672A"/>
    <w:rsid w:val="00B16757"/>
    <w:rsid w:val="00B16862"/>
    <w:rsid w:val="00B168C3"/>
    <w:rsid w:val="00B168C8"/>
    <w:rsid w:val="00B168EA"/>
    <w:rsid w:val="00B16A0D"/>
    <w:rsid w:val="00B16B55"/>
    <w:rsid w:val="00B16BBF"/>
    <w:rsid w:val="00B16D66"/>
    <w:rsid w:val="00B16E1D"/>
    <w:rsid w:val="00B16E46"/>
    <w:rsid w:val="00B1700E"/>
    <w:rsid w:val="00B17560"/>
    <w:rsid w:val="00B17885"/>
    <w:rsid w:val="00B17C3B"/>
    <w:rsid w:val="00B20083"/>
    <w:rsid w:val="00B201A3"/>
    <w:rsid w:val="00B202DE"/>
    <w:rsid w:val="00B20326"/>
    <w:rsid w:val="00B203E8"/>
    <w:rsid w:val="00B2056C"/>
    <w:rsid w:val="00B2057B"/>
    <w:rsid w:val="00B207C5"/>
    <w:rsid w:val="00B208EC"/>
    <w:rsid w:val="00B20A7A"/>
    <w:rsid w:val="00B20D31"/>
    <w:rsid w:val="00B21138"/>
    <w:rsid w:val="00B2115B"/>
    <w:rsid w:val="00B2117D"/>
    <w:rsid w:val="00B21281"/>
    <w:rsid w:val="00B215B2"/>
    <w:rsid w:val="00B2186C"/>
    <w:rsid w:val="00B21C95"/>
    <w:rsid w:val="00B21CCE"/>
    <w:rsid w:val="00B21D53"/>
    <w:rsid w:val="00B21DE7"/>
    <w:rsid w:val="00B21F9A"/>
    <w:rsid w:val="00B21FD4"/>
    <w:rsid w:val="00B2204F"/>
    <w:rsid w:val="00B220A5"/>
    <w:rsid w:val="00B22200"/>
    <w:rsid w:val="00B2237B"/>
    <w:rsid w:val="00B2239E"/>
    <w:rsid w:val="00B223B7"/>
    <w:rsid w:val="00B22874"/>
    <w:rsid w:val="00B22896"/>
    <w:rsid w:val="00B22AB1"/>
    <w:rsid w:val="00B22D42"/>
    <w:rsid w:val="00B23063"/>
    <w:rsid w:val="00B23408"/>
    <w:rsid w:val="00B23538"/>
    <w:rsid w:val="00B2371D"/>
    <w:rsid w:val="00B2380C"/>
    <w:rsid w:val="00B23A50"/>
    <w:rsid w:val="00B23B79"/>
    <w:rsid w:val="00B23BF6"/>
    <w:rsid w:val="00B23D99"/>
    <w:rsid w:val="00B23E36"/>
    <w:rsid w:val="00B23E64"/>
    <w:rsid w:val="00B2414D"/>
    <w:rsid w:val="00B24215"/>
    <w:rsid w:val="00B242C6"/>
    <w:rsid w:val="00B24531"/>
    <w:rsid w:val="00B2468E"/>
    <w:rsid w:val="00B24749"/>
    <w:rsid w:val="00B2477F"/>
    <w:rsid w:val="00B24879"/>
    <w:rsid w:val="00B24AE6"/>
    <w:rsid w:val="00B24B56"/>
    <w:rsid w:val="00B24B61"/>
    <w:rsid w:val="00B24B6B"/>
    <w:rsid w:val="00B24B86"/>
    <w:rsid w:val="00B25166"/>
    <w:rsid w:val="00B25292"/>
    <w:rsid w:val="00B254AC"/>
    <w:rsid w:val="00B255FF"/>
    <w:rsid w:val="00B25A94"/>
    <w:rsid w:val="00B25C99"/>
    <w:rsid w:val="00B25E06"/>
    <w:rsid w:val="00B25F63"/>
    <w:rsid w:val="00B25F9E"/>
    <w:rsid w:val="00B26020"/>
    <w:rsid w:val="00B26139"/>
    <w:rsid w:val="00B26239"/>
    <w:rsid w:val="00B26626"/>
    <w:rsid w:val="00B2667C"/>
    <w:rsid w:val="00B26700"/>
    <w:rsid w:val="00B26889"/>
    <w:rsid w:val="00B26963"/>
    <w:rsid w:val="00B26F67"/>
    <w:rsid w:val="00B271B1"/>
    <w:rsid w:val="00B273AF"/>
    <w:rsid w:val="00B274A2"/>
    <w:rsid w:val="00B27512"/>
    <w:rsid w:val="00B27669"/>
    <w:rsid w:val="00B2767C"/>
    <w:rsid w:val="00B27770"/>
    <w:rsid w:val="00B277D1"/>
    <w:rsid w:val="00B27B37"/>
    <w:rsid w:val="00B27BAE"/>
    <w:rsid w:val="00B27CEA"/>
    <w:rsid w:val="00B27D73"/>
    <w:rsid w:val="00B3010B"/>
    <w:rsid w:val="00B30123"/>
    <w:rsid w:val="00B3021F"/>
    <w:rsid w:val="00B3022C"/>
    <w:rsid w:val="00B30252"/>
    <w:rsid w:val="00B30270"/>
    <w:rsid w:val="00B30298"/>
    <w:rsid w:val="00B302B7"/>
    <w:rsid w:val="00B3049A"/>
    <w:rsid w:val="00B304F1"/>
    <w:rsid w:val="00B309E7"/>
    <w:rsid w:val="00B30A47"/>
    <w:rsid w:val="00B30AA9"/>
    <w:rsid w:val="00B30BA6"/>
    <w:rsid w:val="00B30C48"/>
    <w:rsid w:val="00B30E13"/>
    <w:rsid w:val="00B30E78"/>
    <w:rsid w:val="00B310F4"/>
    <w:rsid w:val="00B31223"/>
    <w:rsid w:val="00B312A2"/>
    <w:rsid w:val="00B31331"/>
    <w:rsid w:val="00B3133D"/>
    <w:rsid w:val="00B314ED"/>
    <w:rsid w:val="00B31B62"/>
    <w:rsid w:val="00B31E44"/>
    <w:rsid w:val="00B31ED5"/>
    <w:rsid w:val="00B31EE3"/>
    <w:rsid w:val="00B32031"/>
    <w:rsid w:val="00B320EC"/>
    <w:rsid w:val="00B322E7"/>
    <w:rsid w:val="00B3255C"/>
    <w:rsid w:val="00B325B1"/>
    <w:rsid w:val="00B325E5"/>
    <w:rsid w:val="00B32728"/>
    <w:rsid w:val="00B328B8"/>
    <w:rsid w:val="00B328DC"/>
    <w:rsid w:val="00B32938"/>
    <w:rsid w:val="00B32A21"/>
    <w:rsid w:val="00B32A35"/>
    <w:rsid w:val="00B32AB6"/>
    <w:rsid w:val="00B32B3A"/>
    <w:rsid w:val="00B32B3E"/>
    <w:rsid w:val="00B32BA6"/>
    <w:rsid w:val="00B32C28"/>
    <w:rsid w:val="00B32C51"/>
    <w:rsid w:val="00B33011"/>
    <w:rsid w:val="00B330DD"/>
    <w:rsid w:val="00B33115"/>
    <w:rsid w:val="00B33429"/>
    <w:rsid w:val="00B3357A"/>
    <w:rsid w:val="00B336E1"/>
    <w:rsid w:val="00B33738"/>
    <w:rsid w:val="00B33B65"/>
    <w:rsid w:val="00B33C32"/>
    <w:rsid w:val="00B33E18"/>
    <w:rsid w:val="00B33EB2"/>
    <w:rsid w:val="00B341D5"/>
    <w:rsid w:val="00B344A8"/>
    <w:rsid w:val="00B3452E"/>
    <w:rsid w:val="00B34537"/>
    <w:rsid w:val="00B34565"/>
    <w:rsid w:val="00B34637"/>
    <w:rsid w:val="00B34755"/>
    <w:rsid w:val="00B34AB0"/>
    <w:rsid w:val="00B34B95"/>
    <w:rsid w:val="00B34BB0"/>
    <w:rsid w:val="00B34BB6"/>
    <w:rsid w:val="00B34C3C"/>
    <w:rsid w:val="00B34EE2"/>
    <w:rsid w:val="00B34F9A"/>
    <w:rsid w:val="00B351B9"/>
    <w:rsid w:val="00B352AC"/>
    <w:rsid w:val="00B35308"/>
    <w:rsid w:val="00B354FD"/>
    <w:rsid w:val="00B35728"/>
    <w:rsid w:val="00B358D2"/>
    <w:rsid w:val="00B35A81"/>
    <w:rsid w:val="00B35B8D"/>
    <w:rsid w:val="00B35D4E"/>
    <w:rsid w:val="00B35D87"/>
    <w:rsid w:val="00B36044"/>
    <w:rsid w:val="00B362AE"/>
    <w:rsid w:val="00B363C9"/>
    <w:rsid w:val="00B3652E"/>
    <w:rsid w:val="00B3655E"/>
    <w:rsid w:val="00B36566"/>
    <w:rsid w:val="00B36588"/>
    <w:rsid w:val="00B3669D"/>
    <w:rsid w:val="00B36963"/>
    <w:rsid w:val="00B36B91"/>
    <w:rsid w:val="00B36D61"/>
    <w:rsid w:val="00B36F1A"/>
    <w:rsid w:val="00B371AC"/>
    <w:rsid w:val="00B37279"/>
    <w:rsid w:val="00B37337"/>
    <w:rsid w:val="00B373F1"/>
    <w:rsid w:val="00B37512"/>
    <w:rsid w:val="00B3761E"/>
    <w:rsid w:val="00B3767B"/>
    <w:rsid w:val="00B376E6"/>
    <w:rsid w:val="00B3771F"/>
    <w:rsid w:val="00B3772F"/>
    <w:rsid w:val="00B37B60"/>
    <w:rsid w:val="00B37B74"/>
    <w:rsid w:val="00B37BE0"/>
    <w:rsid w:val="00B37F5A"/>
    <w:rsid w:val="00B37FA9"/>
    <w:rsid w:val="00B3E741"/>
    <w:rsid w:val="00B400B9"/>
    <w:rsid w:val="00B4039E"/>
    <w:rsid w:val="00B403CD"/>
    <w:rsid w:val="00B40691"/>
    <w:rsid w:val="00B40779"/>
    <w:rsid w:val="00B4079C"/>
    <w:rsid w:val="00B40A6E"/>
    <w:rsid w:val="00B40CA6"/>
    <w:rsid w:val="00B40E29"/>
    <w:rsid w:val="00B40F6E"/>
    <w:rsid w:val="00B40F76"/>
    <w:rsid w:val="00B41070"/>
    <w:rsid w:val="00B410A1"/>
    <w:rsid w:val="00B410BD"/>
    <w:rsid w:val="00B410E5"/>
    <w:rsid w:val="00B411E0"/>
    <w:rsid w:val="00B41330"/>
    <w:rsid w:val="00B413A9"/>
    <w:rsid w:val="00B415FD"/>
    <w:rsid w:val="00B41626"/>
    <w:rsid w:val="00B416CE"/>
    <w:rsid w:val="00B4178B"/>
    <w:rsid w:val="00B4183A"/>
    <w:rsid w:val="00B4194F"/>
    <w:rsid w:val="00B41DF0"/>
    <w:rsid w:val="00B41EA9"/>
    <w:rsid w:val="00B41EC0"/>
    <w:rsid w:val="00B41FBA"/>
    <w:rsid w:val="00B42253"/>
    <w:rsid w:val="00B428F8"/>
    <w:rsid w:val="00B429A2"/>
    <w:rsid w:val="00B42B58"/>
    <w:rsid w:val="00B42D32"/>
    <w:rsid w:val="00B42EE1"/>
    <w:rsid w:val="00B43218"/>
    <w:rsid w:val="00B4321A"/>
    <w:rsid w:val="00B43287"/>
    <w:rsid w:val="00B4350D"/>
    <w:rsid w:val="00B43608"/>
    <w:rsid w:val="00B436F2"/>
    <w:rsid w:val="00B43750"/>
    <w:rsid w:val="00B437B3"/>
    <w:rsid w:val="00B4384C"/>
    <w:rsid w:val="00B4392C"/>
    <w:rsid w:val="00B43B24"/>
    <w:rsid w:val="00B43B8F"/>
    <w:rsid w:val="00B43CA6"/>
    <w:rsid w:val="00B43D05"/>
    <w:rsid w:val="00B43EA5"/>
    <w:rsid w:val="00B43EEE"/>
    <w:rsid w:val="00B4406B"/>
    <w:rsid w:val="00B440BD"/>
    <w:rsid w:val="00B44255"/>
    <w:rsid w:val="00B44423"/>
    <w:rsid w:val="00B4454B"/>
    <w:rsid w:val="00B44684"/>
    <w:rsid w:val="00B4493F"/>
    <w:rsid w:val="00B44947"/>
    <w:rsid w:val="00B449F6"/>
    <w:rsid w:val="00B44A1D"/>
    <w:rsid w:val="00B44B61"/>
    <w:rsid w:val="00B44BAB"/>
    <w:rsid w:val="00B44C2C"/>
    <w:rsid w:val="00B44C67"/>
    <w:rsid w:val="00B44D85"/>
    <w:rsid w:val="00B44E1C"/>
    <w:rsid w:val="00B44E51"/>
    <w:rsid w:val="00B44E8E"/>
    <w:rsid w:val="00B4505C"/>
    <w:rsid w:val="00B45062"/>
    <w:rsid w:val="00B45069"/>
    <w:rsid w:val="00B4523A"/>
    <w:rsid w:val="00B45266"/>
    <w:rsid w:val="00B452B0"/>
    <w:rsid w:val="00B45320"/>
    <w:rsid w:val="00B45570"/>
    <w:rsid w:val="00B45590"/>
    <w:rsid w:val="00B4570F"/>
    <w:rsid w:val="00B45774"/>
    <w:rsid w:val="00B457D3"/>
    <w:rsid w:val="00B45C44"/>
    <w:rsid w:val="00B45CBA"/>
    <w:rsid w:val="00B45CD7"/>
    <w:rsid w:val="00B4608A"/>
    <w:rsid w:val="00B46102"/>
    <w:rsid w:val="00B463BC"/>
    <w:rsid w:val="00B46427"/>
    <w:rsid w:val="00B4647A"/>
    <w:rsid w:val="00B4663E"/>
    <w:rsid w:val="00B466F1"/>
    <w:rsid w:val="00B4676B"/>
    <w:rsid w:val="00B4683B"/>
    <w:rsid w:val="00B46905"/>
    <w:rsid w:val="00B469DD"/>
    <w:rsid w:val="00B469FD"/>
    <w:rsid w:val="00B46C5E"/>
    <w:rsid w:val="00B46CCD"/>
    <w:rsid w:val="00B46CDF"/>
    <w:rsid w:val="00B46E69"/>
    <w:rsid w:val="00B470A2"/>
    <w:rsid w:val="00B47241"/>
    <w:rsid w:val="00B47310"/>
    <w:rsid w:val="00B4744D"/>
    <w:rsid w:val="00B475A8"/>
    <w:rsid w:val="00B47648"/>
    <w:rsid w:val="00B476D5"/>
    <w:rsid w:val="00B477DD"/>
    <w:rsid w:val="00B47931"/>
    <w:rsid w:val="00B47A43"/>
    <w:rsid w:val="00B47C97"/>
    <w:rsid w:val="00B47CA1"/>
    <w:rsid w:val="00B47D60"/>
    <w:rsid w:val="00B47E4E"/>
    <w:rsid w:val="00B50340"/>
    <w:rsid w:val="00B5034B"/>
    <w:rsid w:val="00B503E9"/>
    <w:rsid w:val="00B50462"/>
    <w:rsid w:val="00B50610"/>
    <w:rsid w:val="00B5061C"/>
    <w:rsid w:val="00B508C1"/>
    <w:rsid w:val="00B50901"/>
    <w:rsid w:val="00B50976"/>
    <w:rsid w:val="00B50A19"/>
    <w:rsid w:val="00B50AD4"/>
    <w:rsid w:val="00B50CCB"/>
    <w:rsid w:val="00B510FD"/>
    <w:rsid w:val="00B51250"/>
    <w:rsid w:val="00B512B7"/>
    <w:rsid w:val="00B51526"/>
    <w:rsid w:val="00B5177E"/>
    <w:rsid w:val="00B51788"/>
    <w:rsid w:val="00B51879"/>
    <w:rsid w:val="00B519D5"/>
    <w:rsid w:val="00B51A18"/>
    <w:rsid w:val="00B51B4C"/>
    <w:rsid w:val="00B51C4A"/>
    <w:rsid w:val="00B51DEA"/>
    <w:rsid w:val="00B51EC0"/>
    <w:rsid w:val="00B52049"/>
    <w:rsid w:val="00B521C4"/>
    <w:rsid w:val="00B52259"/>
    <w:rsid w:val="00B52395"/>
    <w:rsid w:val="00B52451"/>
    <w:rsid w:val="00B5262D"/>
    <w:rsid w:val="00B5266C"/>
    <w:rsid w:val="00B52891"/>
    <w:rsid w:val="00B528AA"/>
    <w:rsid w:val="00B528BF"/>
    <w:rsid w:val="00B52905"/>
    <w:rsid w:val="00B52946"/>
    <w:rsid w:val="00B52A1F"/>
    <w:rsid w:val="00B52A71"/>
    <w:rsid w:val="00B52CA5"/>
    <w:rsid w:val="00B52DAF"/>
    <w:rsid w:val="00B52DF7"/>
    <w:rsid w:val="00B52E58"/>
    <w:rsid w:val="00B52FEE"/>
    <w:rsid w:val="00B531C1"/>
    <w:rsid w:val="00B536D7"/>
    <w:rsid w:val="00B53741"/>
    <w:rsid w:val="00B5391F"/>
    <w:rsid w:val="00B539F2"/>
    <w:rsid w:val="00B539F4"/>
    <w:rsid w:val="00B53A70"/>
    <w:rsid w:val="00B53A93"/>
    <w:rsid w:val="00B53DB3"/>
    <w:rsid w:val="00B54060"/>
    <w:rsid w:val="00B54274"/>
    <w:rsid w:val="00B542A4"/>
    <w:rsid w:val="00B542A8"/>
    <w:rsid w:val="00B543A9"/>
    <w:rsid w:val="00B544DB"/>
    <w:rsid w:val="00B5458C"/>
    <w:rsid w:val="00B54639"/>
    <w:rsid w:val="00B54C9A"/>
    <w:rsid w:val="00B54D26"/>
    <w:rsid w:val="00B54D4F"/>
    <w:rsid w:val="00B54E48"/>
    <w:rsid w:val="00B553EF"/>
    <w:rsid w:val="00B55402"/>
    <w:rsid w:val="00B55416"/>
    <w:rsid w:val="00B5564A"/>
    <w:rsid w:val="00B556C1"/>
    <w:rsid w:val="00B55822"/>
    <w:rsid w:val="00B5590C"/>
    <w:rsid w:val="00B55A14"/>
    <w:rsid w:val="00B55A2D"/>
    <w:rsid w:val="00B55B5E"/>
    <w:rsid w:val="00B55BA2"/>
    <w:rsid w:val="00B55D82"/>
    <w:rsid w:val="00B55E9B"/>
    <w:rsid w:val="00B55F1D"/>
    <w:rsid w:val="00B55F5A"/>
    <w:rsid w:val="00B56064"/>
    <w:rsid w:val="00B5615F"/>
    <w:rsid w:val="00B56183"/>
    <w:rsid w:val="00B56462"/>
    <w:rsid w:val="00B56822"/>
    <w:rsid w:val="00B56924"/>
    <w:rsid w:val="00B569EB"/>
    <w:rsid w:val="00B56A40"/>
    <w:rsid w:val="00B56AD2"/>
    <w:rsid w:val="00B56B97"/>
    <w:rsid w:val="00B56B9C"/>
    <w:rsid w:val="00B56C70"/>
    <w:rsid w:val="00B56E6C"/>
    <w:rsid w:val="00B56E78"/>
    <w:rsid w:val="00B56EA9"/>
    <w:rsid w:val="00B571D1"/>
    <w:rsid w:val="00B571EB"/>
    <w:rsid w:val="00B574AC"/>
    <w:rsid w:val="00B57586"/>
    <w:rsid w:val="00B57756"/>
    <w:rsid w:val="00B57938"/>
    <w:rsid w:val="00B57A10"/>
    <w:rsid w:val="00B57B7A"/>
    <w:rsid w:val="00B57E6F"/>
    <w:rsid w:val="00B57EFB"/>
    <w:rsid w:val="00B57F02"/>
    <w:rsid w:val="00B600D5"/>
    <w:rsid w:val="00B60133"/>
    <w:rsid w:val="00B60390"/>
    <w:rsid w:val="00B60440"/>
    <w:rsid w:val="00B60703"/>
    <w:rsid w:val="00B60783"/>
    <w:rsid w:val="00B607A1"/>
    <w:rsid w:val="00B60837"/>
    <w:rsid w:val="00B60875"/>
    <w:rsid w:val="00B608B1"/>
    <w:rsid w:val="00B608DC"/>
    <w:rsid w:val="00B60989"/>
    <w:rsid w:val="00B60C96"/>
    <w:rsid w:val="00B60DFB"/>
    <w:rsid w:val="00B60E64"/>
    <w:rsid w:val="00B60E97"/>
    <w:rsid w:val="00B60FBA"/>
    <w:rsid w:val="00B61186"/>
    <w:rsid w:val="00B611AE"/>
    <w:rsid w:val="00B611C5"/>
    <w:rsid w:val="00B61260"/>
    <w:rsid w:val="00B6153F"/>
    <w:rsid w:val="00B61634"/>
    <w:rsid w:val="00B61A9D"/>
    <w:rsid w:val="00B61C1F"/>
    <w:rsid w:val="00B61CA1"/>
    <w:rsid w:val="00B61DE4"/>
    <w:rsid w:val="00B61E99"/>
    <w:rsid w:val="00B621F5"/>
    <w:rsid w:val="00B62317"/>
    <w:rsid w:val="00B62342"/>
    <w:rsid w:val="00B62355"/>
    <w:rsid w:val="00B62464"/>
    <w:rsid w:val="00B624F0"/>
    <w:rsid w:val="00B6251A"/>
    <w:rsid w:val="00B62550"/>
    <w:rsid w:val="00B626D2"/>
    <w:rsid w:val="00B627E2"/>
    <w:rsid w:val="00B62849"/>
    <w:rsid w:val="00B628FC"/>
    <w:rsid w:val="00B62952"/>
    <w:rsid w:val="00B629FB"/>
    <w:rsid w:val="00B62CA6"/>
    <w:rsid w:val="00B62D33"/>
    <w:rsid w:val="00B62DC4"/>
    <w:rsid w:val="00B62EC0"/>
    <w:rsid w:val="00B62F34"/>
    <w:rsid w:val="00B6304D"/>
    <w:rsid w:val="00B6306E"/>
    <w:rsid w:val="00B63099"/>
    <w:rsid w:val="00B630CE"/>
    <w:rsid w:val="00B630E5"/>
    <w:rsid w:val="00B63135"/>
    <w:rsid w:val="00B63282"/>
    <w:rsid w:val="00B632B8"/>
    <w:rsid w:val="00B6337D"/>
    <w:rsid w:val="00B63635"/>
    <w:rsid w:val="00B636DC"/>
    <w:rsid w:val="00B63A15"/>
    <w:rsid w:val="00B63B82"/>
    <w:rsid w:val="00B63EE1"/>
    <w:rsid w:val="00B63F10"/>
    <w:rsid w:val="00B6405C"/>
    <w:rsid w:val="00B641AD"/>
    <w:rsid w:val="00B642C0"/>
    <w:rsid w:val="00B642C1"/>
    <w:rsid w:val="00B64474"/>
    <w:rsid w:val="00B646B1"/>
    <w:rsid w:val="00B6481F"/>
    <w:rsid w:val="00B64AE2"/>
    <w:rsid w:val="00B64DDA"/>
    <w:rsid w:val="00B64DF5"/>
    <w:rsid w:val="00B64F7E"/>
    <w:rsid w:val="00B64FC0"/>
    <w:rsid w:val="00B654D1"/>
    <w:rsid w:val="00B654FE"/>
    <w:rsid w:val="00B65572"/>
    <w:rsid w:val="00B657B8"/>
    <w:rsid w:val="00B65879"/>
    <w:rsid w:val="00B65968"/>
    <w:rsid w:val="00B65CF8"/>
    <w:rsid w:val="00B65E87"/>
    <w:rsid w:val="00B65F36"/>
    <w:rsid w:val="00B66099"/>
    <w:rsid w:val="00B660B6"/>
    <w:rsid w:val="00B66264"/>
    <w:rsid w:val="00B66306"/>
    <w:rsid w:val="00B66564"/>
    <w:rsid w:val="00B66649"/>
    <w:rsid w:val="00B667F6"/>
    <w:rsid w:val="00B66887"/>
    <w:rsid w:val="00B669D7"/>
    <w:rsid w:val="00B66AB6"/>
    <w:rsid w:val="00B66B04"/>
    <w:rsid w:val="00B66D67"/>
    <w:rsid w:val="00B66E6F"/>
    <w:rsid w:val="00B66E82"/>
    <w:rsid w:val="00B67067"/>
    <w:rsid w:val="00B671B5"/>
    <w:rsid w:val="00B67229"/>
    <w:rsid w:val="00B6726F"/>
    <w:rsid w:val="00B67514"/>
    <w:rsid w:val="00B67743"/>
    <w:rsid w:val="00B67773"/>
    <w:rsid w:val="00B677D9"/>
    <w:rsid w:val="00B6784C"/>
    <w:rsid w:val="00B67AE7"/>
    <w:rsid w:val="00B67B5B"/>
    <w:rsid w:val="00B67D99"/>
    <w:rsid w:val="00B67EA0"/>
    <w:rsid w:val="00B67EA6"/>
    <w:rsid w:val="00B7002C"/>
    <w:rsid w:val="00B700FF"/>
    <w:rsid w:val="00B70118"/>
    <w:rsid w:val="00B701A3"/>
    <w:rsid w:val="00B70282"/>
    <w:rsid w:val="00B702D5"/>
    <w:rsid w:val="00B705C2"/>
    <w:rsid w:val="00B705DF"/>
    <w:rsid w:val="00B70765"/>
    <w:rsid w:val="00B708BA"/>
    <w:rsid w:val="00B70905"/>
    <w:rsid w:val="00B70A51"/>
    <w:rsid w:val="00B70B30"/>
    <w:rsid w:val="00B70B7C"/>
    <w:rsid w:val="00B70C87"/>
    <w:rsid w:val="00B70DD3"/>
    <w:rsid w:val="00B70E08"/>
    <w:rsid w:val="00B70ECB"/>
    <w:rsid w:val="00B71050"/>
    <w:rsid w:val="00B712EC"/>
    <w:rsid w:val="00B71426"/>
    <w:rsid w:val="00B7150E"/>
    <w:rsid w:val="00B71533"/>
    <w:rsid w:val="00B71AFC"/>
    <w:rsid w:val="00B71BB6"/>
    <w:rsid w:val="00B71CFE"/>
    <w:rsid w:val="00B71E47"/>
    <w:rsid w:val="00B71E6B"/>
    <w:rsid w:val="00B71F64"/>
    <w:rsid w:val="00B7227F"/>
    <w:rsid w:val="00B722D4"/>
    <w:rsid w:val="00B72412"/>
    <w:rsid w:val="00B72457"/>
    <w:rsid w:val="00B72550"/>
    <w:rsid w:val="00B72684"/>
    <w:rsid w:val="00B727D4"/>
    <w:rsid w:val="00B728EC"/>
    <w:rsid w:val="00B72AF4"/>
    <w:rsid w:val="00B72B23"/>
    <w:rsid w:val="00B72B28"/>
    <w:rsid w:val="00B72D14"/>
    <w:rsid w:val="00B72F43"/>
    <w:rsid w:val="00B731A5"/>
    <w:rsid w:val="00B733D9"/>
    <w:rsid w:val="00B73479"/>
    <w:rsid w:val="00B735B6"/>
    <w:rsid w:val="00B7367B"/>
    <w:rsid w:val="00B737DE"/>
    <w:rsid w:val="00B738A2"/>
    <w:rsid w:val="00B73932"/>
    <w:rsid w:val="00B739B0"/>
    <w:rsid w:val="00B73C21"/>
    <w:rsid w:val="00B73C2E"/>
    <w:rsid w:val="00B73CAD"/>
    <w:rsid w:val="00B73CB1"/>
    <w:rsid w:val="00B73DC0"/>
    <w:rsid w:val="00B73F10"/>
    <w:rsid w:val="00B73FE8"/>
    <w:rsid w:val="00B7433C"/>
    <w:rsid w:val="00B7449A"/>
    <w:rsid w:val="00B745A9"/>
    <w:rsid w:val="00B746E8"/>
    <w:rsid w:val="00B7479D"/>
    <w:rsid w:val="00B749FE"/>
    <w:rsid w:val="00B74A14"/>
    <w:rsid w:val="00B74A9F"/>
    <w:rsid w:val="00B74ACB"/>
    <w:rsid w:val="00B74BBE"/>
    <w:rsid w:val="00B74C15"/>
    <w:rsid w:val="00B74C76"/>
    <w:rsid w:val="00B74D29"/>
    <w:rsid w:val="00B74DF9"/>
    <w:rsid w:val="00B74E3E"/>
    <w:rsid w:val="00B74ECC"/>
    <w:rsid w:val="00B74F12"/>
    <w:rsid w:val="00B74F35"/>
    <w:rsid w:val="00B74F54"/>
    <w:rsid w:val="00B74FDF"/>
    <w:rsid w:val="00B75058"/>
    <w:rsid w:val="00B75087"/>
    <w:rsid w:val="00B7554F"/>
    <w:rsid w:val="00B75739"/>
    <w:rsid w:val="00B7577A"/>
    <w:rsid w:val="00B7583D"/>
    <w:rsid w:val="00B75B0E"/>
    <w:rsid w:val="00B75C52"/>
    <w:rsid w:val="00B75D66"/>
    <w:rsid w:val="00B75F18"/>
    <w:rsid w:val="00B75F82"/>
    <w:rsid w:val="00B7602D"/>
    <w:rsid w:val="00B7617A"/>
    <w:rsid w:val="00B763BC"/>
    <w:rsid w:val="00B76501"/>
    <w:rsid w:val="00B7664A"/>
    <w:rsid w:val="00B76861"/>
    <w:rsid w:val="00B769B2"/>
    <w:rsid w:val="00B76C5E"/>
    <w:rsid w:val="00B76D58"/>
    <w:rsid w:val="00B76DCF"/>
    <w:rsid w:val="00B76EBE"/>
    <w:rsid w:val="00B77020"/>
    <w:rsid w:val="00B770DB"/>
    <w:rsid w:val="00B770F9"/>
    <w:rsid w:val="00B77227"/>
    <w:rsid w:val="00B772B1"/>
    <w:rsid w:val="00B772C5"/>
    <w:rsid w:val="00B772DA"/>
    <w:rsid w:val="00B77366"/>
    <w:rsid w:val="00B775CA"/>
    <w:rsid w:val="00B775F7"/>
    <w:rsid w:val="00B77892"/>
    <w:rsid w:val="00B779BE"/>
    <w:rsid w:val="00B77A7B"/>
    <w:rsid w:val="00B77B10"/>
    <w:rsid w:val="00B77B95"/>
    <w:rsid w:val="00B77C2D"/>
    <w:rsid w:val="00B77C44"/>
    <w:rsid w:val="00B77D7F"/>
    <w:rsid w:val="00B77ED6"/>
    <w:rsid w:val="00B80209"/>
    <w:rsid w:val="00B8070B"/>
    <w:rsid w:val="00B8089D"/>
    <w:rsid w:val="00B80B38"/>
    <w:rsid w:val="00B80B84"/>
    <w:rsid w:val="00B80D25"/>
    <w:rsid w:val="00B80DAC"/>
    <w:rsid w:val="00B80DF8"/>
    <w:rsid w:val="00B80E19"/>
    <w:rsid w:val="00B81039"/>
    <w:rsid w:val="00B810D5"/>
    <w:rsid w:val="00B813EB"/>
    <w:rsid w:val="00B81415"/>
    <w:rsid w:val="00B81532"/>
    <w:rsid w:val="00B815DF"/>
    <w:rsid w:val="00B815F3"/>
    <w:rsid w:val="00B8161F"/>
    <w:rsid w:val="00B818DF"/>
    <w:rsid w:val="00B819B2"/>
    <w:rsid w:val="00B819E0"/>
    <w:rsid w:val="00B81ACB"/>
    <w:rsid w:val="00B81C02"/>
    <w:rsid w:val="00B81E08"/>
    <w:rsid w:val="00B81E32"/>
    <w:rsid w:val="00B81E55"/>
    <w:rsid w:val="00B81F78"/>
    <w:rsid w:val="00B82125"/>
    <w:rsid w:val="00B82276"/>
    <w:rsid w:val="00B82365"/>
    <w:rsid w:val="00B8241F"/>
    <w:rsid w:val="00B825B6"/>
    <w:rsid w:val="00B8264B"/>
    <w:rsid w:val="00B82870"/>
    <w:rsid w:val="00B8294D"/>
    <w:rsid w:val="00B82A2C"/>
    <w:rsid w:val="00B82AFE"/>
    <w:rsid w:val="00B82B94"/>
    <w:rsid w:val="00B82CBB"/>
    <w:rsid w:val="00B82E00"/>
    <w:rsid w:val="00B8311E"/>
    <w:rsid w:val="00B834DB"/>
    <w:rsid w:val="00B8358C"/>
    <w:rsid w:val="00B83665"/>
    <w:rsid w:val="00B8389B"/>
    <w:rsid w:val="00B83AEA"/>
    <w:rsid w:val="00B83EA0"/>
    <w:rsid w:val="00B83FB5"/>
    <w:rsid w:val="00B83FEC"/>
    <w:rsid w:val="00B841BF"/>
    <w:rsid w:val="00B842A2"/>
    <w:rsid w:val="00B842C9"/>
    <w:rsid w:val="00B84464"/>
    <w:rsid w:val="00B84596"/>
    <w:rsid w:val="00B84912"/>
    <w:rsid w:val="00B84946"/>
    <w:rsid w:val="00B849F3"/>
    <w:rsid w:val="00B84C39"/>
    <w:rsid w:val="00B84C54"/>
    <w:rsid w:val="00B84E32"/>
    <w:rsid w:val="00B84F56"/>
    <w:rsid w:val="00B8509E"/>
    <w:rsid w:val="00B850AD"/>
    <w:rsid w:val="00B850D8"/>
    <w:rsid w:val="00B853E1"/>
    <w:rsid w:val="00B854B2"/>
    <w:rsid w:val="00B855A4"/>
    <w:rsid w:val="00B8564F"/>
    <w:rsid w:val="00B85773"/>
    <w:rsid w:val="00B857DA"/>
    <w:rsid w:val="00B858C1"/>
    <w:rsid w:val="00B858FC"/>
    <w:rsid w:val="00B85BB6"/>
    <w:rsid w:val="00B85E6D"/>
    <w:rsid w:val="00B85F5D"/>
    <w:rsid w:val="00B85FBA"/>
    <w:rsid w:val="00B85FCE"/>
    <w:rsid w:val="00B8601D"/>
    <w:rsid w:val="00B860D4"/>
    <w:rsid w:val="00B860F1"/>
    <w:rsid w:val="00B863A7"/>
    <w:rsid w:val="00B86416"/>
    <w:rsid w:val="00B86462"/>
    <w:rsid w:val="00B86654"/>
    <w:rsid w:val="00B8679B"/>
    <w:rsid w:val="00B867B6"/>
    <w:rsid w:val="00B8694A"/>
    <w:rsid w:val="00B86DBB"/>
    <w:rsid w:val="00B86DBD"/>
    <w:rsid w:val="00B86DDC"/>
    <w:rsid w:val="00B86E26"/>
    <w:rsid w:val="00B872DC"/>
    <w:rsid w:val="00B87398"/>
    <w:rsid w:val="00B875B1"/>
    <w:rsid w:val="00B87760"/>
    <w:rsid w:val="00B87D04"/>
    <w:rsid w:val="00B903D8"/>
    <w:rsid w:val="00B90507"/>
    <w:rsid w:val="00B906C2"/>
    <w:rsid w:val="00B90725"/>
    <w:rsid w:val="00B90741"/>
    <w:rsid w:val="00B90781"/>
    <w:rsid w:val="00B907CA"/>
    <w:rsid w:val="00B90964"/>
    <w:rsid w:val="00B90C5D"/>
    <w:rsid w:val="00B90DA3"/>
    <w:rsid w:val="00B90EBB"/>
    <w:rsid w:val="00B90F11"/>
    <w:rsid w:val="00B910A9"/>
    <w:rsid w:val="00B910AB"/>
    <w:rsid w:val="00B910D1"/>
    <w:rsid w:val="00B91208"/>
    <w:rsid w:val="00B912D3"/>
    <w:rsid w:val="00B91359"/>
    <w:rsid w:val="00B9135D"/>
    <w:rsid w:val="00B913D1"/>
    <w:rsid w:val="00B913F1"/>
    <w:rsid w:val="00B91458"/>
    <w:rsid w:val="00B91668"/>
    <w:rsid w:val="00B916B7"/>
    <w:rsid w:val="00B916DB"/>
    <w:rsid w:val="00B917E5"/>
    <w:rsid w:val="00B91967"/>
    <w:rsid w:val="00B919AD"/>
    <w:rsid w:val="00B91B0C"/>
    <w:rsid w:val="00B91B46"/>
    <w:rsid w:val="00B91C32"/>
    <w:rsid w:val="00B91C38"/>
    <w:rsid w:val="00B91EB1"/>
    <w:rsid w:val="00B92103"/>
    <w:rsid w:val="00B9211E"/>
    <w:rsid w:val="00B9214F"/>
    <w:rsid w:val="00B92330"/>
    <w:rsid w:val="00B925A5"/>
    <w:rsid w:val="00B92643"/>
    <w:rsid w:val="00B92665"/>
    <w:rsid w:val="00B9271A"/>
    <w:rsid w:val="00B92A04"/>
    <w:rsid w:val="00B92BBD"/>
    <w:rsid w:val="00B92C27"/>
    <w:rsid w:val="00B92C97"/>
    <w:rsid w:val="00B92CAF"/>
    <w:rsid w:val="00B92CD1"/>
    <w:rsid w:val="00B92DEF"/>
    <w:rsid w:val="00B92EAE"/>
    <w:rsid w:val="00B933C6"/>
    <w:rsid w:val="00B9346A"/>
    <w:rsid w:val="00B934CB"/>
    <w:rsid w:val="00B935F6"/>
    <w:rsid w:val="00B936BE"/>
    <w:rsid w:val="00B93825"/>
    <w:rsid w:val="00B93A7E"/>
    <w:rsid w:val="00B93A96"/>
    <w:rsid w:val="00B93B1B"/>
    <w:rsid w:val="00B93C74"/>
    <w:rsid w:val="00B93CC1"/>
    <w:rsid w:val="00B93E65"/>
    <w:rsid w:val="00B93EA7"/>
    <w:rsid w:val="00B93FC2"/>
    <w:rsid w:val="00B93FDD"/>
    <w:rsid w:val="00B94083"/>
    <w:rsid w:val="00B9415B"/>
    <w:rsid w:val="00B9436F"/>
    <w:rsid w:val="00B943E5"/>
    <w:rsid w:val="00B94417"/>
    <w:rsid w:val="00B9443B"/>
    <w:rsid w:val="00B944D5"/>
    <w:rsid w:val="00B94510"/>
    <w:rsid w:val="00B945DE"/>
    <w:rsid w:val="00B948B0"/>
    <w:rsid w:val="00B94A5D"/>
    <w:rsid w:val="00B94B96"/>
    <w:rsid w:val="00B94BC4"/>
    <w:rsid w:val="00B94CA8"/>
    <w:rsid w:val="00B94E87"/>
    <w:rsid w:val="00B94E93"/>
    <w:rsid w:val="00B95005"/>
    <w:rsid w:val="00B951CD"/>
    <w:rsid w:val="00B9529B"/>
    <w:rsid w:val="00B952F7"/>
    <w:rsid w:val="00B954BE"/>
    <w:rsid w:val="00B95529"/>
    <w:rsid w:val="00B95889"/>
    <w:rsid w:val="00B9588A"/>
    <w:rsid w:val="00B95C80"/>
    <w:rsid w:val="00B95D3B"/>
    <w:rsid w:val="00B95D4C"/>
    <w:rsid w:val="00B95F07"/>
    <w:rsid w:val="00B960C1"/>
    <w:rsid w:val="00B9614C"/>
    <w:rsid w:val="00B96294"/>
    <w:rsid w:val="00B96438"/>
    <w:rsid w:val="00B96472"/>
    <w:rsid w:val="00B96487"/>
    <w:rsid w:val="00B96680"/>
    <w:rsid w:val="00B96752"/>
    <w:rsid w:val="00B9675B"/>
    <w:rsid w:val="00B967AA"/>
    <w:rsid w:val="00B96816"/>
    <w:rsid w:val="00B9686A"/>
    <w:rsid w:val="00B96A56"/>
    <w:rsid w:val="00B96A74"/>
    <w:rsid w:val="00B96B4B"/>
    <w:rsid w:val="00B96BF9"/>
    <w:rsid w:val="00B96C97"/>
    <w:rsid w:val="00B96D3D"/>
    <w:rsid w:val="00B96D46"/>
    <w:rsid w:val="00B96E2A"/>
    <w:rsid w:val="00B96F45"/>
    <w:rsid w:val="00B9716A"/>
    <w:rsid w:val="00B971E8"/>
    <w:rsid w:val="00B9742E"/>
    <w:rsid w:val="00B97538"/>
    <w:rsid w:val="00B9753F"/>
    <w:rsid w:val="00B97635"/>
    <w:rsid w:val="00B976CF"/>
    <w:rsid w:val="00B976ED"/>
    <w:rsid w:val="00B9778F"/>
    <w:rsid w:val="00B97B10"/>
    <w:rsid w:val="00B97C68"/>
    <w:rsid w:val="00B97DFB"/>
    <w:rsid w:val="00B97E98"/>
    <w:rsid w:val="00B97F1F"/>
    <w:rsid w:val="00B97FB1"/>
    <w:rsid w:val="00B97FDC"/>
    <w:rsid w:val="00BA018A"/>
    <w:rsid w:val="00BA01DB"/>
    <w:rsid w:val="00BA0217"/>
    <w:rsid w:val="00BA030D"/>
    <w:rsid w:val="00BA03C7"/>
    <w:rsid w:val="00BA03E8"/>
    <w:rsid w:val="00BA0CBB"/>
    <w:rsid w:val="00BA0D10"/>
    <w:rsid w:val="00BA0FAB"/>
    <w:rsid w:val="00BA0FF8"/>
    <w:rsid w:val="00BA109A"/>
    <w:rsid w:val="00BA1520"/>
    <w:rsid w:val="00BA1523"/>
    <w:rsid w:val="00BA1524"/>
    <w:rsid w:val="00BA15C8"/>
    <w:rsid w:val="00BA163A"/>
    <w:rsid w:val="00BA165C"/>
    <w:rsid w:val="00BA170C"/>
    <w:rsid w:val="00BA1ABC"/>
    <w:rsid w:val="00BA1D15"/>
    <w:rsid w:val="00BA1F3C"/>
    <w:rsid w:val="00BA22DD"/>
    <w:rsid w:val="00BA2420"/>
    <w:rsid w:val="00BA24DC"/>
    <w:rsid w:val="00BA256B"/>
    <w:rsid w:val="00BA267E"/>
    <w:rsid w:val="00BA279A"/>
    <w:rsid w:val="00BA27DD"/>
    <w:rsid w:val="00BA2B60"/>
    <w:rsid w:val="00BA2D3F"/>
    <w:rsid w:val="00BA2DC6"/>
    <w:rsid w:val="00BA2F34"/>
    <w:rsid w:val="00BA2FD6"/>
    <w:rsid w:val="00BA349B"/>
    <w:rsid w:val="00BA3750"/>
    <w:rsid w:val="00BA3996"/>
    <w:rsid w:val="00BA3A6D"/>
    <w:rsid w:val="00BA3E83"/>
    <w:rsid w:val="00BA3F3C"/>
    <w:rsid w:val="00BA3FC0"/>
    <w:rsid w:val="00BA402D"/>
    <w:rsid w:val="00BA40CD"/>
    <w:rsid w:val="00BA4217"/>
    <w:rsid w:val="00BA455D"/>
    <w:rsid w:val="00BA4698"/>
    <w:rsid w:val="00BA477C"/>
    <w:rsid w:val="00BA480A"/>
    <w:rsid w:val="00BA490B"/>
    <w:rsid w:val="00BA4944"/>
    <w:rsid w:val="00BA496D"/>
    <w:rsid w:val="00BA49BA"/>
    <w:rsid w:val="00BA4B96"/>
    <w:rsid w:val="00BA4E13"/>
    <w:rsid w:val="00BA4E45"/>
    <w:rsid w:val="00BA5125"/>
    <w:rsid w:val="00BA52A1"/>
    <w:rsid w:val="00BA541E"/>
    <w:rsid w:val="00BA554F"/>
    <w:rsid w:val="00BA5665"/>
    <w:rsid w:val="00BA56F3"/>
    <w:rsid w:val="00BA5BCF"/>
    <w:rsid w:val="00BA5C6B"/>
    <w:rsid w:val="00BA5CBE"/>
    <w:rsid w:val="00BA5D16"/>
    <w:rsid w:val="00BA5EC9"/>
    <w:rsid w:val="00BA6017"/>
    <w:rsid w:val="00BA6154"/>
    <w:rsid w:val="00BA61DF"/>
    <w:rsid w:val="00BA6254"/>
    <w:rsid w:val="00BA6481"/>
    <w:rsid w:val="00BA64F7"/>
    <w:rsid w:val="00BA65F1"/>
    <w:rsid w:val="00BA6682"/>
    <w:rsid w:val="00BA66FA"/>
    <w:rsid w:val="00BA671B"/>
    <w:rsid w:val="00BA67F0"/>
    <w:rsid w:val="00BA6A9E"/>
    <w:rsid w:val="00BA6BF4"/>
    <w:rsid w:val="00BA6E53"/>
    <w:rsid w:val="00BA6E8A"/>
    <w:rsid w:val="00BA6FAE"/>
    <w:rsid w:val="00BA706D"/>
    <w:rsid w:val="00BA7296"/>
    <w:rsid w:val="00BA72BB"/>
    <w:rsid w:val="00BA73A3"/>
    <w:rsid w:val="00BA7460"/>
    <w:rsid w:val="00BA75CF"/>
    <w:rsid w:val="00BA77B6"/>
    <w:rsid w:val="00BA7865"/>
    <w:rsid w:val="00BA789E"/>
    <w:rsid w:val="00BA7960"/>
    <w:rsid w:val="00BA7A5E"/>
    <w:rsid w:val="00BA7C09"/>
    <w:rsid w:val="00BA7DD9"/>
    <w:rsid w:val="00BA7FD9"/>
    <w:rsid w:val="00BB00D5"/>
    <w:rsid w:val="00BB0114"/>
    <w:rsid w:val="00BB01CF"/>
    <w:rsid w:val="00BB02A1"/>
    <w:rsid w:val="00BB0382"/>
    <w:rsid w:val="00BB05CD"/>
    <w:rsid w:val="00BB06A0"/>
    <w:rsid w:val="00BB077D"/>
    <w:rsid w:val="00BB0853"/>
    <w:rsid w:val="00BB09DD"/>
    <w:rsid w:val="00BB0AEE"/>
    <w:rsid w:val="00BB0C6D"/>
    <w:rsid w:val="00BB0D72"/>
    <w:rsid w:val="00BB0E35"/>
    <w:rsid w:val="00BB0F59"/>
    <w:rsid w:val="00BB0F76"/>
    <w:rsid w:val="00BB10BA"/>
    <w:rsid w:val="00BB122B"/>
    <w:rsid w:val="00BB12D2"/>
    <w:rsid w:val="00BB12D5"/>
    <w:rsid w:val="00BB141C"/>
    <w:rsid w:val="00BB14DE"/>
    <w:rsid w:val="00BB1597"/>
    <w:rsid w:val="00BB166C"/>
    <w:rsid w:val="00BB193C"/>
    <w:rsid w:val="00BB1A09"/>
    <w:rsid w:val="00BB1A37"/>
    <w:rsid w:val="00BB1F96"/>
    <w:rsid w:val="00BB1FAA"/>
    <w:rsid w:val="00BB2060"/>
    <w:rsid w:val="00BB220B"/>
    <w:rsid w:val="00BB2A55"/>
    <w:rsid w:val="00BB2AE4"/>
    <w:rsid w:val="00BB2CA7"/>
    <w:rsid w:val="00BB2D6E"/>
    <w:rsid w:val="00BB2E42"/>
    <w:rsid w:val="00BB2F22"/>
    <w:rsid w:val="00BB3113"/>
    <w:rsid w:val="00BB3136"/>
    <w:rsid w:val="00BB3144"/>
    <w:rsid w:val="00BB3165"/>
    <w:rsid w:val="00BB31D2"/>
    <w:rsid w:val="00BB337F"/>
    <w:rsid w:val="00BB33BD"/>
    <w:rsid w:val="00BB3BAD"/>
    <w:rsid w:val="00BB3BEF"/>
    <w:rsid w:val="00BB3C48"/>
    <w:rsid w:val="00BB3C53"/>
    <w:rsid w:val="00BB3EB2"/>
    <w:rsid w:val="00BB3F8F"/>
    <w:rsid w:val="00BB40E9"/>
    <w:rsid w:val="00BB41CF"/>
    <w:rsid w:val="00BB41FD"/>
    <w:rsid w:val="00BB423F"/>
    <w:rsid w:val="00BB4241"/>
    <w:rsid w:val="00BB425C"/>
    <w:rsid w:val="00BB42AC"/>
    <w:rsid w:val="00BB45B5"/>
    <w:rsid w:val="00BB4783"/>
    <w:rsid w:val="00BB4933"/>
    <w:rsid w:val="00BB49B4"/>
    <w:rsid w:val="00BB4B24"/>
    <w:rsid w:val="00BB4C00"/>
    <w:rsid w:val="00BB4ED0"/>
    <w:rsid w:val="00BB505E"/>
    <w:rsid w:val="00BB50EB"/>
    <w:rsid w:val="00BB5165"/>
    <w:rsid w:val="00BB544E"/>
    <w:rsid w:val="00BB5497"/>
    <w:rsid w:val="00BB56E8"/>
    <w:rsid w:val="00BB5713"/>
    <w:rsid w:val="00BB5759"/>
    <w:rsid w:val="00BB57AF"/>
    <w:rsid w:val="00BB57BD"/>
    <w:rsid w:val="00BB58ED"/>
    <w:rsid w:val="00BB598D"/>
    <w:rsid w:val="00BB59EB"/>
    <w:rsid w:val="00BB5A8A"/>
    <w:rsid w:val="00BB5AD1"/>
    <w:rsid w:val="00BB5DCD"/>
    <w:rsid w:val="00BB5EA6"/>
    <w:rsid w:val="00BB5F8D"/>
    <w:rsid w:val="00BB605B"/>
    <w:rsid w:val="00BB638F"/>
    <w:rsid w:val="00BB64C6"/>
    <w:rsid w:val="00BB6573"/>
    <w:rsid w:val="00BB65F3"/>
    <w:rsid w:val="00BB65FF"/>
    <w:rsid w:val="00BB6678"/>
    <w:rsid w:val="00BB6A94"/>
    <w:rsid w:val="00BB6AEC"/>
    <w:rsid w:val="00BB6B6A"/>
    <w:rsid w:val="00BB6BA4"/>
    <w:rsid w:val="00BB6CE8"/>
    <w:rsid w:val="00BB6D0E"/>
    <w:rsid w:val="00BB6D68"/>
    <w:rsid w:val="00BB6DA7"/>
    <w:rsid w:val="00BB6E3D"/>
    <w:rsid w:val="00BB6E48"/>
    <w:rsid w:val="00BB6EBB"/>
    <w:rsid w:val="00BB6F1B"/>
    <w:rsid w:val="00BB6F8C"/>
    <w:rsid w:val="00BB6FB9"/>
    <w:rsid w:val="00BB7009"/>
    <w:rsid w:val="00BB7016"/>
    <w:rsid w:val="00BB70D8"/>
    <w:rsid w:val="00BB70DA"/>
    <w:rsid w:val="00BB70DB"/>
    <w:rsid w:val="00BB73FC"/>
    <w:rsid w:val="00BB74CD"/>
    <w:rsid w:val="00BB7521"/>
    <w:rsid w:val="00BB7850"/>
    <w:rsid w:val="00BB7B1E"/>
    <w:rsid w:val="00BB7E7C"/>
    <w:rsid w:val="00BB7F96"/>
    <w:rsid w:val="00BB7FA6"/>
    <w:rsid w:val="00BC0158"/>
    <w:rsid w:val="00BC031B"/>
    <w:rsid w:val="00BC035D"/>
    <w:rsid w:val="00BC03A8"/>
    <w:rsid w:val="00BC03BC"/>
    <w:rsid w:val="00BC0500"/>
    <w:rsid w:val="00BC08CB"/>
    <w:rsid w:val="00BC098D"/>
    <w:rsid w:val="00BC0A3D"/>
    <w:rsid w:val="00BC0B97"/>
    <w:rsid w:val="00BC0CD2"/>
    <w:rsid w:val="00BC0D9E"/>
    <w:rsid w:val="00BC0DD1"/>
    <w:rsid w:val="00BC0DFE"/>
    <w:rsid w:val="00BC0E54"/>
    <w:rsid w:val="00BC0ECE"/>
    <w:rsid w:val="00BC0F1E"/>
    <w:rsid w:val="00BC0F2F"/>
    <w:rsid w:val="00BC0FF4"/>
    <w:rsid w:val="00BC10BB"/>
    <w:rsid w:val="00BC10F8"/>
    <w:rsid w:val="00BC1165"/>
    <w:rsid w:val="00BC14F5"/>
    <w:rsid w:val="00BC1751"/>
    <w:rsid w:val="00BC178B"/>
    <w:rsid w:val="00BC1802"/>
    <w:rsid w:val="00BC1808"/>
    <w:rsid w:val="00BC1867"/>
    <w:rsid w:val="00BC1885"/>
    <w:rsid w:val="00BC195F"/>
    <w:rsid w:val="00BC19B8"/>
    <w:rsid w:val="00BC1C11"/>
    <w:rsid w:val="00BC1CE9"/>
    <w:rsid w:val="00BC1D4E"/>
    <w:rsid w:val="00BC1EC2"/>
    <w:rsid w:val="00BC1EDD"/>
    <w:rsid w:val="00BC1F8B"/>
    <w:rsid w:val="00BC1FF4"/>
    <w:rsid w:val="00BC20F4"/>
    <w:rsid w:val="00BC21D0"/>
    <w:rsid w:val="00BC23BB"/>
    <w:rsid w:val="00BC262E"/>
    <w:rsid w:val="00BC2793"/>
    <w:rsid w:val="00BC284F"/>
    <w:rsid w:val="00BC2B88"/>
    <w:rsid w:val="00BC2BC3"/>
    <w:rsid w:val="00BC2C6B"/>
    <w:rsid w:val="00BC2C87"/>
    <w:rsid w:val="00BC2D28"/>
    <w:rsid w:val="00BC2FFB"/>
    <w:rsid w:val="00BC30AF"/>
    <w:rsid w:val="00BC315B"/>
    <w:rsid w:val="00BC3365"/>
    <w:rsid w:val="00BC3383"/>
    <w:rsid w:val="00BC33BD"/>
    <w:rsid w:val="00BC3447"/>
    <w:rsid w:val="00BC3662"/>
    <w:rsid w:val="00BC3899"/>
    <w:rsid w:val="00BC3B2F"/>
    <w:rsid w:val="00BC3B76"/>
    <w:rsid w:val="00BC3B81"/>
    <w:rsid w:val="00BC3BAA"/>
    <w:rsid w:val="00BC3C79"/>
    <w:rsid w:val="00BC40FC"/>
    <w:rsid w:val="00BC423F"/>
    <w:rsid w:val="00BC426C"/>
    <w:rsid w:val="00BC493C"/>
    <w:rsid w:val="00BC49A6"/>
    <w:rsid w:val="00BC4A79"/>
    <w:rsid w:val="00BC4CC3"/>
    <w:rsid w:val="00BC4D0D"/>
    <w:rsid w:val="00BC4D9F"/>
    <w:rsid w:val="00BC4E64"/>
    <w:rsid w:val="00BC4FD2"/>
    <w:rsid w:val="00BC514F"/>
    <w:rsid w:val="00BC51AD"/>
    <w:rsid w:val="00BC529D"/>
    <w:rsid w:val="00BC52C1"/>
    <w:rsid w:val="00BC549E"/>
    <w:rsid w:val="00BC5520"/>
    <w:rsid w:val="00BC58C8"/>
    <w:rsid w:val="00BC5AD5"/>
    <w:rsid w:val="00BC5E03"/>
    <w:rsid w:val="00BC5E74"/>
    <w:rsid w:val="00BC5F99"/>
    <w:rsid w:val="00BC5FF7"/>
    <w:rsid w:val="00BC6189"/>
    <w:rsid w:val="00BC61E3"/>
    <w:rsid w:val="00BC6374"/>
    <w:rsid w:val="00BC6398"/>
    <w:rsid w:val="00BC676D"/>
    <w:rsid w:val="00BC683D"/>
    <w:rsid w:val="00BC68E0"/>
    <w:rsid w:val="00BC6956"/>
    <w:rsid w:val="00BC6AFB"/>
    <w:rsid w:val="00BC6B03"/>
    <w:rsid w:val="00BC6BF0"/>
    <w:rsid w:val="00BC6D34"/>
    <w:rsid w:val="00BC6D4B"/>
    <w:rsid w:val="00BC6D56"/>
    <w:rsid w:val="00BC6E1C"/>
    <w:rsid w:val="00BC6E9E"/>
    <w:rsid w:val="00BC6FDC"/>
    <w:rsid w:val="00BC70F3"/>
    <w:rsid w:val="00BC728B"/>
    <w:rsid w:val="00BC7355"/>
    <w:rsid w:val="00BC738C"/>
    <w:rsid w:val="00BC74D9"/>
    <w:rsid w:val="00BC74E5"/>
    <w:rsid w:val="00BC753E"/>
    <w:rsid w:val="00BC7653"/>
    <w:rsid w:val="00BC7730"/>
    <w:rsid w:val="00BC796D"/>
    <w:rsid w:val="00BC7A1E"/>
    <w:rsid w:val="00BC7C7A"/>
    <w:rsid w:val="00BC7DA5"/>
    <w:rsid w:val="00BC7DDF"/>
    <w:rsid w:val="00BC7E65"/>
    <w:rsid w:val="00BC7E7F"/>
    <w:rsid w:val="00BC7FF5"/>
    <w:rsid w:val="00BD003F"/>
    <w:rsid w:val="00BD0439"/>
    <w:rsid w:val="00BD0572"/>
    <w:rsid w:val="00BD057C"/>
    <w:rsid w:val="00BD066A"/>
    <w:rsid w:val="00BD07C1"/>
    <w:rsid w:val="00BD07D2"/>
    <w:rsid w:val="00BD082B"/>
    <w:rsid w:val="00BD09C9"/>
    <w:rsid w:val="00BD0A03"/>
    <w:rsid w:val="00BD0C92"/>
    <w:rsid w:val="00BD0ED0"/>
    <w:rsid w:val="00BD0ED1"/>
    <w:rsid w:val="00BD0FC8"/>
    <w:rsid w:val="00BD112F"/>
    <w:rsid w:val="00BD1378"/>
    <w:rsid w:val="00BD141C"/>
    <w:rsid w:val="00BD14A8"/>
    <w:rsid w:val="00BD14FD"/>
    <w:rsid w:val="00BD1604"/>
    <w:rsid w:val="00BD16AF"/>
    <w:rsid w:val="00BD171E"/>
    <w:rsid w:val="00BD18A7"/>
    <w:rsid w:val="00BD193F"/>
    <w:rsid w:val="00BD1C3E"/>
    <w:rsid w:val="00BD1DBB"/>
    <w:rsid w:val="00BD1FCD"/>
    <w:rsid w:val="00BD204A"/>
    <w:rsid w:val="00BD21B5"/>
    <w:rsid w:val="00BD21BB"/>
    <w:rsid w:val="00BD2272"/>
    <w:rsid w:val="00BD22E5"/>
    <w:rsid w:val="00BD2407"/>
    <w:rsid w:val="00BD24FE"/>
    <w:rsid w:val="00BD2525"/>
    <w:rsid w:val="00BD2625"/>
    <w:rsid w:val="00BD2644"/>
    <w:rsid w:val="00BD29D8"/>
    <w:rsid w:val="00BD2A5B"/>
    <w:rsid w:val="00BD2A7F"/>
    <w:rsid w:val="00BD2AE6"/>
    <w:rsid w:val="00BD2B35"/>
    <w:rsid w:val="00BD2E2C"/>
    <w:rsid w:val="00BD2F5B"/>
    <w:rsid w:val="00BD2FFF"/>
    <w:rsid w:val="00BD30BE"/>
    <w:rsid w:val="00BD30D8"/>
    <w:rsid w:val="00BD3151"/>
    <w:rsid w:val="00BD331A"/>
    <w:rsid w:val="00BD3354"/>
    <w:rsid w:val="00BD336D"/>
    <w:rsid w:val="00BD3450"/>
    <w:rsid w:val="00BD350B"/>
    <w:rsid w:val="00BD3571"/>
    <w:rsid w:val="00BD3714"/>
    <w:rsid w:val="00BD373E"/>
    <w:rsid w:val="00BD3B7B"/>
    <w:rsid w:val="00BD3C42"/>
    <w:rsid w:val="00BD3CA3"/>
    <w:rsid w:val="00BD3CAD"/>
    <w:rsid w:val="00BD3DB9"/>
    <w:rsid w:val="00BD3DDC"/>
    <w:rsid w:val="00BD3F4E"/>
    <w:rsid w:val="00BD3FC3"/>
    <w:rsid w:val="00BD40FA"/>
    <w:rsid w:val="00BD416D"/>
    <w:rsid w:val="00BD41C6"/>
    <w:rsid w:val="00BD4312"/>
    <w:rsid w:val="00BD4361"/>
    <w:rsid w:val="00BD4615"/>
    <w:rsid w:val="00BD4866"/>
    <w:rsid w:val="00BD48AD"/>
    <w:rsid w:val="00BD4AD2"/>
    <w:rsid w:val="00BD4B2A"/>
    <w:rsid w:val="00BD4DBD"/>
    <w:rsid w:val="00BD4E44"/>
    <w:rsid w:val="00BD4FC7"/>
    <w:rsid w:val="00BD5302"/>
    <w:rsid w:val="00BD5306"/>
    <w:rsid w:val="00BD5325"/>
    <w:rsid w:val="00BD533B"/>
    <w:rsid w:val="00BD5390"/>
    <w:rsid w:val="00BD53FC"/>
    <w:rsid w:val="00BD54AE"/>
    <w:rsid w:val="00BD5538"/>
    <w:rsid w:val="00BD55A2"/>
    <w:rsid w:val="00BD569D"/>
    <w:rsid w:val="00BD56DE"/>
    <w:rsid w:val="00BD5703"/>
    <w:rsid w:val="00BD58B4"/>
    <w:rsid w:val="00BD5912"/>
    <w:rsid w:val="00BD59F3"/>
    <w:rsid w:val="00BD5A46"/>
    <w:rsid w:val="00BD5B81"/>
    <w:rsid w:val="00BD5C2A"/>
    <w:rsid w:val="00BD5C71"/>
    <w:rsid w:val="00BD5D45"/>
    <w:rsid w:val="00BD5DE0"/>
    <w:rsid w:val="00BD5DFB"/>
    <w:rsid w:val="00BD6385"/>
    <w:rsid w:val="00BD669F"/>
    <w:rsid w:val="00BD66B5"/>
    <w:rsid w:val="00BD66D7"/>
    <w:rsid w:val="00BD66F2"/>
    <w:rsid w:val="00BD67CE"/>
    <w:rsid w:val="00BD67DF"/>
    <w:rsid w:val="00BD690F"/>
    <w:rsid w:val="00BD6A81"/>
    <w:rsid w:val="00BD6AFB"/>
    <w:rsid w:val="00BD6BAE"/>
    <w:rsid w:val="00BD6FFB"/>
    <w:rsid w:val="00BD706B"/>
    <w:rsid w:val="00BD7103"/>
    <w:rsid w:val="00BD71F4"/>
    <w:rsid w:val="00BD7259"/>
    <w:rsid w:val="00BD7294"/>
    <w:rsid w:val="00BD72C9"/>
    <w:rsid w:val="00BD7475"/>
    <w:rsid w:val="00BD7500"/>
    <w:rsid w:val="00BD7594"/>
    <w:rsid w:val="00BD7675"/>
    <w:rsid w:val="00BD7719"/>
    <w:rsid w:val="00BD7767"/>
    <w:rsid w:val="00BD7925"/>
    <w:rsid w:val="00BD7A5B"/>
    <w:rsid w:val="00BD7AB4"/>
    <w:rsid w:val="00BD7C72"/>
    <w:rsid w:val="00BD7D54"/>
    <w:rsid w:val="00BD7E04"/>
    <w:rsid w:val="00BD7E9D"/>
    <w:rsid w:val="00BD7EE9"/>
    <w:rsid w:val="00BD7F53"/>
    <w:rsid w:val="00BE023B"/>
    <w:rsid w:val="00BE0279"/>
    <w:rsid w:val="00BE04BB"/>
    <w:rsid w:val="00BE0629"/>
    <w:rsid w:val="00BE079D"/>
    <w:rsid w:val="00BE0814"/>
    <w:rsid w:val="00BE0834"/>
    <w:rsid w:val="00BE088D"/>
    <w:rsid w:val="00BE0952"/>
    <w:rsid w:val="00BE0961"/>
    <w:rsid w:val="00BE0CA3"/>
    <w:rsid w:val="00BE0E4E"/>
    <w:rsid w:val="00BE0E79"/>
    <w:rsid w:val="00BE0EB0"/>
    <w:rsid w:val="00BE0F04"/>
    <w:rsid w:val="00BE1076"/>
    <w:rsid w:val="00BE15F7"/>
    <w:rsid w:val="00BE1605"/>
    <w:rsid w:val="00BE18A8"/>
    <w:rsid w:val="00BE18DC"/>
    <w:rsid w:val="00BE18FC"/>
    <w:rsid w:val="00BE1951"/>
    <w:rsid w:val="00BE1B5E"/>
    <w:rsid w:val="00BE1EF4"/>
    <w:rsid w:val="00BE21A3"/>
    <w:rsid w:val="00BE2215"/>
    <w:rsid w:val="00BE240F"/>
    <w:rsid w:val="00BE24B4"/>
    <w:rsid w:val="00BE2665"/>
    <w:rsid w:val="00BE266A"/>
    <w:rsid w:val="00BE268D"/>
    <w:rsid w:val="00BE2863"/>
    <w:rsid w:val="00BE2AA0"/>
    <w:rsid w:val="00BE2B94"/>
    <w:rsid w:val="00BE2FF5"/>
    <w:rsid w:val="00BE32CA"/>
    <w:rsid w:val="00BE32EF"/>
    <w:rsid w:val="00BE348B"/>
    <w:rsid w:val="00BE35A1"/>
    <w:rsid w:val="00BE35C7"/>
    <w:rsid w:val="00BE35E0"/>
    <w:rsid w:val="00BE369D"/>
    <w:rsid w:val="00BE371B"/>
    <w:rsid w:val="00BE3841"/>
    <w:rsid w:val="00BE3924"/>
    <w:rsid w:val="00BE3960"/>
    <w:rsid w:val="00BE3994"/>
    <w:rsid w:val="00BE3997"/>
    <w:rsid w:val="00BE39FF"/>
    <w:rsid w:val="00BE3A17"/>
    <w:rsid w:val="00BE3AD6"/>
    <w:rsid w:val="00BE3BD5"/>
    <w:rsid w:val="00BE3DC8"/>
    <w:rsid w:val="00BE3FE4"/>
    <w:rsid w:val="00BE43A4"/>
    <w:rsid w:val="00BE4447"/>
    <w:rsid w:val="00BE44E5"/>
    <w:rsid w:val="00BE452F"/>
    <w:rsid w:val="00BE45BB"/>
    <w:rsid w:val="00BE4647"/>
    <w:rsid w:val="00BE4728"/>
    <w:rsid w:val="00BE4860"/>
    <w:rsid w:val="00BE48E7"/>
    <w:rsid w:val="00BE4AA9"/>
    <w:rsid w:val="00BE4D76"/>
    <w:rsid w:val="00BE4F60"/>
    <w:rsid w:val="00BE50A9"/>
    <w:rsid w:val="00BE51A1"/>
    <w:rsid w:val="00BE52CD"/>
    <w:rsid w:val="00BE52DD"/>
    <w:rsid w:val="00BE52F0"/>
    <w:rsid w:val="00BE52F5"/>
    <w:rsid w:val="00BE53EC"/>
    <w:rsid w:val="00BE5518"/>
    <w:rsid w:val="00BE587C"/>
    <w:rsid w:val="00BE5D3A"/>
    <w:rsid w:val="00BE5D3F"/>
    <w:rsid w:val="00BE5FD7"/>
    <w:rsid w:val="00BE606E"/>
    <w:rsid w:val="00BE61E7"/>
    <w:rsid w:val="00BE6264"/>
    <w:rsid w:val="00BE62BA"/>
    <w:rsid w:val="00BE62F8"/>
    <w:rsid w:val="00BE6540"/>
    <w:rsid w:val="00BE6569"/>
    <w:rsid w:val="00BE683B"/>
    <w:rsid w:val="00BE68D2"/>
    <w:rsid w:val="00BE6D6C"/>
    <w:rsid w:val="00BE7018"/>
    <w:rsid w:val="00BE702F"/>
    <w:rsid w:val="00BE7064"/>
    <w:rsid w:val="00BE7082"/>
    <w:rsid w:val="00BE7186"/>
    <w:rsid w:val="00BE731D"/>
    <w:rsid w:val="00BE7469"/>
    <w:rsid w:val="00BE74B1"/>
    <w:rsid w:val="00BE74F6"/>
    <w:rsid w:val="00BE770B"/>
    <w:rsid w:val="00BE77A3"/>
    <w:rsid w:val="00BE7814"/>
    <w:rsid w:val="00BE7B69"/>
    <w:rsid w:val="00BE7B93"/>
    <w:rsid w:val="00BE7C70"/>
    <w:rsid w:val="00BE7C78"/>
    <w:rsid w:val="00BE7CC1"/>
    <w:rsid w:val="00BE7DA2"/>
    <w:rsid w:val="00BE7DD0"/>
    <w:rsid w:val="00BE7E3D"/>
    <w:rsid w:val="00BEB150"/>
    <w:rsid w:val="00BEF8CC"/>
    <w:rsid w:val="00BF0162"/>
    <w:rsid w:val="00BF03B8"/>
    <w:rsid w:val="00BF03D1"/>
    <w:rsid w:val="00BF046B"/>
    <w:rsid w:val="00BF078A"/>
    <w:rsid w:val="00BF07C9"/>
    <w:rsid w:val="00BF0847"/>
    <w:rsid w:val="00BF096D"/>
    <w:rsid w:val="00BF09B3"/>
    <w:rsid w:val="00BF0AAE"/>
    <w:rsid w:val="00BF0AB8"/>
    <w:rsid w:val="00BF0BA0"/>
    <w:rsid w:val="00BF0BF7"/>
    <w:rsid w:val="00BF0BFB"/>
    <w:rsid w:val="00BF0F6E"/>
    <w:rsid w:val="00BF105C"/>
    <w:rsid w:val="00BF11D5"/>
    <w:rsid w:val="00BF12A3"/>
    <w:rsid w:val="00BF144C"/>
    <w:rsid w:val="00BF1491"/>
    <w:rsid w:val="00BF14C4"/>
    <w:rsid w:val="00BF1584"/>
    <w:rsid w:val="00BF163E"/>
    <w:rsid w:val="00BF1911"/>
    <w:rsid w:val="00BF1953"/>
    <w:rsid w:val="00BF1993"/>
    <w:rsid w:val="00BF19AE"/>
    <w:rsid w:val="00BF1B49"/>
    <w:rsid w:val="00BF1CB5"/>
    <w:rsid w:val="00BF1E4D"/>
    <w:rsid w:val="00BF22E2"/>
    <w:rsid w:val="00BF23C6"/>
    <w:rsid w:val="00BF24E3"/>
    <w:rsid w:val="00BF2941"/>
    <w:rsid w:val="00BF29B9"/>
    <w:rsid w:val="00BF29DA"/>
    <w:rsid w:val="00BF29DC"/>
    <w:rsid w:val="00BF2C85"/>
    <w:rsid w:val="00BF2CD2"/>
    <w:rsid w:val="00BF2D30"/>
    <w:rsid w:val="00BF2D74"/>
    <w:rsid w:val="00BF2E6A"/>
    <w:rsid w:val="00BF2F78"/>
    <w:rsid w:val="00BF328E"/>
    <w:rsid w:val="00BF3530"/>
    <w:rsid w:val="00BF3711"/>
    <w:rsid w:val="00BF3897"/>
    <w:rsid w:val="00BF38A7"/>
    <w:rsid w:val="00BF39A4"/>
    <w:rsid w:val="00BF3A8A"/>
    <w:rsid w:val="00BF3D77"/>
    <w:rsid w:val="00BF3EC2"/>
    <w:rsid w:val="00BF4079"/>
    <w:rsid w:val="00BF40C4"/>
    <w:rsid w:val="00BF41BD"/>
    <w:rsid w:val="00BF438E"/>
    <w:rsid w:val="00BF43C0"/>
    <w:rsid w:val="00BF460A"/>
    <w:rsid w:val="00BF48B7"/>
    <w:rsid w:val="00BF49C5"/>
    <w:rsid w:val="00BF49DC"/>
    <w:rsid w:val="00BF4E2B"/>
    <w:rsid w:val="00BF4E2E"/>
    <w:rsid w:val="00BF4F86"/>
    <w:rsid w:val="00BF5000"/>
    <w:rsid w:val="00BF5133"/>
    <w:rsid w:val="00BF51A2"/>
    <w:rsid w:val="00BF51B9"/>
    <w:rsid w:val="00BF53EA"/>
    <w:rsid w:val="00BF5633"/>
    <w:rsid w:val="00BF56C3"/>
    <w:rsid w:val="00BF5994"/>
    <w:rsid w:val="00BF59F7"/>
    <w:rsid w:val="00BF5AB9"/>
    <w:rsid w:val="00BF5ACB"/>
    <w:rsid w:val="00BF5C3C"/>
    <w:rsid w:val="00BF5C88"/>
    <w:rsid w:val="00BF5CDC"/>
    <w:rsid w:val="00BF5D6C"/>
    <w:rsid w:val="00BF5E90"/>
    <w:rsid w:val="00BF5FDF"/>
    <w:rsid w:val="00BF604B"/>
    <w:rsid w:val="00BF646A"/>
    <w:rsid w:val="00BF648B"/>
    <w:rsid w:val="00BF6BCB"/>
    <w:rsid w:val="00BF6E30"/>
    <w:rsid w:val="00BF6E72"/>
    <w:rsid w:val="00BF6EAC"/>
    <w:rsid w:val="00BF6FF7"/>
    <w:rsid w:val="00BF70D2"/>
    <w:rsid w:val="00BF73D2"/>
    <w:rsid w:val="00BF7451"/>
    <w:rsid w:val="00BF74F6"/>
    <w:rsid w:val="00BF7561"/>
    <w:rsid w:val="00BF767D"/>
    <w:rsid w:val="00BF76BA"/>
    <w:rsid w:val="00BF788C"/>
    <w:rsid w:val="00BF7D57"/>
    <w:rsid w:val="00BF7EEF"/>
    <w:rsid w:val="00BF9A7A"/>
    <w:rsid w:val="00C000A0"/>
    <w:rsid w:val="00C000D8"/>
    <w:rsid w:val="00C00214"/>
    <w:rsid w:val="00C002A3"/>
    <w:rsid w:val="00C003FD"/>
    <w:rsid w:val="00C0044B"/>
    <w:rsid w:val="00C00764"/>
    <w:rsid w:val="00C00827"/>
    <w:rsid w:val="00C0085D"/>
    <w:rsid w:val="00C00ADC"/>
    <w:rsid w:val="00C00B81"/>
    <w:rsid w:val="00C00C14"/>
    <w:rsid w:val="00C00C24"/>
    <w:rsid w:val="00C00CF8"/>
    <w:rsid w:val="00C00E16"/>
    <w:rsid w:val="00C01248"/>
    <w:rsid w:val="00C01274"/>
    <w:rsid w:val="00C01312"/>
    <w:rsid w:val="00C013B2"/>
    <w:rsid w:val="00C01596"/>
    <w:rsid w:val="00C0160F"/>
    <w:rsid w:val="00C0193F"/>
    <w:rsid w:val="00C01997"/>
    <w:rsid w:val="00C01A12"/>
    <w:rsid w:val="00C01A6F"/>
    <w:rsid w:val="00C01B7A"/>
    <w:rsid w:val="00C01EC8"/>
    <w:rsid w:val="00C01FA3"/>
    <w:rsid w:val="00C02009"/>
    <w:rsid w:val="00C02077"/>
    <w:rsid w:val="00C02142"/>
    <w:rsid w:val="00C02264"/>
    <w:rsid w:val="00C022E5"/>
    <w:rsid w:val="00C02474"/>
    <w:rsid w:val="00C02506"/>
    <w:rsid w:val="00C025F9"/>
    <w:rsid w:val="00C02697"/>
    <w:rsid w:val="00C027F9"/>
    <w:rsid w:val="00C02807"/>
    <w:rsid w:val="00C02849"/>
    <w:rsid w:val="00C028B8"/>
    <w:rsid w:val="00C029DC"/>
    <w:rsid w:val="00C02DE2"/>
    <w:rsid w:val="00C02E18"/>
    <w:rsid w:val="00C02FC6"/>
    <w:rsid w:val="00C0314F"/>
    <w:rsid w:val="00C031BC"/>
    <w:rsid w:val="00C03267"/>
    <w:rsid w:val="00C03573"/>
    <w:rsid w:val="00C03603"/>
    <w:rsid w:val="00C037C7"/>
    <w:rsid w:val="00C037DB"/>
    <w:rsid w:val="00C0383C"/>
    <w:rsid w:val="00C0384E"/>
    <w:rsid w:val="00C03977"/>
    <w:rsid w:val="00C039F5"/>
    <w:rsid w:val="00C03C9D"/>
    <w:rsid w:val="00C03E72"/>
    <w:rsid w:val="00C0404A"/>
    <w:rsid w:val="00C04069"/>
    <w:rsid w:val="00C0429C"/>
    <w:rsid w:val="00C042AD"/>
    <w:rsid w:val="00C0439A"/>
    <w:rsid w:val="00C0456E"/>
    <w:rsid w:val="00C047A4"/>
    <w:rsid w:val="00C047C9"/>
    <w:rsid w:val="00C0482A"/>
    <w:rsid w:val="00C04A74"/>
    <w:rsid w:val="00C04ABF"/>
    <w:rsid w:val="00C04C1D"/>
    <w:rsid w:val="00C04C55"/>
    <w:rsid w:val="00C04E6D"/>
    <w:rsid w:val="00C04EC3"/>
    <w:rsid w:val="00C056AD"/>
    <w:rsid w:val="00C058F1"/>
    <w:rsid w:val="00C05BC7"/>
    <w:rsid w:val="00C05C37"/>
    <w:rsid w:val="00C05CFB"/>
    <w:rsid w:val="00C05EA1"/>
    <w:rsid w:val="00C05EAF"/>
    <w:rsid w:val="00C05ED4"/>
    <w:rsid w:val="00C0602F"/>
    <w:rsid w:val="00C06052"/>
    <w:rsid w:val="00C061DB"/>
    <w:rsid w:val="00C0621C"/>
    <w:rsid w:val="00C0629D"/>
    <w:rsid w:val="00C064EE"/>
    <w:rsid w:val="00C065AD"/>
    <w:rsid w:val="00C06892"/>
    <w:rsid w:val="00C06A43"/>
    <w:rsid w:val="00C06E51"/>
    <w:rsid w:val="00C06F10"/>
    <w:rsid w:val="00C06F11"/>
    <w:rsid w:val="00C06F40"/>
    <w:rsid w:val="00C0717A"/>
    <w:rsid w:val="00C07292"/>
    <w:rsid w:val="00C07409"/>
    <w:rsid w:val="00C07542"/>
    <w:rsid w:val="00C0772D"/>
    <w:rsid w:val="00C07828"/>
    <w:rsid w:val="00C07A4D"/>
    <w:rsid w:val="00C07A5A"/>
    <w:rsid w:val="00C07B13"/>
    <w:rsid w:val="00C07B41"/>
    <w:rsid w:val="00C07C61"/>
    <w:rsid w:val="00C07E24"/>
    <w:rsid w:val="00C07EC2"/>
    <w:rsid w:val="00C07F16"/>
    <w:rsid w:val="00C100E8"/>
    <w:rsid w:val="00C10175"/>
    <w:rsid w:val="00C10231"/>
    <w:rsid w:val="00C1032D"/>
    <w:rsid w:val="00C1036F"/>
    <w:rsid w:val="00C104D7"/>
    <w:rsid w:val="00C108E8"/>
    <w:rsid w:val="00C108FA"/>
    <w:rsid w:val="00C109CE"/>
    <w:rsid w:val="00C109FB"/>
    <w:rsid w:val="00C10A6B"/>
    <w:rsid w:val="00C10CB0"/>
    <w:rsid w:val="00C10E21"/>
    <w:rsid w:val="00C10E76"/>
    <w:rsid w:val="00C10F6D"/>
    <w:rsid w:val="00C1100B"/>
    <w:rsid w:val="00C111D3"/>
    <w:rsid w:val="00C11279"/>
    <w:rsid w:val="00C112BD"/>
    <w:rsid w:val="00C113AF"/>
    <w:rsid w:val="00C11650"/>
    <w:rsid w:val="00C116F4"/>
    <w:rsid w:val="00C117F0"/>
    <w:rsid w:val="00C1185F"/>
    <w:rsid w:val="00C1193A"/>
    <w:rsid w:val="00C119C2"/>
    <w:rsid w:val="00C119E8"/>
    <w:rsid w:val="00C119F5"/>
    <w:rsid w:val="00C11A4B"/>
    <w:rsid w:val="00C11E7B"/>
    <w:rsid w:val="00C1203F"/>
    <w:rsid w:val="00C1209E"/>
    <w:rsid w:val="00C122E0"/>
    <w:rsid w:val="00C12339"/>
    <w:rsid w:val="00C123B9"/>
    <w:rsid w:val="00C125D5"/>
    <w:rsid w:val="00C125FC"/>
    <w:rsid w:val="00C1270A"/>
    <w:rsid w:val="00C1270D"/>
    <w:rsid w:val="00C129FC"/>
    <w:rsid w:val="00C12CFB"/>
    <w:rsid w:val="00C12EB7"/>
    <w:rsid w:val="00C13126"/>
    <w:rsid w:val="00C131B1"/>
    <w:rsid w:val="00C133C7"/>
    <w:rsid w:val="00C13427"/>
    <w:rsid w:val="00C13569"/>
    <w:rsid w:val="00C135CE"/>
    <w:rsid w:val="00C136EC"/>
    <w:rsid w:val="00C13765"/>
    <w:rsid w:val="00C13864"/>
    <w:rsid w:val="00C138BA"/>
    <w:rsid w:val="00C13929"/>
    <w:rsid w:val="00C1398D"/>
    <w:rsid w:val="00C139D0"/>
    <w:rsid w:val="00C139E8"/>
    <w:rsid w:val="00C13A6C"/>
    <w:rsid w:val="00C13AE6"/>
    <w:rsid w:val="00C13ECD"/>
    <w:rsid w:val="00C14027"/>
    <w:rsid w:val="00C1449C"/>
    <w:rsid w:val="00C14569"/>
    <w:rsid w:val="00C145A8"/>
    <w:rsid w:val="00C146DD"/>
    <w:rsid w:val="00C14829"/>
    <w:rsid w:val="00C1482E"/>
    <w:rsid w:val="00C1485D"/>
    <w:rsid w:val="00C14C16"/>
    <w:rsid w:val="00C14C20"/>
    <w:rsid w:val="00C14DAC"/>
    <w:rsid w:val="00C14E98"/>
    <w:rsid w:val="00C14F2B"/>
    <w:rsid w:val="00C14F47"/>
    <w:rsid w:val="00C15398"/>
    <w:rsid w:val="00C158C1"/>
    <w:rsid w:val="00C15A5F"/>
    <w:rsid w:val="00C15A6C"/>
    <w:rsid w:val="00C15ECB"/>
    <w:rsid w:val="00C16028"/>
    <w:rsid w:val="00C16152"/>
    <w:rsid w:val="00C1616E"/>
    <w:rsid w:val="00C1617E"/>
    <w:rsid w:val="00C1627F"/>
    <w:rsid w:val="00C163B7"/>
    <w:rsid w:val="00C164D0"/>
    <w:rsid w:val="00C16597"/>
    <w:rsid w:val="00C166FD"/>
    <w:rsid w:val="00C168B2"/>
    <w:rsid w:val="00C16AEF"/>
    <w:rsid w:val="00C16BBB"/>
    <w:rsid w:val="00C16C15"/>
    <w:rsid w:val="00C16C66"/>
    <w:rsid w:val="00C16D9E"/>
    <w:rsid w:val="00C16EFC"/>
    <w:rsid w:val="00C16F36"/>
    <w:rsid w:val="00C1724F"/>
    <w:rsid w:val="00C17261"/>
    <w:rsid w:val="00C1731A"/>
    <w:rsid w:val="00C1736C"/>
    <w:rsid w:val="00C173B6"/>
    <w:rsid w:val="00C17482"/>
    <w:rsid w:val="00C174C0"/>
    <w:rsid w:val="00C176CC"/>
    <w:rsid w:val="00C17746"/>
    <w:rsid w:val="00C17990"/>
    <w:rsid w:val="00C17D88"/>
    <w:rsid w:val="00C17FDE"/>
    <w:rsid w:val="00C20109"/>
    <w:rsid w:val="00C2015B"/>
    <w:rsid w:val="00C202C0"/>
    <w:rsid w:val="00C2043A"/>
    <w:rsid w:val="00C204FA"/>
    <w:rsid w:val="00C2080A"/>
    <w:rsid w:val="00C2085F"/>
    <w:rsid w:val="00C2087E"/>
    <w:rsid w:val="00C2089E"/>
    <w:rsid w:val="00C208DD"/>
    <w:rsid w:val="00C20AE2"/>
    <w:rsid w:val="00C20B93"/>
    <w:rsid w:val="00C20D94"/>
    <w:rsid w:val="00C21202"/>
    <w:rsid w:val="00C21325"/>
    <w:rsid w:val="00C21574"/>
    <w:rsid w:val="00C21904"/>
    <w:rsid w:val="00C21A66"/>
    <w:rsid w:val="00C21BF9"/>
    <w:rsid w:val="00C21E10"/>
    <w:rsid w:val="00C21F43"/>
    <w:rsid w:val="00C220BF"/>
    <w:rsid w:val="00C22229"/>
    <w:rsid w:val="00C222FA"/>
    <w:rsid w:val="00C22485"/>
    <w:rsid w:val="00C22506"/>
    <w:rsid w:val="00C22D44"/>
    <w:rsid w:val="00C22D99"/>
    <w:rsid w:val="00C22DC9"/>
    <w:rsid w:val="00C22E50"/>
    <w:rsid w:val="00C22EE1"/>
    <w:rsid w:val="00C22EE6"/>
    <w:rsid w:val="00C22F92"/>
    <w:rsid w:val="00C230A8"/>
    <w:rsid w:val="00C234B1"/>
    <w:rsid w:val="00C23717"/>
    <w:rsid w:val="00C23725"/>
    <w:rsid w:val="00C237CD"/>
    <w:rsid w:val="00C239A7"/>
    <w:rsid w:val="00C23C02"/>
    <w:rsid w:val="00C23E2D"/>
    <w:rsid w:val="00C23ECB"/>
    <w:rsid w:val="00C2407D"/>
    <w:rsid w:val="00C241D4"/>
    <w:rsid w:val="00C241DB"/>
    <w:rsid w:val="00C24253"/>
    <w:rsid w:val="00C242C2"/>
    <w:rsid w:val="00C24369"/>
    <w:rsid w:val="00C243A8"/>
    <w:rsid w:val="00C243E3"/>
    <w:rsid w:val="00C24515"/>
    <w:rsid w:val="00C24605"/>
    <w:rsid w:val="00C24A06"/>
    <w:rsid w:val="00C24A2A"/>
    <w:rsid w:val="00C24AC5"/>
    <w:rsid w:val="00C24B55"/>
    <w:rsid w:val="00C24B96"/>
    <w:rsid w:val="00C24BAE"/>
    <w:rsid w:val="00C24CA7"/>
    <w:rsid w:val="00C24E31"/>
    <w:rsid w:val="00C24F90"/>
    <w:rsid w:val="00C2509C"/>
    <w:rsid w:val="00C251CC"/>
    <w:rsid w:val="00C251FC"/>
    <w:rsid w:val="00C252A4"/>
    <w:rsid w:val="00C2531F"/>
    <w:rsid w:val="00C25661"/>
    <w:rsid w:val="00C2572A"/>
    <w:rsid w:val="00C257EF"/>
    <w:rsid w:val="00C2580C"/>
    <w:rsid w:val="00C25892"/>
    <w:rsid w:val="00C25C9C"/>
    <w:rsid w:val="00C2610D"/>
    <w:rsid w:val="00C2617A"/>
    <w:rsid w:val="00C261BE"/>
    <w:rsid w:val="00C261E5"/>
    <w:rsid w:val="00C262F3"/>
    <w:rsid w:val="00C26354"/>
    <w:rsid w:val="00C263B0"/>
    <w:rsid w:val="00C263DC"/>
    <w:rsid w:val="00C26511"/>
    <w:rsid w:val="00C26794"/>
    <w:rsid w:val="00C26AEE"/>
    <w:rsid w:val="00C26B40"/>
    <w:rsid w:val="00C26C4D"/>
    <w:rsid w:val="00C270D5"/>
    <w:rsid w:val="00C271A1"/>
    <w:rsid w:val="00C274FA"/>
    <w:rsid w:val="00C276D5"/>
    <w:rsid w:val="00C27704"/>
    <w:rsid w:val="00C27764"/>
    <w:rsid w:val="00C2784B"/>
    <w:rsid w:val="00C278F2"/>
    <w:rsid w:val="00C27911"/>
    <w:rsid w:val="00C27970"/>
    <w:rsid w:val="00C279DA"/>
    <w:rsid w:val="00C27A58"/>
    <w:rsid w:val="00C27B1C"/>
    <w:rsid w:val="00C27C1D"/>
    <w:rsid w:val="00C27EB8"/>
    <w:rsid w:val="00C30737"/>
    <w:rsid w:val="00C3080F"/>
    <w:rsid w:val="00C30C96"/>
    <w:rsid w:val="00C30FD1"/>
    <w:rsid w:val="00C31131"/>
    <w:rsid w:val="00C311AA"/>
    <w:rsid w:val="00C311D9"/>
    <w:rsid w:val="00C31387"/>
    <w:rsid w:val="00C313CF"/>
    <w:rsid w:val="00C31453"/>
    <w:rsid w:val="00C314CC"/>
    <w:rsid w:val="00C31632"/>
    <w:rsid w:val="00C3164A"/>
    <w:rsid w:val="00C31751"/>
    <w:rsid w:val="00C318DF"/>
    <w:rsid w:val="00C31B1F"/>
    <w:rsid w:val="00C31D5E"/>
    <w:rsid w:val="00C31E5D"/>
    <w:rsid w:val="00C31E6F"/>
    <w:rsid w:val="00C31FE8"/>
    <w:rsid w:val="00C32116"/>
    <w:rsid w:val="00C3212A"/>
    <w:rsid w:val="00C32151"/>
    <w:rsid w:val="00C3216E"/>
    <w:rsid w:val="00C32287"/>
    <w:rsid w:val="00C3257B"/>
    <w:rsid w:val="00C3258B"/>
    <w:rsid w:val="00C32A1A"/>
    <w:rsid w:val="00C32DF9"/>
    <w:rsid w:val="00C32F9E"/>
    <w:rsid w:val="00C32FE8"/>
    <w:rsid w:val="00C3303F"/>
    <w:rsid w:val="00C3313A"/>
    <w:rsid w:val="00C3321A"/>
    <w:rsid w:val="00C33263"/>
    <w:rsid w:val="00C33540"/>
    <w:rsid w:val="00C33649"/>
    <w:rsid w:val="00C33712"/>
    <w:rsid w:val="00C33770"/>
    <w:rsid w:val="00C33863"/>
    <w:rsid w:val="00C338DB"/>
    <w:rsid w:val="00C3395C"/>
    <w:rsid w:val="00C33A8B"/>
    <w:rsid w:val="00C33C82"/>
    <w:rsid w:val="00C33F0C"/>
    <w:rsid w:val="00C34094"/>
    <w:rsid w:val="00C340D4"/>
    <w:rsid w:val="00C34229"/>
    <w:rsid w:val="00C34349"/>
    <w:rsid w:val="00C347B2"/>
    <w:rsid w:val="00C347CC"/>
    <w:rsid w:val="00C348E1"/>
    <w:rsid w:val="00C34A23"/>
    <w:rsid w:val="00C34A88"/>
    <w:rsid w:val="00C34D3F"/>
    <w:rsid w:val="00C34FC4"/>
    <w:rsid w:val="00C34FDD"/>
    <w:rsid w:val="00C3503D"/>
    <w:rsid w:val="00C3510E"/>
    <w:rsid w:val="00C3564C"/>
    <w:rsid w:val="00C357B9"/>
    <w:rsid w:val="00C35874"/>
    <w:rsid w:val="00C35E6C"/>
    <w:rsid w:val="00C35F78"/>
    <w:rsid w:val="00C36205"/>
    <w:rsid w:val="00C3620C"/>
    <w:rsid w:val="00C3629E"/>
    <w:rsid w:val="00C3633E"/>
    <w:rsid w:val="00C363D4"/>
    <w:rsid w:val="00C364E8"/>
    <w:rsid w:val="00C36875"/>
    <w:rsid w:val="00C36897"/>
    <w:rsid w:val="00C368FA"/>
    <w:rsid w:val="00C369A9"/>
    <w:rsid w:val="00C36A37"/>
    <w:rsid w:val="00C36A3E"/>
    <w:rsid w:val="00C36ADA"/>
    <w:rsid w:val="00C36CFB"/>
    <w:rsid w:val="00C36D9E"/>
    <w:rsid w:val="00C36E08"/>
    <w:rsid w:val="00C37074"/>
    <w:rsid w:val="00C370F6"/>
    <w:rsid w:val="00C3717E"/>
    <w:rsid w:val="00C371FC"/>
    <w:rsid w:val="00C372FA"/>
    <w:rsid w:val="00C37431"/>
    <w:rsid w:val="00C3773E"/>
    <w:rsid w:val="00C3798E"/>
    <w:rsid w:val="00C37A73"/>
    <w:rsid w:val="00C37A76"/>
    <w:rsid w:val="00C37A93"/>
    <w:rsid w:val="00C37BBF"/>
    <w:rsid w:val="00C37C42"/>
    <w:rsid w:val="00C37C58"/>
    <w:rsid w:val="00C37DAE"/>
    <w:rsid w:val="00C37FFB"/>
    <w:rsid w:val="00C40142"/>
    <w:rsid w:val="00C401C3"/>
    <w:rsid w:val="00C40266"/>
    <w:rsid w:val="00C404FB"/>
    <w:rsid w:val="00C4069F"/>
    <w:rsid w:val="00C406B6"/>
    <w:rsid w:val="00C406B8"/>
    <w:rsid w:val="00C407C3"/>
    <w:rsid w:val="00C40AED"/>
    <w:rsid w:val="00C40F70"/>
    <w:rsid w:val="00C4105E"/>
    <w:rsid w:val="00C41146"/>
    <w:rsid w:val="00C41211"/>
    <w:rsid w:val="00C4122C"/>
    <w:rsid w:val="00C412CB"/>
    <w:rsid w:val="00C4131E"/>
    <w:rsid w:val="00C414C4"/>
    <w:rsid w:val="00C415A0"/>
    <w:rsid w:val="00C415CA"/>
    <w:rsid w:val="00C41665"/>
    <w:rsid w:val="00C4169A"/>
    <w:rsid w:val="00C41C67"/>
    <w:rsid w:val="00C42047"/>
    <w:rsid w:val="00C4207A"/>
    <w:rsid w:val="00C42093"/>
    <w:rsid w:val="00C422F7"/>
    <w:rsid w:val="00C424FF"/>
    <w:rsid w:val="00C4269D"/>
    <w:rsid w:val="00C42CB4"/>
    <w:rsid w:val="00C42DDB"/>
    <w:rsid w:val="00C42FA4"/>
    <w:rsid w:val="00C42FF0"/>
    <w:rsid w:val="00C4318A"/>
    <w:rsid w:val="00C433A2"/>
    <w:rsid w:val="00C433F5"/>
    <w:rsid w:val="00C434D8"/>
    <w:rsid w:val="00C43500"/>
    <w:rsid w:val="00C43688"/>
    <w:rsid w:val="00C436A7"/>
    <w:rsid w:val="00C438CB"/>
    <w:rsid w:val="00C43A26"/>
    <w:rsid w:val="00C43A93"/>
    <w:rsid w:val="00C43ADD"/>
    <w:rsid w:val="00C43BA5"/>
    <w:rsid w:val="00C43CEB"/>
    <w:rsid w:val="00C43D73"/>
    <w:rsid w:val="00C43E1B"/>
    <w:rsid w:val="00C43F8F"/>
    <w:rsid w:val="00C440B0"/>
    <w:rsid w:val="00C4417E"/>
    <w:rsid w:val="00C441A7"/>
    <w:rsid w:val="00C441BF"/>
    <w:rsid w:val="00C441F1"/>
    <w:rsid w:val="00C44726"/>
    <w:rsid w:val="00C447B3"/>
    <w:rsid w:val="00C449A3"/>
    <w:rsid w:val="00C44C5B"/>
    <w:rsid w:val="00C44C94"/>
    <w:rsid w:val="00C44CC6"/>
    <w:rsid w:val="00C44CEF"/>
    <w:rsid w:val="00C44D01"/>
    <w:rsid w:val="00C44EB4"/>
    <w:rsid w:val="00C45054"/>
    <w:rsid w:val="00C450E5"/>
    <w:rsid w:val="00C45183"/>
    <w:rsid w:val="00C4528F"/>
    <w:rsid w:val="00C452AB"/>
    <w:rsid w:val="00C45320"/>
    <w:rsid w:val="00C4541F"/>
    <w:rsid w:val="00C456CA"/>
    <w:rsid w:val="00C458B4"/>
    <w:rsid w:val="00C45916"/>
    <w:rsid w:val="00C45936"/>
    <w:rsid w:val="00C45A5C"/>
    <w:rsid w:val="00C45A5D"/>
    <w:rsid w:val="00C45BDE"/>
    <w:rsid w:val="00C45C36"/>
    <w:rsid w:val="00C45C69"/>
    <w:rsid w:val="00C45C85"/>
    <w:rsid w:val="00C45CA3"/>
    <w:rsid w:val="00C45E1F"/>
    <w:rsid w:val="00C460C6"/>
    <w:rsid w:val="00C46163"/>
    <w:rsid w:val="00C461E9"/>
    <w:rsid w:val="00C4625A"/>
    <w:rsid w:val="00C462F5"/>
    <w:rsid w:val="00C4646C"/>
    <w:rsid w:val="00C464E7"/>
    <w:rsid w:val="00C4662B"/>
    <w:rsid w:val="00C46801"/>
    <w:rsid w:val="00C46888"/>
    <w:rsid w:val="00C46923"/>
    <w:rsid w:val="00C46D0A"/>
    <w:rsid w:val="00C46D3F"/>
    <w:rsid w:val="00C47028"/>
    <w:rsid w:val="00C47049"/>
    <w:rsid w:val="00C47078"/>
    <w:rsid w:val="00C4739B"/>
    <w:rsid w:val="00C473E7"/>
    <w:rsid w:val="00C47418"/>
    <w:rsid w:val="00C4756A"/>
    <w:rsid w:val="00C475BC"/>
    <w:rsid w:val="00C476B9"/>
    <w:rsid w:val="00C47793"/>
    <w:rsid w:val="00C477E0"/>
    <w:rsid w:val="00C478A5"/>
    <w:rsid w:val="00C4793A"/>
    <w:rsid w:val="00C47AD2"/>
    <w:rsid w:val="00C47AEE"/>
    <w:rsid w:val="00C47F01"/>
    <w:rsid w:val="00C47F9C"/>
    <w:rsid w:val="00C50003"/>
    <w:rsid w:val="00C502C8"/>
    <w:rsid w:val="00C503B9"/>
    <w:rsid w:val="00C5067F"/>
    <w:rsid w:val="00C50685"/>
    <w:rsid w:val="00C50803"/>
    <w:rsid w:val="00C5089D"/>
    <w:rsid w:val="00C50A8B"/>
    <w:rsid w:val="00C50B03"/>
    <w:rsid w:val="00C50DED"/>
    <w:rsid w:val="00C50FCD"/>
    <w:rsid w:val="00C51122"/>
    <w:rsid w:val="00C51260"/>
    <w:rsid w:val="00C513D3"/>
    <w:rsid w:val="00C513EA"/>
    <w:rsid w:val="00C51536"/>
    <w:rsid w:val="00C51746"/>
    <w:rsid w:val="00C51848"/>
    <w:rsid w:val="00C518EF"/>
    <w:rsid w:val="00C51A09"/>
    <w:rsid w:val="00C51C6E"/>
    <w:rsid w:val="00C51DD8"/>
    <w:rsid w:val="00C521EB"/>
    <w:rsid w:val="00C522FF"/>
    <w:rsid w:val="00C524E5"/>
    <w:rsid w:val="00C52523"/>
    <w:rsid w:val="00C527B0"/>
    <w:rsid w:val="00C528B6"/>
    <w:rsid w:val="00C52A32"/>
    <w:rsid w:val="00C52C3D"/>
    <w:rsid w:val="00C52D4E"/>
    <w:rsid w:val="00C52D66"/>
    <w:rsid w:val="00C53037"/>
    <w:rsid w:val="00C530DD"/>
    <w:rsid w:val="00C531A6"/>
    <w:rsid w:val="00C532E5"/>
    <w:rsid w:val="00C5331E"/>
    <w:rsid w:val="00C53468"/>
    <w:rsid w:val="00C53470"/>
    <w:rsid w:val="00C537DD"/>
    <w:rsid w:val="00C538B7"/>
    <w:rsid w:val="00C53A13"/>
    <w:rsid w:val="00C53A51"/>
    <w:rsid w:val="00C53AC8"/>
    <w:rsid w:val="00C53D32"/>
    <w:rsid w:val="00C53F58"/>
    <w:rsid w:val="00C53FFD"/>
    <w:rsid w:val="00C54355"/>
    <w:rsid w:val="00C543E2"/>
    <w:rsid w:val="00C54423"/>
    <w:rsid w:val="00C54424"/>
    <w:rsid w:val="00C544A6"/>
    <w:rsid w:val="00C545E9"/>
    <w:rsid w:val="00C54610"/>
    <w:rsid w:val="00C546E1"/>
    <w:rsid w:val="00C5470A"/>
    <w:rsid w:val="00C5471F"/>
    <w:rsid w:val="00C548C8"/>
    <w:rsid w:val="00C548E3"/>
    <w:rsid w:val="00C5496E"/>
    <w:rsid w:val="00C54994"/>
    <w:rsid w:val="00C549F9"/>
    <w:rsid w:val="00C54A7E"/>
    <w:rsid w:val="00C54C71"/>
    <w:rsid w:val="00C54C89"/>
    <w:rsid w:val="00C54D8E"/>
    <w:rsid w:val="00C54E5E"/>
    <w:rsid w:val="00C54FBE"/>
    <w:rsid w:val="00C5515B"/>
    <w:rsid w:val="00C5521F"/>
    <w:rsid w:val="00C554C7"/>
    <w:rsid w:val="00C55703"/>
    <w:rsid w:val="00C558DF"/>
    <w:rsid w:val="00C558F1"/>
    <w:rsid w:val="00C559B3"/>
    <w:rsid w:val="00C559BF"/>
    <w:rsid w:val="00C55B63"/>
    <w:rsid w:val="00C55C50"/>
    <w:rsid w:val="00C55CD1"/>
    <w:rsid w:val="00C55DD6"/>
    <w:rsid w:val="00C55ED9"/>
    <w:rsid w:val="00C5616B"/>
    <w:rsid w:val="00C56179"/>
    <w:rsid w:val="00C564D6"/>
    <w:rsid w:val="00C564FA"/>
    <w:rsid w:val="00C56A0F"/>
    <w:rsid w:val="00C56A3B"/>
    <w:rsid w:val="00C56AB1"/>
    <w:rsid w:val="00C56AE7"/>
    <w:rsid w:val="00C56B52"/>
    <w:rsid w:val="00C56B53"/>
    <w:rsid w:val="00C56B74"/>
    <w:rsid w:val="00C56BAE"/>
    <w:rsid w:val="00C56D25"/>
    <w:rsid w:val="00C56D78"/>
    <w:rsid w:val="00C56D90"/>
    <w:rsid w:val="00C570F8"/>
    <w:rsid w:val="00C571DA"/>
    <w:rsid w:val="00C572F8"/>
    <w:rsid w:val="00C5737B"/>
    <w:rsid w:val="00C5768E"/>
    <w:rsid w:val="00C57840"/>
    <w:rsid w:val="00C5789A"/>
    <w:rsid w:val="00C578B9"/>
    <w:rsid w:val="00C57939"/>
    <w:rsid w:val="00C5796F"/>
    <w:rsid w:val="00C57BA7"/>
    <w:rsid w:val="00C57C9F"/>
    <w:rsid w:val="00C57CD7"/>
    <w:rsid w:val="00C5C19A"/>
    <w:rsid w:val="00C60263"/>
    <w:rsid w:val="00C60381"/>
    <w:rsid w:val="00C60501"/>
    <w:rsid w:val="00C605FD"/>
    <w:rsid w:val="00C6076E"/>
    <w:rsid w:val="00C60945"/>
    <w:rsid w:val="00C6094A"/>
    <w:rsid w:val="00C60DAD"/>
    <w:rsid w:val="00C60DE2"/>
    <w:rsid w:val="00C6103E"/>
    <w:rsid w:val="00C61117"/>
    <w:rsid w:val="00C61193"/>
    <w:rsid w:val="00C61415"/>
    <w:rsid w:val="00C615CB"/>
    <w:rsid w:val="00C615D3"/>
    <w:rsid w:val="00C616C8"/>
    <w:rsid w:val="00C61861"/>
    <w:rsid w:val="00C61B79"/>
    <w:rsid w:val="00C61D6C"/>
    <w:rsid w:val="00C61D6D"/>
    <w:rsid w:val="00C61F11"/>
    <w:rsid w:val="00C62031"/>
    <w:rsid w:val="00C621B6"/>
    <w:rsid w:val="00C621FB"/>
    <w:rsid w:val="00C6226F"/>
    <w:rsid w:val="00C62372"/>
    <w:rsid w:val="00C62565"/>
    <w:rsid w:val="00C62635"/>
    <w:rsid w:val="00C626DF"/>
    <w:rsid w:val="00C62707"/>
    <w:rsid w:val="00C628D1"/>
    <w:rsid w:val="00C629A1"/>
    <w:rsid w:val="00C629C1"/>
    <w:rsid w:val="00C62BFF"/>
    <w:rsid w:val="00C62C6B"/>
    <w:rsid w:val="00C62DB5"/>
    <w:rsid w:val="00C62EDC"/>
    <w:rsid w:val="00C62FE0"/>
    <w:rsid w:val="00C63135"/>
    <w:rsid w:val="00C6313B"/>
    <w:rsid w:val="00C631C7"/>
    <w:rsid w:val="00C6342C"/>
    <w:rsid w:val="00C63524"/>
    <w:rsid w:val="00C63581"/>
    <w:rsid w:val="00C6359F"/>
    <w:rsid w:val="00C63697"/>
    <w:rsid w:val="00C637C3"/>
    <w:rsid w:val="00C638FC"/>
    <w:rsid w:val="00C639DA"/>
    <w:rsid w:val="00C63BF9"/>
    <w:rsid w:val="00C64048"/>
    <w:rsid w:val="00C6406E"/>
    <w:rsid w:val="00C640E4"/>
    <w:rsid w:val="00C64704"/>
    <w:rsid w:val="00C6478E"/>
    <w:rsid w:val="00C647C8"/>
    <w:rsid w:val="00C6489C"/>
    <w:rsid w:val="00C649EB"/>
    <w:rsid w:val="00C64A10"/>
    <w:rsid w:val="00C64A76"/>
    <w:rsid w:val="00C64A81"/>
    <w:rsid w:val="00C64D53"/>
    <w:rsid w:val="00C64F79"/>
    <w:rsid w:val="00C65000"/>
    <w:rsid w:val="00C651D3"/>
    <w:rsid w:val="00C6555B"/>
    <w:rsid w:val="00C6562C"/>
    <w:rsid w:val="00C65BD6"/>
    <w:rsid w:val="00C65C7E"/>
    <w:rsid w:val="00C65F37"/>
    <w:rsid w:val="00C66136"/>
    <w:rsid w:val="00C662D9"/>
    <w:rsid w:val="00C662F3"/>
    <w:rsid w:val="00C664DB"/>
    <w:rsid w:val="00C66596"/>
    <w:rsid w:val="00C6674E"/>
    <w:rsid w:val="00C6692D"/>
    <w:rsid w:val="00C66964"/>
    <w:rsid w:val="00C6699C"/>
    <w:rsid w:val="00C669F0"/>
    <w:rsid w:val="00C66AA9"/>
    <w:rsid w:val="00C66B22"/>
    <w:rsid w:val="00C66B5A"/>
    <w:rsid w:val="00C66BDE"/>
    <w:rsid w:val="00C66BEE"/>
    <w:rsid w:val="00C66C41"/>
    <w:rsid w:val="00C66D15"/>
    <w:rsid w:val="00C66E61"/>
    <w:rsid w:val="00C66E6F"/>
    <w:rsid w:val="00C66FB7"/>
    <w:rsid w:val="00C67298"/>
    <w:rsid w:val="00C67310"/>
    <w:rsid w:val="00C67357"/>
    <w:rsid w:val="00C67432"/>
    <w:rsid w:val="00C675EE"/>
    <w:rsid w:val="00C67644"/>
    <w:rsid w:val="00C6766A"/>
    <w:rsid w:val="00C6768A"/>
    <w:rsid w:val="00C67787"/>
    <w:rsid w:val="00C678B1"/>
    <w:rsid w:val="00C67980"/>
    <w:rsid w:val="00C67C5E"/>
    <w:rsid w:val="00C67CFD"/>
    <w:rsid w:val="00C67DF2"/>
    <w:rsid w:val="00C67E4A"/>
    <w:rsid w:val="00C67E4D"/>
    <w:rsid w:val="00C67FBC"/>
    <w:rsid w:val="00C70085"/>
    <w:rsid w:val="00C70236"/>
    <w:rsid w:val="00C702D8"/>
    <w:rsid w:val="00C7034E"/>
    <w:rsid w:val="00C70360"/>
    <w:rsid w:val="00C70370"/>
    <w:rsid w:val="00C7043C"/>
    <w:rsid w:val="00C70585"/>
    <w:rsid w:val="00C706D7"/>
    <w:rsid w:val="00C70860"/>
    <w:rsid w:val="00C70909"/>
    <w:rsid w:val="00C70985"/>
    <w:rsid w:val="00C709C0"/>
    <w:rsid w:val="00C70A09"/>
    <w:rsid w:val="00C70B15"/>
    <w:rsid w:val="00C70C18"/>
    <w:rsid w:val="00C710CE"/>
    <w:rsid w:val="00C71217"/>
    <w:rsid w:val="00C71594"/>
    <w:rsid w:val="00C715A3"/>
    <w:rsid w:val="00C71628"/>
    <w:rsid w:val="00C716E9"/>
    <w:rsid w:val="00C71740"/>
    <w:rsid w:val="00C71773"/>
    <w:rsid w:val="00C7181E"/>
    <w:rsid w:val="00C719B9"/>
    <w:rsid w:val="00C71A07"/>
    <w:rsid w:val="00C71C4A"/>
    <w:rsid w:val="00C71EE6"/>
    <w:rsid w:val="00C71EED"/>
    <w:rsid w:val="00C720D9"/>
    <w:rsid w:val="00C720E2"/>
    <w:rsid w:val="00C72154"/>
    <w:rsid w:val="00C721DE"/>
    <w:rsid w:val="00C72209"/>
    <w:rsid w:val="00C723E2"/>
    <w:rsid w:val="00C724A7"/>
    <w:rsid w:val="00C726A8"/>
    <w:rsid w:val="00C726B9"/>
    <w:rsid w:val="00C7275C"/>
    <w:rsid w:val="00C727D8"/>
    <w:rsid w:val="00C72887"/>
    <w:rsid w:val="00C72BAE"/>
    <w:rsid w:val="00C73001"/>
    <w:rsid w:val="00C731AD"/>
    <w:rsid w:val="00C7330E"/>
    <w:rsid w:val="00C73584"/>
    <w:rsid w:val="00C735BD"/>
    <w:rsid w:val="00C73699"/>
    <w:rsid w:val="00C73764"/>
    <w:rsid w:val="00C7377A"/>
    <w:rsid w:val="00C73880"/>
    <w:rsid w:val="00C73B75"/>
    <w:rsid w:val="00C73BEB"/>
    <w:rsid w:val="00C73DFF"/>
    <w:rsid w:val="00C73E6D"/>
    <w:rsid w:val="00C7425C"/>
    <w:rsid w:val="00C742C4"/>
    <w:rsid w:val="00C74399"/>
    <w:rsid w:val="00C74413"/>
    <w:rsid w:val="00C745D5"/>
    <w:rsid w:val="00C7491A"/>
    <w:rsid w:val="00C74A84"/>
    <w:rsid w:val="00C74AED"/>
    <w:rsid w:val="00C74AF4"/>
    <w:rsid w:val="00C74B2F"/>
    <w:rsid w:val="00C74BB4"/>
    <w:rsid w:val="00C74BED"/>
    <w:rsid w:val="00C74E8E"/>
    <w:rsid w:val="00C74F37"/>
    <w:rsid w:val="00C75001"/>
    <w:rsid w:val="00C750BF"/>
    <w:rsid w:val="00C7515B"/>
    <w:rsid w:val="00C754B9"/>
    <w:rsid w:val="00C7551E"/>
    <w:rsid w:val="00C75528"/>
    <w:rsid w:val="00C755C7"/>
    <w:rsid w:val="00C759E3"/>
    <w:rsid w:val="00C75BE5"/>
    <w:rsid w:val="00C75C8F"/>
    <w:rsid w:val="00C75FCE"/>
    <w:rsid w:val="00C76049"/>
    <w:rsid w:val="00C762AD"/>
    <w:rsid w:val="00C7642D"/>
    <w:rsid w:val="00C765A5"/>
    <w:rsid w:val="00C76616"/>
    <w:rsid w:val="00C76669"/>
    <w:rsid w:val="00C767F4"/>
    <w:rsid w:val="00C769A3"/>
    <w:rsid w:val="00C76A9E"/>
    <w:rsid w:val="00C76D94"/>
    <w:rsid w:val="00C77043"/>
    <w:rsid w:val="00C770E5"/>
    <w:rsid w:val="00C771E2"/>
    <w:rsid w:val="00C774AF"/>
    <w:rsid w:val="00C774CE"/>
    <w:rsid w:val="00C77683"/>
    <w:rsid w:val="00C776E7"/>
    <w:rsid w:val="00C7770E"/>
    <w:rsid w:val="00C77976"/>
    <w:rsid w:val="00C77A20"/>
    <w:rsid w:val="00C77AB0"/>
    <w:rsid w:val="00C77BB7"/>
    <w:rsid w:val="00C77EE6"/>
    <w:rsid w:val="00C77F14"/>
    <w:rsid w:val="00C77FCE"/>
    <w:rsid w:val="00C800B5"/>
    <w:rsid w:val="00C80107"/>
    <w:rsid w:val="00C8015A"/>
    <w:rsid w:val="00C801BD"/>
    <w:rsid w:val="00C804AC"/>
    <w:rsid w:val="00C80605"/>
    <w:rsid w:val="00C80953"/>
    <w:rsid w:val="00C8096A"/>
    <w:rsid w:val="00C80A93"/>
    <w:rsid w:val="00C80B67"/>
    <w:rsid w:val="00C80C66"/>
    <w:rsid w:val="00C80CF4"/>
    <w:rsid w:val="00C80D0A"/>
    <w:rsid w:val="00C810F7"/>
    <w:rsid w:val="00C811D4"/>
    <w:rsid w:val="00C81218"/>
    <w:rsid w:val="00C81264"/>
    <w:rsid w:val="00C812F7"/>
    <w:rsid w:val="00C81495"/>
    <w:rsid w:val="00C8159D"/>
    <w:rsid w:val="00C8169D"/>
    <w:rsid w:val="00C816E2"/>
    <w:rsid w:val="00C817A0"/>
    <w:rsid w:val="00C8182C"/>
    <w:rsid w:val="00C81959"/>
    <w:rsid w:val="00C81A13"/>
    <w:rsid w:val="00C81BB5"/>
    <w:rsid w:val="00C81C70"/>
    <w:rsid w:val="00C81CD5"/>
    <w:rsid w:val="00C81F1D"/>
    <w:rsid w:val="00C82022"/>
    <w:rsid w:val="00C820E4"/>
    <w:rsid w:val="00C822CA"/>
    <w:rsid w:val="00C823A9"/>
    <w:rsid w:val="00C824A4"/>
    <w:rsid w:val="00C824E4"/>
    <w:rsid w:val="00C824FC"/>
    <w:rsid w:val="00C82534"/>
    <w:rsid w:val="00C8266B"/>
    <w:rsid w:val="00C82685"/>
    <w:rsid w:val="00C82828"/>
    <w:rsid w:val="00C828E5"/>
    <w:rsid w:val="00C828EB"/>
    <w:rsid w:val="00C8299D"/>
    <w:rsid w:val="00C829AB"/>
    <w:rsid w:val="00C82C3A"/>
    <w:rsid w:val="00C82C4E"/>
    <w:rsid w:val="00C82DBE"/>
    <w:rsid w:val="00C82FF5"/>
    <w:rsid w:val="00C830FF"/>
    <w:rsid w:val="00C83186"/>
    <w:rsid w:val="00C831BE"/>
    <w:rsid w:val="00C831D0"/>
    <w:rsid w:val="00C8348F"/>
    <w:rsid w:val="00C8355E"/>
    <w:rsid w:val="00C8359E"/>
    <w:rsid w:val="00C8364E"/>
    <w:rsid w:val="00C837AD"/>
    <w:rsid w:val="00C837FC"/>
    <w:rsid w:val="00C83961"/>
    <w:rsid w:val="00C83A81"/>
    <w:rsid w:val="00C83B22"/>
    <w:rsid w:val="00C83E60"/>
    <w:rsid w:val="00C84079"/>
    <w:rsid w:val="00C840D0"/>
    <w:rsid w:val="00C84518"/>
    <w:rsid w:val="00C845EE"/>
    <w:rsid w:val="00C84606"/>
    <w:rsid w:val="00C8466F"/>
    <w:rsid w:val="00C84748"/>
    <w:rsid w:val="00C8497F"/>
    <w:rsid w:val="00C849E0"/>
    <w:rsid w:val="00C84B41"/>
    <w:rsid w:val="00C84C1B"/>
    <w:rsid w:val="00C84C25"/>
    <w:rsid w:val="00C84E2B"/>
    <w:rsid w:val="00C84E70"/>
    <w:rsid w:val="00C85165"/>
    <w:rsid w:val="00C852AF"/>
    <w:rsid w:val="00C85371"/>
    <w:rsid w:val="00C854B9"/>
    <w:rsid w:val="00C85532"/>
    <w:rsid w:val="00C8575B"/>
    <w:rsid w:val="00C8592D"/>
    <w:rsid w:val="00C859D8"/>
    <w:rsid w:val="00C85AA5"/>
    <w:rsid w:val="00C85BEB"/>
    <w:rsid w:val="00C85E45"/>
    <w:rsid w:val="00C85FB4"/>
    <w:rsid w:val="00C8607D"/>
    <w:rsid w:val="00C86161"/>
    <w:rsid w:val="00C8619A"/>
    <w:rsid w:val="00C8625B"/>
    <w:rsid w:val="00C8630C"/>
    <w:rsid w:val="00C8678B"/>
    <w:rsid w:val="00C8678F"/>
    <w:rsid w:val="00C867C4"/>
    <w:rsid w:val="00C867C6"/>
    <w:rsid w:val="00C867CD"/>
    <w:rsid w:val="00C8681E"/>
    <w:rsid w:val="00C868C2"/>
    <w:rsid w:val="00C8695B"/>
    <w:rsid w:val="00C86D47"/>
    <w:rsid w:val="00C86DB8"/>
    <w:rsid w:val="00C86E83"/>
    <w:rsid w:val="00C86F22"/>
    <w:rsid w:val="00C86F4E"/>
    <w:rsid w:val="00C87119"/>
    <w:rsid w:val="00C87134"/>
    <w:rsid w:val="00C871F5"/>
    <w:rsid w:val="00C872BB"/>
    <w:rsid w:val="00C872CC"/>
    <w:rsid w:val="00C874BD"/>
    <w:rsid w:val="00C874FF"/>
    <w:rsid w:val="00C8772C"/>
    <w:rsid w:val="00C877B2"/>
    <w:rsid w:val="00C879AE"/>
    <w:rsid w:val="00C87AC7"/>
    <w:rsid w:val="00C87B53"/>
    <w:rsid w:val="00C87B6E"/>
    <w:rsid w:val="00C87CA2"/>
    <w:rsid w:val="00C87CAF"/>
    <w:rsid w:val="00C87FF2"/>
    <w:rsid w:val="00C90057"/>
    <w:rsid w:val="00C9014F"/>
    <w:rsid w:val="00C90225"/>
    <w:rsid w:val="00C90331"/>
    <w:rsid w:val="00C90435"/>
    <w:rsid w:val="00C904A3"/>
    <w:rsid w:val="00C9053F"/>
    <w:rsid w:val="00C905A4"/>
    <w:rsid w:val="00C90603"/>
    <w:rsid w:val="00C9070F"/>
    <w:rsid w:val="00C9076C"/>
    <w:rsid w:val="00C90A0C"/>
    <w:rsid w:val="00C90A38"/>
    <w:rsid w:val="00C90CA7"/>
    <w:rsid w:val="00C90CD4"/>
    <w:rsid w:val="00C90FC1"/>
    <w:rsid w:val="00C90FD3"/>
    <w:rsid w:val="00C9102C"/>
    <w:rsid w:val="00C91258"/>
    <w:rsid w:val="00C912A8"/>
    <w:rsid w:val="00C91356"/>
    <w:rsid w:val="00C913AE"/>
    <w:rsid w:val="00C913F8"/>
    <w:rsid w:val="00C9145C"/>
    <w:rsid w:val="00C914A3"/>
    <w:rsid w:val="00C914C0"/>
    <w:rsid w:val="00C91566"/>
    <w:rsid w:val="00C915BE"/>
    <w:rsid w:val="00C919A3"/>
    <w:rsid w:val="00C91C27"/>
    <w:rsid w:val="00C91DD3"/>
    <w:rsid w:val="00C91E41"/>
    <w:rsid w:val="00C920FE"/>
    <w:rsid w:val="00C921DC"/>
    <w:rsid w:val="00C922BB"/>
    <w:rsid w:val="00C924D7"/>
    <w:rsid w:val="00C925BD"/>
    <w:rsid w:val="00C925C3"/>
    <w:rsid w:val="00C925E0"/>
    <w:rsid w:val="00C926EB"/>
    <w:rsid w:val="00C927ED"/>
    <w:rsid w:val="00C9283F"/>
    <w:rsid w:val="00C928E1"/>
    <w:rsid w:val="00C929DE"/>
    <w:rsid w:val="00C92CCF"/>
    <w:rsid w:val="00C9302B"/>
    <w:rsid w:val="00C930B3"/>
    <w:rsid w:val="00C931B3"/>
    <w:rsid w:val="00C9325D"/>
    <w:rsid w:val="00C932BB"/>
    <w:rsid w:val="00C93389"/>
    <w:rsid w:val="00C9357F"/>
    <w:rsid w:val="00C936A6"/>
    <w:rsid w:val="00C9374F"/>
    <w:rsid w:val="00C93CAC"/>
    <w:rsid w:val="00C93D70"/>
    <w:rsid w:val="00C93EDE"/>
    <w:rsid w:val="00C94528"/>
    <w:rsid w:val="00C945E1"/>
    <w:rsid w:val="00C947EF"/>
    <w:rsid w:val="00C94A14"/>
    <w:rsid w:val="00C94AC4"/>
    <w:rsid w:val="00C94C7A"/>
    <w:rsid w:val="00C94EB3"/>
    <w:rsid w:val="00C94F87"/>
    <w:rsid w:val="00C94FA3"/>
    <w:rsid w:val="00C95160"/>
    <w:rsid w:val="00C951D2"/>
    <w:rsid w:val="00C95326"/>
    <w:rsid w:val="00C95329"/>
    <w:rsid w:val="00C953F1"/>
    <w:rsid w:val="00C9566C"/>
    <w:rsid w:val="00C956A9"/>
    <w:rsid w:val="00C957BC"/>
    <w:rsid w:val="00C958A4"/>
    <w:rsid w:val="00C9595D"/>
    <w:rsid w:val="00C95BFC"/>
    <w:rsid w:val="00C95C21"/>
    <w:rsid w:val="00C95EC1"/>
    <w:rsid w:val="00C95ECA"/>
    <w:rsid w:val="00C95FA6"/>
    <w:rsid w:val="00C95FA9"/>
    <w:rsid w:val="00C95FCB"/>
    <w:rsid w:val="00C9612E"/>
    <w:rsid w:val="00C961AB"/>
    <w:rsid w:val="00C961DA"/>
    <w:rsid w:val="00C96392"/>
    <w:rsid w:val="00C96546"/>
    <w:rsid w:val="00C96614"/>
    <w:rsid w:val="00C96A11"/>
    <w:rsid w:val="00C96C70"/>
    <w:rsid w:val="00C96D1D"/>
    <w:rsid w:val="00C970B3"/>
    <w:rsid w:val="00C971C3"/>
    <w:rsid w:val="00C97200"/>
    <w:rsid w:val="00C9731B"/>
    <w:rsid w:val="00C975C1"/>
    <w:rsid w:val="00C97810"/>
    <w:rsid w:val="00C97989"/>
    <w:rsid w:val="00C979D7"/>
    <w:rsid w:val="00C97A05"/>
    <w:rsid w:val="00C97A14"/>
    <w:rsid w:val="00C97A9C"/>
    <w:rsid w:val="00C97ADE"/>
    <w:rsid w:val="00C97BB1"/>
    <w:rsid w:val="00C97BDC"/>
    <w:rsid w:val="00C97BEC"/>
    <w:rsid w:val="00C97E2C"/>
    <w:rsid w:val="00C97E4B"/>
    <w:rsid w:val="00CA01BE"/>
    <w:rsid w:val="00CA0224"/>
    <w:rsid w:val="00CA02DB"/>
    <w:rsid w:val="00CA0630"/>
    <w:rsid w:val="00CA080A"/>
    <w:rsid w:val="00CA0835"/>
    <w:rsid w:val="00CA0EEF"/>
    <w:rsid w:val="00CA0F45"/>
    <w:rsid w:val="00CA11B3"/>
    <w:rsid w:val="00CA1219"/>
    <w:rsid w:val="00CA1299"/>
    <w:rsid w:val="00CA133A"/>
    <w:rsid w:val="00CA139F"/>
    <w:rsid w:val="00CA16F4"/>
    <w:rsid w:val="00CA1738"/>
    <w:rsid w:val="00CA174D"/>
    <w:rsid w:val="00CA1E53"/>
    <w:rsid w:val="00CA1E7D"/>
    <w:rsid w:val="00CA1F07"/>
    <w:rsid w:val="00CA1FA4"/>
    <w:rsid w:val="00CA1FD6"/>
    <w:rsid w:val="00CA20CB"/>
    <w:rsid w:val="00CA254F"/>
    <w:rsid w:val="00CA2554"/>
    <w:rsid w:val="00CA2564"/>
    <w:rsid w:val="00CA28D2"/>
    <w:rsid w:val="00CA2B93"/>
    <w:rsid w:val="00CA2F20"/>
    <w:rsid w:val="00CA30DD"/>
    <w:rsid w:val="00CA30DE"/>
    <w:rsid w:val="00CA319A"/>
    <w:rsid w:val="00CA3404"/>
    <w:rsid w:val="00CA34B7"/>
    <w:rsid w:val="00CA367A"/>
    <w:rsid w:val="00CA3975"/>
    <w:rsid w:val="00CA3A68"/>
    <w:rsid w:val="00CA3B12"/>
    <w:rsid w:val="00CA3D98"/>
    <w:rsid w:val="00CA3ED8"/>
    <w:rsid w:val="00CA3F35"/>
    <w:rsid w:val="00CA4051"/>
    <w:rsid w:val="00CA405A"/>
    <w:rsid w:val="00CA42A7"/>
    <w:rsid w:val="00CA440D"/>
    <w:rsid w:val="00CA446D"/>
    <w:rsid w:val="00CA4543"/>
    <w:rsid w:val="00CA4644"/>
    <w:rsid w:val="00CA47CA"/>
    <w:rsid w:val="00CA4A0A"/>
    <w:rsid w:val="00CA4DB3"/>
    <w:rsid w:val="00CA4E28"/>
    <w:rsid w:val="00CA4E87"/>
    <w:rsid w:val="00CA4EF9"/>
    <w:rsid w:val="00CA4F8A"/>
    <w:rsid w:val="00CA518A"/>
    <w:rsid w:val="00CA54E5"/>
    <w:rsid w:val="00CA553A"/>
    <w:rsid w:val="00CA5586"/>
    <w:rsid w:val="00CA5857"/>
    <w:rsid w:val="00CA5883"/>
    <w:rsid w:val="00CA5948"/>
    <w:rsid w:val="00CA5B65"/>
    <w:rsid w:val="00CA5B87"/>
    <w:rsid w:val="00CA5BBC"/>
    <w:rsid w:val="00CA5C2D"/>
    <w:rsid w:val="00CA5CC2"/>
    <w:rsid w:val="00CA5E41"/>
    <w:rsid w:val="00CA5EE5"/>
    <w:rsid w:val="00CA6296"/>
    <w:rsid w:val="00CA638C"/>
    <w:rsid w:val="00CA63F9"/>
    <w:rsid w:val="00CA64E2"/>
    <w:rsid w:val="00CA6561"/>
    <w:rsid w:val="00CA65F3"/>
    <w:rsid w:val="00CA6708"/>
    <w:rsid w:val="00CA6ACE"/>
    <w:rsid w:val="00CA6B45"/>
    <w:rsid w:val="00CA6D5D"/>
    <w:rsid w:val="00CA6D9E"/>
    <w:rsid w:val="00CA6EA2"/>
    <w:rsid w:val="00CA6F05"/>
    <w:rsid w:val="00CA7020"/>
    <w:rsid w:val="00CA704D"/>
    <w:rsid w:val="00CA7099"/>
    <w:rsid w:val="00CA725E"/>
    <w:rsid w:val="00CA745E"/>
    <w:rsid w:val="00CA7980"/>
    <w:rsid w:val="00CA7E29"/>
    <w:rsid w:val="00CB036E"/>
    <w:rsid w:val="00CB0569"/>
    <w:rsid w:val="00CB06BF"/>
    <w:rsid w:val="00CB07E2"/>
    <w:rsid w:val="00CB0808"/>
    <w:rsid w:val="00CB08D9"/>
    <w:rsid w:val="00CB099B"/>
    <w:rsid w:val="00CB0B07"/>
    <w:rsid w:val="00CB0B34"/>
    <w:rsid w:val="00CB0C6B"/>
    <w:rsid w:val="00CB0C7E"/>
    <w:rsid w:val="00CB0DDA"/>
    <w:rsid w:val="00CB0E63"/>
    <w:rsid w:val="00CB107C"/>
    <w:rsid w:val="00CB10E3"/>
    <w:rsid w:val="00CB117F"/>
    <w:rsid w:val="00CB119C"/>
    <w:rsid w:val="00CB1246"/>
    <w:rsid w:val="00CB13D7"/>
    <w:rsid w:val="00CB13DF"/>
    <w:rsid w:val="00CB1548"/>
    <w:rsid w:val="00CB1553"/>
    <w:rsid w:val="00CB15C0"/>
    <w:rsid w:val="00CB1746"/>
    <w:rsid w:val="00CB1970"/>
    <w:rsid w:val="00CB1978"/>
    <w:rsid w:val="00CB1D25"/>
    <w:rsid w:val="00CB1E02"/>
    <w:rsid w:val="00CB1E1A"/>
    <w:rsid w:val="00CB1F06"/>
    <w:rsid w:val="00CB1F0B"/>
    <w:rsid w:val="00CB2129"/>
    <w:rsid w:val="00CB21FC"/>
    <w:rsid w:val="00CB22D6"/>
    <w:rsid w:val="00CB2304"/>
    <w:rsid w:val="00CB2338"/>
    <w:rsid w:val="00CB2407"/>
    <w:rsid w:val="00CB247E"/>
    <w:rsid w:val="00CB259E"/>
    <w:rsid w:val="00CB2704"/>
    <w:rsid w:val="00CB2AF8"/>
    <w:rsid w:val="00CB2BC5"/>
    <w:rsid w:val="00CB2C8F"/>
    <w:rsid w:val="00CB2D9B"/>
    <w:rsid w:val="00CB2DEF"/>
    <w:rsid w:val="00CB2E28"/>
    <w:rsid w:val="00CB304E"/>
    <w:rsid w:val="00CB305F"/>
    <w:rsid w:val="00CB3089"/>
    <w:rsid w:val="00CB32D2"/>
    <w:rsid w:val="00CB346A"/>
    <w:rsid w:val="00CB359D"/>
    <w:rsid w:val="00CB387F"/>
    <w:rsid w:val="00CB3B13"/>
    <w:rsid w:val="00CB3C58"/>
    <w:rsid w:val="00CB3CB6"/>
    <w:rsid w:val="00CB3DC7"/>
    <w:rsid w:val="00CB3F8F"/>
    <w:rsid w:val="00CB3FA0"/>
    <w:rsid w:val="00CB4052"/>
    <w:rsid w:val="00CB43BF"/>
    <w:rsid w:val="00CB4714"/>
    <w:rsid w:val="00CB4751"/>
    <w:rsid w:val="00CB47C3"/>
    <w:rsid w:val="00CB47D3"/>
    <w:rsid w:val="00CB4923"/>
    <w:rsid w:val="00CB4A70"/>
    <w:rsid w:val="00CB4DEC"/>
    <w:rsid w:val="00CB4E87"/>
    <w:rsid w:val="00CB5003"/>
    <w:rsid w:val="00CB508C"/>
    <w:rsid w:val="00CB50E8"/>
    <w:rsid w:val="00CB5251"/>
    <w:rsid w:val="00CB52AE"/>
    <w:rsid w:val="00CB53DB"/>
    <w:rsid w:val="00CB5477"/>
    <w:rsid w:val="00CB5580"/>
    <w:rsid w:val="00CB567E"/>
    <w:rsid w:val="00CB58D8"/>
    <w:rsid w:val="00CB5AE2"/>
    <w:rsid w:val="00CB5C91"/>
    <w:rsid w:val="00CB5D24"/>
    <w:rsid w:val="00CB5D48"/>
    <w:rsid w:val="00CB5EC9"/>
    <w:rsid w:val="00CB5F68"/>
    <w:rsid w:val="00CB5FE5"/>
    <w:rsid w:val="00CB62D2"/>
    <w:rsid w:val="00CB6985"/>
    <w:rsid w:val="00CB69B0"/>
    <w:rsid w:val="00CB6AEF"/>
    <w:rsid w:val="00CB6B54"/>
    <w:rsid w:val="00CB6DCA"/>
    <w:rsid w:val="00CB6E2D"/>
    <w:rsid w:val="00CB6F76"/>
    <w:rsid w:val="00CB700D"/>
    <w:rsid w:val="00CB7092"/>
    <w:rsid w:val="00CB7144"/>
    <w:rsid w:val="00CB7497"/>
    <w:rsid w:val="00CB76DD"/>
    <w:rsid w:val="00CB77CF"/>
    <w:rsid w:val="00CB7A5B"/>
    <w:rsid w:val="00CB7B53"/>
    <w:rsid w:val="00CB7C13"/>
    <w:rsid w:val="00CB7C55"/>
    <w:rsid w:val="00CB7C8A"/>
    <w:rsid w:val="00CB7D9A"/>
    <w:rsid w:val="00CB7DF9"/>
    <w:rsid w:val="00CB7E59"/>
    <w:rsid w:val="00CB7E69"/>
    <w:rsid w:val="00CB7FF3"/>
    <w:rsid w:val="00CC020D"/>
    <w:rsid w:val="00CC0253"/>
    <w:rsid w:val="00CC054B"/>
    <w:rsid w:val="00CC062B"/>
    <w:rsid w:val="00CC0705"/>
    <w:rsid w:val="00CC072F"/>
    <w:rsid w:val="00CC0825"/>
    <w:rsid w:val="00CC088D"/>
    <w:rsid w:val="00CC09BB"/>
    <w:rsid w:val="00CC09DD"/>
    <w:rsid w:val="00CC0B33"/>
    <w:rsid w:val="00CC0BF7"/>
    <w:rsid w:val="00CC0C1A"/>
    <w:rsid w:val="00CC0E57"/>
    <w:rsid w:val="00CC12D1"/>
    <w:rsid w:val="00CC13FA"/>
    <w:rsid w:val="00CC1426"/>
    <w:rsid w:val="00CC15B5"/>
    <w:rsid w:val="00CC16C2"/>
    <w:rsid w:val="00CC16DF"/>
    <w:rsid w:val="00CC1736"/>
    <w:rsid w:val="00CC185B"/>
    <w:rsid w:val="00CC191C"/>
    <w:rsid w:val="00CC1929"/>
    <w:rsid w:val="00CC1A5A"/>
    <w:rsid w:val="00CC1A6E"/>
    <w:rsid w:val="00CC1ACC"/>
    <w:rsid w:val="00CC1ADD"/>
    <w:rsid w:val="00CC1CD3"/>
    <w:rsid w:val="00CC1DDD"/>
    <w:rsid w:val="00CC1E8C"/>
    <w:rsid w:val="00CC1FD0"/>
    <w:rsid w:val="00CC21CB"/>
    <w:rsid w:val="00CC228D"/>
    <w:rsid w:val="00CC26AC"/>
    <w:rsid w:val="00CC2B6C"/>
    <w:rsid w:val="00CC2C90"/>
    <w:rsid w:val="00CC2CCF"/>
    <w:rsid w:val="00CC30BC"/>
    <w:rsid w:val="00CC3718"/>
    <w:rsid w:val="00CC39E6"/>
    <w:rsid w:val="00CC39EF"/>
    <w:rsid w:val="00CC3BFF"/>
    <w:rsid w:val="00CC3D73"/>
    <w:rsid w:val="00CC3DF8"/>
    <w:rsid w:val="00CC40C8"/>
    <w:rsid w:val="00CC4122"/>
    <w:rsid w:val="00CC4161"/>
    <w:rsid w:val="00CC4163"/>
    <w:rsid w:val="00CC4169"/>
    <w:rsid w:val="00CC417D"/>
    <w:rsid w:val="00CC427E"/>
    <w:rsid w:val="00CC4309"/>
    <w:rsid w:val="00CC433A"/>
    <w:rsid w:val="00CC4443"/>
    <w:rsid w:val="00CC4489"/>
    <w:rsid w:val="00CC45CE"/>
    <w:rsid w:val="00CC4690"/>
    <w:rsid w:val="00CC46FC"/>
    <w:rsid w:val="00CC4739"/>
    <w:rsid w:val="00CC4AAD"/>
    <w:rsid w:val="00CC4B34"/>
    <w:rsid w:val="00CC4BAA"/>
    <w:rsid w:val="00CC4DA3"/>
    <w:rsid w:val="00CC4EE1"/>
    <w:rsid w:val="00CC4F42"/>
    <w:rsid w:val="00CC50E2"/>
    <w:rsid w:val="00CC5111"/>
    <w:rsid w:val="00CC528F"/>
    <w:rsid w:val="00CC53D5"/>
    <w:rsid w:val="00CC5478"/>
    <w:rsid w:val="00CC574E"/>
    <w:rsid w:val="00CC57A5"/>
    <w:rsid w:val="00CC5990"/>
    <w:rsid w:val="00CC59A3"/>
    <w:rsid w:val="00CC5A6B"/>
    <w:rsid w:val="00CC5B74"/>
    <w:rsid w:val="00CC5BEB"/>
    <w:rsid w:val="00CC5E2B"/>
    <w:rsid w:val="00CC60BA"/>
    <w:rsid w:val="00CC60F7"/>
    <w:rsid w:val="00CC6128"/>
    <w:rsid w:val="00CC637C"/>
    <w:rsid w:val="00CC63E6"/>
    <w:rsid w:val="00CC63FE"/>
    <w:rsid w:val="00CC64E7"/>
    <w:rsid w:val="00CC64F4"/>
    <w:rsid w:val="00CC6722"/>
    <w:rsid w:val="00CC69B6"/>
    <w:rsid w:val="00CC6A14"/>
    <w:rsid w:val="00CC6AEE"/>
    <w:rsid w:val="00CC6CFD"/>
    <w:rsid w:val="00CC6D8F"/>
    <w:rsid w:val="00CC6DAC"/>
    <w:rsid w:val="00CC6FF6"/>
    <w:rsid w:val="00CC702A"/>
    <w:rsid w:val="00CC70EB"/>
    <w:rsid w:val="00CC725B"/>
    <w:rsid w:val="00CC7356"/>
    <w:rsid w:val="00CC73C6"/>
    <w:rsid w:val="00CC77E9"/>
    <w:rsid w:val="00CC7C67"/>
    <w:rsid w:val="00CC7DD9"/>
    <w:rsid w:val="00CC7E0D"/>
    <w:rsid w:val="00CC7FE6"/>
    <w:rsid w:val="00CD01DD"/>
    <w:rsid w:val="00CD0301"/>
    <w:rsid w:val="00CD0357"/>
    <w:rsid w:val="00CD06FD"/>
    <w:rsid w:val="00CD0789"/>
    <w:rsid w:val="00CD084C"/>
    <w:rsid w:val="00CD08D4"/>
    <w:rsid w:val="00CD0AE3"/>
    <w:rsid w:val="00CD0CAD"/>
    <w:rsid w:val="00CD0FC7"/>
    <w:rsid w:val="00CD108B"/>
    <w:rsid w:val="00CD1096"/>
    <w:rsid w:val="00CD1134"/>
    <w:rsid w:val="00CD1208"/>
    <w:rsid w:val="00CD1278"/>
    <w:rsid w:val="00CD13CC"/>
    <w:rsid w:val="00CD145F"/>
    <w:rsid w:val="00CD1586"/>
    <w:rsid w:val="00CD15BD"/>
    <w:rsid w:val="00CD1635"/>
    <w:rsid w:val="00CD1643"/>
    <w:rsid w:val="00CD182A"/>
    <w:rsid w:val="00CD1930"/>
    <w:rsid w:val="00CD1976"/>
    <w:rsid w:val="00CD1A16"/>
    <w:rsid w:val="00CD1E96"/>
    <w:rsid w:val="00CD1ED1"/>
    <w:rsid w:val="00CD1FB5"/>
    <w:rsid w:val="00CD206E"/>
    <w:rsid w:val="00CD218F"/>
    <w:rsid w:val="00CD2193"/>
    <w:rsid w:val="00CD2380"/>
    <w:rsid w:val="00CD239A"/>
    <w:rsid w:val="00CD26B7"/>
    <w:rsid w:val="00CD2899"/>
    <w:rsid w:val="00CD28A9"/>
    <w:rsid w:val="00CD294D"/>
    <w:rsid w:val="00CD2A7C"/>
    <w:rsid w:val="00CD2AD3"/>
    <w:rsid w:val="00CD2C14"/>
    <w:rsid w:val="00CD2D91"/>
    <w:rsid w:val="00CD33C6"/>
    <w:rsid w:val="00CD34C0"/>
    <w:rsid w:val="00CD3551"/>
    <w:rsid w:val="00CD35C9"/>
    <w:rsid w:val="00CD36D0"/>
    <w:rsid w:val="00CD3726"/>
    <w:rsid w:val="00CD39C3"/>
    <w:rsid w:val="00CD39F4"/>
    <w:rsid w:val="00CD3C82"/>
    <w:rsid w:val="00CD3F33"/>
    <w:rsid w:val="00CD448E"/>
    <w:rsid w:val="00CD460F"/>
    <w:rsid w:val="00CD46FC"/>
    <w:rsid w:val="00CD4731"/>
    <w:rsid w:val="00CD4844"/>
    <w:rsid w:val="00CD495D"/>
    <w:rsid w:val="00CD4AED"/>
    <w:rsid w:val="00CD4BE3"/>
    <w:rsid w:val="00CD4D29"/>
    <w:rsid w:val="00CD4D4C"/>
    <w:rsid w:val="00CD4D6C"/>
    <w:rsid w:val="00CD4E74"/>
    <w:rsid w:val="00CD4EF4"/>
    <w:rsid w:val="00CD4F87"/>
    <w:rsid w:val="00CD4F9E"/>
    <w:rsid w:val="00CD52B7"/>
    <w:rsid w:val="00CD52FE"/>
    <w:rsid w:val="00CD554A"/>
    <w:rsid w:val="00CD5647"/>
    <w:rsid w:val="00CD56D4"/>
    <w:rsid w:val="00CD572A"/>
    <w:rsid w:val="00CD5798"/>
    <w:rsid w:val="00CD5CA5"/>
    <w:rsid w:val="00CD5CCB"/>
    <w:rsid w:val="00CD5DC1"/>
    <w:rsid w:val="00CD5DF2"/>
    <w:rsid w:val="00CD60D1"/>
    <w:rsid w:val="00CD6128"/>
    <w:rsid w:val="00CD64EF"/>
    <w:rsid w:val="00CD6519"/>
    <w:rsid w:val="00CD65F9"/>
    <w:rsid w:val="00CD67C4"/>
    <w:rsid w:val="00CD6AFD"/>
    <w:rsid w:val="00CD6B85"/>
    <w:rsid w:val="00CD6CB2"/>
    <w:rsid w:val="00CD6D6A"/>
    <w:rsid w:val="00CD6D82"/>
    <w:rsid w:val="00CD6DCB"/>
    <w:rsid w:val="00CD6DD6"/>
    <w:rsid w:val="00CD6EC5"/>
    <w:rsid w:val="00CD6EC7"/>
    <w:rsid w:val="00CD7089"/>
    <w:rsid w:val="00CD74EA"/>
    <w:rsid w:val="00CD75B7"/>
    <w:rsid w:val="00CD78E9"/>
    <w:rsid w:val="00CD79F1"/>
    <w:rsid w:val="00CD7A21"/>
    <w:rsid w:val="00CD7A26"/>
    <w:rsid w:val="00CD7B3A"/>
    <w:rsid w:val="00CD7BA7"/>
    <w:rsid w:val="00CD7D12"/>
    <w:rsid w:val="00CD7ED0"/>
    <w:rsid w:val="00CD7F00"/>
    <w:rsid w:val="00CD7F06"/>
    <w:rsid w:val="00CE0194"/>
    <w:rsid w:val="00CE01A9"/>
    <w:rsid w:val="00CE01EB"/>
    <w:rsid w:val="00CE0267"/>
    <w:rsid w:val="00CE03CD"/>
    <w:rsid w:val="00CE0481"/>
    <w:rsid w:val="00CE04C0"/>
    <w:rsid w:val="00CE0536"/>
    <w:rsid w:val="00CE06A9"/>
    <w:rsid w:val="00CE093A"/>
    <w:rsid w:val="00CE0953"/>
    <w:rsid w:val="00CE09D5"/>
    <w:rsid w:val="00CE0A08"/>
    <w:rsid w:val="00CE0ADC"/>
    <w:rsid w:val="00CE0C45"/>
    <w:rsid w:val="00CE0D13"/>
    <w:rsid w:val="00CE1192"/>
    <w:rsid w:val="00CE11D0"/>
    <w:rsid w:val="00CE1248"/>
    <w:rsid w:val="00CE141C"/>
    <w:rsid w:val="00CE1639"/>
    <w:rsid w:val="00CE175C"/>
    <w:rsid w:val="00CE17A5"/>
    <w:rsid w:val="00CE1878"/>
    <w:rsid w:val="00CE18CB"/>
    <w:rsid w:val="00CE1971"/>
    <w:rsid w:val="00CE1A1F"/>
    <w:rsid w:val="00CE1A64"/>
    <w:rsid w:val="00CE1D94"/>
    <w:rsid w:val="00CE1E20"/>
    <w:rsid w:val="00CE210F"/>
    <w:rsid w:val="00CE2222"/>
    <w:rsid w:val="00CE2431"/>
    <w:rsid w:val="00CE25A4"/>
    <w:rsid w:val="00CE2679"/>
    <w:rsid w:val="00CE275D"/>
    <w:rsid w:val="00CE29C8"/>
    <w:rsid w:val="00CE2AF8"/>
    <w:rsid w:val="00CE2B52"/>
    <w:rsid w:val="00CE2CFD"/>
    <w:rsid w:val="00CE2FBB"/>
    <w:rsid w:val="00CE3029"/>
    <w:rsid w:val="00CE3072"/>
    <w:rsid w:val="00CE308F"/>
    <w:rsid w:val="00CE30CC"/>
    <w:rsid w:val="00CE316A"/>
    <w:rsid w:val="00CE323A"/>
    <w:rsid w:val="00CE3433"/>
    <w:rsid w:val="00CE354D"/>
    <w:rsid w:val="00CE3655"/>
    <w:rsid w:val="00CE3A0E"/>
    <w:rsid w:val="00CE3A97"/>
    <w:rsid w:val="00CE3ADA"/>
    <w:rsid w:val="00CE3B65"/>
    <w:rsid w:val="00CE3D38"/>
    <w:rsid w:val="00CE3EA4"/>
    <w:rsid w:val="00CE4059"/>
    <w:rsid w:val="00CE40EC"/>
    <w:rsid w:val="00CE40F3"/>
    <w:rsid w:val="00CE41EB"/>
    <w:rsid w:val="00CE424D"/>
    <w:rsid w:val="00CE429A"/>
    <w:rsid w:val="00CE42E0"/>
    <w:rsid w:val="00CE42E9"/>
    <w:rsid w:val="00CE44B8"/>
    <w:rsid w:val="00CE44C8"/>
    <w:rsid w:val="00CE45DE"/>
    <w:rsid w:val="00CE4643"/>
    <w:rsid w:val="00CE4687"/>
    <w:rsid w:val="00CE4761"/>
    <w:rsid w:val="00CE48F8"/>
    <w:rsid w:val="00CE48FF"/>
    <w:rsid w:val="00CE4C83"/>
    <w:rsid w:val="00CE4E97"/>
    <w:rsid w:val="00CE4EF4"/>
    <w:rsid w:val="00CE4F51"/>
    <w:rsid w:val="00CE4FCE"/>
    <w:rsid w:val="00CE5093"/>
    <w:rsid w:val="00CE5124"/>
    <w:rsid w:val="00CE5294"/>
    <w:rsid w:val="00CE57B8"/>
    <w:rsid w:val="00CE5922"/>
    <w:rsid w:val="00CE5B93"/>
    <w:rsid w:val="00CE5BDD"/>
    <w:rsid w:val="00CE5CE1"/>
    <w:rsid w:val="00CE6058"/>
    <w:rsid w:val="00CE60E0"/>
    <w:rsid w:val="00CE60FD"/>
    <w:rsid w:val="00CE6446"/>
    <w:rsid w:val="00CE6514"/>
    <w:rsid w:val="00CE663A"/>
    <w:rsid w:val="00CE6673"/>
    <w:rsid w:val="00CE686D"/>
    <w:rsid w:val="00CE6B0B"/>
    <w:rsid w:val="00CE6C26"/>
    <w:rsid w:val="00CE6D22"/>
    <w:rsid w:val="00CE6D7F"/>
    <w:rsid w:val="00CE706F"/>
    <w:rsid w:val="00CE720C"/>
    <w:rsid w:val="00CE72E9"/>
    <w:rsid w:val="00CE7363"/>
    <w:rsid w:val="00CE7448"/>
    <w:rsid w:val="00CE7754"/>
    <w:rsid w:val="00CE775A"/>
    <w:rsid w:val="00CE77A9"/>
    <w:rsid w:val="00CE78C9"/>
    <w:rsid w:val="00CE7921"/>
    <w:rsid w:val="00CE797B"/>
    <w:rsid w:val="00CE7C33"/>
    <w:rsid w:val="00CF00D9"/>
    <w:rsid w:val="00CF00F4"/>
    <w:rsid w:val="00CF016A"/>
    <w:rsid w:val="00CF03A9"/>
    <w:rsid w:val="00CF03DC"/>
    <w:rsid w:val="00CF06B5"/>
    <w:rsid w:val="00CF0823"/>
    <w:rsid w:val="00CF088B"/>
    <w:rsid w:val="00CF091D"/>
    <w:rsid w:val="00CF0967"/>
    <w:rsid w:val="00CF099C"/>
    <w:rsid w:val="00CF09F9"/>
    <w:rsid w:val="00CF0B97"/>
    <w:rsid w:val="00CF0D4C"/>
    <w:rsid w:val="00CF0EFB"/>
    <w:rsid w:val="00CF1081"/>
    <w:rsid w:val="00CF10F9"/>
    <w:rsid w:val="00CF1154"/>
    <w:rsid w:val="00CF12A5"/>
    <w:rsid w:val="00CF12B6"/>
    <w:rsid w:val="00CF131C"/>
    <w:rsid w:val="00CF1452"/>
    <w:rsid w:val="00CF1480"/>
    <w:rsid w:val="00CF14DB"/>
    <w:rsid w:val="00CF15A7"/>
    <w:rsid w:val="00CF15CB"/>
    <w:rsid w:val="00CF16F5"/>
    <w:rsid w:val="00CF174A"/>
    <w:rsid w:val="00CF1780"/>
    <w:rsid w:val="00CF1801"/>
    <w:rsid w:val="00CF1914"/>
    <w:rsid w:val="00CF1915"/>
    <w:rsid w:val="00CF192E"/>
    <w:rsid w:val="00CF194D"/>
    <w:rsid w:val="00CF19B6"/>
    <w:rsid w:val="00CF1A34"/>
    <w:rsid w:val="00CF1B07"/>
    <w:rsid w:val="00CF1D91"/>
    <w:rsid w:val="00CF1F8E"/>
    <w:rsid w:val="00CF217C"/>
    <w:rsid w:val="00CF2291"/>
    <w:rsid w:val="00CF22D8"/>
    <w:rsid w:val="00CF23DE"/>
    <w:rsid w:val="00CF2461"/>
    <w:rsid w:val="00CF271A"/>
    <w:rsid w:val="00CF28B4"/>
    <w:rsid w:val="00CF29F0"/>
    <w:rsid w:val="00CF2B56"/>
    <w:rsid w:val="00CF3136"/>
    <w:rsid w:val="00CF3442"/>
    <w:rsid w:val="00CF358B"/>
    <w:rsid w:val="00CF367F"/>
    <w:rsid w:val="00CF3758"/>
    <w:rsid w:val="00CF3771"/>
    <w:rsid w:val="00CF37E4"/>
    <w:rsid w:val="00CF3A2B"/>
    <w:rsid w:val="00CF3A7C"/>
    <w:rsid w:val="00CF3BF1"/>
    <w:rsid w:val="00CF3C80"/>
    <w:rsid w:val="00CF3FE4"/>
    <w:rsid w:val="00CF3FF9"/>
    <w:rsid w:val="00CF4073"/>
    <w:rsid w:val="00CF4385"/>
    <w:rsid w:val="00CF4555"/>
    <w:rsid w:val="00CF45CE"/>
    <w:rsid w:val="00CF4831"/>
    <w:rsid w:val="00CF4BFB"/>
    <w:rsid w:val="00CF4C92"/>
    <w:rsid w:val="00CF4D9A"/>
    <w:rsid w:val="00CF4F9C"/>
    <w:rsid w:val="00CF501E"/>
    <w:rsid w:val="00CF5385"/>
    <w:rsid w:val="00CF5461"/>
    <w:rsid w:val="00CF5729"/>
    <w:rsid w:val="00CF5763"/>
    <w:rsid w:val="00CF580E"/>
    <w:rsid w:val="00CF59E5"/>
    <w:rsid w:val="00CF5A67"/>
    <w:rsid w:val="00CF5A8B"/>
    <w:rsid w:val="00CF5CCC"/>
    <w:rsid w:val="00CF5D85"/>
    <w:rsid w:val="00CF5E85"/>
    <w:rsid w:val="00CF5EF0"/>
    <w:rsid w:val="00CF5EFB"/>
    <w:rsid w:val="00CF5F00"/>
    <w:rsid w:val="00CF5F73"/>
    <w:rsid w:val="00CF5FC8"/>
    <w:rsid w:val="00CF601B"/>
    <w:rsid w:val="00CF6110"/>
    <w:rsid w:val="00CF61A5"/>
    <w:rsid w:val="00CF61EE"/>
    <w:rsid w:val="00CF628D"/>
    <w:rsid w:val="00CF628E"/>
    <w:rsid w:val="00CF648C"/>
    <w:rsid w:val="00CF6532"/>
    <w:rsid w:val="00CF6593"/>
    <w:rsid w:val="00CF6655"/>
    <w:rsid w:val="00CF66B0"/>
    <w:rsid w:val="00CF66B5"/>
    <w:rsid w:val="00CF66BF"/>
    <w:rsid w:val="00CF6779"/>
    <w:rsid w:val="00CF67A1"/>
    <w:rsid w:val="00CF6863"/>
    <w:rsid w:val="00CF6878"/>
    <w:rsid w:val="00CF6B07"/>
    <w:rsid w:val="00CF6C11"/>
    <w:rsid w:val="00CF6C72"/>
    <w:rsid w:val="00CF6E15"/>
    <w:rsid w:val="00CF6FB4"/>
    <w:rsid w:val="00CF7057"/>
    <w:rsid w:val="00CF70D5"/>
    <w:rsid w:val="00CF70FE"/>
    <w:rsid w:val="00CF7228"/>
    <w:rsid w:val="00CF72CD"/>
    <w:rsid w:val="00CF7583"/>
    <w:rsid w:val="00CF75E3"/>
    <w:rsid w:val="00CF7690"/>
    <w:rsid w:val="00CF7711"/>
    <w:rsid w:val="00CF77CC"/>
    <w:rsid w:val="00CF78F3"/>
    <w:rsid w:val="00CF7B9E"/>
    <w:rsid w:val="00CF7D80"/>
    <w:rsid w:val="00CF7EA4"/>
    <w:rsid w:val="00CFE3DA"/>
    <w:rsid w:val="00D00080"/>
    <w:rsid w:val="00D0010E"/>
    <w:rsid w:val="00D001AA"/>
    <w:rsid w:val="00D00478"/>
    <w:rsid w:val="00D006AD"/>
    <w:rsid w:val="00D0097E"/>
    <w:rsid w:val="00D00A59"/>
    <w:rsid w:val="00D00AC9"/>
    <w:rsid w:val="00D00BA4"/>
    <w:rsid w:val="00D00BB8"/>
    <w:rsid w:val="00D00CDA"/>
    <w:rsid w:val="00D00DA4"/>
    <w:rsid w:val="00D00DD1"/>
    <w:rsid w:val="00D00F10"/>
    <w:rsid w:val="00D00FCE"/>
    <w:rsid w:val="00D01105"/>
    <w:rsid w:val="00D01185"/>
    <w:rsid w:val="00D011AB"/>
    <w:rsid w:val="00D01217"/>
    <w:rsid w:val="00D01375"/>
    <w:rsid w:val="00D0151A"/>
    <w:rsid w:val="00D015E5"/>
    <w:rsid w:val="00D01606"/>
    <w:rsid w:val="00D018F3"/>
    <w:rsid w:val="00D01A5E"/>
    <w:rsid w:val="00D01C1E"/>
    <w:rsid w:val="00D01CA3"/>
    <w:rsid w:val="00D02225"/>
    <w:rsid w:val="00D02575"/>
    <w:rsid w:val="00D025E8"/>
    <w:rsid w:val="00D02639"/>
    <w:rsid w:val="00D027F9"/>
    <w:rsid w:val="00D0282E"/>
    <w:rsid w:val="00D02B30"/>
    <w:rsid w:val="00D02BD9"/>
    <w:rsid w:val="00D02C45"/>
    <w:rsid w:val="00D02FED"/>
    <w:rsid w:val="00D02FF1"/>
    <w:rsid w:val="00D0300D"/>
    <w:rsid w:val="00D03231"/>
    <w:rsid w:val="00D032B8"/>
    <w:rsid w:val="00D032F8"/>
    <w:rsid w:val="00D03971"/>
    <w:rsid w:val="00D03A1C"/>
    <w:rsid w:val="00D03ACA"/>
    <w:rsid w:val="00D03C92"/>
    <w:rsid w:val="00D03D9F"/>
    <w:rsid w:val="00D03E3B"/>
    <w:rsid w:val="00D03F9A"/>
    <w:rsid w:val="00D0401F"/>
    <w:rsid w:val="00D04253"/>
    <w:rsid w:val="00D042E6"/>
    <w:rsid w:val="00D045EB"/>
    <w:rsid w:val="00D04716"/>
    <w:rsid w:val="00D0493C"/>
    <w:rsid w:val="00D04A17"/>
    <w:rsid w:val="00D04A87"/>
    <w:rsid w:val="00D04B77"/>
    <w:rsid w:val="00D04BB5"/>
    <w:rsid w:val="00D04BC9"/>
    <w:rsid w:val="00D04CE6"/>
    <w:rsid w:val="00D051EA"/>
    <w:rsid w:val="00D05260"/>
    <w:rsid w:val="00D05276"/>
    <w:rsid w:val="00D052B7"/>
    <w:rsid w:val="00D055A0"/>
    <w:rsid w:val="00D055AD"/>
    <w:rsid w:val="00D055D7"/>
    <w:rsid w:val="00D055E5"/>
    <w:rsid w:val="00D056FF"/>
    <w:rsid w:val="00D05861"/>
    <w:rsid w:val="00D05E2B"/>
    <w:rsid w:val="00D05E58"/>
    <w:rsid w:val="00D061AE"/>
    <w:rsid w:val="00D06254"/>
    <w:rsid w:val="00D062EA"/>
    <w:rsid w:val="00D06380"/>
    <w:rsid w:val="00D06506"/>
    <w:rsid w:val="00D06699"/>
    <w:rsid w:val="00D06852"/>
    <w:rsid w:val="00D06A57"/>
    <w:rsid w:val="00D06BB3"/>
    <w:rsid w:val="00D06D07"/>
    <w:rsid w:val="00D06DCA"/>
    <w:rsid w:val="00D0719F"/>
    <w:rsid w:val="00D075AF"/>
    <w:rsid w:val="00D076CF"/>
    <w:rsid w:val="00D07783"/>
    <w:rsid w:val="00D07821"/>
    <w:rsid w:val="00D0783E"/>
    <w:rsid w:val="00D07841"/>
    <w:rsid w:val="00D07861"/>
    <w:rsid w:val="00D07B1F"/>
    <w:rsid w:val="00D10068"/>
    <w:rsid w:val="00D10128"/>
    <w:rsid w:val="00D101AF"/>
    <w:rsid w:val="00D101F0"/>
    <w:rsid w:val="00D102DE"/>
    <w:rsid w:val="00D10335"/>
    <w:rsid w:val="00D108BB"/>
    <w:rsid w:val="00D10C61"/>
    <w:rsid w:val="00D10C77"/>
    <w:rsid w:val="00D10CC2"/>
    <w:rsid w:val="00D1105A"/>
    <w:rsid w:val="00D113EB"/>
    <w:rsid w:val="00D11402"/>
    <w:rsid w:val="00D1156D"/>
    <w:rsid w:val="00D11594"/>
    <w:rsid w:val="00D116A6"/>
    <w:rsid w:val="00D1173E"/>
    <w:rsid w:val="00D11907"/>
    <w:rsid w:val="00D11940"/>
    <w:rsid w:val="00D11D51"/>
    <w:rsid w:val="00D11D9A"/>
    <w:rsid w:val="00D11E7E"/>
    <w:rsid w:val="00D11F89"/>
    <w:rsid w:val="00D123FE"/>
    <w:rsid w:val="00D1247C"/>
    <w:rsid w:val="00D1265C"/>
    <w:rsid w:val="00D128B6"/>
    <w:rsid w:val="00D1295E"/>
    <w:rsid w:val="00D12AF8"/>
    <w:rsid w:val="00D12B75"/>
    <w:rsid w:val="00D12C94"/>
    <w:rsid w:val="00D12E45"/>
    <w:rsid w:val="00D12E91"/>
    <w:rsid w:val="00D13820"/>
    <w:rsid w:val="00D1388D"/>
    <w:rsid w:val="00D13992"/>
    <w:rsid w:val="00D1399C"/>
    <w:rsid w:val="00D139D2"/>
    <w:rsid w:val="00D13AF6"/>
    <w:rsid w:val="00D13CD8"/>
    <w:rsid w:val="00D13CDB"/>
    <w:rsid w:val="00D13D71"/>
    <w:rsid w:val="00D13DC7"/>
    <w:rsid w:val="00D13DEC"/>
    <w:rsid w:val="00D13E1C"/>
    <w:rsid w:val="00D14068"/>
    <w:rsid w:val="00D14286"/>
    <w:rsid w:val="00D14580"/>
    <w:rsid w:val="00D1469F"/>
    <w:rsid w:val="00D14716"/>
    <w:rsid w:val="00D14878"/>
    <w:rsid w:val="00D148B4"/>
    <w:rsid w:val="00D14972"/>
    <w:rsid w:val="00D14B5E"/>
    <w:rsid w:val="00D14BB0"/>
    <w:rsid w:val="00D14EA4"/>
    <w:rsid w:val="00D14EEC"/>
    <w:rsid w:val="00D14F64"/>
    <w:rsid w:val="00D14F7B"/>
    <w:rsid w:val="00D150B1"/>
    <w:rsid w:val="00D151FD"/>
    <w:rsid w:val="00D1524F"/>
    <w:rsid w:val="00D1527D"/>
    <w:rsid w:val="00D1528B"/>
    <w:rsid w:val="00D152D6"/>
    <w:rsid w:val="00D15390"/>
    <w:rsid w:val="00D154D3"/>
    <w:rsid w:val="00D154DF"/>
    <w:rsid w:val="00D156DF"/>
    <w:rsid w:val="00D15784"/>
    <w:rsid w:val="00D15802"/>
    <w:rsid w:val="00D158A2"/>
    <w:rsid w:val="00D159AB"/>
    <w:rsid w:val="00D159E5"/>
    <w:rsid w:val="00D15A1A"/>
    <w:rsid w:val="00D15AB8"/>
    <w:rsid w:val="00D15AF6"/>
    <w:rsid w:val="00D15B77"/>
    <w:rsid w:val="00D15B8C"/>
    <w:rsid w:val="00D15D24"/>
    <w:rsid w:val="00D15F0D"/>
    <w:rsid w:val="00D16071"/>
    <w:rsid w:val="00D160B6"/>
    <w:rsid w:val="00D16171"/>
    <w:rsid w:val="00D162EC"/>
    <w:rsid w:val="00D16569"/>
    <w:rsid w:val="00D165FC"/>
    <w:rsid w:val="00D166D2"/>
    <w:rsid w:val="00D16928"/>
    <w:rsid w:val="00D16991"/>
    <w:rsid w:val="00D169EE"/>
    <w:rsid w:val="00D16A86"/>
    <w:rsid w:val="00D16E8B"/>
    <w:rsid w:val="00D16F88"/>
    <w:rsid w:val="00D16FF8"/>
    <w:rsid w:val="00D171E6"/>
    <w:rsid w:val="00D17315"/>
    <w:rsid w:val="00D173F6"/>
    <w:rsid w:val="00D174BB"/>
    <w:rsid w:val="00D174CC"/>
    <w:rsid w:val="00D1751A"/>
    <w:rsid w:val="00D1761E"/>
    <w:rsid w:val="00D176A0"/>
    <w:rsid w:val="00D176FB"/>
    <w:rsid w:val="00D1788C"/>
    <w:rsid w:val="00D17905"/>
    <w:rsid w:val="00D1790E"/>
    <w:rsid w:val="00D179A4"/>
    <w:rsid w:val="00D17A39"/>
    <w:rsid w:val="00D17B76"/>
    <w:rsid w:val="00D17BA7"/>
    <w:rsid w:val="00D17E92"/>
    <w:rsid w:val="00D17F09"/>
    <w:rsid w:val="00D17F1D"/>
    <w:rsid w:val="00D1E05E"/>
    <w:rsid w:val="00D20522"/>
    <w:rsid w:val="00D2057B"/>
    <w:rsid w:val="00D206E2"/>
    <w:rsid w:val="00D206F7"/>
    <w:rsid w:val="00D2077B"/>
    <w:rsid w:val="00D208B8"/>
    <w:rsid w:val="00D20918"/>
    <w:rsid w:val="00D20A59"/>
    <w:rsid w:val="00D20B1F"/>
    <w:rsid w:val="00D20D00"/>
    <w:rsid w:val="00D20D90"/>
    <w:rsid w:val="00D20DB0"/>
    <w:rsid w:val="00D20E96"/>
    <w:rsid w:val="00D21191"/>
    <w:rsid w:val="00D211CF"/>
    <w:rsid w:val="00D21399"/>
    <w:rsid w:val="00D21436"/>
    <w:rsid w:val="00D2147C"/>
    <w:rsid w:val="00D21645"/>
    <w:rsid w:val="00D21688"/>
    <w:rsid w:val="00D216DC"/>
    <w:rsid w:val="00D217EA"/>
    <w:rsid w:val="00D219AD"/>
    <w:rsid w:val="00D219BB"/>
    <w:rsid w:val="00D21B5A"/>
    <w:rsid w:val="00D21BF0"/>
    <w:rsid w:val="00D21C66"/>
    <w:rsid w:val="00D21CCE"/>
    <w:rsid w:val="00D21EAA"/>
    <w:rsid w:val="00D2220B"/>
    <w:rsid w:val="00D2221B"/>
    <w:rsid w:val="00D2244F"/>
    <w:rsid w:val="00D224BF"/>
    <w:rsid w:val="00D225E8"/>
    <w:rsid w:val="00D2287D"/>
    <w:rsid w:val="00D22A01"/>
    <w:rsid w:val="00D22CE3"/>
    <w:rsid w:val="00D22D13"/>
    <w:rsid w:val="00D22E25"/>
    <w:rsid w:val="00D22F19"/>
    <w:rsid w:val="00D2300E"/>
    <w:rsid w:val="00D2304F"/>
    <w:rsid w:val="00D2320E"/>
    <w:rsid w:val="00D232FA"/>
    <w:rsid w:val="00D23429"/>
    <w:rsid w:val="00D236E1"/>
    <w:rsid w:val="00D2373C"/>
    <w:rsid w:val="00D23772"/>
    <w:rsid w:val="00D239D4"/>
    <w:rsid w:val="00D23AA2"/>
    <w:rsid w:val="00D23AD0"/>
    <w:rsid w:val="00D23D15"/>
    <w:rsid w:val="00D23E59"/>
    <w:rsid w:val="00D23E5B"/>
    <w:rsid w:val="00D23F30"/>
    <w:rsid w:val="00D23FAC"/>
    <w:rsid w:val="00D2406C"/>
    <w:rsid w:val="00D24250"/>
    <w:rsid w:val="00D243A8"/>
    <w:rsid w:val="00D2470B"/>
    <w:rsid w:val="00D24A98"/>
    <w:rsid w:val="00D24E6A"/>
    <w:rsid w:val="00D24E95"/>
    <w:rsid w:val="00D24EBD"/>
    <w:rsid w:val="00D2528A"/>
    <w:rsid w:val="00D253DB"/>
    <w:rsid w:val="00D2546E"/>
    <w:rsid w:val="00D255B7"/>
    <w:rsid w:val="00D2560E"/>
    <w:rsid w:val="00D2575E"/>
    <w:rsid w:val="00D257F4"/>
    <w:rsid w:val="00D2582F"/>
    <w:rsid w:val="00D25A8A"/>
    <w:rsid w:val="00D25B44"/>
    <w:rsid w:val="00D25D01"/>
    <w:rsid w:val="00D25D43"/>
    <w:rsid w:val="00D25D60"/>
    <w:rsid w:val="00D25EA9"/>
    <w:rsid w:val="00D25F3F"/>
    <w:rsid w:val="00D26068"/>
    <w:rsid w:val="00D260EB"/>
    <w:rsid w:val="00D26198"/>
    <w:rsid w:val="00D2620F"/>
    <w:rsid w:val="00D262D4"/>
    <w:rsid w:val="00D263B4"/>
    <w:rsid w:val="00D263FD"/>
    <w:rsid w:val="00D26516"/>
    <w:rsid w:val="00D265FA"/>
    <w:rsid w:val="00D2673D"/>
    <w:rsid w:val="00D26761"/>
    <w:rsid w:val="00D267E9"/>
    <w:rsid w:val="00D2699E"/>
    <w:rsid w:val="00D269FF"/>
    <w:rsid w:val="00D26A21"/>
    <w:rsid w:val="00D26D48"/>
    <w:rsid w:val="00D271B6"/>
    <w:rsid w:val="00D271CA"/>
    <w:rsid w:val="00D271FE"/>
    <w:rsid w:val="00D27699"/>
    <w:rsid w:val="00D27720"/>
    <w:rsid w:val="00D277FB"/>
    <w:rsid w:val="00D27869"/>
    <w:rsid w:val="00D27934"/>
    <w:rsid w:val="00D27935"/>
    <w:rsid w:val="00D27940"/>
    <w:rsid w:val="00D2796B"/>
    <w:rsid w:val="00D27A35"/>
    <w:rsid w:val="00D27A46"/>
    <w:rsid w:val="00D27B5F"/>
    <w:rsid w:val="00D27BBC"/>
    <w:rsid w:val="00D27ED0"/>
    <w:rsid w:val="00D27EDA"/>
    <w:rsid w:val="00D302EC"/>
    <w:rsid w:val="00D303F4"/>
    <w:rsid w:val="00D30498"/>
    <w:rsid w:val="00D304A0"/>
    <w:rsid w:val="00D305DD"/>
    <w:rsid w:val="00D30638"/>
    <w:rsid w:val="00D306B5"/>
    <w:rsid w:val="00D308C1"/>
    <w:rsid w:val="00D30966"/>
    <w:rsid w:val="00D30A86"/>
    <w:rsid w:val="00D30BAD"/>
    <w:rsid w:val="00D30CC0"/>
    <w:rsid w:val="00D30CD1"/>
    <w:rsid w:val="00D30D9B"/>
    <w:rsid w:val="00D30EE4"/>
    <w:rsid w:val="00D30F76"/>
    <w:rsid w:val="00D3106A"/>
    <w:rsid w:val="00D313D8"/>
    <w:rsid w:val="00D3149E"/>
    <w:rsid w:val="00D314D7"/>
    <w:rsid w:val="00D314D8"/>
    <w:rsid w:val="00D314F5"/>
    <w:rsid w:val="00D31709"/>
    <w:rsid w:val="00D3184D"/>
    <w:rsid w:val="00D3195F"/>
    <w:rsid w:val="00D319F5"/>
    <w:rsid w:val="00D31A21"/>
    <w:rsid w:val="00D31A70"/>
    <w:rsid w:val="00D31CB7"/>
    <w:rsid w:val="00D31D20"/>
    <w:rsid w:val="00D31D72"/>
    <w:rsid w:val="00D31DCB"/>
    <w:rsid w:val="00D31F9D"/>
    <w:rsid w:val="00D31FC4"/>
    <w:rsid w:val="00D3204F"/>
    <w:rsid w:val="00D323DB"/>
    <w:rsid w:val="00D3256E"/>
    <w:rsid w:val="00D32615"/>
    <w:rsid w:val="00D32668"/>
    <w:rsid w:val="00D327A6"/>
    <w:rsid w:val="00D329B4"/>
    <w:rsid w:val="00D32B58"/>
    <w:rsid w:val="00D32C71"/>
    <w:rsid w:val="00D32D9A"/>
    <w:rsid w:val="00D32E63"/>
    <w:rsid w:val="00D32E93"/>
    <w:rsid w:val="00D32F6F"/>
    <w:rsid w:val="00D330E1"/>
    <w:rsid w:val="00D3323F"/>
    <w:rsid w:val="00D332D1"/>
    <w:rsid w:val="00D3334D"/>
    <w:rsid w:val="00D333CA"/>
    <w:rsid w:val="00D3346F"/>
    <w:rsid w:val="00D3349F"/>
    <w:rsid w:val="00D33567"/>
    <w:rsid w:val="00D335E2"/>
    <w:rsid w:val="00D33660"/>
    <w:rsid w:val="00D338CB"/>
    <w:rsid w:val="00D33955"/>
    <w:rsid w:val="00D339EB"/>
    <w:rsid w:val="00D33B31"/>
    <w:rsid w:val="00D33B67"/>
    <w:rsid w:val="00D33BD5"/>
    <w:rsid w:val="00D33C77"/>
    <w:rsid w:val="00D33E2C"/>
    <w:rsid w:val="00D33E38"/>
    <w:rsid w:val="00D33E85"/>
    <w:rsid w:val="00D34148"/>
    <w:rsid w:val="00D34162"/>
    <w:rsid w:val="00D34171"/>
    <w:rsid w:val="00D341E4"/>
    <w:rsid w:val="00D341FF"/>
    <w:rsid w:val="00D34299"/>
    <w:rsid w:val="00D343AE"/>
    <w:rsid w:val="00D34423"/>
    <w:rsid w:val="00D34470"/>
    <w:rsid w:val="00D34490"/>
    <w:rsid w:val="00D344E2"/>
    <w:rsid w:val="00D345DF"/>
    <w:rsid w:val="00D3464E"/>
    <w:rsid w:val="00D346AD"/>
    <w:rsid w:val="00D3484E"/>
    <w:rsid w:val="00D3488D"/>
    <w:rsid w:val="00D3489D"/>
    <w:rsid w:val="00D34B0A"/>
    <w:rsid w:val="00D34B52"/>
    <w:rsid w:val="00D34BEA"/>
    <w:rsid w:val="00D34C27"/>
    <w:rsid w:val="00D34CB2"/>
    <w:rsid w:val="00D34CDF"/>
    <w:rsid w:val="00D34F37"/>
    <w:rsid w:val="00D35022"/>
    <w:rsid w:val="00D350B3"/>
    <w:rsid w:val="00D350D3"/>
    <w:rsid w:val="00D351F5"/>
    <w:rsid w:val="00D35288"/>
    <w:rsid w:val="00D3528E"/>
    <w:rsid w:val="00D352A1"/>
    <w:rsid w:val="00D352AD"/>
    <w:rsid w:val="00D35323"/>
    <w:rsid w:val="00D35541"/>
    <w:rsid w:val="00D35760"/>
    <w:rsid w:val="00D3578C"/>
    <w:rsid w:val="00D357B2"/>
    <w:rsid w:val="00D357F1"/>
    <w:rsid w:val="00D35B4F"/>
    <w:rsid w:val="00D35C14"/>
    <w:rsid w:val="00D35F7F"/>
    <w:rsid w:val="00D35F90"/>
    <w:rsid w:val="00D35FCD"/>
    <w:rsid w:val="00D36330"/>
    <w:rsid w:val="00D3633C"/>
    <w:rsid w:val="00D364FF"/>
    <w:rsid w:val="00D36611"/>
    <w:rsid w:val="00D36698"/>
    <w:rsid w:val="00D36861"/>
    <w:rsid w:val="00D36989"/>
    <w:rsid w:val="00D36AC4"/>
    <w:rsid w:val="00D36BA3"/>
    <w:rsid w:val="00D36ED6"/>
    <w:rsid w:val="00D372C7"/>
    <w:rsid w:val="00D373C8"/>
    <w:rsid w:val="00D37617"/>
    <w:rsid w:val="00D37850"/>
    <w:rsid w:val="00D378C0"/>
    <w:rsid w:val="00D37941"/>
    <w:rsid w:val="00D37B23"/>
    <w:rsid w:val="00D37C7F"/>
    <w:rsid w:val="00D37CB6"/>
    <w:rsid w:val="00D37DCE"/>
    <w:rsid w:val="00D37DF9"/>
    <w:rsid w:val="00D37E2D"/>
    <w:rsid w:val="00D4000A"/>
    <w:rsid w:val="00D4017C"/>
    <w:rsid w:val="00D40514"/>
    <w:rsid w:val="00D4071A"/>
    <w:rsid w:val="00D40720"/>
    <w:rsid w:val="00D40744"/>
    <w:rsid w:val="00D40755"/>
    <w:rsid w:val="00D40761"/>
    <w:rsid w:val="00D408D4"/>
    <w:rsid w:val="00D40B0E"/>
    <w:rsid w:val="00D40B17"/>
    <w:rsid w:val="00D40BFE"/>
    <w:rsid w:val="00D41072"/>
    <w:rsid w:val="00D4130F"/>
    <w:rsid w:val="00D41462"/>
    <w:rsid w:val="00D41673"/>
    <w:rsid w:val="00D419B7"/>
    <w:rsid w:val="00D41C8E"/>
    <w:rsid w:val="00D41D67"/>
    <w:rsid w:val="00D41D7F"/>
    <w:rsid w:val="00D41EDF"/>
    <w:rsid w:val="00D41F28"/>
    <w:rsid w:val="00D41F7B"/>
    <w:rsid w:val="00D41FDD"/>
    <w:rsid w:val="00D42180"/>
    <w:rsid w:val="00D42207"/>
    <w:rsid w:val="00D422EB"/>
    <w:rsid w:val="00D42670"/>
    <w:rsid w:val="00D426B3"/>
    <w:rsid w:val="00D42763"/>
    <w:rsid w:val="00D42D6F"/>
    <w:rsid w:val="00D4316D"/>
    <w:rsid w:val="00D43227"/>
    <w:rsid w:val="00D432CB"/>
    <w:rsid w:val="00D432D7"/>
    <w:rsid w:val="00D432ED"/>
    <w:rsid w:val="00D432FD"/>
    <w:rsid w:val="00D43554"/>
    <w:rsid w:val="00D4360E"/>
    <w:rsid w:val="00D4366B"/>
    <w:rsid w:val="00D439B7"/>
    <w:rsid w:val="00D439FC"/>
    <w:rsid w:val="00D43F14"/>
    <w:rsid w:val="00D44052"/>
    <w:rsid w:val="00D441DB"/>
    <w:rsid w:val="00D441EC"/>
    <w:rsid w:val="00D44218"/>
    <w:rsid w:val="00D443AE"/>
    <w:rsid w:val="00D4457C"/>
    <w:rsid w:val="00D44593"/>
    <w:rsid w:val="00D4473E"/>
    <w:rsid w:val="00D447B7"/>
    <w:rsid w:val="00D44871"/>
    <w:rsid w:val="00D4488C"/>
    <w:rsid w:val="00D448A8"/>
    <w:rsid w:val="00D44A68"/>
    <w:rsid w:val="00D44B22"/>
    <w:rsid w:val="00D44C23"/>
    <w:rsid w:val="00D44D00"/>
    <w:rsid w:val="00D44DAF"/>
    <w:rsid w:val="00D44DB0"/>
    <w:rsid w:val="00D44F58"/>
    <w:rsid w:val="00D45001"/>
    <w:rsid w:val="00D450E4"/>
    <w:rsid w:val="00D45151"/>
    <w:rsid w:val="00D454E0"/>
    <w:rsid w:val="00D45597"/>
    <w:rsid w:val="00D456FC"/>
    <w:rsid w:val="00D457E1"/>
    <w:rsid w:val="00D45C4E"/>
    <w:rsid w:val="00D45E35"/>
    <w:rsid w:val="00D461A7"/>
    <w:rsid w:val="00D4631F"/>
    <w:rsid w:val="00D4634A"/>
    <w:rsid w:val="00D46398"/>
    <w:rsid w:val="00D46404"/>
    <w:rsid w:val="00D46451"/>
    <w:rsid w:val="00D46530"/>
    <w:rsid w:val="00D465D6"/>
    <w:rsid w:val="00D466C5"/>
    <w:rsid w:val="00D46707"/>
    <w:rsid w:val="00D4680D"/>
    <w:rsid w:val="00D469FC"/>
    <w:rsid w:val="00D46A91"/>
    <w:rsid w:val="00D46CB8"/>
    <w:rsid w:val="00D46D58"/>
    <w:rsid w:val="00D46E4A"/>
    <w:rsid w:val="00D46FA7"/>
    <w:rsid w:val="00D4708C"/>
    <w:rsid w:val="00D470F9"/>
    <w:rsid w:val="00D4719D"/>
    <w:rsid w:val="00D47232"/>
    <w:rsid w:val="00D4728E"/>
    <w:rsid w:val="00D472E8"/>
    <w:rsid w:val="00D47359"/>
    <w:rsid w:val="00D47369"/>
    <w:rsid w:val="00D47393"/>
    <w:rsid w:val="00D476A2"/>
    <w:rsid w:val="00D4770B"/>
    <w:rsid w:val="00D47950"/>
    <w:rsid w:val="00D47A44"/>
    <w:rsid w:val="00D47B25"/>
    <w:rsid w:val="00D47B2C"/>
    <w:rsid w:val="00D47B59"/>
    <w:rsid w:val="00D47DB7"/>
    <w:rsid w:val="00D50164"/>
    <w:rsid w:val="00D50189"/>
    <w:rsid w:val="00D5036B"/>
    <w:rsid w:val="00D503A1"/>
    <w:rsid w:val="00D50842"/>
    <w:rsid w:val="00D508E0"/>
    <w:rsid w:val="00D5090D"/>
    <w:rsid w:val="00D50BA7"/>
    <w:rsid w:val="00D50C0A"/>
    <w:rsid w:val="00D50C89"/>
    <w:rsid w:val="00D50CF9"/>
    <w:rsid w:val="00D50D67"/>
    <w:rsid w:val="00D50F44"/>
    <w:rsid w:val="00D51056"/>
    <w:rsid w:val="00D510A0"/>
    <w:rsid w:val="00D51101"/>
    <w:rsid w:val="00D51248"/>
    <w:rsid w:val="00D51423"/>
    <w:rsid w:val="00D515DD"/>
    <w:rsid w:val="00D516BB"/>
    <w:rsid w:val="00D516EB"/>
    <w:rsid w:val="00D517C6"/>
    <w:rsid w:val="00D517D5"/>
    <w:rsid w:val="00D517FC"/>
    <w:rsid w:val="00D5196D"/>
    <w:rsid w:val="00D5198D"/>
    <w:rsid w:val="00D51993"/>
    <w:rsid w:val="00D51A3C"/>
    <w:rsid w:val="00D51E94"/>
    <w:rsid w:val="00D51F46"/>
    <w:rsid w:val="00D51F7C"/>
    <w:rsid w:val="00D5203C"/>
    <w:rsid w:val="00D52159"/>
    <w:rsid w:val="00D521A8"/>
    <w:rsid w:val="00D52353"/>
    <w:rsid w:val="00D525E4"/>
    <w:rsid w:val="00D525E9"/>
    <w:rsid w:val="00D5260C"/>
    <w:rsid w:val="00D52905"/>
    <w:rsid w:val="00D5291A"/>
    <w:rsid w:val="00D52935"/>
    <w:rsid w:val="00D5296B"/>
    <w:rsid w:val="00D52AD7"/>
    <w:rsid w:val="00D52D75"/>
    <w:rsid w:val="00D52F64"/>
    <w:rsid w:val="00D52FD1"/>
    <w:rsid w:val="00D53007"/>
    <w:rsid w:val="00D53143"/>
    <w:rsid w:val="00D53390"/>
    <w:rsid w:val="00D53419"/>
    <w:rsid w:val="00D53464"/>
    <w:rsid w:val="00D534E9"/>
    <w:rsid w:val="00D53506"/>
    <w:rsid w:val="00D5353D"/>
    <w:rsid w:val="00D53551"/>
    <w:rsid w:val="00D535A1"/>
    <w:rsid w:val="00D53878"/>
    <w:rsid w:val="00D538CA"/>
    <w:rsid w:val="00D53992"/>
    <w:rsid w:val="00D539CC"/>
    <w:rsid w:val="00D53BA8"/>
    <w:rsid w:val="00D53BB6"/>
    <w:rsid w:val="00D53CAB"/>
    <w:rsid w:val="00D53CD0"/>
    <w:rsid w:val="00D53D55"/>
    <w:rsid w:val="00D53E6A"/>
    <w:rsid w:val="00D53F52"/>
    <w:rsid w:val="00D54329"/>
    <w:rsid w:val="00D543F8"/>
    <w:rsid w:val="00D54447"/>
    <w:rsid w:val="00D545B5"/>
    <w:rsid w:val="00D545D4"/>
    <w:rsid w:val="00D54643"/>
    <w:rsid w:val="00D546A3"/>
    <w:rsid w:val="00D54A4E"/>
    <w:rsid w:val="00D54A61"/>
    <w:rsid w:val="00D54A99"/>
    <w:rsid w:val="00D54B7D"/>
    <w:rsid w:val="00D54BEB"/>
    <w:rsid w:val="00D54E2F"/>
    <w:rsid w:val="00D54FD2"/>
    <w:rsid w:val="00D5522A"/>
    <w:rsid w:val="00D55446"/>
    <w:rsid w:val="00D5565F"/>
    <w:rsid w:val="00D557BA"/>
    <w:rsid w:val="00D55932"/>
    <w:rsid w:val="00D55BE4"/>
    <w:rsid w:val="00D55C07"/>
    <w:rsid w:val="00D55C40"/>
    <w:rsid w:val="00D55CF6"/>
    <w:rsid w:val="00D55F3F"/>
    <w:rsid w:val="00D55FE2"/>
    <w:rsid w:val="00D56190"/>
    <w:rsid w:val="00D561B7"/>
    <w:rsid w:val="00D562C9"/>
    <w:rsid w:val="00D56809"/>
    <w:rsid w:val="00D569AC"/>
    <w:rsid w:val="00D56A09"/>
    <w:rsid w:val="00D56B05"/>
    <w:rsid w:val="00D56B55"/>
    <w:rsid w:val="00D56B72"/>
    <w:rsid w:val="00D56BEE"/>
    <w:rsid w:val="00D56C55"/>
    <w:rsid w:val="00D56E40"/>
    <w:rsid w:val="00D56E57"/>
    <w:rsid w:val="00D56E8B"/>
    <w:rsid w:val="00D56F06"/>
    <w:rsid w:val="00D570FA"/>
    <w:rsid w:val="00D571D3"/>
    <w:rsid w:val="00D5736A"/>
    <w:rsid w:val="00D57413"/>
    <w:rsid w:val="00D574D4"/>
    <w:rsid w:val="00D574E4"/>
    <w:rsid w:val="00D574EC"/>
    <w:rsid w:val="00D57545"/>
    <w:rsid w:val="00D5759A"/>
    <w:rsid w:val="00D577DF"/>
    <w:rsid w:val="00D5784D"/>
    <w:rsid w:val="00D5793C"/>
    <w:rsid w:val="00D57A55"/>
    <w:rsid w:val="00D57BB5"/>
    <w:rsid w:val="00D57C98"/>
    <w:rsid w:val="00D57CB6"/>
    <w:rsid w:val="00D57DCE"/>
    <w:rsid w:val="00D57E21"/>
    <w:rsid w:val="00D602F0"/>
    <w:rsid w:val="00D60377"/>
    <w:rsid w:val="00D60450"/>
    <w:rsid w:val="00D60473"/>
    <w:rsid w:val="00D605A9"/>
    <w:rsid w:val="00D605F2"/>
    <w:rsid w:val="00D60622"/>
    <w:rsid w:val="00D606F8"/>
    <w:rsid w:val="00D60A4C"/>
    <w:rsid w:val="00D60B0A"/>
    <w:rsid w:val="00D60B41"/>
    <w:rsid w:val="00D60C9E"/>
    <w:rsid w:val="00D60D50"/>
    <w:rsid w:val="00D61126"/>
    <w:rsid w:val="00D611E5"/>
    <w:rsid w:val="00D61252"/>
    <w:rsid w:val="00D612CC"/>
    <w:rsid w:val="00D615A2"/>
    <w:rsid w:val="00D615D0"/>
    <w:rsid w:val="00D6170D"/>
    <w:rsid w:val="00D6174D"/>
    <w:rsid w:val="00D6176D"/>
    <w:rsid w:val="00D61793"/>
    <w:rsid w:val="00D61820"/>
    <w:rsid w:val="00D6185B"/>
    <w:rsid w:val="00D6193C"/>
    <w:rsid w:val="00D619F8"/>
    <w:rsid w:val="00D61A6B"/>
    <w:rsid w:val="00D61C10"/>
    <w:rsid w:val="00D61C7D"/>
    <w:rsid w:val="00D61F3F"/>
    <w:rsid w:val="00D61FFC"/>
    <w:rsid w:val="00D620FC"/>
    <w:rsid w:val="00D62159"/>
    <w:rsid w:val="00D62195"/>
    <w:rsid w:val="00D62210"/>
    <w:rsid w:val="00D62443"/>
    <w:rsid w:val="00D624C7"/>
    <w:rsid w:val="00D62541"/>
    <w:rsid w:val="00D62863"/>
    <w:rsid w:val="00D62B22"/>
    <w:rsid w:val="00D62C3F"/>
    <w:rsid w:val="00D62C74"/>
    <w:rsid w:val="00D62E25"/>
    <w:rsid w:val="00D62E34"/>
    <w:rsid w:val="00D62E42"/>
    <w:rsid w:val="00D62E68"/>
    <w:rsid w:val="00D62F33"/>
    <w:rsid w:val="00D62F73"/>
    <w:rsid w:val="00D62FAA"/>
    <w:rsid w:val="00D6303C"/>
    <w:rsid w:val="00D63309"/>
    <w:rsid w:val="00D633D3"/>
    <w:rsid w:val="00D6359F"/>
    <w:rsid w:val="00D63609"/>
    <w:rsid w:val="00D63612"/>
    <w:rsid w:val="00D6362B"/>
    <w:rsid w:val="00D63770"/>
    <w:rsid w:val="00D6378F"/>
    <w:rsid w:val="00D6387E"/>
    <w:rsid w:val="00D6399A"/>
    <w:rsid w:val="00D63C54"/>
    <w:rsid w:val="00D63C7A"/>
    <w:rsid w:val="00D640D7"/>
    <w:rsid w:val="00D641C9"/>
    <w:rsid w:val="00D64300"/>
    <w:rsid w:val="00D64312"/>
    <w:rsid w:val="00D646C5"/>
    <w:rsid w:val="00D6477B"/>
    <w:rsid w:val="00D64913"/>
    <w:rsid w:val="00D64A47"/>
    <w:rsid w:val="00D64AEE"/>
    <w:rsid w:val="00D64C3B"/>
    <w:rsid w:val="00D64D7F"/>
    <w:rsid w:val="00D64E1F"/>
    <w:rsid w:val="00D64EA8"/>
    <w:rsid w:val="00D64FA5"/>
    <w:rsid w:val="00D650A1"/>
    <w:rsid w:val="00D650DA"/>
    <w:rsid w:val="00D65390"/>
    <w:rsid w:val="00D653F2"/>
    <w:rsid w:val="00D654D6"/>
    <w:rsid w:val="00D65697"/>
    <w:rsid w:val="00D65A13"/>
    <w:rsid w:val="00D65A98"/>
    <w:rsid w:val="00D65B92"/>
    <w:rsid w:val="00D65C62"/>
    <w:rsid w:val="00D65C90"/>
    <w:rsid w:val="00D65D09"/>
    <w:rsid w:val="00D65D79"/>
    <w:rsid w:val="00D65F2E"/>
    <w:rsid w:val="00D65F58"/>
    <w:rsid w:val="00D65FF4"/>
    <w:rsid w:val="00D66061"/>
    <w:rsid w:val="00D66235"/>
    <w:rsid w:val="00D662C3"/>
    <w:rsid w:val="00D663EA"/>
    <w:rsid w:val="00D6647F"/>
    <w:rsid w:val="00D66506"/>
    <w:rsid w:val="00D66542"/>
    <w:rsid w:val="00D6682A"/>
    <w:rsid w:val="00D668A5"/>
    <w:rsid w:val="00D66960"/>
    <w:rsid w:val="00D66AD8"/>
    <w:rsid w:val="00D66B17"/>
    <w:rsid w:val="00D66BA7"/>
    <w:rsid w:val="00D66C77"/>
    <w:rsid w:val="00D66CC9"/>
    <w:rsid w:val="00D66ECD"/>
    <w:rsid w:val="00D66ED4"/>
    <w:rsid w:val="00D66F93"/>
    <w:rsid w:val="00D670AE"/>
    <w:rsid w:val="00D67194"/>
    <w:rsid w:val="00D67301"/>
    <w:rsid w:val="00D674E1"/>
    <w:rsid w:val="00D677F3"/>
    <w:rsid w:val="00D6798E"/>
    <w:rsid w:val="00D67E89"/>
    <w:rsid w:val="00D67EC2"/>
    <w:rsid w:val="00D67F23"/>
    <w:rsid w:val="00D67F57"/>
    <w:rsid w:val="00D67FBA"/>
    <w:rsid w:val="00D700A0"/>
    <w:rsid w:val="00D70588"/>
    <w:rsid w:val="00D70591"/>
    <w:rsid w:val="00D70605"/>
    <w:rsid w:val="00D7064C"/>
    <w:rsid w:val="00D70669"/>
    <w:rsid w:val="00D70790"/>
    <w:rsid w:val="00D7080A"/>
    <w:rsid w:val="00D708F4"/>
    <w:rsid w:val="00D70A9D"/>
    <w:rsid w:val="00D70BA9"/>
    <w:rsid w:val="00D70BBD"/>
    <w:rsid w:val="00D70C3C"/>
    <w:rsid w:val="00D70C40"/>
    <w:rsid w:val="00D70D36"/>
    <w:rsid w:val="00D70D6C"/>
    <w:rsid w:val="00D70E67"/>
    <w:rsid w:val="00D70F13"/>
    <w:rsid w:val="00D71031"/>
    <w:rsid w:val="00D7104C"/>
    <w:rsid w:val="00D71183"/>
    <w:rsid w:val="00D7135B"/>
    <w:rsid w:val="00D714E8"/>
    <w:rsid w:val="00D7160E"/>
    <w:rsid w:val="00D71672"/>
    <w:rsid w:val="00D71857"/>
    <w:rsid w:val="00D718B2"/>
    <w:rsid w:val="00D71BB3"/>
    <w:rsid w:val="00D71D3D"/>
    <w:rsid w:val="00D71E96"/>
    <w:rsid w:val="00D71EE5"/>
    <w:rsid w:val="00D72126"/>
    <w:rsid w:val="00D72260"/>
    <w:rsid w:val="00D722B1"/>
    <w:rsid w:val="00D72352"/>
    <w:rsid w:val="00D7244D"/>
    <w:rsid w:val="00D724DA"/>
    <w:rsid w:val="00D7271B"/>
    <w:rsid w:val="00D727AF"/>
    <w:rsid w:val="00D72823"/>
    <w:rsid w:val="00D729E9"/>
    <w:rsid w:val="00D72BBB"/>
    <w:rsid w:val="00D72EC7"/>
    <w:rsid w:val="00D73107"/>
    <w:rsid w:val="00D7317F"/>
    <w:rsid w:val="00D73377"/>
    <w:rsid w:val="00D7342D"/>
    <w:rsid w:val="00D73479"/>
    <w:rsid w:val="00D7359C"/>
    <w:rsid w:val="00D735CD"/>
    <w:rsid w:val="00D73660"/>
    <w:rsid w:val="00D7393B"/>
    <w:rsid w:val="00D73C3E"/>
    <w:rsid w:val="00D73CF6"/>
    <w:rsid w:val="00D73F46"/>
    <w:rsid w:val="00D73FE7"/>
    <w:rsid w:val="00D7409A"/>
    <w:rsid w:val="00D740DD"/>
    <w:rsid w:val="00D741F5"/>
    <w:rsid w:val="00D742D3"/>
    <w:rsid w:val="00D7434A"/>
    <w:rsid w:val="00D743CC"/>
    <w:rsid w:val="00D7458F"/>
    <w:rsid w:val="00D749B2"/>
    <w:rsid w:val="00D74A45"/>
    <w:rsid w:val="00D74B4D"/>
    <w:rsid w:val="00D74B9E"/>
    <w:rsid w:val="00D74C6A"/>
    <w:rsid w:val="00D74EB8"/>
    <w:rsid w:val="00D750CB"/>
    <w:rsid w:val="00D7510E"/>
    <w:rsid w:val="00D75194"/>
    <w:rsid w:val="00D751B0"/>
    <w:rsid w:val="00D75221"/>
    <w:rsid w:val="00D753FD"/>
    <w:rsid w:val="00D75439"/>
    <w:rsid w:val="00D7548E"/>
    <w:rsid w:val="00D75554"/>
    <w:rsid w:val="00D755C9"/>
    <w:rsid w:val="00D756B4"/>
    <w:rsid w:val="00D75708"/>
    <w:rsid w:val="00D7589D"/>
    <w:rsid w:val="00D758CD"/>
    <w:rsid w:val="00D7598A"/>
    <w:rsid w:val="00D75A2F"/>
    <w:rsid w:val="00D75B06"/>
    <w:rsid w:val="00D75B52"/>
    <w:rsid w:val="00D75DDB"/>
    <w:rsid w:val="00D75EC9"/>
    <w:rsid w:val="00D75F8B"/>
    <w:rsid w:val="00D76217"/>
    <w:rsid w:val="00D763C8"/>
    <w:rsid w:val="00D76771"/>
    <w:rsid w:val="00D768BC"/>
    <w:rsid w:val="00D7690A"/>
    <w:rsid w:val="00D7690C"/>
    <w:rsid w:val="00D76951"/>
    <w:rsid w:val="00D76963"/>
    <w:rsid w:val="00D769DD"/>
    <w:rsid w:val="00D76B95"/>
    <w:rsid w:val="00D76BEF"/>
    <w:rsid w:val="00D76C75"/>
    <w:rsid w:val="00D76CD5"/>
    <w:rsid w:val="00D76D8E"/>
    <w:rsid w:val="00D76F82"/>
    <w:rsid w:val="00D77085"/>
    <w:rsid w:val="00D770E4"/>
    <w:rsid w:val="00D7742E"/>
    <w:rsid w:val="00D7743B"/>
    <w:rsid w:val="00D775F1"/>
    <w:rsid w:val="00D77614"/>
    <w:rsid w:val="00D77678"/>
    <w:rsid w:val="00D7775C"/>
    <w:rsid w:val="00D778C7"/>
    <w:rsid w:val="00D778E8"/>
    <w:rsid w:val="00D7792E"/>
    <w:rsid w:val="00D77ED3"/>
    <w:rsid w:val="00D8054C"/>
    <w:rsid w:val="00D806FA"/>
    <w:rsid w:val="00D80943"/>
    <w:rsid w:val="00D80959"/>
    <w:rsid w:val="00D80D02"/>
    <w:rsid w:val="00D80D39"/>
    <w:rsid w:val="00D80D93"/>
    <w:rsid w:val="00D80E4B"/>
    <w:rsid w:val="00D80EA4"/>
    <w:rsid w:val="00D80EBF"/>
    <w:rsid w:val="00D80F3E"/>
    <w:rsid w:val="00D80F5A"/>
    <w:rsid w:val="00D81074"/>
    <w:rsid w:val="00D810FA"/>
    <w:rsid w:val="00D810FB"/>
    <w:rsid w:val="00D81285"/>
    <w:rsid w:val="00D8144E"/>
    <w:rsid w:val="00D8155D"/>
    <w:rsid w:val="00D81595"/>
    <w:rsid w:val="00D8164E"/>
    <w:rsid w:val="00D81684"/>
    <w:rsid w:val="00D81796"/>
    <w:rsid w:val="00D817FC"/>
    <w:rsid w:val="00D81944"/>
    <w:rsid w:val="00D81A08"/>
    <w:rsid w:val="00D81B02"/>
    <w:rsid w:val="00D81B0E"/>
    <w:rsid w:val="00D81F18"/>
    <w:rsid w:val="00D82219"/>
    <w:rsid w:val="00D82327"/>
    <w:rsid w:val="00D82406"/>
    <w:rsid w:val="00D825B6"/>
    <w:rsid w:val="00D8262F"/>
    <w:rsid w:val="00D828EF"/>
    <w:rsid w:val="00D82905"/>
    <w:rsid w:val="00D829CE"/>
    <w:rsid w:val="00D82A08"/>
    <w:rsid w:val="00D82E74"/>
    <w:rsid w:val="00D82E78"/>
    <w:rsid w:val="00D82ECA"/>
    <w:rsid w:val="00D82F0F"/>
    <w:rsid w:val="00D831BA"/>
    <w:rsid w:val="00D83335"/>
    <w:rsid w:val="00D83378"/>
    <w:rsid w:val="00D833E5"/>
    <w:rsid w:val="00D835E2"/>
    <w:rsid w:val="00D836FB"/>
    <w:rsid w:val="00D83931"/>
    <w:rsid w:val="00D83990"/>
    <w:rsid w:val="00D839E8"/>
    <w:rsid w:val="00D83B3C"/>
    <w:rsid w:val="00D83BBC"/>
    <w:rsid w:val="00D83BC4"/>
    <w:rsid w:val="00D83BE8"/>
    <w:rsid w:val="00D83D2C"/>
    <w:rsid w:val="00D83EF2"/>
    <w:rsid w:val="00D83F55"/>
    <w:rsid w:val="00D84092"/>
    <w:rsid w:val="00D841CC"/>
    <w:rsid w:val="00D84248"/>
    <w:rsid w:val="00D842BC"/>
    <w:rsid w:val="00D843BC"/>
    <w:rsid w:val="00D843EB"/>
    <w:rsid w:val="00D844F8"/>
    <w:rsid w:val="00D844FB"/>
    <w:rsid w:val="00D845FE"/>
    <w:rsid w:val="00D84623"/>
    <w:rsid w:val="00D84693"/>
    <w:rsid w:val="00D847F1"/>
    <w:rsid w:val="00D8489D"/>
    <w:rsid w:val="00D84A79"/>
    <w:rsid w:val="00D84B04"/>
    <w:rsid w:val="00D84B12"/>
    <w:rsid w:val="00D84C51"/>
    <w:rsid w:val="00D84D26"/>
    <w:rsid w:val="00D84D7A"/>
    <w:rsid w:val="00D84ECE"/>
    <w:rsid w:val="00D85010"/>
    <w:rsid w:val="00D850E2"/>
    <w:rsid w:val="00D850F6"/>
    <w:rsid w:val="00D85251"/>
    <w:rsid w:val="00D8525C"/>
    <w:rsid w:val="00D85653"/>
    <w:rsid w:val="00D8587D"/>
    <w:rsid w:val="00D85887"/>
    <w:rsid w:val="00D8596A"/>
    <w:rsid w:val="00D8596F"/>
    <w:rsid w:val="00D85975"/>
    <w:rsid w:val="00D859E1"/>
    <w:rsid w:val="00D85A58"/>
    <w:rsid w:val="00D85B96"/>
    <w:rsid w:val="00D85C07"/>
    <w:rsid w:val="00D85C3D"/>
    <w:rsid w:val="00D85DF6"/>
    <w:rsid w:val="00D85F96"/>
    <w:rsid w:val="00D85FA2"/>
    <w:rsid w:val="00D862A9"/>
    <w:rsid w:val="00D8653D"/>
    <w:rsid w:val="00D8668A"/>
    <w:rsid w:val="00D86846"/>
    <w:rsid w:val="00D86970"/>
    <w:rsid w:val="00D869AD"/>
    <w:rsid w:val="00D869F9"/>
    <w:rsid w:val="00D86A4C"/>
    <w:rsid w:val="00D86A78"/>
    <w:rsid w:val="00D86AFA"/>
    <w:rsid w:val="00D86C6A"/>
    <w:rsid w:val="00D86CC4"/>
    <w:rsid w:val="00D86CCD"/>
    <w:rsid w:val="00D86DEE"/>
    <w:rsid w:val="00D86E6E"/>
    <w:rsid w:val="00D86F03"/>
    <w:rsid w:val="00D8720A"/>
    <w:rsid w:val="00D87309"/>
    <w:rsid w:val="00D87365"/>
    <w:rsid w:val="00D8738D"/>
    <w:rsid w:val="00D874F3"/>
    <w:rsid w:val="00D8753B"/>
    <w:rsid w:val="00D875F7"/>
    <w:rsid w:val="00D87AA9"/>
    <w:rsid w:val="00D87AC2"/>
    <w:rsid w:val="00D87C69"/>
    <w:rsid w:val="00D87C9E"/>
    <w:rsid w:val="00D87D10"/>
    <w:rsid w:val="00D87DA8"/>
    <w:rsid w:val="00D87E52"/>
    <w:rsid w:val="00D87EA0"/>
    <w:rsid w:val="00D87FA0"/>
    <w:rsid w:val="00D87FEE"/>
    <w:rsid w:val="00D90175"/>
    <w:rsid w:val="00D902CE"/>
    <w:rsid w:val="00D9033B"/>
    <w:rsid w:val="00D90385"/>
    <w:rsid w:val="00D9056C"/>
    <w:rsid w:val="00D905BE"/>
    <w:rsid w:val="00D90746"/>
    <w:rsid w:val="00D908A7"/>
    <w:rsid w:val="00D909A2"/>
    <w:rsid w:val="00D90AC5"/>
    <w:rsid w:val="00D90BF8"/>
    <w:rsid w:val="00D90CA7"/>
    <w:rsid w:val="00D90E57"/>
    <w:rsid w:val="00D90ED2"/>
    <w:rsid w:val="00D90FD8"/>
    <w:rsid w:val="00D91072"/>
    <w:rsid w:val="00D913AF"/>
    <w:rsid w:val="00D91485"/>
    <w:rsid w:val="00D914E6"/>
    <w:rsid w:val="00D917A3"/>
    <w:rsid w:val="00D9183B"/>
    <w:rsid w:val="00D91896"/>
    <w:rsid w:val="00D918B5"/>
    <w:rsid w:val="00D9191C"/>
    <w:rsid w:val="00D91ABA"/>
    <w:rsid w:val="00D91C02"/>
    <w:rsid w:val="00D91C1D"/>
    <w:rsid w:val="00D91ECD"/>
    <w:rsid w:val="00D92046"/>
    <w:rsid w:val="00D921D8"/>
    <w:rsid w:val="00D92207"/>
    <w:rsid w:val="00D92231"/>
    <w:rsid w:val="00D92469"/>
    <w:rsid w:val="00D92997"/>
    <w:rsid w:val="00D929AC"/>
    <w:rsid w:val="00D92EB8"/>
    <w:rsid w:val="00D92F4C"/>
    <w:rsid w:val="00D93032"/>
    <w:rsid w:val="00D93298"/>
    <w:rsid w:val="00D933E7"/>
    <w:rsid w:val="00D93556"/>
    <w:rsid w:val="00D935AA"/>
    <w:rsid w:val="00D93643"/>
    <w:rsid w:val="00D93873"/>
    <w:rsid w:val="00D93B4F"/>
    <w:rsid w:val="00D93B62"/>
    <w:rsid w:val="00D93C8B"/>
    <w:rsid w:val="00D93CC7"/>
    <w:rsid w:val="00D94277"/>
    <w:rsid w:val="00D94528"/>
    <w:rsid w:val="00D94660"/>
    <w:rsid w:val="00D9470A"/>
    <w:rsid w:val="00D94828"/>
    <w:rsid w:val="00D949E0"/>
    <w:rsid w:val="00D94AD8"/>
    <w:rsid w:val="00D94C8F"/>
    <w:rsid w:val="00D94C9B"/>
    <w:rsid w:val="00D94CC5"/>
    <w:rsid w:val="00D94D76"/>
    <w:rsid w:val="00D94E4F"/>
    <w:rsid w:val="00D94F7F"/>
    <w:rsid w:val="00D95186"/>
    <w:rsid w:val="00D951B8"/>
    <w:rsid w:val="00D95204"/>
    <w:rsid w:val="00D9524C"/>
    <w:rsid w:val="00D95328"/>
    <w:rsid w:val="00D954B9"/>
    <w:rsid w:val="00D95701"/>
    <w:rsid w:val="00D95722"/>
    <w:rsid w:val="00D95784"/>
    <w:rsid w:val="00D9584A"/>
    <w:rsid w:val="00D95999"/>
    <w:rsid w:val="00D95CEC"/>
    <w:rsid w:val="00D95E9E"/>
    <w:rsid w:val="00D95EEB"/>
    <w:rsid w:val="00D9600A"/>
    <w:rsid w:val="00D960A6"/>
    <w:rsid w:val="00D96415"/>
    <w:rsid w:val="00D964EF"/>
    <w:rsid w:val="00D96582"/>
    <w:rsid w:val="00D966B0"/>
    <w:rsid w:val="00D967B5"/>
    <w:rsid w:val="00D968AA"/>
    <w:rsid w:val="00D96907"/>
    <w:rsid w:val="00D9691C"/>
    <w:rsid w:val="00D969B4"/>
    <w:rsid w:val="00D96A50"/>
    <w:rsid w:val="00D96A60"/>
    <w:rsid w:val="00D96A8F"/>
    <w:rsid w:val="00D96B3D"/>
    <w:rsid w:val="00D96D36"/>
    <w:rsid w:val="00D96E14"/>
    <w:rsid w:val="00D96E45"/>
    <w:rsid w:val="00D96EC2"/>
    <w:rsid w:val="00D96ED2"/>
    <w:rsid w:val="00D96FD4"/>
    <w:rsid w:val="00D9726E"/>
    <w:rsid w:val="00D972B9"/>
    <w:rsid w:val="00D97335"/>
    <w:rsid w:val="00D97391"/>
    <w:rsid w:val="00D9739E"/>
    <w:rsid w:val="00D973EE"/>
    <w:rsid w:val="00D97495"/>
    <w:rsid w:val="00D9770A"/>
    <w:rsid w:val="00D977B0"/>
    <w:rsid w:val="00D9783E"/>
    <w:rsid w:val="00D97B44"/>
    <w:rsid w:val="00D97B58"/>
    <w:rsid w:val="00D97BFA"/>
    <w:rsid w:val="00D97C7E"/>
    <w:rsid w:val="00D97C8D"/>
    <w:rsid w:val="00D97EB9"/>
    <w:rsid w:val="00DA0056"/>
    <w:rsid w:val="00DA0145"/>
    <w:rsid w:val="00DA0189"/>
    <w:rsid w:val="00DA01B5"/>
    <w:rsid w:val="00DA03A5"/>
    <w:rsid w:val="00DA03C6"/>
    <w:rsid w:val="00DA05F3"/>
    <w:rsid w:val="00DA06ED"/>
    <w:rsid w:val="00DA093D"/>
    <w:rsid w:val="00DA0986"/>
    <w:rsid w:val="00DA0C0A"/>
    <w:rsid w:val="00DA0CB9"/>
    <w:rsid w:val="00DA0CBB"/>
    <w:rsid w:val="00DA0F87"/>
    <w:rsid w:val="00DA0FE7"/>
    <w:rsid w:val="00DA1055"/>
    <w:rsid w:val="00DA1116"/>
    <w:rsid w:val="00DA111D"/>
    <w:rsid w:val="00DA12F8"/>
    <w:rsid w:val="00DA130A"/>
    <w:rsid w:val="00DA143F"/>
    <w:rsid w:val="00DA147C"/>
    <w:rsid w:val="00DA1561"/>
    <w:rsid w:val="00DA156E"/>
    <w:rsid w:val="00DA164D"/>
    <w:rsid w:val="00DA1654"/>
    <w:rsid w:val="00DA1D7A"/>
    <w:rsid w:val="00DA1D7F"/>
    <w:rsid w:val="00DA1E8B"/>
    <w:rsid w:val="00DA1EA4"/>
    <w:rsid w:val="00DA203B"/>
    <w:rsid w:val="00DA217B"/>
    <w:rsid w:val="00DA24BF"/>
    <w:rsid w:val="00DA25DF"/>
    <w:rsid w:val="00DA25EE"/>
    <w:rsid w:val="00DA2607"/>
    <w:rsid w:val="00DA2643"/>
    <w:rsid w:val="00DA26A9"/>
    <w:rsid w:val="00DA29B6"/>
    <w:rsid w:val="00DA2A3E"/>
    <w:rsid w:val="00DA2A70"/>
    <w:rsid w:val="00DA2A89"/>
    <w:rsid w:val="00DA2BD1"/>
    <w:rsid w:val="00DA2BE3"/>
    <w:rsid w:val="00DA2D49"/>
    <w:rsid w:val="00DA2D81"/>
    <w:rsid w:val="00DA309D"/>
    <w:rsid w:val="00DA3291"/>
    <w:rsid w:val="00DA32D7"/>
    <w:rsid w:val="00DA356F"/>
    <w:rsid w:val="00DA358D"/>
    <w:rsid w:val="00DA3625"/>
    <w:rsid w:val="00DA3631"/>
    <w:rsid w:val="00DA37B6"/>
    <w:rsid w:val="00DA3976"/>
    <w:rsid w:val="00DA39EA"/>
    <w:rsid w:val="00DA3AA1"/>
    <w:rsid w:val="00DA3DAC"/>
    <w:rsid w:val="00DA4038"/>
    <w:rsid w:val="00DA40BB"/>
    <w:rsid w:val="00DA40EB"/>
    <w:rsid w:val="00DA4105"/>
    <w:rsid w:val="00DA425A"/>
    <w:rsid w:val="00DA42C4"/>
    <w:rsid w:val="00DA4472"/>
    <w:rsid w:val="00DA4737"/>
    <w:rsid w:val="00DA4834"/>
    <w:rsid w:val="00DA4890"/>
    <w:rsid w:val="00DA4ADB"/>
    <w:rsid w:val="00DA4B36"/>
    <w:rsid w:val="00DA4CF2"/>
    <w:rsid w:val="00DA4DD6"/>
    <w:rsid w:val="00DA4F19"/>
    <w:rsid w:val="00DA4FA0"/>
    <w:rsid w:val="00DA5027"/>
    <w:rsid w:val="00DA508B"/>
    <w:rsid w:val="00DA51DE"/>
    <w:rsid w:val="00DA553B"/>
    <w:rsid w:val="00DA564A"/>
    <w:rsid w:val="00DA56B2"/>
    <w:rsid w:val="00DA5725"/>
    <w:rsid w:val="00DA58E2"/>
    <w:rsid w:val="00DA59B9"/>
    <w:rsid w:val="00DA5A14"/>
    <w:rsid w:val="00DA5A3F"/>
    <w:rsid w:val="00DA5CDA"/>
    <w:rsid w:val="00DA5D1B"/>
    <w:rsid w:val="00DA5E9E"/>
    <w:rsid w:val="00DA5EF1"/>
    <w:rsid w:val="00DA6201"/>
    <w:rsid w:val="00DA624E"/>
    <w:rsid w:val="00DA632F"/>
    <w:rsid w:val="00DA637C"/>
    <w:rsid w:val="00DA63A3"/>
    <w:rsid w:val="00DA674B"/>
    <w:rsid w:val="00DA6756"/>
    <w:rsid w:val="00DA6A7F"/>
    <w:rsid w:val="00DA6A98"/>
    <w:rsid w:val="00DA6CCB"/>
    <w:rsid w:val="00DA6D1F"/>
    <w:rsid w:val="00DA6DE3"/>
    <w:rsid w:val="00DA6F14"/>
    <w:rsid w:val="00DA70A3"/>
    <w:rsid w:val="00DA7310"/>
    <w:rsid w:val="00DA7339"/>
    <w:rsid w:val="00DA738F"/>
    <w:rsid w:val="00DA761F"/>
    <w:rsid w:val="00DA76E6"/>
    <w:rsid w:val="00DA775F"/>
    <w:rsid w:val="00DA7978"/>
    <w:rsid w:val="00DA7AFC"/>
    <w:rsid w:val="00DA7CED"/>
    <w:rsid w:val="00DA7D1E"/>
    <w:rsid w:val="00DA7E5E"/>
    <w:rsid w:val="00DA7EDA"/>
    <w:rsid w:val="00DB0003"/>
    <w:rsid w:val="00DB002A"/>
    <w:rsid w:val="00DB026B"/>
    <w:rsid w:val="00DB04D2"/>
    <w:rsid w:val="00DB0A62"/>
    <w:rsid w:val="00DB0B2D"/>
    <w:rsid w:val="00DB0D50"/>
    <w:rsid w:val="00DB0E7F"/>
    <w:rsid w:val="00DB0F29"/>
    <w:rsid w:val="00DB0FDB"/>
    <w:rsid w:val="00DB1136"/>
    <w:rsid w:val="00DB114D"/>
    <w:rsid w:val="00DB1707"/>
    <w:rsid w:val="00DB173C"/>
    <w:rsid w:val="00DB1864"/>
    <w:rsid w:val="00DB18EE"/>
    <w:rsid w:val="00DB19D5"/>
    <w:rsid w:val="00DB1AC1"/>
    <w:rsid w:val="00DB1AF7"/>
    <w:rsid w:val="00DB1E3F"/>
    <w:rsid w:val="00DB1EB0"/>
    <w:rsid w:val="00DB1F59"/>
    <w:rsid w:val="00DB219B"/>
    <w:rsid w:val="00DB219E"/>
    <w:rsid w:val="00DB21C0"/>
    <w:rsid w:val="00DB21DC"/>
    <w:rsid w:val="00DB2219"/>
    <w:rsid w:val="00DB2314"/>
    <w:rsid w:val="00DB2347"/>
    <w:rsid w:val="00DB239D"/>
    <w:rsid w:val="00DB24CB"/>
    <w:rsid w:val="00DB253B"/>
    <w:rsid w:val="00DB2768"/>
    <w:rsid w:val="00DB280F"/>
    <w:rsid w:val="00DB283B"/>
    <w:rsid w:val="00DB2AA6"/>
    <w:rsid w:val="00DB2AB2"/>
    <w:rsid w:val="00DB2ACC"/>
    <w:rsid w:val="00DB2B37"/>
    <w:rsid w:val="00DB2B43"/>
    <w:rsid w:val="00DB2D11"/>
    <w:rsid w:val="00DB2D60"/>
    <w:rsid w:val="00DB2E14"/>
    <w:rsid w:val="00DB2E52"/>
    <w:rsid w:val="00DB2F7D"/>
    <w:rsid w:val="00DB2FC4"/>
    <w:rsid w:val="00DB30E2"/>
    <w:rsid w:val="00DB3164"/>
    <w:rsid w:val="00DB3235"/>
    <w:rsid w:val="00DB323E"/>
    <w:rsid w:val="00DB32A3"/>
    <w:rsid w:val="00DB32EF"/>
    <w:rsid w:val="00DB332B"/>
    <w:rsid w:val="00DB3338"/>
    <w:rsid w:val="00DB3527"/>
    <w:rsid w:val="00DB37B1"/>
    <w:rsid w:val="00DB37ED"/>
    <w:rsid w:val="00DB386C"/>
    <w:rsid w:val="00DB39BF"/>
    <w:rsid w:val="00DB39D0"/>
    <w:rsid w:val="00DB3B50"/>
    <w:rsid w:val="00DB3B52"/>
    <w:rsid w:val="00DB3B8D"/>
    <w:rsid w:val="00DB3C52"/>
    <w:rsid w:val="00DB3F63"/>
    <w:rsid w:val="00DB3FDE"/>
    <w:rsid w:val="00DB400E"/>
    <w:rsid w:val="00DB4023"/>
    <w:rsid w:val="00DB40D6"/>
    <w:rsid w:val="00DB4315"/>
    <w:rsid w:val="00DB436E"/>
    <w:rsid w:val="00DB4743"/>
    <w:rsid w:val="00DB4748"/>
    <w:rsid w:val="00DB4752"/>
    <w:rsid w:val="00DB476A"/>
    <w:rsid w:val="00DB499D"/>
    <w:rsid w:val="00DB4AF1"/>
    <w:rsid w:val="00DB4D90"/>
    <w:rsid w:val="00DB4EF2"/>
    <w:rsid w:val="00DB5014"/>
    <w:rsid w:val="00DB501C"/>
    <w:rsid w:val="00DB504D"/>
    <w:rsid w:val="00DB5156"/>
    <w:rsid w:val="00DB52D2"/>
    <w:rsid w:val="00DB535A"/>
    <w:rsid w:val="00DB54C6"/>
    <w:rsid w:val="00DB579D"/>
    <w:rsid w:val="00DB5830"/>
    <w:rsid w:val="00DB583A"/>
    <w:rsid w:val="00DB5ACE"/>
    <w:rsid w:val="00DB5BDB"/>
    <w:rsid w:val="00DB5C61"/>
    <w:rsid w:val="00DB5D7E"/>
    <w:rsid w:val="00DB5DD0"/>
    <w:rsid w:val="00DB5F56"/>
    <w:rsid w:val="00DB5FEA"/>
    <w:rsid w:val="00DB6147"/>
    <w:rsid w:val="00DB617F"/>
    <w:rsid w:val="00DB6211"/>
    <w:rsid w:val="00DB6244"/>
    <w:rsid w:val="00DB6301"/>
    <w:rsid w:val="00DB652E"/>
    <w:rsid w:val="00DB66C2"/>
    <w:rsid w:val="00DB678D"/>
    <w:rsid w:val="00DB68B7"/>
    <w:rsid w:val="00DB69CF"/>
    <w:rsid w:val="00DB6B07"/>
    <w:rsid w:val="00DB6B33"/>
    <w:rsid w:val="00DB6CFF"/>
    <w:rsid w:val="00DB6FCC"/>
    <w:rsid w:val="00DB708D"/>
    <w:rsid w:val="00DB70F2"/>
    <w:rsid w:val="00DB71B2"/>
    <w:rsid w:val="00DB72C7"/>
    <w:rsid w:val="00DB7304"/>
    <w:rsid w:val="00DB741A"/>
    <w:rsid w:val="00DB75B6"/>
    <w:rsid w:val="00DB761A"/>
    <w:rsid w:val="00DB766E"/>
    <w:rsid w:val="00DB7B90"/>
    <w:rsid w:val="00DB7BDE"/>
    <w:rsid w:val="00DB7CFF"/>
    <w:rsid w:val="00DB7D1A"/>
    <w:rsid w:val="00DB7DDF"/>
    <w:rsid w:val="00DB7E99"/>
    <w:rsid w:val="00DB7EF9"/>
    <w:rsid w:val="00DB7F74"/>
    <w:rsid w:val="00DC01E2"/>
    <w:rsid w:val="00DC01EE"/>
    <w:rsid w:val="00DC06EF"/>
    <w:rsid w:val="00DC07B1"/>
    <w:rsid w:val="00DC0B0C"/>
    <w:rsid w:val="00DC0BD4"/>
    <w:rsid w:val="00DC0C2F"/>
    <w:rsid w:val="00DC0CAA"/>
    <w:rsid w:val="00DC0D4B"/>
    <w:rsid w:val="00DC1113"/>
    <w:rsid w:val="00DC11A6"/>
    <w:rsid w:val="00DC12A0"/>
    <w:rsid w:val="00DC168D"/>
    <w:rsid w:val="00DC175D"/>
    <w:rsid w:val="00DC17EE"/>
    <w:rsid w:val="00DC1BB2"/>
    <w:rsid w:val="00DC1BB8"/>
    <w:rsid w:val="00DC1BF3"/>
    <w:rsid w:val="00DC1C1A"/>
    <w:rsid w:val="00DC1D32"/>
    <w:rsid w:val="00DC1DA4"/>
    <w:rsid w:val="00DC1DBC"/>
    <w:rsid w:val="00DC1DF6"/>
    <w:rsid w:val="00DC1E69"/>
    <w:rsid w:val="00DC1FC9"/>
    <w:rsid w:val="00DC2322"/>
    <w:rsid w:val="00DC23ED"/>
    <w:rsid w:val="00DC2766"/>
    <w:rsid w:val="00DC2811"/>
    <w:rsid w:val="00DC2A70"/>
    <w:rsid w:val="00DC2ACC"/>
    <w:rsid w:val="00DC2AF6"/>
    <w:rsid w:val="00DC2D42"/>
    <w:rsid w:val="00DC2EA7"/>
    <w:rsid w:val="00DC3178"/>
    <w:rsid w:val="00DC32A2"/>
    <w:rsid w:val="00DC32D9"/>
    <w:rsid w:val="00DC3533"/>
    <w:rsid w:val="00DC3640"/>
    <w:rsid w:val="00DC36A4"/>
    <w:rsid w:val="00DC370A"/>
    <w:rsid w:val="00DC3766"/>
    <w:rsid w:val="00DC37EC"/>
    <w:rsid w:val="00DC38D2"/>
    <w:rsid w:val="00DC38EC"/>
    <w:rsid w:val="00DC39E8"/>
    <w:rsid w:val="00DC3D7E"/>
    <w:rsid w:val="00DC3F79"/>
    <w:rsid w:val="00DC3F7D"/>
    <w:rsid w:val="00DC4430"/>
    <w:rsid w:val="00DC44AD"/>
    <w:rsid w:val="00DC45EE"/>
    <w:rsid w:val="00DC46BA"/>
    <w:rsid w:val="00DC4786"/>
    <w:rsid w:val="00DC4879"/>
    <w:rsid w:val="00DC487B"/>
    <w:rsid w:val="00DC4BE8"/>
    <w:rsid w:val="00DC4DBE"/>
    <w:rsid w:val="00DC4EB6"/>
    <w:rsid w:val="00DC4F7A"/>
    <w:rsid w:val="00DC5067"/>
    <w:rsid w:val="00DC5650"/>
    <w:rsid w:val="00DC5673"/>
    <w:rsid w:val="00DC5970"/>
    <w:rsid w:val="00DC5BEC"/>
    <w:rsid w:val="00DC5C41"/>
    <w:rsid w:val="00DC5CFB"/>
    <w:rsid w:val="00DC5D83"/>
    <w:rsid w:val="00DC5DF7"/>
    <w:rsid w:val="00DC5E51"/>
    <w:rsid w:val="00DC5EE6"/>
    <w:rsid w:val="00DC5FAA"/>
    <w:rsid w:val="00DC60A2"/>
    <w:rsid w:val="00DC6147"/>
    <w:rsid w:val="00DC642E"/>
    <w:rsid w:val="00DC64B8"/>
    <w:rsid w:val="00DC673D"/>
    <w:rsid w:val="00DC67C6"/>
    <w:rsid w:val="00DC67E4"/>
    <w:rsid w:val="00DC69D3"/>
    <w:rsid w:val="00DC6A81"/>
    <w:rsid w:val="00DC6B4D"/>
    <w:rsid w:val="00DC6C77"/>
    <w:rsid w:val="00DC6DD9"/>
    <w:rsid w:val="00DC6EAD"/>
    <w:rsid w:val="00DC6F5C"/>
    <w:rsid w:val="00DC6F61"/>
    <w:rsid w:val="00DC70E6"/>
    <w:rsid w:val="00DC73B1"/>
    <w:rsid w:val="00DC73BF"/>
    <w:rsid w:val="00DC73CA"/>
    <w:rsid w:val="00DC73F5"/>
    <w:rsid w:val="00DC7480"/>
    <w:rsid w:val="00DC75BF"/>
    <w:rsid w:val="00DC769E"/>
    <w:rsid w:val="00DC78B3"/>
    <w:rsid w:val="00DC79EF"/>
    <w:rsid w:val="00DC7C27"/>
    <w:rsid w:val="00DC7C6A"/>
    <w:rsid w:val="00DC7C78"/>
    <w:rsid w:val="00DC7D99"/>
    <w:rsid w:val="00DD00B3"/>
    <w:rsid w:val="00DD0268"/>
    <w:rsid w:val="00DD0492"/>
    <w:rsid w:val="00DD04EB"/>
    <w:rsid w:val="00DD0970"/>
    <w:rsid w:val="00DD0C58"/>
    <w:rsid w:val="00DD0E58"/>
    <w:rsid w:val="00DD0E81"/>
    <w:rsid w:val="00DD0EC5"/>
    <w:rsid w:val="00DD10D0"/>
    <w:rsid w:val="00DD1142"/>
    <w:rsid w:val="00DD1647"/>
    <w:rsid w:val="00DD1653"/>
    <w:rsid w:val="00DD1798"/>
    <w:rsid w:val="00DD1968"/>
    <w:rsid w:val="00DD1B01"/>
    <w:rsid w:val="00DD1BC1"/>
    <w:rsid w:val="00DD1DF2"/>
    <w:rsid w:val="00DD1E27"/>
    <w:rsid w:val="00DD1EBA"/>
    <w:rsid w:val="00DD22A7"/>
    <w:rsid w:val="00DD243C"/>
    <w:rsid w:val="00DD24E5"/>
    <w:rsid w:val="00DD2754"/>
    <w:rsid w:val="00DD2863"/>
    <w:rsid w:val="00DD2864"/>
    <w:rsid w:val="00DD2922"/>
    <w:rsid w:val="00DD29E0"/>
    <w:rsid w:val="00DD2CE7"/>
    <w:rsid w:val="00DD2CF9"/>
    <w:rsid w:val="00DD2E42"/>
    <w:rsid w:val="00DD2E68"/>
    <w:rsid w:val="00DD2F9A"/>
    <w:rsid w:val="00DD2FC5"/>
    <w:rsid w:val="00DD317A"/>
    <w:rsid w:val="00DD3325"/>
    <w:rsid w:val="00DD35A6"/>
    <w:rsid w:val="00DD35B0"/>
    <w:rsid w:val="00DD365A"/>
    <w:rsid w:val="00DD3673"/>
    <w:rsid w:val="00DD36E8"/>
    <w:rsid w:val="00DD3764"/>
    <w:rsid w:val="00DD3792"/>
    <w:rsid w:val="00DD3859"/>
    <w:rsid w:val="00DD3932"/>
    <w:rsid w:val="00DD39EA"/>
    <w:rsid w:val="00DD3A04"/>
    <w:rsid w:val="00DD3A89"/>
    <w:rsid w:val="00DD3B7A"/>
    <w:rsid w:val="00DD3CA6"/>
    <w:rsid w:val="00DD3D1F"/>
    <w:rsid w:val="00DD3E32"/>
    <w:rsid w:val="00DD43C6"/>
    <w:rsid w:val="00DD43D3"/>
    <w:rsid w:val="00DD4411"/>
    <w:rsid w:val="00DD444C"/>
    <w:rsid w:val="00DD447B"/>
    <w:rsid w:val="00DD44B5"/>
    <w:rsid w:val="00DD4568"/>
    <w:rsid w:val="00DD4712"/>
    <w:rsid w:val="00DD47B0"/>
    <w:rsid w:val="00DD4809"/>
    <w:rsid w:val="00DD487C"/>
    <w:rsid w:val="00DD4896"/>
    <w:rsid w:val="00DD4A4E"/>
    <w:rsid w:val="00DD4B1E"/>
    <w:rsid w:val="00DD4B89"/>
    <w:rsid w:val="00DD4BDC"/>
    <w:rsid w:val="00DD4C21"/>
    <w:rsid w:val="00DD4CEF"/>
    <w:rsid w:val="00DD4CF9"/>
    <w:rsid w:val="00DD5030"/>
    <w:rsid w:val="00DD5042"/>
    <w:rsid w:val="00DD51F2"/>
    <w:rsid w:val="00DD5271"/>
    <w:rsid w:val="00DD546C"/>
    <w:rsid w:val="00DD54DB"/>
    <w:rsid w:val="00DD56D3"/>
    <w:rsid w:val="00DD593E"/>
    <w:rsid w:val="00DD599D"/>
    <w:rsid w:val="00DD5A0B"/>
    <w:rsid w:val="00DD5A28"/>
    <w:rsid w:val="00DD5DB7"/>
    <w:rsid w:val="00DD5F0E"/>
    <w:rsid w:val="00DD5FBE"/>
    <w:rsid w:val="00DD621D"/>
    <w:rsid w:val="00DD6228"/>
    <w:rsid w:val="00DD6235"/>
    <w:rsid w:val="00DD6288"/>
    <w:rsid w:val="00DD647D"/>
    <w:rsid w:val="00DD64D3"/>
    <w:rsid w:val="00DD677B"/>
    <w:rsid w:val="00DD67EC"/>
    <w:rsid w:val="00DD69F1"/>
    <w:rsid w:val="00DD69F2"/>
    <w:rsid w:val="00DD6AB3"/>
    <w:rsid w:val="00DD6AEF"/>
    <w:rsid w:val="00DD6AF5"/>
    <w:rsid w:val="00DD6B59"/>
    <w:rsid w:val="00DD6B72"/>
    <w:rsid w:val="00DD6BA1"/>
    <w:rsid w:val="00DD6C58"/>
    <w:rsid w:val="00DD6CBC"/>
    <w:rsid w:val="00DD6FC8"/>
    <w:rsid w:val="00DD7076"/>
    <w:rsid w:val="00DD70E4"/>
    <w:rsid w:val="00DD710A"/>
    <w:rsid w:val="00DD7131"/>
    <w:rsid w:val="00DD716B"/>
    <w:rsid w:val="00DD7325"/>
    <w:rsid w:val="00DD7358"/>
    <w:rsid w:val="00DD74BF"/>
    <w:rsid w:val="00DD754D"/>
    <w:rsid w:val="00DD76B1"/>
    <w:rsid w:val="00DD78DB"/>
    <w:rsid w:val="00DD794A"/>
    <w:rsid w:val="00DD7A9E"/>
    <w:rsid w:val="00DD7BA7"/>
    <w:rsid w:val="00DD7C2F"/>
    <w:rsid w:val="00DD7C89"/>
    <w:rsid w:val="00DD7FFB"/>
    <w:rsid w:val="00DE006A"/>
    <w:rsid w:val="00DE01B4"/>
    <w:rsid w:val="00DE03E2"/>
    <w:rsid w:val="00DE053A"/>
    <w:rsid w:val="00DE054B"/>
    <w:rsid w:val="00DE06E8"/>
    <w:rsid w:val="00DE07AB"/>
    <w:rsid w:val="00DE08B4"/>
    <w:rsid w:val="00DE091E"/>
    <w:rsid w:val="00DE0936"/>
    <w:rsid w:val="00DE0A77"/>
    <w:rsid w:val="00DE0ABA"/>
    <w:rsid w:val="00DE0ADC"/>
    <w:rsid w:val="00DE0B47"/>
    <w:rsid w:val="00DE0BE1"/>
    <w:rsid w:val="00DE0DA9"/>
    <w:rsid w:val="00DE0DC4"/>
    <w:rsid w:val="00DE103F"/>
    <w:rsid w:val="00DE1232"/>
    <w:rsid w:val="00DE1381"/>
    <w:rsid w:val="00DE1754"/>
    <w:rsid w:val="00DE17DC"/>
    <w:rsid w:val="00DE18D3"/>
    <w:rsid w:val="00DE1917"/>
    <w:rsid w:val="00DE1923"/>
    <w:rsid w:val="00DE195F"/>
    <w:rsid w:val="00DE1986"/>
    <w:rsid w:val="00DE1ACB"/>
    <w:rsid w:val="00DE1C26"/>
    <w:rsid w:val="00DE1D34"/>
    <w:rsid w:val="00DE1D87"/>
    <w:rsid w:val="00DE1DEA"/>
    <w:rsid w:val="00DE1E11"/>
    <w:rsid w:val="00DE1E5B"/>
    <w:rsid w:val="00DE1F4E"/>
    <w:rsid w:val="00DE2049"/>
    <w:rsid w:val="00DE2060"/>
    <w:rsid w:val="00DE2191"/>
    <w:rsid w:val="00DE2366"/>
    <w:rsid w:val="00DE2596"/>
    <w:rsid w:val="00DE26B5"/>
    <w:rsid w:val="00DE26C5"/>
    <w:rsid w:val="00DE272C"/>
    <w:rsid w:val="00DE27D1"/>
    <w:rsid w:val="00DE286A"/>
    <w:rsid w:val="00DE2939"/>
    <w:rsid w:val="00DE2C85"/>
    <w:rsid w:val="00DE2D48"/>
    <w:rsid w:val="00DE2DC4"/>
    <w:rsid w:val="00DE2EFA"/>
    <w:rsid w:val="00DE2F6A"/>
    <w:rsid w:val="00DE2FC6"/>
    <w:rsid w:val="00DE3092"/>
    <w:rsid w:val="00DE30A8"/>
    <w:rsid w:val="00DE36E6"/>
    <w:rsid w:val="00DE37BF"/>
    <w:rsid w:val="00DE38C3"/>
    <w:rsid w:val="00DE3A56"/>
    <w:rsid w:val="00DE3C79"/>
    <w:rsid w:val="00DE3E1A"/>
    <w:rsid w:val="00DE3E7B"/>
    <w:rsid w:val="00DE406D"/>
    <w:rsid w:val="00DE40BF"/>
    <w:rsid w:val="00DE4274"/>
    <w:rsid w:val="00DE42A2"/>
    <w:rsid w:val="00DE4422"/>
    <w:rsid w:val="00DE45DE"/>
    <w:rsid w:val="00DE4789"/>
    <w:rsid w:val="00DE49B1"/>
    <w:rsid w:val="00DE4A1B"/>
    <w:rsid w:val="00DE4C6B"/>
    <w:rsid w:val="00DE4D32"/>
    <w:rsid w:val="00DE4D82"/>
    <w:rsid w:val="00DE4D9D"/>
    <w:rsid w:val="00DE4DED"/>
    <w:rsid w:val="00DE4E97"/>
    <w:rsid w:val="00DE4F0F"/>
    <w:rsid w:val="00DE4FC7"/>
    <w:rsid w:val="00DE500F"/>
    <w:rsid w:val="00DE515A"/>
    <w:rsid w:val="00DE5274"/>
    <w:rsid w:val="00DE5314"/>
    <w:rsid w:val="00DE539C"/>
    <w:rsid w:val="00DE5433"/>
    <w:rsid w:val="00DE5502"/>
    <w:rsid w:val="00DE5668"/>
    <w:rsid w:val="00DE566C"/>
    <w:rsid w:val="00DE58D1"/>
    <w:rsid w:val="00DE5999"/>
    <w:rsid w:val="00DE5AC8"/>
    <w:rsid w:val="00DE5CAC"/>
    <w:rsid w:val="00DE5D0A"/>
    <w:rsid w:val="00DE5D7F"/>
    <w:rsid w:val="00DE6052"/>
    <w:rsid w:val="00DE6066"/>
    <w:rsid w:val="00DE6110"/>
    <w:rsid w:val="00DE64B4"/>
    <w:rsid w:val="00DE64CF"/>
    <w:rsid w:val="00DE6670"/>
    <w:rsid w:val="00DE680B"/>
    <w:rsid w:val="00DE68E7"/>
    <w:rsid w:val="00DE6D10"/>
    <w:rsid w:val="00DE6DF5"/>
    <w:rsid w:val="00DE6EAA"/>
    <w:rsid w:val="00DE6EE1"/>
    <w:rsid w:val="00DE72E9"/>
    <w:rsid w:val="00DE72ED"/>
    <w:rsid w:val="00DE75F2"/>
    <w:rsid w:val="00DE79DF"/>
    <w:rsid w:val="00DE7A06"/>
    <w:rsid w:val="00DE7A55"/>
    <w:rsid w:val="00DE7C75"/>
    <w:rsid w:val="00DE7D73"/>
    <w:rsid w:val="00DF0005"/>
    <w:rsid w:val="00DF00FC"/>
    <w:rsid w:val="00DF0170"/>
    <w:rsid w:val="00DF0174"/>
    <w:rsid w:val="00DF033C"/>
    <w:rsid w:val="00DF0B12"/>
    <w:rsid w:val="00DF0B98"/>
    <w:rsid w:val="00DF0BA1"/>
    <w:rsid w:val="00DF0C0D"/>
    <w:rsid w:val="00DF0D4B"/>
    <w:rsid w:val="00DF0D70"/>
    <w:rsid w:val="00DF0E10"/>
    <w:rsid w:val="00DF0F53"/>
    <w:rsid w:val="00DF0F84"/>
    <w:rsid w:val="00DF124C"/>
    <w:rsid w:val="00DF12B7"/>
    <w:rsid w:val="00DF12E1"/>
    <w:rsid w:val="00DF1368"/>
    <w:rsid w:val="00DF138D"/>
    <w:rsid w:val="00DF13FB"/>
    <w:rsid w:val="00DF140A"/>
    <w:rsid w:val="00DF1441"/>
    <w:rsid w:val="00DF14D4"/>
    <w:rsid w:val="00DF16A7"/>
    <w:rsid w:val="00DF1767"/>
    <w:rsid w:val="00DF1862"/>
    <w:rsid w:val="00DF1938"/>
    <w:rsid w:val="00DF19BA"/>
    <w:rsid w:val="00DF19EE"/>
    <w:rsid w:val="00DF1A6F"/>
    <w:rsid w:val="00DF1ACD"/>
    <w:rsid w:val="00DF1C5E"/>
    <w:rsid w:val="00DF1DEA"/>
    <w:rsid w:val="00DF218E"/>
    <w:rsid w:val="00DF2194"/>
    <w:rsid w:val="00DF21BC"/>
    <w:rsid w:val="00DF2250"/>
    <w:rsid w:val="00DF260C"/>
    <w:rsid w:val="00DF2A1A"/>
    <w:rsid w:val="00DF2ABC"/>
    <w:rsid w:val="00DF2AC8"/>
    <w:rsid w:val="00DF2B46"/>
    <w:rsid w:val="00DF2C34"/>
    <w:rsid w:val="00DF2C4D"/>
    <w:rsid w:val="00DF2DDC"/>
    <w:rsid w:val="00DF2E56"/>
    <w:rsid w:val="00DF2F40"/>
    <w:rsid w:val="00DF2F51"/>
    <w:rsid w:val="00DF3033"/>
    <w:rsid w:val="00DF305E"/>
    <w:rsid w:val="00DF30C9"/>
    <w:rsid w:val="00DF31A6"/>
    <w:rsid w:val="00DF31DF"/>
    <w:rsid w:val="00DF325D"/>
    <w:rsid w:val="00DF32F0"/>
    <w:rsid w:val="00DF3350"/>
    <w:rsid w:val="00DF3571"/>
    <w:rsid w:val="00DF37BE"/>
    <w:rsid w:val="00DF38AA"/>
    <w:rsid w:val="00DF3963"/>
    <w:rsid w:val="00DF3E77"/>
    <w:rsid w:val="00DF3EAD"/>
    <w:rsid w:val="00DF3FB1"/>
    <w:rsid w:val="00DF42BF"/>
    <w:rsid w:val="00DF4415"/>
    <w:rsid w:val="00DF4699"/>
    <w:rsid w:val="00DF470C"/>
    <w:rsid w:val="00DF47D3"/>
    <w:rsid w:val="00DF48B9"/>
    <w:rsid w:val="00DF4C07"/>
    <w:rsid w:val="00DF4C63"/>
    <w:rsid w:val="00DF4DDD"/>
    <w:rsid w:val="00DF4E9E"/>
    <w:rsid w:val="00DF4EA0"/>
    <w:rsid w:val="00DF4F7F"/>
    <w:rsid w:val="00DF4FDA"/>
    <w:rsid w:val="00DF51CC"/>
    <w:rsid w:val="00DF52B6"/>
    <w:rsid w:val="00DF5452"/>
    <w:rsid w:val="00DF575B"/>
    <w:rsid w:val="00DF5AC9"/>
    <w:rsid w:val="00DF5BA0"/>
    <w:rsid w:val="00DF5BCE"/>
    <w:rsid w:val="00DF5C19"/>
    <w:rsid w:val="00DF5DF5"/>
    <w:rsid w:val="00DF5E4B"/>
    <w:rsid w:val="00DF5EDB"/>
    <w:rsid w:val="00DF5EE9"/>
    <w:rsid w:val="00DF605C"/>
    <w:rsid w:val="00DF629A"/>
    <w:rsid w:val="00DF658D"/>
    <w:rsid w:val="00DF66D2"/>
    <w:rsid w:val="00DF66F8"/>
    <w:rsid w:val="00DF6736"/>
    <w:rsid w:val="00DF692C"/>
    <w:rsid w:val="00DF6AD2"/>
    <w:rsid w:val="00DF6C0F"/>
    <w:rsid w:val="00DF6D3F"/>
    <w:rsid w:val="00DF6D83"/>
    <w:rsid w:val="00DF6EA4"/>
    <w:rsid w:val="00DF6FD7"/>
    <w:rsid w:val="00DF6FDA"/>
    <w:rsid w:val="00DF7211"/>
    <w:rsid w:val="00DF72C4"/>
    <w:rsid w:val="00DF73B5"/>
    <w:rsid w:val="00DF73E8"/>
    <w:rsid w:val="00DF7416"/>
    <w:rsid w:val="00DF7465"/>
    <w:rsid w:val="00DF757D"/>
    <w:rsid w:val="00DF7756"/>
    <w:rsid w:val="00DF783A"/>
    <w:rsid w:val="00DF7927"/>
    <w:rsid w:val="00DF7999"/>
    <w:rsid w:val="00DF79E8"/>
    <w:rsid w:val="00DF7A2D"/>
    <w:rsid w:val="00DF7ABA"/>
    <w:rsid w:val="00DF7BF0"/>
    <w:rsid w:val="00DF7D31"/>
    <w:rsid w:val="00DF7E41"/>
    <w:rsid w:val="00DF7F68"/>
    <w:rsid w:val="00E002EE"/>
    <w:rsid w:val="00E003A7"/>
    <w:rsid w:val="00E00542"/>
    <w:rsid w:val="00E00595"/>
    <w:rsid w:val="00E005DF"/>
    <w:rsid w:val="00E0063D"/>
    <w:rsid w:val="00E00872"/>
    <w:rsid w:val="00E008AC"/>
    <w:rsid w:val="00E009A2"/>
    <w:rsid w:val="00E00A3C"/>
    <w:rsid w:val="00E00AA6"/>
    <w:rsid w:val="00E00AE9"/>
    <w:rsid w:val="00E00B8C"/>
    <w:rsid w:val="00E00C0F"/>
    <w:rsid w:val="00E00D8A"/>
    <w:rsid w:val="00E00D9E"/>
    <w:rsid w:val="00E00E0A"/>
    <w:rsid w:val="00E00EE8"/>
    <w:rsid w:val="00E00F3C"/>
    <w:rsid w:val="00E010EC"/>
    <w:rsid w:val="00E01143"/>
    <w:rsid w:val="00E01152"/>
    <w:rsid w:val="00E01181"/>
    <w:rsid w:val="00E01252"/>
    <w:rsid w:val="00E01411"/>
    <w:rsid w:val="00E014E0"/>
    <w:rsid w:val="00E01537"/>
    <w:rsid w:val="00E01551"/>
    <w:rsid w:val="00E015C9"/>
    <w:rsid w:val="00E01641"/>
    <w:rsid w:val="00E01660"/>
    <w:rsid w:val="00E0168C"/>
    <w:rsid w:val="00E016D3"/>
    <w:rsid w:val="00E01839"/>
    <w:rsid w:val="00E018E8"/>
    <w:rsid w:val="00E019A7"/>
    <w:rsid w:val="00E01BAC"/>
    <w:rsid w:val="00E01D36"/>
    <w:rsid w:val="00E01DC5"/>
    <w:rsid w:val="00E01E2C"/>
    <w:rsid w:val="00E01E5B"/>
    <w:rsid w:val="00E01F37"/>
    <w:rsid w:val="00E01F92"/>
    <w:rsid w:val="00E02026"/>
    <w:rsid w:val="00E0214B"/>
    <w:rsid w:val="00E02165"/>
    <w:rsid w:val="00E021AF"/>
    <w:rsid w:val="00E021B0"/>
    <w:rsid w:val="00E021E8"/>
    <w:rsid w:val="00E02228"/>
    <w:rsid w:val="00E022F4"/>
    <w:rsid w:val="00E02316"/>
    <w:rsid w:val="00E0233D"/>
    <w:rsid w:val="00E02627"/>
    <w:rsid w:val="00E02938"/>
    <w:rsid w:val="00E02B5A"/>
    <w:rsid w:val="00E02B7C"/>
    <w:rsid w:val="00E02D51"/>
    <w:rsid w:val="00E02EAA"/>
    <w:rsid w:val="00E02ED5"/>
    <w:rsid w:val="00E03018"/>
    <w:rsid w:val="00E032A2"/>
    <w:rsid w:val="00E032E6"/>
    <w:rsid w:val="00E0336C"/>
    <w:rsid w:val="00E03384"/>
    <w:rsid w:val="00E0357B"/>
    <w:rsid w:val="00E0367B"/>
    <w:rsid w:val="00E037F6"/>
    <w:rsid w:val="00E037FF"/>
    <w:rsid w:val="00E03A57"/>
    <w:rsid w:val="00E03A81"/>
    <w:rsid w:val="00E03BB9"/>
    <w:rsid w:val="00E03E97"/>
    <w:rsid w:val="00E0404C"/>
    <w:rsid w:val="00E040BF"/>
    <w:rsid w:val="00E040ED"/>
    <w:rsid w:val="00E0432B"/>
    <w:rsid w:val="00E04430"/>
    <w:rsid w:val="00E045E7"/>
    <w:rsid w:val="00E04630"/>
    <w:rsid w:val="00E04684"/>
    <w:rsid w:val="00E0475C"/>
    <w:rsid w:val="00E04C74"/>
    <w:rsid w:val="00E04D3C"/>
    <w:rsid w:val="00E04EAD"/>
    <w:rsid w:val="00E04F55"/>
    <w:rsid w:val="00E05171"/>
    <w:rsid w:val="00E052DC"/>
    <w:rsid w:val="00E05616"/>
    <w:rsid w:val="00E058E4"/>
    <w:rsid w:val="00E05A81"/>
    <w:rsid w:val="00E05B22"/>
    <w:rsid w:val="00E05D13"/>
    <w:rsid w:val="00E05D95"/>
    <w:rsid w:val="00E05F7D"/>
    <w:rsid w:val="00E05FC2"/>
    <w:rsid w:val="00E0608A"/>
    <w:rsid w:val="00E0618A"/>
    <w:rsid w:val="00E061D0"/>
    <w:rsid w:val="00E0635D"/>
    <w:rsid w:val="00E0651E"/>
    <w:rsid w:val="00E0671D"/>
    <w:rsid w:val="00E06784"/>
    <w:rsid w:val="00E06879"/>
    <w:rsid w:val="00E06BA8"/>
    <w:rsid w:val="00E06C55"/>
    <w:rsid w:val="00E06C61"/>
    <w:rsid w:val="00E06C87"/>
    <w:rsid w:val="00E06CAF"/>
    <w:rsid w:val="00E06E03"/>
    <w:rsid w:val="00E06E2C"/>
    <w:rsid w:val="00E07115"/>
    <w:rsid w:val="00E07149"/>
    <w:rsid w:val="00E076D4"/>
    <w:rsid w:val="00E07C34"/>
    <w:rsid w:val="00E07E7C"/>
    <w:rsid w:val="00E102B9"/>
    <w:rsid w:val="00E103C3"/>
    <w:rsid w:val="00E10441"/>
    <w:rsid w:val="00E1050C"/>
    <w:rsid w:val="00E108CB"/>
    <w:rsid w:val="00E10965"/>
    <w:rsid w:val="00E109E9"/>
    <w:rsid w:val="00E10AE0"/>
    <w:rsid w:val="00E10B03"/>
    <w:rsid w:val="00E10CC2"/>
    <w:rsid w:val="00E10CD1"/>
    <w:rsid w:val="00E10CD9"/>
    <w:rsid w:val="00E10DF0"/>
    <w:rsid w:val="00E11002"/>
    <w:rsid w:val="00E11039"/>
    <w:rsid w:val="00E11111"/>
    <w:rsid w:val="00E111A7"/>
    <w:rsid w:val="00E112CC"/>
    <w:rsid w:val="00E112E8"/>
    <w:rsid w:val="00E11421"/>
    <w:rsid w:val="00E1145E"/>
    <w:rsid w:val="00E114A3"/>
    <w:rsid w:val="00E114F0"/>
    <w:rsid w:val="00E11540"/>
    <w:rsid w:val="00E1164F"/>
    <w:rsid w:val="00E1168C"/>
    <w:rsid w:val="00E116D5"/>
    <w:rsid w:val="00E11771"/>
    <w:rsid w:val="00E11790"/>
    <w:rsid w:val="00E1195F"/>
    <w:rsid w:val="00E11981"/>
    <w:rsid w:val="00E119AC"/>
    <w:rsid w:val="00E11CF2"/>
    <w:rsid w:val="00E11EB8"/>
    <w:rsid w:val="00E11FC2"/>
    <w:rsid w:val="00E1215B"/>
    <w:rsid w:val="00E122BC"/>
    <w:rsid w:val="00E12410"/>
    <w:rsid w:val="00E124C1"/>
    <w:rsid w:val="00E124C9"/>
    <w:rsid w:val="00E12804"/>
    <w:rsid w:val="00E12833"/>
    <w:rsid w:val="00E12965"/>
    <w:rsid w:val="00E129E4"/>
    <w:rsid w:val="00E12A79"/>
    <w:rsid w:val="00E12CB6"/>
    <w:rsid w:val="00E12F2E"/>
    <w:rsid w:val="00E13265"/>
    <w:rsid w:val="00E13514"/>
    <w:rsid w:val="00E135FB"/>
    <w:rsid w:val="00E13B08"/>
    <w:rsid w:val="00E13BCC"/>
    <w:rsid w:val="00E13FA5"/>
    <w:rsid w:val="00E144B1"/>
    <w:rsid w:val="00E14520"/>
    <w:rsid w:val="00E146C6"/>
    <w:rsid w:val="00E148AE"/>
    <w:rsid w:val="00E14A66"/>
    <w:rsid w:val="00E14B90"/>
    <w:rsid w:val="00E14BE9"/>
    <w:rsid w:val="00E1506F"/>
    <w:rsid w:val="00E15112"/>
    <w:rsid w:val="00E151A9"/>
    <w:rsid w:val="00E151B3"/>
    <w:rsid w:val="00E151F8"/>
    <w:rsid w:val="00E15531"/>
    <w:rsid w:val="00E1561B"/>
    <w:rsid w:val="00E1568E"/>
    <w:rsid w:val="00E156E5"/>
    <w:rsid w:val="00E1592F"/>
    <w:rsid w:val="00E1598E"/>
    <w:rsid w:val="00E15E38"/>
    <w:rsid w:val="00E15E40"/>
    <w:rsid w:val="00E15FA2"/>
    <w:rsid w:val="00E15FAD"/>
    <w:rsid w:val="00E16112"/>
    <w:rsid w:val="00E16213"/>
    <w:rsid w:val="00E162A8"/>
    <w:rsid w:val="00E16366"/>
    <w:rsid w:val="00E16588"/>
    <w:rsid w:val="00E165CC"/>
    <w:rsid w:val="00E1677D"/>
    <w:rsid w:val="00E16B25"/>
    <w:rsid w:val="00E16B91"/>
    <w:rsid w:val="00E16C72"/>
    <w:rsid w:val="00E16D61"/>
    <w:rsid w:val="00E16E65"/>
    <w:rsid w:val="00E16FC9"/>
    <w:rsid w:val="00E17066"/>
    <w:rsid w:val="00E17175"/>
    <w:rsid w:val="00E171F9"/>
    <w:rsid w:val="00E172CF"/>
    <w:rsid w:val="00E173D5"/>
    <w:rsid w:val="00E17426"/>
    <w:rsid w:val="00E175F7"/>
    <w:rsid w:val="00E1763D"/>
    <w:rsid w:val="00E176DB"/>
    <w:rsid w:val="00E17774"/>
    <w:rsid w:val="00E17964"/>
    <w:rsid w:val="00E17ACA"/>
    <w:rsid w:val="00E17B2F"/>
    <w:rsid w:val="00E17C95"/>
    <w:rsid w:val="00E17E37"/>
    <w:rsid w:val="00E17E39"/>
    <w:rsid w:val="00E17E53"/>
    <w:rsid w:val="00E17E8A"/>
    <w:rsid w:val="00E17EE8"/>
    <w:rsid w:val="00E17EF8"/>
    <w:rsid w:val="00E202E5"/>
    <w:rsid w:val="00E203F3"/>
    <w:rsid w:val="00E20632"/>
    <w:rsid w:val="00E206C2"/>
    <w:rsid w:val="00E206FB"/>
    <w:rsid w:val="00E2081C"/>
    <w:rsid w:val="00E208B6"/>
    <w:rsid w:val="00E209F5"/>
    <w:rsid w:val="00E20B32"/>
    <w:rsid w:val="00E20C58"/>
    <w:rsid w:val="00E20C9C"/>
    <w:rsid w:val="00E20CD7"/>
    <w:rsid w:val="00E20E66"/>
    <w:rsid w:val="00E20EAB"/>
    <w:rsid w:val="00E20EE1"/>
    <w:rsid w:val="00E20FAE"/>
    <w:rsid w:val="00E20FBB"/>
    <w:rsid w:val="00E2112F"/>
    <w:rsid w:val="00E2114C"/>
    <w:rsid w:val="00E21391"/>
    <w:rsid w:val="00E21434"/>
    <w:rsid w:val="00E214BE"/>
    <w:rsid w:val="00E214DB"/>
    <w:rsid w:val="00E215D1"/>
    <w:rsid w:val="00E21729"/>
    <w:rsid w:val="00E21776"/>
    <w:rsid w:val="00E21AAB"/>
    <w:rsid w:val="00E21AEE"/>
    <w:rsid w:val="00E21B81"/>
    <w:rsid w:val="00E21CD9"/>
    <w:rsid w:val="00E21D30"/>
    <w:rsid w:val="00E21E16"/>
    <w:rsid w:val="00E21F72"/>
    <w:rsid w:val="00E21F99"/>
    <w:rsid w:val="00E21FD2"/>
    <w:rsid w:val="00E220D6"/>
    <w:rsid w:val="00E2210D"/>
    <w:rsid w:val="00E2216B"/>
    <w:rsid w:val="00E2218E"/>
    <w:rsid w:val="00E22198"/>
    <w:rsid w:val="00E222BD"/>
    <w:rsid w:val="00E223CF"/>
    <w:rsid w:val="00E2249D"/>
    <w:rsid w:val="00E22506"/>
    <w:rsid w:val="00E22968"/>
    <w:rsid w:val="00E229AB"/>
    <w:rsid w:val="00E22AED"/>
    <w:rsid w:val="00E22C26"/>
    <w:rsid w:val="00E22C8C"/>
    <w:rsid w:val="00E22CD9"/>
    <w:rsid w:val="00E22CFF"/>
    <w:rsid w:val="00E22DC8"/>
    <w:rsid w:val="00E22DCB"/>
    <w:rsid w:val="00E22EAE"/>
    <w:rsid w:val="00E22EC5"/>
    <w:rsid w:val="00E22F14"/>
    <w:rsid w:val="00E2307A"/>
    <w:rsid w:val="00E232D6"/>
    <w:rsid w:val="00E23548"/>
    <w:rsid w:val="00E2358B"/>
    <w:rsid w:val="00E236CF"/>
    <w:rsid w:val="00E23843"/>
    <w:rsid w:val="00E238B3"/>
    <w:rsid w:val="00E23994"/>
    <w:rsid w:val="00E23ADF"/>
    <w:rsid w:val="00E23BD5"/>
    <w:rsid w:val="00E23DAD"/>
    <w:rsid w:val="00E240B3"/>
    <w:rsid w:val="00E24206"/>
    <w:rsid w:val="00E24293"/>
    <w:rsid w:val="00E2430F"/>
    <w:rsid w:val="00E243EF"/>
    <w:rsid w:val="00E243FC"/>
    <w:rsid w:val="00E24415"/>
    <w:rsid w:val="00E247CA"/>
    <w:rsid w:val="00E2487C"/>
    <w:rsid w:val="00E24880"/>
    <w:rsid w:val="00E249A6"/>
    <w:rsid w:val="00E24A7B"/>
    <w:rsid w:val="00E24D56"/>
    <w:rsid w:val="00E24D78"/>
    <w:rsid w:val="00E24DF0"/>
    <w:rsid w:val="00E25108"/>
    <w:rsid w:val="00E25136"/>
    <w:rsid w:val="00E25152"/>
    <w:rsid w:val="00E25268"/>
    <w:rsid w:val="00E252AF"/>
    <w:rsid w:val="00E25312"/>
    <w:rsid w:val="00E25323"/>
    <w:rsid w:val="00E2542D"/>
    <w:rsid w:val="00E2550B"/>
    <w:rsid w:val="00E25729"/>
    <w:rsid w:val="00E2588E"/>
    <w:rsid w:val="00E25A4F"/>
    <w:rsid w:val="00E25DAA"/>
    <w:rsid w:val="00E25FE1"/>
    <w:rsid w:val="00E262EE"/>
    <w:rsid w:val="00E266EC"/>
    <w:rsid w:val="00E2675A"/>
    <w:rsid w:val="00E26896"/>
    <w:rsid w:val="00E26960"/>
    <w:rsid w:val="00E26989"/>
    <w:rsid w:val="00E26993"/>
    <w:rsid w:val="00E26E4B"/>
    <w:rsid w:val="00E26F44"/>
    <w:rsid w:val="00E26FBC"/>
    <w:rsid w:val="00E27050"/>
    <w:rsid w:val="00E2707A"/>
    <w:rsid w:val="00E270D2"/>
    <w:rsid w:val="00E270EB"/>
    <w:rsid w:val="00E271A3"/>
    <w:rsid w:val="00E2726D"/>
    <w:rsid w:val="00E27402"/>
    <w:rsid w:val="00E2748B"/>
    <w:rsid w:val="00E27508"/>
    <w:rsid w:val="00E276BB"/>
    <w:rsid w:val="00E276D7"/>
    <w:rsid w:val="00E277B7"/>
    <w:rsid w:val="00E27813"/>
    <w:rsid w:val="00E279EE"/>
    <w:rsid w:val="00E27C91"/>
    <w:rsid w:val="00E27CBA"/>
    <w:rsid w:val="00E27D61"/>
    <w:rsid w:val="00E27ECF"/>
    <w:rsid w:val="00E3007B"/>
    <w:rsid w:val="00E30450"/>
    <w:rsid w:val="00E304A2"/>
    <w:rsid w:val="00E30600"/>
    <w:rsid w:val="00E309F6"/>
    <w:rsid w:val="00E30A05"/>
    <w:rsid w:val="00E30ABF"/>
    <w:rsid w:val="00E30C87"/>
    <w:rsid w:val="00E30C98"/>
    <w:rsid w:val="00E30E23"/>
    <w:rsid w:val="00E30EC2"/>
    <w:rsid w:val="00E30F54"/>
    <w:rsid w:val="00E310D9"/>
    <w:rsid w:val="00E31386"/>
    <w:rsid w:val="00E315C2"/>
    <w:rsid w:val="00E31605"/>
    <w:rsid w:val="00E3163F"/>
    <w:rsid w:val="00E31777"/>
    <w:rsid w:val="00E318FF"/>
    <w:rsid w:val="00E31921"/>
    <w:rsid w:val="00E31A19"/>
    <w:rsid w:val="00E31AD6"/>
    <w:rsid w:val="00E31B71"/>
    <w:rsid w:val="00E32025"/>
    <w:rsid w:val="00E32083"/>
    <w:rsid w:val="00E320C2"/>
    <w:rsid w:val="00E32127"/>
    <w:rsid w:val="00E321F4"/>
    <w:rsid w:val="00E323DC"/>
    <w:rsid w:val="00E32435"/>
    <w:rsid w:val="00E3258B"/>
    <w:rsid w:val="00E32637"/>
    <w:rsid w:val="00E326C0"/>
    <w:rsid w:val="00E32725"/>
    <w:rsid w:val="00E32A96"/>
    <w:rsid w:val="00E32ABF"/>
    <w:rsid w:val="00E32CB7"/>
    <w:rsid w:val="00E32D9B"/>
    <w:rsid w:val="00E330A6"/>
    <w:rsid w:val="00E33270"/>
    <w:rsid w:val="00E3330E"/>
    <w:rsid w:val="00E33321"/>
    <w:rsid w:val="00E33496"/>
    <w:rsid w:val="00E33594"/>
    <w:rsid w:val="00E33713"/>
    <w:rsid w:val="00E33823"/>
    <w:rsid w:val="00E3385D"/>
    <w:rsid w:val="00E33910"/>
    <w:rsid w:val="00E33A17"/>
    <w:rsid w:val="00E33ABB"/>
    <w:rsid w:val="00E33C36"/>
    <w:rsid w:val="00E3424B"/>
    <w:rsid w:val="00E342A0"/>
    <w:rsid w:val="00E343C2"/>
    <w:rsid w:val="00E34508"/>
    <w:rsid w:val="00E346A3"/>
    <w:rsid w:val="00E348F8"/>
    <w:rsid w:val="00E34B06"/>
    <w:rsid w:val="00E34D5A"/>
    <w:rsid w:val="00E34FA1"/>
    <w:rsid w:val="00E352E9"/>
    <w:rsid w:val="00E35399"/>
    <w:rsid w:val="00E353B5"/>
    <w:rsid w:val="00E356BE"/>
    <w:rsid w:val="00E357FC"/>
    <w:rsid w:val="00E35830"/>
    <w:rsid w:val="00E3594C"/>
    <w:rsid w:val="00E359CA"/>
    <w:rsid w:val="00E35A19"/>
    <w:rsid w:val="00E35A23"/>
    <w:rsid w:val="00E35D36"/>
    <w:rsid w:val="00E35D8F"/>
    <w:rsid w:val="00E3604D"/>
    <w:rsid w:val="00E3605D"/>
    <w:rsid w:val="00E360F4"/>
    <w:rsid w:val="00E36229"/>
    <w:rsid w:val="00E362A2"/>
    <w:rsid w:val="00E36309"/>
    <w:rsid w:val="00E36364"/>
    <w:rsid w:val="00E36550"/>
    <w:rsid w:val="00E3660B"/>
    <w:rsid w:val="00E36778"/>
    <w:rsid w:val="00E36850"/>
    <w:rsid w:val="00E36BB7"/>
    <w:rsid w:val="00E36C72"/>
    <w:rsid w:val="00E36CFD"/>
    <w:rsid w:val="00E36EE8"/>
    <w:rsid w:val="00E36F9D"/>
    <w:rsid w:val="00E37093"/>
    <w:rsid w:val="00E3713A"/>
    <w:rsid w:val="00E37184"/>
    <w:rsid w:val="00E371F5"/>
    <w:rsid w:val="00E37226"/>
    <w:rsid w:val="00E373B4"/>
    <w:rsid w:val="00E37585"/>
    <w:rsid w:val="00E37788"/>
    <w:rsid w:val="00E3778E"/>
    <w:rsid w:val="00E37997"/>
    <w:rsid w:val="00E37B13"/>
    <w:rsid w:val="00E37D23"/>
    <w:rsid w:val="00E37DF4"/>
    <w:rsid w:val="00E37ECC"/>
    <w:rsid w:val="00E37EED"/>
    <w:rsid w:val="00E37F7A"/>
    <w:rsid w:val="00E37F9F"/>
    <w:rsid w:val="00E402CF"/>
    <w:rsid w:val="00E40576"/>
    <w:rsid w:val="00E40818"/>
    <w:rsid w:val="00E40865"/>
    <w:rsid w:val="00E40930"/>
    <w:rsid w:val="00E40A1F"/>
    <w:rsid w:val="00E40BA1"/>
    <w:rsid w:val="00E40BEE"/>
    <w:rsid w:val="00E40E0F"/>
    <w:rsid w:val="00E40F71"/>
    <w:rsid w:val="00E40FA2"/>
    <w:rsid w:val="00E4106E"/>
    <w:rsid w:val="00E41281"/>
    <w:rsid w:val="00E4137D"/>
    <w:rsid w:val="00E4138B"/>
    <w:rsid w:val="00E41A82"/>
    <w:rsid w:val="00E41B64"/>
    <w:rsid w:val="00E41BA1"/>
    <w:rsid w:val="00E41C50"/>
    <w:rsid w:val="00E41DAD"/>
    <w:rsid w:val="00E41DBF"/>
    <w:rsid w:val="00E41DEF"/>
    <w:rsid w:val="00E41E58"/>
    <w:rsid w:val="00E42100"/>
    <w:rsid w:val="00E42135"/>
    <w:rsid w:val="00E42241"/>
    <w:rsid w:val="00E424ED"/>
    <w:rsid w:val="00E42587"/>
    <w:rsid w:val="00E425BC"/>
    <w:rsid w:val="00E42688"/>
    <w:rsid w:val="00E426E1"/>
    <w:rsid w:val="00E4276E"/>
    <w:rsid w:val="00E428B0"/>
    <w:rsid w:val="00E4291F"/>
    <w:rsid w:val="00E43154"/>
    <w:rsid w:val="00E432FA"/>
    <w:rsid w:val="00E43320"/>
    <w:rsid w:val="00E4333F"/>
    <w:rsid w:val="00E434DE"/>
    <w:rsid w:val="00E434E1"/>
    <w:rsid w:val="00E435CD"/>
    <w:rsid w:val="00E43645"/>
    <w:rsid w:val="00E43831"/>
    <w:rsid w:val="00E43926"/>
    <w:rsid w:val="00E439E9"/>
    <w:rsid w:val="00E43B42"/>
    <w:rsid w:val="00E43C2F"/>
    <w:rsid w:val="00E43EC6"/>
    <w:rsid w:val="00E43F23"/>
    <w:rsid w:val="00E43F32"/>
    <w:rsid w:val="00E43F3F"/>
    <w:rsid w:val="00E44030"/>
    <w:rsid w:val="00E4417C"/>
    <w:rsid w:val="00E44212"/>
    <w:rsid w:val="00E4424A"/>
    <w:rsid w:val="00E44529"/>
    <w:rsid w:val="00E4455D"/>
    <w:rsid w:val="00E445A8"/>
    <w:rsid w:val="00E44683"/>
    <w:rsid w:val="00E44840"/>
    <w:rsid w:val="00E44AB8"/>
    <w:rsid w:val="00E44AD2"/>
    <w:rsid w:val="00E44B13"/>
    <w:rsid w:val="00E44B43"/>
    <w:rsid w:val="00E44C2F"/>
    <w:rsid w:val="00E44C48"/>
    <w:rsid w:val="00E44C9E"/>
    <w:rsid w:val="00E44DE7"/>
    <w:rsid w:val="00E44E2E"/>
    <w:rsid w:val="00E44EAE"/>
    <w:rsid w:val="00E45222"/>
    <w:rsid w:val="00E45315"/>
    <w:rsid w:val="00E4532B"/>
    <w:rsid w:val="00E45605"/>
    <w:rsid w:val="00E45701"/>
    <w:rsid w:val="00E4578B"/>
    <w:rsid w:val="00E4583B"/>
    <w:rsid w:val="00E459BB"/>
    <w:rsid w:val="00E459EA"/>
    <w:rsid w:val="00E45B31"/>
    <w:rsid w:val="00E45C2E"/>
    <w:rsid w:val="00E45DF1"/>
    <w:rsid w:val="00E45E1E"/>
    <w:rsid w:val="00E45FD8"/>
    <w:rsid w:val="00E46380"/>
    <w:rsid w:val="00E463C1"/>
    <w:rsid w:val="00E467B6"/>
    <w:rsid w:val="00E4695D"/>
    <w:rsid w:val="00E46A3A"/>
    <w:rsid w:val="00E46ADC"/>
    <w:rsid w:val="00E46AEA"/>
    <w:rsid w:val="00E46C55"/>
    <w:rsid w:val="00E46C95"/>
    <w:rsid w:val="00E46CE8"/>
    <w:rsid w:val="00E46E31"/>
    <w:rsid w:val="00E46F1A"/>
    <w:rsid w:val="00E46F63"/>
    <w:rsid w:val="00E46FB1"/>
    <w:rsid w:val="00E470A5"/>
    <w:rsid w:val="00E475F3"/>
    <w:rsid w:val="00E476A2"/>
    <w:rsid w:val="00E47709"/>
    <w:rsid w:val="00E4776E"/>
    <w:rsid w:val="00E4779F"/>
    <w:rsid w:val="00E47D8D"/>
    <w:rsid w:val="00E47EF8"/>
    <w:rsid w:val="00E47EFC"/>
    <w:rsid w:val="00E47F13"/>
    <w:rsid w:val="00E47F1B"/>
    <w:rsid w:val="00E50068"/>
    <w:rsid w:val="00E5015D"/>
    <w:rsid w:val="00E50239"/>
    <w:rsid w:val="00E50398"/>
    <w:rsid w:val="00E50444"/>
    <w:rsid w:val="00E50AB0"/>
    <w:rsid w:val="00E50B4D"/>
    <w:rsid w:val="00E50CDB"/>
    <w:rsid w:val="00E50EFC"/>
    <w:rsid w:val="00E511B7"/>
    <w:rsid w:val="00E512BE"/>
    <w:rsid w:val="00E517B0"/>
    <w:rsid w:val="00E5186E"/>
    <w:rsid w:val="00E51890"/>
    <w:rsid w:val="00E51B64"/>
    <w:rsid w:val="00E51BAD"/>
    <w:rsid w:val="00E51BF6"/>
    <w:rsid w:val="00E51EBE"/>
    <w:rsid w:val="00E51F33"/>
    <w:rsid w:val="00E51F6E"/>
    <w:rsid w:val="00E51FAC"/>
    <w:rsid w:val="00E52013"/>
    <w:rsid w:val="00E52147"/>
    <w:rsid w:val="00E52292"/>
    <w:rsid w:val="00E5229E"/>
    <w:rsid w:val="00E52336"/>
    <w:rsid w:val="00E52639"/>
    <w:rsid w:val="00E527B8"/>
    <w:rsid w:val="00E52899"/>
    <w:rsid w:val="00E52D99"/>
    <w:rsid w:val="00E52DCE"/>
    <w:rsid w:val="00E52EA2"/>
    <w:rsid w:val="00E52F64"/>
    <w:rsid w:val="00E532C1"/>
    <w:rsid w:val="00E53468"/>
    <w:rsid w:val="00E53484"/>
    <w:rsid w:val="00E53685"/>
    <w:rsid w:val="00E5369E"/>
    <w:rsid w:val="00E5370D"/>
    <w:rsid w:val="00E53A3A"/>
    <w:rsid w:val="00E53ACB"/>
    <w:rsid w:val="00E53B2A"/>
    <w:rsid w:val="00E53C79"/>
    <w:rsid w:val="00E53D7D"/>
    <w:rsid w:val="00E53E6B"/>
    <w:rsid w:val="00E5412C"/>
    <w:rsid w:val="00E54183"/>
    <w:rsid w:val="00E541AA"/>
    <w:rsid w:val="00E541C5"/>
    <w:rsid w:val="00E5421B"/>
    <w:rsid w:val="00E542A1"/>
    <w:rsid w:val="00E54434"/>
    <w:rsid w:val="00E5445A"/>
    <w:rsid w:val="00E54480"/>
    <w:rsid w:val="00E544CC"/>
    <w:rsid w:val="00E54645"/>
    <w:rsid w:val="00E5468A"/>
    <w:rsid w:val="00E5473B"/>
    <w:rsid w:val="00E54866"/>
    <w:rsid w:val="00E5497D"/>
    <w:rsid w:val="00E54A6C"/>
    <w:rsid w:val="00E54AA0"/>
    <w:rsid w:val="00E54AE5"/>
    <w:rsid w:val="00E54C67"/>
    <w:rsid w:val="00E54D07"/>
    <w:rsid w:val="00E54E17"/>
    <w:rsid w:val="00E55227"/>
    <w:rsid w:val="00E554DC"/>
    <w:rsid w:val="00E55672"/>
    <w:rsid w:val="00E5594C"/>
    <w:rsid w:val="00E55BF3"/>
    <w:rsid w:val="00E55C03"/>
    <w:rsid w:val="00E55E20"/>
    <w:rsid w:val="00E55E60"/>
    <w:rsid w:val="00E55E73"/>
    <w:rsid w:val="00E56198"/>
    <w:rsid w:val="00E563A1"/>
    <w:rsid w:val="00E56436"/>
    <w:rsid w:val="00E56457"/>
    <w:rsid w:val="00E56501"/>
    <w:rsid w:val="00E5651C"/>
    <w:rsid w:val="00E5671D"/>
    <w:rsid w:val="00E56818"/>
    <w:rsid w:val="00E568ED"/>
    <w:rsid w:val="00E56934"/>
    <w:rsid w:val="00E56952"/>
    <w:rsid w:val="00E569B5"/>
    <w:rsid w:val="00E56A0B"/>
    <w:rsid w:val="00E56AE1"/>
    <w:rsid w:val="00E56BB3"/>
    <w:rsid w:val="00E56C11"/>
    <w:rsid w:val="00E56D5E"/>
    <w:rsid w:val="00E56D91"/>
    <w:rsid w:val="00E56E72"/>
    <w:rsid w:val="00E56E9B"/>
    <w:rsid w:val="00E56F58"/>
    <w:rsid w:val="00E56FCE"/>
    <w:rsid w:val="00E5701F"/>
    <w:rsid w:val="00E5715B"/>
    <w:rsid w:val="00E5717A"/>
    <w:rsid w:val="00E5729D"/>
    <w:rsid w:val="00E572A6"/>
    <w:rsid w:val="00E572E4"/>
    <w:rsid w:val="00E57318"/>
    <w:rsid w:val="00E57551"/>
    <w:rsid w:val="00E57615"/>
    <w:rsid w:val="00E576BD"/>
    <w:rsid w:val="00E57751"/>
    <w:rsid w:val="00E57A64"/>
    <w:rsid w:val="00E57D5F"/>
    <w:rsid w:val="00E57FE7"/>
    <w:rsid w:val="00E6006F"/>
    <w:rsid w:val="00E60120"/>
    <w:rsid w:val="00E6012B"/>
    <w:rsid w:val="00E60246"/>
    <w:rsid w:val="00E603A2"/>
    <w:rsid w:val="00E6041B"/>
    <w:rsid w:val="00E604DD"/>
    <w:rsid w:val="00E60561"/>
    <w:rsid w:val="00E60B24"/>
    <w:rsid w:val="00E60D4E"/>
    <w:rsid w:val="00E60DE1"/>
    <w:rsid w:val="00E60FC4"/>
    <w:rsid w:val="00E61086"/>
    <w:rsid w:val="00E610E0"/>
    <w:rsid w:val="00E610E5"/>
    <w:rsid w:val="00E6118E"/>
    <w:rsid w:val="00E612BD"/>
    <w:rsid w:val="00E61324"/>
    <w:rsid w:val="00E614E9"/>
    <w:rsid w:val="00E615B6"/>
    <w:rsid w:val="00E615D5"/>
    <w:rsid w:val="00E6160E"/>
    <w:rsid w:val="00E6169B"/>
    <w:rsid w:val="00E616E7"/>
    <w:rsid w:val="00E6176A"/>
    <w:rsid w:val="00E618A7"/>
    <w:rsid w:val="00E61C92"/>
    <w:rsid w:val="00E61D15"/>
    <w:rsid w:val="00E61FD2"/>
    <w:rsid w:val="00E61FF6"/>
    <w:rsid w:val="00E6202C"/>
    <w:rsid w:val="00E621DB"/>
    <w:rsid w:val="00E62281"/>
    <w:rsid w:val="00E622AD"/>
    <w:rsid w:val="00E624C7"/>
    <w:rsid w:val="00E629AB"/>
    <w:rsid w:val="00E629F0"/>
    <w:rsid w:val="00E62ABC"/>
    <w:rsid w:val="00E62B51"/>
    <w:rsid w:val="00E62BAB"/>
    <w:rsid w:val="00E62C1F"/>
    <w:rsid w:val="00E62C68"/>
    <w:rsid w:val="00E62F52"/>
    <w:rsid w:val="00E631B4"/>
    <w:rsid w:val="00E63262"/>
    <w:rsid w:val="00E63330"/>
    <w:rsid w:val="00E638BF"/>
    <w:rsid w:val="00E63972"/>
    <w:rsid w:val="00E6399E"/>
    <w:rsid w:val="00E63BFC"/>
    <w:rsid w:val="00E63CDF"/>
    <w:rsid w:val="00E63CFD"/>
    <w:rsid w:val="00E63EBF"/>
    <w:rsid w:val="00E63EDF"/>
    <w:rsid w:val="00E63F33"/>
    <w:rsid w:val="00E641B4"/>
    <w:rsid w:val="00E643C5"/>
    <w:rsid w:val="00E644B8"/>
    <w:rsid w:val="00E6456C"/>
    <w:rsid w:val="00E64585"/>
    <w:rsid w:val="00E6462D"/>
    <w:rsid w:val="00E64797"/>
    <w:rsid w:val="00E647A1"/>
    <w:rsid w:val="00E64F38"/>
    <w:rsid w:val="00E65124"/>
    <w:rsid w:val="00E65283"/>
    <w:rsid w:val="00E6529E"/>
    <w:rsid w:val="00E65337"/>
    <w:rsid w:val="00E654ED"/>
    <w:rsid w:val="00E65573"/>
    <w:rsid w:val="00E656A3"/>
    <w:rsid w:val="00E65713"/>
    <w:rsid w:val="00E65723"/>
    <w:rsid w:val="00E657DA"/>
    <w:rsid w:val="00E65971"/>
    <w:rsid w:val="00E65AD0"/>
    <w:rsid w:val="00E65BA1"/>
    <w:rsid w:val="00E65C63"/>
    <w:rsid w:val="00E65D00"/>
    <w:rsid w:val="00E65E99"/>
    <w:rsid w:val="00E65F2B"/>
    <w:rsid w:val="00E66081"/>
    <w:rsid w:val="00E660DD"/>
    <w:rsid w:val="00E661D6"/>
    <w:rsid w:val="00E662B1"/>
    <w:rsid w:val="00E66563"/>
    <w:rsid w:val="00E66827"/>
    <w:rsid w:val="00E66916"/>
    <w:rsid w:val="00E66969"/>
    <w:rsid w:val="00E66A4D"/>
    <w:rsid w:val="00E66A87"/>
    <w:rsid w:val="00E66BB2"/>
    <w:rsid w:val="00E66BC3"/>
    <w:rsid w:val="00E66C58"/>
    <w:rsid w:val="00E66D72"/>
    <w:rsid w:val="00E6700D"/>
    <w:rsid w:val="00E67047"/>
    <w:rsid w:val="00E67192"/>
    <w:rsid w:val="00E671ED"/>
    <w:rsid w:val="00E672C7"/>
    <w:rsid w:val="00E6744F"/>
    <w:rsid w:val="00E67756"/>
    <w:rsid w:val="00E678B4"/>
    <w:rsid w:val="00E67ADD"/>
    <w:rsid w:val="00E67CA1"/>
    <w:rsid w:val="00E67CAE"/>
    <w:rsid w:val="00E67F04"/>
    <w:rsid w:val="00E700E0"/>
    <w:rsid w:val="00E70157"/>
    <w:rsid w:val="00E70179"/>
    <w:rsid w:val="00E70182"/>
    <w:rsid w:val="00E70412"/>
    <w:rsid w:val="00E7043C"/>
    <w:rsid w:val="00E7057C"/>
    <w:rsid w:val="00E70714"/>
    <w:rsid w:val="00E7078D"/>
    <w:rsid w:val="00E708A2"/>
    <w:rsid w:val="00E709A2"/>
    <w:rsid w:val="00E70C76"/>
    <w:rsid w:val="00E70DAB"/>
    <w:rsid w:val="00E70E06"/>
    <w:rsid w:val="00E70FD7"/>
    <w:rsid w:val="00E71069"/>
    <w:rsid w:val="00E713CA"/>
    <w:rsid w:val="00E71517"/>
    <w:rsid w:val="00E7155C"/>
    <w:rsid w:val="00E71671"/>
    <w:rsid w:val="00E7178F"/>
    <w:rsid w:val="00E71812"/>
    <w:rsid w:val="00E71951"/>
    <w:rsid w:val="00E7196A"/>
    <w:rsid w:val="00E7199D"/>
    <w:rsid w:val="00E71B00"/>
    <w:rsid w:val="00E71BB5"/>
    <w:rsid w:val="00E71C78"/>
    <w:rsid w:val="00E71CB6"/>
    <w:rsid w:val="00E71D84"/>
    <w:rsid w:val="00E71E4E"/>
    <w:rsid w:val="00E71EC7"/>
    <w:rsid w:val="00E71F55"/>
    <w:rsid w:val="00E72232"/>
    <w:rsid w:val="00E72375"/>
    <w:rsid w:val="00E72388"/>
    <w:rsid w:val="00E72470"/>
    <w:rsid w:val="00E724A3"/>
    <w:rsid w:val="00E7260C"/>
    <w:rsid w:val="00E7260E"/>
    <w:rsid w:val="00E726B0"/>
    <w:rsid w:val="00E726C1"/>
    <w:rsid w:val="00E727B5"/>
    <w:rsid w:val="00E729F7"/>
    <w:rsid w:val="00E72A1E"/>
    <w:rsid w:val="00E72B60"/>
    <w:rsid w:val="00E72D97"/>
    <w:rsid w:val="00E72F6D"/>
    <w:rsid w:val="00E72F8F"/>
    <w:rsid w:val="00E7324A"/>
    <w:rsid w:val="00E73293"/>
    <w:rsid w:val="00E732A4"/>
    <w:rsid w:val="00E7341F"/>
    <w:rsid w:val="00E73491"/>
    <w:rsid w:val="00E73803"/>
    <w:rsid w:val="00E73822"/>
    <w:rsid w:val="00E73A2D"/>
    <w:rsid w:val="00E73B64"/>
    <w:rsid w:val="00E73E29"/>
    <w:rsid w:val="00E73ED1"/>
    <w:rsid w:val="00E73ED3"/>
    <w:rsid w:val="00E73FE9"/>
    <w:rsid w:val="00E7402D"/>
    <w:rsid w:val="00E74130"/>
    <w:rsid w:val="00E743EC"/>
    <w:rsid w:val="00E743F4"/>
    <w:rsid w:val="00E74422"/>
    <w:rsid w:val="00E744E8"/>
    <w:rsid w:val="00E74521"/>
    <w:rsid w:val="00E7468B"/>
    <w:rsid w:val="00E746EF"/>
    <w:rsid w:val="00E74759"/>
    <w:rsid w:val="00E74BF0"/>
    <w:rsid w:val="00E74C79"/>
    <w:rsid w:val="00E74CDB"/>
    <w:rsid w:val="00E74E52"/>
    <w:rsid w:val="00E74FD2"/>
    <w:rsid w:val="00E7512E"/>
    <w:rsid w:val="00E754D7"/>
    <w:rsid w:val="00E7550C"/>
    <w:rsid w:val="00E75513"/>
    <w:rsid w:val="00E75567"/>
    <w:rsid w:val="00E75651"/>
    <w:rsid w:val="00E757DA"/>
    <w:rsid w:val="00E757EB"/>
    <w:rsid w:val="00E75860"/>
    <w:rsid w:val="00E75892"/>
    <w:rsid w:val="00E7597B"/>
    <w:rsid w:val="00E75ABD"/>
    <w:rsid w:val="00E75C43"/>
    <w:rsid w:val="00E75CBE"/>
    <w:rsid w:val="00E75D6D"/>
    <w:rsid w:val="00E75EDB"/>
    <w:rsid w:val="00E7604D"/>
    <w:rsid w:val="00E7607E"/>
    <w:rsid w:val="00E762CF"/>
    <w:rsid w:val="00E7632E"/>
    <w:rsid w:val="00E76334"/>
    <w:rsid w:val="00E7633A"/>
    <w:rsid w:val="00E76573"/>
    <w:rsid w:val="00E7691D"/>
    <w:rsid w:val="00E769A2"/>
    <w:rsid w:val="00E76A08"/>
    <w:rsid w:val="00E76B94"/>
    <w:rsid w:val="00E76DD2"/>
    <w:rsid w:val="00E76F07"/>
    <w:rsid w:val="00E76F17"/>
    <w:rsid w:val="00E76FB4"/>
    <w:rsid w:val="00E774D1"/>
    <w:rsid w:val="00E775B2"/>
    <w:rsid w:val="00E77640"/>
    <w:rsid w:val="00E776DF"/>
    <w:rsid w:val="00E778B3"/>
    <w:rsid w:val="00E77A0F"/>
    <w:rsid w:val="00E77AE4"/>
    <w:rsid w:val="00E77B4E"/>
    <w:rsid w:val="00E77B5A"/>
    <w:rsid w:val="00E77E32"/>
    <w:rsid w:val="00E77EDE"/>
    <w:rsid w:val="00E77F9B"/>
    <w:rsid w:val="00E77FBE"/>
    <w:rsid w:val="00E8012D"/>
    <w:rsid w:val="00E80150"/>
    <w:rsid w:val="00E8030E"/>
    <w:rsid w:val="00E803F4"/>
    <w:rsid w:val="00E8047A"/>
    <w:rsid w:val="00E804B9"/>
    <w:rsid w:val="00E805E9"/>
    <w:rsid w:val="00E80686"/>
    <w:rsid w:val="00E808DE"/>
    <w:rsid w:val="00E8096A"/>
    <w:rsid w:val="00E80A81"/>
    <w:rsid w:val="00E80B2B"/>
    <w:rsid w:val="00E80C57"/>
    <w:rsid w:val="00E81097"/>
    <w:rsid w:val="00E810B9"/>
    <w:rsid w:val="00E81273"/>
    <w:rsid w:val="00E812D8"/>
    <w:rsid w:val="00E813FC"/>
    <w:rsid w:val="00E8153A"/>
    <w:rsid w:val="00E81550"/>
    <w:rsid w:val="00E8156D"/>
    <w:rsid w:val="00E81614"/>
    <w:rsid w:val="00E8175D"/>
    <w:rsid w:val="00E817EC"/>
    <w:rsid w:val="00E8191D"/>
    <w:rsid w:val="00E819BA"/>
    <w:rsid w:val="00E81B94"/>
    <w:rsid w:val="00E81C4C"/>
    <w:rsid w:val="00E81C4F"/>
    <w:rsid w:val="00E81C54"/>
    <w:rsid w:val="00E81D8D"/>
    <w:rsid w:val="00E81DC6"/>
    <w:rsid w:val="00E81DE3"/>
    <w:rsid w:val="00E81E21"/>
    <w:rsid w:val="00E81E45"/>
    <w:rsid w:val="00E81F74"/>
    <w:rsid w:val="00E81FF9"/>
    <w:rsid w:val="00E82104"/>
    <w:rsid w:val="00E821B6"/>
    <w:rsid w:val="00E8237E"/>
    <w:rsid w:val="00E82391"/>
    <w:rsid w:val="00E823C2"/>
    <w:rsid w:val="00E82650"/>
    <w:rsid w:val="00E82A64"/>
    <w:rsid w:val="00E82A6D"/>
    <w:rsid w:val="00E82AA7"/>
    <w:rsid w:val="00E82ACE"/>
    <w:rsid w:val="00E82C11"/>
    <w:rsid w:val="00E82C62"/>
    <w:rsid w:val="00E82E36"/>
    <w:rsid w:val="00E83089"/>
    <w:rsid w:val="00E83192"/>
    <w:rsid w:val="00E83399"/>
    <w:rsid w:val="00E83516"/>
    <w:rsid w:val="00E835E0"/>
    <w:rsid w:val="00E836B0"/>
    <w:rsid w:val="00E837A5"/>
    <w:rsid w:val="00E837C7"/>
    <w:rsid w:val="00E83818"/>
    <w:rsid w:val="00E838C0"/>
    <w:rsid w:val="00E83969"/>
    <w:rsid w:val="00E83986"/>
    <w:rsid w:val="00E83A08"/>
    <w:rsid w:val="00E83B15"/>
    <w:rsid w:val="00E83B48"/>
    <w:rsid w:val="00E83B7C"/>
    <w:rsid w:val="00E83D91"/>
    <w:rsid w:val="00E84184"/>
    <w:rsid w:val="00E84215"/>
    <w:rsid w:val="00E84277"/>
    <w:rsid w:val="00E84403"/>
    <w:rsid w:val="00E8441E"/>
    <w:rsid w:val="00E84420"/>
    <w:rsid w:val="00E846D3"/>
    <w:rsid w:val="00E8472E"/>
    <w:rsid w:val="00E8492C"/>
    <w:rsid w:val="00E849A1"/>
    <w:rsid w:val="00E84B10"/>
    <w:rsid w:val="00E84CD6"/>
    <w:rsid w:val="00E84D01"/>
    <w:rsid w:val="00E84DF1"/>
    <w:rsid w:val="00E84FB8"/>
    <w:rsid w:val="00E850BA"/>
    <w:rsid w:val="00E8523F"/>
    <w:rsid w:val="00E85266"/>
    <w:rsid w:val="00E8527B"/>
    <w:rsid w:val="00E853F1"/>
    <w:rsid w:val="00E85487"/>
    <w:rsid w:val="00E8553B"/>
    <w:rsid w:val="00E857EB"/>
    <w:rsid w:val="00E858B1"/>
    <w:rsid w:val="00E8594B"/>
    <w:rsid w:val="00E85A4D"/>
    <w:rsid w:val="00E85A76"/>
    <w:rsid w:val="00E85BBF"/>
    <w:rsid w:val="00E85C24"/>
    <w:rsid w:val="00E85C9D"/>
    <w:rsid w:val="00E85CEB"/>
    <w:rsid w:val="00E85D89"/>
    <w:rsid w:val="00E85F22"/>
    <w:rsid w:val="00E86022"/>
    <w:rsid w:val="00E860A5"/>
    <w:rsid w:val="00E86463"/>
    <w:rsid w:val="00E864C5"/>
    <w:rsid w:val="00E86574"/>
    <w:rsid w:val="00E865BD"/>
    <w:rsid w:val="00E8663F"/>
    <w:rsid w:val="00E866AC"/>
    <w:rsid w:val="00E8696F"/>
    <w:rsid w:val="00E86AA1"/>
    <w:rsid w:val="00E86D06"/>
    <w:rsid w:val="00E86D0F"/>
    <w:rsid w:val="00E86F4C"/>
    <w:rsid w:val="00E87170"/>
    <w:rsid w:val="00E8719C"/>
    <w:rsid w:val="00E8749B"/>
    <w:rsid w:val="00E87513"/>
    <w:rsid w:val="00E87618"/>
    <w:rsid w:val="00E879DF"/>
    <w:rsid w:val="00E87A1B"/>
    <w:rsid w:val="00E87B8F"/>
    <w:rsid w:val="00E90054"/>
    <w:rsid w:val="00E9017C"/>
    <w:rsid w:val="00E901FB"/>
    <w:rsid w:val="00E90261"/>
    <w:rsid w:val="00E90321"/>
    <w:rsid w:val="00E9050B"/>
    <w:rsid w:val="00E9070C"/>
    <w:rsid w:val="00E9078F"/>
    <w:rsid w:val="00E90896"/>
    <w:rsid w:val="00E90A25"/>
    <w:rsid w:val="00E90ABB"/>
    <w:rsid w:val="00E90B07"/>
    <w:rsid w:val="00E90B64"/>
    <w:rsid w:val="00E90E0D"/>
    <w:rsid w:val="00E90F5A"/>
    <w:rsid w:val="00E90F85"/>
    <w:rsid w:val="00E90F86"/>
    <w:rsid w:val="00E910EA"/>
    <w:rsid w:val="00E91128"/>
    <w:rsid w:val="00E911C3"/>
    <w:rsid w:val="00E912C1"/>
    <w:rsid w:val="00E912C5"/>
    <w:rsid w:val="00E912EB"/>
    <w:rsid w:val="00E91363"/>
    <w:rsid w:val="00E9139A"/>
    <w:rsid w:val="00E914B0"/>
    <w:rsid w:val="00E915B7"/>
    <w:rsid w:val="00E9167B"/>
    <w:rsid w:val="00E9173D"/>
    <w:rsid w:val="00E91794"/>
    <w:rsid w:val="00E917F3"/>
    <w:rsid w:val="00E918DE"/>
    <w:rsid w:val="00E91A30"/>
    <w:rsid w:val="00E91CF3"/>
    <w:rsid w:val="00E92092"/>
    <w:rsid w:val="00E92170"/>
    <w:rsid w:val="00E921F2"/>
    <w:rsid w:val="00E922C1"/>
    <w:rsid w:val="00E92337"/>
    <w:rsid w:val="00E9236C"/>
    <w:rsid w:val="00E92410"/>
    <w:rsid w:val="00E925E2"/>
    <w:rsid w:val="00E9277B"/>
    <w:rsid w:val="00E928B4"/>
    <w:rsid w:val="00E92A0A"/>
    <w:rsid w:val="00E92CD8"/>
    <w:rsid w:val="00E92D20"/>
    <w:rsid w:val="00E92D36"/>
    <w:rsid w:val="00E92E58"/>
    <w:rsid w:val="00E92E6C"/>
    <w:rsid w:val="00E92EFD"/>
    <w:rsid w:val="00E92F16"/>
    <w:rsid w:val="00E92F4C"/>
    <w:rsid w:val="00E93035"/>
    <w:rsid w:val="00E931EF"/>
    <w:rsid w:val="00E934A7"/>
    <w:rsid w:val="00E934D2"/>
    <w:rsid w:val="00E93513"/>
    <w:rsid w:val="00E93563"/>
    <w:rsid w:val="00E93580"/>
    <w:rsid w:val="00E93593"/>
    <w:rsid w:val="00E937A3"/>
    <w:rsid w:val="00E93831"/>
    <w:rsid w:val="00E939E5"/>
    <w:rsid w:val="00E93A04"/>
    <w:rsid w:val="00E93AA6"/>
    <w:rsid w:val="00E93CF1"/>
    <w:rsid w:val="00E93DB2"/>
    <w:rsid w:val="00E93EC2"/>
    <w:rsid w:val="00E94240"/>
    <w:rsid w:val="00E942A0"/>
    <w:rsid w:val="00E942E8"/>
    <w:rsid w:val="00E94356"/>
    <w:rsid w:val="00E94359"/>
    <w:rsid w:val="00E943AC"/>
    <w:rsid w:val="00E9458F"/>
    <w:rsid w:val="00E945C0"/>
    <w:rsid w:val="00E9470E"/>
    <w:rsid w:val="00E947B8"/>
    <w:rsid w:val="00E94977"/>
    <w:rsid w:val="00E94F98"/>
    <w:rsid w:val="00E953FC"/>
    <w:rsid w:val="00E955D4"/>
    <w:rsid w:val="00E956CD"/>
    <w:rsid w:val="00E958CA"/>
    <w:rsid w:val="00E95A5B"/>
    <w:rsid w:val="00E95B26"/>
    <w:rsid w:val="00E95C50"/>
    <w:rsid w:val="00E95CC9"/>
    <w:rsid w:val="00E95D81"/>
    <w:rsid w:val="00E95EDF"/>
    <w:rsid w:val="00E962F5"/>
    <w:rsid w:val="00E9638B"/>
    <w:rsid w:val="00E96481"/>
    <w:rsid w:val="00E965B7"/>
    <w:rsid w:val="00E9669C"/>
    <w:rsid w:val="00E96962"/>
    <w:rsid w:val="00E9697F"/>
    <w:rsid w:val="00E96C60"/>
    <w:rsid w:val="00E96CAA"/>
    <w:rsid w:val="00E97008"/>
    <w:rsid w:val="00E970C1"/>
    <w:rsid w:val="00E97110"/>
    <w:rsid w:val="00E97217"/>
    <w:rsid w:val="00E97351"/>
    <w:rsid w:val="00E97381"/>
    <w:rsid w:val="00E974C2"/>
    <w:rsid w:val="00E974DF"/>
    <w:rsid w:val="00E97848"/>
    <w:rsid w:val="00E97981"/>
    <w:rsid w:val="00E97A74"/>
    <w:rsid w:val="00E97B75"/>
    <w:rsid w:val="00E97D60"/>
    <w:rsid w:val="00E97E48"/>
    <w:rsid w:val="00E97E93"/>
    <w:rsid w:val="00E97E9E"/>
    <w:rsid w:val="00EA023C"/>
    <w:rsid w:val="00EA0281"/>
    <w:rsid w:val="00EA0282"/>
    <w:rsid w:val="00EA02CB"/>
    <w:rsid w:val="00EA0393"/>
    <w:rsid w:val="00EA0467"/>
    <w:rsid w:val="00EA05B1"/>
    <w:rsid w:val="00EA09A3"/>
    <w:rsid w:val="00EA0A0F"/>
    <w:rsid w:val="00EA0B10"/>
    <w:rsid w:val="00EA0DF3"/>
    <w:rsid w:val="00EA0E6E"/>
    <w:rsid w:val="00EA0F1A"/>
    <w:rsid w:val="00EA0F4E"/>
    <w:rsid w:val="00EA1147"/>
    <w:rsid w:val="00EA11C1"/>
    <w:rsid w:val="00EA1386"/>
    <w:rsid w:val="00EA141E"/>
    <w:rsid w:val="00EA145B"/>
    <w:rsid w:val="00EA15D1"/>
    <w:rsid w:val="00EA16B3"/>
    <w:rsid w:val="00EA16F8"/>
    <w:rsid w:val="00EA1724"/>
    <w:rsid w:val="00EA183A"/>
    <w:rsid w:val="00EA1911"/>
    <w:rsid w:val="00EA20CE"/>
    <w:rsid w:val="00EA215B"/>
    <w:rsid w:val="00EA215D"/>
    <w:rsid w:val="00EA22DF"/>
    <w:rsid w:val="00EA2485"/>
    <w:rsid w:val="00EA27D2"/>
    <w:rsid w:val="00EA2B0E"/>
    <w:rsid w:val="00EA2B5F"/>
    <w:rsid w:val="00EA2DFB"/>
    <w:rsid w:val="00EA2E3A"/>
    <w:rsid w:val="00EA2F16"/>
    <w:rsid w:val="00EA2F1A"/>
    <w:rsid w:val="00EA2F2C"/>
    <w:rsid w:val="00EA2FB8"/>
    <w:rsid w:val="00EA3076"/>
    <w:rsid w:val="00EA33D0"/>
    <w:rsid w:val="00EA3454"/>
    <w:rsid w:val="00EA3458"/>
    <w:rsid w:val="00EA349A"/>
    <w:rsid w:val="00EA377A"/>
    <w:rsid w:val="00EA378E"/>
    <w:rsid w:val="00EA3A3A"/>
    <w:rsid w:val="00EA3AA0"/>
    <w:rsid w:val="00EA3BD8"/>
    <w:rsid w:val="00EA3C81"/>
    <w:rsid w:val="00EA3CD4"/>
    <w:rsid w:val="00EA3D3A"/>
    <w:rsid w:val="00EA3F0B"/>
    <w:rsid w:val="00EA40E0"/>
    <w:rsid w:val="00EA4115"/>
    <w:rsid w:val="00EA4152"/>
    <w:rsid w:val="00EA42AF"/>
    <w:rsid w:val="00EA43A2"/>
    <w:rsid w:val="00EA4629"/>
    <w:rsid w:val="00EA47A6"/>
    <w:rsid w:val="00EA4854"/>
    <w:rsid w:val="00EA4A6A"/>
    <w:rsid w:val="00EA4B5D"/>
    <w:rsid w:val="00EA4E36"/>
    <w:rsid w:val="00EA4F0F"/>
    <w:rsid w:val="00EA50B8"/>
    <w:rsid w:val="00EA514E"/>
    <w:rsid w:val="00EA5175"/>
    <w:rsid w:val="00EA51BB"/>
    <w:rsid w:val="00EA5209"/>
    <w:rsid w:val="00EA52CC"/>
    <w:rsid w:val="00EA52E6"/>
    <w:rsid w:val="00EA53B8"/>
    <w:rsid w:val="00EA54D3"/>
    <w:rsid w:val="00EA5639"/>
    <w:rsid w:val="00EA58E4"/>
    <w:rsid w:val="00EA5B3D"/>
    <w:rsid w:val="00EA5D4D"/>
    <w:rsid w:val="00EA5FF0"/>
    <w:rsid w:val="00EA6026"/>
    <w:rsid w:val="00EA609E"/>
    <w:rsid w:val="00EA618C"/>
    <w:rsid w:val="00EA6273"/>
    <w:rsid w:val="00EA63ED"/>
    <w:rsid w:val="00EA6669"/>
    <w:rsid w:val="00EA6685"/>
    <w:rsid w:val="00EA6808"/>
    <w:rsid w:val="00EA6887"/>
    <w:rsid w:val="00EA68A2"/>
    <w:rsid w:val="00EA68F1"/>
    <w:rsid w:val="00EA6A29"/>
    <w:rsid w:val="00EA6B04"/>
    <w:rsid w:val="00EA6C51"/>
    <w:rsid w:val="00EA6D10"/>
    <w:rsid w:val="00EA6DB3"/>
    <w:rsid w:val="00EA6DD0"/>
    <w:rsid w:val="00EA6E85"/>
    <w:rsid w:val="00EA6FBA"/>
    <w:rsid w:val="00EA70ED"/>
    <w:rsid w:val="00EA71FB"/>
    <w:rsid w:val="00EA735A"/>
    <w:rsid w:val="00EA73C9"/>
    <w:rsid w:val="00EA74D5"/>
    <w:rsid w:val="00EA74DA"/>
    <w:rsid w:val="00EA756B"/>
    <w:rsid w:val="00EA7734"/>
    <w:rsid w:val="00EA7761"/>
    <w:rsid w:val="00EA784D"/>
    <w:rsid w:val="00EA79E8"/>
    <w:rsid w:val="00EA7A2A"/>
    <w:rsid w:val="00EA7A58"/>
    <w:rsid w:val="00EA7D10"/>
    <w:rsid w:val="00EA7E4D"/>
    <w:rsid w:val="00EA7EDC"/>
    <w:rsid w:val="00EAB758"/>
    <w:rsid w:val="00EB00EC"/>
    <w:rsid w:val="00EB052A"/>
    <w:rsid w:val="00EB0773"/>
    <w:rsid w:val="00EB0B3F"/>
    <w:rsid w:val="00EB0B96"/>
    <w:rsid w:val="00EB0BC3"/>
    <w:rsid w:val="00EB0C9D"/>
    <w:rsid w:val="00EB0D2C"/>
    <w:rsid w:val="00EB0EDB"/>
    <w:rsid w:val="00EB0F00"/>
    <w:rsid w:val="00EB10E6"/>
    <w:rsid w:val="00EB1270"/>
    <w:rsid w:val="00EB1568"/>
    <w:rsid w:val="00EB15E4"/>
    <w:rsid w:val="00EB15F2"/>
    <w:rsid w:val="00EB162A"/>
    <w:rsid w:val="00EB1666"/>
    <w:rsid w:val="00EB176D"/>
    <w:rsid w:val="00EB1830"/>
    <w:rsid w:val="00EB1A14"/>
    <w:rsid w:val="00EB1C69"/>
    <w:rsid w:val="00EB1CE5"/>
    <w:rsid w:val="00EB1DB5"/>
    <w:rsid w:val="00EB1DCB"/>
    <w:rsid w:val="00EB1E4E"/>
    <w:rsid w:val="00EB1E7C"/>
    <w:rsid w:val="00EB1FA5"/>
    <w:rsid w:val="00EB204C"/>
    <w:rsid w:val="00EB20D5"/>
    <w:rsid w:val="00EB2134"/>
    <w:rsid w:val="00EB226C"/>
    <w:rsid w:val="00EB22A1"/>
    <w:rsid w:val="00EB2300"/>
    <w:rsid w:val="00EB2464"/>
    <w:rsid w:val="00EB24EF"/>
    <w:rsid w:val="00EB2523"/>
    <w:rsid w:val="00EB25A5"/>
    <w:rsid w:val="00EB2669"/>
    <w:rsid w:val="00EB2733"/>
    <w:rsid w:val="00EB2826"/>
    <w:rsid w:val="00EB28DA"/>
    <w:rsid w:val="00EB28E3"/>
    <w:rsid w:val="00EB2A41"/>
    <w:rsid w:val="00EB2ADD"/>
    <w:rsid w:val="00EB2D75"/>
    <w:rsid w:val="00EB2D8B"/>
    <w:rsid w:val="00EB2F8A"/>
    <w:rsid w:val="00EB2FC4"/>
    <w:rsid w:val="00EB312B"/>
    <w:rsid w:val="00EB31B4"/>
    <w:rsid w:val="00EB337A"/>
    <w:rsid w:val="00EB33A3"/>
    <w:rsid w:val="00EB3476"/>
    <w:rsid w:val="00EB34EE"/>
    <w:rsid w:val="00EB385E"/>
    <w:rsid w:val="00EB3A05"/>
    <w:rsid w:val="00EB3C20"/>
    <w:rsid w:val="00EB3E1B"/>
    <w:rsid w:val="00EB3F27"/>
    <w:rsid w:val="00EB42FE"/>
    <w:rsid w:val="00EB44DC"/>
    <w:rsid w:val="00EB44FA"/>
    <w:rsid w:val="00EB4735"/>
    <w:rsid w:val="00EB475D"/>
    <w:rsid w:val="00EB4884"/>
    <w:rsid w:val="00EB4BED"/>
    <w:rsid w:val="00EB4C21"/>
    <w:rsid w:val="00EB4C40"/>
    <w:rsid w:val="00EB4CF7"/>
    <w:rsid w:val="00EB4DB0"/>
    <w:rsid w:val="00EB4F25"/>
    <w:rsid w:val="00EB5248"/>
    <w:rsid w:val="00EB556F"/>
    <w:rsid w:val="00EB56FB"/>
    <w:rsid w:val="00EB57B2"/>
    <w:rsid w:val="00EB5812"/>
    <w:rsid w:val="00EB5833"/>
    <w:rsid w:val="00EB58B2"/>
    <w:rsid w:val="00EB5B14"/>
    <w:rsid w:val="00EB5D09"/>
    <w:rsid w:val="00EB5E06"/>
    <w:rsid w:val="00EB5E38"/>
    <w:rsid w:val="00EB5E88"/>
    <w:rsid w:val="00EB5E8D"/>
    <w:rsid w:val="00EB60F6"/>
    <w:rsid w:val="00EB61E8"/>
    <w:rsid w:val="00EB6273"/>
    <w:rsid w:val="00EB62B8"/>
    <w:rsid w:val="00EB62F0"/>
    <w:rsid w:val="00EB65A2"/>
    <w:rsid w:val="00EB6700"/>
    <w:rsid w:val="00EB6894"/>
    <w:rsid w:val="00EB68EF"/>
    <w:rsid w:val="00EB6A01"/>
    <w:rsid w:val="00EB6A1A"/>
    <w:rsid w:val="00EB6A73"/>
    <w:rsid w:val="00EB6ACD"/>
    <w:rsid w:val="00EB6B0A"/>
    <w:rsid w:val="00EB6C05"/>
    <w:rsid w:val="00EB6C74"/>
    <w:rsid w:val="00EB6D3E"/>
    <w:rsid w:val="00EB6E55"/>
    <w:rsid w:val="00EB70A6"/>
    <w:rsid w:val="00EB70EB"/>
    <w:rsid w:val="00EB7329"/>
    <w:rsid w:val="00EB76DA"/>
    <w:rsid w:val="00EB79A0"/>
    <w:rsid w:val="00EB7A6C"/>
    <w:rsid w:val="00EB7BFA"/>
    <w:rsid w:val="00EB7C35"/>
    <w:rsid w:val="00EB7CF8"/>
    <w:rsid w:val="00EB7DC0"/>
    <w:rsid w:val="00EB7DD8"/>
    <w:rsid w:val="00EB7E12"/>
    <w:rsid w:val="00EB7F0C"/>
    <w:rsid w:val="00EB7F46"/>
    <w:rsid w:val="00EB7F89"/>
    <w:rsid w:val="00EC00C7"/>
    <w:rsid w:val="00EC00CA"/>
    <w:rsid w:val="00EC0165"/>
    <w:rsid w:val="00EC01E2"/>
    <w:rsid w:val="00EC020C"/>
    <w:rsid w:val="00EC039C"/>
    <w:rsid w:val="00EC041A"/>
    <w:rsid w:val="00EC04DF"/>
    <w:rsid w:val="00EC0C0B"/>
    <w:rsid w:val="00EC0C71"/>
    <w:rsid w:val="00EC0C77"/>
    <w:rsid w:val="00EC0E25"/>
    <w:rsid w:val="00EC115A"/>
    <w:rsid w:val="00EC118F"/>
    <w:rsid w:val="00EC1415"/>
    <w:rsid w:val="00EC14D3"/>
    <w:rsid w:val="00EC15C5"/>
    <w:rsid w:val="00EC169B"/>
    <w:rsid w:val="00EC176B"/>
    <w:rsid w:val="00EC17EF"/>
    <w:rsid w:val="00EC1830"/>
    <w:rsid w:val="00EC19DD"/>
    <w:rsid w:val="00EC1BD6"/>
    <w:rsid w:val="00EC1DC5"/>
    <w:rsid w:val="00EC20A1"/>
    <w:rsid w:val="00EC23C7"/>
    <w:rsid w:val="00EC2752"/>
    <w:rsid w:val="00EC2875"/>
    <w:rsid w:val="00EC29E6"/>
    <w:rsid w:val="00EC2A70"/>
    <w:rsid w:val="00EC2C50"/>
    <w:rsid w:val="00EC309E"/>
    <w:rsid w:val="00EC313C"/>
    <w:rsid w:val="00EC317B"/>
    <w:rsid w:val="00EC31BA"/>
    <w:rsid w:val="00EC31CA"/>
    <w:rsid w:val="00EC325E"/>
    <w:rsid w:val="00EC333E"/>
    <w:rsid w:val="00EC338A"/>
    <w:rsid w:val="00EC384D"/>
    <w:rsid w:val="00EC3865"/>
    <w:rsid w:val="00EC38E1"/>
    <w:rsid w:val="00EC3A1F"/>
    <w:rsid w:val="00EC3BE1"/>
    <w:rsid w:val="00EC3C6A"/>
    <w:rsid w:val="00EC3D76"/>
    <w:rsid w:val="00EC3F0F"/>
    <w:rsid w:val="00EC4028"/>
    <w:rsid w:val="00EC4145"/>
    <w:rsid w:val="00EC4171"/>
    <w:rsid w:val="00EC4228"/>
    <w:rsid w:val="00EC4322"/>
    <w:rsid w:val="00EC43B3"/>
    <w:rsid w:val="00EC43C1"/>
    <w:rsid w:val="00EC446A"/>
    <w:rsid w:val="00EC447F"/>
    <w:rsid w:val="00EC4567"/>
    <w:rsid w:val="00EC46BA"/>
    <w:rsid w:val="00EC4769"/>
    <w:rsid w:val="00EC4899"/>
    <w:rsid w:val="00EC49AD"/>
    <w:rsid w:val="00EC49C6"/>
    <w:rsid w:val="00EC4A5B"/>
    <w:rsid w:val="00EC51F5"/>
    <w:rsid w:val="00EC542D"/>
    <w:rsid w:val="00EC587F"/>
    <w:rsid w:val="00EC59C2"/>
    <w:rsid w:val="00EC5A1B"/>
    <w:rsid w:val="00EC5EA3"/>
    <w:rsid w:val="00EC5F09"/>
    <w:rsid w:val="00EC60D0"/>
    <w:rsid w:val="00EC6183"/>
    <w:rsid w:val="00EC61CE"/>
    <w:rsid w:val="00EC62A3"/>
    <w:rsid w:val="00EC62D2"/>
    <w:rsid w:val="00EC6311"/>
    <w:rsid w:val="00EC6321"/>
    <w:rsid w:val="00EC657F"/>
    <w:rsid w:val="00EC6656"/>
    <w:rsid w:val="00EC66D1"/>
    <w:rsid w:val="00EC6802"/>
    <w:rsid w:val="00EC697C"/>
    <w:rsid w:val="00EC6B8F"/>
    <w:rsid w:val="00EC6B9D"/>
    <w:rsid w:val="00EC6DDC"/>
    <w:rsid w:val="00EC6E1F"/>
    <w:rsid w:val="00EC6EB5"/>
    <w:rsid w:val="00EC705E"/>
    <w:rsid w:val="00EC70C5"/>
    <w:rsid w:val="00EC7299"/>
    <w:rsid w:val="00EC7317"/>
    <w:rsid w:val="00EC73DF"/>
    <w:rsid w:val="00EC7461"/>
    <w:rsid w:val="00EC7464"/>
    <w:rsid w:val="00EC74BC"/>
    <w:rsid w:val="00EC74E4"/>
    <w:rsid w:val="00EC76A5"/>
    <w:rsid w:val="00EC76DB"/>
    <w:rsid w:val="00EC7844"/>
    <w:rsid w:val="00EC78EC"/>
    <w:rsid w:val="00EC78F5"/>
    <w:rsid w:val="00EC7A2F"/>
    <w:rsid w:val="00EC7AE8"/>
    <w:rsid w:val="00EC7B67"/>
    <w:rsid w:val="00EC7BAE"/>
    <w:rsid w:val="00EC7E65"/>
    <w:rsid w:val="00ED0006"/>
    <w:rsid w:val="00ED00BE"/>
    <w:rsid w:val="00ED00F8"/>
    <w:rsid w:val="00ED02DE"/>
    <w:rsid w:val="00ED0588"/>
    <w:rsid w:val="00ED05B7"/>
    <w:rsid w:val="00ED071A"/>
    <w:rsid w:val="00ED07A1"/>
    <w:rsid w:val="00ED07AB"/>
    <w:rsid w:val="00ED07E5"/>
    <w:rsid w:val="00ED09FB"/>
    <w:rsid w:val="00ED0A15"/>
    <w:rsid w:val="00ED0D7F"/>
    <w:rsid w:val="00ED0DBD"/>
    <w:rsid w:val="00ED1016"/>
    <w:rsid w:val="00ED1098"/>
    <w:rsid w:val="00ED10AC"/>
    <w:rsid w:val="00ED10B8"/>
    <w:rsid w:val="00ED13D8"/>
    <w:rsid w:val="00ED14BE"/>
    <w:rsid w:val="00ED162E"/>
    <w:rsid w:val="00ED1665"/>
    <w:rsid w:val="00ED1681"/>
    <w:rsid w:val="00ED16D3"/>
    <w:rsid w:val="00ED1A6F"/>
    <w:rsid w:val="00ED1ABB"/>
    <w:rsid w:val="00ED1C66"/>
    <w:rsid w:val="00ED1D05"/>
    <w:rsid w:val="00ED1D49"/>
    <w:rsid w:val="00ED1D4F"/>
    <w:rsid w:val="00ED1DE5"/>
    <w:rsid w:val="00ED1EBC"/>
    <w:rsid w:val="00ED2040"/>
    <w:rsid w:val="00ED2068"/>
    <w:rsid w:val="00ED20EE"/>
    <w:rsid w:val="00ED2168"/>
    <w:rsid w:val="00ED2209"/>
    <w:rsid w:val="00ED2408"/>
    <w:rsid w:val="00ED24DA"/>
    <w:rsid w:val="00ED255B"/>
    <w:rsid w:val="00ED2823"/>
    <w:rsid w:val="00ED288A"/>
    <w:rsid w:val="00ED2B00"/>
    <w:rsid w:val="00ED2B48"/>
    <w:rsid w:val="00ED2BAC"/>
    <w:rsid w:val="00ED2FCA"/>
    <w:rsid w:val="00ED3097"/>
    <w:rsid w:val="00ED3106"/>
    <w:rsid w:val="00ED3234"/>
    <w:rsid w:val="00ED33D2"/>
    <w:rsid w:val="00ED348C"/>
    <w:rsid w:val="00ED34B7"/>
    <w:rsid w:val="00ED3537"/>
    <w:rsid w:val="00ED359E"/>
    <w:rsid w:val="00ED3687"/>
    <w:rsid w:val="00ED376F"/>
    <w:rsid w:val="00ED3811"/>
    <w:rsid w:val="00ED3879"/>
    <w:rsid w:val="00ED38E2"/>
    <w:rsid w:val="00ED39D9"/>
    <w:rsid w:val="00ED3A1E"/>
    <w:rsid w:val="00ED3B4F"/>
    <w:rsid w:val="00ED3D47"/>
    <w:rsid w:val="00ED3D89"/>
    <w:rsid w:val="00ED3D93"/>
    <w:rsid w:val="00ED3E84"/>
    <w:rsid w:val="00ED3FD8"/>
    <w:rsid w:val="00ED3FE8"/>
    <w:rsid w:val="00ED4522"/>
    <w:rsid w:val="00ED465D"/>
    <w:rsid w:val="00ED4726"/>
    <w:rsid w:val="00ED493B"/>
    <w:rsid w:val="00ED49F5"/>
    <w:rsid w:val="00ED4A35"/>
    <w:rsid w:val="00ED4B39"/>
    <w:rsid w:val="00ED4B53"/>
    <w:rsid w:val="00ED4B58"/>
    <w:rsid w:val="00ED4B7B"/>
    <w:rsid w:val="00ED4CCF"/>
    <w:rsid w:val="00ED4D62"/>
    <w:rsid w:val="00ED4ED8"/>
    <w:rsid w:val="00ED4F4B"/>
    <w:rsid w:val="00ED4F5F"/>
    <w:rsid w:val="00ED4FCA"/>
    <w:rsid w:val="00ED5245"/>
    <w:rsid w:val="00ED5722"/>
    <w:rsid w:val="00ED5728"/>
    <w:rsid w:val="00ED5863"/>
    <w:rsid w:val="00ED597B"/>
    <w:rsid w:val="00ED5A9D"/>
    <w:rsid w:val="00ED5B41"/>
    <w:rsid w:val="00ED5C15"/>
    <w:rsid w:val="00ED5E76"/>
    <w:rsid w:val="00ED5F2B"/>
    <w:rsid w:val="00ED62D3"/>
    <w:rsid w:val="00ED62F9"/>
    <w:rsid w:val="00ED633D"/>
    <w:rsid w:val="00ED64D8"/>
    <w:rsid w:val="00ED6529"/>
    <w:rsid w:val="00ED65E2"/>
    <w:rsid w:val="00ED678F"/>
    <w:rsid w:val="00ED67EF"/>
    <w:rsid w:val="00ED6A0B"/>
    <w:rsid w:val="00ED6A41"/>
    <w:rsid w:val="00ED6A7A"/>
    <w:rsid w:val="00ED6B3A"/>
    <w:rsid w:val="00ED6B47"/>
    <w:rsid w:val="00ED6C7E"/>
    <w:rsid w:val="00ED6F80"/>
    <w:rsid w:val="00ED7062"/>
    <w:rsid w:val="00ED72FD"/>
    <w:rsid w:val="00ED7371"/>
    <w:rsid w:val="00ED7593"/>
    <w:rsid w:val="00ED7760"/>
    <w:rsid w:val="00ED78C1"/>
    <w:rsid w:val="00ED78DA"/>
    <w:rsid w:val="00ED7A17"/>
    <w:rsid w:val="00ED7B05"/>
    <w:rsid w:val="00ED7C01"/>
    <w:rsid w:val="00ED7DC3"/>
    <w:rsid w:val="00ED7DC4"/>
    <w:rsid w:val="00EE003C"/>
    <w:rsid w:val="00EE010D"/>
    <w:rsid w:val="00EE013E"/>
    <w:rsid w:val="00EE0361"/>
    <w:rsid w:val="00EE05B4"/>
    <w:rsid w:val="00EE073C"/>
    <w:rsid w:val="00EE07BA"/>
    <w:rsid w:val="00EE07C6"/>
    <w:rsid w:val="00EE081F"/>
    <w:rsid w:val="00EE0AA0"/>
    <w:rsid w:val="00EE0CB1"/>
    <w:rsid w:val="00EE0D05"/>
    <w:rsid w:val="00EE0E03"/>
    <w:rsid w:val="00EE1133"/>
    <w:rsid w:val="00EE139A"/>
    <w:rsid w:val="00EE14FE"/>
    <w:rsid w:val="00EE152C"/>
    <w:rsid w:val="00EE1594"/>
    <w:rsid w:val="00EE1603"/>
    <w:rsid w:val="00EE1638"/>
    <w:rsid w:val="00EE175E"/>
    <w:rsid w:val="00EE1839"/>
    <w:rsid w:val="00EE18E0"/>
    <w:rsid w:val="00EE19E0"/>
    <w:rsid w:val="00EE1D92"/>
    <w:rsid w:val="00EE1DA1"/>
    <w:rsid w:val="00EE1DFC"/>
    <w:rsid w:val="00EE1ED9"/>
    <w:rsid w:val="00EE2027"/>
    <w:rsid w:val="00EE2277"/>
    <w:rsid w:val="00EE22C6"/>
    <w:rsid w:val="00EE230A"/>
    <w:rsid w:val="00EE2337"/>
    <w:rsid w:val="00EE236D"/>
    <w:rsid w:val="00EE2436"/>
    <w:rsid w:val="00EE264B"/>
    <w:rsid w:val="00EE2985"/>
    <w:rsid w:val="00EE2AC9"/>
    <w:rsid w:val="00EE2AE0"/>
    <w:rsid w:val="00EE2BF0"/>
    <w:rsid w:val="00EE2DAE"/>
    <w:rsid w:val="00EE2F7E"/>
    <w:rsid w:val="00EE2FCB"/>
    <w:rsid w:val="00EE30B5"/>
    <w:rsid w:val="00EE322F"/>
    <w:rsid w:val="00EE3393"/>
    <w:rsid w:val="00EE3410"/>
    <w:rsid w:val="00EE361B"/>
    <w:rsid w:val="00EE3790"/>
    <w:rsid w:val="00EE37C7"/>
    <w:rsid w:val="00EE3807"/>
    <w:rsid w:val="00EE3A28"/>
    <w:rsid w:val="00EE3A74"/>
    <w:rsid w:val="00EE3A81"/>
    <w:rsid w:val="00EE3BF8"/>
    <w:rsid w:val="00EE3D9A"/>
    <w:rsid w:val="00EE3FC8"/>
    <w:rsid w:val="00EE4440"/>
    <w:rsid w:val="00EE4515"/>
    <w:rsid w:val="00EE47BE"/>
    <w:rsid w:val="00EE4A75"/>
    <w:rsid w:val="00EE4A9E"/>
    <w:rsid w:val="00EE4B69"/>
    <w:rsid w:val="00EE4C44"/>
    <w:rsid w:val="00EE4F3F"/>
    <w:rsid w:val="00EE4F55"/>
    <w:rsid w:val="00EE5076"/>
    <w:rsid w:val="00EE53E7"/>
    <w:rsid w:val="00EE5518"/>
    <w:rsid w:val="00EE565B"/>
    <w:rsid w:val="00EE56DE"/>
    <w:rsid w:val="00EE5C02"/>
    <w:rsid w:val="00EE5C3A"/>
    <w:rsid w:val="00EE5C9F"/>
    <w:rsid w:val="00EE5CB7"/>
    <w:rsid w:val="00EE5DAF"/>
    <w:rsid w:val="00EE5F21"/>
    <w:rsid w:val="00EE5FE8"/>
    <w:rsid w:val="00EE6060"/>
    <w:rsid w:val="00EE6227"/>
    <w:rsid w:val="00EE625D"/>
    <w:rsid w:val="00EE6297"/>
    <w:rsid w:val="00EE636F"/>
    <w:rsid w:val="00EE6393"/>
    <w:rsid w:val="00EE6525"/>
    <w:rsid w:val="00EE652C"/>
    <w:rsid w:val="00EE6591"/>
    <w:rsid w:val="00EE65C9"/>
    <w:rsid w:val="00EE66E3"/>
    <w:rsid w:val="00EE681B"/>
    <w:rsid w:val="00EE696C"/>
    <w:rsid w:val="00EE6B04"/>
    <w:rsid w:val="00EE6CE3"/>
    <w:rsid w:val="00EE6DFD"/>
    <w:rsid w:val="00EE6E7E"/>
    <w:rsid w:val="00EE6F5F"/>
    <w:rsid w:val="00EE72AD"/>
    <w:rsid w:val="00EE7336"/>
    <w:rsid w:val="00EE7374"/>
    <w:rsid w:val="00EE7551"/>
    <w:rsid w:val="00EE7650"/>
    <w:rsid w:val="00EE771F"/>
    <w:rsid w:val="00EE778E"/>
    <w:rsid w:val="00EE785F"/>
    <w:rsid w:val="00EE7883"/>
    <w:rsid w:val="00EE7A05"/>
    <w:rsid w:val="00EE7BD8"/>
    <w:rsid w:val="00EE7F7E"/>
    <w:rsid w:val="00EF0082"/>
    <w:rsid w:val="00EF01A3"/>
    <w:rsid w:val="00EF0308"/>
    <w:rsid w:val="00EF0409"/>
    <w:rsid w:val="00EF0430"/>
    <w:rsid w:val="00EF056E"/>
    <w:rsid w:val="00EF0630"/>
    <w:rsid w:val="00EF0637"/>
    <w:rsid w:val="00EF064B"/>
    <w:rsid w:val="00EF0739"/>
    <w:rsid w:val="00EF07FC"/>
    <w:rsid w:val="00EF0880"/>
    <w:rsid w:val="00EF0C2E"/>
    <w:rsid w:val="00EF1165"/>
    <w:rsid w:val="00EF1256"/>
    <w:rsid w:val="00EF129C"/>
    <w:rsid w:val="00EF16AE"/>
    <w:rsid w:val="00EF16CD"/>
    <w:rsid w:val="00EF1709"/>
    <w:rsid w:val="00EF1A33"/>
    <w:rsid w:val="00EF1A95"/>
    <w:rsid w:val="00EF1A9E"/>
    <w:rsid w:val="00EF1BDE"/>
    <w:rsid w:val="00EF1C1A"/>
    <w:rsid w:val="00EF1C81"/>
    <w:rsid w:val="00EF1F49"/>
    <w:rsid w:val="00EF200F"/>
    <w:rsid w:val="00EF202E"/>
    <w:rsid w:val="00EF231C"/>
    <w:rsid w:val="00EF23F8"/>
    <w:rsid w:val="00EF26B9"/>
    <w:rsid w:val="00EF2718"/>
    <w:rsid w:val="00EF2732"/>
    <w:rsid w:val="00EF2734"/>
    <w:rsid w:val="00EF285A"/>
    <w:rsid w:val="00EF29B1"/>
    <w:rsid w:val="00EF2B7D"/>
    <w:rsid w:val="00EF2C61"/>
    <w:rsid w:val="00EF2CEA"/>
    <w:rsid w:val="00EF2E81"/>
    <w:rsid w:val="00EF2EB8"/>
    <w:rsid w:val="00EF2F63"/>
    <w:rsid w:val="00EF2FCB"/>
    <w:rsid w:val="00EF2FFD"/>
    <w:rsid w:val="00EF3043"/>
    <w:rsid w:val="00EF3150"/>
    <w:rsid w:val="00EF318B"/>
    <w:rsid w:val="00EF3387"/>
    <w:rsid w:val="00EF339A"/>
    <w:rsid w:val="00EF33FF"/>
    <w:rsid w:val="00EF35BC"/>
    <w:rsid w:val="00EF35EE"/>
    <w:rsid w:val="00EF3A11"/>
    <w:rsid w:val="00EF3AAE"/>
    <w:rsid w:val="00EF3C99"/>
    <w:rsid w:val="00EF3CCB"/>
    <w:rsid w:val="00EF3D02"/>
    <w:rsid w:val="00EF3D3B"/>
    <w:rsid w:val="00EF3E7C"/>
    <w:rsid w:val="00EF3FAF"/>
    <w:rsid w:val="00EF4021"/>
    <w:rsid w:val="00EF41DA"/>
    <w:rsid w:val="00EF4308"/>
    <w:rsid w:val="00EF446D"/>
    <w:rsid w:val="00EF44B0"/>
    <w:rsid w:val="00EF453B"/>
    <w:rsid w:val="00EF4576"/>
    <w:rsid w:val="00EF464D"/>
    <w:rsid w:val="00EF46C6"/>
    <w:rsid w:val="00EF4740"/>
    <w:rsid w:val="00EF4A31"/>
    <w:rsid w:val="00EF4AEE"/>
    <w:rsid w:val="00EF4BA2"/>
    <w:rsid w:val="00EF4D0F"/>
    <w:rsid w:val="00EF4F18"/>
    <w:rsid w:val="00EF4F90"/>
    <w:rsid w:val="00EF501C"/>
    <w:rsid w:val="00EF50EB"/>
    <w:rsid w:val="00EF5331"/>
    <w:rsid w:val="00EF5377"/>
    <w:rsid w:val="00EF5502"/>
    <w:rsid w:val="00EF5568"/>
    <w:rsid w:val="00EF55B2"/>
    <w:rsid w:val="00EF55ED"/>
    <w:rsid w:val="00EF56DB"/>
    <w:rsid w:val="00EF59CB"/>
    <w:rsid w:val="00EF5B8C"/>
    <w:rsid w:val="00EF5BD5"/>
    <w:rsid w:val="00EF5D83"/>
    <w:rsid w:val="00EF5E23"/>
    <w:rsid w:val="00EF5E3C"/>
    <w:rsid w:val="00EF5E80"/>
    <w:rsid w:val="00EF5ED2"/>
    <w:rsid w:val="00EF601C"/>
    <w:rsid w:val="00EF6069"/>
    <w:rsid w:val="00EF6079"/>
    <w:rsid w:val="00EF609B"/>
    <w:rsid w:val="00EF6256"/>
    <w:rsid w:val="00EF63EE"/>
    <w:rsid w:val="00EF6555"/>
    <w:rsid w:val="00EF659D"/>
    <w:rsid w:val="00EF660B"/>
    <w:rsid w:val="00EF66B4"/>
    <w:rsid w:val="00EF673F"/>
    <w:rsid w:val="00EF677E"/>
    <w:rsid w:val="00EF69C2"/>
    <w:rsid w:val="00EF6CDE"/>
    <w:rsid w:val="00EF6D6A"/>
    <w:rsid w:val="00EF6EC9"/>
    <w:rsid w:val="00EF6F45"/>
    <w:rsid w:val="00EF6F60"/>
    <w:rsid w:val="00EF6F6E"/>
    <w:rsid w:val="00EF6F7A"/>
    <w:rsid w:val="00EF6FB9"/>
    <w:rsid w:val="00EF7008"/>
    <w:rsid w:val="00EF7035"/>
    <w:rsid w:val="00EF7138"/>
    <w:rsid w:val="00EF7159"/>
    <w:rsid w:val="00EF7252"/>
    <w:rsid w:val="00EF744E"/>
    <w:rsid w:val="00EF7656"/>
    <w:rsid w:val="00EF7689"/>
    <w:rsid w:val="00EF76AC"/>
    <w:rsid w:val="00EF7BC0"/>
    <w:rsid w:val="00EF7C13"/>
    <w:rsid w:val="00F00184"/>
    <w:rsid w:val="00F00292"/>
    <w:rsid w:val="00F002A3"/>
    <w:rsid w:val="00F00522"/>
    <w:rsid w:val="00F0075E"/>
    <w:rsid w:val="00F00807"/>
    <w:rsid w:val="00F00B1D"/>
    <w:rsid w:val="00F00BE2"/>
    <w:rsid w:val="00F00C19"/>
    <w:rsid w:val="00F00D87"/>
    <w:rsid w:val="00F00DD9"/>
    <w:rsid w:val="00F00E48"/>
    <w:rsid w:val="00F00E67"/>
    <w:rsid w:val="00F00FD0"/>
    <w:rsid w:val="00F012F6"/>
    <w:rsid w:val="00F0135C"/>
    <w:rsid w:val="00F0143D"/>
    <w:rsid w:val="00F0148C"/>
    <w:rsid w:val="00F014EF"/>
    <w:rsid w:val="00F01574"/>
    <w:rsid w:val="00F015C9"/>
    <w:rsid w:val="00F016FE"/>
    <w:rsid w:val="00F01A88"/>
    <w:rsid w:val="00F01BB9"/>
    <w:rsid w:val="00F01F1C"/>
    <w:rsid w:val="00F025D6"/>
    <w:rsid w:val="00F025F2"/>
    <w:rsid w:val="00F026C6"/>
    <w:rsid w:val="00F02932"/>
    <w:rsid w:val="00F02A09"/>
    <w:rsid w:val="00F02A6B"/>
    <w:rsid w:val="00F02B58"/>
    <w:rsid w:val="00F02BB5"/>
    <w:rsid w:val="00F02DAB"/>
    <w:rsid w:val="00F02DC2"/>
    <w:rsid w:val="00F02EE9"/>
    <w:rsid w:val="00F02EF1"/>
    <w:rsid w:val="00F02F7C"/>
    <w:rsid w:val="00F02FEB"/>
    <w:rsid w:val="00F03030"/>
    <w:rsid w:val="00F030EC"/>
    <w:rsid w:val="00F030F6"/>
    <w:rsid w:val="00F0318A"/>
    <w:rsid w:val="00F03310"/>
    <w:rsid w:val="00F03457"/>
    <w:rsid w:val="00F03460"/>
    <w:rsid w:val="00F034B3"/>
    <w:rsid w:val="00F03861"/>
    <w:rsid w:val="00F038B0"/>
    <w:rsid w:val="00F03927"/>
    <w:rsid w:val="00F03947"/>
    <w:rsid w:val="00F0396B"/>
    <w:rsid w:val="00F03AB0"/>
    <w:rsid w:val="00F03B77"/>
    <w:rsid w:val="00F03B88"/>
    <w:rsid w:val="00F03CEF"/>
    <w:rsid w:val="00F04012"/>
    <w:rsid w:val="00F04116"/>
    <w:rsid w:val="00F04132"/>
    <w:rsid w:val="00F04171"/>
    <w:rsid w:val="00F041D3"/>
    <w:rsid w:val="00F043BA"/>
    <w:rsid w:val="00F043E5"/>
    <w:rsid w:val="00F04489"/>
    <w:rsid w:val="00F044F0"/>
    <w:rsid w:val="00F045D7"/>
    <w:rsid w:val="00F0463C"/>
    <w:rsid w:val="00F04704"/>
    <w:rsid w:val="00F0485D"/>
    <w:rsid w:val="00F04917"/>
    <w:rsid w:val="00F0496F"/>
    <w:rsid w:val="00F04A5A"/>
    <w:rsid w:val="00F04CE8"/>
    <w:rsid w:val="00F04D8E"/>
    <w:rsid w:val="00F04EC3"/>
    <w:rsid w:val="00F04F1F"/>
    <w:rsid w:val="00F050EF"/>
    <w:rsid w:val="00F051C0"/>
    <w:rsid w:val="00F05223"/>
    <w:rsid w:val="00F0534B"/>
    <w:rsid w:val="00F053FC"/>
    <w:rsid w:val="00F055AA"/>
    <w:rsid w:val="00F055EC"/>
    <w:rsid w:val="00F057D1"/>
    <w:rsid w:val="00F058E8"/>
    <w:rsid w:val="00F059E0"/>
    <w:rsid w:val="00F059E9"/>
    <w:rsid w:val="00F05C0D"/>
    <w:rsid w:val="00F05D31"/>
    <w:rsid w:val="00F05F65"/>
    <w:rsid w:val="00F05F81"/>
    <w:rsid w:val="00F06074"/>
    <w:rsid w:val="00F060CA"/>
    <w:rsid w:val="00F06128"/>
    <w:rsid w:val="00F061C2"/>
    <w:rsid w:val="00F063CC"/>
    <w:rsid w:val="00F064FC"/>
    <w:rsid w:val="00F065E2"/>
    <w:rsid w:val="00F06674"/>
    <w:rsid w:val="00F068C3"/>
    <w:rsid w:val="00F068FF"/>
    <w:rsid w:val="00F0699E"/>
    <w:rsid w:val="00F06C4C"/>
    <w:rsid w:val="00F06DD2"/>
    <w:rsid w:val="00F06E96"/>
    <w:rsid w:val="00F07151"/>
    <w:rsid w:val="00F07325"/>
    <w:rsid w:val="00F07363"/>
    <w:rsid w:val="00F076C8"/>
    <w:rsid w:val="00F07870"/>
    <w:rsid w:val="00F07B97"/>
    <w:rsid w:val="00F07BB5"/>
    <w:rsid w:val="00F07DBC"/>
    <w:rsid w:val="00F07DC5"/>
    <w:rsid w:val="00F07EA1"/>
    <w:rsid w:val="00F0E5FE"/>
    <w:rsid w:val="00F1002A"/>
    <w:rsid w:val="00F100BB"/>
    <w:rsid w:val="00F1019C"/>
    <w:rsid w:val="00F1026C"/>
    <w:rsid w:val="00F102E9"/>
    <w:rsid w:val="00F1053B"/>
    <w:rsid w:val="00F105CB"/>
    <w:rsid w:val="00F10680"/>
    <w:rsid w:val="00F106AE"/>
    <w:rsid w:val="00F106BD"/>
    <w:rsid w:val="00F10747"/>
    <w:rsid w:val="00F10A87"/>
    <w:rsid w:val="00F10ACC"/>
    <w:rsid w:val="00F10BDD"/>
    <w:rsid w:val="00F10C39"/>
    <w:rsid w:val="00F10D06"/>
    <w:rsid w:val="00F10E2B"/>
    <w:rsid w:val="00F10FD2"/>
    <w:rsid w:val="00F112B8"/>
    <w:rsid w:val="00F11584"/>
    <w:rsid w:val="00F119B4"/>
    <w:rsid w:val="00F11A6F"/>
    <w:rsid w:val="00F11CE9"/>
    <w:rsid w:val="00F11DBD"/>
    <w:rsid w:val="00F11F09"/>
    <w:rsid w:val="00F11F9E"/>
    <w:rsid w:val="00F1210F"/>
    <w:rsid w:val="00F1218E"/>
    <w:rsid w:val="00F126A9"/>
    <w:rsid w:val="00F126CB"/>
    <w:rsid w:val="00F12803"/>
    <w:rsid w:val="00F128F2"/>
    <w:rsid w:val="00F1291D"/>
    <w:rsid w:val="00F12A95"/>
    <w:rsid w:val="00F12B13"/>
    <w:rsid w:val="00F12C3B"/>
    <w:rsid w:val="00F12D33"/>
    <w:rsid w:val="00F12EE6"/>
    <w:rsid w:val="00F12FA1"/>
    <w:rsid w:val="00F130BC"/>
    <w:rsid w:val="00F1313B"/>
    <w:rsid w:val="00F1317F"/>
    <w:rsid w:val="00F13295"/>
    <w:rsid w:val="00F133DE"/>
    <w:rsid w:val="00F134BD"/>
    <w:rsid w:val="00F1350F"/>
    <w:rsid w:val="00F13575"/>
    <w:rsid w:val="00F13716"/>
    <w:rsid w:val="00F138E2"/>
    <w:rsid w:val="00F139CD"/>
    <w:rsid w:val="00F13B22"/>
    <w:rsid w:val="00F13B24"/>
    <w:rsid w:val="00F13BF1"/>
    <w:rsid w:val="00F13C4B"/>
    <w:rsid w:val="00F13D3E"/>
    <w:rsid w:val="00F13ECA"/>
    <w:rsid w:val="00F13F5A"/>
    <w:rsid w:val="00F13F8B"/>
    <w:rsid w:val="00F14094"/>
    <w:rsid w:val="00F140D2"/>
    <w:rsid w:val="00F14187"/>
    <w:rsid w:val="00F141F2"/>
    <w:rsid w:val="00F1429A"/>
    <w:rsid w:val="00F14337"/>
    <w:rsid w:val="00F14665"/>
    <w:rsid w:val="00F14972"/>
    <w:rsid w:val="00F14ACE"/>
    <w:rsid w:val="00F14BD0"/>
    <w:rsid w:val="00F14F6D"/>
    <w:rsid w:val="00F14FD6"/>
    <w:rsid w:val="00F15050"/>
    <w:rsid w:val="00F151A4"/>
    <w:rsid w:val="00F1520F"/>
    <w:rsid w:val="00F1532C"/>
    <w:rsid w:val="00F15385"/>
    <w:rsid w:val="00F153B4"/>
    <w:rsid w:val="00F1552C"/>
    <w:rsid w:val="00F15675"/>
    <w:rsid w:val="00F157F4"/>
    <w:rsid w:val="00F1589B"/>
    <w:rsid w:val="00F158FF"/>
    <w:rsid w:val="00F15D27"/>
    <w:rsid w:val="00F15E0E"/>
    <w:rsid w:val="00F160BC"/>
    <w:rsid w:val="00F16144"/>
    <w:rsid w:val="00F161ED"/>
    <w:rsid w:val="00F1620B"/>
    <w:rsid w:val="00F163C1"/>
    <w:rsid w:val="00F164D9"/>
    <w:rsid w:val="00F169C9"/>
    <w:rsid w:val="00F16AA0"/>
    <w:rsid w:val="00F16B51"/>
    <w:rsid w:val="00F16E94"/>
    <w:rsid w:val="00F17235"/>
    <w:rsid w:val="00F172C8"/>
    <w:rsid w:val="00F174E9"/>
    <w:rsid w:val="00F17710"/>
    <w:rsid w:val="00F177E4"/>
    <w:rsid w:val="00F17931"/>
    <w:rsid w:val="00F179C2"/>
    <w:rsid w:val="00F17A5D"/>
    <w:rsid w:val="00F17BFF"/>
    <w:rsid w:val="00F17C05"/>
    <w:rsid w:val="00F17C54"/>
    <w:rsid w:val="00F17D41"/>
    <w:rsid w:val="00F17D67"/>
    <w:rsid w:val="00F17DE5"/>
    <w:rsid w:val="00F17DFE"/>
    <w:rsid w:val="00F17FB4"/>
    <w:rsid w:val="00F201D3"/>
    <w:rsid w:val="00F201DE"/>
    <w:rsid w:val="00F20291"/>
    <w:rsid w:val="00F203FE"/>
    <w:rsid w:val="00F2042C"/>
    <w:rsid w:val="00F205C1"/>
    <w:rsid w:val="00F205EF"/>
    <w:rsid w:val="00F206A6"/>
    <w:rsid w:val="00F208DF"/>
    <w:rsid w:val="00F20A6A"/>
    <w:rsid w:val="00F20A90"/>
    <w:rsid w:val="00F20C12"/>
    <w:rsid w:val="00F20CD5"/>
    <w:rsid w:val="00F20D57"/>
    <w:rsid w:val="00F20E22"/>
    <w:rsid w:val="00F210C1"/>
    <w:rsid w:val="00F21294"/>
    <w:rsid w:val="00F2129B"/>
    <w:rsid w:val="00F213B6"/>
    <w:rsid w:val="00F21764"/>
    <w:rsid w:val="00F21903"/>
    <w:rsid w:val="00F21946"/>
    <w:rsid w:val="00F2197D"/>
    <w:rsid w:val="00F219F4"/>
    <w:rsid w:val="00F21A62"/>
    <w:rsid w:val="00F21C78"/>
    <w:rsid w:val="00F21D84"/>
    <w:rsid w:val="00F21DEB"/>
    <w:rsid w:val="00F22390"/>
    <w:rsid w:val="00F224D3"/>
    <w:rsid w:val="00F2252F"/>
    <w:rsid w:val="00F225C7"/>
    <w:rsid w:val="00F2281F"/>
    <w:rsid w:val="00F22A9B"/>
    <w:rsid w:val="00F22B98"/>
    <w:rsid w:val="00F22C0A"/>
    <w:rsid w:val="00F22D5B"/>
    <w:rsid w:val="00F23163"/>
    <w:rsid w:val="00F23329"/>
    <w:rsid w:val="00F2349D"/>
    <w:rsid w:val="00F23555"/>
    <w:rsid w:val="00F23602"/>
    <w:rsid w:val="00F2360B"/>
    <w:rsid w:val="00F23656"/>
    <w:rsid w:val="00F2386D"/>
    <w:rsid w:val="00F23A2C"/>
    <w:rsid w:val="00F23A64"/>
    <w:rsid w:val="00F23AEF"/>
    <w:rsid w:val="00F23B13"/>
    <w:rsid w:val="00F23EDE"/>
    <w:rsid w:val="00F24037"/>
    <w:rsid w:val="00F24039"/>
    <w:rsid w:val="00F24168"/>
    <w:rsid w:val="00F2437C"/>
    <w:rsid w:val="00F243E4"/>
    <w:rsid w:val="00F244F0"/>
    <w:rsid w:val="00F24538"/>
    <w:rsid w:val="00F24558"/>
    <w:rsid w:val="00F24564"/>
    <w:rsid w:val="00F245DD"/>
    <w:rsid w:val="00F2490C"/>
    <w:rsid w:val="00F24AD1"/>
    <w:rsid w:val="00F24B8C"/>
    <w:rsid w:val="00F24B9D"/>
    <w:rsid w:val="00F24D40"/>
    <w:rsid w:val="00F2502E"/>
    <w:rsid w:val="00F25044"/>
    <w:rsid w:val="00F251B7"/>
    <w:rsid w:val="00F252AE"/>
    <w:rsid w:val="00F2549A"/>
    <w:rsid w:val="00F2555A"/>
    <w:rsid w:val="00F255C0"/>
    <w:rsid w:val="00F25770"/>
    <w:rsid w:val="00F257FC"/>
    <w:rsid w:val="00F258AA"/>
    <w:rsid w:val="00F258CD"/>
    <w:rsid w:val="00F258D5"/>
    <w:rsid w:val="00F25DBC"/>
    <w:rsid w:val="00F25F65"/>
    <w:rsid w:val="00F25F96"/>
    <w:rsid w:val="00F25FED"/>
    <w:rsid w:val="00F26052"/>
    <w:rsid w:val="00F261D2"/>
    <w:rsid w:val="00F262C8"/>
    <w:rsid w:val="00F26336"/>
    <w:rsid w:val="00F26356"/>
    <w:rsid w:val="00F26554"/>
    <w:rsid w:val="00F265BB"/>
    <w:rsid w:val="00F26757"/>
    <w:rsid w:val="00F267DD"/>
    <w:rsid w:val="00F2695D"/>
    <w:rsid w:val="00F26B06"/>
    <w:rsid w:val="00F26B3B"/>
    <w:rsid w:val="00F26CBD"/>
    <w:rsid w:val="00F26DF7"/>
    <w:rsid w:val="00F26E22"/>
    <w:rsid w:val="00F26E42"/>
    <w:rsid w:val="00F26FC5"/>
    <w:rsid w:val="00F2706F"/>
    <w:rsid w:val="00F27091"/>
    <w:rsid w:val="00F275F6"/>
    <w:rsid w:val="00F275F8"/>
    <w:rsid w:val="00F2765F"/>
    <w:rsid w:val="00F2770C"/>
    <w:rsid w:val="00F279E6"/>
    <w:rsid w:val="00F27B9E"/>
    <w:rsid w:val="00F27EDF"/>
    <w:rsid w:val="00F27EF9"/>
    <w:rsid w:val="00F27F93"/>
    <w:rsid w:val="00F3009F"/>
    <w:rsid w:val="00F300BD"/>
    <w:rsid w:val="00F302D2"/>
    <w:rsid w:val="00F3033B"/>
    <w:rsid w:val="00F3042A"/>
    <w:rsid w:val="00F304E4"/>
    <w:rsid w:val="00F3055C"/>
    <w:rsid w:val="00F306D0"/>
    <w:rsid w:val="00F30743"/>
    <w:rsid w:val="00F30745"/>
    <w:rsid w:val="00F307B5"/>
    <w:rsid w:val="00F307D4"/>
    <w:rsid w:val="00F30878"/>
    <w:rsid w:val="00F309B9"/>
    <w:rsid w:val="00F30A4B"/>
    <w:rsid w:val="00F30B79"/>
    <w:rsid w:val="00F30C02"/>
    <w:rsid w:val="00F30C3F"/>
    <w:rsid w:val="00F30CC4"/>
    <w:rsid w:val="00F30D67"/>
    <w:rsid w:val="00F30E28"/>
    <w:rsid w:val="00F30EE0"/>
    <w:rsid w:val="00F30F94"/>
    <w:rsid w:val="00F30FAD"/>
    <w:rsid w:val="00F310FA"/>
    <w:rsid w:val="00F311A4"/>
    <w:rsid w:val="00F31202"/>
    <w:rsid w:val="00F313A9"/>
    <w:rsid w:val="00F313F0"/>
    <w:rsid w:val="00F314C4"/>
    <w:rsid w:val="00F314E5"/>
    <w:rsid w:val="00F316B6"/>
    <w:rsid w:val="00F316DB"/>
    <w:rsid w:val="00F3172C"/>
    <w:rsid w:val="00F31835"/>
    <w:rsid w:val="00F31C61"/>
    <w:rsid w:val="00F31C84"/>
    <w:rsid w:val="00F31CFF"/>
    <w:rsid w:val="00F31E16"/>
    <w:rsid w:val="00F31E32"/>
    <w:rsid w:val="00F31F43"/>
    <w:rsid w:val="00F32231"/>
    <w:rsid w:val="00F32412"/>
    <w:rsid w:val="00F32493"/>
    <w:rsid w:val="00F32645"/>
    <w:rsid w:val="00F326B5"/>
    <w:rsid w:val="00F32828"/>
    <w:rsid w:val="00F32926"/>
    <w:rsid w:val="00F32BF7"/>
    <w:rsid w:val="00F32D4A"/>
    <w:rsid w:val="00F32E48"/>
    <w:rsid w:val="00F331B9"/>
    <w:rsid w:val="00F332A9"/>
    <w:rsid w:val="00F33443"/>
    <w:rsid w:val="00F334E0"/>
    <w:rsid w:val="00F33547"/>
    <w:rsid w:val="00F33553"/>
    <w:rsid w:val="00F33606"/>
    <w:rsid w:val="00F33618"/>
    <w:rsid w:val="00F337C5"/>
    <w:rsid w:val="00F337D8"/>
    <w:rsid w:val="00F337D9"/>
    <w:rsid w:val="00F3398F"/>
    <w:rsid w:val="00F339FF"/>
    <w:rsid w:val="00F33B1F"/>
    <w:rsid w:val="00F33F4C"/>
    <w:rsid w:val="00F3401B"/>
    <w:rsid w:val="00F3403F"/>
    <w:rsid w:val="00F34052"/>
    <w:rsid w:val="00F34261"/>
    <w:rsid w:val="00F3438E"/>
    <w:rsid w:val="00F34462"/>
    <w:rsid w:val="00F344DD"/>
    <w:rsid w:val="00F3472F"/>
    <w:rsid w:val="00F347A0"/>
    <w:rsid w:val="00F348BD"/>
    <w:rsid w:val="00F349FF"/>
    <w:rsid w:val="00F34D3E"/>
    <w:rsid w:val="00F34D64"/>
    <w:rsid w:val="00F34FA5"/>
    <w:rsid w:val="00F35120"/>
    <w:rsid w:val="00F3516F"/>
    <w:rsid w:val="00F35653"/>
    <w:rsid w:val="00F356BF"/>
    <w:rsid w:val="00F356E5"/>
    <w:rsid w:val="00F35886"/>
    <w:rsid w:val="00F35897"/>
    <w:rsid w:val="00F359D5"/>
    <w:rsid w:val="00F35B30"/>
    <w:rsid w:val="00F35B36"/>
    <w:rsid w:val="00F35E82"/>
    <w:rsid w:val="00F35F1A"/>
    <w:rsid w:val="00F36020"/>
    <w:rsid w:val="00F3608E"/>
    <w:rsid w:val="00F3619C"/>
    <w:rsid w:val="00F361D7"/>
    <w:rsid w:val="00F36291"/>
    <w:rsid w:val="00F362A7"/>
    <w:rsid w:val="00F36526"/>
    <w:rsid w:val="00F36548"/>
    <w:rsid w:val="00F3664F"/>
    <w:rsid w:val="00F36710"/>
    <w:rsid w:val="00F367DA"/>
    <w:rsid w:val="00F368D0"/>
    <w:rsid w:val="00F369B8"/>
    <w:rsid w:val="00F36AD7"/>
    <w:rsid w:val="00F36DE1"/>
    <w:rsid w:val="00F36F11"/>
    <w:rsid w:val="00F36F75"/>
    <w:rsid w:val="00F370D4"/>
    <w:rsid w:val="00F3712B"/>
    <w:rsid w:val="00F371D5"/>
    <w:rsid w:val="00F3737D"/>
    <w:rsid w:val="00F373D4"/>
    <w:rsid w:val="00F374E5"/>
    <w:rsid w:val="00F37619"/>
    <w:rsid w:val="00F37640"/>
    <w:rsid w:val="00F37656"/>
    <w:rsid w:val="00F37697"/>
    <w:rsid w:val="00F376B5"/>
    <w:rsid w:val="00F377B8"/>
    <w:rsid w:val="00F378E5"/>
    <w:rsid w:val="00F379E7"/>
    <w:rsid w:val="00F37DD0"/>
    <w:rsid w:val="00F40022"/>
    <w:rsid w:val="00F40031"/>
    <w:rsid w:val="00F40091"/>
    <w:rsid w:val="00F401C4"/>
    <w:rsid w:val="00F401E8"/>
    <w:rsid w:val="00F40373"/>
    <w:rsid w:val="00F40397"/>
    <w:rsid w:val="00F407EC"/>
    <w:rsid w:val="00F40839"/>
    <w:rsid w:val="00F4085A"/>
    <w:rsid w:val="00F40889"/>
    <w:rsid w:val="00F40A63"/>
    <w:rsid w:val="00F40AB0"/>
    <w:rsid w:val="00F40D26"/>
    <w:rsid w:val="00F40D88"/>
    <w:rsid w:val="00F40E50"/>
    <w:rsid w:val="00F40EC6"/>
    <w:rsid w:val="00F40F1F"/>
    <w:rsid w:val="00F40F46"/>
    <w:rsid w:val="00F41032"/>
    <w:rsid w:val="00F41436"/>
    <w:rsid w:val="00F4176A"/>
    <w:rsid w:val="00F417C2"/>
    <w:rsid w:val="00F419F6"/>
    <w:rsid w:val="00F41ADE"/>
    <w:rsid w:val="00F41E0E"/>
    <w:rsid w:val="00F41E5A"/>
    <w:rsid w:val="00F41F17"/>
    <w:rsid w:val="00F41F97"/>
    <w:rsid w:val="00F420AF"/>
    <w:rsid w:val="00F42235"/>
    <w:rsid w:val="00F424A7"/>
    <w:rsid w:val="00F425C5"/>
    <w:rsid w:val="00F42675"/>
    <w:rsid w:val="00F429EE"/>
    <w:rsid w:val="00F42A99"/>
    <w:rsid w:val="00F42EDD"/>
    <w:rsid w:val="00F43098"/>
    <w:rsid w:val="00F430AE"/>
    <w:rsid w:val="00F430B9"/>
    <w:rsid w:val="00F43138"/>
    <w:rsid w:val="00F431B9"/>
    <w:rsid w:val="00F431D6"/>
    <w:rsid w:val="00F4332E"/>
    <w:rsid w:val="00F43445"/>
    <w:rsid w:val="00F43582"/>
    <w:rsid w:val="00F437B2"/>
    <w:rsid w:val="00F437D4"/>
    <w:rsid w:val="00F43824"/>
    <w:rsid w:val="00F4388D"/>
    <w:rsid w:val="00F43A1E"/>
    <w:rsid w:val="00F43AF8"/>
    <w:rsid w:val="00F43AFA"/>
    <w:rsid w:val="00F43B3E"/>
    <w:rsid w:val="00F43D01"/>
    <w:rsid w:val="00F43E21"/>
    <w:rsid w:val="00F43E53"/>
    <w:rsid w:val="00F440A2"/>
    <w:rsid w:val="00F442B5"/>
    <w:rsid w:val="00F442B8"/>
    <w:rsid w:val="00F44510"/>
    <w:rsid w:val="00F44697"/>
    <w:rsid w:val="00F447C5"/>
    <w:rsid w:val="00F447DC"/>
    <w:rsid w:val="00F448D4"/>
    <w:rsid w:val="00F449FB"/>
    <w:rsid w:val="00F44A41"/>
    <w:rsid w:val="00F44C5C"/>
    <w:rsid w:val="00F44F43"/>
    <w:rsid w:val="00F451EA"/>
    <w:rsid w:val="00F457FA"/>
    <w:rsid w:val="00F45864"/>
    <w:rsid w:val="00F45A04"/>
    <w:rsid w:val="00F45AA1"/>
    <w:rsid w:val="00F45AFB"/>
    <w:rsid w:val="00F45BB0"/>
    <w:rsid w:val="00F45C10"/>
    <w:rsid w:val="00F45CBC"/>
    <w:rsid w:val="00F45CD3"/>
    <w:rsid w:val="00F45CD9"/>
    <w:rsid w:val="00F45D4A"/>
    <w:rsid w:val="00F45F3F"/>
    <w:rsid w:val="00F460F2"/>
    <w:rsid w:val="00F461D2"/>
    <w:rsid w:val="00F461D7"/>
    <w:rsid w:val="00F46300"/>
    <w:rsid w:val="00F46418"/>
    <w:rsid w:val="00F4645F"/>
    <w:rsid w:val="00F4662C"/>
    <w:rsid w:val="00F46641"/>
    <w:rsid w:val="00F46673"/>
    <w:rsid w:val="00F46928"/>
    <w:rsid w:val="00F4698F"/>
    <w:rsid w:val="00F46A02"/>
    <w:rsid w:val="00F46D78"/>
    <w:rsid w:val="00F46EAB"/>
    <w:rsid w:val="00F46F47"/>
    <w:rsid w:val="00F46FD3"/>
    <w:rsid w:val="00F47092"/>
    <w:rsid w:val="00F47222"/>
    <w:rsid w:val="00F473DE"/>
    <w:rsid w:val="00F47426"/>
    <w:rsid w:val="00F47461"/>
    <w:rsid w:val="00F477F2"/>
    <w:rsid w:val="00F478B6"/>
    <w:rsid w:val="00F4796F"/>
    <w:rsid w:val="00F47EAB"/>
    <w:rsid w:val="00F47F90"/>
    <w:rsid w:val="00F47F98"/>
    <w:rsid w:val="00F50012"/>
    <w:rsid w:val="00F50103"/>
    <w:rsid w:val="00F5016F"/>
    <w:rsid w:val="00F50192"/>
    <w:rsid w:val="00F501DD"/>
    <w:rsid w:val="00F50250"/>
    <w:rsid w:val="00F50884"/>
    <w:rsid w:val="00F509A2"/>
    <w:rsid w:val="00F50F48"/>
    <w:rsid w:val="00F50F65"/>
    <w:rsid w:val="00F50F8A"/>
    <w:rsid w:val="00F50FB3"/>
    <w:rsid w:val="00F510F3"/>
    <w:rsid w:val="00F5119F"/>
    <w:rsid w:val="00F51353"/>
    <w:rsid w:val="00F51442"/>
    <w:rsid w:val="00F515D7"/>
    <w:rsid w:val="00F515E6"/>
    <w:rsid w:val="00F5168E"/>
    <w:rsid w:val="00F5169A"/>
    <w:rsid w:val="00F51777"/>
    <w:rsid w:val="00F51972"/>
    <w:rsid w:val="00F519F0"/>
    <w:rsid w:val="00F51A0D"/>
    <w:rsid w:val="00F51AFB"/>
    <w:rsid w:val="00F51C1B"/>
    <w:rsid w:val="00F51C99"/>
    <w:rsid w:val="00F51E34"/>
    <w:rsid w:val="00F51F31"/>
    <w:rsid w:val="00F52060"/>
    <w:rsid w:val="00F520AD"/>
    <w:rsid w:val="00F520DD"/>
    <w:rsid w:val="00F5213A"/>
    <w:rsid w:val="00F521AD"/>
    <w:rsid w:val="00F521D6"/>
    <w:rsid w:val="00F52211"/>
    <w:rsid w:val="00F522FC"/>
    <w:rsid w:val="00F5262E"/>
    <w:rsid w:val="00F52947"/>
    <w:rsid w:val="00F529DB"/>
    <w:rsid w:val="00F52B80"/>
    <w:rsid w:val="00F52D08"/>
    <w:rsid w:val="00F52D1A"/>
    <w:rsid w:val="00F52D45"/>
    <w:rsid w:val="00F52ECB"/>
    <w:rsid w:val="00F53106"/>
    <w:rsid w:val="00F5324D"/>
    <w:rsid w:val="00F5325F"/>
    <w:rsid w:val="00F53288"/>
    <w:rsid w:val="00F535E2"/>
    <w:rsid w:val="00F536A1"/>
    <w:rsid w:val="00F5374C"/>
    <w:rsid w:val="00F538A4"/>
    <w:rsid w:val="00F539C4"/>
    <w:rsid w:val="00F53A4C"/>
    <w:rsid w:val="00F53B6B"/>
    <w:rsid w:val="00F53C43"/>
    <w:rsid w:val="00F53D51"/>
    <w:rsid w:val="00F53DE2"/>
    <w:rsid w:val="00F53EA2"/>
    <w:rsid w:val="00F53F0B"/>
    <w:rsid w:val="00F54030"/>
    <w:rsid w:val="00F54199"/>
    <w:rsid w:val="00F542F3"/>
    <w:rsid w:val="00F54412"/>
    <w:rsid w:val="00F545A4"/>
    <w:rsid w:val="00F5462B"/>
    <w:rsid w:val="00F54692"/>
    <w:rsid w:val="00F5474C"/>
    <w:rsid w:val="00F5478C"/>
    <w:rsid w:val="00F548F7"/>
    <w:rsid w:val="00F54967"/>
    <w:rsid w:val="00F54B1D"/>
    <w:rsid w:val="00F54B42"/>
    <w:rsid w:val="00F54BD5"/>
    <w:rsid w:val="00F54BF8"/>
    <w:rsid w:val="00F54C1C"/>
    <w:rsid w:val="00F54C5A"/>
    <w:rsid w:val="00F54C93"/>
    <w:rsid w:val="00F54CF8"/>
    <w:rsid w:val="00F54D94"/>
    <w:rsid w:val="00F54E17"/>
    <w:rsid w:val="00F54F13"/>
    <w:rsid w:val="00F55099"/>
    <w:rsid w:val="00F552EA"/>
    <w:rsid w:val="00F553A2"/>
    <w:rsid w:val="00F553A7"/>
    <w:rsid w:val="00F553AD"/>
    <w:rsid w:val="00F5543F"/>
    <w:rsid w:val="00F5568A"/>
    <w:rsid w:val="00F558E0"/>
    <w:rsid w:val="00F5592F"/>
    <w:rsid w:val="00F559A0"/>
    <w:rsid w:val="00F559DD"/>
    <w:rsid w:val="00F559F2"/>
    <w:rsid w:val="00F55AC4"/>
    <w:rsid w:val="00F55B51"/>
    <w:rsid w:val="00F55BCE"/>
    <w:rsid w:val="00F55C41"/>
    <w:rsid w:val="00F55CC7"/>
    <w:rsid w:val="00F55D3C"/>
    <w:rsid w:val="00F55DCB"/>
    <w:rsid w:val="00F55E68"/>
    <w:rsid w:val="00F56069"/>
    <w:rsid w:val="00F5651D"/>
    <w:rsid w:val="00F56720"/>
    <w:rsid w:val="00F567CA"/>
    <w:rsid w:val="00F569AB"/>
    <w:rsid w:val="00F56A42"/>
    <w:rsid w:val="00F56AB7"/>
    <w:rsid w:val="00F56C52"/>
    <w:rsid w:val="00F56CAD"/>
    <w:rsid w:val="00F56D93"/>
    <w:rsid w:val="00F56FAD"/>
    <w:rsid w:val="00F57097"/>
    <w:rsid w:val="00F57255"/>
    <w:rsid w:val="00F573E9"/>
    <w:rsid w:val="00F5744B"/>
    <w:rsid w:val="00F5749C"/>
    <w:rsid w:val="00F5751D"/>
    <w:rsid w:val="00F57732"/>
    <w:rsid w:val="00F5779F"/>
    <w:rsid w:val="00F577D1"/>
    <w:rsid w:val="00F577FE"/>
    <w:rsid w:val="00F57802"/>
    <w:rsid w:val="00F57A33"/>
    <w:rsid w:val="00F57BCA"/>
    <w:rsid w:val="00F57DB8"/>
    <w:rsid w:val="00F57E16"/>
    <w:rsid w:val="00F57ED7"/>
    <w:rsid w:val="00F60009"/>
    <w:rsid w:val="00F6000A"/>
    <w:rsid w:val="00F60276"/>
    <w:rsid w:val="00F602E2"/>
    <w:rsid w:val="00F6067C"/>
    <w:rsid w:val="00F608F3"/>
    <w:rsid w:val="00F608F5"/>
    <w:rsid w:val="00F608F9"/>
    <w:rsid w:val="00F60B41"/>
    <w:rsid w:val="00F60BD0"/>
    <w:rsid w:val="00F60D98"/>
    <w:rsid w:val="00F60E2A"/>
    <w:rsid w:val="00F60E88"/>
    <w:rsid w:val="00F60E99"/>
    <w:rsid w:val="00F60F8F"/>
    <w:rsid w:val="00F60FD6"/>
    <w:rsid w:val="00F61018"/>
    <w:rsid w:val="00F6105F"/>
    <w:rsid w:val="00F610D1"/>
    <w:rsid w:val="00F611B6"/>
    <w:rsid w:val="00F61317"/>
    <w:rsid w:val="00F613A9"/>
    <w:rsid w:val="00F613AE"/>
    <w:rsid w:val="00F6154F"/>
    <w:rsid w:val="00F6170E"/>
    <w:rsid w:val="00F619B1"/>
    <w:rsid w:val="00F619E5"/>
    <w:rsid w:val="00F61AD8"/>
    <w:rsid w:val="00F61D1E"/>
    <w:rsid w:val="00F61D96"/>
    <w:rsid w:val="00F61FD9"/>
    <w:rsid w:val="00F621CE"/>
    <w:rsid w:val="00F6239F"/>
    <w:rsid w:val="00F62464"/>
    <w:rsid w:val="00F62493"/>
    <w:rsid w:val="00F6257A"/>
    <w:rsid w:val="00F62783"/>
    <w:rsid w:val="00F627E2"/>
    <w:rsid w:val="00F62800"/>
    <w:rsid w:val="00F6281F"/>
    <w:rsid w:val="00F6294D"/>
    <w:rsid w:val="00F62AC0"/>
    <w:rsid w:val="00F62EB1"/>
    <w:rsid w:val="00F633D1"/>
    <w:rsid w:val="00F6357A"/>
    <w:rsid w:val="00F63597"/>
    <w:rsid w:val="00F63635"/>
    <w:rsid w:val="00F6379A"/>
    <w:rsid w:val="00F63840"/>
    <w:rsid w:val="00F6395E"/>
    <w:rsid w:val="00F63969"/>
    <w:rsid w:val="00F639F1"/>
    <w:rsid w:val="00F63A37"/>
    <w:rsid w:val="00F63A42"/>
    <w:rsid w:val="00F63A80"/>
    <w:rsid w:val="00F63A93"/>
    <w:rsid w:val="00F63FB9"/>
    <w:rsid w:val="00F6403F"/>
    <w:rsid w:val="00F64152"/>
    <w:rsid w:val="00F6419B"/>
    <w:rsid w:val="00F641FC"/>
    <w:rsid w:val="00F64507"/>
    <w:rsid w:val="00F64561"/>
    <w:rsid w:val="00F64585"/>
    <w:rsid w:val="00F64727"/>
    <w:rsid w:val="00F64799"/>
    <w:rsid w:val="00F64D63"/>
    <w:rsid w:val="00F64DAF"/>
    <w:rsid w:val="00F64EA1"/>
    <w:rsid w:val="00F64EF2"/>
    <w:rsid w:val="00F64F39"/>
    <w:rsid w:val="00F64F9F"/>
    <w:rsid w:val="00F65146"/>
    <w:rsid w:val="00F6526F"/>
    <w:rsid w:val="00F6535C"/>
    <w:rsid w:val="00F653C8"/>
    <w:rsid w:val="00F65403"/>
    <w:rsid w:val="00F655F5"/>
    <w:rsid w:val="00F65721"/>
    <w:rsid w:val="00F658AE"/>
    <w:rsid w:val="00F6590C"/>
    <w:rsid w:val="00F65967"/>
    <w:rsid w:val="00F65970"/>
    <w:rsid w:val="00F65B99"/>
    <w:rsid w:val="00F65DC6"/>
    <w:rsid w:val="00F65ECB"/>
    <w:rsid w:val="00F65F8C"/>
    <w:rsid w:val="00F6601D"/>
    <w:rsid w:val="00F6607B"/>
    <w:rsid w:val="00F660BC"/>
    <w:rsid w:val="00F66307"/>
    <w:rsid w:val="00F6632B"/>
    <w:rsid w:val="00F6657B"/>
    <w:rsid w:val="00F6657E"/>
    <w:rsid w:val="00F665CA"/>
    <w:rsid w:val="00F66612"/>
    <w:rsid w:val="00F66798"/>
    <w:rsid w:val="00F66842"/>
    <w:rsid w:val="00F66877"/>
    <w:rsid w:val="00F669CE"/>
    <w:rsid w:val="00F66BC3"/>
    <w:rsid w:val="00F66D3F"/>
    <w:rsid w:val="00F66D8B"/>
    <w:rsid w:val="00F66F50"/>
    <w:rsid w:val="00F66F6F"/>
    <w:rsid w:val="00F66F70"/>
    <w:rsid w:val="00F670D9"/>
    <w:rsid w:val="00F67167"/>
    <w:rsid w:val="00F671BF"/>
    <w:rsid w:val="00F6771B"/>
    <w:rsid w:val="00F677E2"/>
    <w:rsid w:val="00F678D0"/>
    <w:rsid w:val="00F678F4"/>
    <w:rsid w:val="00F67BFA"/>
    <w:rsid w:val="00F67DBF"/>
    <w:rsid w:val="00F67E12"/>
    <w:rsid w:val="00F67EF6"/>
    <w:rsid w:val="00F67FDB"/>
    <w:rsid w:val="00F7007B"/>
    <w:rsid w:val="00F7018C"/>
    <w:rsid w:val="00F70293"/>
    <w:rsid w:val="00F702A2"/>
    <w:rsid w:val="00F7031C"/>
    <w:rsid w:val="00F70360"/>
    <w:rsid w:val="00F704F1"/>
    <w:rsid w:val="00F70570"/>
    <w:rsid w:val="00F7058F"/>
    <w:rsid w:val="00F705CC"/>
    <w:rsid w:val="00F70602"/>
    <w:rsid w:val="00F706E3"/>
    <w:rsid w:val="00F70738"/>
    <w:rsid w:val="00F70755"/>
    <w:rsid w:val="00F7081D"/>
    <w:rsid w:val="00F70BDD"/>
    <w:rsid w:val="00F70D82"/>
    <w:rsid w:val="00F70DE8"/>
    <w:rsid w:val="00F70E7F"/>
    <w:rsid w:val="00F70F60"/>
    <w:rsid w:val="00F710E8"/>
    <w:rsid w:val="00F7119F"/>
    <w:rsid w:val="00F711EE"/>
    <w:rsid w:val="00F71566"/>
    <w:rsid w:val="00F718F0"/>
    <w:rsid w:val="00F7196D"/>
    <w:rsid w:val="00F71C63"/>
    <w:rsid w:val="00F72073"/>
    <w:rsid w:val="00F7207C"/>
    <w:rsid w:val="00F7207E"/>
    <w:rsid w:val="00F720A5"/>
    <w:rsid w:val="00F720D7"/>
    <w:rsid w:val="00F72106"/>
    <w:rsid w:val="00F72235"/>
    <w:rsid w:val="00F722FC"/>
    <w:rsid w:val="00F7250C"/>
    <w:rsid w:val="00F7251D"/>
    <w:rsid w:val="00F72943"/>
    <w:rsid w:val="00F72B96"/>
    <w:rsid w:val="00F72E97"/>
    <w:rsid w:val="00F72FF5"/>
    <w:rsid w:val="00F730CF"/>
    <w:rsid w:val="00F731E4"/>
    <w:rsid w:val="00F731F8"/>
    <w:rsid w:val="00F734E0"/>
    <w:rsid w:val="00F73522"/>
    <w:rsid w:val="00F73535"/>
    <w:rsid w:val="00F73656"/>
    <w:rsid w:val="00F73664"/>
    <w:rsid w:val="00F73777"/>
    <w:rsid w:val="00F73A60"/>
    <w:rsid w:val="00F73A76"/>
    <w:rsid w:val="00F73B20"/>
    <w:rsid w:val="00F73C71"/>
    <w:rsid w:val="00F73C84"/>
    <w:rsid w:val="00F73EA1"/>
    <w:rsid w:val="00F73EB7"/>
    <w:rsid w:val="00F73F6B"/>
    <w:rsid w:val="00F7406F"/>
    <w:rsid w:val="00F74144"/>
    <w:rsid w:val="00F74164"/>
    <w:rsid w:val="00F74273"/>
    <w:rsid w:val="00F7429D"/>
    <w:rsid w:val="00F744C8"/>
    <w:rsid w:val="00F7453F"/>
    <w:rsid w:val="00F745EE"/>
    <w:rsid w:val="00F7461A"/>
    <w:rsid w:val="00F749D4"/>
    <w:rsid w:val="00F74A23"/>
    <w:rsid w:val="00F74BAE"/>
    <w:rsid w:val="00F74C82"/>
    <w:rsid w:val="00F74D5D"/>
    <w:rsid w:val="00F74EBF"/>
    <w:rsid w:val="00F74F5E"/>
    <w:rsid w:val="00F75024"/>
    <w:rsid w:val="00F75138"/>
    <w:rsid w:val="00F75161"/>
    <w:rsid w:val="00F752F2"/>
    <w:rsid w:val="00F75420"/>
    <w:rsid w:val="00F7544F"/>
    <w:rsid w:val="00F75485"/>
    <w:rsid w:val="00F754FB"/>
    <w:rsid w:val="00F759AD"/>
    <w:rsid w:val="00F759BD"/>
    <w:rsid w:val="00F75A09"/>
    <w:rsid w:val="00F75A15"/>
    <w:rsid w:val="00F75A56"/>
    <w:rsid w:val="00F75C24"/>
    <w:rsid w:val="00F75D4B"/>
    <w:rsid w:val="00F75EB2"/>
    <w:rsid w:val="00F75F2F"/>
    <w:rsid w:val="00F76264"/>
    <w:rsid w:val="00F763DB"/>
    <w:rsid w:val="00F767D4"/>
    <w:rsid w:val="00F76C98"/>
    <w:rsid w:val="00F76ECA"/>
    <w:rsid w:val="00F77182"/>
    <w:rsid w:val="00F7724E"/>
    <w:rsid w:val="00F772BB"/>
    <w:rsid w:val="00F77370"/>
    <w:rsid w:val="00F773F3"/>
    <w:rsid w:val="00F7749D"/>
    <w:rsid w:val="00F7767F"/>
    <w:rsid w:val="00F7780A"/>
    <w:rsid w:val="00F77936"/>
    <w:rsid w:val="00F77943"/>
    <w:rsid w:val="00F779D2"/>
    <w:rsid w:val="00F779FC"/>
    <w:rsid w:val="00F77A45"/>
    <w:rsid w:val="00F77A65"/>
    <w:rsid w:val="00F77B35"/>
    <w:rsid w:val="00F77B89"/>
    <w:rsid w:val="00F77C13"/>
    <w:rsid w:val="00F77DA0"/>
    <w:rsid w:val="00F77E2D"/>
    <w:rsid w:val="00F77FFE"/>
    <w:rsid w:val="00F8039C"/>
    <w:rsid w:val="00F8059B"/>
    <w:rsid w:val="00F8062F"/>
    <w:rsid w:val="00F806E0"/>
    <w:rsid w:val="00F80773"/>
    <w:rsid w:val="00F8077A"/>
    <w:rsid w:val="00F80834"/>
    <w:rsid w:val="00F8085B"/>
    <w:rsid w:val="00F8089A"/>
    <w:rsid w:val="00F8094F"/>
    <w:rsid w:val="00F80BF7"/>
    <w:rsid w:val="00F80C74"/>
    <w:rsid w:val="00F80DEF"/>
    <w:rsid w:val="00F81480"/>
    <w:rsid w:val="00F81617"/>
    <w:rsid w:val="00F8176D"/>
    <w:rsid w:val="00F818E6"/>
    <w:rsid w:val="00F81C2C"/>
    <w:rsid w:val="00F81DAB"/>
    <w:rsid w:val="00F81E54"/>
    <w:rsid w:val="00F81F95"/>
    <w:rsid w:val="00F81FBD"/>
    <w:rsid w:val="00F82216"/>
    <w:rsid w:val="00F8251F"/>
    <w:rsid w:val="00F825A6"/>
    <w:rsid w:val="00F827CE"/>
    <w:rsid w:val="00F82888"/>
    <w:rsid w:val="00F829CA"/>
    <w:rsid w:val="00F82B38"/>
    <w:rsid w:val="00F82C99"/>
    <w:rsid w:val="00F82DF1"/>
    <w:rsid w:val="00F82FA1"/>
    <w:rsid w:val="00F83010"/>
    <w:rsid w:val="00F8307D"/>
    <w:rsid w:val="00F8319B"/>
    <w:rsid w:val="00F831A2"/>
    <w:rsid w:val="00F831B6"/>
    <w:rsid w:val="00F832D0"/>
    <w:rsid w:val="00F832D8"/>
    <w:rsid w:val="00F832EE"/>
    <w:rsid w:val="00F8362F"/>
    <w:rsid w:val="00F83802"/>
    <w:rsid w:val="00F8392D"/>
    <w:rsid w:val="00F83A66"/>
    <w:rsid w:val="00F83BA5"/>
    <w:rsid w:val="00F83BD1"/>
    <w:rsid w:val="00F83D1E"/>
    <w:rsid w:val="00F83D27"/>
    <w:rsid w:val="00F83EF8"/>
    <w:rsid w:val="00F84616"/>
    <w:rsid w:val="00F847D6"/>
    <w:rsid w:val="00F847ED"/>
    <w:rsid w:val="00F8486B"/>
    <w:rsid w:val="00F84BF3"/>
    <w:rsid w:val="00F84C6A"/>
    <w:rsid w:val="00F84E48"/>
    <w:rsid w:val="00F84F11"/>
    <w:rsid w:val="00F84FC2"/>
    <w:rsid w:val="00F851B5"/>
    <w:rsid w:val="00F852A1"/>
    <w:rsid w:val="00F854C1"/>
    <w:rsid w:val="00F85570"/>
    <w:rsid w:val="00F85630"/>
    <w:rsid w:val="00F8582E"/>
    <w:rsid w:val="00F85847"/>
    <w:rsid w:val="00F85983"/>
    <w:rsid w:val="00F85A2F"/>
    <w:rsid w:val="00F85B47"/>
    <w:rsid w:val="00F85BE5"/>
    <w:rsid w:val="00F85BF1"/>
    <w:rsid w:val="00F85D30"/>
    <w:rsid w:val="00F85E13"/>
    <w:rsid w:val="00F8610E"/>
    <w:rsid w:val="00F862F2"/>
    <w:rsid w:val="00F86318"/>
    <w:rsid w:val="00F86347"/>
    <w:rsid w:val="00F864DA"/>
    <w:rsid w:val="00F86571"/>
    <w:rsid w:val="00F868DF"/>
    <w:rsid w:val="00F868F1"/>
    <w:rsid w:val="00F86A24"/>
    <w:rsid w:val="00F86C8B"/>
    <w:rsid w:val="00F86E1A"/>
    <w:rsid w:val="00F86F9A"/>
    <w:rsid w:val="00F86FA8"/>
    <w:rsid w:val="00F875CD"/>
    <w:rsid w:val="00F875F5"/>
    <w:rsid w:val="00F8766E"/>
    <w:rsid w:val="00F8769E"/>
    <w:rsid w:val="00F8777F"/>
    <w:rsid w:val="00F87921"/>
    <w:rsid w:val="00F8795A"/>
    <w:rsid w:val="00F8795E"/>
    <w:rsid w:val="00F87AFC"/>
    <w:rsid w:val="00F87CAA"/>
    <w:rsid w:val="00F87F5B"/>
    <w:rsid w:val="00F90007"/>
    <w:rsid w:val="00F9018D"/>
    <w:rsid w:val="00F90216"/>
    <w:rsid w:val="00F90253"/>
    <w:rsid w:val="00F90677"/>
    <w:rsid w:val="00F906CF"/>
    <w:rsid w:val="00F90796"/>
    <w:rsid w:val="00F909C3"/>
    <w:rsid w:val="00F90A60"/>
    <w:rsid w:val="00F90A93"/>
    <w:rsid w:val="00F90F1E"/>
    <w:rsid w:val="00F90FD1"/>
    <w:rsid w:val="00F9102E"/>
    <w:rsid w:val="00F910CE"/>
    <w:rsid w:val="00F91128"/>
    <w:rsid w:val="00F91304"/>
    <w:rsid w:val="00F91313"/>
    <w:rsid w:val="00F914DD"/>
    <w:rsid w:val="00F9172A"/>
    <w:rsid w:val="00F91810"/>
    <w:rsid w:val="00F91AE9"/>
    <w:rsid w:val="00F91B0B"/>
    <w:rsid w:val="00F91CB1"/>
    <w:rsid w:val="00F91D44"/>
    <w:rsid w:val="00F91DE7"/>
    <w:rsid w:val="00F91E84"/>
    <w:rsid w:val="00F91F2F"/>
    <w:rsid w:val="00F9204C"/>
    <w:rsid w:val="00F9218E"/>
    <w:rsid w:val="00F921E7"/>
    <w:rsid w:val="00F922EB"/>
    <w:rsid w:val="00F925B5"/>
    <w:rsid w:val="00F925EB"/>
    <w:rsid w:val="00F9278B"/>
    <w:rsid w:val="00F9297F"/>
    <w:rsid w:val="00F92997"/>
    <w:rsid w:val="00F929AA"/>
    <w:rsid w:val="00F92A52"/>
    <w:rsid w:val="00F92B63"/>
    <w:rsid w:val="00F92CE9"/>
    <w:rsid w:val="00F9306E"/>
    <w:rsid w:val="00F930D6"/>
    <w:rsid w:val="00F93117"/>
    <w:rsid w:val="00F935BE"/>
    <w:rsid w:val="00F937F2"/>
    <w:rsid w:val="00F937F6"/>
    <w:rsid w:val="00F93CB2"/>
    <w:rsid w:val="00F93E86"/>
    <w:rsid w:val="00F94172"/>
    <w:rsid w:val="00F942FE"/>
    <w:rsid w:val="00F94589"/>
    <w:rsid w:val="00F945BB"/>
    <w:rsid w:val="00F945DE"/>
    <w:rsid w:val="00F94610"/>
    <w:rsid w:val="00F946D2"/>
    <w:rsid w:val="00F94787"/>
    <w:rsid w:val="00F947B1"/>
    <w:rsid w:val="00F948C7"/>
    <w:rsid w:val="00F949E4"/>
    <w:rsid w:val="00F949F7"/>
    <w:rsid w:val="00F94AC5"/>
    <w:rsid w:val="00F94C1F"/>
    <w:rsid w:val="00F94C35"/>
    <w:rsid w:val="00F94C43"/>
    <w:rsid w:val="00F94C91"/>
    <w:rsid w:val="00F94FE6"/>
    <w:rsid w:val="00F95038"/>
    <w:rsid w:val="00F95145"/>
    <w:rsid w:val="00F95154"/>
    <w:rsid w:val="00F95175"/>
    <w:rsid w:val="00F952DC"/>
    <w:rsid w:val="00F95379"/>
    <w:rsid w:val="00F953A2"/>
    <w:rsid w:val="00F953CD"/>
    <w:rsid w:val="00F95578"/>
    <w:rsid w:val="00F9559F"/>
    <w:rsid w:val="00F955D1"/>
    <w:rsid w:val="00F95652"/>
    <w:rsid w:val="00F9576B"/>
    <w:rsid w:val="00F9576D"/>
    <w:rsid w:val="00F95967"/>
    <w:rsid w:val="00F95A0A"/>
    <w:rsid w:val="00F95A41"/>
    <w:rsid w:val="00F95C5A"/>
    <w:rsid w:val="00F95EEA"/>
    <w:rsid w:val="00F96077"/>
    <w:rsid w:val="00F9616E"/>
    <w:rsid w:val="00F961E5"/>
    <w:rsid w:val="00F962DE"/>
    <w:rsid w:val="00F96399"/>
    <w:rsid w:val="00F963A8"/>
    <w:rsid w:val="00F96555"/>
    <w:rsid w:val="00F965CF"/>
    <w:rsid w:val="00F965E1"/>
    <w:rsid w:val="00F965F8"/>
    <w:rsid w:val="00F96611"/>
    <w:rsid w:val="00F96924"/>
    <w:rsid w:val="00F96C92"/>
    <w:rsid w:val="00F96E2B"/>
    <w:rsid w:val="00F96E3D"/>
    <w:rsid w:val="00F96FA2"/>
    <w:rsid w:val="00F96FFB"/>
    <w:rsid w:val="00F972B1"/>
    <w:rsid w:val="00F97318"/>
    <w:rsid w:val="00F97410"/>
    <w:rsid w:val="00F97597"/>
    <w:rsid w:val="00F97657"/>
    <w:rsid w:val="00F977B8"/>
    <w:rsid w:val="00F978F6"/>
    <w:rsid w:val="00F97B3E"/>
    <w:rsid w:val="00F97B4F"/>
    <w:rsid w:val="00F97BC3"/>
    <w:rsid w:val="00F97CC0"/>
    <w:rsid w:val="00F97EF3"/>
    <w:rsid w:val="00F97F01"/>
    <w:rsid w:val="00F97FBA"/>
    <w:rsid w:val="00FA0033"/>
    <w:rsid w:val="00FA004A"/>
    <w:rsid w:val="00FA005D"/>
    <w:rsid w:val="00FA01A3"/>
    <w:rsid w:val="00FA022D"/>
    <w:rsid w:val="00FA0325"/>
    <w:rsid w:val="00FA03AC"/>
    <w:rsid w:val="00FA049A"/>
    <w:rsid w:val="00FA0527"/>
    <w:rsid w:val="00FA06A7"/>
    <w:rsid w:val="00FA07B6"/>
    <w:rsid w:val="00FA0A9A"/>
    <w:rsid w:val="00FA0CDF"/>
    <w:rsid w:val="00FA0CF8"/>
    <w:rsid w:val="00FA0CFA"/>
    <w:rsid w:val="00FA0FF3"/>
    <w:rsid w:val="00FA10C1"/>
    <w:rsid w:val="00FA1124"/>
    <w:rsid w:val="00FA123C"/>
    <w:rsid w:val="00FA126E"/>
    <w:rsid w:val="00FA145E"/>
    <w:rsid w:val="00FA14AA"/>
    <w:rsid w:val="00FA15BC"/>
    <w:rsid w:val="00FA15C3"/>
    <w:rsid w:val="00FA15CE"/>
    <w:rsid w:val="00FA1766"/>
    <w:rsid w:val="00FA1B2C"/>
    <w:rsid w:val="00FA201D"/>
    <w:rsid w:val="00FA224E"/>
    <w:rsid w:val="00FA2379"/>
    <w:rsid w:val="00FA2480"/>
    <w:rsid w:val="00FA256F"/>
    <w:rsid w:val="00FA2590"/>
    <w:rsid w:val="00FA25C6"/>
    <w:rsid w:val="00FA261E"/>
    <w:rsid w:val="00FA2677"/>
    <w:rsid w:val="00FA2C48"/>
    <w:rsid w:val="00FA2C68"/>
    <w:rsid w:val="00FA2CE5"/>
    <w:rsid w:val="00FA2DE7"/>
    <w:rsid w:val="00FA2EB7"/>
    <w:rsid w:val="00FA301C"/>
    <w:rsid w:val="00FA302E"/>
    <w:rsid w:val="00FA3341"/>
    <w:rsid w:val="00FA35E1"/>
    <w:rsid w:val="00FA3687"/>
    <w:rsid w:val="00FA36A2"/>
    <w:rsid w:val="00FA384B"/>
    <w:rsid w:val="00FA38A3"/>
    <w:rsid w:val="00FA3993"/>
    <w:rsid w:val="00FA39F6"/>
    <w:rsid w:val="00FA3A5B"/>
    <w:rsid w:val="00FA3AA8"/>
    <w:rsid w:val="00FA3D61"/>
    <w:rsid w:val="00FA3E02"/>
    <w:rsid w:val="00FA3F54"/>
    <w:rsid w:val="00FA4095"/>
    <w:rsid w:val="00FA41C1"/>
    <w:rsid w:val="00FA41CC"/>
    <w:rsid w:val="00FA428F"/>
    <w:rsid w:val="00FA42CD"/>
    <w:rsid w:val="00FA434B"/>
    <w:rsid w:val="00FA44B9"/>
    <w:rsid w:val="00FA456A"/>
    <w:rsid w:val="00FA4815"/>
    <w:rsid w:val="00FA485F"/>
    <w:rsid w:val="00FA49E9"/>
    <w:rsid w:val="00FA4A0E"/>
    <w:rsid w:val="00FA4A55"/>
    <w:rsid w:val="00FA4A85"/>
    <w:rsid w:val="00FA4BD6"/>
    <w:rsid w:val="00FA4C9F"/>
    <w:rsid w:val="00FA4D24"/>
    <w:rsid w:val="00FA4E8D"/>
    <w:rsid w:val="00FA4FC9"/>
    <w:rsid w:val="00FA508F"/>
    <w:rsid w:val="00FA5320"/>
    <w:rsid w:val="00FA5360"/>
    <w:rsid w:val="00FA5506"/>
    <w:rsid w:val="00FA551B"/>
    <w:rsid w:val="00FA5861"/>
    <w:rsid w:val="00FA5897"/>
    <w:rsid w:val="00FA5A95"/>
    <w:rsid w:val="00FA5B37"/>
    <w:rsid w:val="00FA5B79"/>
    <w:rsid w:val="00FA5BBB"/>
    <w:rsid w:val="00FA5BD2"/>
    <w:rsid w:val="00FA5C0F"/>
    <w:rsid w:val="00FA5CB0"/>
    <w:rsid w:val="00FA5D7F"/>
    <w:rsid w:val="00FA5F1A"/>
    <w:rsid w:val="00FA61A7"/>
    <w:rsid w:val="00FA6443"/>
    <w:rsid w:val="00FA6500"/>
    <w:rsid w:val="00FA6605"/>
    <w:rsid w:val="00FA669E"/>
    <w:rsid w:val="00FA6BE1"/>
    <w:rsid w:val="00FA6D3A"/>
    <w:rsid w:val="00FA6E10"/>
    <w:rsid w:val="00FA6EE6"/>
    <w:rsid w:val="00FA7042"/>
    <w:rsid w:val="00FA7135"/>
    <w:rsid w:val="00FA7346"/>
    <w:rsid w:val="00FA7368"/>
    <w:rsid w:val="00FA77DF"/>
    <w:rsid w:val="00FA799E"/>
    <w:rsid w:val="00FA7A94"/>
    <w:rsid w:val="00FA7B86"/>
    <w:rsid w:val="00FA7C10"/>
    <w:rsid w:val="00FA7CF1"/>
    <w:rsid w:val="00FA7D0A"/>
    <w:rsid w:val="00FA7D57"/>
    <w:rsid w:val="00FA7DE1"/>
    <w:rsid w:val="00FA7E27"/>
    <w:rsid w:val="00FB00AD"/>
    <w:rsid w:val="00FB01A2"/>
    <w:rsid w:val="00FB0387"/>
    <w:rsid w:val="00FB03B4"/>
    <w:rsid w:val="00FB0457"/>
    <w:rsid w:val="00FB0546"/>
    <w:rsid w:val="00FB05B6"/>
    <w:rsid w:val="00FB060D"/>
    <w:rsid w:val="00FB065C"/>
    <w:rsid w:val="00FB0690"/>
    <w:rsid w:val="00FB07AA"/>
    <w:rsid w:val="00FB0ACC"/>
    <w:rsid w:val="00FB0BC6"/>
    <w:rsid w:val="00FB0D08"/>
    <w:rsid w:val="00FB0EA9"/>
    <w:rsid w:val="00FB11F9"/>
    <w:rsid w:val="00FB12DC"/>
    <w:rsid w:val="00FB12DD"/>
    <w:rsid w:val="00FB149F"/>
    <w:rsid w:val="00FB1614"/>
    <w:rsid w:val="00FB16D3"/>
    <w:rsid w:val="00FB1705"/>
    <w:rsid w:val="00FB180D"/>
    <w:rsid w:val="00FB197C"/>
    <w:rsid w:val="00FB1CE7"/>
    <w:rsid w:val="00FB1DE4"/>
    <w:rsid w:val="00FB1E30"/>
    <w:rsid w:val="00FB1E60"/>
    <w:rsid w:val="00FB205E"/>
    <w:rsid w:val="00FB20B0"/>
    <w:rsid w:val="00FB21BD"/>
    <w:rsid w:val="00FB21DF"/>
    <w:rsid w:val="00FB2248"/>
    <w:rsid w:val="00FB2295"/>
    <w:rsid w:val="00FB2338"/>
    <w:rsid w:val="00FB233E"/>
    <w:rsid w:val="00FB24EC"/>
    <w:rsid w:val="00FB252F"/>
    <w:rsid w:val="00FB25D6"/>
    <w:rsid w:val="00FB2636"/>
    <w:rsid w:val="00FB264B"/>
    <w:rsid w:val="00FB2892"/>
    <w:rsid w:val="00FB293A"/>
    <w:rsid w:val="00FB29CC"/>
    <w:rsid w:val="00FB2CAA"/>
    <w:rsid w:val="00FB2D2D"/>
    <w:rsid w:val="00FB2D58"/>
    <w:rsid w:val="00FB2D7A"/>
    <w:rsid w:val="00FB2E7D"/>
    <w:rsid w:val="00FB3000"/>
    <w:rsid w:val="00FB308D"/>
    <w:rsid w:val="00FB30A8"/>
    <w:rsid w:val="00FB320B"/>
    <w:rsid w:val="00FB3281"/>
    <w:rsid w:val="00FB342F"/>
    <w:rsid w:val="00FB344B"/>
    <w:rsid w:val="00FB3590"/>
    <w:rsid w:val="00FB35C5"/>
    <w:rsid w:val="00FB35F4"/>
    <w:rsid w:val="00FB3659"/>
    <w:rsid w:val="00FB36BD"/>
    <w:rsid w:val="00FB3705"/>
    <w:rsid w:val="00FB381C"/>
    <w:rsid w:val="00FB387F"/>
    <w:rsid w:val="00FB397D"/>
    <w:rsid w:val="00FB3A1E"/>
    <w:rsid w:val="00FB3C02"/>
    <w:rsid w:val="00FB3CB8"/>
    <w:rsid w:val="00FB3D51"/>
    <w:rsid w:val="00FB459E"/>
    <w:rsid w:val="00FB45E3"/>
    <w:rsid w:val="00FB4624"/>
    <w:rsid w:val="00FB4635"/>
    <w:rsid w:val="00FB4693"/>
    <w:rsid w:val="00FB46BD"/>
    <w:rsid w:val="00FB474F"/>
    <w:rsid w:val="00FB4886"/>
    <w:rsid w:val="00FB48EC"/>
    <w:rsid w:val="00FB492E"/>
    <w:rsid w:val="00FB4AC2"/>
    <w:rsid w:val="00FB4E90"/>
    <w:rsid w:val="00FB503F"/>
    <w:rsid w:val="00FB508E"/>
    <w:rsid w:val="00FB50CC"/>
    <w:rsid w:val="00FB50E7"/>
    <w:rsid w:val="00FB5220"/>
    <w:rsid w:val="00FB52F2"/>
    <w:rsid w:val="00FB5341"/>
    <w:rsid w:val="00FB55CB"/>
    <w:rsid w:val="00FB56E7"/>
    <w:rsid w:val="00FB56F9"/>
    <w:rsid w:val="00FB5789"/>
    <w:rsid w:val="00FB580B"/>
    <w:rsid w:val="00FB5892"/>
    <w:rsid w:val="00FB58F3"/>
    <w:rsid w:val="00FB5970"/>
    <w:rsid w:val="00FB59E5"/>
    <w:rsid w:val="00FB5A0F"/>
    <w:rsid w:val="00FB5AC1"/>
    <w:rsid w:val="00FB5B49"/>
    <w:rsid w:val="00FB5DA1"/>
    <w:rsid w:val="00FB5E60"/>
    <w:rsid w:val="00FB5E89"/>
    <w:rsid w:val="00FB5F89"/>
    <w:rsid w:val="00FB60AE"/>
    <w:rsid w:val="00FB6450"/>
    <w:rsid w:val="00FB64A7"/>
    <w:rsid w:val="00FB6579"/>
    <w:rsid w:val="00FB6661"/>
    <w:rsid w:val="00FB699B"/>
    <w:rsid w:val="00FB6C3B"/>
    <w:rsid w:val="00FB6D68"/>
    <w:rsid w:val="00FB6E60"/>
    <w:rsid w:val="00FB6EAE"/>
    <w:rsid w:val="00FB6EF4"/>
    <w:rsid w:val="00FB7207"/>
    <w:rsid w:val="00FB72B2"/>
    <w:rsid w:val="00FB73F1"/>
    <w:rsid w:val="00FB7696"/>
    <w:rsid w:val="00FB7812"/>
    <w:rsid w:val="00FB7851"/>
    <w:rsid w:val="00FB7936"/>
    <w:rsid w:val="00FB7968"/>
    <w:rsid w:val="00FB7A02"/>
    <w:rsid w:val="00FB7C6F"/>
    <w:rsid w:val="00FB7CB2"/>
    <w:rsid w:val="00FB7D33"/>
    <w:rsid w:val="00FB7D85"/>
    <w:rsid w:val="00FB7DAF"/>
    <w:rsid w:val="00FB7E07"/>
    <w:rsid w:val="00FB7F0A"/>
    <w:rsid w:val="00FC0094"/>
    <w:rsid w:val="00FC0334"/>
    <w:rsid w:val="00FC03C9"/>
    <w:rsid w:val="00FC03F5"/>
    <w:rsid w:val="00FC062F"/>
    <w:rsid w:val="00FC0730"/>
    <w:rsid w:val="00FC07D7"/>
    <w:rsid w:val="00FC0834"/>
    <w:rsid w:val="00FC0A4E"/>
    <w:rsid w:val="00FC0BDE"/>
    <w:rsid w:val="00FC0BEB"/>
    <w:rsid w:val="00FC0C3E"/>
    <w:rsid w:val="00FC0C64"/>
    <w:rsid w:val="00FC0CE4"/>
    <w:rsid w:val="00FC0D58"/>
    <w:rsid w:val="00FC0D5A"/>
    <w:rsid w:val="00FC0EEC"/>
    <w:rsid w:val="00FC0F42"/>
    <w:rsid w:val="00FC0F6D"/>
    <w:rsid w:val="00FC0FFA"/>
    <w:rsid w:val="00FC118C"/>
    <w:rsid w:val="00FC11EE"/>
    <w:rsid w:val="00FC1390"/>
    <w:rsid w:val="00FC1614"/>
    <w:rsid w:val="00FC16BC"/>
    <w:rsid w:val="00FC16C8"/>
    <w:rsid w:val="00FC16CF"/>
    <w:rsid w:val="00FC176B"/>
    <w:rsid w:val="00FC17F0"/>
    <w:rsid w:val="00FC1AD1"/>
    <w:rsid w:val="00FC1D97"/>
    <w:rsid w:val="00FC1E16"/>
    <w:rsid w:val="00FC1EB2"/>
    <w:rsid w:val="00FC1FFE"/>
    <w:rsid w:val="00FC2271"/>
    <w:rsid w:val="00FC228D"/>
    <w:rsid w:val="00FC259F"/>
    <w:rsid w:val="00FC2791"/>
    <w:rsid w:val="00FC28EA"/>
    <w:rsid w:val="00FC2994"/>
    <w:rsid w:val="00FC2998"/>
    <w:rsid w:val="00FC322F"/>
    <w:rsid w:val="00FC32BE"/>
    <w:rsid w:val="00FC33A1"/>
    <w:rsid w:val="00FC33C9"/>
    <w:rsid w:val="00FC3407"/>
    <w:rsid w:val="00FC3665"/>
    <w:rsid w:val="00FC37A4"/>
    <w:rsid w:val="00FC37E6"/>
    <w:rsid w:val="00FC3AC2"/>
    <w:rsid w:val="00FC3C70"/>
    <w:rsid w:val="00FC3D07"/>
    <w:rsid w:val="00FC3D4F"/>
    <w:rsid w:val="00FC3E38"/>
    <w:rsid w:val="00FC3EE8"/>
    <w:rsid w:val="00FC3F2D"/>
    <w:rsid w:val="00FC400A"/>
    <w:rsid w:val="00FC416E"/>
    <w:rsid w:val="00FC441D"/>
    <w:rsid w:val="00FC4506"/>
    <w:rsid w:val="00FC4639"/>
    <w:rsid w:val="00FC469C"/>
    <w:rsid w:val="00FC4736"/>
    <w:rsid w:val="00FC4776"/>
    <w:rsid w:val="00FC47CF"/>
    <w:rsid w:val="00FC4996"/>
    <w:rsid w:val="00FC49FF"/>
    <w:rsid w:val="00FC4A38"/>
    <w:rsid w:val="00FC4A43"/>
    <w:rsid w:val="00FC4BAB"/>
    <w:rsid w:val="00FC4BCD"/>
    <w:rsid w:val="00FC4F3A"/>
    <w:rsid w:val="00FC5287"/>
    <w:rsid w:val="00FC5290"/>
    <w:rsid w:val="00FC52F7"/>
    <w:rsid w:val="00FC53B8"/>
    <w:rsid w:val="00FC54AD"/>
    <w:rsid w:val="00FC5653"/>
    <w:rsid w:val="00FC5703"/>
    <w:rsid w:val="00FC58E7"/>
    <w:rsid w:val="00FC5A90"/>
    <w:rsid w:val="00FC5D03"/>
    <w:rsid w:val="00FC5E1B"/>
    <w:rsid w:val="00FC5E87"/>
    <w:rsid w:val="00FC5FAE"/>
    <w:rsid w:val="00FC60BD"/>
    <w:rsid w:val="00FC614B"/>
    <w:rsid w:val="00FC6350"/>
    <w:rsid w:val="00FC67E6"/>
    <w:rsid w:val="00FC69F5"/>
    <w:rsid w:val="00FC6AEC"/>
    <w:rsid w:val="00FC6D07"/>
    <w:rsid w:val="00FC6D93"/>
    <w:rsid w:val="00FC6DFD"/>
    <w:rsid w:val="00FC70DF"/>
    <w:rsid w:val="00FC713F"/>
    <w:rsid w:val="00FC71B3"/>
    <w:rsid w:val="00FC730E"/>
    <w:rsid w:val="00FC74F7"/>
    <w:rsid w:val="00FC7552"/>
    <w:rsid w:val="00FC75BC"/>
    <w:rsid w:val="00FC7601"/>
    <w:rsid w:val="00FC774E"/>
    <w:rsid w:val="00FC778E"/>
    <w:rsid w:val="00FC77F5"/>
    <w:rsid w:val="00FC7882"/>
    <w:rsid w:val="00FC7C69"/>
    <w:rsid w:val="00FC7DD0"/>
    <w:rsid w:val="00FC7E06"/>
    <w:rsid w:val="00FC7E5B"/>
    <w:rsid w:val="00FD003F"/>
    <w:rsid w:val="00FD0146"/>
    <w:rsid w:val="00FD01C5"/>
    <w:rsid w:val="00FD0280"/>
    <w:rsid w:val="00FD02D7"/>
    <w:rsid w:val="00FD02F5"/>
    <w:rsid w:val="00FD0520"/>
    <w:rsid w:val="00FD05E1"/>
    <w:rsid w:val="00FD0626"/>
    <w:rsid w:val="00FD083C"/>
    <w:rsid w:val="00FD08DE"/>
    <w:rsid w:val="00FD0950"/>
    <w:rsid w:val="00FD0985"/>
    <w:rsid w:val="00FD0A10"/>
    <w:rsid w:val="00FD0A76"/>
    <w:rsid w:val="00FD0B70"/>
    <w:rsid w:val="00FD0BD3"/>
    <w:rsid w:val="00FD0D15"/>
    <w:rsid w:val="00FD0D54"/>
    <w:rsid w:val="00FD0D8A"/>
    <w:rsid w:val="00FD0E1F"/>
    <w:rsid w:val="00FD0E7E"/>
    <w:rsid w:val="00FD0F1E"/>
    <w:rsid w:val="00FD10BE"/>
    <w:rsid w:val="00FD14DB"/>
    <w:rsid w:val="00FD194D"/>
    <w:rsid w:val="00FD1A5C"/>
    <w:rsid w:val="00FD1B59"/>
    <w:rsid w:val="00FD1BE8"/>
    <w:rsid w:val="00FD1D9D"/>
    <w:rsid w:val="00FD1E08"/>
    <w:rsid w:val="00FD2053"/>
    <w:rsid w:val="00FD207E"/>
    <w:rsid w:val="00FD20E4"/>
    <w:rsid w:val="00FD20FD"/>
    <w:rsid w:val="00FD2176"/>
    <w:rsid w:val="00FD2204"/>
    <w:rsid w:val="00FD2243"/>
    <w:rsid w:val="00FD2281"/>
    <w:rsid w:val="00FD23C1"/>
    <w:rsid w:val="00FD2419"/>
    <w:rsid w:val="00FD2539"/>
    <w:rsid w:val="00FD2568"/>
    <w:rsid w:val="00FD268E"/>
    <w:rsid w:val="00FD2AA1"/>
    <w:rsid w:val="00FD2D3C"/>
    <w:rsid w:val="00FD2D51"/>
    <w:rsid w:val="00FD2E81"/>
    <w:rsid w:val="00FD2E8B"/>
    <w:rsid w:val="00FD3023"/>
    <w:rsid w:val="00FD3072"/>
    <w:rsid w:val="00FD307E"/>
    <w:rsid w:val="00FD30CF"/>
    <w:rsid w:val="00FD3161"/>
    <w:rsid w:val="00FD32F2"/>
    <w:rsid w:val="00FD335F"/>
    <w:rsid w:val="00FD34D8"/>
    <w:rsid w:val="00FD3557"/>
    <w:rsid w:val="00FD3839"/>
    <w:rsid w:val="00FD3940"/>
    <w:rsid w:val="00FD3AC2"/>
    <w:rsid w:val="00FD3AC8"/>
    <w:rsid w:val="00FD3C73"/>
    <w:rsid w:val="00FD3D30"/>
    <w:rsid w:val="00FD3D59"/>
    <w:rsid w:val="00FD3E44"/>
    <w:rsid w:val="00FD3E77"/>
    <w:rsid w:val="00FD3F0F"/>
    <w:rsid w:val="00FD401A"/>
    <w:rsid w:val="00FD41B1"/>
    <w:rsid w:val="00FD466E"/>
    <w:rsid w:val="00FD46B4"/>
    <w:rsid w:val="00FD4766"/>
    <w:rsid w:val="00FD4CD4"/>
    <w:rsid w:val="00FD4E81"/>
    <w:rsid w:val="00FD4EA8"/>
    <w:rsid w:val="00FD4FB0"/>
    <w:rsid w:val="00FD504B"/>
    <w:rsid w:val="00FD51FD"/>
    <w:rsid w:val="00FD574D"/>
    <w:rsid w:val="00FD581D"/>
    <w:rsid w:val="00FD5850"/>
    <w:rsid w:val="00FD58ED"/>
    <w:rsid w:val="00FD5B47"/>
    <w:rsid w:val="00FD5B73"/>
    <w:rsid w:val="00FD5BEA"/>
    <w:rsid w:val="00FD5CB3"/>
    <w:rsid w:val="00FD5CBD"/>
    <w:rsid w:val="00FD5CC6"/>
    <w:rsid w:val="00FD5D00"/>
    <w:rsid w:val="00FD5DCD"/>
    <w:rsid w:val="00FD5F12"/>
    <w:rsid w:val="00FD6135"/>
    <w:rsid w:val="00FD6299"/>
    <w:rsid w:val="00FD62EB"/>
    <w:rsid w:val="00FD6332"/>
    <w:rsid w:val="00FD6381"/>
    <w:rsid w:val="00FD63CF"/>
    <w:rsid w:val="00FD664B"/>
    <w:rsid w:val="00FD67F1"/>
    <w:rsid w:val="00FD69A6"/>
    <w:rsid w:val="00FD69D2"/>
    <w:rsid w:val="00FD6A54"/>
    <w:rsid w:val="00FD6C50"/>
    <w:rsid w:val="00FD6DF2"/>
    <w:rsid w:val="00FD70F7"/>
    <w:rsid w:val="00FD7152"/>
    <w:rsid w:val="00FD7265"/>
    <w:rsid w:val="00FD729F"/>
    <w:rsid w:val="00FD745A"/>
    <w:rsid w:val="00FD7601"/>
    <w:rsid w:val="00FD776B"/>
    <w:rsid w:val="00FD77AA"/>
    <w:rsid w:val="00FD78EE"/>
    <w:rsid w:val="00FD78F5"/>
    <w:rsid w:val="00FD7A1E"/>
    <w:rsid w:val="00FD7AA5"/>
    <w:rsid w:val="00FD7CCA"/>
    <w:rsid w:val="00FD7CDB"/>
    <w:rsid w:val="00FD7E47"/>
    <w:rsid w:val="00FD7FBF"/>
    <w:rsid w:val="00FD7FC6"/>
    <w:rsid w:val="00FE002A"/>
    <w:rsid w:val="00FE00DA"/>
    <w:rsid w:val="00FE0197"/>
    <w:rsid w:val="00FE0313"/>
    <w:rsid w:val="00FE03C4"/>
    <w:rsid w:val="00FE042B"/>
    <w:rsid w:val="00FE04EB"/>
    <w:rsid w:val="00FE0738"/>
    <w:rsid w:val="00FE0A42"/>
    <w:rsid w:val="00FE0D5D"/>
    <w:rsid w:val="00FE0D6C"/>
    <w:rsid w:val="00FE0E2D"/>
    <w:rsid w:val="00FE1015"/>
    <w:rsid w:val="00FE11B9"/>
    <w:rsid w:val="00FE120D"/>
    <w:rsid w:val="00FE125E"/>
    <w:rsid w:val="00FE1287"/>
    <w:rsid w:val="00FE1311"/>
    <w:rsid w:val="00FE151D"/>
    <w:rsid w:val="00FE15BB"/>
    <w:rsid w:val="00FE1608"/>
    <w:rsid w:val="00FE1635"/>
    <w:rsid w:val="00FE1831"/>
    <w:rsid w:val="00FE1842"/>
    <w:rsid w:val="00FE18A8"/>
    <w:rsid w:val="00FE18DD"/>
    <w:rsid w:val="00FE190C"/>
    <w:rsid w:val="00FE1984"/>
    <w:rsid w:val="00FE19AA"/>
    <w:rsid w:val="00FE1E4E"/>
    <w:rsid w:val="00FE1E5E"/>
    <w:rsid w:val="00FE1FC8"/>
    <w:rsid w:val="00FE21BF"/>
    <w:rsid w:val="00FE22F5"/>
    <w:rsid w:val="00FE2330"/>
    <w:rsid w:val="00FE26AF"/>
    <w:rsid w:val="00FE26B2"/>
    <w:rsid w:val="00FE26E9"/>
    <w:rsid w:val="00FE277B"/>
    <w:rsid w:val="00FE27D1"/>
    <w:rsid w:val="00FE2844"/>
    <w:rsid w:val="00FE2877"/>
    <w:rsid w:val="00FE2C34"/>
    <w:rsid w:val="00FE2CAF"/>
    <w:rsid w:val="00FE2D89"/>
    <w:rsid w:val="00FE2DB2"/>
    <w:rsid w:val="00FE3009"/>
    <w:rsid w:val="00FE3066"/>
    <w:rsid w:val="00FE3232"/>
    <w:rsid w:val="00FE34CA"/>
    <w:rsid w:val="00FE34E3"/>
    <w:rsid w:val="00FE35C6"/>
    <w:rsid w:val="00FE363F"/>
    <w:rsid w:val="00FE367F"/>
    <w:rsid w:val="00FE37EC"/>
    <w:rsid w:val="00FE3874"/>
    <w:rsid w:val="00FE38A5"/>
    <w:rsid w:val="00FE38A6"/>
    <w:rsid w:val="00FE38AA"/>
    <w:rsid w:val="00FE3A02"/>
    <w:rsid w:val="00FE3AB7"/>
    <w:rsid w:val="00FE3AEE"/>
    <w:rsid w:val="00FE3C96"/>
    <w:rsid w:val="00FE3E92"/>
    <w:rsid w:val="00FE3F91"/>
    <w:rsid w:val="00FE3FAD"/>
    <w:rsid w:val="00FE4054"/>
    <w:rsid w:val="00FE4216"/>
    <w:rsid w:val="00FE461D"/>
    <w:rsid w:val="00FE4641"/>
    <w:rsid w:val="00FE4827"/>
    <w:rsid w:val="00FE490F"/>
    <w:rsid w:val="00FE4A6C"/>
    <w:rsid w:val="00FE4A7B"/>
    <w:rsid w:val="00FE4C9D"/>
    <w:rsid w:val="00FE4E71"/>
    <w:rsid w:val="00FE4ECB"/>
    <w:rsid w:val="00FE4F82"/>
    <w:rsid w:val="00FE4F95"/>
    <w:rsid w:val="00FE4F9B"/>
    <w:rsid w:val="00FE511A"/>
    <w:rsid w:val="00FE5280"/>
    <w:rsid w:val="00FE52CA"/>
    <w:rsid w:val="00FE52D4"/>
    <w:rsid w:val="00FE540D"/>
    <w:rsid w:val="00FE556B"/>
    <w:rsid w:val="00FE5578"/>
    <w:rsid w:val="00FE56D7"/>
    <w:rsid w:val="00FE56FB"/>
    <w:rsid w:val="00FE5717"/>
    <w:rsid w:val="00FE57BD"/>
    <w:rsid w:val="00FE5919"/>
    <w:rsid w:val="00FE595D"/>
    <w:rsid w:val="00FE5995"/>
    <w:rsid w:val="00FE59C5"/>
    <w:rsid w:val="00FE5B52"/>
    <w:rsid w:val="00FE5B53"/>
    <w:rsid w:val="00FE5B9B"/>
    <w:rsid w:val="00FE5C81"/>
    <w:rsid w:val="00FE5E2D"/>
    <w:rsid w:val="00FE5FCA"/>
    <w:rsid w:val="00FE5FFB"/>
    <w:rsid w:val="00FE6006"/>
    <w:rsid w:val="00FE623F"/>
    <w:rsid w:val="00FE6307"/>
    <w:rsid w:val="00FE64E4"/>
    <w:rsid w:val="00FE6574"/>
    <w:rsid w:val="00FE670F"/>
    <w:rsid w:val="00FE67BD"/>
    <w:rsid w:val="00FE6923"/>
    <w:rsid w:val="00FE6968"/>
    <w:rsid w:val="00FE6A0E"/>
    <w:rsid w:val="00FE6AE9"/>
    <w:rsid w:val="00FE6B07"/>
    <w:rsid w:val="00FE6B74"/>
    <w:rsid w:val="00FE6C23"/>
    <w:rsid w:val="00FE6CD4"/>
    <w:rsid w:val="00FE711B"/>
    <w:rsid w:val="00FE71ED"/>
    <w:rsid w:val="00FE72EB"/>
    <w:rsid w:val="00FE7316"/>
    <w:rsid w:val="00FE73E0"/>
    <w:rsid w:val="00FE757B"/>
    <w:rsid w:val="00FE75FF"/>
    <w:rsid w:val="00FE7839"/>
    <w:rsid w:val="00FE7A5C"/>
    <w:rsid w:val="00FE7AD7"/>
    <w:rsid w:val="00FE7B58"/>
    <w:rsid w:val="00FE7BD1"/>
    <w:rsid w:val="00FE7C6C"/>
    <w:rsid w:val="00FE7C7B"/>
    <w:rsid w:val="00FE7DE3"/>
    <w:rsid w:val="00FE7E44"/>
    <w:rsid w:val="00FE7E5E"/>
    <w:rsid w:val="00FE7E90"/>
    <w:rsid w:val="00FF00C2"/>
    <w:rsid w:val="00FF01CB"/>
    <w:rsid w:val="00FF0222"/>
    <w:rsid w:val="00FF027A"/>
    <w:rsid w:val="00FF04B5"/>
    <w:rsid w:val="00FF04FD"/>
    <w:rsid w:val="00FF0622"/>
    <w:rsid w:val="00FF0717"/>
    <w:rsid w:val="00FF08C0"/>
    <w:rsid w:val="00FF09E6"/>
    <w:rsid w:val="00FF0A0F"/>
    <w:rsid w:val="00FF0B9A"/>
    <w:rsid w:val="00FF0E61"/>
    <w:rsid w:val="00FF0F4E"/>
    <w:rsid w:val="00FF0F66"/>
    <w:rsid w:val="00FF0FD1"/>
    <w:rsid w:val="00FF1060"/>
    <w:rsid w:val="00FF10C6"/>
    <w:rsid w:val="00FF10D9"/>
    <w:rsid w:val="00FF1433"/>
    <w:rsid w:val="00FF1ABA"/>
    <w:rsid w:val="00FF1B7E"/>
    <w:rsid w:val="00FF1BF8"/>
    <w:rsid w:val="00FF1C5A"/>
    <w:rsid w:val="00FF1E92"/>
    <w:rsid w:val="00FF224C"/>
    <w:rsid w:val="00FF240B"/>
    <w:rsid w:val="00FF26A2"/>
    <w:rsid w:val="00FF26F8"/>
    <w:rsid w:val="00FF2731"/>
    <w:rsid w:val="00FF2779"/>
    <w:rsid w:val="00FF27A1"/>
    <w:rsid w:val="00FF2861"/>
    <w:rsid w:val="00FF296D"/>
    <w:rsid w:val="00FF2B27"/>
    <w:rsid w:val="00FF2B4F"/>
    <w:rsid w:val="00FF2CA4"/>
    <w:rsid w:val="00FF2EAE"/>
    <w:rsid w:val="00FF2EC8"/>
    <w:rsid w:val="00FF2F22"/>
    <w:rsid w:val="00FF2FFF"/>
    <w:rsid w:val="00FF30C3"/>
    <w:rsid w:val="00FF30F2"/>
    <w:rsid w:val="00FF3547"/>
    <w:rsid w:val="00FF35E1"/>
    <w:rsid w:val="00FF376E"/>
    <w:rsid w:val="00FF393A"/>
    <w:rsid w:val="00FF3A64"/>
    <w:rsid w:val="00FF3CB1"/>
    <w:rsid w:val="00FF3D23"/>
    <w:rsid w:val="00FF3D7F"/>
    <w:rsid w:val="00FF42EE"/>
    <w:rsid w:val="00FF437E"/>
    <w:rsid w:val="00FF472E"/>
    <w:rsid w:val="00FF4995"/>
    <w:rsid w:val="00FF4A11"/>
    <w:rsid w:val="00FF4A1C"/>
    <w:rsid w:val="00FF4BE0"/>
    <w:rsid w:val="00FF4C4A"/>
    <w:rsid w:val="00FF4D37"/>
    <w:rsid w:val="00FF53FB"/>
    <w:rsid w:val="00FF5737"/>
    <w:rsid w:val="00FF57BA"/>
    <w:rsid w:val="00FF5910"/>
    <w:rsid w:val="00FF5A12"/>
    <w:rsid w:val="00FF5AED"/>
    <w:rsid w:val="00FF5C18"/>
    <w:rsid w:val="00FF5CD3"/>
    <w:rsid w:val="00FF5CDF"/>
    <w:rsid w:val="00FF5D53"/>
    <w:rsid w:val="00FF5E67"/>
    <w:rsid w:val="00FF5EC8"/>
    <w:rsid w:val="00FF5F19"/>
    <w:rsid w:val="00FF609A"/>
    <w:rsid w:val="00FF60B1"/>
    <w:rsid w:val="00FF6130"/>
    <w:rsid w:val="00FF617E"/>
    <w:rsid w:val="00FF62FE"/>
    <w:rsid w:val="00FF684C"/>
    <w:rsid w:val="00FF6921"/>
    <w:rsid w:val="00FF6988"/>
    <w:rsid w:val="00FF6A11"/>
    <w:rsid w:val="00FF6AC5"/>
    <w:rsid w:val="00FF6AD5"/>
    <w:rsid w:val="00FF6C20"/>
    <w:rsid w:val="00FF6C64"/>
    <w:rsid w:val="00FF6CA7"/>
    <w:rsid w:val="00FF6DDA"/>
    <w:rsid w:val="00FF6ED8"/>
    <w:rsid w:val="00FF7219"/>
    <w:rsid w:val="00FF72A7"/>
    <w:rsid w:val="00FF769D"/>
    <w:rsid w:val="00FF78CB"/>
    <w:rsid w:val="00FF7E95"/>
    <w:rsid w:val="00FF7EE2"/>
    <w:rsid w:val="010185E6"/>
    <w:rsid w:val="01030D02"/>
    <w:rsid w:val="0105D67E"/>
    <w:rsid w:val="010BCE23"/>
    <w:rsid w:val="010C813E"/>
    <w:rsid w:val="01124F93"/>
    <w:rsid w:val="011A45E2"/>
    <w:rsid w:val="0121305C"/>
    <w:rsid w:val="0124EC80"/>
    <w:rsid w:val="012B7F47"/>
    <w:rsid w:val="012CAE86"/>
    <w:rsid w:val="013117E4"/>
    <w:rsid w:val="01363B00"/>
    <w:rsid w:val="013F2173"/>
    <w:rsid w:val="01524C89"/>
    <w:rsid w:val="0154A471"/>
    <w:rsid w:val="01561FFF"/>
    <w:rsid w:val="0161B477"/>
    <w:rsid w:val="01635523"/>
    <w:rsid w:val="0163A098"/>
    <w:rsid w:val="01641F0B"/>
    <w:rsid w:val="01657C9C"/>
    <w:rsid w:val="0170B5D3"/>
    <w:rsid w:val="0174850F"/>
    <w:rsid w:val="01783E0E"/>
    <w:rsid w:val="0185B4DE"/>
    <w:rsid w:val="01876722"/>
    <w:rsid w:val="018FC051"/>
    <w:rsid w:val="01947D86"/>
    <w:rsid w:val="01A3CE06"/>
    <w:rsid w:val="01AE9376"/>
    <w:rsid w:val="01B82073"/>
    <w:rsid w:val="01C2B47D"/>
    <w:rsid w:val="01CB5A87"/>
    <w:rsid w:val="01D5D17C"/>
    <w:rsid w:val="01DC432F"/>
    <w:rsid w:val="01EB409F"/>
    <w:rsid w:val="01F0B58D"/>
    <w:rsid w:val="01F7E16A"/>
    <w:rsid w:val="01FCE52A"/>
    <w:rsid w:val="020007E0"/>
    <w:rsid w:val="02058B15"/>
    <w:rsid w:val="0205E77D"/>
    <w:rsid w:val="02181FEB"/>
    <w:rsid w:val="022327E7"/>
    <w:rsid w:val="022DA97D"/>
    <w:rsid w:val="023872DE"/>
    <w:rsid w:val="023A6397"/>
    <w:rsid w:val="023F1E3B"/>
    <w:rsid w:val="0240BB10"/>
    <w:rsid w:val="02597ACE"/>
    <w:rsid w:val="026CF36D"/>
    <w:rsid w:val="026DA4CF"/>
    <w:rsid w:val="0271B0EB"/>
    <w:rsid w:val="02751CFB"/>
    <w:rsid w:val="027B20BF"/>
    <w:rsid w:val="027D0925"/>
    <w:rsid w:val="028183BD"/>
    <w:rsid w:val="029066AC"/>
    <w:rsid w:val="02910CC0"/>
    <w:rsid w:val="02918D6D"/>
    <w:rsid w:val="02ACCDB2"/>
    <w:rsid w:val="02AEFB54"/>
    <w:rsid w:val="02B55451"/>
    <w:rsid w:val="02BBA52A"/>
    <w:rsid w:val="02C7BA0C"/>
    <w:rsid w:val="02D58300"/>
    <w:rsid w:val="02D8768E"/>
    <w:rsid w:val="02DEFA48"/>
    <w:rsid w:val="02E6B863"/>
    <w:rsid w:val="02E904FF"/>
    <w:rsid w:val="03061BFB"/>
    <w:rsid w:val="0306E16C"/>
    <w:rsid w:val="030869CF"/>
    <w:rsid w:val="030B9012"/>
    <w:rsid w:val="030E427E"/>
    <w:rsid w:val="0311C2CF"/>
    <w:rsid w:val="031A44C0"/>
    <w:rsid w:val="031E1B9E"/>
    <w:rsid w:val="031EC9B4"/>
    <w:rsid w:val="032277F8"/>
    <w:rsid w:val="0330719A"/>
    <w:rsid w:val="0333B56D"/>
    <w:rsid w:val="03369432"/>
    <w:rsid w:val="033726B4"/>
    <w:rsid w:val="033B19D0"/>
    <w:rsid w:val="033E318D"/>
    <w:rsid w:val="0345CCD7"/>
    <w:rsid w:val="034C433E"/>
    <w:rsid w:val="036380D4"/>
    <w:rsid w:val="036393E4"/>
    <w:rsid w:val="03678242"/>
    <w:rsid w:val="0369679A"/>
    <w:rsid w:val="037B580F"/>
    <w:rsid w:val="037C8832"/>
    <w:rsid w:val="038194DB"/>
    <w:rsid w:val="0382B8C9"/>
    <w:rsid w:val="038641D4"/>
    <w:rsid w:val="038D1BD0"/>
    <w:rsid w:val="038E1563"/>
    <w:rsid w:val="0390CA25"/>
    <w:rsid w:val="039D2D23"/>
    <w:rsid w:val="039FF335"/>
    <w:rsid w:val="03A6CAAF"/>
    <w:rsid w:val="03B05F5D"/>
    <w:rsid w:val="03BC0F3C"/>
    <w:rsid w:val="03C9886D"/>
    <w:rsid w:val="03D15950"/>
    <w:rsid w:val="03D3B343"/>
    <w:rsid w:val="03D98CB7"/>
    <w:rsid w:val="03DAA24B"/>
    <w:rsid w:val="03E1815C"/>
    <w:rsid w:val="03E87445"/>
    <w:rsid w:val="03E8E0B1"/>
    <w:rsid w:val="03F019D9"/>
    <w:rsid w:val="03F0E3DA"/>
    <w:rsid w:val="03F28CD7"/>
    <w:rsid w:val="03F35ABC"/>
    <w:rsid w:val="03FA0FDE"/>
    <w:rsid w:val="03FB6357"/>
    <w:rsid w:val="03FE5993"/>
    <w:rsid w:val="0404A92B"/>
    <w:rsid w:val="0406AF5D"/>
    <w:rsid w:val="040A139F"/>
    <w:rsid w:val="041135EE"/>
    <w:rsid w:val="0412795A"/>
    <w:rsid w:val="04140BDA"/>
    <w:rsid w:val="0414976D"/>
    <w:rsid w:val="041C1984"/>
    <w:rsid w:val="041E811E"/>
    <w:rsid w:val="0423A95F"/>
    <w:rsid w:val="0428910B"/>
    <w:rsid w:val="0432DF37"/>
    <w:rsid w:val="0433C520"/>
    <w:rsid w:val="0438EBDA"/>
    <w:rsid w:val="0440C116"/>
    <w:rsid w:val="0441F27A"/>
    <w:rsid w:val="04459C6D"/>
    <w:rsid w:val="04488633"/>
    <w:rsid w:val="0449A7FE"/>
    <w:rsid w:val="044DC17C"/>
    <w:rsid w:val="046075C1"/>
    <w:rsid w:val="04618864"/>
    <w:rsid w:val="04713640"/>
    <w:rsid w:val="047870E3"/>
    <w:rsid w:val="04951629"/>
    <w:rsid w:val="0496A06C"/>
    <w:rsid w:val="04A7496C"/>
    <w:rsid w:val="04AF25E3"/>
    <w:rsid w:val="04B026BC"/>
    <w:rsid w:val="04B1B22B"/>
    <w:rsid w:val="04B9054D"/>
    <w:rsid w:val="04BA3677"/>
    <w:rsid w:val="04BACFC1"/>
    <w:rsid w:val="04C34326"/>
    <w:rsid w:val="04CB71B0"/>
    <w:rsid w:val="04E2AD6A"/>
    <w:rsid w:val="04EC8175"/>
    <w:rsid w:val="05060EB8"/>
    <w:rsid w:val="050BF197"/>
    <w:rsid w:val="051436F4"/>
    <w:rsid w:val="05180F10"/>
    <w:rsid w:val="0518FEAD"/>
    <w:rsid w:val="05196CFE"/>
    <w:rsid w:val="051BB641"/>
    <w:rsid w:val="05399254"/>
    <w:rsid w:val="054031CD"/>
    <w:rsid w:val="055AB297"/>
    <w:rsid w:val="055D99B5"/>
    <w:rsid w:val="0566E223"/>
    <w:rsid w:val="056ACD82"/>
    <w:rsid w:val="057F93B6"/>
    <w:rsid w:val="05858AA4"/>
    <w:rsid w:val="058DF423"/>
    <w:rsid w:val="058E40C6"/>
    <w:rsid w:val="058F376E"/>
    <w:rsid w:val="058FB197"/>
    <w:rsid w:val="0591B8D7"/>
    <w:rsid w:val="059584F8"/>
    <w:rsid w:val="05989E73"/>
    <w:rsid w:val="059AD084"/>
    <w:rsid w:val="05A6AB73"/>
    <w:rsid w:val="05A86704"/>
    <w:rsid w:val="05B2A7A4"/>
    <w:rsid w:val="05B425A9"/>
    <w:rsid w:val="05B57D73"/>
    <w:rsid w:val="05B5C3F4"/>
    <w:rsid w:val="05BE4B6B"/>
    <w:rsid w:val="05BF64E1"/>
    <w:rsid w:val="05C1FE89"/>
    <w:rsid w:val="05CB4B56"/>
    <w:rsid w:val="05CD5C63"/>
    <w:rsid w:val="05D40E4E"/>
    <w:rsid w:val="05D5DFEC"/>
    <w:rsid w:val="05FFD250"/>
    <w:rsid w:val="0610D2CA"/>
    <w:rsid w:val="0612B88C"/>
    <w:rsid w:val="061C9611"/>
    <w:rsid w:val="0624BC89"/>
    <w:rsid w:val="0625CE6B"/>
    <w:rsid w:val="06286485"/>
    <w:rsid w:val="06354ACF"/>
    <w:rsid w:val="063BFF4D"/>
    <w:rsid w:val="06406E8B"/>
    <w:rsid w:val="0646D977"/>
    <w:rsid w:val="06502DB3"/>
    <w:rsid w:val="0661C200"/>
    <w:rsid w:val="066E3386"/>
    <w:rsid w:val="0674AC50"/>
    <w:rsid w:val="06795C0F"/>
    <w:rsid w:val="0679D514"/>
    <w:rsid w:val="067B529C"/>
    <w:rsid w:val="06825EC7"/>
    <w:rsid w:val="06874E90"/>
    <w:rsid w:val="06894178"/>
    <w:rsid w:val="068B0970"/>
    <w:rsid w:val="068C9F1C"/>
    <w:rsid w:val="068F4B1B"/>
    <w:rsid w:val="069BF906"/>
    <w:rsid w:val="06A53D2B"/>
    <w:rsid w:val="06B38F03"/>
    <w:rsid w:val="06CBD88F"/>
    <w:rsid w:val="06D909AD"/>
    <w:rsid w:val="06D9B6FA"/>
    <w:rsid w:val="06E7B692"/>
    <w:rsid w:val="07182A47"/>
    <w:rsid w:val="072BEAA9"/>
    <w:rsid w:val="0732C2A1"/>
    <w:rsid w:val="0736E9F0"/>
    <w:rsid w:val="0737A5D1"/>
    <w:rsid w:val="073DC708"/>
    <w:rsid w:val="073F65B9"/>
    <w:rsid w:val="0748D2AA"/>
    <w:rsid w:val="074B2C2A"/>
    <w:rsid w:val="074E3C77"/>
    <w:rsid w:val="074F39D6"/>
    <w:rsid w:val="075253CF"/>
    <w:rsid w:val="0753DC8A"/>
    <w:rsid w:val="0755F993"/>
    <w:rsid w:val="075F0952"/>
    <w:rsid w:val="07648257"/>
    <w:rsid w:val="07688F20"/>
    <w:rsid w:val="076AC8EB"/>
    <w:rsid w:val="076F3AA1"/>
    <w:rsid w:val="0771E2E8"/>
    <w:rsid w:val="0773E04F"/>
    <w:rsid w:val="07742CE8"/>
    <w:rsid w:val="07755C1B"/>
    <w:rsid w:val="077FE559"/>
    <w:rsid w:val="07A3D419"/>
    <w:rsid w:val="07AA0435"/>
    <w:rsid w:val="07B94C27"/>
    <w:rsid w:val="07C00C07"/>
    <w:rsid w:val="07C400C8"/>
    <w:rsid w:val="07C8CF5B"/>
    <w:rsid w:val="07D13BB4"/>
    <w:rsid w:val="07DFBB01"/>
    <w:rsid w:val="07E55551"/>
    <w:rsid w:val="07EA9102"/>
    <w:rsid w:val="07EB0249"/>
    <w:rsid w:val="07EF4FC1"/>
    <w:rsid w:val="07F3D8E4"/>
    <w:rsid w:val="07FADF0D"/>
    <w:rsid w:val="07FB65DA"/>
    <w:rsid w:val="07FBFD50"/>
    <w:rsid w:val="07FED113"/>
    <w:rsid w:val="07FF3101"/>
    <w:rsid w:val="07FF6026"/>
    <w:rsid w:val="08001BF7"/>
    <w:rsid w:val="08059E06"/>
    <w:rsid w:val="08062FA8"/>
    <w:rsid w:val="08119E00"/>
    <w:rsid w:val="08190486"/>
    <w:rsid w:val="081C1B6D"/>
    <w:rsid w:val="082206CD"/>
    <w:rsid w:val="08306EB7"/>
    <w:rsid w:val="0839618B"/>
    <w:rsid w:val="084392DA"/>
    <w:rsid w:val="08450830"/>
    <w:rsid w:val="08471058"/>
    <w:rsid w:val="0860831F"/>
    <w:rsid w:val="0868990E"/>
    <w:rsid w:val="086ABE61"/>
    <w:rsid w:val="086F1673"/>
    <w:rsid w:val="08701BE1"/>
    <w:rsid w:val="08746BA3"/>
    <w:rsid w:val="088793F8"/>
    <w:rsid w:val="0889A565"/>
    <w:rsid w:val="089328A6"/>
    <w:rsid w:val="089729E6"/>
    <w:rsid w:val="089E26E6"/>
    <w:rsid w:val="089EC25E"/>
    <w:rsid w:val="08A47B08"/>
    <w:rsid w:val="08AB6098"/>
    <w:rsid w:val="08B6441D"/>
    <w:rsid w:val="08B7E99E"/>
    <w:rsid w:val="08BA4527"/>
    <w:rsid w:val="08BB6BF9"/>
    <w:rsid w:val="08C06EED"/>
    <w:rsid w:val="08C1ACEE"/>
    <w:rsid w:val="08C26172"/>
    <w:rsid w:val="08D073E7"/>
    <w:rsid w:val="08F000E5"/>
    <w:rsid w:val="08F03890"/>
    <w:rsid w:val="08F69090"/>
    <w:rsid w:val="08F927FF"/>
    <w:rsid w:val="08F99820"/>
    <w:rsid w:val="08FBC509"/>
    <w:rsid w:val="09021159"/>
    <w:rsid w:val="09081DD0"/>
    <w:rsid w:val="090C6319"/>
    <w:rsid w:val="092949D4"/>
    <w:rsid w:val="09333C30"/>
    <w:rsid w:val="09335708"/>
    <w:rsid w:val="0935E179"/>
    <w:rsid w:val="094703A8"/>
    <w:rsid w:val="0948061B"/>
    <w:rsid w:val="094A108F"/>
    <w:rsid w:val="094A9A08"/>
    <w:rsid w:val="094E2CE7"/>
    <w:rsid w:val="095147FA"/>
    <w:rsid w:val="0964D71C"/>
    <w:rsid w:val="0966519F"/>
    <w:rsid w:val="096CB926"/>
    <w:rsid w:val="0974D67F"/>
    <w:rsid w:val="09778AAC"/>
    <w:rsid w:val="09785B69"/>
    <w:rsid w:val="097866E6"/>
    <w:rsid w:val="097B4DF0"/>
    <w:rsid w:val="0986BEB7"/>
    <w:rsid w:val="098B3C1B"/>
    <w:rsid w:val="098FC95A"/>
    <w:rsid w:val="09909B5A"/>
    <w:rsid w:val="0991BE42"/>
    <w:rsid w:val="099E254E"/>
    <w:rsid w:val="09A05691"/>
    <w:rsid w:val="09A24C66"/>
    <w:rsid w:val="09A85B75"/>
    <w:rsid w:val="09BAFAA6"/>
    <w:rsid w:val="09BDC97F"/>
    <w:rsid w:val="09CD7E77"/>
    <w:rsid w:val="09CDDF9B"/>
    <w:rsid w:val="09D98EFE"/>
    <w:rsid w:val="09D9A796"/>
    <w:rsid w:val="09E931DF"/>
    <w:rsid w:val="09E94778"/>
    <w:rsid w:val="09F8E145"/>
    <w:rsid w:val="0A058812"/>
    <w:rsid w:val="0A0F765D"/>
    <w:rsid w:val="0A1199E4"/>
    <w:rsid w:val="0A166D23"/>
    <w:rsid w:val="0A17E9C3"/>
    <w:rsid w:val="0A1CBA74"/>
    <w:rsid w:val="0A20F685"/>
    <w:rsid w:val="0A402AD8"/>
    <w:rsid w:val="0A4E8626"/>
    <w:rsid w:val="0A4FCC46"/>
    <w:rsid w:val="0A577906"/>
    <w:rsid w:val="0A57AA66"/>
    <w:rsid w:val="0A5BBCEB"/>
    <w:rsid w:val="0A68BF46"/>
    <w:rsid w:val="0A6A4157"/>
    <w:rsid w:val="0A7431E2"/>
    <w:rsid w:val="0A752774"/>
    <w:rsid w:val="0A782777"/>
    <w:rsid w:val="0A7B6556"/>
    <w:rsid w:val="0A7EFD47"/>
    <w:rsid w:val="0A81F173"/>
    <w:rsid w:val="0A8720BE"/>
    <w:rsid w:val="0A87238A"/>
    <w:rsid w:val="0AAB8572"/>
    <w:rsid w:val="0AC46E24"/>
    <w:rsid w:val="0AC4C579"/>
    <w:rsid w:val="0AC767C7"/>
    <w:rsid w:val="0AC7D6EF"/>
    <w:rsid w:val="0ACC6DDB"/>
    <w:rsid w:val="0AE2B487"/>
    <w:rsid w:val="0AF09A54"/>
    <w:rsid w:val="0AF0D258"/>
    <w:rsid w:val="0AFCF0C8"/>
    <w:rsid w:val="0B06762C"/>
    <w:rsid w:val="0B156EED"/>
    <w:rsid w:val="0B1E0B86"/>
    <w:rsid w:val="0B244C4D"/>
    <w:rsid w:val="0B2604BA"/>
    <w:rsid w:val="0B28234E"/>
    <w:rsid w:val="0B2E7988"/>
    <w:rsid w:val="0B3C0692"/>
    <w:rsid w:val="0B56F0AF"/>
    <w:rsid w:val="0B5BA88A"/>
    <w:rsid w:val="0B7756DD"/>
    <w:rsid w:val="0B7791A5"/>
    <w:rsid w:val="0B7B22C2"/>
    <w:rsid w:val="0B892CAD"/>
    <w:rsid w:val="0B917586"/>
    <w:rsid w:val="0BA9CB72"/>
    <w:rsid w:val="0BB2BDA9"/>
    <w:rsid w:val="0BBE027C"/>
    <w:rsid w:val="0BC0BDFF"/>
    <w:rsid w:val="0BC72D1F"/>
    <w:rsid w:val="0BCC490F"/>
    <w:rsid w:val="0BCDDF5F"/>
    <w:rsid w:val="0BCE4544"/>
    <w:rsid w:val="0BCE5A4B"/>
    <w:rsid w:val="0BD1A910"/>
    <w:rsid w:val="0BD4E5A6"/>
    <w:rsid w:val="0BD6E584"/>
    <w:rsid w:val="0BD7C7C9"/>
    <w:rsid w:val="0BD7FBA1"/>
    <w:rsid w:val="0BDCF491"/>
    <w:rsid w:val="0BE3C68C"/>
    <w:rsid w:val="0BE549FE"/>
    <w:rsid w:val="0BE86EE8"/>
    <w:rsid w:val="0BF0BEB2"/>
    <w:rsid w:val="0BFEBDF5"/>
    <w:rsid w:val="0C02666C"/>
    <w:rsid w:val="0C0570CD"/>
    <w:rsid w:val="0C0BF611"/>
    <w:rsid w:val="0C1EDCA6"/>
    <w:rsid w:val="0C2054B5"/>
    <w:rsid w:val="0C213F1E"/>
    <w:rsid w:val="0C2669D9"/>
    <w:rsid w:val="0C2E3268"/>
    <w:rsid w:val="0C317972"/>
    <w:rsid w:val="0C38B4F5"/>
    <w:rsid w:val="0C44935A"/>
    <w:rsid w:val="0C4EDA29"/>
    <w:rsid w:val="0C524C6C"/>
    <w:rsid w:val="0C53824B"/>
    <w:rsid w:val="0C539DA5"/>
    <w:rsid w:val="0C5FB3B6"/>
    <w:rsid w:val="0C753E42"/>
    <w:rsid w:val="0C901862"/>
    <w:rsid w:val="0C97A750"/>
    <w:rsid w:val="0C9B0697"/>
    <w:rsid w:val="0C9FFD99"/>
    <w:rsid w:val="0CA34293"/>
    <w:rsid w:val="0CA8E142"/>
    <w:rsid w:val="0CA8E877"/>
    <w:rsid w:val="0CB54CA1"/>
    <w:rsid w:val="0CBDAE2B"/>
    <w:rsid w:val="0CD2D8B0"/>
    <w:rsid w:val="0CD3A96B"/>
    <w:rsid w:val="0CD4703D"/>
    <w:rsid w:val="0CE09992"/>
    <w:rsid w:val="0CE14DFE"/>
    <w:rsid w:val="0CEE85B8"/>
    <w:rsid w:val="0CF01606"/>
    <w:rsid w:val="0CF1DFB5"/>
    <w:rsid w:val="0D008D5F"/>
    <w:rsid w:val="0D166877"/>
    <w:rsid w:val="0D1D43E9"/>
    <w:rsid w:val="0D255BB7"/>
    <w:rsid w:val="0D2F4E51"/>
    <w:rsid w:val="0D358900"/>
    <w:rsid w:val="0D40C0AF"/>
    <w:rsid w:val="0D4641F7"/>
    <w:rsid w:val="0D48030C"/>
    <w:rsid w:val="0D61A7C2"/>
    <w:rsid w:val="0D63460E"/>
    <w:rsid w:val="0D63DB7F"/>
    <w:rsid w:val="0D777D8F"/>
    <w:rsid w:val="0D79DC38"/>
    <w:rsid w:val="0D854874"/>
    <w:rsid w:val="0D8617C3"/>
    <w:rsid w:val="0D86E0C2"/>
    <w:rsid w:val="0D8E8188"/>
    <w:rsid w:val="0D9B36A6"/>
    <w:rsid w:val="0DA8BB95"/>
    <w:rsid w:val="0DCC86AF"/>
    <w:rsid w:val="0DD653DF"/>
    <w:rsid w:val="0DE18C1D"/>
    <w:rsid w:val="0DE69BF8"/>
    <w:rsid w:val="0DE880D8"/>
    <w:rsid w:val="0DEE99D9"/>
    <w:rsid w:val="0DF94F6A"/>
    <w:rsid w:val="0DFB5B37"/>
    <w:rsid w:val="0E07A49E"/>
    <w:rsid w:val="0E0E1429"/>
    <w:rsid w:val="0E235F32"/>
    <w:rsid w:val="0E267218"/>
    <w:rsid w:val="0E365426"/>
    <w:rsid w:val="0E41F956"/>
    <w:rsid w:val="0E4691E1"/>
    <w:rsid w:val="0E4845E3"/>
    <w:rsid w:val="0E4918EE"/>
    <w:rsid w:val="0E4F17DB"/>
    <w:rsid w:val="0E4FDD3A"/>
    <w:rsid w:val="0E52CC4E"/>
    <w:rsid w:val="0E580674"/>
    <w:rsid w:val="0E69E27D"/>
    <w:rsid w:val="0E6DBC42"/>
    <w:rsid w:val="0E79D7EB"/>
    <w:rsid w:val="0E7BC331"/>
    <w:rsid w:val="0E9D13A3"/>
    <w:rsid w:val="0EA5B7D6"/>
    <w:rsid w:val="0EA82513"/>
    <w:rsid w:val="0EB39FC2"/>
    <w:rsid w:val="0EBABE56"/>
    <w:rsid w:val="0EBBBFBA"/>
    <w:rsid w:val="0ED56231"/>
    <w:rsid w:val="0EE2E3A7"/>
    <w:rsid w:val="0EE5BDA8"/>
    <w:rsid w:val="0EEDD78F"/>
    <w:rsid w:val="0EF4C742"/>
    <w:rsid w:val="0EFA2AB4"/>
    <w:rsid w:val="0F01EFA5"/>
    <w:rsid w:val="0F045B4F"/>
    <w:rsid w:val="0F101B66"/>
    <w:rsid w:val="0F1B4277"/>
    <w:rsid w:val="0F1DD7FB"/>
    <w:rsid w:val="0F36108F"/>
    <w:rsid w:val="0F3DFA70"/>
    <w:rsid w:val="0F3F2693"/>
    <w:rsid w:val="0F3F5CEF"/>
    <w:rsid w:val="0F40C3A0"/>
    <w:rsid w:val="0F628362"/>
    <w:rsid w:val="0F6557F5"/>
    <w:rsid w:val="0F6BC939"/>
    <w:rsid w:val="0F8879AA"/>
    <w:rsid w:val="0F8AF31E"/>
    <w:rsid w:val="0F8E7461"/>
    <w:rsid w:val="0FA0FFA9"/>
    <w:rsid w:val="0FA1647F"/>
    <w:rsid w:val="0FAC2F5F"/>
    <w:rsid w:val="0FC22CBB"/>
    <w:rsid w:val="0FD3CF6F"/>
    <w:rsid w:val="0FDBEEC3"/>
    <w:rsid w:val="0FF40E1C"/>
    <w:rsid w:val="0FF5B914"/>
    <w:rsid w:val="0FF663CF"/>
    <w:rsid w:val="0FF6CD11"/>
    <w:rsid w:val="0FF986F5"/>
    <w:rsid w:val="0FFAAC90"/>
    <w:rsid w:val="10004D62"/>
    <w:rsid w:val="1008E912"/>
    <w:rsid w:val="1019FFB9"/>
    <w:rsid w:val="1029D060"/>
    <w:rsid w:val="102B0591"/>
    <w:rsid w:val="1031365B"/>
    <w:rsid w:val="10319660"/>
    <w:rsid w:val="103636B2"/>
    <w:rsid w:val="1048FAD2"/>
    <w:rsid w:val="104A5ABA"/>
    <w:rsid w:val="104F3FB5"/>
    <w:rsid w:val="10572717"/>
    <w:rsid w:val="1059FE56"/>
    <w:rsid w:val="105B8F60"/>
    <w:rsid w:val="10894B98"/>
    <w:rsid w:val="108E660E"/>
    <w:rsid w:val="1094A73F"/>
    <w:rsid w:val="10A1B59D"/>
    <w:rsid w:val="10B12CB6"/>
    <w:rsid w:val="10B1530F"/>
    <w:rsid w:val="10B71EA7"/>
    <w:rsid w:val="10BFBF5E"/>
    <w:rsid w:val="10C213BD"/>
    <w:rsid w:val="10C5EE0D"/>
    <w:rsid w:val="10D1C744"/>
    <w:rsid w:val="10DCDB6C"/>
    <w:rsid w:val="10E33FF0"/>
    <w:rsid w:val="10EA50A5"/>
    <w:rsid w:val="10FA9237"/>
    <w:rsid w:val="11025CDB"/>
    <w:rsid w:val="1129EBD5"/>
    <w:rsid w:val="11428375"/>
    <w:rsid w:val="114E77D2"/>
    <w:rsid w:val="115AE3BF"/>
    <w:rsid w:val="11676923"/>
    <w:rsid w:val="11683C9A"/>
    <w:rsid w:val="11691EA4"/>
    <w:rsid w:val="116CAF5B"/>
    <w:rsid w:val="116FEDE6"/>
    <w:rsid w:val="1170BB1E"/>
    <w:rsid w:val="1171949F"/>
    <w:rsid w:val="1173F59F"/>
    <w:rsid w:val="1184D7C5"/>
    <w:rsid w:val="118C78A1"/>
    <w:rsid w:val="11955119"/>
    <w:rsid w:val="119A4092"/>
    <w:rsid w:val="119C9DEA"/>
    <w:rsid w:val="119EA009"/>
    <w:rsid w:val="11A74345"/>
    <w:rsid w:val="11A91921"/>
    <w:rsid w:val="11B051E5"/>
    <w:rsid w:val="11B2416C"/>
    <w:rsid w:val="11B55F73"/>
    <w:rsid w:val="11B5DC0F"/>
    <w:rsid w:val="11BD1893"/>
    <w:rsid w:val="11BDD664"/>
    <w:rsid w:val="11BEB928"/>
    <w:rsid w:val="11BF5584"/>
    <w:rsid w:val="11C24D43"/>
    <w:rsid w:val="11C2A122"/>
    <w:rsid w:val="11C8781C"/>
    <w:rsid w:val="11C8B822"/>
    <w:rsid w:val="11D1D8D5"/>
    <w:rsid w:val="11D3AD8E"/>
    <w:rsid w:val="11D472D0"/>
    <w:rsid w:val="11DAD7BA"/>
    <w:rsid w:val="11E3352C"/>
    <w:rsid w:val="11EC44CA"/>
    <w:rsid w:val="11FC5A84"/>
    <w:rsid w:val="11FE99B0"/>
    <w:rsid w:val="1206F68E"/>
    <w:rsid w:val="120F77AC"/>
    <w:rsid w:val="12112ED8"/>
    <w:rsid w:val="122E62FE"/>
    <w:rsid w:val="122EE591"/>
    <w:rsid w:val="123663C9"/>
    <w:rsid w:val="123C1209"/>
    <w:rsid w:val="123D1E76"/>
    <w:rsid w:val="123FE0F0"/>
    <w:rsid w:val="12400339"/>
    <w:rsid w:val="1244213F"/>
    <w:rsid w:val="124A7088"/>
    <w:rsid w:val="124D6B41"/>
    <w:rsid w:val="12550FC3"/>
    <w:rsid w:val="1256ECEE"/>
    <w:rsid w:val="12580750"/>
    <w:rsid w:val="126FF13E"/>
    <w:rsid w:val="1276552C"/>
    <w:rsid w:val="127DBB74"/>
    <w:rsid w:val="1280C133"/>
    <w:rsid w:val="128599B1"/>
    <w:rsid w:val="128A1A4E"/>
    <w:rsid w:val="1292073D"/>
    <w:rsid w:val="12A3B22C"/>
    <w:rsid w:val="12A8A93B"/>
    <w:rsid w:val="12AEF1DA"/>
    <w:rsid w:val="12B11524"/>
    <w:rsid w:val="12B549B4"/>
    <w:rsid w:val="12B87FEA"/>
    <w:rsid w:val="12BD4F52"/>
    <w:rsid w:val="12CDD71C"/>
    <w:rsid w:val="12CDDAC2"/>
    <w:rsid w:val="12D47713"/>
    <w:rsid w:val="12DC2B23"/>
    <w:rsid w:val="12E98B26"/>
    <w:rsid w:val="12F37186"/>
    <w:rsid w:val="12F541A4"/>
    <w:rsid w:val="12F584AE"/>
    <w:rsid w:val="12FA448C"/>
    <w:rsid w:val="12FE25AD"/>
    <w:rsid w:val="12FF6B9A"/>
    <w:rsid w:val="12FF701A"/>
    <w:rsid w:val="13054E52"/>
    <w:rsid w:val="13153BAD"/>
    <w:rsid w:val="1319BFF7"/>
    <w:rsid w:val="133682DA"/>
    <w:rsid w:val="13375BDE"/>
    <w:rsid w:val="133A7E99"/>
    <w:rsid w:val="133F949B"/>
    <w:rsid w:val="13491BFF"/>
    <w:rsid w:val="13572CF8"/>
    <w:rsid w:val="1365A56E"/>
    <w:rsid w:val="1365C35F"/>
    <w:rsid w:val="13686FA0"/>
    <w:rsid w:val="13709458"/>
    <w:rsid w:val="1375CFB8"/>
    <w:rsid w:val="138C6495"/>
    <w:rsid w:val="1395563F"/>
    <w:rsid w:val="13972F00"/>
    <w:rsid w:val="13A1B2D3"/>
    <w:rsid w:val="13A2AC3E"/>
    <w:rsid w:val="13AB2A60"/>
    <w:rsid w:val="13AE1FE8"/>
    <w:rsid w:val="13B4E19E"/>
    <w:rsid w:val="13B5CFF1"/>
    <w:rsid w:val="13B71B68"/>
    <w:rsid w:val="13B770B5"/>
    <w:rsid w:val="13BB6D5B"/>
    <w:rsid w:val="13BEC235"/>
    <w:rsid w:val="13CA2233"/>
    <w:rsid w:val="13CFE97F"/>
    <w:rsid w:val="13D5886F"/>
    <w:rsid w:val="13D5D48B"/>
    <w:rsid w:val="13E28445"/>
    <w:rsid w:val="13E3D381"/>
    <w:rsid w:val="13E66B89"/>
    <w:rsid w:val="13E83AFE"/>
    <w:rsid w:val="13EB302D"/>
    <w:rsid w:val="13F44733"/>
    <w:rsid w:val="13FFB3D0"/>
    <w:rsid w:val="14080771"/>
    <w:rsid w:val="1414188E"/>
    <w:rsid w:val="141C0A1B"/>
    <w:rsid w:val="14241733"/>
    <w:rsid w:val="1429777B"/>
    <w:rsid w:val="142D8144"/>
    <w:rsid w:val="142E1E92"/>
    <w:rsid w:val="143196CD"/>
    <w:rsid w:val="1436E643"/>
    <w:rsid w:val="143D1DA8"/>
    <w:rsid w:val="14532EF5"/>
    <w:rsid w:val="14655575"/>
    <w:rsid w:val="1465E4C6"/>
    <w:rsid w:val="146F0280"/>
    <w:rsid w:val="1486FF7E"/>
    <w:rsid w:val="14888C8E"/>
    <w:rsid w:val="148EF38D"/>
    <w:rsid w:val="148FA6FE"/>
    <w:rsid w:val="14B27F39"/>
    <w:rsid w:val="14BDA794"/>
    <w:rsid w:val="14C766FF"/>
    <w:rsid w:val="14C91B0F"/>
    <w:rsid w:val="14CAA74D"/>
    <w:rsid w:val="14D91672"/>
    <w:rsid w:val="14DA3AC3"/>
    <w:rsid w:val="14E6E39E"/>
    <w:rsid w:val="14E9C6AE"/>
    <w:rsid w:val="14FDF157"/>
    <w:rsid w:val="150C7259"/>
    <w:rsid w:val="1524DB43"/>
    <w:rsid w:val="152BC4AF"/>
    <w:rsid w:val="152CD264"/>
    <w:rsid w:val="15358FCE"/>
    <w:rsid w:val="15395C0E"/>
    <w:rsid w:val="153B4C67"/>
    <w:rsid w:val="155BFFA2"/>
    <w:rsid w:val="1566AFDF"/>
    <w:rsid w:val="1571EE86"/>
    <w:rsid w:val="15759BF6"/>
    <w:rsid w:val="1575A3E8"/>
    <w:rsid w:val="15770FA5"/>
    <w:rsid w:val="157F6039"/>
    <w:rsid w:val="158D61AE"/>
    <w:rsid w:val="159222A5"/>
    <w:rsid w:val="1594B236"/>
    <w:rsid w:val="1598C190"/>
    <w:rsid w:val="15A27B84"/>
    <w:rsid w:val="15AC372C"/>
    <w:rsid w:val="15B4E58D"/>
    <w:rsid w:val="15B5CD52"/>
    <w:rsid w:val="15B60CDD"/>
    <w:rsid w:val="15BAED19"/>
    <w:rsid w:val="15BEF9AB"/>
    <w:rsid w:val="15CB9D67"/>
    <w:rsid w:val="15DD7C7F"/>
    <w:rsid w:val="15F035A9"/>
    <w:rsid w:val="15FC95D3"/>
    <w:rsid w:val="15FC9FC0"/>
    <w:rsid w:val="15FD083E"/>
    <w:rsid w:val="15FF916B"/>
    <w:rsid w:val="160617BF"/>
    <w:rsid w:val="16072FF7"/>
    <w:rsid w:val="160EAEE6"/>
    <w:rsid w:val="16246045"/>
    <w:rsid w:val="1637D2C2"/>
    <w:rsid w:val="163F6181"/>
    <w:rsid w:val="1646016E"/>
    <w:rsid w:val="16500386"/>
    <w:rsid w:val="16566DFD"/>
    <w:rsid w:val="16658A93"/>
    <w:rsid w:val="166597C1"/>
    <w:rsid w:val="1668DA50"/>
    <w:rsid w:val="1669D244"/>
    <w:rsid w:val="16837ABB"/>
    <w:rsid w:val="1686C505"/>
    <w:rsid w:val="168C7D6A"/>
    <w:rsid w:val="16A9FDD5"/>
    <w:rsid w:val="16B07B44"/>
    <w:rsid w:val="16BEAF37"/>
    <w:rsid w:val="16C25E17"/>
    <w:rsid w:val="16D3C9AA"/>
    <w:rsid w:val="16D4C129"/>
    <w:rsid w:val="16D762F9"/>
    <w:rsid w:val="16DB1C6C"/>
    <w:rsid w:val="16E25738"/>
    <w:rsid w:val="16E27955"/>
    <w:rsid w:val="16E3BA45"/>
    <w:rsid w:val="16E91E02"/>
    <w:rsid w:val="16EFF79D"/>
    <w:rsid w:val="16F09E72"/>
    <w:rsid w:val="16FC9F77"/>
    <w:rsid w:val="16FF37AA"/>
    <w:rsid w:val="170A532F"/>
    <w:rsid w:val="170CC1DE"/>
    <w:rsid w:val="1719F060"/>
    <w:rsid w:val="171C2582"/>
    <w:rsid w:val="171E1E1C"/>
    <w:rsid w:val="17261895"/>
    <w:rsid w:val="172D8134"/>
    <w:rsid w:val="172E4AAA"/>
    <w:rsid w:val="1735E1EF"/>
    <w:rsid w:val="17403FF4"/>
    <w:rsid w:val="1749178A"/>
    <w:rsid w:val="174EDC05"/>
    <w:rsid w:val="174FC237"/>
    <w:rsid w:val="175032AE"/>
    <w:rsid w:val="175ECBC7"/>
    <w:rsid w:val="1761A973"/>
    <w:rsid w:val="176AB821"/>
    <w:rsid w:val="176B13F1"/>
    <w:rsid w:val="17722FDF"/>
    <w:rsid w:val="17758FA2"/>
    <w:rsid w:val="177A539B"/>
    <w:rsid w:val="177B7AE0"/>
    <w:rsid w:val="17832A41"/>
    <w:rsid w:val="1786F05B"/>
    <w:rsid w:val="178B42DB"/>
    <w:rsid w:val="17C603FF"/>
    <w:rsid w:val="17CAF246"/>
    <w:rsid w:val="17CFDBF3"/>
    <w:rsid w:val="17DA8DA4"/>
    <w:rsid w:val="17E9F48A"/>
    <w:rsid w:val="17F9CC0C"/>
    <w:rsid w:val="18024DEC"/>
    <w:rsid w:val="180EFAA5"/>
    <w:rsid w:val="180F7C72"/>
    <w:rsid w:val="18257040"/>
    <w:rsid w:val="1830CE4B"/>
    <w:rsid w:val="183987F2"/>
    <w:rsid w:val="183E358C"/>
    <w:rsid w:val="18534C56"/>
    <w:rsid w:val="1858211B"/>
    <w:rsid w:val="186680F3"/>
    <w:rsid w:val="18686997"/>
    <w:rsid w:val="18762ED4"/>
    <w:rsid w:val="18960427"/>
    <w:rsid w:val="18A1BF53"/>
    <w:rsid w:val="18A408A4"/>
    <w:rsid w:val="18A4DFFC"/>
    <w:rsid w:val="18A67940"/>
    <w:rsid w:val="18AD86FA"/>
    <w:rsid w:val="18B38A7A"/>
    <w:rsid w:val="18B756F3"/>
    <w:rsid w:val="18BA235E"/>
    <w:rsid w:val="18D3344A"/>
    <w:rsid w:val="18E49B2D"/>
    <w:rsid w:val="18E71B62"/>
    <w:rsid w:val="18F571DC"/>
    <w:rsid w:val="1900893F"/>
    <w:rsid w:val="19060664"/>
    <w:rsid w:val="190A32EB"/>
    <w:rsid w:val="190B8788"/>
    <w:rsid w:val="19107705"/>
    <w:rsid w:val="1916B064"/>
    <w:rsid w:val="191CA639"/>
    <w:rsid w:val="1922EB46"/>
    <w:rsid w:val="192B2D33"/>
    <w:rsid w:val="192F4746"/>
    <w:rsid w:val="1931ABD1"/>
    <w:rsid w:val="193BDB44"/>
    <w:rsid w:val="193CCECC"/>
    <w:rsid w:val="193E199C"/>
    <w:rsid w:val="193E512F"/>
    <w:rsid w:val="19411EE6"/>
    <w:rsid w:val="1943FEE0"/>
    <w:rsid w:val="194F9592"/>
    <w:rsid w:val="195ADC1B"/>
    <w:rsid w:val="195BD7C3"/>
    <w:rsid w:val="19620FDE"/>
    <w:rsid w:val="197621E7"/>
    <w:rsid w:val="197B4683"/>
    <w:rsid w:val="197EC977"/>
    <w:rsid w:val="1986B015"/>
    <w:rsid w:val="19881DEF"/>
    <w:rsid w:val="1988F80B"/>
    <w:rsid w:val="198BB190"/>
    <w:rsid w:val="199516A2"/>
    <w:rsid w:val="199E3BD7"/>
    <w:rsid w:val="19A15A9D"/>
    <w:rsid w:val="19A1E6CA"/>
    <w:rsid w:val="19A41A67"/>
    <w:rsid w:val="19A57B0D"/>
    <w:rsid w:val="19A761F8"/>
    <w:rsid w:val="19AECC9D"/>
    <w:rsid w:val="19B5F016"/>
    <w:rsid w:val="19B931D7"/>
    <w:rsid w:val="19B9430B"/>
    <w:rsid w:val="19BD6EBF"/>
    <w:rsid w:val="19DCFC8C"/>
    <w:rsid w:val="19DDD153"/>
    <w:rsid w:val="19E226C3"/>
    <w:rsid w:val="19E31876"/>
    <w:rsid w:val="19FABAE7"/>
    <w:rsid w:val="19FD2E0C"/>
    <w:rsid w:val="1A054821"/>
    <w:rsid w:val="1A0AA38F"/>
    <w:rsid w:val="1A1D0738"/>
    <w:rsid w:val="1A2E43AA"/>
    <w:rsid w:val="1A2F53EC"/>
    <w:rsid w:val="1A3AAFF9"/>
    <w:rsid w:val="1A3CA405"/>
    <w:rsid w:val="1A3CF376"/>
    <w:rsid w:val="1A3EEB09"/>
    <w:rsid w:val="1A5BB7C6"/>
    <w:rsid w:val="1A683CF0"/>
    <w:rsid w:val="1A6A9C22"/>
    <w:rsid w:val="1A6E2898"/>
    <w:rsid w:val="1A703A6D"/>
    <w:rsid w:val="1A78CC2F"/>
    <w:rsid w:val="1A7BF62E"/>
    <w:rsid w:val="1A94564D"/>
    <w:rsid w:val="1A9E117B"/>
    <w:rsid w:val="1AA3DF5D"/>
    <w:rsid w:val="1AA420DA"/>
    <w:rsid w:val="1AB49B2C"/>
    <w:rsid w:val="1AB713DC"/>
    <w:rsid w:val="1AB96811"/>
    <w:rsid w:val="1ABFA3B8"/>
    <w:rsid w:val="1AC0A8B8"/>
    <w:rsid w:val="1AC5FAA9"/>
    <w:rsid w:val="1AC603C0"/>
    <w:rsid w:val="1AC83936"/>
    <w:rsid w:val="1ACCD81C"/>
    <w:rsid w:val="1ACF798E"/>
    <w:rsid w:val="1AD726C9"/>
    <w:rsid w:val="1ADEF671"/>
    <w:rsid w:val="1AE04B07"/>
    <w:rsid w:val="1AE9CE1B"/>
    <w:rsid w:val="1AF2237F"/>
    <w:rsid w:val="1AFA18B0"/>
    <w:rsid w:val="1B046156"/>
    <w:rsid w:val="1B0CF2A7"/>
    <w:rsid w:val="1B1137E2"/>
    <w:rsid w:val="1B1517A2"/>
    <w:rsid w:val="1B15B269"/>
    <w:rsid w:val="1B19374D"/>
    <w:rsid w:val="1B1A0F3D"/>
    <w:rsid w:val="1B1E05C2"/>
    <w:rsid w:val="1B1E5B3B"/>
    <w:rsid w:val="1B215138"/>
    <w:rsid w:val="1B299F47"/>
    <w:rsid w:val="1B32B438"/>
    <w:rsid w:val="1B35B6DC"/>
    <w:rsid w:val="1B558A43"/>
    <w:rsid w:val="1B5B7D17"/>
    <w:rsid w:val="1B5E3B1F"/>
    <w:rsid w:val="1B6B8FA2"/>
    <w:rsid w:val="1B6F248D"/>
    <w:rsid w:val="1B71705D"/>
    <w:rsid w:val="1B753C56"/>
    <w:rsid w:val="1B758788"/>
    <w:rsid w:val="1B820B8D"/>
    <w:rsid w:val="1B8CDE2F"/>
    <w:rsid w:val="1B99179C"/>
    <w:rsid w:val="1B9CF422"/>
    <w:rsid w:val="1BA029EC"/>
    <w:rsid w:val="1BA1E511"/>
    <w:rsid w:val="1BA213A3"/>
    <w:rsid w:val="1BB1AEB7"/>
    <w:rsid w:val="1BB5DC46"/>
    <w:rsid w:val="1BBAE5D8"/>
    <w:rsid w:val="1BBDB4DD"/>
    <w:rsid w:val="1BBEB9B4"/>
    <w:rsid w:val="1BCC751F"/>
    <w:rsid w:val="1BD1A278"/>
    <w:rsid w:val="1BD274B5"/>
    <w:rsid w:val="1BD2B4FF"/>
    <w:rsid w:val="1BD51B12"/>
    <w:rsid w:val="1BD67441"/>
    <w:rsid w:val="1BDDAFD3"/>
    <w:rsid w:val="1BDE334D"/>
    <w:rsid w:val="1BE0724D"/>
    <w:rsid w:val="1BE43792"/>
    <w:rsid w:val="1BE556CC"/>
    <w:rsid w:val="1BE6DFE8"/>
    <w:rsid w:val="1BF311EC"/>
    <w:rsid w:val="1BF39A8D"/>
    <w:rsid w:val="1C0EBEF9"/>
    <w:rsid w:val="1C1777A0"/>
    <w:rsid w:val="1C249AC5"/>
    <w:rsid w:val="1C2816FC"/>
    <w:rsid w:val="1C29D9D1"/>
    <w:rsid w:val="1C2E7DCD"/>
    <w:rsid w:val="1C37DBBE"/>
    <w:rsid w:val="1C398434"/>
    <w:rsid w:val="1C4252D2"/>
    <w:rsid w:val="1C437A3A"/>
    <w:rsid w:val="1C444623"/>
    <w:rsid w:val="1C45BB82"/>
    <w:rsid w:val="1C4C5DD4"/>
    <w:rsid w:val="1C5A7ABF"/>
    <w:rsid w:val="1C5B675E"/>
    <w:rsid w:val="1C7441F0"/>
    <w:rsid w:val="1C8CFA70"/>
    <w:rsid w:val="1C92F930"/>
    <w:rsid w:val="1C974CA3"/>
    <w:rsid w:val="1CAD638A"/>
    <w:rsid w:val="1CADC94F"/>
    <w:rsid w:val="1CAFC955"/>
    <w:rsid w:val="1CBFF653"/>
    <w:rsid w:val="1CC0246A"/>
    <w:rsid w:val="1CC5B690"/>
    <w:rsid w:val="1CD2C6FF"/>
    <w:rsid w:val="1CD73624"/>
    <w:rsid w:val="1CE6069C"/>
    <w:rsid w:val="1CF3DBD9"/>
    <w:rsid w:val="1D1046A6"/>
    <w:rsid w:val="1D1B42FC"/>
    <w:rsid w:val="1D1E6C97"/>
    <w:rsid w:val="1D208753"/>
    <w:rsid w:val="1D23C417"/>
    <w:rsid w:val="1D27CF51"/>
    <w:rsid w:val="1D2957F6"/>
    <w:rsid w:val="1D2D724C"/>
    <w:rsid w:val="1D2DEA24"/>
    <w:rsid w:val="1D358324"/>
    <w:rsid w:val="1D3D7899"/>
    <w:rsid w:val="1D3EB6FE"/>
    <w:rsid w:val="1D42D329"/>
    <w:rsid w:val="1D451352"/>
    <w:rsid w:val="1D4BE733"/>
    <w:rsid w:val="1D4EA534"/>
    <w:rsid w:val="1D4EE961"/>
    <w:rsid w:val="1D64D4BE"/>
    <w:rsid w:val="1D681FB8"/>
    <w:rsid w:val="1D72776F"/>
    <w:rsid w:val="1D745EC5"/>
    <w:rsid w:val="1D7C6FC7"/>
    <w:rsid w:val="1D8806A2"/>
    <w:rsid w:val="1D8C8EC6"/>
    <w:rsid w:val="1DA13C22"/>
    <w:rsid w:val="1DA46302"/>
    <w:rsid w:val="1DAB3D7C"/>
    <w:rsid w:val="1DC6DFC5"/>
    <w:rsid w:val="1DCDBDD1"/>
    <w:rsid w:val="1DD49E74"/>
    <w:rsid w:val="1DD6E13F"/>
    <w:rsid w:val="1DD9EE5E"/>
    <w:rsid w:val="1DDC5577"/>
    <w:rsid w:val="1DDDB645"/>
    <w:rsid w:val="1DE0DF4C"/>
    <w:rsid w:val="1DE6C088"/>
    <w:rsid w:val="1DEC4094"/>
    <w:rsid w:val="1DF87764"/>
    <w:rsid w:val="1DFBC3B4"/>
    <w:rsid w:val="1DFDB4F8"/>
    <w:rsid w:val="1E04BCF6"/>
    <w:rsid w:val="1E0551C1"/>
    <w:rsid w:val="1E06613F"/>
    <w:rsid w:val="1E0845C9"/>
    <w:rsid w:val="1E0AB4E1"/>
    <w:rsid w:val="1E137038"/>
    <w:rsid w:val="1E1AD626"/>
    <w:rsid w:val="1E2B5AED"/>
    <w:rsid w:val="1E2CC4F0"/>
    <w:rsid w:val="1E31477B"/>
    <w:rsid w:val="1E32DFCF"/>
    <w:rsid w:val="1E493EC8"/>
    <w:rsid w:val="1E497335"/>
    <w:rsid w:val="1E4B4E13"/>
    <w:rsid w:val="1E5B0977"/>
    <w:rsid w:val="1E64E7C2"/>
    <w:rsid w:val="1E82E58C"/>
    <w:rsid w:val="1E8A094F"/>
    <w:rsid w:val="1E9997C9"/>
    <w:rsid w:val="1EA001E1"/>
    <w:rsid w:val="1EA632E2"/>
    <w:rsid w:val="1EAD4B3D"/>
    <w:rsid w:val="1EAFB47B"/>
    <w:rsid w:val="1EC65984"/>
    <w:rsid w:val="1ECAA9EE"/>
    <w:rsid w:val="1EDB3ACF"/>
    <w:rsid w:val="1EE037DF"/>
    <w:rsid w:val="1EE041A5"/>
    <w:rsid w:val="1EEF2177"/>
    <w:rsid w:val="1EF1442E"/>
    <w:rsid w:val="1F07B0A5"/>
    <w:rsid w:val="1F14F95B"/>
    <w:rsid w:val="1F1CCD64"/>
    <w:rsid w:val="1F2635A6"/>
    <w:rsid w:val="1F313EC2"/>
    <w:rsid w:val="1F330F95"/>
    <w:rsid w:val="1F3AD29C"/>
    <w:rsid w:val="1F4F3C28"/>
    <w:rsid w:val="1F53B15B"/>
    <w:rsid w:val="1F54CD38"/>
    <w:rsid w:val="1F5DFE1F"/>
    <w:rsid w:val="1F5FEFB3"/>
    <w:rsid w:val="1F65BA7C"/>
    <w:rsid w:val="1F672CA8"/>
    <w:rsid w:val="1F7607B3"/>
    <w:rsid w:val="1F7F90E2"/>
    <w:rsid w:val="1F834BDD"/>
    <w:rsid w:val="1F857EA4"/>
    <w:rsid w:val="1F92123B"/>
    <w:rsid w:val="1F989FA3"/>
    <w:rsid w:val="1FA1B4C1"/>
    <w:rsid w:val="1FA8DA81"/>
    <w:rsid w:val="1FBAAD22"/>
    <w:rsid w:val="1FBDAF46"/>
    <w:rsid w:val="1FBE2034"/>
    <w:rsid w:val="1FC4873B"/>
    <w:rsid w:val="1FC6FC09"/>
    <w:rsid w:val="1FCDA98A"/>
    <w:rsid w:val="1FD23C80"/>
    <w:rsid w:val="1FD759D0"/>
    <w:rsid w:val="1FD7990D"/>
    <w:rsid w:val="1FD7AC67"/>
    <w:rsid w:val="1FDBFF50"/>
    <w:rsid w:val="1FE6DDD3"/>
    <w:rsid w:val="1FEA663C"/>
    <w:rsid w:val="1FF5738E"/>
    <w:rsid w:val="20021D29"/>
    <w:rsid w:val="200EA286"/>
    <w:rsid w:val="2012042B"/>
    <w:rsid w:val="20343E60"/>
    <w:rsid w:val="203DF614"/>
    <w:rsid w:val="20412F48"/>
    <w:rsid w:val="204242C2"/>
    <w:rsid w:val="204BF264"/>
    <w:rsid w:val="20521EAB"/>
    <w:rsid w:val="205294CF"/>
    <w:rsid w:val="20529FC7"/>
    <w:rsid w:val="205A7808"/>
    <w:rsid w:val="205E5D64"/>
    <w:rsid w:val="206C1295"/>
    <w:rsid w:val="2074EA6C"/>
    <w:rsid w:val="207FF7BA"/>
    <w:rsid w:val="20864342"/>
    <w:rsid w:val="208E95EE"/>
    <w:rsid w:val="20A2DDB3"/>
    <w:rsid w:val="20A32759"/>
    <w:rsid w:val="20A472CD"/>
    <w:rsid w:val="20A66772"/>
    <w:rsid w:val="20B74073"/>
    <w:rsid w:val="20D04BEF"/>
    <w:rsid w:val="20D0D38D"/>
    <w:rsid w:val="20D678EE"/>
    <w:rsid w:val="20D93E80"/>
    <w:rsid w:val="20DF979C"/>
    <w:rsid w:val="20E10A68"/>
    <w:rsid w:val="20F2A273"/>
    <w:rsid w:val="20F60364"/>
    <w:rsid w:val="2102E338"/>
    <w:rsid w:val="21117459"/>
    <w:rsid w:val="212309FB"/>
    <w:rsid w:val="21256E98"/>
    <w:rsid w:val="212D2F64"/>
    <w:rsid w:val="213156B6"/>
    <w:rsid w:val="2133AD00"/>
    <w:rsid w:val="2137E880"/>
    <w:rsid w:val="214523FF"/>
    <w:rsid w:val="214CCD0C"/>
    <w:rsid w:val="215345BD"/>
    <w:rsid w:val="2165226C"/>
    <w:rsid w:val="21678808"/>
    <w:rsid w:val="216AFC13"/>
    <w:rsid w:val="216D70A4"/>
    <w:rsid w:val="2173B8FE"/>
    <w:rsid w:val="21777E00"/>
    <w:rsid w:val="217B71DC"/>
    <w:rsid w:val="2184EC7C"/>
    <w:rsid w:val="2185CFE2"/>
    <w:rsid w:val="218ADAB7"/>
    <w:rsid w:val="218C7F2B"/>
    <w:rsid w:val="218FD3AE"/>
    <w:rsid w:val="21A185E5"/>
    <w:rsid w:val="21AEEBD3"/>
    <w:rsid w:val="21B392A9"/>
    <w:rsid w:val="21B59ADC"/>
    <w:rsid w:val="21B8D7B0"/>
    <w:rsid w:val="21BB7107"/>
    <w:rsid w:val="21BC3E59"/>
    <w:rsid w:val="21BE2D0C"/>
    <w:rsid w:val="21BE6467"/>
    <w:rsid w:val="21BFEDE7"/>
    <w:rsid w:val="21C4B331"/>
    <w:rsid w:val="21D1A95C"/>
    <w:rsid w:val="21D4BECD"/>
    <w:rsid w:val="21D818F3"/>
    <w:rsid w:val="21D9C636"/>
    <w:rsid w:val="21E0A667"/>
    <w:rsid w:val="2201A668"/>
    <w:rsid w:val="22071C09"/>
    <w:rsid w:val="2209718F"/>
    <w:rsid w:val="22107B48"/>
    <w:rsid w:val="2211AD83"/>
    <w:rsid w:val="22387DB6"/>
    <w:rsid w:val="2238FDD2"/>
    <w:rsid w:val="2239CF7E"/>
    <w:rsid w:val="223EDDD5"/>
    <w:rsid w:val="22460D05"/>
    <w:rsid w:val="22495FF7"/>
    <w:rsid w:val="2249BA77"/>
    <w:rsid w:val="2249D1EC"/>
    <w:rsid w:val="224D49DB"/>
    <w:rsid w:val="2255F8CE"/>
    <w:rsid w:val="2257FA97"/>
    <w:rsid w:val="2259254B"/>
    <w:rsid w:val="225F850D"/>
    <w:rsid w:val="226632B2"/>
    <w:rsid w:val="226ED4A5"/>
    <w:rsid w:val="229601EC"/>
    <w:rsid w:val="229C146B"/>
    <w:rsid w:val="22A34B2E"/>
    <w:rsid w:val="22A8C3B3"/>
    <w:rsid w:val="22AB8C80"/>
    <w:rsid w:val="22B67A87"/>
    <w:rsid w:val="22B8DE8B"/>
    <w:rsid w:val="22BB4FD4"/>
    <w:rsid w:val="22C31B3B"/>
    <w:rsid w:val="22C322B4"/>
    <w:rsid w:val="22CA38E0"/>
    <w:rsid w:val="22CDA12A"/>
    <w:rsid w:val="22D9E3AD"/>
    <w:rsid w:val="22DC0416"/>
    <w:rsid w:val="22DE2373"/>
    <w:rsid w:val="22DF8058"/>
    <w:rsid w:val="22E0D2F3"/>
    <w:rsid w:val="22E3C600"/>
    <w:rsid w:val="22E66537"/>
    <w:rsid w:val="22E97349"/>
    <w:rsid w:val="22EB18E0"/>
    <w:rsid w:val="231552CA"/>
    <w:rsid w:val="231A8FBD"/>
    <w:rsid w:val="231D4D3A"/>
    <w:rsid w:val="2322059A"/>
    <w:rsid w:val="2335407A"/>
    <w:rsid w:val="23681B46"/>
    <w:rsid w:val="237C3126"/>
    <w:rsid w:val="238A7EA9"/>
    <w:rsid w:val="23906FD0"/>
    <w:rsid w:val="2395196A"/>
    <w:rsid w:val="23A03D8F"/>
    <w:rsid w:val="23A9D0D4"/>
    <w:rsid w:val="23B22EBD"/>
    <w:rsid w:val="23B53532"/>
    <w:rsid w:val="23BA427D"/>
    <w:rsid w:val="23BF65D0"/>
    <w:rsid w:val="23D1B26F"/>
    <w:rsid w:val="23D26E8C"/>
    <w:rsid w:val="23DD1D4C"/>
    <w:rsid w:val="23DDCFC5"/>
    <w:rsid w:val="23DE67B2"/>
    <w:rsid w:val="23EA66D1"/>
    <w:rsid w:val="23EAE636"/>
    <w:rsid w:val="23EB5E99"/>
    <w:rsid w:val="23F82484"/>
    <w:rsid w:val="241B785F"/>
    <w:rsid w:val="242480A1"/>
    <w:rsid w:val="242BA079"/>
    <w:rsid w:val="242E6707"/>
    <w:rsid w:val="243C20E0"/>
    <w:rsid w:val="243E32E4"/>
    <w:rsid w:val="244E85F9"/>
    <w:rsid w:val="24520C6C"/>
    <w:rsid w:val="245928E9"/>
    <w:rsid w:val="245EDF21"/>
    <w:rsid w:val="245F9737"/>
    <w:rsid w:val="2462EF95"/>
    <w:rsid w:val="2468704E"/>
    <w:rsid w:val="2481097C"/>
    <w:rsid w:val="2485D66D"/>
    <w:rsid w:val="2488EDC6"/>
    <w:rsid w:val="24A7558E"/>
    <w:rsid w:val="24B0631C"/>
    <w:rsid w:val="24BA1BC9"/>
    <w:rsid w:val="24BA783F"/>
    <w:rsid w:val="24BE9ADA"/>
    <w:rsid w:val="24D37B29"/>
    <w:rsid w:val="24D834D8"/>
    <w:rsid w:val="24E3D0A3"/>
    <w:rsid w:val="24EA372E"/>
    <w:rsid w:val="24FBD7EC"/>
    <w:rsid w:val="25073E77"/>
    <w:rsid w:val="25175006"/>
    <w:rsid w:val="25212935"/>
    <w:rsid w:val="25237F90"/>
    <w:rsid w:val="25288675"/>
    <w:rsid w:val="252ADF86"/>
    <w:rsid w:val="252E016F"/>
    <w:rsid w:val="25398E63"/>
    <w:rsid w:val="253A0D63"/>
    <w:rsid w:val="253EF257"/>
    <w:rsid w:val="254E488B"/>
    <w:rsid w:val="25527A2C"/>
    <w:rsid w:val="255555AD"/>
    <w:rsid w:val="255C834C"/>
    <w:rsid w:val="25603E72"/>
    <w:rsid w:val="25656238"/>
    <w:rsid w:val="2566AA97"/>
    <w:rsid w:val="25705114"/>
    <w:rsid w:val="2570D0F7"/>
    <w:rsid w:val="2571E74E"/>
    <w:rsid w:val="257B7A3B"/>
    <w:rsid w:val="258194B6"/>
    <w:rsid w:val="2583630E"/>
    <w:rsid w:val="258B5D2F"/>
    <w:rsid w:val="259D827F"/>
    <w:rsid w:val="25A37B32"/>
    <w:rsid w:val="25A44329"/>
    <w:rsid w:val="25AAB898"/>
    <w:rsid w:val="25AC7C49"/>
    <w:rsid w:val="25AD1B37"/>
    <w:rsid w:val="25B212E8"/>
    <w:rsid w:val="25BE19E4"/>
    <w:rsid w:val="25C32497"/>
    <w:rsid w:val="25C9D6BA"/>
    <w:rsid w:val="25CE8393"/>
    <w:rsid w:val="25D63156"/>
    <w:rsid w:val="25D856D5"/>
    <w:rsid w:val="25DC9FF5"/>
    <w:rsid w:val="25E0FD21"/>
    <w:rsid w:val="25E11C8E"/>
    <w:rsid w:val="25E14F87"/>
    <w:rsid w:val="25EA98DB"/>
    <w:rsid w:val="25F5A04F"/>
    <w:rsid w:val="25F8B401"/>
    <w:rsid w:val="25FDC045"/>
    <w:rsid w:val="260078BE"/>
    <w:rsid w:val="2601B28B"/>
    <w:rsid w:val="260C249C"/>
    <w:rsid w:val="260E9057"/>
    <w:rsid w:val="2611D7CA"/>
    <w:rsid w:val="261C47A7"/>
    <w:rsid w:val="261EEFC9"/>
    <w:rsid w:val="26246734"/>
    <w:rsid w:val="262EC0B4"/>
    <w:rsid w:val="262EF5B2"/>
    <w:rsid w:val="262F3F11"/>
    <w:rsid w:val="263B048F"/>
    <w:rsid w:val="264569CA"/>
    <w:rsid w:val="26459BB5"/>
    <w:rsid w:val="26523ECB"/>
    <w:rsid w:val="26559A51"/>
    <w:rsid w:val="265B7F13"/>
    <w:rsid w:val="266485A5"/>
    <w:rsid w:val="2668FAC4"/>
    <w:rsid w:val="267C5C70"/>
    <w:rsid w:val="26982EAF"/>
    <w:rsid w:val="2698610B"/>
    <w:rsid w:val="269BEFB9"/>
    <w:rsid w:val="26A1139C"/>
    <w:rsid w:val="26A33D21"/>
    <w:rsid w:val="26A48C0F"/>
    <w:rsid w:val="26A899BE"/>
    <w:rsid w:val="26AC2A28"/>
    <w:rsid w:val="26B1680A"/>
    <w:rsid w:val="26BE0B78"/>
    <w:rsid w:val="26DDD748"/>
    <w:rsid w:val="26E1D75D"/>
    <w:rsid w:val="26E8A076"/>
    <w:rsid w:val="26E8E9A2"/>
    <w:rsid w:val="26F3CB2F"/>
    <w:rsid w:val="26F7EF0B"/>
    <w:rsid w:val="271B984C"/>
    <w:rsid w:val="271C32A6"/>
    <w:rsid w:val="271F6E30"/>
    <w:rsid w:val="27263024"/>
    <w:rsid w:val="27299EC1"/>
    <w:rsid w:val="27309D36"/>
    <w:rsid w:val="2740B32F"/>
    <w:rsid w:val="274278BE"/>
    <w:rsid w:val="274BF0A2"/>
    <w:rsid w:val="275819C0"/>
    <w:rsid w:val="276BC813"/>
    <w:rsid w:val="2771FD0D"/>
    <w:rsid w:val="27855B88"/>
    <w:rsid w:val="27893E9D"/>
    <w:rsid w:val="278F389C"/>
    <w:rsid w:val="279FB06C"/>
    <w:rsid w:val="27A313AE"/>
    <w:rsid w:val="27A842CF"/>
    <w:rsid w:val="27A94747"/>
    <w:rsid w:val="27B39565"/>
    <w:rsid w:val="27B62EDD"/>
    <w:rsid w:val="27BC3A22"/>
    <w:rsid w:val="27D16FDF"/>
    <w:rsid w:val="27D60C7B"/>
    <w:rsid w:val="27D728F9"/>
    <w:rsid w:val="27D85390"/>
    <w:rsid w:val="27DA6E0C"/>
    <w:rsid w:val="27E55834"/>
    <w:rsid w:val="27EA6E55"/>
    <w:rsid w:val="27FB49AA"/>
    <w:rsid w:val="27FBE5B4"/>
    <w:rsid w:val="2814F462"/>
    <w:rsid w:val="2815AAE5"/>
    <w:rsid w:val="281A68CC"/>
    <w:rsid w:val="2826AC09"/>
    <w:rsid w:val="2826DB63"/>
    <w:rsid w:val="28278A8A"/>
    <w:rsid w:val="282A58E8"/>
    <w:rsid w:val="283246C1"/>
    <w:rsid w:val="2838A34A"/>
    <w:rsid w:val="283EDCDE"/>
    <w:rsid w:val="28670030"/>
    <w:rsid w:val="286C3587"/>
    <w:rsid w:val="286FF309"/>
    <w:rsid w:val="287515A9"/>
    <w:rsid w:val="2875F45D"/>
    <w:rsid w:val="28799089"/>
    <w:rsid w:val="28938A0C"/>
    <w:rsid w:val="289CE2F0"/>
    <w:rsid w:val="28A160C1"/>
    <w:rsid w:val="28AB009D"/>
    <w:rsid w:val="28AC5547"/>
    <w:rsid w:val="28AF3545"/>
    <w:rsid w:val="28B02DC5"/>
    <w:rsid w:val="28B7045B"/>
    <w:rsid w:val="28BF7EE6"/>
    <w:rsid w:val="28C98E7D"/>
    <w:rsid w:val="28CCFE50"/>
    <w:rsid w:val="28D608D9"/>
    <w:rsid w:val="28D6B98C"/>
    <w:rsid w:val="28DEB0B7"/>
    <w:rsid w:val="28E15820"/>
    <w:rsid w:val="28E7FF8A"/>
    <w:rsid w:val="28EBCBA6"/>
    <w:rsid w:val="28EC3872"/>
    <w:rsid w:val="28ECD668"/>
    <w:rsid w:val="28EFD8BE"/>
    <w:rsid w:val="28F136C7"/>
    <w:rsid w:val="28F66B59"/>
    <w:rsid w:val="29093ED0"/>
    <w:rsid w:val="2910883A"/>
    <w:rsid w:val="291371EF"/>
    <w:rsid w:val="29153A8C"/>
    <w:rsid w:val="29197D2E"/>
    <w:rsid w:val="292563BF"/>
    <w:rsid w:val="29295041"/>
    <w:rsid w:val="29334CB4"/>
    <w:rsid w:val="294322B9"/>
    <w:rsid w:val="2945531B"/>
    <w:rsid w:val="29475D32"/>
    <w:rsid w:val="2949768C"/>
    <w:rsid w:val="294DB2BC"/>
    <w:rsid w:val="2953110E"/>
    <w:rsid w:val="2962F3CF"/>
    <w:rsid w:val="2965A60C"/>
    <w:rsid w:val="296A65E5"/>
    <w:rsid w:val="296BA578"/>
    <w:rsid w:val="296BFF91"/>
    <w:rsid w:val="296E9DFC"/>
    <w:rsid w:val="296F6F2F"/>
    <w:rsid w:val="29724C14"/>
    <w:rsid w:val="297A37B5"/>
    <w:rsid w:val="298B955B"/>
    <w:rsid w:val="298D493F"/>
    <w:rsid w:val="2994763C"/>
    <w:rsid w:val="299FE14B"/>
    <w:rsid w:val="29A123CB"/>
    <w:rsid w:val="29B4B969"/>
    <w:rsid w:val="29BE4B66"/>
    <w:rsid w:val="29BEE4D0"/>
    <w:rsid w:val="29C154AE"/>
    <w:rsid w:val="29CE12C1"/>
    <w:rsid w:val="29D5626E"/>
    <w:rsid w:val="29D5823B"/>
    <w:rsid w:val="29D875D1"/>
    <w:rsid w:val="29DAEBD0"/>
    <w:rsid w:val="29DE747E"/>
    <w:rsid w:val="29E181DF"/>
    <w:rsid w:val="2A017E68"/>
    <w:rsid w:val="2A07BF69"/>
    <w:rsid w:val="2A17C510"/>
    <w:rsid w:val="2A2CB9F8"/>
    <w:rsid w:val="2A35264E"/>
    <w:rsid w:val="2A46623A"/>
    <w:rsid w:val="2A49A2A6"/>
    <w:rsid w:val="2A4A52B1"/>
    <w:rsid w:val="2A4C81D6"/>
    <w:rsid w:val="2A6E8A00"/>
    <w:rsid w:val="2A775AF5"/>
    <w:rsid w:val="2A7D5A31"/>
    <w:rsid w:val="2A933477"/>
    <w:rsid w:val="2A9C82AD"/>
    <w:rsid w:val="2AAB62A0"/>
    <w:rsid w:val="2AB58133"/>
    <w:rsid w:val="2AC39887"/>
    <w:rsid w:val="2ACE142A"/>
    <w:rsid w:val="2ACFFB18"/>
    <w:rsid w:val="2AE11150"/>
    <w:rsid w:val="2AE285E9"/>
    <w:rsid w:val="2AE4524C"/>
    <w:rsid w:val="2AE80D44"/>
    <w:rsid w:val="2AF02E3F"/>
    <w:rsid w:val="2AF11AF6"/>
    <w:rsid w:val="2AF894E1"/>
    <w:rsid w:val="2B056056"/>
    <w:rsid w:val="2B11BAF9"/>
    <w:rsid w:val="2B1752C7"/>
    <w:rsid w:val="2B21588E"/>
    <w:rsid w:val="2B2968DD"/>
    <w:rsid w:val="2B2BA1E5"/>
    <w:rsid w:val="2B37D0F2"/>
    <w:rsid w:val="2B392AD0"/>
    <w:rsid w:val="2B3AFB9B"/>
    <w:rsid w:val="2B3C3DC4"/>
    <w:rsid w:val="2B474829"/>
    <w:rsid w:val="2B4A63C3"/>
    <w:rsid w:val="2B5E6492"/>
    <w:rsid w:val="2B65BF1F"/>
    <w:rsid w:val="2B661D17"/>
    <w:rsid w:val="2B67B701"/>
    <w:rsid w:val="2B6C9C06"/>
    <w:rsid w:val="2B73054F"/>
    <w:rsid w:val="2B7725C5"/>
    <w:rsid w:val="2B7B3D50"/>
    <w:rsid w:val="2B80C0A9"/>
    <w:rsid w:val="2B852686"/>
    <w:rsid w:val="2B969A8A"/>
    <w:rsid w:val="2B990596"/>
    <w:rsid w:val="2B9F1A11"/>
    <w:rsid w:val="2BA6B4EF"/>
    <w:rsid w:val="2BAA0165"/>
    <w:rsid w:val="2BAE1AB2"/>
    <w:rsid w:val="2BB58FBE"/>
    <w:rsid w:val="2BB6285E"/>
    <w:rsid w:val="2BB76040"/>
    <w:rsid w:val="2BB85934"/>
    <w:rsid w:val="2BBB01AF"/>
    <w:rsid w:val="2BBD09EC"/>
    <w:rsid w:val="2BBE3E8F"/>
    <w:rsid w:val="2BE0FE22"/>
    <w:rsid w:val="2BE5278C"/>
    <w:rsid w:val="2BEEF247"/>
    <w:rsid w:val="2BFF2FA5"/>
    <w:rsid w:val="2C051ACB"/>
    <w:rsid w:val="2C070AD3"/>
    <w:rsid w:val="2C0C8612"/>
    <w:rsid w:val="2C1792CA"/>
    <w:rsid w:val="2C2B12EC"/>
    <w:rsid w:val="2C3F17A1"/>
    <w:rsid w:val="2C4467C5"/>
    <w:rsid w:val="2C47FFEF"/>
    <w:rsid w:val="2C528D31"/>
    <w:rsid w:val="2C5F3747"/>
    <w:rsid w:val="2C652DAC"/>
    <w:rsid w:val="2C6C0242"/>
    <w:rsid w:val="2C6E71CB"/>
    <w:rsid w:val="2C74CE16"/>
    <w:rsid w:val="2C879B04"/>
    <w:rsid w:val="2C8B505E"/>
    <w:rsid w:val="2C8C8066"/>
    <w:rsid w:val="2C8F1FDB"/>
    <w:rsid w:val="2C9CF847"/>
    <w:rsid w:val="2CA147BA"/>
    <w:rsid w:val="2CA25612"/>
    <w:rsid w:val="2CA4F6D2"/>
    <w:rsid w:val="2CAC37EF"/>
    <w:rsid w:val="2CB2DEEC"/>
    <w:rsid w:val="2CB92B76"/>
    <w:rsid w:val="2CC48F36"/>
    <w:rsid w:val="2CC686C5"/>
    <w:rsid w:val="2CC74D66"/>
    <w:rsid w:val="2CC827A0"/>
    <w:rsid w:val="2CE7DC08"/>
    <w:rsid w:val="2CF67474"/>
    <w:rsid w:val="2D01105D"/>
    <w:rsid w:val="2D08EF65"/>
    <w:rsid w:val="2D0C1A58"/>
    <w:rsid w:val="2D0C3242"/>
    <w:rsid w:val="2D10E29B"/>
    <w:rsid w:val="2D18AB44"/>
    <w:rsid w:val="2D18DEC2"/>
    <w:rsid w:val="2D3DD080"/>
    <w:rsid w:val="2D42EE78"/>
    <w:rsid w:val="2D435BCA"/>
    <w:rsid w:val="2D43707F"/>
    <w:rsid w:val="2D4B085B"/>
    <w:rsid w:val="2D53E3CF"/>
    <w:rsid w:val="2D54DD2F"/>
    <w:rsid w:val="2D5715E8"/>
    <w:rsid w:val="2D57D165"/>
    <w:rsid w:val="2D5C175D"/>
    <w:rsid w:val="2D651981"/>
    <w:rsid w:val="2D6F4408"/>
    <w:rsid w:val="2D780A52"/>
    <w:rsid w:val="2D7A3096"/>
    <w:rsid w:val="2D7AC527"/>
    <w:rsid w:val="2D86B330"/>
    <w:rsid w:val="2D8A43D4"/>
    <w:rsid w:val="2D9C0DFC"/>
    <w:rsid w:val="2D9CD524"/>
    <w:rsid w:val="2DAD5517"/>
    <w:rsid w:val="2DB4A7B6"/>
    <w:rsid w:val="2DB881BB"/>
    <w:rsid w:val="2DB922F8"/>
    <w:rsid w:val="2DC05710"/>
    <w:rsid w:val="2DD3B6D4"/>
    <w:rsid w:val="2DDBE82D"/>
    <w:rsid w:val="2DDDC699"/>
    <w:rsid w:val="2DE45877"/>
    <w:rsid w:val="2DF59E52"/>
    <w:rsid w:val="2E08308F"/>
    <w:rsid w:val="2E09ABE4"/>
    <w:rsid w:val="2E0E48B9"/>
    <w:rsid w:val="2E269FBF"/>
    <w:rsid w:val="2E27C007"/>
    <w:rsid w:val="2E294BD0"/>
    <w:rsid w:val="2E2DF439"/>
    <w:rsid w:val="2E368367"/>
    <w:rsid w:val="2E3A7279"/>
    <w:rsid w:val="2E4BB572"/>
    <w:rsid w:val="2E5405D9"/>
    <w:rsid w:val="2E5F0D88"/>
    <w:rsid w:val="2E5FCCD9"/>
    <w:rsid w:val="2E6BAF4E"/>
    <w:rsid w:val="2E6D83B6"/>
    <w:rsid w:val="2E87105B"/>
    <w:rsid w:val="2E911B8E"/>
    <w:rsid w:val="2E973E97"/>
    <w:rsid w:val="2E97CD06"/>
    <w:rsid w:val="2EA12494"/>
    <w:rsid w:val="2EAEFCF5"/>
    <w:rsid w:val="2EB18326"/>
    <w:rsid w:val="2EB43B6D"/>
    <w:rsid w:val="2ECAC827"/>
    <w:rsid w:val="2ECEED59"/>
    <w:rsid w:val="2ED08B84"/>
    <w:rsid w:val="2ED36DE5"/>
    <w:rsid w:val="2EDC82C8"/>
    <w:rsid w:val="2EE06EFE"/>
    <w:rsid w:val="2EF1452E"/>
    <w:rsid w:val="2F0B5AF8"/>
    <w:rsid w:val="2F15A29C"/>
    <w:rsid w:val="2F1BCC34"/>
    <w:rsid w:val="2F1D4757"/>
    <w:rsid w:val="2F1FC746"/>
    <w:rsid w:val="2F2D3ED1"/>
    <w:rsid w:val="2F36B750"/>
    <w:rsid w:val="2F40D6A3"/>
    <w:rsid w:val="2F4499D6"/>
    <w:rsid w:val="2F5E0119"/>
    <w:rsid w:val="2F5E4CE6"/>
    <w:rsid w:val="2F77B15D"/>
    <w:rsid w:val="2F78A633"/>
    <w:rsid w:val="2F7EE5A5"/>
    <w:rsid w:val="2F7F8626"/>
    <w:rsid w:val="2F84E7A4"/>
    <w:rsid w:val="2F854B35"/>
    <w:rsid w:val="2F976770"/>
    <w:rsid w:val="2FA599C4"/>
    <w:rsid w:val="2FA68910"/>
    <w:rsid w:val="2FA7DA4D"/>
    <w:rsid w:val="2FAC88FC"/>
    <w:rsid w:val="2FAD330C"/>
    <w:rsid w:val="2FAD6F3E"/>
    <w:rsid w:val="2FADBF23"/>
    <w:rsid w:val="2FB0C720"/>
    <w:rsid w:val="2FB2E6C4"/>
    <w:rsid w:val="2FB53E0F"/>
    <w:rsid w:val="2FCD6EC0"/>
    <w:rsid w:val="2FCF35D6"/>
    <w:rsid w:val="2FD050A7"/>
    <w:rsid w:val="2FD9B070"/>
    <w:rsid w:val="2FDCD983"/>
    <w:rsid w:val="2FE2A9ED"/>
    <w:rsid w:val="2FE5B85B"/>
    <w:rsid w:val="2FEA77E3"/>
    <w:rsid w:val="2FEF5027"/>
    <w:rsid w:val="2FF570B3"/>
    <w:rsid w:val="30063590"/>
    <w:rsid w:val="300EFE93"/>
    <w:rsid w:val="301699B4"/>
    <w:rsid w:val="301735DC"/>
    <w:rsid w:val="302B1353"/>
    <w:rsid w:val="302E58A5"/>
    <w:rsid w:val="302E9B05"/>
    <w:rsid w:val="302F80AF"/>
    <w:rsid w:val="30302934"/>
    <w:rsid w:val="304F10E5"/>
    <w:rsid w:val="304F4350"/>
    <w:rsid w:val="304FFDB8"/>
    <w:rsid w:val="305163E9"/>
    <w:rsid w:val="30518C49"/>
    <w:rsid w:val="3058792B"/>
    <w:rsid w:val="306151FC"/>
    <w:rsid w:val="3062552D"/>
    <w:rsid w:val="30672829"/>
    <w:rsid w:val="30739862"/>
    <w:rsid w:val="3073A753"/>
    <w:rsid w:val="30779101"/>
    <w:rsid w:val="3077A8B2"/>
    <w:rsid w:val="307FC7D3"/>
    <w:rsid w:val="30810469"/>
    <w:rsid w:val="30874459"/>
    <w:rsid w:val="30996034"/>
    <w:rsid w:val="30A08FCF"/>
    <w:rsid w:val="30A242D9"/>
    <w:rsid w:val="30B09A7E"/>
    <w:rsid w:val="30BB8FF1"/>
    <w:rsid w:val="30BE7148"/>
    <w:rsid w:val="30C7A75C"/>
    <w:rsid w:val="30C95330"/>
    <w:rsid w:val="30D06389"/>
    <w:rsid w:val="30D6FFE2"/>
    <w:rsid w:val="30D9BB5D"/>
    <w:rsid w:val="30EA1510"/>
    <w:rsid w:val="310696AE"/>
    <w:rsid w:val="3107BDF9"/>
    <w:rsid w:val="310F2E69"/>
    <w:rsid w:val="31145EE9"/>
    <w:rsid w:val="3114C6BD"/>
    <w:rsid w:val="31158263"/>
    <w:rsid w:val="3120BE54"/>
    <w:rsid w:val="312A036B"/>
    <w:rsid w:val="3130F1D2"/>
    <w:rsid w:val="31326499"/>
    <w:rsid w:val="3136A937"/>
    <w:rsid w:val="313E589E"/>
    <w:rsid w:val="3149E996"/>
    <w:rsid w:val="31515497"/>
    <w:rsid w:val="31676689"/>
    <w:rsid w:val="316DBE52"/>
    <w:rsid w:val="3176517F"/>
    <w:rsid w:val="3183D9EF"/>
    <w:rsid w:val="318A948F"/>
    <w:rsid w:val="319A4691"/>
    <w:rsid w:val="31A2AA5A"/>
    <w:rsid w:val="31AA0696"/>
    <w:rsid w:val="31ACB6B7"/>
    <w:rsid w:val="31B5DBAF"/>
    <w:rsid w:val="31B5DE7A"/>
    <w:rsid w:val="31C7FA7B"/>
    <w:rsid w:val="31CBA7CA"/>
    <w:rsid w:val="31D09AD1"/>
    <w:rsid w:val="31D63589"/>
    <w:rsid w:val="31D66157"/>
    <w:rsid w:val="31DBD8AE"/>
    <w:rsid w:val="31DDC48E"/>
    <w:rsid w:val="31EC656B"/>
    <w:rsid w:val="31ECBDC5"/>
    <w:rsid w:val="31ED3150"/>
    <w:rsid w:val="31F17800"/>
    <w:rsid w:val="31F19D60"/>
    <w:rsid w:val="31F2609E"/>
    <w:rsid w:val="32015588"/>
    <w:rsid w:val="32087726"/>
    <w:rsid w:val="3213B45E"/>
    <w:rsid w:val="321B8F7D"/>
    <w:rsid w:val="32276D63"/>
    <w:rsid w:val="322D6CC8"/>
    <w:rsid w:val="3230D3C5"/>
    <w:rsid w:val="323AD893"/>
    <w:rsid w:val="323BE44B"/>
    <w:rsid w:val="32406D80"/>
    <w:rsid w:val="3241A0F3"/>
    <w:rsid w:val="324B1E43"/>
    <w:rsid w:val="324FF3A6"/>
    <w:rsid w:val="3257B271"/>
    <w:rsid w:val="325A28ED"/>
    <w:rsid w:val="3266329F"/>
    <w:rsid w:val="326CC24F"/>
    <w:rsid w:val="327CA927"/>
    <w:rsid w:val="32825D6B"/>
    <w:rsid w:val="32868237"/>
    <w:rsid w:val="328B2F43"/>
    <w:rsid w:val="329ED815"/>
    <w:rsid w:val="32A5772A"/>
    <w:rsid w:val="32AED3CD"/>
    <w:rsid w:val="32B7A451"/>
    <w:rsid w:val="32C2284A"/>
    <w:rsid w:val="32C5E26B"/>
    <w:rsid w:val="32C8328C"/>
    <w:rsid w:val="32D3EE9E"/>
    <w:rsid w:val="32D6F307"/>
    <w:rsid w:val="32DA24F6"/>
    <w:rsid w:val="32F5BEBC"/>
    <w:rsid w:val="32FDD2A6"/>
    <w:rsid w:val="3300FFA5"/>
    <w:rsid w:val="33038FC0"/>
    <w:rsid w:val="330DE871"/>
    <w:rsid w:val="331820AF"/>
    <w:rsid w:val="331D792C"/>
    <w:rsid w:val="331F9DCC"/>
    <w:rsid w:val="33209DB5"/>
    <w:rsid w:val="332CB29E"/>
    <w:rsid w:val="332CC05C"/>
    <w:rsid w:val="3331A5B4"/>
    <w:rsid w:val="33366C8E"/>
    <w:rsid w:val="334D0038"/>
    <w:rsid w:val="3358D50E"/>
    <w:rsid w:val="33622550"/>
    <w:rsid w:val="33639105"/>
    <w:rsid w:val="3369E6D3"/>
    <w:rsid w:val="336B9D31"/>
    <w:rsid w:val="3372E6E4"/>
    <w:rsid w:val="3376B2D6"/>
    <w:rsid w:val="338561E1"/>
    <w:rsid w:val="338602EF"/>
    <w:rsid w:val="338AC802"/>
    <w:rsid w:val="338B5F48"/>
    <w:rsid w:val="338CE167"/>
    <w:rsid w:val="3396AE83"/>
    <w:rsid w:val="33979AD8"/>
    <w:rsid w:val="33AA34CA"/>
    <w:rsid w:val="33C0C3E0"/>
    <w:rsid w:val="33C4F701"/>
    <w:rsid w:val="33CCB5F1"/>
    <w:rsid w:val="33CD1A7A"/>
    <w:rsid w:val="33D3EBFF"/>
    <w:rsid w:val="33D5A590"/>
    <w:rsid w:val="33D86B5E"/>
    <w:rsid w:val="33DA75BC"/>
    <w:rsid w:val="33DAEDF0"/>
    <w:rsid w:val="33EA4B99"/>
    <w:rsid w:val="33F59231"/>
    <w:rsid w:val="33FD75B1"/>
    <w:rsid w:val="34007737"/>
    <w:rsid w:val="3403CBED"/>
    <w:rsid w:val="3411B552"/>
    <w:rsid w:val="34130C5E"/>
    <w:rsid w:val="34139D78"/>
    <w:rsid w:val="3413A83A"/>
    <w:rsid w:val="3427FC18"/>
    <w:rsid w:val="34292997"/>
    <w:rsid w:val="3431781D"/>
    <w:rsid w:val="34322DEF"/>
    <w:rsid w:val="343352EF"/>
    <w:rsid w:val="344EACCC"/>
    <w:rsid w:val="3451142B"/>
    <w:rsid w:val="345552EA"/>
    <w:rsid w:val="3461E490"/>
    <w:rsid w:val="3463B8B5"/>
    <w:rsid w:val="34640BBB"/>
    <w:rsid w:val="3469355A"/>
    <w:rsid w:val="347281D4"/>
    <w:rsid w:val="34784E81"/>
    <w:rsid w:val="347C8F23"/>
    <w:rsid w:val="34804F4D"/>
    <w:rsid w:val="34824602"/>
    <w:rsid w:val="34865E41"/>
    <w:rsid w:val="348FE1F6"/>
    <w:rsid w:val="34927094"/>
    <w:rsid w:val="3499A10C"/>
    <w:rsid w:val="34A72D4E"/>
    <w:rsid w:val="34A7DCCF"/>
    <w:rsid w:val="34AACE26"/>
    <w:rsid w:val="34AE600A"/>
    <w:rsid w:val="34B35C98"/>
    <w:rsid w:val="34B3BA9A"/>
    <w:rsid w:val="34C71CA5"/>
    <w:rsid w:val="34C7B22A"/>
    <w:rsid w:val="34D23DAA"/>
    <w:rsid w:val="34EE2BA4"/>
    <w:rsid w:val="34F71113"/>
    <w:rsid w:val="34FAA7EF"/>
    <w:rsid w:val="3500D845"/>
    <w:rsid w:val="3502C540"/>
    <w:rsid w:val="350D7DF9"/>
    <w:rsid w:val="351149D4"/>
    <w:rsid w:val="35117777"/>
    <w:rsid w:val="351C29E3"/>
    <w:rsid w:val="351C6328"/>
    <w:rsid w:val="35350F83"/>
    <w:rsid w:val="35442540"/>
    <w:rsid w:val="35464A95"/>
    <w:rsid w:val="3553AB00"/>
    <w:rsid w:val="355B13DB"/>
    <w:rsid w:val="355E9860"/>
    <w:rsid w:val="356DC449"/>
    <w:rsid w:val="356E74E5"/>
    <w:rsid w:val="3579697A"/>
    <w:rsid w:val="358E0B00"/>
    <w:rsid w:val="3596BEE1"/>
    <w:rsid w:val="3597D3FC"/>
    <w:rsid w:val="35A89A37"/>
    <w:rsid w:val="35B55E14"/>
    <w:rsid w:val="35B788D8"/>
    <w:rsid w:val="35B9A90D"/>
    <w:rsid w:val="35BF0FE1"/>
    <w:rsid w:val="35C33049"/>
    <w:rsid w:val="35E007C8"/>
    <w:rsid w:val="35E4C4C2"/>
    <w:rsid w:val="36067D19"/>
    <w:rsid w:val="3609CD2F"/>
    <w:rsid w:val="36144374"/>
    <w:rsid w:val="36177456"/>
    <w:rsid w:val="36183D9D"/>
    <w:rsid w:val="363A7FDA"/>
    <w:rsid w:val="3646F6B6"/>
    <w:rsid w:val="36470995"/>
    <w:rsid w:val="36481919"/>
    <w:rsid w:val="364EFA4E"/>
    <w:rsid w:val="3654A9C0"/>
    <w:rsid w:val="365B1968"/>
    <w:rsid w:val="365C2BA8"/>
    <w:rsid w:val="366411D2"/>
    <w:rsid w:val="3664FC46"/>
    <w:rsid w:val="366E5196"/>
    <w:rsid w:val="36735AEB"/>
    <w:rsid w:val="367EE1A1"/>
    <w:rsid w:val="36851DF9"/>
    <w:rsid w:val="36924C1E"/>
    <w:rsid w:val="369BA89B"/>
    <w:rsid w:val="36A4D480"/>
    <w:rsid w:val="36AB4D07"/>
    <w:rsid w:val="36AB7C13"/>
    <w:rsid w:val="36AEAABF"/>
    <w:rsid w:val="36AFD239"/>
    <w:rsid w:val="36B63BF5"/>
    <w:rsid w:val="36C28045"/>
    <w:rsid w:val="36D21ADD"/>
    <w:rsid w:val="36D52E11"/>
    <w:rsid w:val="36E229B8"/>
    <w:rsid w:val="36E38893"/>
    <w:rsid w:val="36E70E1D"/>
    <w:rsid w:val="36E94D14"/>
    <w:rsid w:val="36F05D11"/>
    <w:rsid w:val="36F1172A"/>
    <w:rsid w:val="36F82636"/>
    <w:rsid w:val="36F98EDA"/>
    <w:rsid w:val="36FB8CB8"/>
    <w:rsid w:val="36FFA793"/>
    <w:rsid w:val="37051A5E"/>
    <w:rsid w:val="3705376D"/>
    <w:rsid w:val="3710FE6C"/>
    <w:rsid w:val="3713EC42"/>
    <w:rsid w:val="371AE8E8"/>
    <w:rsid w:val="3726623F"/>
    <w:rsid w:val="37286151"/>
    <w:rsid w:val="3728F731"/>
    <w:rsid w:val="372EBC9E"/>
    <w:rsid w:val="37307F46"/>
    <w:rsid w:val="3733BA95"/>
    <w:rsid w:val="3736ABB7"/>
    <w:rsid w:val="373D039B"/>
    <w:rsid w:val="3743D0FA"/>
    <w:rsid w:val="37451A0C"/>
    <w:rsid w:val="374D01B4"/>
    <w:rsid w:val="3756F0A5"/>
    <w:rsid w:val="375784A0"/>
    <w:rsid w:val="375D2E90"/>
    <w:rsid w:val="37614A29"/>
    <w:rsid w:val="376CACA4"/>
    <w:rsid w:val="376F8721"/>
    <w:rsid w:val="37700626"/>
    <w:rsid w:val="37788007"/>
    <w:rsid w:val="3779CBD1"/>
    <w:rsid w:val="378F147D"/>
    <w:rsid w:val="37A48047"/>
    <w:rsid w:val="37AC6F26"/>
    <w:rsid w:val="37B4E6BD"/>
    <w:rsid w:val="37B93817"/>
    <w:rsid w:val="37BDB18D"/>
    <w:rsid w:val="37BE6DFA"/>
    <w:rsid w:val="37D1816C"/>
    <w:rsid w:val="37E55A42"/>
    <w:rsid w:val="37EDF88F"/>
    <w:rsid w:val="37F9977A"/>
    <w:rsid w:val="38032D98"/>
    <w:rsid w:val="38092811"/>
    <w:rsid w:val="380AAE71"/>
    <w:rsid w:val="380F0F67"/>
    <w:rsid w:val="38116242"/>
    <w:rsid w:val="3820A959"/>
    <w:rsid w:val="3822F697"/>
    <w:rsid w:val="382312C7"/>
    <w:rsid w:val="3829B581"/>
    <w:rsid w:val="382C9B62"/>
    <w:rsid w:val="383C37FD"/>
    <w:rsid w:val="384D8DE5"/>
    <w:rsid w:val="38508B11"/>
    <w:rsid w:val="3859FEC9"/>
    <w:rsid w:val="385CDA3A"/>
    <w:rsid w:val="385E590D"/>
    <w:rsid w:val="385FE6A3"/>
    <w:rsid w:val="3862A9A0"/>
    <w:rsid w:val="38644C01"/>
    <w:rsid w:val="386631B9"/>
    <w:rsid w:val="38719642"/>
    <w:rsid w:val="3873AB75"/>
    <w:rsid w:val="38839BB4"/>
    <w:rsid w:val="3884E68E"/>
    <w:rsid w:val="38856AFC"/>
    <w:rsid w:val="388A05F8"/>
    <w:rsid w:val="389815AD"/>
    <w:rsid w:val="389C4FFB"/>
    <w:rsid w:val="389E0685"/>
    <w:rsid w:val="38AD0843"/>
    <w:rsid w:val="38B1F1C5"/>
    <w:rsid w:val="38B7DF71"/>
    <w:rsid w:val="38C49672"/>
    <w:rsid w:val="38C5F194"/>
    <w:rsid w:val="38D0632D"/>
    <w:rsid w:val="38DAEF10"/>
    <w:rsid w:val="38DF0579"/>
    <w:rsid w:val="38F25153"/>
    <w:rsid w:val="38F3111D"/>
    <w:rsid w:val="38F35BAC"/>
    <w:rsid w:val="38F79853"/>
    <w:rsid w:val="38F9ADDC"/>
    <w:rsid w:val="390302D5"/>
    <w:rsid w:val="390B2A96"/>
    <w:rsid w:val="390E4353"/>
    <w:rsid w:val="391B116E"/>
    <w:rsid w:val="3922C0A7"/>
    <w:rsid w:val="393ABD83"/>
    <w:rsid w:val="393D4AE0"/>
    <w:rsid w:val="394FFAB1"/>
    <w:rsid w:val="395145C3"/>
    <w:rsid w:val="3951BB9A"/>
    <w:rsid w:val="395CE91D"/>
    <w:rsid w:val="395DC75A"/>
    <w:rsid w:val="396E76E0"/>
    <w:rsid w:val="397115B6"/>
    <w:rsid w:val="39750478"/>
    <w:rsid w:val="3975E85B"/>
    <w:rsid w:val="397A219D"/>
    <w:rsid w:val="397ADAA5"/>
    <w:rsid w:val="398AADBA"/>
    <w:rsid w:val="3991D619"/>
    <w:rsid w:val="3996A17B"/>
    <w:rsid w:val="39A83AE1"/>
    <w:rsid w:val="39AD0E20"/>
    <w:rsid w:val="39AF5BC6"/>
    <w:rsid w:val="39AF81C6"/>
    <w:rsid w:val="39B25035"/>
    <w:rsid w:val="39B313A4"/>
    <w:rsid w:val="39C47C4B"/>
    <w:rsid w:val="39C77214"/>
    <w:rsid w:val="39D31372"/>
    <w:rsid w:val="39DA9495"/>
    <w:rsid w:val="39E7DB42"/>
    <w:rsid w:val="39F68829"/>
    <w:rsid w:val="39F7B189"/>
    <w:rsid w:val="39F893D3"/>
    <w:rsid w:val="39FF3E27"/>
    <w:rsid w:val="3A0BFD52"/>
    <w:rsid w:val="3A10552A"/>
    <w:rsid w:val="3A150CB4"/>
    <w:rsid w:val="3A21D831"/>
    <w:rsid w:val="3A281DEB"/>
    <w:rsid w:val="3A28608F"/>
    <w:rsid w:val="3A29E14C"/>
    <w:rsid w:val="3A2C91F5"/>
    <w:rsid w:val="3A331E77"/>
    <w:rsid w:val="3A4157D6"/>
    <w:rsid w:val="3A4654B9"/>
    <w:rsid w:val="3A4C57D9"/>
    <w:rsid w:val="3A4C9907"/>
    <w:rsid w:val="3A4ED522"/>
    <w:rsid w:val="3A5673B6"/>
    <w:rsid w:val="3A579750"/>
    <w:rsid w:val="3A5A7837"/>
    <w:rsid w:val="3A6B0658"/>
    <w:rsid w:val="3A732E9E"/>
    <w:rsid w:val="3A7451FF"/>
    <w:rsid w:val="3A86D149"/>
    <w:rsid w:val="3A8A41A5"/>
    <w:rsid w:val="3AAB73E1"/>
    <w:rsid w:val="3AB3A3B6"/>
    <w:rsid w:val="3ABBB3EF"/>
    <w:rsid w:val="3ABE613F"/>
    <w:rsid w:val="3AC38D14"/>
    <w:rsid w:val="3AC67386"/>
    <w:rsid w:val="3ACE2C16"/>
    <w:rsid w:val="3ADB003E"/>
    <w:rsid w:val="3ADEBC79"/>
    <w:rsid w:val="3AE0601F"/>
    <w:rsid w:val="3AE4CBE8"/>
    <w:rsid w:val="3AE564BB"/>
    <w:rsid w:val="3AE95EA6"/>
    <w:rsid w:val="3AE9AD96"/>
    <w:rsid w:val="3AEF63D9"/>
    <w:rsid w:val="3AFCFAF2"/>
    <w:rsid w:val="3AFEA515"/>
    <w:rsid w:val="3AFFE092"/>
    <w:rsid w:val="3B01007C"/>
    <w:rsid w:val="3B02F065"/>
    <w:rsid w:val="3B080751"/>
    <w:rsid w:val="3B087CC8"/>
    <w:rsid w:val="3B0E6CF9"/>
    <w:rsid w:val="3B105E09"/>
    <w:rsid w:val="3B1C566B"/>
    <w:rsid w:val="3B2936B3"/>
    <w:rsid w:val="3B3ADD71"/>
    <w:rsid w:val="3B75CAEB"/>
    <w:rsid w:val="3B7BBA34"/>
    <w:rsid w:val="3B7E1DEC"/>
    <w:rsid w:val="3B876128"/>
    <w:rsid w:val="3B889650"/>
    <w:rsid w:val="3B905682"/>
    <w:rsid w:val="3B91ABC6"/>
    <w:rsid w:val="3BA620A6"/>
    <w:rsid w:val="3BAE19F4"/>
    <w:rsid w:val="3BAFD093"/>
    <w:rsid w:val="3BB0179E"/>
    <w:rsid w:val="3BB334D2"/>
    <w:rsid w:val="3BB6EF57"/>
    <w:rsid w:val="3BBBDC22"/>
    <w:rsid w:val="3BBDEBA7"/>
    <w:rsid w:val="3BC4C348"/>
    <w:rsid w:val="3BD0CAC6"/>
    <w:rsid w:val="3BD9781B"/>
    <w:rsid w:val="3BDECA0F"/>
    <w:rsid w:val="3BDFA3FB"/>
    <w:rsid w:val="3BE0ECD2"/>
    <w:rsid w:val="3BE5E396"/>
    <w:rsid w:val="3BE69B81"/>
    <w:rsid w:val="3BE7CD47"/>
    <w:rsid w:val="3BECBC62"/>
    <w:rsid w:val="3BF35F43"/>
    <w:rsid w:val="3C1150AC"/>
    <w:rsid w:val="3C1395BD"/>
    <w:rsid w:val="3C144050"/>
    <w:rsid w:val="3C151DF5"/>
    <w:rsid w:val="3C173A04"/>
    <w:rsid w:val="3C1B5677"/>
    <w:rsid w:val="3C251807"/>
    <w:rsid w:val="3C294A43"/>
    <w:rsid w:val="3C372B65"/>
    <w:rsid w:val="3C413E46"/>
    <w:rsid w:val="3C47E69C"/>
    <w:rsid w:val="3C617770"/>
    <w:rsid w:val="3C63C657"/>
    <w:rsid w:val="3C6A8E5E"/>
    <w:rsid w:val="3C6FBAEF"/>
    <w:rsid w:val="3C7028A6"/>
    <w:rsid w:val="3C71EB1C"/>
    <w:rsid w:val="3C80923E"/>
    <w:rsid w:val="3C81789A"/>
    <w:rsid w:val="3C898331"/>
    <w:rsid w:val="3C950C99"/>
    <w:rsid w:val="3C966D4E"/>
    <w:rsid w:val="3C9907B3"/>
    <w:rsid w:val="3C9D3712"/>
    <w:rsid w:val="3CB612B1"/>
    <w:rsid w:val="3CC01A0E"/>
    <w:rsid w:val="3CC08491"/>
    <w:rsid w:val="3CCF0A1D"/>
    <w:rsid w:val="3CD53E0A"/>
    <w:rsid w:val="3CD88791"/>
    <w:rsid w:val="3CDC2AC1"/>
    <w:rsid w:val="3CE00359"/>
    <w:rsid w:val="3CE35689"/>
    <w:rsid w:val="3CF19048"/>
    <w:rsid w:val="3CF4217E"/>
    <w:rsid w:val="3CF61A3E"/>
    <w:rsid w:val="3CFD4747"/>
    <w:rsid w:val="3D087072"/>
    <w:rsid w:val="3D0E278A"/>
    <w:rsid w:val="3D0F5589"/>
    <w:rsid w:val="3D1970AF"/>
    <w:rsid w:val="3D21EA75"/>
    <w:rsid w:val="3D227253"/>
    <w:rsid w:val="3D22E6E1"/>
    <w:rsid w:val="3D33E733"/>
    <w:rsid w:val="3D37A0AA"/>
    <w:rsid w:val="3D44D227"/>
    <w:rsid w:val="3D45414F"/>
    <w:rsid w:val="3D45F5BA"/>
    <w:rsid w:val="3D54FFE3"/>
    <w:rsid w:val="3D57E9D8"/>
    <w:rsid w:val="3D6148B4"/>
    <w:rsid w:val="3D734CBB"/>
    <w:rsid w:val="3D734D06"/>
    <w:rsid w:val="3D76CC3A"/>
    <w:rsid w:val="3D8E78A2"/>
    <w:rsid w:val="3D8FBDF8"/>
    <w:rsid w:val="3D9963CA"/>
    <w:rsid w:val="3DA0AFCE"/>
    <w:rsid w:val="3DAB0383"/>
    <w:rsid w:val="3DB32B56"/>
    <w:rsid w:val="3DB3C4B4"/>
    <w:rsid w:val="3DB854D3"/>
    <w:rsid w:val="3DBEFCE6"/>
    <w:rsid w:val="3DC461FA"/>
    <w:rsid w:val="3DC7507D"/>
    <w:rsid w:val="3DCB3FA3"/>
    <w:rsid w:val="3DD8BFC4"/>
    <w:rsid w:val="3DDDC9D5"/>
    <w:rsid w:val="3DF5E723"/>
    <w:rsid w:val="3DF8CCD3"/>
    <w:rsid w:val="3E0442C3"/>
    <w:rsid w:val="3E0706A5"/>
    <w:rsid w:val="3E088142"/>
    <w:rsid w:val="3E1373BE"/>
    <w:rsid w:val="3E15790E"/>
    <w:rsid w:val="3E250451"/>
    <w:rsid w:val="3E37BDF2"/>
    <w:rsid w:val="3E3B513C"/>
    <w:rsid w:val="3E3E967B"/>
    <w:rsid w:val="3E42866F"/>
    <w:rsid w:val="3E470EAD"/>
    <w:rsid w:val="3E480B1C"/>
    <w:rsid w:val="3E4819E9"/>
    <w:rsid w:val="3E493199"/>
    <w:rsid w:val="3E539231"/>
    <w:rsid w:val="3E572940"/>
    <w:rsid w:val="3E5EF04A"/>
    <w:rsid w:val="3E60487D"/>
    <w:rsid w:val="3E7C51B9"/>
    <w:rsid w:val="3E7DC3E0"/>
    <w:rsid w:val="3E8A30DD"/>
    <w:rsid w:val="3E918E4A"/>
    <w:rsid w:val="3E942534"/>
    <w:rsid w:val="3EA118F2"/>
    <w:rsid w:val="3EB3AF2F"/>
    <w:rsid w:val="3EB486E3"/>
    <w:rsid w:val="3EB7A657"/>
    <w:rsid w:val="3EBFA7A9"/>
    <w:rsid w:val="3EC51943"/>
    <w:rsid w:val="3ECE5F7C"/>
    <w:rsid w:val="3ECF9D2E"/>
    <w:rsid w:val="3ED3040F"/>
    <w:rsid w:val="3EDCD3C9"/>
    <w:rsid w:val="3EDD9BDA"/>
    <w:rsid w:val="3EDEE2AF"/>
    <w:rsid w:val="3EE1D387"/>
    <w:rsid w:val="3EE879E1"/>
    <w:rsid w:val="3EFDED7A"/>
    <w:rsid w:val="3F03C41F"/>
    <w:rsid w:val="3F08ADBC"/>
    <w:rsid w:val="3F140CD6"/>
    <w:rsid w:val="3F1849C1"/>
    <w:rsid w:val="3F243FE2"/>
    <w:rsid w:val="3F24876A"/>
    <w:rsid w:val="3F2519CB"/>
    <w:rsid w:val="3F38FBA9"/>
    <w:rsid w:val="3F3E7AE7"/>
    <w:rsid w:val="3F3F7EC6"/>
    <w:rsid w:val="3F40F769"/>
    <w:rsid w:val="3F4BAB92"/>
    <w:rsid w:val="3F4C440C"/>
    <w:rsid w:val="3F4D7D87"/>
    <w:rsid w:val="3F502B30"/>
    <w:rsid w:val="3F5E8B2C"/>
    <w:rsid w:val="3F60C4F0"/>
    <w:rsid w:val="3F63E442"/>
    <w:rsid w:val="3F6E4180"/>
    <w:rsid w:val="3F7397E3"/>
    <w:rsid w:val="3F77530E"/>
    <w:rsid w:val="3F7CB500"/>
    <w:rsid w:val="3F8E59FB"/>
    <w:rsid w:val="3F960E7D"/>
    <w:rsid w:val="3F99AD72"/>
    <w:rsid w:val="3F9F7A41"/>
    <w:rsid w:val="3FA3FFCC"/>
    <w:rsid w:val="3FA743EB"/>
    <w:rsid w:val="3FB6FEA8"/>
    <w:rsid w:val="3FB8604D"/>
    <w:rsid w:val="3FC1C060"/>
    <w:rsid w:val="3FC619A5"/>
    <w:rsid w:val="3FC7DB1F"/>
    <w:rsid w:val="3FCAD786"/>
    <w:rsid w:val="3FE5D7C1"/>
    <w:rsid w:val="3FEEB206"/>
    <w:rsid w:val="3FF221AE"/>
    <w:rsid w:val="3FFEAC16"/>
    <w:rsid w:val="400E41D5"/>
    <w:rsid w:val="4013E879"/>
    <w:rsid w:val="4049DF61"/>
    <w:rsid w:val="404CE0CA"/>
    <w:rsid w:val="405217A7"/>
    <w:rsid w:val="4060C52F"/>
    <w:rsid w:val="4062E7EB"/>
    <w:rsid w:val="406B9B24"/>
    <w:rsid w:val="40714542"/>
    <w:rsid w:val="4072AA5F"/>
    <w:rsid w:val="4077E039"/>
    <w:rsid w:val="4077E273"/>
    <w:rsid w:val="4079F38A"/>
    <w:rsid w:val="407BF185"/>
    <w:rsid w:val="40897AB5"/>
    <w:rsid w:val="408EF793"/>
    <w:rsid w:val="40937242"/>
    <w:rsid w:val="40A0476E"/>
    <w:rsid w:val="40A4F783"/>
    <w:rsid w:val="40A7DFB7"/>
    <w:rsid w:val="40BE925F"/>
    <w:rsid w:val="40C67FAA"/>
    <w:rsid w:val="40C772D1"/>
    <w:rsid w:val="40C8475A"/>
    <w:rsid w:val="40D1569B"/>
    <w:rsid w:val="40D1F9BF"/>
    <w:rsid w:val="40D3F119"/>
    <w:rsid w:val="40D57533"/>
    <w:rsid w:val="40D5B343"/>
    <w:rsid w:val="40D62F3A"/>
    <w:rsid w:val="40E042D9"/>
    <w:rsid w:val="40ECC41C"/>
    <w:rsid w:val="40F840D4"/>
    <w:rsid w:val="40FDA353"/>
    <w:rsid w:val="410209E6"/>
    <w:rsid w:val="410EE656"/>
    <w:rsid w:val="410F8065"/>
    <w:rsid w:val="41134DB7"/>
    <w:rsid w:val="4117441B"/>
    <w:rsid w:val="4117A318"/>
    <w:rsid w:val="41232389"/>
    <w:rsid w:val="41263388"/>
    <w:rsid w:val="412F72C1"/>
    <w:rsid w:val="413A5489"/>
    <w:rsid w:val="413EB596"/>
    <w:rsid w:val="4155A489"/>
    <w:rsid w:val="415C0385"/>
    <w:rsid w:val="416E864C"/>
    <w:rsid w:val="416FE66A"/>
    <w:rsid w:val="4176B5DC"/>
    <w:rsid w:val="4176F9AF"/>
    <w:rsid w:val="417830E0"/>
    <w:rsid w:val="41818DCD"/>
    <w:rsid w:val="4181B0BE"/>
    <w:rsid w:val="4182B226"/>
    <w:rsid w:val="41870161"/>
    <w:rsid w:val="418723F6"/>
    <w:rsid w:val="418D795D"/>
    <w:rsid w:val="4191C81E"/>
    <w:rsid w:val="41976845"/>
    <w:rsid w:val="4198A8BB"/>
    <w:rsid w:val="41B6044C"/>
    <w:rsid w:val="41B8C2F1"/>
    <w:rsid w:val="41BE2D57"/>
    <w:rsid w:val="41BF66DB"/>
    <w:rsid w:val="41D42D97"/>
    <w:rsid w:val="41D8E0F4"/>
    <w:rsid w:val="41DF95A3"/>
    <w:rsid w:val="41E70874"/>
    <w:rsid w:val="41FB23B6"/>
    <w:rsid w:val="41FC313C"/>
    <w:rsid w:val="4214111F"/>
    <w:rsid w:val="421560E1"/>
    <w:rsid w:val="421FA9CD"/>
    <w:rsid w:val="42260822"/>
    <w:rsid w:val="422EF6AC"/>
    <w:rsid w:val="4236FBA3"/>
    <w:rsid w:val="425D13A6"/>
    <w:rsid w:val="4265B41D"/>
    <w:rsid w:val="42780C6D"/>
    <w:rsid w:val="4291ACB1"/>
    <w:rsid w:val="429795B9"/>
    <w:rsid w:val="42A281FE"/>
    <w:rsid w:val="42A31DA2"/>
    <w:rsid w:val="42A5D49D"/>
    <w:rsid w:val="42B0AACF"/>
    <w:rsid w:val="42B41789"/>
    <w:rsid w:val="42B73F6F"/>
    <w:rsid w:val="42BEAE69"/>
    <w:rsid w:val="42BEEEF9"/>
    <w:rsid w:val="42BF8337"/>
    <w:rsid w:val="42BF96D2"/>
    <w:rsid w:val="42C717C5"/>
    <w:rsid w:val="42F1CF36"/>
    <w:rsid w:val="42FE33BE"/>
    <w:rsid w:val="430E9713"/>
    <w:rsid w:val="431873D6"/>
    <w:rsid w:val="431A5DE9"/>
    <w:rsid w:val="4321CFB3"/>
    <w:rsid w:val="432B2100"/>
    <w:rsid w:val="432FC81B"/>
    <w:rsid w:val="4330298C"/>
    <w:rsid w:val="433A8C0B"/>
    <w:rsid w:val="434439F6"/>
    <w:rsid w:val="434D8E37"/>
    <w:rsid w:val="43641873"/>
    <w:rsid w:val="436EEC3B"/>
    <w:rsid w:val="4379A539"/>
    <w:rsid w:val="438A8DC3"/>
    <w:rsid w:val="438C8FC5"/>
    <w:rsid w:val="43910998"/>
    <w:rsid w:val="4392BC30"/>
    <w:rsid w:val="439338A0"/>
    <w:rsid w:val="43A26A42"/>
    <w:rsid w:val="43AA6684"/>
    <w:rsid w:val="43AE4957"/>
    <w:rsid w:val="43B1FB96"/>
    <w:rsid w:val="43B8496D"/>
    <w:rsid w:val="43C2230D"/>
    <w:rsid w:val="43D0E7F4"/>
    <w:rsid w:val="43D12CF9"/>
    <w:rsid w:val="43D56B56"/>
    <w:rsid w:val="43D798C9"/>
    <w:rsid w:val="43D83309"/>
    <w:rsid w:val="43DD0346"/>
    <w:rsid w:val="43E40E69"/>
    <w:rsid w:val="43E6499C"/>
    <w:rsid w:val="43F245A3"/>
    <w:rsid w:val="43F7969F"/>
    <w:rsid w:val="43FB008B"/>
    <w:rsid w:val="43FD0565"/>
    <w:rsid w:val="43FD66E0"/>
    <w:rsid w:val="4401C4BD"/>
    <w:rsid w:val="44070163"/>
    <w:rsid w:val="440EBB5C"/>
    <w:rsid w:val="4411B36E"/>
    <w:rsid w:val="4416782F"/>
    <w:rsid w:val="4426B3E8"/>
    <w:rsid w:val="4431C2E9"/>
    <w:rsid w:val="4446973F"/>
    <w:rsid w:val="44492F14"/>
    <w:rsid w:val="444D0912"/>
    <w:rsid w:val="4455F76A"/>
    <w:rsid w:val="445996F9"/>
    <w:rsid w:val="446A8BAE"/>
    <w:rsid w:val="446F6E94"/>
    <w:rsid w:val="446FD248"/>
    <w:rsid w:val="447BF374"/>
    <w:rsid w:val="449794C6"/>
    <w:rsid w:val="44982604"/>
    <w:rsid w:val="449A9835"/>
    <w:rsid w:val="44A0A237"/>
    <w:rsid w:val="44AB43CF"/>
    <w:rsid w:val="44AB5379"/>
    <w:rsid w:val="44AD4E62"/>
    <w:rsid w:val="44B0BD86"/>
    <w:rsid w:val="44B6B96D"/>
    <w:rsid w:val="44C0452B"/>
    <w:rsid w:val="44C3F312"/>
    <w:rsid w:val="44C4F4E6"/>
    <w:rsid w:val="44CF2A9A"/>
    <w:rsid w:val="44CFE552"/>
    <w:rsid w:val="44D1B754"/>
    <w:rsid w:val="44D5BCF5"/>
    <w:rsid w:val="44D5F391"/>
    <w:rsid w:val="44DA1529"/>
    <w:rsid w:val="44F75A61"/>
    <w:rsid w:val="44F95DFF"/>
    <w:rsid w:val="44FDAAA8"/>
    <w:rsid w:val="45038AC0"/>
    <w:rsid w:val="4512D2B9"/>
    <w:rsid w:val="45224F58"/>
    <w:rsid w:val="4528B915"/>
    <w:rsid w:val="4529F593"/>
    <w:rsid w:val="45364DB9"/>
    <w:rsid w:val="453EFA28"/>
    <w:rsid w:val="453F1666"/>
    <w:rsid w:val="4540483E"/>
    <w:rsid w:val="4559C884"/>
    <w:rsid w:val="455EFBEA"/>
    <w:rsid w:val="4565C160"/>
    <w:rsid w:val="4574932C"/>
    <w:rsid w:val="457D9598"/>
    <w:rsid w:val="4582DF04"/>
    <w:rsid w:val="4585CDD1"/>
    <w:rsid w:val="4589E492"/>
    <w:rsid w:val="459405DF"/>
    <w:rsid w:val="4596CC48"/>
    <w:rsid w:val="45A9CE09"/>
    <w:rsid w:val="45B083B7"/>
    <w:rsid w:val="45B1E031"/>
    <w:rsid w:val="45B638D2"/>
    <w:rsid w:val="45C0F087"/>
    <w:rsid w:val="45C528FC"/>
    <w:rsid w:val="45CF0FE5"/>
    <w:rsid w:val="45D0CDC3"/>
    <w:rsid w:val="45D14567"/>
    <w:rsid w:val="45D8C244"/>
    <w:rsid w:val="45E33714"/>
    <w:rsid w:val="45E9C75C"/>
    <w:rsid w:val="45F48CFF"/>
    <w:rsid w:val="45FB7A76"/>
    <w:rsid w:val="460915B5"/>
    <w:rsid w:val="460D89BD"/>
    <w:rsid w:val="4611B844"/>
    <w:rsid w:val="461EF989"/>
    <w:rsid w:val="46304B18"/>
    <w:rsid w:val="46320D1B"/>
    <w:rsid w:val="4639B881"/>
    <w:rsid w:val="463EB7A9"/>
    <w:rsid w:val="464013D4"/>
    <w:rsid w:val="4647B2F9"/>
    <w:rsid w:val="464EB9EA"/>
    <w:rsid w:val="46674976"/>
    <w:rsid w:val="466C7073"/>
    <w:rsid w:val="4678B7CB"/>
    <w:rsid w:val="467E75AE"/>
    <w:rsid w:val="467FA57E"/>
    <w:rsid w:val="46993FD3"/>
    <w:rsid w:val="46A5BA21"/>
    <w:rsid w:val="46A6D61B"/>
    <w:rsid w:val="46A6DEBC"/>
    <w:rsid w:val="46A8CC36"/>
    <w:rsid w:val="46AE41C7"/>
    <w:rsid w:val="46BBF61E"/>
    <w:rsid w:val="46CC445C"/>
    <w:rsid w:val="46CFC183"/>
    <w:rsid w:val="46DB206A"/>
    <w:rsid w:val="46EB4627"/>
    <w:rsid w:val="46F5D680"/>
    <w:rsid w:val="46FAFDFE"/>
    <w:rsid w:val="46FCCA14"/>
    <w:rsid w:val="470C5127"/>
    <w:rsid w:val="47138F2C"/>
    <w:rsid w:val="471CFF82"/>
    <w:rsid w:val="47284B15"/>
    <w:rsid w:val="472896E3"/>
    <w:rsid w:val="472C8962"/>
    <w:rsid w:val="472EF7B5"/>
    <w:rsid w:val="47317208"/>
    <w:rsid w:val="47367E2A"/>
    <w:rsid w:val="473CFF08"/>
    <w:rsid w:val="473E983A"/>
    <w:rsid w:val="473F31EE"/>
    <w:rsid w:val="4742F0C5"/>
    <w:rsid w:val="47451ACD"/>
    <w:rsid w:val="47451BB2"/>
    <w:rsid w:val="474987A0"/>
    <w:rsid w:val="474FDDD1"/>
    <w:rsid w:val="47604A01"/>
    <w:rsid w:val="476116B1"/>
    <w:rsid w:val="47638092"/>
    <w:rsid w:val="4766B071"/>
    <w:rsid w:val="476D0930"/>
    <w:rsid w:val="47752FE1"/>
    <w:rsid w:val="4778C59A"/>
    <w:rsid w:val="477E68AF"/>
    <w:rsid w:val="478305BB"/>
    <w:rsid w:val="47898397"/>
    <w:rsid w:val="478F3310"/>
    <w:rsid w:val="47915AED"/>
    <w:rsid w:val="479305B0"/>
    <w:rsid w:val="479FFA87"/>
    <w:rsid w:val="47A6ECB3"/>
    <w:rsid w:val="47B29905"/>
    <w:rsid w:val="47B4DEB2"/>
    <w:rsid w:val="47C9D7F0"/>
    <w:rsid w:val="47D887FD"/>
    <w:rsid w:val="47E4176B"/>
    <w:rsid w:val="47E57742"/>
    <w:rsid w:val="47E81E24"/>
    <w:rsid w:val="47E8DAC4"/>
    <w:rsid w:val="47EB98E5"/>
    <w:rsid w:val="47F3AD6F"/>
    <w:rsid w:val="47FA09E5"/>
    <w:rsid w:val="47FAC73F"/>
    <w:rsid w:val="47FAD087"/>
    <w:rsid w:val="480AA680"/>
    <w:rsid w:val="480B975B"/>
    <w:rsid w:val="480BE272"/>
    <w:rsid w:val="48107C10"/>
    <w:rsid w:val="4815C290"/>
    <w:rsid w:val="48205FC1"/>
    <w:rsid w:val="482AA29E"/>
    <w:rsid w:val="482BF2F4"/>
    <w:rsid w:val="482CF9B9"/>
    <w:rsid w:val="483AF800"/>
    <w:rsid w:val="4840C360"/>
    <w:rsid w:val="4846B851"/>
    <w:rsid w:val="48488E70"/>
    <w:rsid w:val="485023B1"/>
    <w:rsid w:val="48516859"/>
    <w:rsid w:val="486D1209"/>
    <w:rsid w:val="487F8F01"/>
    <w:rsid w:val="4883B35A"/>
    <w:rsid w:val="4885169E"/>
    <w:rsid w:val="48859B9C"/>
    <w:rsid w:val="488AD791"/>
    <w:rsid w:val="48982EC2"/>
    <w:rsid w:val="489FC52F"/>
    <w:rsid w:val="48A03CB0"/>
    <w:rsid w:val="48A10858"/>
    <w:rsid w:val="48A82E3A"/>
    <w:rsid w:val="48B367B0"/>
    <w:rsid w:val="48B7EF14"/>
    <w:rsid w:val="48B8306E"/>
    <w:rsid w:val="48C88904"/>
    <w:rsid w:val="48C8F44F"/>
    <w:rsid w:val="48CAC563"/>
    <w:rsid w:val="48D63B8E"/>
    <w:rsid w:val="48DBBBC8"/>
    <w:rsid w:val="48E5795E"/>
    <w:rsid w:val="48E7A07E"/>
    <w:rsid w:val="48EC1451"/>
    <w:rsid w:val="48F03C56"/>
    <w:rsid w:val="48FCA935"/>
    <w:rsid w:val="490124E4"/>
    <w:rsid w:val="49032FD2"/>
    <w:rsid w:val="4903C402"/>
    <w:rsid w:val="4903C623"/>
    <w:rsid w:val="4910A8E8"/>
    <w:rsid w:val="49249004"/>
    <w:rsid w:val="4926D328"/>
    <w:rsid w:val="492D578C"/>
    <w:rsid w:val="492EF8F4"/>
    <w:rsid w:val="493695D4"/>
    <w:rsid w:val="493E7BA2"/>
    <w:rsid w:val="4941D182"/>
    <w:rsid w:val="494A7A51"/>
    <w:rsid w:val="494E5549"/>
    <w:rsid w:val="494EBB1C"/>
    <w:rsid w:val="49536F42"/>
    <w:rsid w:val="4953894F"/>
    <w:rsid w:val="49552BEA"/>
    <w:rsid w:val="49590F68"/>
    <w:rsid w:val="49599CA4"/>
    <w:rsid w:val="49675705"/>
    <w:rsid w:val="49702131"/>
    <w:rsid w:val="49741114"/>
    <w:rsid w:val="4975F0E7"/>
    <w:rsid w:val="4980D94C"/>
    <w:rsid w:val="4991B649"/>
    <w:rsid w:val="49A2F67A"/>
    <w:rsid w:val="49AFA72E"/>
    <w:rsid w:val="49B15E20"/>
    <w:rsid w:val="49B4BF20"/>
    <w:rsid w:val="49B4ED92"/>
    <w:rsid w:val="49BA0949"/>
    <w:rsid w:val="49BBB2A8"/>
    <w:rsid w:val="49BCCF63"/>
    <w:rsid w:val="49BCD735"/>
    <w:rsid w:val="49C196A4"/>
    <w:rsid w:val="49C198CE"/>
    <w:rsid w:val="49DC52D2"/>
    <w:rsid w:val="49DD1721"/>
    <w:rsid w:val="49E1C8B8"/>
    <w:rsid w:val="49E69AC3"/>
    <w:rsid w:val="49E957A2"/>
    <w:rsid w:val="49F97421"/>
    <w:rsid w:val="49FD2ED6"/>
    <w:rsid w:val="4A05F436"/>
    <w:rsid w:val="4A0686E4"/>
    <w:rsid w:val="4A110502"/>
    <w:rsid w:val="4A1EE5F6"/>
    <w:rsid w:val="4A2BA0F2"/>
    <w:rsid w:val="4A2C7E4F"/>
    <w:rsid w:val="4A2D3EB8"/>
    <w:rsid w:val="4A3435FA"/>
    <w:rsid w:val="4A39FF2D"/>
    <w:rsid w:val="4A5341DF"/>
    <w:rsid w:val="4A679ACF"/>
    <w:rsid w:val="4A6C03D4"/>
    <w:rsid w:val="4A77E1EF"/>
    <w:rsid w:val="4A7E4146"/>
    <w:rsid w:val="4A82CAC1"/>
    <w:rsid w:val="4A881814"/>
    <w:rsid w:val="4A926BFE"/>
    <w:rsid w:val="4A93CFD7"/>
    <w:rsid w:val="4A97A145"/>
    <w:rsid w:val="4A9EAB66"/>
    <w:rsid w:val="4AA58BD2"/>
    <w:rsid w:val="4AA58E3A"/>
    <w:rsid w:val="4AAFCC48"/>
    <w:rsid w:val="4AB3A30D"/>
    <w:rsid w:val="4ABCFCE4"/>
    <w:rsid w:val="4AE3B429"/>
    <w:rsid w:val="4AE5260A"/>
    <w:rsid w:val="4AEB8AF0"/>
    <w:rsid w:val="4AF4201F"/>
    <w:rsid w:val="4AF54403"/>
    <w:rsid w:val="4AF55205"/>
    <w:rsid w:val="4AF712E4"/>
    <w:rsid w:val="4B001793"/>
    <w:rsid w:val="4B03E6C7"/>
    <w:rsid w:val="4B1B24DC"/>
    <w:rsid w:val="4B1F2FD0"/>
    <w:rsid w:val="4B29D679"/>
    <w:rsid w:val="4B350CE8"/>
    <w:rsid w:val="4B396C1E"/>
    <w:rsid w:val="4B3DAF03"/>
    <w:rsid w:val="4B48B80B"/>
    <w:rsid w:val="4B49E511"/>
    <w:rsid w:val="4B50F2CC"/>
    <w:rsid w:val="4B560EC9"/>
    <w:rsid w:val="4B58849A"/>
    <w:rsid w:val="4B5F6664"/>
    <w:rsid w:val="4B6114F0"/>
    <w:rsid w:val="4B8613CA"/>
    <w:rsid w:val="4B8CFD50"/>
    <w:rsid w:val="4B9AB935"/>
    <w:rsid w:val="4BA4D2BD"/>
    <w:rsid w:val="4BAF42A3"/>
    <w:rsid w:val="4BC2BAD3"/>
    <w:rsid w:val="4BCB2BA2"/>
    <w:rsid w:val="4BCBFCD6"/>
    <w:rsid w:val="4BD78001"/>
    <w:rsid w:val="4BE1B848"/>
    <w:rsid w:val="4BF20C1F"/>
    <w:rsid w:val="4C0F6CB5"/>
    <w:rsid w:val="4C0F8D29"/>
    <w:rsid w:val="4C11DD3B"/>
    <w:rsid w:val="4C1364AC"/>
    <w:rsid w:val="4C1472CA"/>
    <w:rsid w:val="4C1C7182"/>
    <w:rsid w:val="4C1E64BC"/>
    <w:rsid w:val="4C20140C"/>
    <w:rsid w:val="4C233005"/>
    <w:rsid w:val="4C27EEEE"/>
    <w:rsid w:val="4C46F866"/>
    <w:rsid w:val="4C4BEAE2"/>
    <w:rsid w:val="4C4CCE0E"/>
    <w:rsid w:val="4C5A5AD1"/>
    <w:rsid w:val="4C5C75F4"/>
    <w:rsid w:val="4C6A76A3"/>
    <w:rsid w:val="4C74AD01"/>
    <w:rsid w:val="4C755B5E"/>
    <w:rsid w:val="4C845418"/>
    <w:rsid w:val="4C8910CB"/>
    <w:rsid w:val="4CA01E00"/>
    <w:rsid w:val="4CA16377"/>
    <w:rsid w:val="4CA21B20"/>
    <w:rsid w:val="4CA3B5BE"/>
    <w:rsid w:val="4CB6300D"/>
    <w:rsid w:val="4CC70000"/>
    <w:rsid w:val="4CD03A24"/>
    <w:rsid w:val="4CDCFF48"/>
    <w:rsid w:val="4CE0DD88"/>
    <w:rsid w:val="4CE240F3"/>
    <w:rsid w:val="4CE5CE64"/>
    <w:rsid w:val="4CE956C5"/>
    <w:rsid w:val="4CF0C071"/>
    <w:rsid w:val="4CF278AD"/>
    <w:rsid w:val="4CF7D073"/>
    <w:rsid w:val="4CFA953C"/>
    <w:rsid w:val="4D0434F1"/>
    <w:rsid w:val="4D060AA0"/>
    <w:rsid w:val="4D06A921"/>
    <w:rsid w:val="4D12AA18"/>
    <w:rsid w:val="4D192541"/>
    <w:rsid w:val="4D1CAEEF"/>
    <w:rsid w:val="4D2063E4"/>
    <w:rsid w:val="4D2AB1B4"/>
    <w:rsid w:val="4D3B8FFF"/>
    <w:rsid w:val="4D3F5EA4"/>
    <w:rsid w:val="4D43D13B"/>
    <w:rsid w:val="4D4598BA"/>
    <w:rsid w:val="4D50DB8F"/>
    <w:rsid w:val="4D5ECA00"/>
    <w:rsid w:val="4D6FE3A7"/>
    <w:rsid w:val="4D72F9B5"/>
    <w:rsid w:val="4D860EA7"/>
    <w:rsid w:val="4D989E32"/>
    <w:rsid w:val="4DA1697D"/>
    <w:rsid w:val="4DA63EBA"/>
    <w:rsid w:val="4DBF9B04"/>
    <w:rsid w:val="4DD6810B"/>
    <w:rsid w:val="4DE6AF8D"/>
    <w:rsid w:val="4DEAA744"/>
    <w:rsid w:val="4DF6B60C"/>
    <w:rsid w:val="4E118775"/>
    <w:rsid w:val="4E164FC6"/>
    <w:rsid w:val="4E1D9600"/>
    <w:rsid w:val="4E21E58A"/>
    <w:rsid w:val="4E27E411"/>
    <w:rsid w:val="4E2F6B24"/>
    <w:rsid w:val="4E32CACB"/>
    <w:rsid w:val="4E372D0B"/>
    <w:rsid w:val="4E37DEFA"/>
    <w:rsid w:val="4E4494B4"/>
    <w:rsid w:val="4E45B2E2"/>
    <w:rsid w:val="4E617EE1"/>
    <w:rsid w:val="4E62E6B5"/>
    <w:rsid w:val="4E66742A"/>
    <w:rsid w:val="4E6D179F"/>
    <w:rsid w:val="4E76D0D6"/>
    <w:rsid w:val="4E8ABE36"/>
    <w:rsid w:val="4E962068"/>
    <w:rsid w:val="4EA6706E"/>
    <w:rsid w:val="4EAC67EB"/>
    <w:rsid w:val="4EAE2655"/>
    <w:rsid w:val="4EB63FE8"/>
    <w:rsid w:val="4EBB2BD7"/>
    <w:rsid w:val="4EBE3D74"/>
    <w:rsid w:val="4EC4F32B"/>
    <w:rsid w:val="4EC83BFA"/>
    <w:rsid w:val="4EC8FF7F"/>
    <w:rsid w:val="4ECB82F7"/>
    <w:rsid w:val="4ED2BBE2"/>
    <w:rsid w:val="4ED7BF2D"/>
    <w:rsid w:val="4EDB2E77"/>
    <w:rsid w:val="4EDE3444"/>
    <w:rsid w:val="4EDEAF89"/>
    <w:rsid w:val="4EE37655"/>
    <w:rsid w:val="4EE47A7F"/>
    <w:rsid w:val="4EE76177"/>
    <w:rsid w:val="4EE8BFF8"/>
    <w:rsid w:val="4EECC411"/>
    <w:rsid w:val="4EFCD4C1"/>
    <w:rsid w:val="4F0BA906"/>
    <w:rsid w:val="4F0DEABF"/>
    <w:rsid w:val="4F0E5E7C"/>
    <w:rsid w:val="4F0F6774"/>
    <w:rsid w:val="4F2CE7AE"/>
    <w:rsid w:val="4F37BADA"/>
    <w:rsid w:val="4F47E34B"/>
    <w:rsid w:val="4F4F84C5"/>
    <w:rsid w:val="4F6C60CA"/>
    <w:rsid w:val="4F702B7D"/>
    <w:rsid w:val="4F704127"/>
    <w:rsid w:val="4F7115D0"/>
    <w:rsid w:val="4F712A68"/>
    <w:rsid w:val="4F728ABB"/>
    <w:rsid w:val="4F757B01"/>
    <w:rsid w:val="4F8A5623"/>
    <w:rsid w:val="4F8ED75B"/>
    <w:rsid w:val="4F9715F5"/>
    <w:rsid w:val="4F98ADDE"/>
    <w:rsid w:val="4F9943AF"/>
    <w:rsid w:val="4F9BAE7D"/>
    <w:rsid w:val="4FA1BCC1"/>
    <w:rsid w:val="4FA493CE"/>
    <w:rsid w:val="4FA5315C"/>
    <w:rsid w:val="4FA5671F"/>
    <w:rsid w:val="4FAF4A81"/>
    <w:rsid w:val="4FB2A1C5"/>
    <w:rsid w:val="4FB41DC5"/>
    <w:rsid w:val="4FB6DA4A"/>
    <w:rsid w:val="4FB72768"/>
    <w:rsid w:val="4FB9EAAF"/>
    <w:rsid w:val="4FBADCAE"/>
    <w:rsid w:val="4FCCEEF2"/>
    <w:rsid w:val="4FD260F1"/>
    <w:rsid w:val="4FD934B8"/>
    <w:rsid w:val="4FDDB716"/>
    <w:rsid w:val="4FDE9433"/>
    <w:rsid w:val="4FE1A8A0"/>
    <w:rsid w:val="4FE1C2AC"/>
    <w:rsid w:val="4FE878DD"/>
    <w:rsid w:val="4FE99397"/>
    <w:rsid w:val="4FEAA900"/>
    <w:rsid w:val="4FEFA7BF"/>
    <w:rsid w:val="4FF02C28"/>
    <w:rsid w:val="4FF5A7D1"/>
    <w:rsid w:val="4FFA3D44"/>
    <w:rsid w:val="5001324A"/>
    <w:rsid w:val="500242AB"/>
    <w:rsid w:val="5006370C"/>
    <w:rsid w:val="500F616B"/>
    <w:rsid w:val="50111962"/>
    <w:rsid w:val="50167812"/>
    <w:rsid w:val="501755AC"/>
    <w:rsid w:val="50235C55"/>
    <w:rsid w:val="50326860"/>
    <w:rsid w:val="503DA37D"/>
    <w:rsid w:val="503E2129"/>
    <w:rsid w:val="50419ED2"/>
    <w:rsid w:val="50473000"/>
    <w:rsid w:val="504CA2CE"/>
    <w:rsid w:val="504D8A8C"/>
    <w:rsid w:val="505DBE5E"/>
    <w:rsid w:val="506249C9"/>
    <w:rsid w:val="5087CDD6"/>
    <w:rsid w:val="508BE872"/>
    <w:rsid w:val="509C9C73"/>
    <w:rsid w:val="50A48B9A"/>
    <w:rsid w:val="50A6298F"/>
    <w:rsid w:val="50BBAA9C"/>
    <w:rsid w:val="50C436A5"/>
    <w:rsid w:val="50CB6922"/>
    <w:rsid w:val="50D8A5D0"/>
    <w:rsid w:val="50DA68AB"/>
    <w:rsid w:val="5106679B"/>
    <w:rsid w:val="5106C8B2"/>
    <w:rsid w:val="51178F2D"/>
    <w:rsid w:val="511BDA2D"/>
    <w:rsid w:val="511CA926"/>
    <w:rsid w:val="51291B0C"/>
    <w:rsid w:val="512AB39B"/>
    <w:rsid w:val="512E23EB"/>
    <w:rsid w:val="5134E375"/>
    <w:rsid w:val="51352D0C"/>
    <w:rsid w:val="51369B3C"/>
    <w:rsid w:val="513C45BB"/>
    <w:rsid w:val="515AC9F1"/>
    <w:rsid w:val="515F536C"/>
    <w:rsid w:val="51611065"/>
    <w:rsid w:val="516CA4DB"/>
    <w:rsid w:val="51758881"/>
    <w:rsid w:val="517F934A"/>
    <w:rsid w:val="5187C83F"/>
    <w:rsid w:val="518E5338"/>
    <w:rsid w:val="51A5C274"/>
    <w:rsid w:val="51B2E4E1"/>
    <w:rsid w:val="51B3C9DF"/>
    <w:rsid w:val="51B45016"/>
    <w:rsid w:val="51B7D6CF"/>
    <w:rsid w:val="51C5A410"/>
    <w:rsid w:val="51D142E2"/>
    <w:rsid w:val="51D3BEBB"/>
    <w:rsid w:val="51DC7131"/>
    <w:rsid w:val="51E6B6BF"/>
    <w:rsid w:val="51EF6A2C"/>
    <w:rsid w:val="51F13A48"/>
    <w:rsid w:val="51F48A82"/>
    <w:rsid w:val="51FC4AE0"/>
    <w:rsid w:val="5205FB0F"/>
    <w:rsid w:val="520820F8"/>
    <w:rsid w:val="520A5A82"/>
    <w:rsid w:val="520A8417"/>
    <w:rsid w:val="52138BA8"/>
    <w:rsid w:val="521A5374"/>
    <w:rsid w:val="521CEE59"/>
    <w:rsid w:val="521FDFBA"/>
    <w:rsid w:val="52234648"/>
    <w:rsid w:val="5225AAF1"/>
    <w:rsid w:val="523779AC"/>
    <w:rsid w:val="523AED1B"/>
    <w:rsid w:val="524819B1"/>
    <w:rsid w:val="524C7E8E"/>
    <w:rsid w:val="52526D66"/>
    <w:rsid w:val="5274E4A3"/>
    <w:rsid w:val="52859E1A"/>
    <w:rsid w:val="528E74D9"/>
    <w:rsid w:val="52AF6B8A"/>
    <w:rsid w:val="52B523A4"/>
    <w:rsid w:val="52B54F2A"/>
    <w:rsid w:val="52BF67A1"/>
    <w:rsid w:val="52C3075F"/>
    <w:rsid w:val="52C4902B"/>
    <w:rsid w:val="52C73DF5"/>
    <w:rsid w:val="52CA3DC9"/>
    <w:rsid w:val="52CF936C"/>
    <w:rsid w:val="52D49B57"/>
    <w:rsid w:val="52E0E2A0"/>
    <w:rsid w:val="52EB3E56"/>
    <w:rsid w:val="5301AF4C"/>
    <w:rsid w:val="5304F33B"/>
    <w:rsid w:val="530C9A50"/>
    <w:rsid w:val="531514D8"/>
    <w:rsid w:val="531F1360"/>
    <w:rsid w:val="5329F28B"/>
    <w:rsid w:val="53328A4A"/>
    <w:rsid w:val="533F05FF"/>
    <w:rsid w:val="5350A2F2"/>
    <w:rsid w:val="53527A0C"/>
    <w:rsid w:val="535388AD"/>
    <w:rsid w:val="53591414"/>
    <w:rsid w:val="535A199A"/>
    <w:rsid w:val="53670C40"/>
    <w:rsid w:val="537DD710"/>
    <w:rsid w:val="5384C114"/>
    <w:rsid w:val="53AF7C34"/>
    <w:rsid w:val="53B4F9FA"/>
    <w:rsid w:val="53B8F3A3"/>
    <w:rsid w:val="53C2ACC7"/>
    <w:rsid w:val="53C97C39"/>
    <w:rsid w:val="53D1273E"/>
    <w:rsid w:val="53D1D006"/>
    <w:rsid w:val="53DCB3FC"/>
    <w:rsid w:val="53DCBF49"/>
    <w:rsid w:val="53EB22B2"/>
    <w:rsid w:val="53ECCB08"/>
    <w:rsid w:val="53F3DCB5"/>
    <w:rsid w:val="53F94CF1"/>
    <w:rsid w:val="5401B53B"/>
    <w:rsid w:val="54093160"/>
    <w:rsid w:val="540BAD09"/>
    <w:rsid w:val="541B7362"/>
    <w:rsid w:val="541C09E6"/>
    <w:rsid w:val="541C4916"/>
    <w:rsid w:val="54242DF5"/>
    <w:rsid w:val="5428FF80"/>
    <w:rsid w:val="54290BEA"/>
    <w:rsid w:val="5440F7DD"/>
    <w:rsid w:val="5448337B"/>
    <w:rsid w:val="5449B3E1"/>
    <w:rsid w:val="544B1F24"/>
    <w:rsid w:val="5451735F"/>
    <w:rsid w:val="54553D64"/>
    <w:rsid w:val="5460C4E9"/>
    <w:rsid w:val="5466384D"/>
    <w:rsid w:val="546C0458"/>
    <w:rsid w:val="5475A9B2"/>
    <w:rsid w:val="54764EAF"/>
    <w:rsid w:val="548ADBFB"/>
    <w:rsid w:val="54972D68"/>
    <w:rsid w:val="549E9324"/>
    <w:rsid w:val="54B4F8CF"/>
    <w:rsid w:val="54BD1B37"/>
    <w:rsid w:val="54C4E63A"/>
    <w:rsid w:val="54CF8650"/>
    <w:rsid w:val="54D50187"/>
    <w:rsid w:val="54DC4359"/>
    <w:rsid w:val="54E0E10E"/>
    <w:rsid w:val="5501C8E9"/>
    <w:rsid w:val="55021BF9"/>
    <w:rsid w:val="55022D4E"/>
    <w:rsid w:val="55046AF7"/>
    <w:rsid w:val="550AFE66"/>
    <w:rsid w:val="550CD911"/>
    <w:rsid w:val="550DF002"/>
    <w:rsid w:val="5510CA3D"/>
    <w:rsid w:val="551A7019"/>
    <w:rsid w:val="5520E68F"/>
    <w:rsid w:val="552A5A8D"/>
    <w:rsid w:val="552B4D18"/>
    <w:rsid w:val="552F16C5"/>
    <w:rsid w:val="55308806"/>
    <w:rsid w:val="5532F8A5"/>
    <w:rsid w:val="5539C313"/>
    <w:rsid w:val="553CE829"/>
    <w:rsid w:val="554345B8"/>
    <w:rsid w:val="55485EC6"/>
    <w:rsid w:val="5549847B"/>
    <w:rsid w:val="554C5F77"/>
    <w:rsid w:val="555B512E"/>
    <w:rsid w:val="556C539E"/>
    <w:rsid w:val="55729BC6"/>
    <w:rsid w:val="5575FCF1"/>
    <w:rsid w:val="557D0115"/>
    <w:rsid w:val="557DEC3D"/>
    <w:rsid w:val="558A1EF6"/>
    <w:rsid w:val="5593998A"/>
    <w:rsid w:val="5599AEF3"/>
    <w:rsid w:val="55BC8CEB"/>
    <w:rsid w:val="55BD6957"/>
    <w:rsid w:val="55C2C3CB"/>
    <w:rsid w:val="55D61F5B"/>
    <w:rsid w:val="55E290B3"/>
    <w:rsid w:val="55E5FA62"/>
    <w:rsid w:val="55E729BC"/>
    <w:rsid w:val="55ED1EBE"/>
    <w:rsid w:val="55ED8121"/>
    <w:rsid w:val="55F4DAF1"/>
    <w:rsid w:val="55FDC09C"/>
    <w:rsid w:val="5605637F"/>
    <w:rsid w:val="560C71CE"/>
    <w:rsid w:val="561600B6"/>
    <w:rsid w:val="5617A9E8"/>
    <w:rsid w:val="5618BD7F"/>
    <w:rsid w:val="561FA6A5"/>
    <w:rsid w:val="5620290E"/>
    <w:rsid w:val="5622109C"/>
    <w:rsid w:val="56279554"/>
    <w:rsid w:val="56282C08"/>
    <w:rsid w:val="5633471F"/>
    <w:rsid w:val="5635375D"/>
    <w:rsid w:val="56453DEE"/>
    <w:rsid w:val="5650F51A"/>
    <w:rsid w:val="56588BDF"/>
    <w:rsid w:val="5659B98B"/>
    <w:rsid w:val="566230E3"/>
    <w:rsid w:val="566A036D"/>
    <w:rsid w:val="567F6046"/>
    <w:rsid w:val="56865E72"/>
    <w:rsid w:val="568820E7"/>
    <w:rsid w:val="568F5115"/>
    <w:rsid w:val="5697705F"/>
    <w:rsid w:val="56A64367"/>
    <w:rsid w:val="56B1D142"/>
    <w:rsid w:val="56BFAB37"/>
    <w:rsid w:val="56C1EF0B"/>
    <w:rsid w:val="56C95DD4"/>
    <w:rsid w:val="56CD7F64"/>
    <w:rsid w:val="56D335DF"/>
    <w:rsid w:val="56DA59AD"/>
    <w:rsid w:val="56E205FD"/>
    <w:rsid w:val="56E8DCD2"/>
    <w:rsid w:val="56E9DCB2"/>
    <w:rsid w:val="56EAF3BE"/>
    <w:rsid w:val="56ED710E"/>
    <w:rsid w:val="56F0B794"/>
    <w:rsid w:val="56F34E35"/>
    <w:rsid w:val="56F6ED56"/>
    <w:rsid w:val="56F9E362"/>
    <w:rsid w:val="56FBBD95"/>
    <w:rsid w:val="56FFAF27"/>
    <w:rsid w:val="571166C4"/>
    <w:rsid w:val="57125F47"/>
    <w:rsid w:val="5739F6F2"/>
    <w:rsid w:val="573F24D4"/>
    <w:rsid w:val="57441C90"/>
    <w:rsid w:val="5751894C"/>
    <w:rsid w:val="575B37C1"/>
    <w:rsid w:val="575FFED8"/>
    <w:rsid w:val="5770B033"/>
    <w:rsid w:val="577225D7"/>
    <w:rsid w:val="578282D0"/>
    <w:rsid w:val="5784A58B"/>
    <w:rsid w:val="5785E2F2"/>
    <w:rsid w:val="5789C451"/>
    <w:rsid w:val="5792FF8D"/>
    <w:rsid w:val="579481CA"/>
    <w:rsid w:val="579621AF"/>
    <w:rsid w:val="579A6EF6"/>
    <w:rsid w:val="579AFEA3"/>
    <w:rsid w:val="57AD4571"/>
    <w:rsid w:val="57AE377F"/>
    <w:rsid w:val="57AF0266"/>
    <w:rsid w:val="57B17D88"/>
    <w:rsid w:val="57C448E9"/>
    <w:rsid w:val="57C660FE"/>
    <w:rsid w:val="57D825BA"/>
    <w:rsid w:val="57DB152E"/>
    <w:rsid w:val="57E16F22"/>
    <w:rsid w:val="57E4F7CF"/>
    <w:rsid w:val="57E5EEFD"/>
    <w:rsid w:val="57E81608"/>
    <w:rsid w:val="57EDBFE4"/>
    <w:rsid w:val="57F0C16E"/>
    <w:rsid w:val="57F0DC46"/>
    <w:rsid w:val="57FC1681"/>
    <w:rsid w:val="58001BA2"/>
    <w:rsid w:val="580F89B1"/>
    <w:rsid w:val="5813B494"/>
    <w:rsid w:val="58154CB2"/>
    <w:rsid w:val="581C637C"/>
    <w:rsid w:val="582089C3"/>
    <w:rsid w:val="582A57B2"/>
    <w:rsid w:val="582B7711"/>
    <w:rsid w:val="5834965E"/>
    <w:rsid w:val="5838C45F"/>
    <w:rsid w:val="583BEA39"/>
    <w:rsid w:val="584393BF"/>
    <w:rsid w:val="58640149"/>
    <w:rsid w:val="586A169E"/>
    <w:rsid w:val="586CC233"/>
    <w:rsid w:val="586D4109"/>
    <w:rsid w:val="586F37A8"/>
    <w:rsid w:val="58720870"/>
    <w:rsid w:val="58747174"/>
    <w:rsid w:val="587BA1EB"/>
    <w:rsid w:val="587EECCE"/>
    <w:rsid w:val="5886FB31"/>
    <w:rsid w:val="5893F7E8"/>
    <w:rsid w:val="589C9D65"/>
    <w:rsid w:val="589DB8F0"/>
    <w:rsid w:val="58A0F544"/>
    <w:rsid w:val="58A3CBE7"/>
    <w:rsid w:val="58AEB12A"/>
    <w:rsid w:val="58BD5659"/>
    <w:rsid w:val="58D5E2CA"/>
    <w:rsid w:val="58DDF328"/>
    <w:rsid w:val="58E23354"/>
    <w:rsid w:val="58E78BF2"/>
    <w:rsid w:val="58FFCF65"/>
    <w:rsid w:val="59006FED"/>
    <w:rsid w:val="59016DA6"/>
    <w:rsid w:val="59085EB9"/>
    <w:rsid w:val="592473A6"/>
    <w:rsid w:val="5928CCE1"/>
    <w:rsid w:val="592EF0C0"/>
    <w:rsid w:val="5931B7C4"/>
    <w:rsid w:val="5936421B"/>
    <w:rsid w:val="593C9CEA"/>
    <w:rsid w:val="594219E4"/>
    <w:rsid w:val="59439A8D"/>
    <w:rsid w:val="594D60D5"/>
    <w:rsid w:val="594FC63F"/>
    <w:rsid w:val="5952A419"/>
    <w:rsid w:val="595D7739"/>
    <w:rsid w:val="59613954"/>
    <w:rsid w:val="59660013"/>
    <w:rsid w:val="5967AE23"/>
    <w:rsid w:val="5969B461"/>
    <w:rsid w:val="5970AC48"/>
    <w:rsid w:val="59769F75"/>
    <w:rsid w:val="597A2AEE"/>
    <w:rsid w:val="597BD48E"/>
    <w:rsid w:val="5980BDB6"/>
    <w:rsid w:val="5982728D"/>
    <w:rsid w:val="59853ED5"/>
    <w:rsid w:val="598E8FED"/>
    <w:rsid w:val="5991099E"/>
    <w:rsid w:val="59949361"/>
    <w:rsid w:val="59990D23"/>
    <w:rsid w:val="59C43BA2"/>
    <w:rsid w:val="59CC4FFC"/>
    <w:rsid w:val="59CEF334"/>
    <w:rsid w:val="59D15C21"/>
    <w:rsid w:val="59D41036"/>
    <w:rsid w:val="59D8F597"/>
    <w:rsid w:val="59D983C2"/>
    <w:rsid w:val="59DEBF4A"/>
    <w:rsid w:val="59E0E76A"/>
    <w:rsid w:val="59E69CB3"/>
    <w:rsid w:val="59EB4348"/>
    <w:rsid w:val="59EB8711"/>
    <w:rsid w:val="59F2253A"/>
    <w:rsid w:val="59F42F75"/>
    <w:rsid w:val="59F8C282"/>
    <w:rsid w:val="59FDEAE8"/>
    <w:rsid w:val="5A02943E"/>
    <w:rsid w:val="5A0AAABF"/>
    <w:rsid w:val="5A0BDB1C"/>
    <w:rsid w:val="5A194431"/>
    <w:rsid w:val="5A1D151F"/>
    <w:rsid w:val="5A27A025"/>
    <w:rsid w:val="5A2D27BB"/>
    <w:rsid w:val="5A304459"/>
    <w:rsid w:val="5A3AFDD4"/>
    <w:rsid w:val="5A4BAD56"/>
    <w:rsid w:val="5A528636"/>
    <w:rsid w:val="5A5A4C9B"/>
    <w:rsid w:val="5A5D930E"/>
    <w:rsid w:val="5A5F7375"/>
    <w:rsid w:val="5A64AEA6"/>
    <w:rsid w:val="5A651A47"/>
    <w:rsid w:val="5A670277"/>
    <w:rsid w:val="5A6930EE"/>
    <w:rsid w:val="5A6BA459"/>
    <w:rsid w:val="5A6C8FC6"/>
    <w:rsid w:val="5A6E22E8"/>
    <w:rsid w:val="5A6F9AB3"/>
    <w:rsid w:val="5A80BCBB"/>
    <w:rsid w:val="5A8272D8"/>
    <w:rsid w:val="5A829280"/>
    <w:rsid w:val="5A830F2A"/>
    <w:rsid w:val="5A96FB7F"/>
    <w:rsid w:val="5A9A472D"/>
    <w:rsid w:val="5A9CC133"/>
    <w:rsid w:val="5A9D6356"/>
    <w:rsid w:val="5A9E08BD"/>
    <w:rsid w:val="5AA5D989"/>
    <w:rsid w:val="5AAB235C"/>
    <w:rsid w:val="5AB213EF"/>
    <w:rsid w:val="5ABD028F"/>
    <w:rsid w:val="5ACBBDE2"/>
    <w:rsid w:val="5ADEBF48"/>
    <w:rsid w:val="5AF7511E"/>
    <w:rsid w:val="5AF7D10A"/>
    <w:rsid w:val="5AF836C8"/>
    <w:rsid w:val="5AFC7679"/>
    <w:rsid w:val="5AFE6EF6"/>
    <w:rsid w:val="5AFF378A"/>
    <w:rsid w:val="5B06F423"/>
    <w:rsid w:val="5B10903C"/>
    <w:rsid w:val="5B14373C"/>
    <w:rsid w:val="5B249CAC"/>
    <w:rsid w:val="5B25ADD6"/>
    <w:rsid w:val="5B2B7D4C"/>
    <w:rsid w:val="5B39EB1F"/>
    <w:rsid w:val="5B5A6A8E"/>
    <w:rsid w:val="5B6091AE"/>
    <w:rsid w:val="5B67D4DA"/>
    <w:rsid w:val="5B6A121E"/>
    <w:rsid w:val="5B6F233D"/>
    <w:rsid w:val="5B72F04C"/>
    <w:rsid w:val="5B798FB9"/>
    <w:rsid w:val="5B7A3F9D"/>
    <w:rsid w:val="5B7BF66E"/>
    <w:rsid w:val="5B85B201"/>
    <w:rsid w:val="5B865AE0"/>
    <w:rsid w:val="5B94A797"/>
    <w:rsid w:val="5B9E7BD4"/>
    <w:rsid w:val="5BA526B0"/>
    <w:rsid w:val="5BD02A34"/>
    <w:rsid w:val="5BE2D039"/>
    <w:rsid w:val="5BE40E32"/>
    <w:rsid w:val="5BE8D9BC"/>
    <w:rsid w:val="5BFB0ECB"/>
    <w:rsid w:val="5C014066"/>
    <w:rsid w:val="5C04976D"/>
    <w:rsid w:val="5C0D08D2"/>
    <w:rsid w:val="5C17119A"/>
    <w:rsid w:val="5C1892F9"/>
    <w:rsid w:val="5C346552"/>
    <w:rsid w:val="5C351BE5"/>
    <w:rsid w:val="5C3AABFE"/>
    <w:rsid w:val="5C3DF328"/>
    <w:rsid w:val="5C414B9F"/>
    <w:rsid w:val="5C59A4B9"/>
    <w:rsid w:val="5C5EE619"/>
    <w:rsid w:val="5C64B664"/>
    <w:rsid w:val="5C66794D"/>
    <w:rsid w:val="5C690F6F"/>
    <w:rsid w:val="5C6A4EAD"/>
    <w:rsid w:val="5C6BFC42"/>
    <w:rsid w:val="5C72CDAC"/>
    <w:rsid w:val="5C762DCA"/>
    <w:rsid w:val="5C861C7E"/>
    <w:rsid w:val="5C8FDC64"/>
    <w:rsid w:val="5C92FED9"/>
    <w:rsid w:val="5C945294"/>
    <w:rsid w:val="5CA50F8C"/>
    <w:rsid w:val="5CA93ED8"/>
    <w:rsid w:val="5CB7010F"/>
    <w:rsid w:val="5CB9592D"/>
    <w:rsid w:val="5CBA55BE"/>
    <w:rsid w:val="5CBFE531"/>
    <w:rsid w:val="5CC637ED"/>
    <w:rsid w:val="5CCB7CF5"/>
    <w:rsid w:val="5CCD2CC0"/>
    <w:rsid w:val="5CCE7A11"/>
    <w:rsid w:val="5CD090B7"/>
    <w:rsid w:val="5CD16EA8"/>
    <w:rsid w:val="5CD81893"/>
    <w:rsid w:val="5CE059A5"/>
    <w:rsid w:val="5CE31832"/>
    <w:rsid w:val="5CE6ADD2"/>
    <w:rsid w:val="5CEB2423"/>
    <w:rsid w:val="5CFF07FB"/>
    <w:rsid w:val="5D0028BD"/>
    <w:rsid w:val="5D0CBA99"/>
    <w:rsid w:val="5D121170"/>
    <w:rsid w:val="5D12B958"/>
    <w:rsid w:val="5D130E8A"/>
    <w:rsid w:val="5D143B49"/>
    <w:rsid w:val="5D16AC8A"/>
    <w:rsid w:val="5D189189"/>
    <w:rsid w:val="5D1A3154"/>
    <w:rsid w:val="5D20F830"/>
    <w:rsid w:val="5D2AA163"/>
    <w:rsid w:val="5D3606EC"/>
    <w:rsid w:val="5D3ADF2D"/>
    <w:rsid w:val="5D3E39D2"/>
    <w:rsid w:val="5D3E97A4"/>
    <w:rsid w:val="5D427020"/>
    <w:rsid w:val="5D4D2DF9"/>
    <w:rsid w:val="5D4E3FF7"/>
    <w:rsid w:val="5D507DA6"/>
    <w:rsid w:val="5D626EAD"/>
    <w:rsid w:val="5D689C72"/>
    <w:rsid w:val="5D69E8DA"/>
    <w:rsid w:val="5D6C5FED"/>
    <w:rsid w:val="5D6DFA23"/>
    <w:rsid w:val="5D6EE152"/>
    <w:rsid w:val="5D6FE822"/>
    <w:rsid w:val="5D7A5975"/>
    <w:rsid w:val="5D8053EF"/>
    <w:rsid w:val="5D8BB0F9"/>
    <w:rsid w:val="5D968A3A"/>
    <w:rsid w:val="5D9799DC"/>
    <w:rsid w:val="5D9A357A"/>
    <w:rsid w:val="5D9AAFBB"/>
    <w:rsid w:val="5D9E390D"/>
    <w:rsid w:val="5DA5E399"/>
    <w:rsid w:val="5DAEE4A7"/>
    <w:rsid w:val="5DB07DEA"/>
    <w:rsid w:val="5DB0BC48"/>
    <w:rsid w:val="5DB0CF78"/>
    <w:rsid w:val="5DB4E149"/>
    <w:rsid w:val="5DBE14DD"/>
    <w:rsid w:val="5DC65662"/>
    <w:rsid w:val="5DD45AD8"/>
    <w:rsid w:val="5DD75E33"/>
    <w:rsid w:val="5DDC1EDE"/>
    <w:rsid w:val="5DE63F22"/>
    <w:rsid w:val="5DF105AA"/>
    <w:rsid w:val="5DF326F4"/>
    <w:rsid w:val="5DF3ECCA"/>
    <w:rsid w:val="5E0639E5"/>
    <w:rsid w:val="5E08ECD0"/>
    <w:rsid w:val="5E166156"/>
    <w:rsid w:val="5E16E4FD"/>
    <w:rsid w:val="5E1E1606"/>
    <w:rsid w:val="5E244689"/>
    <w:rsid w:val="5E258ADA"/>
    <w:rsid w:val="5E42E9ED"/>
    <w:rsid w:val="5E485315"/>
    <w:rsid w:val="5E5D4625"/>
    <w:rsid w:val="5E654D94"/>
    <w:rsid w:val="5E6D22C8"/>
    <w:rsid w:val="5E71D26C"/>
    <w:rsid w:val="5E72D67E"/>
    <w:rsid w:val="5E73B99D"/>
    <w:rsid w:val="5E798E78"/>
    <w:rsid w:val="5E820CC4"/>
    <w:rsid w:val="5E889774"/>
    <w:rsid w:val="5E8CD934"/>
    <w:rsid w:val="5E964325"/>
    <w:rsid w:val="5E999BD8"/>
    <w:rsid w:val="5EA6A053"/>
    <w:rsid w:val="5EA903DF"/>
    <w:rsid w:val="5EAA777D"/>
    <w:rsid w:val="5EAE8778"/>
    <w:rsid w:val="5EB1480B"/>
    <w:rsid w:val="5EB33C20"/>
    <w:rsid w:val="5EB42A20"/>
    <w:rsid w:val="5EB7682C"/>
    <w:rsid w:val="5EBF76DC"/>
    <w:rsid w:val="5EBFCAFB"/>
    <w:rsid w:val="5ED40F8B"/>
    <w:rsid w:val="5ED9C4E5"/>
    <w:rsid w:val="5EE7B1FF"/>
    <w:rsid w:val="5EE9C6C9"/>
    <w:rsid w:val="5EEF2DAC"/>
    <w:rsid w:val="5EEF352B"/>
    <w:rsid w:val="5EF97404"/>
    <w:rsid w:val="5EFC7EEE"/>
    <w:rsid w:val="5F00AEE4"/>
    <w:rsid w:val="5F00B048"/>
    <w:rsid w:val="5F06E4C0"/>
    <w:rsid w:val="5F092B56"/>
    <w:rsid w:val="5F0C9D75"/>
    <w:rsid w:val="5F0D7675"/>
    <w:rsid w:val="5F0EBCA4"/>
    <w:rsid w:val="5F143E06"/>
    <w:rsid w:val="5F1BC071"/>
    <w:rsid w:val="5F1FC524"/>
    <w:rsid w:val="5F23AC8A"/>
    <w:rsid w:val="5F249904"/>
    <w:rsid w:val="5F2704F5"/>
    <w:rsid w:val="5F349B64"/>
    <w:rsid w:val="5F3BDC1C"/>
    <w:rsid w:val="5F3EA19C"/>
    <w:rsid w:val="5F57EBD4"/>
    <w:rsid w:val="5F5E002B"/>
    <w:rsid w:val="5F654D22"/>
    <w:rsid w:val="5F66636D"/>
    <w:rsid w:val="5F711D65"/>
    <w:rsid w:val="5F74D429"/>
    <w:rsid w:val="5F82F1EA"/>
    <w:rsid w:val="5F840643"/>
    <w:rsid w:val="5F99BD43"/>
    <w:rsid w:val="5FAC061D"/>
    <w:rsid w:val="5FBA654D"/>
    <w:rsid w:val="5FBCEB1A"/>
    <w:rsid w:val="5FBD0AD5"/>
    <w:rsid w:val="5FC36160"/>
    <w:rsid w:val="5FD53BEA"/>
    <w:rsid w:val="5FDFFF1F"/>
    <w:rsid w:val="5FED83E2"/>
    <w:rsid w:val="5FEF12AC"/>
    <w:rsid w:val="5FF2E36F"/>
    <w:rsid w:val="600829B1"/>
    <w:rsid w:val="60087A03"/>
    <w:rsid w:val="600F1F55"/>
    <w:rsid w:val="6013BC19"/>
    <w:rsid w:val="60150303"/>
    <w:rsid w:val="601A8103"/>
    <w:rsid w:val="60222614"/>
    <w:rsid w:val="602648E9"/>
    <w:rsid w:val="602B9C42"/>
    <w:rsid w:val="6030435F"/>
    <w:rsid w:val="603DBBC3"/>
    <w:rsid w:val="603DCE3A"/>
    <w:rsid w:val="6045AB93"/>
    <w:rsid w:val="606A93D2"/>
    <w:rsid w:val="606BE157"/>
    <w:rsid w:val="606E302F"/>
    <w:rsid w:val="6073CB72"/>
    <w:rsid w:val="607CAE9E"/>
    <w:rsid w:val="60820C9A"/>
    <w:rsid w:val="6088FD16"/>
    <w:rsid w:val="6097C3CF"/>
    <w:rsid w:val="60A9FC5B"/>
    <w:rsid w:val="60ABE3E1"/>
    <w:rsid w:val="60AEC5C6"/>
    <w:rsid w:val="60B70B34"/>
    <w:rsid w:val="60B89055"/>
    <w:rsid w:val="60D4A7E6"/>
    <w:rsid w:val="60D6F126"/>
    <w:rsid w:val="60DD643A"/>
    <w:rsid w:val="60E11BB2"/>
    <w:rsid w:val="60E8DCF6"/>
    <w:rsid w:val="60EF8ED9"/>
    <w:rsid w:val="60F2438F"/>
    <w:rsid w:val="6104848E"/>
    <w:rsid w:val="6105CA73"/>
    <w:rsid w:val="610E981E"/>
    <w:rsid w:val="6112CD44"/>
    <w:rsid w:val="61140370"/>
    <w:rsid w:val="61148D68"/>
    <w:rsid w:val="61206D33"/>
    <w:rsid w:val="61230126"/>
    <w:rsid w:val="6131E03D"/>
    <w:rsid w:val="6135F0F2"/>
    <w:rsid w:val="613D8BE0"/>
    <w:rsid w:val="613DD388"/>
    <w:rsid w:val="613E6F2F"/>
    <w:rsid w:val="61607C0C"/>
    <w:rsid w:val="61634112"/>
    <w:rsid w:val="6164C50F"/>
    <w:rsid w:val="616A8BD0"/>
    <w:rsid w:val="616E54A1"/>
    <w:rsid w:val="61702198"/>
    <w:rsid w:val="61705456"/>
    <w:rsid w:val="61755834"/>
    <w:rsid w:val="6187D524"/>
    <w:rsid w:val="618FBC24"/>
    <w:rsid w:val="6190BD2D"/>
    <w:rsid w:val="619DFC70"/>
    <w:rsid w:val="61AC4645"/>
    <w:rsid w:val="61AEA059"/>
    <w:rsid w:val="61BAA694"/>
    <w:rsid w:val="61BCA7E0"/>
    <w:rsid w:val="61C1EF76"/>
    <w:rsid w:val="61C54F28"/>
    <w:rsid w:val="61CA4A8C"/>
    <w:rsid w:val="61CA9B45"/>
    <w:rsid w:val="61DEBD03"/>
    <w:rsid w:val="61E13B39"/>
    <w:rsid w:val="61E19D33"/>
    <w:rsid w:val="61E30BD2"/>
    <w:rsid w:val="61E685D8"/>
    <w:rsid w:val="61E6DEDA"/>
    <w:rsid w:val="61ED1D6E"/>
    <w:rsid w:val="620324B2"/>
    <w:rsid w:val="6203D3A1"/>
    <w:rsid w:val="6205E819"/>
    <w:rsid w:val="620909BE"/>
    <w:rsid w:val="621BC642"/>
    <w:rsid w:val="621C4DD2"/>
    <w:rsid w:val="621D8378"/>
    <w:rsid w:val="62200F20"/>
    <w:rsid w:val="622387E8"/>
    <w:rsid w:val="622720FF"/>
    <w:rsid w:val="622BB67F"/>
    <w:rsid w:val="622DAC4C"/>
    <w:rsid w:val="623835F8"/>
    <w:rsid w:val="62488BF3"/>
    <w:rsid w:val="626021DA"/>
    <w:rsid w:val="6260E20C"/>
    <w:rsid w:val="626B5472"/>
    <w:rsid w:val="626CEA01"/>
    <w:rsid w:val="626D0B48"/>
    <w:rsid w:val="626E8D88"/>
    <w:rsid w:val="627A40EF"/>
    <w:rsid w:val="6280B2FF"/>
    <w:rsid w:val="62832880"/>
    <w:rsid w:val="6284FF87"/>
    <w:rsid w:val="6285DB49"/>
    <w:rsid w:val="628756FC"/>
    <w:rsid w:val="62879EB9"/>
    <w:rsid w:val="628843CE"/>
    <w:rsid w:val="62892AA1"/>
    <w:rsid w:val="628BA71D"/>
    <w:rsid w:val="62934E7A"/>
    <w:rsid w:val="629442EA"/>
    <w:rsid w:val="629EBAFF"/>
    <w:rsid w:val="62AC2B4D"/>
    <w:rsid w:val="62B2E83B"/>
    <w:rsid w:val="62CD77B4"/>
    <w:rsid w:val="62D7F62C"/>
    <w:rsid w:val="62DAF2B7"/>
    <w:rsid w:val="62E52F27"/>
    <w:rsid w:val="62E7972A"/>
    <w:rsid w:val="62ECD4F2"/>
    <w:rsid w:val="62EFB46C"/>
    <w:rsid w:val="62F9F5AA"/>
    <w:rsid w:val="62FED93F"/>
    <w:rsid w:val="62FFAD1E"/>
    <w:rsid w:val="630785BF"/>
    <w:rsid w:val="6312111F"/>
    <w:rsid w:val="631F7F9A"/>
    <w:rsid w:val="63282C35"/>
    <w:rsid w:val="632B5A3A"/>
    <w:rsid w:val="6332B3E5"/>
    <w:rsid w:val="6334FF3E"/>
    <w:rsid w:val="633CEB10"/>
    <w:rsid w:val="6342C80C"/>
    <w:rsid w:val="63490374"/>
    <w:rsid w:val="634D9EF6"/>
    <w:rsid w:val="634DC183"/>
    <w:rsid w:val="6352B01E"/>
    <w:rsid w:val="63550CCF"/>
    <w:rsid w:val="6356A9B4"/>
    <w:rsid w:val="63618563"/>
    <w:rsid w:val="636DD726"/>
    <w:rsid w:val="636F24F6"/>
    <w:rsid w:val="637D031B"/>
    <w:rsid w:val="638E43F5"/>
    <w:rsid w:val="63ABDDB1"/>
    <w:rsid w:val="63BA83C1"/>
    <w:rsid w:val="63BAFD95"/>
    <w:rsid w:val="63C742CD"/>
    <w:rsid w:val="63FE8C9F"/>
    <w:rsid w:val="64126925"/>
    <w:rsid w:val="6418CCBF"/>
    <w:rsid w:val="6419B930"/>
    <w:rsid w:val="6420F40C"/>
    <w:rsid w:val="6424B050"/>
    <w:rsid w:val="642B8E5C"/>
    <w:rsid w:val="642D35CD"/>
    <w:rsid w:val="642D69EA"/>
    <w:rsid w:val="642EF4D3"/>
    <w:rsid w:val="6433F4BA"/>
    <w:rsid w:val="6443CE9F"/>
    <w:rsid w:val="6444E092"/>
    <w:rsid w:val="6446F715"/>
    <w:rsid w:val="644AD9A9"/>
    <w:rsid w:val="645070CC"/>
    <w:rsid w:val="64508A40"/>
    <w:rsid w:val="6453A513"/>
    <w:rsid w:val="64586118"/>
    <w:rsid w:val="645968C3"/>
    <w:rsid w:val="645B0F90"/>
    <w:rsid w:val="645F7FF6"/>
    <w:rsid w:val="6462024E"/>
    <w:rsid w:val="646CF8C3"/>
    <w:rsid w:val="646D5F1B"/>
    <w:rsid w:val="6470F01E"/>
    <w:rsid w:val="648AF40A"/>
    <w:rsid w:val="6499F7D0"/>
    <w:rsid w:val="64A13F37"/>
    <w:rsid w:val="64A2DE37"/>
    <w:rsid w:val="64BAF5E9"/>
    <w:rsid w:val="64C516D4"/>
    <w:rsid w:val="64C5BE33"/>
    <w:rsid w:val="64CC4810"/>
    <w:rsid w:val="64E46293"/>
    <w:rsid w:val="64F0E887"/>
    <w:rsid w:val="6500F877"/>
    <w:rsid w:val="65058D33"/>
    <w:rsid w:val="6507198C"/>
    <w:rsid w:val="650AF296"/>
    <w:rsid w:val="65126A70"/>
    <w:rsid w:val="65166381"/>
    <w:rsid w:val="652D60F5"/>
    <w:rsid w:val="653B8501"/>
    <w:rsid w:val="653CD0D0"/>
    <w:rsid w:val="65488B06"/>
    <w:rsid w:val="654A3D82"/>
    <w:rsid w:val="654EA789"/>
    <w:rsid w:val="655018D5"/>
    <w:rsid w:val="65713A21"/>
    <w:rsid w:val="6574D292"/>
    <w:rsid w:val="6576FE38"/>
    <w:rsid w:val="6582C6F5"/>
    <w:rsid w:val="65898D7A"/>
    <w:rsid w:val="6596161C"/>
    <w:rsid w:val="65A9E22A"/>
    <w:rsid w:val="65B4CD7A"/>
    <w:rsid w:val="65B5212A"/>
    <w:rsid w:val="65BBF502"/>
    <w:rsid w:val="65CCEBFC"/>
    <w:rsid w:val="65CE3E8F"/>
    <w:rsid w:val="65D5E710"/>
    <w:rsid w:val="65D80FEE"/>
    <w:rsid w:val="65EB29E5"/>
    <w:rsid w:val="65ED2DB5"/>
    <w:rsid w:val="65EFAE16"/>
    <w:rsid w:val="65FBA2FA"/>
    <w:rsid w:val="65FEE084"/>
    <w:rsid w:val="66006C0A"/>
    <w:rsid w:val="6600FF8B"/>
    <w:rsid w:val="660CD1FA"/>
    <w:rsid w:val="660CE7F7"/>
    <w:rsid w:val="662DAED6"/>
    <w:rsid w:val="6634CB5E"/>
    <w:rsid w:val="663C241A"/>
    <w:rsid w:val="663C7F79"/>
    <w:rsid w:val="66458A56"/>
    <w:rsid w:val="664CBB9C"/>
    <w:rsid w:val="664FAE8C"/>
    <w:rsid w:val="66568255"/>
    <w:rsid w:val="6659D88E"/>
    <w:rsid w:val="665CFC2F"/>
    <w:rsid w:val="665DB452"/>
    <w:rsid w:val="6662C630"/>
    <w:rsid w:val="666607EB"/>
    <w:rsid w:val="666C0C40"/>
    <w:rsid w:val="666DCA5F"/>
    <w:rsid w:val="666E2F1A"/>
    <w:rsid w:val="666F454C"/>
    <w:rsid w:val="6670DB4E"/>
    <w:rsid w:val="667DCEAF"/>
    <w:rsid w:val="6686B9F0"/>
    <w:rsid w:val="6687D61E"/>
    <w:rsid w:val="668F446E"/>
    <w:rsid w:val="6690549A"/>
    <w:rsid w:val="66931E6B"/>
    <w:rsid w:val="66978423"/>
    <w:rsid w:val="66A2226A"/>
    <w:rsid w:val="66C07C35"/>
    <w:rsid w:val="66C2B2BA"/>
    <w:rsid w:val="66DA19EE"/>
    <w:rsid w:val="66DB852E"/>
    <w:rsid w:val="66DE6E10"/>
    <w:rsid w:val="66E04D42"/>
    <w:rsid w:val="66EB4C18"/>
    <w:rsid w:val="66F2738E"/>
    <w:rsid w:val="66F9D65A"/>
    <w:rsid w:val="66FC19FB"/>
    <w:rsid w:val="670A35F3"/>
    <w:rsid w:val="670B3CC7"/>
    <w:rsid w:val="671340D6"/>
    <w:rsid w:val="671A42EB"/>
    <w:rsid w:val="671A4B1E"/>
    <w:rsid w:val="672AF5B5"/>
    <w:rsid w:val="673476BB"/>
    <w:rsid w:val="6734C532"/>
    <w:rsid w:val="673766BF"/>
    <w:rsid w:val="673E48AA"/>
    <w:rsid w:val="6756004E"/>
    <w:rsid w:val="6757478C"/>
    <w:rsid w:val="67658062"/>
    <w:rsid w:val="676A454D"/>
    <w:rsid w:val="67797A26"/>
    <w:rsid w:val="677E5F25"/>
    <w:rsid w:val="6782C226"/>
    <w:rsid w:val="6787F4EF"/>
    <w:rsid w:val="67928FBB"/>
    <w:rsid w:val="6798E721"/>
    <w:rsid w:val="679B9056"/>
    <w:rsid w:val="67A7CCE7"/>
    <w:rsid w:val="67B08869"/>
    <w:rsid w:val="67B1D673"/>
    <w:rsid w:val="67B577D2"/>
    <w:rsid w:val="67B9729C"/>
    <w:rsid w:val="67BB04CF"/>
    <w:rsid w:val="67C85C67"/>
    <w:rsid w:val="67CA6EB8"/>
    <w:rsid w:val="67DEDC71"/>
    <w:rsid w:val="67EE87F9"/>
    <w:rsid w:val="67EEDE99"/>
    <w:rsid w:val="67F06995"/>
    <w:rsid w:val="67FE075C"/>
    <w:rsid w:val="6803763A"/>
    <w:rsid w:val="680771D3"/>
    <w:rsid w:val="68121C60"/>
    <w:rsid w:val="6812CD09"/>
    <w:rsid w:val="681F478F"/>
    <w:rsid w:val="683CE411"/>
    <w:rsid w:val="683D6BCF"/>
    <w:rsid w:val="6852FC87"/>
    <w:rsid w:val="68569E49"/>
    <w:rsid w:val="6858DE0E"/>
    <w:rsid w:val="685F58C8"/>
    <w:rsid w:val="686B0F49"/>
    <w:rsid w:val="68736961"/>
    <w:rsid w:val="6877A660"/>
    <w:rsid w:val="6878B065"/>
    <w:rsid w:val="6878B0BC"/>
    <w:rsid w:val="687A48C6"/>
    <w:rsid w:val="687D7F05"/>
    <w:rsid w:val="687FDCB8"/>
    <w:rsid w:val="68825BDB"/>
    <w:rsid w:val="68845741"/>
    <w:rsid w:val="68919897"/>
    <w:rsid w:val="6894DBE9"/>
    <w:rsid w:val="689DA868"/>
    <w:rsid w:val="68A01982"/>
    <w:rsid w:val="68A22CF6"/>
    <w:rsid w:val="68A25BFF"/>
    <w:rsid w:val="68B9F7C1"/>
    <w:rsid w:val="68BBE420"/>
    <w:rsid w:val="68BDAA4B"/>
    <w:rsid w:val="68CA3217"/>
    <w:rsid w:val="68D16049"/>
    <w:rsid w:val="68D516CA"/>
    <w:rsid w:val="68D61E00"/>
    <w:rsid w:val="68E5B864"/>
    <w:rsid w:val="68E62F2D"/>
    <w:rsid w:val="68E65870"/>
    <w:rsid w:val="68EB06E4"/>
    <w:rsid w:val="68F12451"/>
    <w:rsid w:val="68F91CE6"/>
    <w:rsid w:val="68FFA49A"/>
    <w:rsid w:val="69014D45"/>
    <w:rsid w:val="69028415"/>
    <w:rsid w:val="69082ED6"/>
    <w:rsid w:val="690A365F"/>
    <w:rsid w:val="691A6449"/>
    <w:rsid w:val="691A70CE"/>
    <w:rsid w:val="6920E2B7"/>
    <w:rsid w:val="69219E9A"/>
    <w:rsid w:val="6927C2F8"/>
    <w:rsid w:val="6928D9ED"/>
    <w:rsid w:val="692E402E"/>
    <w:rsid w:val="69353401"/>
    <w:rsid w:val="6938F8A1"/>
    <w:rsid w:val="69421052"/>
    <w:rsid w:val="6944DA74"/>
    <w:rsid w:val="69455BC1"/>
    <w:rsid w:val="694DC3BB"/>
    <w:rsid w:val="69531505"/>
    <w:rsid w:val="695814C1"/>
    <w:rsid w:val="69595EE9"/>
    <w:rsid w:val="6964253D"/>
    <w:rsid w:val="6976F2B5"/>
    <w:rsid w:val="697B1142"/>
    <w:rsid w:val="698EDC5B"/>
    <w:rsid w:val="6991D52D"/>
    <w:rsid w:val="69A30516"/>
    <w:rsid w:val="69A7751C"/>
    <w:rsid w:val="69AC179D"/>
    <w:rsid w:val="69B32537"/>
    <w:rsid w:val="69B5319B"/>
    <w:rsid w:val="69C19327"/>
    <w:rsid w:val="69C62E0F"/>
    <w:rsid w:val="69D14672"/>
    <w:rsid w:val="69D18EAD"/>
    <w:rsid w:val="69D8D911"/>
    <w:rsid w:val="69D9C800"/>
    <w:rsid w:val="69E35E55"/>
    <w:rsid w:val="69EF54F5"/>
    <w:rsid w:val="69F8C81C"/>
    <w:rsid w:val="69FE15E4"/>
    <w:rsid w:val="6A017C0A"/>
    <w:rsid w:val="6A01D562"/>
    <w:rsid w:val="6A0BE6C4"/>
    <w:rsid w:val="6A0D9A2C"/>
    <w:rsid w:val="6A10CC4E"/>
    <w:rsid w:val="6A190831"/>
    <w:rsid w:val="6A22BE4E"/>
    <w:rsid w:val="6A23FDC4"/>
    <w:rsid w:val="6A31DFB8"/>
    <w:rsid w:val="6A32F4BD"/>
    <w:rsid w:val="6A3B517A"/>
    <w:rsid w:val="6A3BD024"/>
    <w:rsid w:val="6A3BF937"/>
    <w:rsid w:val="6A3D17A7"/>
    <w:rsid w:val="6A467120"/>
    <w:rsid w:val="6A578E84"/>
    <w:rsid w:val="6A6B5150"/>
    <w:rsid w:val="6A76D626"/>
    <w:rsid w:val="6A8DEC8A"/>
    <w:rsid w:val="6A9FAC7C"/>
    <w:rsid w:val="6A9FF259"/>
    <w:rsid w:val="6AA1C38D"/>
    <w:rsid w:val="6AA385B2"/>
    <w:rsid w:val="6AA5D9FE"/>
    <w:rsid w:val="6AB34BC1"/>
    <w:rsid w:val="6AB8B4CD"/>
    <w:rsid w:val="6ABB27E5"/>
    <w:rsid w:val="6ABB95A2"/>
    <w:rsid w:val="6AC5353A"/>
    <w:rsid w:val="6AC8ACE0"/>
    <w:rsid w:val="6AD2452C"/>
    <w:rsid w:val="6AD28C2C"/>
    <w:rsid w:val="6AD7D81B"/>
    <w:rsid w:val="6AF9F379"/>
    <w:rsid w:val="6AFB3C3B"/>
    <w:rsid w:val="6AFC68F5"/>
    <w:rsid w:val="6B03BEBE"/>
    <w:rsid w:val="6B052A86"/>
    <w:rsid w:val="6B0ACE1C"/>
    <w:rsid w:val="6B16CE43"/>
    <w:rsid w:val="6B1E2F9C"/>
    <w:rsid w:val="6B2406FF"/>
    <w:rsid w:val="6B299A4D"/>
    <w:rsid w:val="6B2C64D7"/>
    <w:rsid w:val="6B2D1F6B"/>
    <w:rsid w:val="6B30DA8F"/>
    <w:rsid w:val="6B3F762F"/>
    <w:rsid w:val="6B45810B"/>
    <w:rsid w:val="6B4F8185"/>
    <w:rsid w:val="6B51A53B"/>
    <w:rsid w:val="6B710990"/>
    <w:rsid w:val="6B8DCE14"/>
    <w:rsid w:val="6B942C5E"/>
    <w:rsid w:val="6B950A4A"/>
    <w:rsid w:val="6B954FE1"/>
    <w:rsid w:val="6BA37789"/>
    <w:rsid w:val="6BB2A8CD"/>
    <w:rsid w:val="6BB7609C"/>
    <w:rsid w:val="6BB95563"/>
    <w:rsid w:val="6BB9A961"/>
    <w:rsid w:val="6BBB4478"/>
    <w:rsid w:val="6BCA4B07"/>
    <w:rsid w:val="6BCCB0A0"/>
    <w:rsid w:val="6BF3A944"/>
    <w:rsid w:val="6BFB4EAA"/>
    <w:rsid w:val="6BFDD014"/>
    <w:rsid w:val="6BFE7076"/>
    <w:rsid w:val="6C046B89"/>
    <w:rsid w:val="6C09B4EC"/>
    <w:rsid w:val="6C17F092"/>
    <w:rsid w:val="6C1813A6"/>
    <w:rsid w:val="6C1DA9DF"/>
    <w:rsid w:val="6C252D8F"/>
    <w:rsid w:val="6C26C959"/>
    <w:rsid w:val="6C2E852B"/>
    <w:rsid w:val="6C30D0ED"/>
    <w:rsid w:val="6C5367FB"/>
    <w:rsid w:val="6C565786"/>
    <w:rsid w:val="6C5B5BD5"/>
    <w:rsid w:val="6C5E8B61"/>
    <w:rsid w:val="6C635A50"/>
    <w:rsid w:val="6C67AE8D"/>
    <w:rsid w:val="6C6D055C"/>
    <w:rsid w:val="6C709798"/>
    <w:rsid w:val="6C723F92"/>
    <w:rsid w:val="6C72D736"/>
    <w:rsid w:val="6C73BC5C"/>
    <w:rsid w:val="6C76C0DC"/>
    <w:rsid w:val="6C7897F8"/>
    <w:rsid w:val="6C7A3DE0"/>
    <w:rsid w:val="6C7C68C6"/>
    <w:rsid w:val="6C83F690"/>
    <w:rsid w:val="6C84057A"/>
    <w:rsid w:val="6C9FA36A"/>
    <w:rsid w:val="6CAE5F80"/>
    <w:rsid w:val="6CB6B954"/>
    <w:rsid w:val="6CC34DEB"/>
    <w:rsid w:val="6CC48805"/>
    <w:rsid w:val="6CC7FD1B"/>
    <w:rsid w:val="6CCADD55"/>
    <w:rsid w:val="6CCE43A2"/>
    <w:rsid w:val="6CCEB996"/>
    <w:rsid w:val="6CD0D5FF"/>
    <w:rsid w:val="6CD1DFA4"/>
    <w:rsid w:val="6CD6B54E"/>
    <w:rsid w:val="6CD7496F"/>
    <w:rsid w:val="6CD8964E"/>
    <w:rsid w:val="6CE4950C"/>
    <w:rsid w:val="6CF4B92B"/>
    <w:rsid w:val="6CF90D25"/>
    <w:rsid w:val="6CFBBFBD"/>
    <w:rsid w:val="6D014F8B"/>
    <w:rsid w:val="6D01945C"/>
    <w:rsid w:val="6D068B21"/>
    <w:rsid w:val="6D19B52F"/>
    <w:rsid w:val="6D220CC3"/>
    <w:rsid w:val="6D26AEE2"/>
    <w:rsid w:val="6D30AD6E"/>
    <w:rsid w:val="6D3B4B1F"/>
    <w:rsid w:val="6D3C1F6D"/>
    <w:rsid w:val="6D416178"/>
    <w:rsid w:val="6D50D463"/>
    <w:rsid w:val="6D513495"/>
    <w:rsid w:val="6D51C42A"/>
    <w:rsid w:val="6D527E3D"/>
    <w:rsid w:val="6D5649C0"/>
    <w:rsid w:val="6D5BCB12"/>
    <w:rsid w:val="6D6B354C"/>
    <w:rsid w:val="6D7166CF"/>
    <w:rsid w:val="6D78C39E"/>
    <w:rsid w:val="6D798492"/>
    <w:rsid w:val="6D7AA792"/>
    <w:rsid w:val="6D7C6FD7"/>
    <w:rsid w:val="6D834A25"/>
    <w:rsid w:val="6D894CB7"/>
    <w:rsid w:val="6D8A81FB"/>
    <w:rsid w:val="6D9387FD"/>
    <w:rsid w:val="6D95E0BA"/>
    <w:rsid w:val="6D99EA0E"/>
    <w:rsid w:val="6DB62D1B"/>
    <w:rsid w:val="6DB68EE7"/>
    <w:rsid w:val="6DB76270"/>
    <w:rsid w:val="6DBE2742"/>
    <w:rsid w:val="6DC1F316"/>
    <w:rsid w:val="6DC352BE"/>
    <w:rsid w:val="6DCB01E4"/>
    <w:rsid w:val="6DE2AD9B"/>
    <w:rsid w:val="6DFD6A14"/>
    <w:rsid w:val="6DFE14A9"/>
    <w:rsid w:val="6DFE519D"/>
    <w:rsid w:val="6DFEE39E"/>
    <w:rsid w:val="6E09645B"/>
    <w:rsid w:val="6E112777"/>
    <w:rsid w:val="6E14725F"/>
    <w:rsid w:val="6E1AD215"/>
    <w:rsid w:val="6E201859"/>
    <w:rsid w:val="6E213460"/>
    <w:rsid w:val="6E27B51D"/>
    <w:rsid w:val="6E2E3C1D"/>
    <w:rsid w:val="6E2EC491"/>
    <w:rsid w:val="6E349662"/>
    <w:rsid w:val="6E388435"/>
    <w:rsid w:val="6E397918"/>
    <w:rsid w:val="6E3A55DF"/>
    <w:rsid w:val="6E3BC0A0"/>
    <w:rsid w:val="6E3C20D1"/>
    <w:rsid w:val="6E46B7B7"/>
    <w:rsid w:val="6E562DA0"/>
    <w:rsid w:val="6E5850F6"/>
    <w:rsid w:val="6E5FA343"/>
    <w:rsid w:val="6E641BD7"/>
    <w:rsid w:val="6E66105E"/>
    <w:rsid w:val="6E6B92BA"/>
    <w:rsid w:val="6E6D6917"/>
    <w:rsid w:val="6E6FCA8A"/>
    <w:rsid w:val="6E75ED36"/>
    <w:rsid w:val="6E77BA55"/>
    <w:rsid w:val="6E7E2A2D"/>
    <w:rsid w:val="6E830627"/>
    <w:rsid w:val="6E8457AA"/>
    <w:rsid w:val="6E854E97"/>
    <w:rsid w:val="6E9FBDAE"/>
    <w:rsid w:val="6EB00298"/>
    <w:rsid w:val="6EB86A94"/>
    <w:rsid w:val="6EBA8780"/>
    <w:rsid w:val="6EBE923F"/>
    <w:rsid w:val="6EC6EDEF"/>
    <w:rsid w:val="6ED55F6C"/>
    <w:rsid w:val="6EDBE11E"/>
    <w:rsid w:val="6EE91873"/>
    <w:rsid w:val="6EF4B5BC"/>
    <w:rsid w:val="6EFC7BC5"/>
    <w:rsid w:val="6EFFAE92"/>
    <w:rsid w:val="6F103197"/>
    <w:rsid w:val="6F13A499"/>
    <w:rsid w:val="6F219D1C"/>
    <w:rsid w:val="6F21F024"/>
    <w:rsid w:val="6F2C8964"/>
    <w:rsid w:val="6F3724A0"/>
    <w:rsid w:val="6F375158"/>
    <w:rsid w:val="6F3836CC"/>
    <w:rsid w:val="6F41BF36"/>
    <w:rsid w:val="6F4516BC"/>
    <w:rsid w:val="6F4A8CD2"/>
    <w:rsid w:val="6F4DD80A"/>
    <w:rsid w:val="6F5E3C10"/>
    <w:rsid w:val="6F5FE3FD"/>
    <w:rsid w:val="6F6933E7"/>
    <w:rsid w:val="6F7E28C3"/>
    <w:rsid w:val="6F825BBA"/>
    <w:rsid w:val="6F850404"/>
    <w:rsid w:val="6F858524"/>
    <w:rsid w:val="6F89A8F8"/>
    <w:rsid w:val="6F8E7A53"/>
    <w:rsid w:val="6F9DA0C0"/>
    <w:rsid w:val="6F9E4BE5"/>
    <w:rsid w:val="6F9FC803"/>
    <w:rsid w:val="6FA76F0B"/>
    <w:rsid w:val="6FAD4F43"/>
    <w:rsid w:val="6FAF433C"/>
    <w:rsid w:val="6FB2F6E0"/>
    <w:rsid w:val="6FBAF8B3"/>
    <w:rsid w:val="6FBF8DF0"/>
    <w:rsid w:val="6FCA68B1"/>
    <w:rsid w:val="6FCD1BB4"/>
    <w:rsid w:val="6FCE2746"/>
    <w:rsid w:val="6FD0EC92"/>
    <w:rsid w:val="6FD548F0"/>
    <w:rsid w:val="6FD89743"/>
    <w:rsid w:val="6FE1A15E"/>
    <w:rsid w:val="6FEE5144"/>
    <w:rsid w:val="6FEFF3EA"/>
    <w:rsid w:val="6FF44937"/>
    <w:rsid w:val="6FFA8A59"/>
    <w:rsid w:val="6FFE9D43"/>
    <w:rsid w:val="6FFFDC87"/>
    <w:rsid w:val="7004894E"/>
    <w:rsid w:val="7013F41B"/>
    <w:rsid w:val="701665F7"/>
    <w:rsid w:val="701C9713"/>
    <w:rsid w:val="70206B0A"/>
    <w:rsid w:val="702FB3E7"/>
    <w:rsid w:val="70391B78"/>
    <w:rsid w:val="703DAA7E"/>
    <w:rsid w:val="70492BB7"/>
    <w:rsid w:val="704E8819"/>
    <w:rsid w:val="705CED28"/>
    <w:rsid w:val="70681F96"/>
    <w:rsid w:val="707E5210"/>
    <w:rsid w:val="70857C57"/>
    <w:rsid w:val="7087F245"/>
    <w:rsid w:val="708EDA5A"/>
    <w:rsid w:val="709752A6"/>
    <w:rsid w:val="70A4755B"/>
    <w:rsid w:val="70A6DEEB"/>
    <w:rsid w:val="70AD2A74"/>
    <w:rsid w:val="70B82AB3"/>
    <w:rsid w:val="70C93D50"/>
    <w:rsid w:val="70CBCC16"/>
    <w:rsid w:val="70D1E96F"/>
    <w:rsid w:val="70D27D57"/>
    <w:rsid w:val="70D4FACA"/>
    <w:rsid w:val="70D90E53"/>
    <w:rsid w:val="70DDE2C7"/>
    <w:rsid w:val="70EA595E"/>
    <w:rsid w:val="70ECB249"/>
    <w:rsid w:val="70F0A3D7"/>
    <w:rsid w:val="70F683BB"/>
    <w:rsid w:val="70FB98B3"/>
    <w:rsid w:val="70FD6636"/>
    <w:rsid w:val="71011288"/>
    <w:rsid w:val="71067CFC"/>
    <w:rsid w:val="7118AF9D"/>
    <w:rsid w:val="711A5BF7"/>
    <w:rsid w:val="71261257"/>
    <w:rsid w:val="713BBF96"/>
    <w:rsid w:val="71496A76"/>
    <w:rsid w:val="71506B3E"/>
    <w:rsid w:val="7156694B"/>
    <w:rsid w:val="715869DB"/>
    <w:rsid w:val="715E2D1C"/>
    <w:rsid w:val="716093AF"/>
    <w:rsid w:val="71662441"/>
    <w:rsid w:val="71781EA4"/>
    <w:rsid w:val="71822766"/>
    <w:rsid w:val="7182B9BF"/>
    <w:rsid w:val="7188FFAF"/>
    <w:rsid w:val="71944788"/>
    <w:rsid w:val="7195ECE9"/>
    <w:rsid w:val="719EEEAC"/>
    <w:rsid w:val="71A43ACA"/>
    <w:rsid w:val="71A5F8F2"/>
    <w:rsid w:val="71A87752"/>
    <w:rsid w:val="71A95365"/>
    <w:rsid w:val="71A9BB10"/>
    <w:rsid w:val="71AFADAD"/>
    <w:rsid w:val="71B1174D"/>
    <w:rsid w:val="71B1CEF2"/>
    <w:rsid w:val="71BE9B59"/>
    <w:rsid w:val="71CB0A80"/>
    <w:rsid w:val="71CE4181"/>
    <w:rsid w:val="71D9D690"/>
    <w:rsid w:val="71DA8BD9"/>
    <w:rsid w:val="71DBADB9"/>
    <w:rsid w:val="71DEA016"/>
    <w:rsid w:val="71E1ED35"/>
    <w:rsid w:val="71E53A9C"/>
    <w:rsid w:val="71F0ADEF"/>
    <w:rsid w:val="71F85187"/>
    <w:rsid w:val="71FB402D"/>
    <w:rsid w:val="7209672F"/>
    <w:rsid w:val="7209DF32"/>
    <w:rsid w:val="720C90BA"/>
    <w:rsid w:val="72103391"/>
    <w:rsid w:val="7213AC9B"/>
    <w:rsid w:val="721D969B"/>
    <w:rsid w:val="721DD422"/>
    <w:rsid w:val="7234252E"/>
    <w:rsid w:val="723AAA9E"/>
    <w:rsid w:val="725D1F94"/>
    <w:rsid w:val="7267248B"/>
    <w:rsid w:val="72686D9F"/>
    <w:rsid w:val="72704AC5"/>
    <w:rsid w:val="727B02D6"/>
    <w:rsid w:val="727E3A46"/>
    <w:rsid w:val="72802C86"/>
    <w:rsid w:val="728A99D4"/>
    <w:rsid w:val="728CD4C7"/>
    <w:rsid w:val="7290D8F1"/>
    <w:rsid w:val="729730C2"/>
    <w:rsid w:val="729AC875"/>
    <w:rsid w:val="729DE12D"/>
    <w:rsid w:val="72A0DF89"/>
    <w:rsid w:val="72A32DC0"/>
    <w:rsid w:val="72A3F125"/>
    <w:rsid w:val="72B520ED"/>
    <w:rsid w:val="72CCCFAD"/>
    <w:rsid w:val="72CF1B4D"/>
    <w:rsid w:val="72D2680B"/>
    <w:rsid w:val="72E3501B"/>
    <w:rsid w:val="72E4673C"/>
    <w:rsid w:val="72E49606"/>
    <w:rsid w:val="72F05E15"/>
    <w:rsid w:val="730D7A2D"/>
    <w:rsid w:val="731E3CDA"/>
    <w:rsid w:val="7320CF1F"/>
    <w:rsid w:val="732629C7"/>
    <w:rsid w:val="732AC684"/>
    <w:rsid w:val="732BD478"/>
    <w:rsid w:val="733D359C"/>
    <w:rsid w:val="734911F6"/>
    <w:rsid w:val="7357F4CB"/>
    <w:rsid w:val="735EA1B0"/>
    <w:rsid w:val="73652240"/>
    <w:rsid w:val="736CC922"/>
    <w:rsid w:val="736FA9FD"/>
    <w:rsid w:val="737E9589"/>
    <w:rsid w:val="73853AE3"/>
    <w:rsid w:val="73866E36"/>
    <w:rsid w:val="739353CC"/>
    <w:rsid w:val="7395B071"/>
    <w:rsid w:val="7396266C"/>
    <w:rsid w:val="73988AC6"/>
    <w:rsid w:val="7398FF6B"/>
    <w:rsid w:val="73A0CB9C"/>
    <w:rsid w:val="73A19C51"/>
    <w:rsid w:val="73A6BB8E"/>
    <w:rsid w:val="73BBDAC2"/>
    <w:rsid w:val="73BF7EA5"/>
    <w:rsid w:val="73C7E103"/>
    <w:rsid w:val="73CE84EA"/>
    <w:rsid w:val="73CF478A"/>
    <w:rsid w:val="73E7BCBD"/>
    <w:rsid w:val="73EA7D12"/>
    <w:rsid w:val="73F0C341"/>
    <w:rsid w:val="73F38461"/>
    <w:rsid w:val="73FE4319"/>
    <w:rsid w:val="7403E7D6"/>
    <w:rsid w:val="741388C6"/>
    <w:rsid w:val="741B0E9F"/>
    <w:rsid w:val="741F61B2"/>
    <w:rsid w:val="74290F8A"/>
    <w:rsid w:val="7429B8F7"/>
    <w:rsid w:val="7438D275"/>
    <w:rsid w:val="7442769B"/>
    <w:rsid w:val="7443F95D"/>
    <w:rsid w:val="744614BE"/>
    <w:rsid w:val="744CD745"/>
    <w:rsid w:val="74514517"/>
    <w:rsid w:val="7457BB10"/>
    <w:rsid w:val="74582BC6"/>
    <w:rsid w:val="745C050E"/>
    <w:rsid w:val="74795309"/>
    <w:rsid w:val="747B8EE4"/>
    <w:rsid w:val="74800048"/>
    <w:rsid w:val="74809146"/>
    <w:rsid w:val="749D2F0A"/>
    <w:rsid w:val="74A28684"/>
    <w:rsid w:val="74A9DC34"/>
    <w:rsid w:val="74ACEAC5"/>
    <w:rsid w:val="74B0C256"/>
    <w:rsid w:val="74B3B778"/>
    <w:rsid w:val="74C025AD"/>
    <w:rsid w:val="74D2607E"/>
    <w:rsid w:val="74E2AD2D"/>
    <w:rsid w:val="74FFF5FD"/>
    <w:rsid w:val="7507D160"/>
    <w:rsid w:val="750919E0"/>
    <w:rsid w:val="750E88A0"/>
    <w:rsid w:val="75199EC0"/>
    <w:rsid w:val="751BCF86"/>
    <w:rsid w:val="751F82A7"/>
    <w:rsid w:val="75286876"/>
    <w:rsid w:val="752BBDC1"/>
    <w:rsid w:val="752CE0F8"/>
    <w:rsid w:val="75379A14"/>
    <w:rsid w:val="753B3EC8"/>
    <w:rsid w:val="753DAF31"/>
    <w:rsid w:val="7540CE7D"/>
    <w:rsid w:val="75493EBF"/>
    <w:rsid w:val="755CC1A7"/>
    <w:rsid w:val="755FC2EA"/>
    <w:rsid w:val="756A5783"/>
    <w:rsid w:val="75727271"/>
    <w:rsid w:val="757A7135"/>
    <w:rsid w:val="757F5A59"/>
    <w:rsid w:val="7585B7CD"/>
    <w:rsid w:val="75891A9F"/>
    <w:rsid w:val="758C460F"/>
    <w:rsid w:val="7595E85D"/>
    <w:rsid w:val="75A08F66"/>
    <w:rsid w:val="75A54EA7"/>
    <w:rsid w:val="75B50638"/>
    <w:rsid w:val="75BF7945"/>
    <w:rsid w:val="75C02A73"/>
    <w:rsid w:val="75C1376C"/>
    <w:rsid w:val="75C50E4A"/>
    <w:rsid w:val="75C63082"/>
    <w:rsid w:val="75CA1A85"/>
    <w:rsid w:val="75CFE360"/>
    <w:rsid w:val="75D3D1C8"/>
    <w:rsid w:val="75EB5359"/>
    <w:rsid w:val="75EC5481"/>
    <w:rsid w:val="75FC9B02"/>
    <w:rsid w:val="760283F5"/>
    <w:rsid w:val="760423C2"/>
    <w:rsid w:val="7607CCE0"/>
    <w:rsid w:val="7614534D"/>
    <w:rsid w:val="76231F69"/>
    <w:rsid w:val="76292AB1"/>
    <w:rsid w:val="762C3780"/>
    <w:rsid w:val="762D2A2C"/>
    <w:rsid w:val="762EDFE6"/>
    <w:rsid w:val="7639B65D"/>
    <w:rsid w:val="76488969"/>
    <w:rsid w:val="7650DE30"/>
    <w:rsid w:val="7653B29D"/>
    <w:rsid w:val="766A2F73"/>
    <w:rsid w:val="766B7C4F"/>
    <w:rsid w:val="766CE2FF"/>
    <w:rsid w:val="767CF8EE"/>
    <w:rsid w:val="767F0D9E"/>
    <w:rsid w:val="7681A6D4"/>
    <w:rsid w:val="7684348F"/>
    <w:rsid w:val="768CD243"/>
    <w:rsid w:val="76971FF4"/>
    <w:rsid w:val="769B696C"/>
    <w:rsid w:val="769C211C"/>
    <w:rsid w:val="76A088C1"/>
    <w:rsid w:val="76A39AE1"/>
    <w:rsid w:val="76ACD817"/>
    <w:rsid w:val="76ACFC53"/>
    <w:rsid w:val="76B3144B"/>
    <w:rsid w:val="76BE85F8"/>
    <w:rsid w:val="76CE8A7B"/>
    <w:rsid w:val="76D8ACBA"/>
    <w:rsid w:val="76DC2418"/>
    <w:rsid w:val="76DE3994"/>
    <w:rsid w:val="76F171A6"/>
    <w:rsid w:val="76FAE5C7"/>
    <w:rsid w:val="76FB8533"/>
    <w:rsid w:val="76FD273D"/>
    <w:rsid w:val="77296F6A"/>
    <w:rsid w:val="77414E85"/>
    <w:rsid w:val="77493693"/>
    <w:rsid w:val="77535582"/>
    <w:rsid w:val="77578D97"/>
    <w:rsid w:val="775D6B0F"/>
    <w:rsid w:val="776BE4AE"/>
    <w:rsid w:val="776FD9A2"/>
    <w:rsid w:val="777A54B1"/>
    <w:rsid w:val="77871D40"/>
    <w:rsid w:val="7791ABE9"/>
    <w:rsid w:val="7792F3AF"/>
    <w:rsid w:val="7796E9BB"/>
    <w:rsid w:val="77A8E15D"/>
    <w:rsid w:val="77B1002F"/>
    <w:rsid w:val="77B60C80"/>
    <w:rsid w:val="77BFA8F1"/>
    <w:rsid w:val="77C07A0A"/>
    <w:rsid w:val="77CFAAE2"/>
    <w:rsid w:val="77D7EEAB"/>
    <w:rsid w:val="77DDAD4D"/>
    <w:rsid w:val="77E53A32"/>
    <w:rsid w:val="77E7FA60"/>
    <w:rsid w:val="77EBF888"/>
    <w:rsid w:val="77FBBAC4"/>
    <w:rsid w:val="7801FE6D"/>
    <w:rsid w:val="780CF84C"/>
    <w:rsid w:val="781A23BF"/>
    <w:rsid w:val="781D6C03"/>
    <w:rsid w:val="7823DF5C"/>
    <w:rsid w:val="7824E47F"/>
    <w:rsid w:val="782C1A22"/>
    <w:rsid w:val="783348FA"/>
    <w:rsid w:val="783CCEAC"/>
    <w:rsid w:val="783D45F9"/>
    <w:rsid w:val="784B4B4B"/>
    <w:rsid w:val="784E8165"/>
    <w:rsid w:val="78509BA3"/>
    <w:rsid w:val="785155CF"/>
    <w:rsid w:val="785985D7"/>
    <w:rsid w:val="786AB0F9"/>
    <w:rsid w:val="786E0D80"/>
    <w:rsid w:val="7870666B"/>
    <w:rsid w:val="7876E813"/>
    <w:rsid w:val="787BF49A"/>
    <w:rsid w:val="788DA25D"/>
    <w:rsid w:val="789089F0"/>
    <w:rsid w:val="789C7192"/>
    <w:rsid w:val="78A59B6D"/>
    <w:rsid w:val="78A6833E"/>
    <w:rsid w:val="78AC6CE2"/>
    <w:rsid w:val="78B0AD5F"/>
    <w:rsid w:val="78B0EE01"/>
    <w:rsid w:val="78BAC1C3"/>
    <w:rsid w:val="78C04953"/>
    <w:rsid w:val="78D146F6"/>
    <w:rsid w:val="78DDA8F5"/>
    <w:rsid w:val="78DDC054"/>
    <w:rsid w:val="78F86DDF"/>
    <w:rsid w:val="7906EF3B"/>
    <w:rsid w:val="79080B00"/>
    <w:rsid w:val="790DB98E"/>
    <w:rsid w:val="79105536"/>
    <w:rsid w:val="7924EDD1"/>
    <w:rsid w:val="79283511"/>
    <w:rsid w:val="7945368E"/>
    <w:rsid w:val="7966100D"/>
    <w:rsid w:val="79679BF5"/>
    <w:rsid w:val="79749B6F"/>
    <w:rsid w:val="79807B64"/>
    <w:rsid w:val="79809F3F"/>
    <w:rsid w:val="79983B12"/>
    <w:rsid w:val="799AD239"/>
    <w:rsid w:val="79AB9680"/>
    <w:rsid w:val="79AD9EC8"/>
    <w:rsid w:val="79B1D405"/>
    <w:rsid w:val="79B63141"/>
    <w:rsid w:val="79CA1E4D"/>
    <w:rsid w:val="79D1322B"/>
    <w:rsid w:val="79DDD7C9"/>
    <w:rsid w:val="79E94A08"/>
    <w:rsid w:val="79EC3EBF"/>
    <w:rsid w:val="79F17C8B"/>
    <w:rsid w:val="79F510F4"/>
    <w:rsid w:val="79F61EC4"/>
    <w:rsid w:val="79FEFA29"/>
    <w:rsid w:val="7A00755B"/>
    <w:rsid w:val="7A0D2BEB"/>
    <w:rsid w:val="7A252A95"/>
    <w:rsid w:val="7A29B304"/>
    <w:rsid w:val="7A34C20A"/>
    <w:rsid w:val="7A455CC4"/>
    <w:rsid w:val="7A458D2A"/>
    <w:rsid w:val="7A4DE490"/>
    <w:rsid w:val="7A609670"/>
    <w:rsid w:val="7A60FB38"/>
    <w:rsid w:val="7A678542"/>
    <w:rsid w:val="7A6C4D11"/>
    <w:rsid w:val="7A731ABA"/>
    <w:rsid w:val="7A73C9E7"/>
    <w:rsid w:val="7A74DAC1"/>
    <w:rsid w:val="7A82ADC1"/>
    <w:rsid w:val="7AA10011"/>
    <w:rsid w:val="7AA21D61"/>
    <w:rsid w:val="7AA4C45F"/>
    <w:rsid w:val="7AA945CC"/>
    <w:rsid w:val="7AAC5D35"/>
    <w:rsid w:val="7AAF3549"/>
    <w:rsid w:val="7AB4737B"/>
    <w:rsid w:val="7AB7221A"/>
    <w:rsid w:val="7AC158FA"/>
    <w:rsid w:val="7ACB81E4"/>
    <w:rsid w:val="7ACBFB17"/>
    <w:rsid w:val="7ACF5BF3"/>
    <w:rsid w:val="7AD4F473"/>
    <w:rsid w:val="7ADA6A0D"/>
    <w:rsid w:val="7AE3C23F"/>
    <w:rsid w:val="7AE45D78"/>
    <w:rsid w:val="7AE7A13A"/>
    <w:rsid w:val="7AE99FB1"/>
    <w:rsid w:val="7AECC097"/>
    <w:rsid w:val="7AEE07F0"/>
    <w:rsid w:val="7AFAFEDB"/>
    <w:rsid w:val="7AFB4223"/>
    <w:rsid w:val="7B112DD0"/>
    <w:rsid w:val="7B137BCA"/>
    <w:rsid w:val="7B205DB0"/>
    <w:rsid w:val="7B391D00"/>
    <w:rsid w:val="7B3B55AB"/>
    <w:rsid w:val="7B62C8CC"/>
    <w:rsid w:val="7B640D07"/>
    <w:rsid w:val="7B6512F7"/>
    <w:rsid w:val="7B7197D4"/>
    <w:rsid w:val="7B87AB85"/>
    <w:rsid w:val="7B8D2437"/>
    <w:rsid w:val="7B90DC7A"/>
    <w:rsid w:val="7B9B5528"/>
    <w:rsid w:val="7B9FEF49"/>
    <w:rsid w:val="7BA6D713"/>
    <w:rsid w:val="7BA9409D"/>
    <w:rsid w:val="7BAFE106"/>
    <w:rsid w:val="7BB72D28"/>
    <w:rsid w:val="7BBF736E"/>
    <w:rsid w:val="7BC42439"/>
    <w:rsid w:val="7BCA50A2"/>
    <w:rsid w:val="7BD12715"/>
    <w:rsid w:val="7BD529DE"/>
    <w:rsid w:val="7BDF742F"/>
    <w:rsid w:val="7BE03483"/>
    <w:rsid w:val="7BE98F2A"/>
    <w:rsid w:val="7BEF1FC3"/>
    <w:rsid w:val="7BFDA8F1"/>
    <w:rsid w:val="7C054ECA"/>
    <w:rsid w:val="7C05A575"/>
    <w:rsid w:val="7C1E60F5"/>
    <w:rsid w:val="7C202563"/>
    <w:rsid w:val="7C20B0E8"/>
    <w:rsid w:val="7C256F4E"/>
    <w:rsid w:val="7C320431"/>
    <w:rsid w:val="7C35E150"/>
    <w:rsid w:val="7C369AA0"/>
    <w:rsid w:val="7C39811E"/>
    <w:rsid w:val="7C3E173B"/>
    <w:rsid w:val="7C3EBC1D"/>
    <w:rsid w:val="7C42A63A"/>
    <w:rsid w:val="7C48BFB3"/>
    <w:rsid w:val="7C49A04B"/>
    <w:rsid w:val="7C599AD7"/>
    <w:rsid w:val="7C5B2982"/>
    <w:rsid w:val="7C5DF360"/>
    <w:rsid w:val="7C5FE620"/>
    <w:rsid w:val="7C682B5A"/>
    <w:rsid w:val="7C6969A6"/>
    <w:rsid w:val="7C7388F3"/>
    <w:rsid w:val="7C75738D"/>
    <w:rsid w:val="7C7C898A"/>
    <w:rsid w:val="7C8B2299"/>
    <w:rsid w:val="7C909F88"/>
    <w:rsid w:val="7C97DC09"/>
    <w:rsid w:val="7CB07B6C"/>
    <w:rsid w:val="7CB1F579"/>
    <w:rsid w:val="7CB3B73A"/>
    <w:rsid w:val="7CB4B19D"/>
    <w:rsid w:val="7CB967EA"/>
    <w:rsid w:val="7CC4EB97"/>
    <w:rsid w:val="7CC81C52"/>
    <w:rsid w:val="7CD316C1"/>
    <w:rsid w:val="7CD76EB1"/>
    <w:rsid w:val="7CDC1C04"/>
    <w:rsid w:val="7CE1B4DD"/>
    <w:rsid w:val="7CE2D308"/>
    <w:rsid w:val="7CEA6E26"/>
    <w:rsid w:val="7CF22840"/>
    <w:rsid w:val="7CF843A2"/>
    <w:rsid w:val="7CFDB42C"/>
    <w:rsid w:val="7D027904"/>
    <w:rsid w:val="7D08B704"/>
    <w:rsid w:val="7D0A35BF"/>
    <w:rsid w:val="7D1E3E60"/>
    <w:rsid w:val="7D21C56C"/>
    <w:rsid w:val="7D21DE91"/>
    <w:rsid w:val="7D309924"/>
    <w:rsid w:val="7D31F3AE"/>
    <w:rsid w:val="7D320669"/>
    <w:rsid w:val="7D327FE1"/>
    <w:rsid w:val="7D429DF3"/>
    <w:rsid w:val="7D5A573B"/>
    <w:rsid w:val="7D5B9793"/>
    <w:rsid w:val="7D62AFB0"/>
    <w:rsid w:val="7D6435DD"/>
    <w:rsid w:val="7D651B7A"/>
    <w:rsid w:val="7D6C247A"/>
    <w:rsid w:val="7D818FEA"/>
    <w:rsid w:val="7D859A15"/>
    <w:rsid w:val="7D8D9FD2"/>
    <w:rsid w:val="7D94F39B"/>
    <w:rsid w:val="7D95564C"/>
    <w:rsid w:val="7DADB46B"/>
    <w:rsid w:val="7DADFAA3"/>
    <w:rsid w:val="7DAF2182"/>
    <w:rsid w:val="7DB0294C"/>
    <w:rsid w:val="7DBA007E"/>
    <w:rsid w:val="7DCFDAE0"/>
    <w:rsid w:val="7DD04577"/>
    <w:rsid w:val="7DDB100B"/>
    <w:rsid w:val="7DF42050"/>
    <w:rsid w:val="7DF57970"/>
    <w:rsid w:val="7DF6C348"/>
    <w:rsid w:val="7DF6F73B"/>
    <w:rsid w:val="7DFA123B"/>
    <w:rsid w:val="7DFAA3B0"/>
    <w:rsid w:val="7DFE2DF2"/>
    <w:rsid w:val="7E012F87"/>
    <w:rsid w:val="7E0438A0"/>
    <w:rsid w:val="7E070694"/>
    <w:rsid w:val="7E130FBC"/>
    <w:rsid w:val="7E186F12"/>
    <w:rsid w:val="7E259561"/>
    <w:rsid w:val="7E322976"/>
    <w:rsid w:val="7E346DD5"/>
    <w:rsid w:val="7E3866B1"/>
    <w:rsid w:val="7E414686"/>
    <w:rsid w:val="7E45B4DA"/>
    <w:rsid w:val="7E534E09"/>
    <w:rsid w:val="7E560455"/>
    <w:rsid w:val="7E57B040"/>
    <w:rsid w:val="7E62D34D"/>
    <w:rsid w:val="7E62DB57"/>
    <w:rsid w:val="7E646D61"/>
    <w:rsid w:val="7E686D2C"/>
    <w:rsid w:val="7E6E9205"/>
    <w:rsid w:val="7E7055DC"/>
    <w:rsid w:val="7E7A9C2E"/>
    <w:rsid w:val="7E7C4AF6"/>
    <w:rsid w:val="7E88EEF1"/>
    <w:rsid w:val="7E944277"/>
    <w:rsid w:val="7E98F632"/>
    <w:rsid w:val="7E9F6507"/>
    <w:rsid w:val="7EA169C7"/>
    <w:rsid w:val="7EAC33CF"/>
    <w:rsid w:val="7EB1E5E6"/>
    <w:rsid w:val="7EC5C2E7"/>
    <w:rsid w:val="7EC6D6FD"/>
    <w:rsid w:val="7EC9377E"/>
    <w:rsid w:val="7ED122DB"/>
    <w:rsid w:val="7EE4B08E"/>
    <w:rsid w:val="7EE96511"/>
    <w:rsid w:val="7EF0F58F"/>
    <w:rsid w:val="7EFD43EF"/>
    <w:rsid w:val="7EFFA517"/>
    <w:rsid w:val="7F07B033"/>
    <w:rsid w:val="7F0CA5B3"/>
    <w:rsid w:val="7F0CB347"/>
    <w:rsid w:val="7F10582F"/>
    <w:rsid w:val="7F13362B"/>
    <w:rsid w:val="7F1A92DC"/>
    <w:rsid w:val="7F29BB9B"/>
    <w:rsid w:val="7F35E607"/>
    <w:rsid w:val="7F43F793"/>
    <w:rsid w:val="7F4519DC"/>
    <w:rsid w:val="7F4B2D7F"/>
    <w:rsid w:val="7F5C821C"/>
    <w:rsid w:val="7F5D3F2F"/>
    <w:rsid w:val="7F606419"/>
    <w:rsid w:val="7F99DF80"/>
    <w:rsid w:val="7F9B80F0"/>
    <w:rsid w:val="7F9FCC72"/>
    <w:rsid w:val="7FA7FCE9"/>
    <w:rsid w:val="7FB1BF72"/>
    <w:rsid w:val="7FB1D6ED"/>
    <w:rsid w:val="7FBB8689"/>
    <w:rsid w:val="7FBFD3AF"/>
    <w:rsid w:val="7FC2A2B0"/>
    <w:rsid w:val="7FCAA214"/>
    <w:rsid w:val="7FD6B1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D9F0"/>
  <w15:chartTrackingRefBased/>
  <w15:docId w15:val="{866FC98B-D978-43E1-9486-4E6C78A2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F6"/>
    <w:rPr>
      <w:rFonts w:ascii="Arial" w:hAnsi="Arial"/>
      <w:sz w:val="24"/>
    </w:rPr>
  </w:style>
  <w:style w:type="paragraph" w:styleId="Heading1">
    <w:name w:val="heading 1"/>
    <w:basedOn w:val="Normal"/>
    <w:next w:val="Normal"/>
    <w:link w:val="Heading1Char"/>
    <w:autoRedefine/>
    <w:uiPriority w:val="9"/>
    <w:qFormat/>
    <w:rsid w:val="00B254AC"/>
    <w:pPr>
      <w:keepNext/>
      <w:keepLines/>
      <w:spacing w:before="360" w:after="80"/>
      <w:outlineLvl w:val="0"/>
    </w:pPr>
    <w:rPr>
      <w:rFonts w:eastAsiaTheme="majorEastAsia" w:cstheme="majorBidi"/>
      <w:sz w:val="40"/>
      <w:szCs w:val="48"/>
    </w:rPr>
  </w:style>
  <w:style w:type="paragraph" w:styleId="Heading2">
    <w:name w:val="heading 2"/>
    <w:basedOn w:val="Normal"/>
    <w:next w:val="Normal"/>
    <w:link w:val="Heading2Char"/>
    <w:uiPriority w:val="9"/>
    <w:unhideWhenUsed/>
    <w:qFormat/>
    <w:rsid w:val="00F012F6"/>
    <w:pPr>
      <w:keepNext/>
      <w:keepLines/>
      <w:spacing w:before="160" w:after="80"/>
      <w:outlineLvl w:val="1"/>
    </w:pPr>
    <w:rPr>
      <w:rFonts w:eastAsiaTheme="majorEastAsia" w:cstheme="majorBidi"/>
      <w:sz w:val="32"/>
      <w:szCs w:val="32"/>
    </w:rPr>
  </w:style>
  <w:style w:type="paragraph" w:styleId="Heading3">
    <w:name w:val="heading 3"/>
    <w:basedOn w:val="Normal"/>
    <w:next w:val="Normal"/>
    <w:link w:val="Heading3Char"/>
    <w:autoRedefine/>
    <w:uiPriority w:val="9"/>
    <w:unhideWhenUsed/>
    <w:qFormat/>
    <w:rsid w:val="00202FDD"/>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7BA6D713"/>
    <w:pPr>
      <w:keepNext/>
      <w:keepLines/>
      <w:spacing w:before="80" w:after="40"/>
      <w:outlineLvl w:val="3"/>
    </w:pPr>
    <w:rPr>
      <w:rFonts w:asciiTheme="minorHAnsi" w:eastAsiaTheme="majorEastAsia" w:hAnsiTheme="minorHAnsi" w:cstheme="majorBidi"/>
      <w:i/>
      <w:iCs/>
    </w:rPr>
  </w:style>
  <w:style w:type="paragraph" w:styleId="Heading5">
    <w:name w:val="heading 5"/>
    <w:basedOn w:val="Normal"/>
    <w:next w:val="Normal"/>
    <w:link w:val="Heading5Char"/>
    <w:uiPriority w:val="9"/>
    <w:unhideWhenUsed/>
    <w:qFormat/>
    <w:rsid w:val="00F012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012F6"/>
    <w:pPr>
      <w:keepNext/>
      <w:keepLines/>
      <w:spacing w:before="40" w:after="0"/>
      <w:outlineLvl w:val="5"/>
    </w:pPr>
    <w:rPr>
      <w:rFonts w:eastAsiaTheme="majorEastAsia" w:cstheme="majorBidi"/>
      <w:i/>
      <w:iCs/>
      <w:color w:val="595959" w:themeColor="text1" w:themeTint="A6"/>
    </w:rPr>
  </w:style>
  <w:style w:type="paragraph" w:styleId="Heading7">
    <w:name w:val="heading 7"/>
    <w:aliases w:val="Italics,FS notes"/>
    <w:basedOn w:val="Normal"/>
    <w:next w:val="Normal"/>
    <w:link w:val="Heading7Char"/>
    <w:uiPriority w:val="9"/>
    <w:unhideWhenUsed/>
    <w:qFormat/>
    <w:rsid w:val="0088558E"/>
    <w:pPr>
      <w:keepNext/>
      <w:keepLines/>
      <w:numPr>
        <w:numId w:val="84"/>
      </w:numPr>
      <w:spacing w:after="120"/>
      <w:ind w:left="357" w:hanging="357"/>
      <w:outlineLvl w:val="6"/>
    </w:pPr>
    <w:rPr>
      <w:rFonts w:eastAsiaTheme="majorEastAsia" w:cstheme="majorBidi"/>
      <w:b/>
      <w:sz w:val="20"/>
    </w:rPr>
  </w:style>
  <w:style w:type="paragraph" w:styleId="Heading8">
    <w:name w:val="heading 8"/>
    <w:aliases w:val="FS notes i"/>
    <w:basedOn w:val="Normal"/>
    <w:next w:val="Normal"/>
    <w:link w:val="Heading8Char"/>
    <w:uiPriority w:val="9"/>
    <w:unhideWhenUsed/>
    <w:qFormat/>
    <w:rsid w:val="0088558E"/>
    <w:pPr>
      <w:keepNext/>
      <w:keepLines/>
      <w:tabs>
        <w:tab w:val="left" w:pos="357"/>
      </w:tabs>
      <w:spacing w:after="0"/>
      <w:ind w:left="357" w:hanging="357"/>
      <w:outlineLvl w:val="7"/>
    </w:pPr>
    <w:rPr>
      <w:rFonts w:eastAsiaTheme="majorEastAsia" w:cstheme="majorBidi"/>
      <w:b/>
      <w:i/>
      <w:iCs/>
      <w:color w:val="272727" w:themeColor="text1" w:themeTint="D8"/>
      <w:sz w:val="20"/>
    </w:rPr>
  </w:style>
  <w:style w:type="paragraph" w:styleId="Heading9">
    <w:name w:val="heading 9"/>
    <w:basedOn w:val="Normal"/>
    <w:next w:val="Normal"/>
    <w:link w:val="Heading9Char"/>
    <w:uiPriority w:val="9"/>
    <w:unhideWhenUsed/>
    <w:qFormat/>
    <w:rsid w:val="004234B9"/>
    <w:pPr>
      <w:keepNext/>
      <w:keepLines/>
      <w:spacing w:after="0"/>
      <w:outlineLvl w:val="8"/>
    </w:pPr>
    <w:rPr>
      <w:rFonts w:eastAsiaTheme="majorEastAsia" w:cstheme="majorBidi"/>
      <w:i/>
      <w:color w:val="272727" w:themeColor="text1" w:themeTint="D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4AC"/>
    <w:rPr>
      <w:rFonts w:ascii="Arial" w:eastAsiaTheme="majorEastAsia" w:hAnsi="Arial" w:cstheme="majorBidi"/>
      <w:sz w:val="40"/>
      <w:szCs w:val="48"/>
    </w:rPr>
  </w:style>
  <w:style w:type="character" w:customStyle="1" w:styleId="Heading2Char">
    <w:name w:val="Heading 2 Char"/>
    <w:basedOn w:val="DefaultParagraphFont"/>
    <w:link w:val="Heading2"/>
    <w:uiPriority w:val="9"/>
    <w:rsid w:val="00F012F6"/>
    <w:rPr>
      <w:rFonts w:ascii="Arial" w:eastAsiaTheme="majorEastAsia" w:hAnsi="Arial" w:cstheme="majorBidi"/>
      <w:sz w:val="32"/>
      <w:szCs w:val="32"/>
    </w:rPr>
  </w:style>
  <w:style w:type="character" w:customStyle="1" w:styleId="Heading3Char">
    <w:name w:val="Heading 3 Char"/>
    <w:basedOn w:val="DefaultParagraphFont"/>
    <w:link w:val="Heading3"/>
    <w:uiPriority w:val="9"/>
    <w:rsid w:val="00F012F6"/>
    <w:rPr>
      <w:rFonts w:ascii="Arial" w:eastAsiaTheme="majorEastAsia" w:hAnsi="Arial" w:cstheme="majorBidi"/>
      <w:b/>
      <w:sz w:val="24"/>
      <w:szCs w:val="28"/>
    </w:rPr>
  </w:style>
  <w:style w:type="character" w:customStyle="1" w:styleId="Heading4Char">
    <w:name w:val="Heading 4 Char"/>
    <w:basedOn w:val="DefaultParagraphFont"/>
    <w:link w:val="Heading4"/>
    <w:uiPriority w:val="9"/>
    <w:rsid w:val="00D11907"/>
    <w:rPr>
      <w:rFonts w:eastAsiaTheme="majorEastAsia" w:cstheme="majorBidi"/>
      <w:i/>
      <w:iCs/>
      <w:sz w:val="24"/>
    </w:rPr>
  </w:style>
  <w:style w:type="character" w:customStyle="1" w:styleId="Heading5Char">
    <w:name w:val="Heading 5 Char"/>
    <w:basedOn w:val="DefaultParagraphFont"/>
    <w:link w:val="Heading5"/>
    <w:uiPriority w:val="9"/>
    <w:rsid w:val="00F012F6"/>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012F6"/>
    <w:rPr>
      <w:rFonts w:eastAsiaTheme="majorEastAsia" w:cstheme="majorBidi"/>
      <w:i/>
      <w:iCs/>
      <w:color w:val="595959" w:themeColor="text1" w:themeTint="A6"/>
    </w:rPr>
  </w:style>
  <w:style w:type="character" w:customStyle="1" w:styleId="Heading7Char">
    <w:name w:val="Heading 7 Char"/>
    <w:aliases w:val="Italics Char,FS notes Char"/>
    <w:basedOn w:val="DefaultParagraphFont"/>
    <w:link w:val="Heading7"/>
    <w:uiPriority w:val="9"/>
    <w:rsid w:val="00F3608E"/>
    <w:rPr>
      <w:rFonts w:ascii="Arial" w:eastAsiaTheme="majorEastAsia" w:hAnsi="Arial" w:cstheme="majorBidi"/>
      <w:b/>
      <w:sz w:val="20"/>
    </w:rPr>
  </w:style>
  <w:style w:type="character" w:customStyle="1" w:styleId="Heading8Char">
    <w:name w:val="Heading 8 Char"/>
    <w:aliases w:val="FS notes i Char"/>
    <w:basedOn w:val="DefaultParagraphFont"/>
    <w:link w:val="Heading8"/>
    <w:uiPriority w:val="9"/>
    <w:rsid w:val="00F012F6"/>
    <w:rPr>
      <w:rFonts w:ascii="Arial" w:eastAsiaTheme="majorEastAsia" w:hAnsi="Arial" w:cstheme="majorBidi"/>
      <w:b/>
      <w:i/>
      <w:iCs/>
      <w:color w:val="272727" w:themeColor="text1" w:themeTint="D8"/>
      <w:sz w:val="20"/>
    </w:rPr>
  </w:style>
  <w:style w:type="character" w:customStyle="1" w:styleId="Heading9Char">
    <w:name w:val="Heading 9 Char"/>
    <w:basedOn w:val="DefaultParagraphFont"/>
    <w:link w:val="Heading9"/>
    <w:uiPriority w:val="9"/>
    <w:rsid w:val="00F012F6"/>
    <w:rPr>
      <w:rFonts w:ascii="Arial" w:eastAsiaTheme="majorEastAsia" w:hAnsi="Arial" w:cstheme="majorBidi"/>
      <w:i/>
      <w:color w:val="272727" w:themeColor="text1" w:themeTint="D8"/>
      <w:sz w:val="20"/>
    </w:rPr>
  </w:style>
  <w:style w:type="paragraph" w:styleId="Title">
    <w:name w:val="Title"/>
    <w:basedOn w:val="Normal"/>
    <w:next w:val="Normal"/>
    <w:link w:val="TitleChar"/>
    <w:uiPriority w:val="10"/>
    <w:qFormat/>
    <w:rsid w:val="00AA66BA"/>
    <w:pPr>
      <w:spacing w:after="8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F012F6"/>
    <w:rPr>
      <w:rFonts w:ascii="Arial" w:eastAsiaTheme="majorEastAsia" w:hAnsi="Arial" w:cstheme="majorBidi"/>
      <w:spacing w:val="-10"/>
      <w:kern w:val="28"/>
      <w:sz w:val="72"/>
      <w:szCs w:val="56"/>
    </w:rPr>
  </w:style>
  <w:style w:type="paragraph" w:styleId="Subtitle">
    <w:name w:val="Subtitle"/>
    <w:basedOn w:val="Normal"/>
    <w:next w:val="Normal"/>
    <w:link w:val="SubtitleChar"/>
    <w:uiPriority w:val="11"/>
    <w:qFormat/>
    <w:rsid w:val="00F012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2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2F6"/>
    <w:pPr>
      <w:spacing w:before="160"/>
      <w:jc w:val="center"/>
    </w:pPr>
    <w:rPr>
      <w:i/>
      <w:iCs/>
      <w:color w:val="404040" w:themeColor="text1" w:themeTint="BF"/>
    </w:rPr>
  </w:style>
  <w:style w:type="character" w:customStyle="1" w:styleId="QuoteChar">
    <w:name w:val="Quote Char"/>
    <w:basedOn w:val="DefaultParagraphFont"/>
    <w:link w:val="Quote"/>
    <w:uiPriority w:val="29"/>
    <w:rsid w:val="00F012F6"/>
    <w:rPr>
      <w:i/>
      <w:iCs/>
      <w:color w:val="404040" w:themeColor="text1" w:themeTint="BF"/>
    </w:rPr>
  </w:style>
  <w:style w:type="paragraph" w:styleId="ListParagraph">
    <w:name w:val="List Paragraph"/>
    <w:basedOn w:val="Normal"/>
    <w:uiPriority w:val="34"/>
    <w:qFormat/>
    <w:rsid w:val="00F012F6"/>
    <w:pPr>
      <w:ind w:left="720"/>
      <w:contextualSpacing/>
    </w:pPr>
  </w:style>
  <w:style w:type="character" w:styleId="IntenseEmphasis">
    <w:name w:val="Intense Emphasis"/>
    <w:basedOn w:val="DefaultParagraphFont"/>
    <w:uiPriority w:val="21"/>
    <w:qFormat/>
    <w:rsid w:val="00F012F6"/>
    <w:rPr>
      <w:i/>
      <w:iCs/>
      <w:color w:val="0F4761" w:themeColor="accent1" w:themeShade="BF"/>
    </w:rPr>
  </w:style>
  <w:style w:type="paragraph" w:styleId="IntenseQuote">
    <w:name w:val="Intense Quote"/>
    <w:basedOn w:val="Normal"/>
    <w:next w:val="Normal"/>
    <w:link w:val="IntenseQuoteChar"/>
    <w:uiPriority w:val="30"/>
    <w:qFormat/>
    <w:rsid w:val="00F012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2F6"/>
    <w:rPr>
      <w:i/>
      <w:iCs/>
      <w:color w:val="0F4761" w:themeColor="accent1" w:themeShade="BF"/>
    </w:rPr>
  </w:style>
  <w:style w:type="character" w:styleId="IntenseReference">
    <w:name w:val="Intense Reference"/>
    <w:basedOn w:val="DefaultParagraphFont"/>
    <w:uiPriority w:val="32"/>
    <w:qFormat/>
    <w:rsid w:val="00F012F6"/>
    <w:rPr>
      <w:b/>
      <w:bCs/>
      <w:smallCaps/>
      <w:color w:val="0F4761" w:themeColor="accent1" w:themeShade="BF"/>
      <w:spacing w:val="5"/>
    </w:rPr>
  </w:style>
  <w:style w:type="paragraph" w:styleId="Header">
    <w:name w:val="header"/>
    <w:basedOn w:val="Normal"/>
    <w:link w:val="HeaderChar"/>
    <w:uiPriority w:val="99"/>
    <w:unhideWhenUsed/>
    <w:rsid w:val="00F01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2F6"/>
    <w:rPr>
      <w:rFonts w:ascii="Arial" w:hAnsi="Arial"/>
      <w:sz w:val="24"/>
    </w:rPr>
  </w:style>
  <w:style w:type="paragraph" w:styleId="Footer">
    <w:name w:val="footer"/>
    <w:basedOn w:val="Normal"/>
    <w:link w:val="FooterChar"/>
    <w:uiPriority w:val="99"/>
    <w:unhideWhenUsed/>
    <w:rsid w:val="00F01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2F6"/>
    <w:rPr>
      <w:rFonts w:ascii="Arial" w:hAnsi="Arial"/>
      <w:sz w:val="24"/>
    </w:rPr>
  </w:style>
  <w:style w:type="paragraph" w:customStyle="1" w:styleId="Bullet">
    <w:name w:val="Bullet"/>
    <w:basedOn w:val="Normal"/>
    <w:link w:val="BulletChar"/>
    <w:qFormat/>
    <w:rsid w:val="004F64D5"/>
    <w:pPr>
      <w:numPr>
        <w:numId w:val="2"/>
      </w:numPr>
      <w:spacing w:before="60" w:after="60"/>
      <w:ind w:left="714" w:hanging="357"/>
    </w:pPr>
  </w:style>
  <w:style w:type="character" w:customStyle="1" w:styleId="BulletChar">
    <w:name w:val="Bullet Char"/>
    <w:basedOn w:val="DefaultParagraphFont"/>
    <w:link w:val="Bullet"/>
    <w:rsid w:val="00F012F6"/>
    <w:rPr>
      <w:rFonts w:ascii="Arial" w:hAnsi="Arial"/>
      <w:sz w:val="24"/>
    </w:rPr>
  </w:style>
  <w:style w:type="paragraph" w:styleId="BodyText">
    <w:name w:val="Body Text"/>
    <w:basedOn w:val="Normal"/>
    <w:link w:val="BodyTextChar"/>
    <w:rsid w:val="00F641FC"/>
    <w:pPr>
      <w:widowControl w:val="0"/>
      <w:autoSpaceDE w:val="0"/>
      <w:autoSpaceDN w:val="0"/>
      <w:spacing w:after="0"/>
    </w:pPr>
    <w:rPr>
      <w:rFonts w:eastAsia="Arial" w:cs="Arial"/>
      <w:sz w:val="20"/>
      <w:szCs w:val="20"/>
      <w:lang w:val="en-US"/>
    </w:rPr>
  </w:style>
  <w:style w:type="character" w:customStyle="1" w:styleId="BodyTextChar">
    <w:name w:val="Body Text Char"/>
    <w:basedOn w:val="DefaultParagraphFont"/>
    <w:link w:val="BodyText"/>
    <w:rsid w:val="00FE35C6"/>
    <w:rPr>
      <w:rFonts w:ascii="Arial" w:eastAsia="Arial" w:hAnsi="Arial" w:cs="Arial"/>
      <w:sz w:val="20"/>
      <w:szCs w:val="20"/>
      <w:lang w:val="en-US"/>
    </w:rPr>
  </w:style>
  <w:style w:type="table" w:styleId="TableGrid">
    <w:name w:val="Table Grid"/>
    <w:basedOn w:val="TableNormal"/>
    <w:uiPriority w:val="39"/>
    <w:rsid w:val="00731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631"/>
    <w:pPr>
      <w:autoSpaceDE w:val="0"/>
      <w:autoSpaceDN w:val="0"/>
      <w:adjustRightInd w:val="0"/>
      <w:spacing w:after="0" w:line="240" w:lineRule="auto"/>
    </w:pPr>
    <w:rPr>
      <w:rFonts w:ascii="PP Mori SemiBold" w:hAnsi="PP Mori SemiBold" w:cs="PP Mori SemiBold"/>
      <w:color w:val="000000"/>
      <w:sz w:val="24"/>
      <w:szCs w:val="24"/>
    </w:rPr>
  </w:style>
  <w:style w:type="character" w:styleId="CommentReference">
    <w:name w:val="annotation reference"/>
    <w:basedOn w:val="DefaultParagraphFont"/>
    <w:uiPriority w:val="99"/>
    <w:semiHidden/>
    <w:unhideWhenUsed/>
    <w:rsid w:val="006C3664"/>
    <w:rPr>
      <w:sz w:val="16"/>
      <w:szCs w:val="16"/>
    </w:rPr>
  </w:style>
  <w:style w:type="paragraph" w:styleId="CommentText">
    <w:name w:val="annotation text"/>
    <w:basedOn w:val="Normal"/>
    <w:link w:val="CommentTextChar"/>
    <w:uiPriority w:val="99"/>
    <w:unhideWhenUsed/>
    <w:rsid w:val="006C3664"/>
    <w:pPr>
      <w:spacing w:line="240" w:lineRule="auto"/>
    </w:pPr>
    <w:rPr>
      <w:sz w:val="20"/>
      <w:szCs w:val="20"/>
    </w:rPr>
  </w:style>
  <w:style w:type="character" w:customStyle="1" w:styleId="CommentTextChar">
    <w:name w:val="Comment Text Char"/>
    <w:basedOn w:val="DefaultParagraphFont"/>
    <w:link w:val="CommentText"/>
    <w:uiPriority w:val="99"/>
    <w:rsid w:val="006C36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664"/>
    <w:rPr>
      <w:b/>
      <w:bCs/>
    </w:rPr>
  </w:style>
  <w:style w:type="character" w:customStyle="1" w:styleId="CommentSubjectChar">
    <w:name w:val="Comment Subject Char"/>
    <w:basedOn w:val="CommentTextChar"/>
    <w:link w:val="CommentSubject"/>
    <w:uiPriority w:val="99"/>
    <w:semiHidden/>
    <w:rsid w:val="006C3664"/>
    <w:rPr>
      <w:rFonts w:ascii="Arial" w:hAnsi="Arial"/>
      <w:b/>
      <w:bCs/>
      <w:sz w:val="20"/>
      <w:szCs w:val="20"/>
    </w:rPr>
  </w:style>
  <w:style w:type="character" w:styleId="Mention">
    <w:name w:val="Mention"/>
    <w:basedOn w:val="DefaultParagraphFont"/>
    <w:uiPriority w:val="99"/>
    <w:unhideWhenUsed/>
    <w:rsid w:val="006C3664"/>
    <w:rPr>
      <w:color w:val="2B579A"/>
      <w:shd w:val="clear" w:color="auto" w:fill="E1DFDD"/>
    </w:rPr>
  </w:style>
  <w:style w:type="paragraph" w:customStyle="1" w:styleId="paragraph">
    <w:name w:val="paragraph"/>
    <w:basedOn w:val="Normal"/>
    <w:rsid w:val="00F2577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F25770"/>
  </w:style>
  <w:style w:type="character" w:customStyle="1" w:styleId="eop">
    <w:name w:val="eop"/>
    <w:basedOn w:val="DefaultParagraphFont"/>
    <w:rsid w:val="00F25770"/>
  </w:style>
  <w:style w:type="character" w:customStyle="1" w:styleId="scxw108557424">
    <w:name w:val="scxw108557424"/>
    <w:basedOn w:val="DefaultParagraphFont"/>
    <w:rsid w:val="00F25770"/>
  </w:style>
  <w:style w:type="character" w:customStyle="1" w:styleId="scxw181023232">
    <w:name w:val="scxw181023232"/>
    <w:basedOn w:val="DefaultParagraphFont"/>
    <w:rsid w:val="0059588B"/>
  </w:style>
  <w:style w:type="character" w:customStyle="1" w:styleId="scxw25053291">
    <w:name w:val="scxw25053291"/>
    <w:basedOn w:val="DefaultParagraphFont"/>
    <w:rsid w:val="00D40BFE"/>
  </w:style>
  <w:style w:type="character" w:customStyle="1" w:styleId="Reference">
    <w:name w:val="Reference"/>
    <w:uiPriority w:val="29"/>
    <w:qFormat/>
    <w:rsid w:val="00EE2AC9"/>
    <w:rPr>
      <w:b w:val="0"/>
      <w:i w:val="0"/>
      <w:color w:val="C00000"/>
      <w:sz w:val="16"/>
    </w:rPr>
  </w:style>
  <w:style w:type="character" w:customStyle="1" w:styleId="Guidance">
    <w:name w:val="Guidance"/>
    <w:uiPriority w:val="31"/>
    <w:qFormat/>
    <w:rsid w:val="00EE2AC9"/>
    <w:rPr>
      <w:color w:val="156082" w:themeColor="accent1"/>
    </w:rPr>
  </w:style>
  <w:style w:type="paragraph" w:styleId="ListBullet">
    <w:name w:val="List Bullet"/>
    <w:basedOn w:val="BodyText"/>
    <w:link w:val="ListBulletChar"/>
    <w:uiPriority w:val="24"/>
    <w:rsid w:val="00A64832"/>
    <w:pPr>
      <w:keepLines/>
      <w:numPr>
        <w:numId w:val="6"/>
      </w:numPr>
      <w:spacing w:line="264" w:lineRule="auto"/>
    </w:pPr>
    <w:rPr>
      <w:szCs w:val="18"/>
    </w:rPr>
  </w:style>
  <w:style w:type="paragraph" w:styleId="ListBullet2">
    <w:name w:val="List Bullet 2"/>
    <w:basedOn w:val="ListContinue2"/>
    <w:uiPriority w:val="24"/>
    <w:unhideWhenUsed/>
    <w:rsid w:val="00EE2AC9"/>
    <w:pPr>
      <w:keepLines/>
      <w:tabs>
        <w:tab w:val="num" w:pos="360"/>
        <w:tab w:val="num" w:pos="568"/>
      </w:tabs>
      <w:spacing w:before="40" w:after="40" w:line="264" w:lineRule="auto"/>
      <w:contextualSpacing w:val="0"/>
    </w:pPr>
    <w:rPr>
      <w:kern w:val="0"/>
      <w:sz w:val="18"/>
      <w:szCs w:val="18"/>
      <w14:ligatures w14:val="none"/>
    </w:rPr>
  </w:style>
  <w:style w:type="paragraph" w:styleId="ListBullet3">
    <w:name w:val="List Bullet 3"/>
    <w:basedOn w:val="ListContinue3"/>
    <w:uiPriority w:val="24"/>
    <w:unhideWhenUsed/>
    <w:rsid w:val="00EE2AC9"/>
    <w:pPr>
      <w:keepLines/>
      <w:tabs>
        <w:tab w:val="num" w:pos="360"/>
        <w:tab w:val="num" w:pos="852"/>
      </w:tabs>
      <w:spacing w:before="40" w:line="264" w:lineRule="auto"/>
    </w:pPr>
    <w:rPr>
      <w:kern w:val="0"/>
      <w:sz w:val="18"/>
      <w:szCs w:val="18"/>
      <w14:ligatures w14:val="none"/>
    </w:rPr>
  </w:style>
  <w:style w:type="numbering" w:customStyle="1" w:styleId="ListBulletStyle">
    <w:name w:val="List Bullet Style"/>
    <w:uiPriority w:val="99"/>
    <w:rsid w:val="00EE2AC9"/>
    <w:pPr>
      <w:numPr>
        <w:numId w:val="7"/>
      </w:numPr>
    </w:pPr>
  </w:style>
  <w:style w:type="character" w:customStyle="1" w:styleId="ListBulletChar">
    <w:name w:val="List Bullet Char"/>
    <w:basedOn w:val="DefaultParagraphFont"/>
    <w:link w:val="ListBullet"/>
    <w:uiPriority w:val="24"/>
    <w:rsid w:val="00EE2AC9"/>
    <w:rPr>
      <w:rFonts w:ascii="Arial" w:eastAsia="Arial" w:hAnsi="Arial" w:cs="Arial"/>
      <w:sz w:val="20"/>
      <w:szCs w:val="18"/>
      <w:lang w:val="en-US"/>
    </w:rPr>
  </w:style>
  <w:style w:type="paragraph" w:styleId="ListContinue">
    <w:name w:val="List Continue"/>
    <w:basedOn w:val="Normal"/>
    <w:uiPriority w:val="99"/>
    <w:semiHidden/>
    <w:unhideWhenUsed/>
    <w:rsid w:val="00EE2AC9"/>
    <w:pPr>
      <w:spacing w:after="120"/>
      <w:ind w:left="283"/>
      <w:contextualSpacing/>
    </w:pPr>
    <w:rPr>
      <w:rFonts w:eastAsia="Arial" w:cs="Arial"/>
      <w:kern w:val="2"/>
      <w:sz w:val="20"/>
      <w:szCs w:val="20"/>
      <w14:ligatures w14:val="standardContextual"/>
    </w:rPr>
  </w:style>
  <w:style w:type="paragraph" w:styleId="ListContinue2">
    <w:name w:val="List Continue 2"/>
    <w:basedOn w:val="Normal"/>
    <w:uiPriority w:val="99"/>
    <w:semiHidden/>
    <w:unhideWhenUsed/>
    <w:rsid w:val="00EE2AC9"/>
    <w:pPr>
      <w:spacing w:after="120"/>
      <w:ind w:left="566"/>
      <w:contextualSpacing/>
    </w:pPr>
    <w:rPr>
      <w:rFonts w:eastAsia="Arial" w:cs="Arial"/>
      <w:kern w:val="2"/>
      <w:sz w:val="20"/>
      <w:szCs w:val="20"/>
      <w14:ligatures w14:val="standardContextual"/>
    </w:rPr>
  </w:style>
  <w:style w:type="paragraph" w:styleId="ListContinue3">
    <w:name w:val="List Continue 3"/>
    <w:basedOn w:val="Normal"/>
    <w:uiPriority w:val="99"/>
    <w:semiHidden/>
    <w:unhideWhenUsed/>
    <w:rsid w:val="00EE2AC9"/>
    <w:pPr>
      <w:spacing w:after="120"/>
      <w:ind w:left="849"/>
      <w:contextualSpacing/>
    </w:pPr>
    <w:rPr>
      <w:rFonts w:eastAsia="Arial" w:cs="Arial"/>
      <w:kern w:val="2"/>
      <w:sz w:val="20"/>
      <w:szCs w:val="20"/>
      <w14:ligatures w14:val="standardContextual"/>
    </w:rPr>
  </w:style>
  <w:style w:type="character" w:styleId="Hyperlink">
    <w:name w:val="Hyperlink"/>
    <w:basedOn w:val="DefaultParagraphFont"/>
    <w:uiPriority w:val="99"/>
    <w:unhideWhenUsed/>
    <w:rsid w:val="00EE2AC9"/>
    <w:rPr>
      <w:color w:val="0000C8"/>
      <w:u w:val="single"/>
    </w:rPr>
  </w:style>
  <w:style w:type="paragraph" w:customStyle="1" w:styleId="Note">
    <w:name w:val="Note"/>
    <w:basedOn w:val="Normal"/>
    <w:link w:val="NoteChar"/>
    <w:uiPriority w:val="52"/>
    <w:qFormat/>
    <w:rsid w:val="00EE2AC9"/>
    <w:pPr>
      <w:keepLines/>
      <w:tabs>
        <w:tab w:val="left" w:pos="397"/>
      </w:tabs>
      <w:spacing w:before="60" w:after="0" w:line="240" w:lineRule="auto"/>
      <w:ind w:left="397" w:hanging="397"/>
      <w:contextualSpacing/>
    </w:pPr>
    <w:rPr>
      <w:rFonts w:eastAsia="Arial" w:cs="Arial"/>
      <w:i/>
      <w:sz w:val="14"/>
      <w:szCs w:val="18"/>
    </w:rPr>
  </w:style>
  <w:style w:type="character" w:customStyle="1" w:styleId="NoteChar">
    <w:name w:val="Note Char"/>
    <w:basedOn w:val="DefaultParagraphFont"/>
    <w:link w:val="Note"/>
    <w:uiPriority w:val="52"/>
    <w:rsid w:val="00EE2AC9"/>
    <w:rPr>
      <w:rFonts w:ascii="Arial" w:eastAsia="Arial" w:hAnsi="Arial" w:cs="Arial"/>
      <w:i/>
      <w:sz w:val="14"/>
      <w:szCs w:val="18"/>
    </w:rPr>
  </w:style>
  <w:style w:type="table" w:customStyle="1" w:styleId="DTFTable">
    <w:name w:val="DTF Table"/>
    <w:basedOn w:val="TableNormal"/>
    <w:uiPriority w:val="99"/>
    <w:rsid w:val="00EE2AC9"/>
    <w:pPr>
      <w:spacing w:before="20" w:after="20" w:line="240" w:lineRule="auto"/>
      <w:jc w:val="right"/>
    </w:pPr>
    <w:rPr>
      <w:sz w:val="16"/>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Heading3numbered">
    <w:name w:val="Heading 3 numbered"/>
    <w:basedOn w:val="Heading3"/>
    <w:next w:val="NormalIndent"/>
    <w:uiPriority w:val="14"/>
    <w:qFormat/>
    <w:rsid w:val="00EE2AC9"/>
    <w:pPr>
      <w:numPr>
        <w:ilvl w:val="4"/>
        <w:numId w:val="4"/>
      </w:numPr>
      <w:spacing w:before="240" w:after="120" w:line="276" w:lineRule="auto"/>
    </w:pPr>
    <w:rPr>
      <w:bCs/>
      <w:i/>
      <w:color w:val="156082" w:themeColor="accent1"/>
      <w:spacing w:val="2"/>
      <w:sz w:val="22"/>
      <w:szCs w:val="22"/>
      <w:lang w:eastAsia="en-AU"/>
    </w:rPr>
  </w:style>
  <w:style w:type="paragraph" w:customStyle="1" w:styleId="Heading4numbered">
    <w:name w:val="Heading 4 numbered"/>
    <w:basedOn w:val="Heading4"/>
    <w:next w:val="NormalIndent"/>
    <w:uiPriority w:val="4"/>
    <w:semiHidden/>
    <w:qFormat/>
    <w:rsid w:val="7BA6D713"/>
    <w:pPr>
      <w:numPr>
        <w:ilvl w:val="5"/>
        <w:numId w:val="4"/>
      </w:numPr>
      <w:spacing w:before="200" w:after="0" w:line="276" w:lineRule="auto"/>
      <w:ind w:left="3960"/>
    </w:pPr>
    <w:rPr>
      <w:b/>
      <w:bCs/>
      <w:i w:val="0"/>
      <w:iCs w:val="0"/>
      <w:color w:val="53565A"/>
      <w:sz w:val="18"/>
      <w:szCs w:val="18"/>
      <w:lang w:eastAsia="en-AU"/>
    </w:rPr>
  </w:style>
  <w:style w:type="paragraph" w:customStyle="1" w:styleId="Listnumindent2">
    <w:name w:val="List num indent 2"/>
    <w:basedOn w:val="Normal"/>
    <w:uiPriority w:val="7"/>
    <w:qFormat/>
    <w:rsid w:val="00EE2AC9"/>
    <w:pPr>
      <w:numPr>
        <w:ilvl w:val="7"/>
        <w:numId w:val="4"/>
      </w:numPr>
      <w:spacing w:before="100" w:after="100" w:line="276" w:lineRule="auto"/>
      <w:contextualSpacing/>
    </w:pPr>
    <w:rPr>
      <w:rFonts w:eastAsiaTheme="minorEastAsia" w:cs="Arial"/>
      <w:spacing w:val="2"/>
      <w:sz w:val="18"/>
      <w:szCs w:val="20"/>
      <w:lang w:eastAsia="en-AU"/>
    </w:rPr>
  </w:style>
  <w:style w:type="paragraph" w:customStyle="1" w:styleId="Listnumindent">
    <w:name w:val="List num indent"/>
    <w:basedOn w:val="Normal"/>
    <w:uiPriority w:val="7"/>
    <w:qFormat/>
    <w:rsid w:val="00EE2AC9"/>
    <w:pPr>
      <w:numPr>
        <w:ilvl w:val="6"/>
        <w:numId w:val="4"/>
      </w:numPr>
      <w:spacing w:before="100" w:after="100" w:line="276" w:lineRule="auto"/>
    </w:pPr>
    <w:rPr>
      <w:rFonts w:eastAsiaTheme="minorEastAsia" w:cs="Arial"/>
      <w:spacing w:val="2"/>
      <w:sz w:val="18"/>
      <w:szCs w:val="20"/>
      <w:lang w:eastAsia="en-AU"/>
    </w:rPr>
  </w:style>
  <w:style w:type="paragraph" w:customStyle="1" w:styleId="Listnum">
    <w:name w:val="List num"/>
    <w:basedOn w:val="Normal"/>
    <w:uiPriority w:val="1"/>
    <w:qFormat/>
    <w:rsid w:val="00EE2AC9"/>
    <w:pPr>
      <w:numPr>
        <w:numId w:val="4"/>
      </w:numPr>
      <w:spacing w:before="160" w:after="100" w:line="276" w:lineRule="auto"/>
      <w:contextualSpacing/>
    </w:pPr>
    <w:rPr>
      <w:rFonts w:eastAsiaTheme="minorEastAsia" w:cs="Arial"/>
      <w:spacing w:val="2"/>
      <w:sz w:val="18"/>
      <w:szCs w:val="20"/>
      <w:lang w:eastAsia="en-AU"/>
    </w:rPr>
  </w:style>
  <w:style w:type="paragraph" w:customStyle="1" w:styleId="Listnum2">
    <w:name w:val="List num 2"/>
    <w:basedOn w:val="Normal"/>
    <w:uiPriority w:val="1"/>
    <w:qFormat/>
    <w:rsid w:val="00EE2AC9"/>
    <w:pPr>
      <w:numPr>
        <w:ilvl w:val="1"/>
        <w:numId w:val="4"/>
      </w:numPr>
      <w:spacing w:before="160" w:after="100" w:line="276" w:lineRule="auto"/>
      <w:contextualSpacing/>
    </w:pPr>
    <w:rPr>
      <w:rFonts w:eastAsiaTheme="minorEastAsia" w:cs="Arial"/>
      <w:spacing w:val="2"/>
      <w:sz w:val="18"/>
      <w:szCs w:val="20"/>
      <w:lang w:eastAsia="en-AU"/>
    </w:rPr>
  </w:style>
  <w:style w:type="paragraph" w:customStyle="1" w:styleId="Normalgrey">
    <w:name w:val="Normal grey"/>
    <w:basedOn w:val="Normal"/>
    <w:uiPriority w:val="2"/>
    <w:qFormat/>
    <w:rsid w:val="00EE2AC9"/>
    <w:pPr>
      <w:spacing w:before="160" w:after="100" w:line="264" w:lineRule="auto"/>
    </w:pPr>
    <w:rPr>
      <w:rFonts w:eastAsia="Arial" w:cs="Arial"/>
      <w:color w:val="4D4D4D"/>
      <w:spacing w:val="2"/>
      <w:sz w:val="18"/>
      <w:szCs w:val="18"/>
    </w:rPr>
  </w:style>
  <w:style w:type="paragraph" w:customStyle="1" w:styleId="Listnumgrey">
    <w:name w:val="List num grey"/>
    <w:uiPriority w:val="3"/>
    <w:qFormat/>
    <w:rsid w:val="00EE2AC9"/>
    <w:pPr>
      <w:numPr>
        <w:ilvl w:val="2"/>
        <w:numId w:val="4"/>
      </w:numPr>
      <w:spacing w:after="200" w:line="264" w:lineRule="auto"/>
    </w:pPr>
    <w:rPr>
      <w:color w:val="4D4D4D"/>
      <w:spacing w:val="2"/>
      <w:sz w:val="18"/>
      <w:szCs w:val="21"/>
    </w:rPr>
  </w:style>
  <w:style w:type="paragraph" w:customStyle="1" w:styleId="Listnum2grey">
    <w:name w:val="List num 2 grey"/>
    <w:uiPriority w:val="4"/>
    <w:qFormat/>
    <w:rsid w:val="00EE2AC9"/>
    <w:pPr>
      <w:numPr>
        <w:ilvl w:val="3"/>
        <w:numId w:val="4"/>
      </w:numPr>
      <w:spacing w:after="200" w:line="264" w:lineRule="auto"/>
    </w:pPr>
    <w:rPr>
      <w:color w:val="4D4D4D"/>
      <w:spacing w:val="2"/>
      <w:sz w:val="18"/>
      <w:szCs w:val="21"/>
    </w:rPr>
  </w:style>
  <w:style w:type="paragraph" w:styleId="NormalIndent">
    <w:name w:val="Normal Indent"/>
    <w:basedOn w:val="Normal"/>
    <w:uiPriority w:val="99"/>
    <w:semiHidden/>
    <w:unhideWhenUsed/>
    <w:rsid w:val="00EE2AC9"/>
    <w:pPr>
      <w:spacing w:after="0"/>
      <w:ind w:left="720"/>
    </w:pPr>
    <w:rPr>
      <w:rFonts w:eastAsia="Arial" w:cs="Arial"/>
      <w:kern w:val="2"/>
      <w:sz w:val="20"/>
      <w:szCs w:val="20"/>
      <w14:ligatures w14:val="standardContextual"/>
    </w:rPr>
  </w:style>
  <w:style w:type="paragraph" w:styleId="TOCHeading">
    <w:name w:val="TOC Heading"/>
    <w:basedOn w:val="Heading1"/>
    <w:next w:val="Normal"/>
    <w:uiPriority w:val="39"/>
    <w:unhideWhenUsed/>
    <w:qFormat/>
    <w:rsid w:val="00EE2AC9"/>
    <w:pPr>
      <w:spacing w:before="240" w:after="120"/>
      <w:outlineLvl w:val="9"/>
    </w:pPr>
    <w:rPr>
      <w:b/>
      <w:color w:val="002060"/>
      <w:szCs w:val="32"/>
      <w:lang w:val="en-US"/>
    </w:rPr>
  </w:style>
  <w:style w:type="paragraph" w:styleId="TOC3">
    <w:name w:val="toc 3"/>
    <w:basedOn w:val="Normal"/>
    <w:next w:val="Normal"/>
    <w:autoRedefine/>
    <w:uiPriority w:val="39"/>
    <w:unhideWhenUsed/>
    <w:rsid w:val="00EE2AC9"/>
    <w:pPr>
      <w:spacing w:after="100"/>
      <w:ind w:left="440"/>
    </w:pPr>
    <w:rPr>
      <w:rFonts w:eastAsia="Arial" w:cs="Arial"/>
      <w:kern w:val="2"/>
      <w:sz w:val="20"/>
      <w:szCs w:val="20"/>
      <w14:ligatures w14:val="standardContextual"/>
    </w:rPr>
  </w:style>
  <w:style w:type="paragraph" w:styleId="TOC1">
    <w:name w:val="toc 1"/>
    <w:basedOn w:val="Normal"/>
    <w:next w:val="Normal"/>
    <w:link w:val="TOC1Char"/>
    <w:autoRedefine/>
    <w:uiPriority w:val="39"/>
    <w:unhideWhenUsed/>
    <w:rsid w:val="00EE2AC9"/>
    <w:pPr>
      <w:spacing w:after="100"/>
    </w:pPr>
    <w:rPr>
      <w:rFonts w:eastAsia="Arial" w:cs="Arial"/>
      <w:kern w:val="2"/>
      <w:sz w:val="20"/>
      <w:szCs w:val="20"/>
      <w14:ligatures w14:val="standardContextual"/>
    </w:rPr>
  </w:style>
  <w:style w:type="paragraph" w:customStyle="1" w:styleId="ListAlpha">
    <w:name w:val="List Alpha"/>
    <w:basedOn w:val="Normal"/>
    <w:qFormat/>
    <w:rsid w:val="00EE2AC9"/>
    <w:pPr>
      <w:spacing w:before="120" w:after="120" w:line="240" w:lineRule="atLeast"/>
      <w:ind w:left="340" w:hanging="340"/>
    </w:pPr>
    <w:rPr>
      <w:rFonts w:eastAsia="Times New Roman" w:cs="Arial"/>
      <w:color w:val="000000" w:themeColor="text1"/>
      <w:sz w:val="20"/>
      <w:szCs w:val="20"/>
      <w:lang w:eastAsia="en-AU"/>
    </w:rPr>
  </w:style>
  <w:style w:type="paragraph" w:customStyle="1" w:styleId="ListAlpha2">
    <w:name w:val="List Alpha 2"/>
    <w:basedOn w:val="Normal"/>
    <w:qFormat/>
    <w:rsid w:val="00EE2AC9"/>
    <w:pPr>
      <w:tabs>
        <w:tab w:val="num" w:pos="1008"/>
      </w:tabs>
      <w:spacing w:before="120" w:after="120" w:line="240" w:lineRule="atLeast"/>
      <w:ind w:left="709" w:hanging="369"/>
    </w:pPr>
    <w:rPr>
      <w:rFonts w:eastAsia="Times New Roman" w:cs="Arial"/>
      <w:color w:val="000000" w:themeColor="text1"/>
      <w:sz w:val="20"/>
      <w:szCs w:val="20"/>
      <w:lang w:eastAsia="en-AU"/>
    </w:rPr>
  </w:style>
  <w:style w:type="paragraph" w:customStyle="1" w:styleId="ListAlpha3">
    <w:name w:val="List Alpha 3"/>
    <w:basedOn w:val="Normal"/>
    <w:qFormat/>
    <w:rsid w:val="00EE2AC9"/>
    <w:pPr>
      <w:tabs>
        <w:tab w:val="num" w:pos="504"/>
      </w:tabs>
      <w:spacing w:before="120" w:after="120" w:line="240" w:lineRule="atLeast"/>
      <w:ind w:left="1049" w:hanging="340"/>
    </w:pPr>
    <w:rPr>
      <w:rFonts w:eastAsia="Times New Roman" w:cs="Arial"/>
      <w:color w:val="000000" w:themeColor="text1"/>
      <w:sz w:val="20"/>
      <w:szCs w:val="20"/>
      <w:lang w:eastAsia="en-AU"/>
    </w:rPr>
  </w:style>
  <w:style w:type="table" w:customStyle="1" w:styleId="Standardheadercolumn">
    <w:name w:val="Standard (header column)"/>
    <w:basedOn w:val="TableNormal"/>
    <w:uiPriority w:val="99"/>
    <w:rsid w:val="00EE2AC9"/>
    <w:pPr>
      <w:spacing w:after="0" w:line="240" w:lineRule="auto"/>
    </w:pPr>
    <w:rPr>
      <w:rFonts w:eastAsia="Times New Roman" w:cs="Arial"/>
      <w:color w:val="000000" w:themeColor="text1"/>
      <w:sz w:val="20"/>
      <w:szCs w:val="20"/>
      <w:lang w:eastAsia="en-AU"/>
    </w:rPr>
    <w:tblPr/>
  </w:style>
  <w:style w:type="paragraph" w:styleId="FootnoteText">
    <w:name w:val="footnote text"/>
    <w:basedOn w:val="Normal"/>
    <w:link w:val="FootnoteTextChar"/>
    <w:semiHidden/>
    <w:unhideWhenUsed/>
    <w:rsid w:val="00EE2AC9"/>
    <w:pPr>
      <w:spacing w:after="0" w:line="240" w:lineRule="auto"/>
    </w:pPr>
    <w:rPr>
      <w:rFonts w:eastAsia="Times New Roman" w:cs="Arial"/>
      <w:color w:val="000000" w:themeColor="text1"/>
      <w:sz w:val="20"/>
      <w:szCs w:val="20"/>
      <w:lang w:eastAsia="en-AU"/>
    </w:rPr>
  </w:style>
  <w:style w:type="character" w:customStyle="1" w:styleId="FootnoteTextChar">
    <w:name w:val="Footnote Text Char"/>
    <w:basedOn w:val="DefaultParagraphFont"/>
    <w:link w:val="FootnoteText"/>
    <w:semiHidden/>
    <w:rsid w:val="00EE2AC9"/>
    <w:rPr>
      <w:rFonts w:ascii="Arial" w:eastAsia="Times New Roman" w:hAnsi="Arial" w:cs="Arial"/>
      <w:color w:val="000000" w:themeColor="text1"/>
      <w:sz w:val="20"/>
      <w:szCs w:val="20"/>
      <w:lang w:eastAsia="en-AU"/>
    </w:rPr>
  </w:style>
  <w:style w:type="character" w:styleId="FootnoteReference">
    <w:name w:val="footnote reference"/>
    <w:basedOn w:val="DefaultParagraphFont"/>
    <w:semiHidden/>
    <w:unhideWhenUsed/>
    <w:rsid w:val="00EE2AC9"/>
    <w:rPr>
      <w:vertAlign w:val="superscript"/>
    </w:rPr>
  </w:style>
  <w:style w:type="paragraph" w:styleId="Caption">
    <w:name w:val="caption"/>
    <w:basedOn w:val="Normal"/>
    <w:next w:val="Normal"/>
    <w:uiPriority w:val="34"/>
    <w:qFormat/>
    <w:rsid w:val="00EE2AC9"/>
    <w:pPr>
      <w:keepNext/>
      <w:keepLines/>
      <w:tabs>
        <w:tab w:val="left" w:pos="964"/>
        <w:tab w:val="right" w:pos="9639"/>
        <w:tab w:val="right" w:pos="14742"/>
      </w:tabs>
      <w:spacing w:before="160" w:after="80" w:line="240" w:lineRule="auto"/>
    </w:pPr>
    <w:rPr>
      <w:rFonts w:eastAsia="Arial" w:cs="Arial"/>
      <w:b/>
      <w:iCs/>
      <w:color w:val="404040" w:themeColor="text1" w:themeTint="BF"/>
      <w:sz w:val="18"/>
      <w:szCs w:val="18"/>
    </w:rPr>
  </w:style>
  <w:style w:type="table" w:customStyle="1" w:styleId="DTFFinancialTable">
    <w:name w:val="DTF Financial Table"/>
    <w:basedOn w:val="TableNormal"/>
    <w:uiPriority w:val="99"/>
    <w:rsid w:val="00EE2AC9"/>
    <w:pPr>
      <w:spacing w:before="20" w:after="20" w:line="240" w:lineRule="auto"/>
      <w:jc w:val="right"/>
    </w:pPr>
    <w:rPr>
      <w:sz w:val="17"/>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numbering" w:customStyle="1" w:styleId="NumberedHeadings">
    <w:name w:val="Numbered Headings"/>
    <w:uiPriority w:val="99"/>
    <w:rsid w:val="00EE2AC9"/>
    <w:pPr>
      <w:numPr>
        <w:numId w:val="6"/>
      </w:numPr>
    </w:pPr>
  </w:style>
  <w:style w:type="paragraph" w:customStyle="1" w:styleId="Heading1numbered">
    <w:name w:val="Heading 1 numbered"/>
    <w:basedOn w:val="Heading1"/>
    <w:next w:val="Normal"/>
    <w:uiPriority w:val="14"/>
    <w:rsid w:val="00EE2AC9"/>
    <w:pPr>
      <w:pBdr>
        <w:bottom w:val="single" w:sz="12" w:space="1" w:color="auto"/>
      </w:pBdr>
      <w:spacing w:before="160" w:after="320" w:line="264" w:lineRule="auto"/>
      <w:ind w:left="397" w:hanging="397"/>
    </w:pPr>
    <w:rPr>
      <w:caps/>
      <w:szCs w:val="32"/>
    </w:rPr>
  </w:style>
  <w:style w:type="paragraph" w:customStyle="1" w:styleId="Heading2numbered">
    <w:name w:val="Heading 2 numbered"/>
    <w:basedOn w:val="Heading2"/>
    <w:next w:val="Normal"/>
    <w:uiPriority w:val="14"/>
    <w:rsid w:val="00EE2AC9"/>
    <w:pPr>
      <w:spacing w:before="200" w:after="120" w:line="264" w:lineRule="auto"/>
      <w:ind w:left="624" w:hanging="624"/>
    </w:pPr>
    <w:rPr>
      <w:b/>
      <w:i/>
      <w:sz w:val="24"/>
      <w:szCs w:val="26"/>
    </w:rPr>
  </w:style>
  <w:style w:type="paragraph" w:customStyle="1" w:styleId="TableParagraph">
    <w:name w:val="Table Paragraph"/>
    <w:basedOn w:val="Normal"/>
    <w:uiPriority w:val="1"/>
    <w:qFormat/>
    <w:rsid w:val="00EE2AC9"/>
    <w:pPr>
      <w:widowControl w:val="0"/>
      <w:autoSpaceDE w:val="0"/>
      <w:autoSpaceDN w:val="0"/>
      <w:spacing w:before="39" w:after="0" w:line="240" w:lineRule="auto"/>
    </w:pPr>
    <w:rPr>
      <w:rFonts w:eastAsia="Arial" w:cs="Arial"/>
      <w:sz w:val="20"/>
      <w:szCs w:val="20"/>
      <w:lang w:val="en-US"/>
    </w:rPr>
  </w:style>
  <w:style w:type="paragraph" w:styleId="Revision">
    <w:name w:val="Revision"/>
    <w:hidden/>
    <w:uiPriority w:val="99"/>
    <w:semiHidden/>
    <w:rsid w:val="00EE2AC9"/>
    <w:pPr>
      <w:spacing w:after="0" w:line="240" w:lineRule="auto"/>
    </w:pPr>
    <w:rPr>
      <w:kern w:val="2"/>
      <w14:ligatures w14:val="standardContextual"/>
    </w:rPr>
  </w:style>
  <w:style w:type="paragraph" w:styleId="NormalWeb">
    <w:name w:val="Normal (Web)"/>
    <w:basedOn w:val="Normal"/>
    <w:uiPriority w:val="99"/>
    <w:unhideWhenUsed/>
    <w:rsid w:val="00EE2AC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0">
    <w:name w:val="pf0"/>
    <w:basedOn w:val="Normal"/>
    <w:rsid w:val="00EE2AC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TOC2">
    <w:name w:val="toc 2"/>
    <w:basedOn w:val="Normal"/>
    <w:next w:val="Normal"/>
    <w:autoRedefine/>
    <w:uiPriority w:val="39"/>
    <w:unhideWhenUsed/>
    <w:rsid w:val="00EE2AC9"/>
    <w:pPr>
      <w:spacing w:after="100"/>
      <w:ind w:left="220"/>
    </w:pPr>
    <w:rPr>
      <w:rFonts w:eastAsia="Arial" w:cs="Arial"/>
      <w:kern w:val="2"/>
      <w:sz w:val="20"/>
      <w:szCs w:val="20"/>
      <w14:ligatures w14:val="standardContextual"/>
    </w:rPr>
  </w:style>
  <w:style w:type="paragraph" w:styleId="List">
    <w:name w:val="List"/>
    <w:basedOn w:val="Normal"/>
    <w:uiPriority w:val="99"/>
    <w:unhideWhenUsed/>
    <w:rsid w:val="00EE2AC9"/>
    <w:pPr>
      <w:spacing w:after="0"/>
      <w:ind w:left="851" w:hanging="284"/>
      <w:contextualSpacing/>
    </w:pPr>
    <w:rPr>
      <w:rFonts w:eastAsia="Arial" w:cs="Arial"/>
      <w:kern w:val="2"/>
      <w:sz w:val="20"/>
      <w:szCs w:val="20"/>
      <w14:ligatures w14:val="standardContextual"/>
    </w:rPr>
  </w:style>
  <w:style w:type="paragraph" w:styleId="ListNumber">
    <w:name w:val="List Number"/>
    <w:basedOn w:val="Normal"/>
    <w:uiPriority w:val="99"/>
    <w:unhideWhenUsed/>
    <w:rsid w:val="00EE2AC9"/>
    <w:pPr>
      <w:numPr>
        <w:numId w:val="7"/>
      </w:numPr>
      <w:tabs>
        <w:tab w:val="num" w:pos="720"/>
      </w:tabs>
      <w:spacing w:after="0"/>
      <w:ind w:left="1440"/>
      <w:contextualSpacing/>
    </w:pPr>
    <w:rPr>
      <w:rFonts w:eastAsia="Arial" w:cs="Arial"/>
      <w:kern w:val="2"/>
      <w:sz w:val="20"/>
      <w:szCs w:val="20"/>
      <w14:ligatures w14:val="standardContextual"/>
    </w:rPr>
  </w:style>
  <w:style w:type="paragraph" w:customStyle="1" w:styleId="TableText">
    <w:name w:val="Table Text"/>
    <w:basedOn w:val="Normal"/>
    <w:qFormat/>
    <w:rsid w:val="00EE2AC9"/>
    <w:pPr>
      <w:spacing w:after="0" w:line="240" w:lineRule="auto"/>
    </w:pPr>
    <w:rPr>
      <w:rFonts w:eastAsia="Arial" w:cs="Arial"/>
      <w:bCs/>
      <w:sz w:val="18"/>
      <w:szCs w:val="20"/>
    </w:rPr>
  </w:style>
  <w:style w:type="character" w:styleId="UnresolvedMention">
    <w:name w:val="Unresolved Mention"/>
    <w:basedOn w:val="DefaultParagraphFont"/>
    <w:uiPriority w:val="99"/>
    <w:semiHidden/>
    <w:unhideWhenUsed/>
    <w:rsid w:val="00EE2AC9"/>
    <w:rPr>
      <w:color w:val="605E5C"/>
      <w:shd w:val="clear" w:color="auto" w:fill="E1DFDD"/>
    </w:rPr>
  </w:style>
  <w:style w:type="paragraph" w:styleId="TOAHeading">
    <w:name w:val="toa heading"/>
    <w:basedOn w:val="Normal"/>
    <w:next w:val="Normal"/>
    <w:uiPriority w:val="99"/>
    <w:unhideWhenUsed/>
    <w:rsid w:val="00EE2AC9"/>
    <w:pPr>
      <w:spacing w:before="120" w:after="0"/>
    </w:pPr>
    <w:rPr>
      <w:rFonts w:eastAsiaTheme="majorEastAsia" w:cstheme="majorBidi"/>
      <w:b/>
      <w:bCs/>
      <w:kern w:val="2"/>
      <w:sz w:val="28"/>
      <w:szCs w:val="24"/>
      <w14:ligatures w14:val="standardContextual"/>
    </w:rPr>
  </w:style>
  <w:style w:type="paragraph" w:customStyle="1" w:styleId="PulloutQuote">
    <w:name w:val="Pullout Quote"/>
    <w:basedOn w:val="Normal"/>
    <w:next w:val="Normal"/>
    <w:uiPriority w:val="7"/>
    <w:qFormat/>
    <w:rsid w:val="00243B8D"/>
    <w:pPr>
      <w:adjustRightInd w:val="0"/>
      <w:snapToGrid w:val="0"/>
      <w:spacing w:after="0" w:line="240" w:lineRule="auto"/>
    </w:pPr>
    <w:rPr>
      <w:rFonts w:asciiTheme="minorHAnsi" w:eastAsia="Times New Roman" w:hAnsiTheme="minorHAnsi" w:cs="Times New Roman"/>
      <w:color w:val="156082" w:themeColor="accent1"/>
      <w:sz w:val="20"/>
      <w:szCs w:val="20"/>
    </w:rPr>
  </w:style>
  <w:style w:type="character" w:styleId="Strong">
    <w:name w:val="Strong"/>
    <w:basedOn w:val="DefaultParagraphFont"/>
    <w:uiPriority w:val="22"/>
    <w:qFormat/>
    <w:rsid w:val="005F32E9"/>
    <w:rPr>
      <w:b/>
      <w:bCs/>
    </w:rPr>
  </w:style>
  <w:style w:type="paragraph" w:customStyle="1" w:styleId="Text-paragraph">
    <w:name w:val="Text - paragraph"/>
    <w:basedOn w:val="Normal"/>
    <w:link w:val="Text-paragraphChar"/>
    <w:qFormat/>
    <w:rsid w:val="00362996"/>
    <w:pPr>
      <w:numPr>
        <w:numId w:val="123"/>
      </w:numPr>
      <w:overflowPunct w:val="0"/>
      <w:autoSpaceDE w:val="0"/>
      <w:autoSpaceDN w:val="0"/>
      <w:adjustRightInd w:val="0"/>
      <w:spacing w:before="160" w:after="120" w:line="240" w:lineRule="auto"/>
      <w:jc w:val="both"/>
      <w:textAlignment w:val="baseline"/>
    </w:pPr>
    <w:rPr>
      <w:rFonts w:eastAsia="Times New Roman" w:cs="Arial"/>
      <w:color w:val="000000" w:themeColor="text1"/>
      <w:sz w:val="20"/>
      <w:szCs w:val="20"/>
      <w:lang w:eastAsia="en-AU"/>
    </w:rPr>
  </w:style>
  <w:style w:type="paragraph" w:customStyle="1" w:styleId="List-paragraph">
    <w:name w:val="List - paragraph"/>
    <w:basedOn w:val="Normal"/>
    <w:qFormat/>
    <w:rsid w:val="00362996"/>
    <w:pPr>
      <w:numPr>
        <w:ilvl w:val="1"/>
        <w:numId w:val="123"/>
      </w:numPr>
      <w:overflowPunct w:val="0"/>
      <w:autoSpaceDE w:val="0"/>
      <w:autoSpaceDN w:val="0"/>
      <w:adjustRightInd w:val="0"/>
      <w:spacing w:before="120" w:after="120" w:line="240" w:lineRule="auto"/>
      <w:jc w:val="both"/>
      <w:textAlignment w:val="baseline"/>
    </w:pPr>
    <w:rPr>
      <w:rFonts w:eastAsia="Times New Roman" w:cs="Arial"/>
      <w:color w:val="000000" w:themeColor="text1"/>
      <w:sz w:val="20"/>
      <w:szCs w:val="20"/>
      <w:lang w:eastAsia="en-AU"/>
    </w:rPr>
  </w:style>
  <w:style w:type="character" w:customStyle="1" w:styleId="Text-paragraphChar">
    <w:name w:val="Text - paragraph Char"/>
    <w:basedOn w:val="DefaultParagraphFont"/>
    <w:link w:val="Text-paragraph"/>
    <w:rsid w:val="00362996"/>
    <w:rPr>
      <w:rFonts w:ascii="Arial" w:eastAsia="Times New Roman" w:hAnsi="Arial" w:cs="Arial"/>
      <w:color w:val="000000" w:themeColor="text1"/>
      <w:sz w:val="20"/>
      <w:szCs w:val="20"/>
      <w:lang w:eastAsia="en-AU"/>
    </w:rPr>
  </w:style>
  <w:style w:type="paragraph" w:customStyle="1" w:styleId="NormalItalics">
    <w:name w:val="Normal Italics"/>
    <w:basedOn w:val="Normal"/>
    <w:link w:val="NormalItalicsChar"/>
    <w:autoRedefine/>
    <w:qFormat/>
    <w:rsid w:val="00BD2644"/>
    <w:rPr>
      <w:i/>
    </w:rPr>
  </w:style>
  <w:style w:type="character" w:customStyle="1" w:styleId="NormalItalicsChar">
    <w:name w:val="Normal Italics Char"/>
    <w:basedOn w:val="DefaultParagraphFont"/>
    <w:link w:val="NormalItalics"/>
    <w:rsid w:val="00BD2644"/>
    <w:rPr>
      <w:rFonts w:ascii="Arial" w:hAnsi="Arial"/>
      <w:i/>
      <w:sz w:val="24"/>
    </w:rPr>
  </w:style>
  <w:style w:type="paragraph" w:styleId="BodyText2">
    <w:name w:val="Body Text 2"/>
    <w:basedOn w:val="Normal"/>
    <w:link w:val="BodyText2Char"/>
    <w:uiPriority w:val="99"/>
    <w:unhideWhenUsed/>
    <w:rsid w:val="0059277F"/>
    <w:pPr>
      <w:spacing w:after="120" w:line="480" w:lineRule="auto"/>
    </w:pPr>
  </w:style>
  <w:style w:type="character" w:customStyle="1" w:styleId="BodyText2Char">
    <w:name w:val="Body Text 2 Char"/>
    <w:basedOn w:val="DefaultParagraphFont"/>
    <w:link w:val="BodyText2"/>
    <w:uiPriority w:val="99"/>
    <w:rsid w:val="0059277F"/>
    <w:rPr>
      <w:rFonts w:ascii="Arial" w:hAnsi="Arial"/>
      <w:sz w:val="24"/>
    </w:rPr>
  </w:style>
  <w:style w:type="paragraph" w:styleId="TOC4">
    <w:name w:val="toc 4"/>
    <w:basedOn w:val="Normal"/>
    <w:next w:val="Normal"/>
    <w:uiPriority w:val="39"/>
    <w:unhideWhenUsed/>
    <w:rsid w:val="0059277F"/>
    <w:pPr>
      <w:spacing w:after="100"/>
      <w:ind w:left="660"/>
    </w:pPr>
  </w:style>
  <w:style w:type="paragraph" w:styleId="TOC5">
    <w:name w:val="toc 5"/>
    <w:basedOn w:val="Normal"/>
    <w:next w:val="Normal"/>
    <w:uiPriority w:val="39"/>
    <w:unhideWhenUsed/>
    <w:rsid w:val="0059277F"/>
    <w:pPr>
      <w:spacing w:after="100"/>
      <w:ind w:left="880"/>
    </w:pPr>
  </w:style>
  <w:style w:type="paragraph" w:styleId="TOC7">
    <w:name w:val="toc 7"/>
    <w:basedOn w:val="Normal"/>
    <w:next w:val="Normal"/>
    <w:uiPriority w:val="39"/>
    <w:unhideWhenUsed/>
    <w:rsid w:val="0059277F"/>
    <w:pPr>
      <w:spacing w:after="100"/>
      <w:ind w:left="1320"/>
    </w:pPr>
  </w:style>
  <w:style w:type="paragraph" w:styleId="TOC8">
    <w:name w:val="toc 8"/>
    <w:basedOn w:val="Normal"/>
    <w:next w:val="Normal"/>
    <w:uiPriority w:val="39"/>
    <w:unhideWhenUsed/>
    <w:rsid w:val="0059277F"/>
    <w:pPr>
      <w:spacing w:after="100"/>
      <w:ind w:left="1540"/>
    </w:pPr>
  </w:style>
  <w:style w:type="paragraph" w:styleId="TOC9">
    <w:name w:val="toc 9"/>
    <w:basedOn w:val="Normal"/>
    <w:next w:val="Normal"/>
    <w:uiPriority w:val="39"/>
    <w:unhideWhenUsed/>
    <w:rsid w:val="0059277F"/>
    <w:pPr>
      <w:spacing w:after="100"/>
      <w:ind w:left="1760"/>
    </w:pPr>
  </w:style>
  <w:style w:type="paragraph" w:styleId="TOC6">
    <w:name w:val="toc 6"/>
    <w:basedOn w:val="Normal"/>
    <w:next w:val="Normal"/>
    <w:autoRedefine/>
    <w:uiPriority w:val="39"/>
    <w:unhideWhenUsed/>
    <w:rsid w:val="0059277F"/>
    <w:pPr>
      <w:spacing w:after="100" w:line="278" w:lineRule="auto"/>
      <w:ind w:left="1200"/>
    </w:pPr>
    <w:rPr>
      <w:rFonts w:asciiTheme="minorHAnsi" w:eastAsiaTheme="minorEastAsia" w:hAnsiTheme="minorHAnsi"/>
      <w:kern w:val="2"/>
      <w:szCs w:val="24"/>
      <w:lang w:eastAsia="en-AU"/>
      <w14:ligatures w14:val="standardContextual"/>
    </w:rPr>
  </w:style>
  <w:style w:type="paragraph" w:customStyle="1" w:styleId="TableofContents">
    <w:name w:val="Table of Contents"/>
    <w:basedOn w:val="TOC1"/>
    <w:link w:val="TableofContentsChar"/>
    <w:autoRedefine/>
    <w:qFormat/>
    <w:rsid w:val="0059277F"/>
    <w:pPr>
      <w:tabs>
        <w:tab w:val="right" w:leader="dot" w:pos="9015"/>
      </w:tabs>
    </w:pPr>
  </w:style>
  <w:style w:type="character" w:customStyle="1" w:styleId="TOC1Char">
    <w:name w:val="TOC 1 Char"/>
    <w:basedOn w:val="DefaultParagraphFont"/>
    <w:link w:val="TOC1"/>
    <w:uiPriority w:val="39"/>
    <w:rsid w:val="0059277F"/>
    <w:rPr>
      <w:rFonts w:ascii="Arial" w:eastAsia="Arial" w:hAnsi="Arial" w:cs="Arial"/>
      <w:kern w:val="2"/>
      <w:sz w:val="20"/>
      <w:szCs w:val="20"/>
      <w14:ligatures w14:val="standardContextual"/>
    </w:rPr>
  </w:style>
  <w:style w:type="character" w:customStyle="1" w:styleId="TableofContentsChar">
    <w:name w:val="Table of Contents Char"/>
    <w:basedOn w:val="TOC1Char"/>
    <w:link w:val="TableofContents"/>
    <w:rsid w:val="0059277F"/>
    <w:rPr>
      <w:rFonts w:ascii="Arial" w:eastAsia="Arial" w:hAnsi="Arial" w:cs="Arial"/>
      <w:kern w:val="2"/>
      <w:sz w:val="20"/>
      <w:szCs w:val="20"/>
      <w14:ligatures w14:val="standardContextual"/>
    </w:rPr>
  </w:style>
  <w:style w:type="character" w:styleId="FollowedHyperlink">
    <w:name w:val="FollowedHyperlink"/>
    <w:basedOn w:val="DefaultParagraphFont"/>
    <w:uiPriority w:val="99"/>
    <w:semiHidden/>
    <w:unhideWhenUsed/>
    <w:rsid w:val="00BD2FFF"/>
    <w:rPr>
      <w:color w:val="96607D" w:themeColor="followedHyperlink"/>
      <w:u w:val="single"/>
    </w:rPr>
  </w:style>
  <w:style w:type="numbering" w:customStyle="1" w:styleId="CurrentList1">
    <w:name w:val="Current List1"/>
    <w:uiPriority w:val="99"/>
    <w:rsid w:val="00057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6137">
      <w:bodyDiv w:val="1"/>
      <w:marLeft w:val="0"/>
      <w:marRight w:val="0"/>
      <w:marTop w:val="0"/>
      <w:marBottom w:val="0"/>
      <w:divBdr>
        <w:top w:val="none" w:sz="0" w:space="0" w:color="auto"/>
        <w:left w:val="none" w:sz="0" w:space="0" w:color="auto"/>
        <w:bottom w:val="none" w:sz="0" w:space="0" w:color="auto"/>
        <w:right w:val="none" w:sz="0" w:space="0" w:color="auto"/>
      </w:divBdr>
    </w:div>
    <w:div w:id="12802727">
      <w:bodyDiv w:val="1"/>
      <w:marLeft w:val="0"/>
      <w:marRight w:val="0"/>
      <w:marTop w:val="0"/>
      <w:marBottom w:val="0"/>
      <w:divBdr>
        <w:top w:val="none" w:sz="0" w:space="0" w:color="auto"/>
        <w:left w:val="none" w:sz="0" w:space="0" w:color="auto"/>
        <w:bottom w:val="none" w:sz="0" w:space="0" w:color="auto"/>
        <w:right w:val="none" w:sz="0" w:space="0" w:color="auto"/>
      </w:divBdr>
    </w:div>
    <w:div w:id="21635432">
      <w:bodyDiv w:val="1"/>
      <w:marLeft w:val="0"/>
      <w:marRight w:val="0"/>
      <w:marTop w:val="0"/>
      <w:marBottom w:val="0"/>
      <w:divBdr>
        <w:top w:val="none" w:sz="0" w:space="0" w:color="auto"/>
        <w:left w:val="none" w:sz="0" w:space="0" w:color="auto"/>
        <w:bottom w:val="none" w:sz="0" w:space="0" w:color="auto"/>
        <w:right w:val="none" w:sz="0" w:space="0" w:color="auto"/>
      </w:divBdr>
    </w:div>
    <w:div w:id="24529067">
      <w:bodyDiv w:val="1"/>
      <w:marLeft w:val="0"/>
      <w:marRight w:val="0"/>
      <w:marTop w:val="0"/>
      <w:marBottom w:val="0"/>
      <w:divBdr>
        <w:top w:val="none" w:sz="0" w:space="0" w:color="auto"/>
        <w:left w:val="none" w:sz="0" w:space="0" w:color="auto"/>
        <w:bottom w:val="none" w:sz="0" w:space="0" w:color="auto"/>
        <w:right w:val="none" w:sz="0" w:space="0" w:color="auto"/>
      </w:divBdr>
    </w:div>
    <w:div w:id="34039707">
      <w:bodyDiv w:val="1"/>
      <w:marLeft w:val="0"/>
      <w:marRight w:val="0"/>
      <w:marTop w:val="0"/>
      <w:marBottom w:val="0"/>
      <w:divBdr>
        <w:top w:val="none" w:sz="0" w:space="0" w:color="auto"/>
        <w:left w:val="none" w:sz="0" w:space="0" w:color="auto"/>
        <w:bottom w:val="none" w:sz="0" w:space="0" w:color="auto"/>
        <w:right w:val="none" w:sz="0" w:space="0" w:color="auto"/>
      </w:divBdr>
      <w:divsChild>
        <w:div w:id="60831771">
          <w:marLeft w:val="0"/>
          <w:marRight w:val="0"/>
          <w:marTop w:val="0"/>
          <w:marBottom w:val="0"/>
          <w:divBdr>
            <w:top w:val="none" w:sz="0" w:space="0" w:color="auto"/>
            <w:left w:val="none" w:sz="0" w:space="0" w:color="auto"/>
            <w:bottom w:val="none" w:sz="0" w:space="0" w:color="auto"/>
            <w:right w:val="none" w:sz="0" w:space="0" w:color="auto"/>
          </w:divBdr>
        </w:div>
        <w:div w:id="204341603">
          <w:marLeft w:val="0"/>
          <w:marRight w:val="0"/>
          <w:marTop w:val="0"/>
          <w:marBottom w:val="0"/>
          <w:divBdr>
            <w:top w:val="none" w:sz="0" w:space="0" w:color="auto"/>
            <w:left w:val="none" w:sz="0" w:space="0" w:color="auto"/>
            <w:bottom w:val="none" w:sz="0" w:space="0" w:color="auto"/>
            <w:right w:val="none" w:sz="0" w:space="0" w:color="auto"/>
          </w:divBdr>
        </w:div>
        <w:div w:id="279728024">
          <w:marLeft w:val="0"/>
          <w:marRight w:val="0"/>
          <w:marTop w:val="0"/>
          <w:marBottom w:val="0"/>
          <w:divBdr>
            <w:top w:val="none" w:sz="0" w:space="0" w:color="auto"/>
            <w:left w:val="none" w:sz="0" w:space="0" w:color="auto"/>
            <w:bottom w:val="none" w:sz="0" w:space="0" w:color="auto"/>
            <w:right w:val="none" w:sz="0" w:space="0" w:color="auto"/>
          </w:divBdr>
        </w:div>
        <w:div w:id="354503803">
          <w:marLeft w:val="0"/>
          <w:marRight w:val="0"/>
          <w:marTop w:val="0"/>
          <w:marBottom w:val="0"/>
          <w:divBdr>
            <w:top w:val="none" w:sz="0" w:space="0" w:color="auto"/>
            <w:left w:val="none" w:sz="0" w:space="0" w:color="auto"/>
            <w:bottom w:val="none" w:sz="0" w:space="0" w:color="auto"/>
            <w:right w:val="none" w:sz="0" w:space="0" w:color="auto"/>
          </w:divBdr>
        </w:div>
        <w:div w:id="413354974">
          <w:marLeft w:val="0"/>
          <w:marRight w:val="0"/>
          <w:marTop w:val="0"/>
          <w:marBottom w:val="0"/>
          <w:divBdr>
            <w:top w:val="none" w:sz="0" w:space="0" w:color="auto"/>
            <w:left w:val="none" w:sz="0" w:space="0" w:color="auto"/>
            <w:bottom w:val="none" w:sz="0" w:space="0" w:color="auto"/>
            <w:right w:val="none" w:sz="0" w:space="0" w:color="auto"/>
          </w:divBdr>
        </w:div>
        <w:div w:id="566646500">
          <w:marLeft w:val="0"/>
          <w:marRight w:val="0"/>
          <w:marTop w:val="0"/>
          <w:marBottom w:val="0"/>
          <w:divBdr>
            <w:top w:val="none" w:sz="0" w:space="0" w:color="auto"/>
            <w:left w:val="none" w:sz="0" w:space="0" w:color="auto"/>
            <w:bottom w:val="none" w:sz="0" w:space="0" w:color="auto"/>
            <w:right w:val="none" w:sz="0" w:space="0" w:color="auto"/>
          </w:divBdr>
        </w:div>
        <w:div w:id="579753970">
          <w:marLeft w:val="0"/>
          <w:marRight w:val="0"/>
          <w:marTop w:val="0"/>
          <w:marBottom w:val="0"/>
          <w:divBdr>
            <w:top w:val="none" w:sz="0" w:space="0" w:color="auto"/>
            <w:left w:val="none" w:sz="0" w:space="0" w:color="auto"/>
            <w:bottom w:val="none" w:sz="0" w:space="0" w:color="auto"/>
            <w:right w:val="none" w:sz="0" w:space="0" w:color="auto"/>
          </w:divBdr>
        </w:div>
        <w:div w:id="1110973772">
          <w:marLeft w:val="0"/>
          <w:marRight w:val="0"/>
          <w:marTop w:val="0"/>
          <w:marBottom w:val="0"/>
          <w:divBdr>
            <w:top w:val="none" w:sz="0" w:space="0" w:color="auto"/>
            <w:left w:val="none" w:sz="0" w:space="0" w:color="auto"/>
            <w:bottom w:val="none" w:sz="0" w:space="0" w:color="auto"/>
            <w:right w:val="none" w:sz="0" w:space="0" w:color="auto"/>
          </w:divBdr>
        </w:div>
        <w:div w:id="1141924264">
          <w:marLeft w:val="0"/>
          <w:marRight w:val="0"/>
          <w:marTop w:val="0"/>
          <w:marBottom w:val="0"/>
          <w:divBdr>
            <w:top w:val="none" w:sz="0" w:space="0" w:color="auto"/>
            <w:left w:val="none" w:sz="0" w:space="0" w:color="auto"/>
            <w:bottom w:val="none" w:sz="0" w:space="0" w:color="auto"/>
            <w:right w:val="none" w:sz="0" w:space="0" w:color="auto"/>
          </w:divBdr>
        </w:div>
        <w:div w:id="1376349504">
          <w:marLeft w:val="0"/>
          <w:marRight w:val="0"/>
          <w:marTop w:val="0"/>
          <w:marBottom w:val="0"/>
          <w:divBdr>
            <w:top w:val="none" w:sz="0" w:space="0" w:color="auto"/>
            <w:left w:val="none" w:sz="0" w:space="0" w:color="auto"/>
            <w:bottom w:val="none" w:sz="0" w:space="0" w:color="auto"/>
            <w:right w:val="none" w:sz="0" w:space="0" w:color="auto"/>
          </w:divBdr>
        </w:div>
        <w:div w:id="1501046817">
          <w:marLeft w:val="0"/>
          <w:marRight w:val="0"/>
          <w:marTop w:val="0"/>
          <w:marBottom w:val="0"/>
          <w:divBdr>
            <w:top w:val="none" w:sz="0" w:space="0" w:color="auto"/>
            <w:left w:val="none" w:sz="0" w:space="0" w:color="auto"/>
            <w:bottom w:val="none" w:sz="0" w:space="0" w:color="auto"/>
            <w:right w:val="none" w:sz="0" w:space="0" w:color="auto"/>
          </w:divBdr>
        </w:div>
        <w:div w:id="1577014328">
          <w:marLeft w:val="0"/>
          <w:marRight w:val="0"/>
          <w:marTop w:val="0"/>
          <w:marBottom w:val="0"/>
          <w:divBdr>
            <w:top w:val="none" w:sz="0" w:space="0" w:color="auto"/>
            <w:left w:val="none" w:sz="0" w:space="0" w:color="auto"/>
            <w:bottom w:val="none" w:sz="0" w:space="0" w:color="auto"/>
            <w:right w:val="none" w:sz="0" w:space="0" w:color="auto"/>
          </w:divBdr>
        </w:div>
      </w:divsChild>
    </w:div>
    <w:div w:id="35131452">
      <w:bodyDiv w:val="1"/>
      <w:marLeft w:val="0"/>
      <w:marRight w:val="0"/>
      <w:marTop w:val="0"/>
      <w:marBottom w:val="0"/>
      <w:divBdr>
        <w:top w:val="none" w:sz="0" w:space="0" w:color="auto"/>
        <w:left w:val="none" w:sz="0" w:space="0" w:color="auto"/>
        <w:bottom w:val="none" w:sz="0" w:space="0" w:color="auto"/>
        <w:right w:val="none" w:sz="0" w:space="0" w:color="auto"/>
      </w:divBdr>
      <w:divsChild>
        <w:div w:id="1170635707">
          <w:marLeft w:val="0"/>
          <w:marRight w:val="0"/>
          <w:marTop w:val="0"/>
          <w:marBottom w:val="0"/>
          <w:divBdr>
            <w:top w:val="none" w:sz="0" w:space="0" w:color="auto"/>
            <w:left w:val="none" w:sz="0" w:space="0" w:color="auto"/>
            <w:bottom w:val="none" w:sz="0" w:space="0" w:color="auto"/>
            <w:right w:val="none" w:sz="0" w:space="0" w:color="auto"/>
          </w:divBdr>
        </w:div>
        <w:div w:id="1730566620">
          <w:marLeft w:val="0"/>
          <w:marRight w:val="0"/>
          <w:marTop w:val="0"/>
          <w:marBottom w:val="0"/>
          <w:divBdr>
            <w:top w:val="none" w:sz="0" w:space="0" w:color="auto"/>
            <w:left w:val="none" w:sz="0" w:space="0" w:color="auto"/>
            <w:bottom w:val="none" w:sz="0" w:space="0" w:color="auto"/>
            <w:right w:val="none" w:sz="0" w:space="0" w:color="auto"/>
          </w:divBdr>
        </w:div>
      </w:divsChild>
    </w:div>
    <w:div w:id="45179198">
      <w:bodyDiv w:val="1"/>
      <w:marLeft w:val="0"/>
      <w:marRight w:val="0"/>
      <w:marTop w:val="0"/>
      <w:marBottom w:val="0"/>
      <w:divBdr>
        <w:top w:val="none" w:sz="0" w:space="0" w:color="auto"/>
        <w:left w:val="none" w:sz="0" w:space="0" w:color="auto"/>
        <w:bottom w:val="none" w:sz="0" w:space="0" w:color="auto"/>
        <w:right w:val="none" w:sz="0" w:space="0" w:color="auto"/>
      </w:divBdr>
      <w:divsChild>
        <w:div w:id="23212094">
          <w:marLeft w:val="0"/>
          <w:marRight w:val="0"/>
          <w:marTop w:val="0"/>
          <w:marBottom w:val="0"/>
          <w:divBdr>
            <w:top w:val="none" w:sz="0" w:space="0" w:color="auto"/>
            <w:left w:val="none" w:sz="0" w:space="0" w:color="auto"/>
            <w:bottom w:val="none" w:sz="0" w:space="0" w:color="auto"/>
            <w:right w:val="none" w:sz="0" w:space="0" w:color="auto"/>
          </w:divBdr>
          <w:divsChild>
            <w:div w:id="592468599">
              <w:marLeft w:val="0"/>
              <w:marRight w:val="0"/>
              <w:marTop w:val="0"/>
              <w:marBottom w:val="0"/>
              <w:divBdr>
                <w:top w:val="none" w:sz="0" w:space="0" w:color="auto"/>
                <w:left w:val="none" w:sz="0" w:space="0" w:color="auto"/>
                <w:bottom w:val="none" w:sz="0" w:space="0" w:color="auto"/>
                <w:right w:val="none" w:sz="0" w:space="0" w:color="auto"/>
              </w:divBdr>
            </w:div>
            <w:div w:id="666447675">
              <w:marLeft w:val="0"/>
              <w:marRight w:val="0"/>
              <w:marTop w:val="0"/>
              <w:marBottom w:val="0"/>
              <w:divBdr>
                <w:top w:val="none" w:sz="0" w:space="0" w:color="auto"/>
                <w:left w:val="none" w:sz="0" w:space="0" w:color="auto"/>
                <w:bottom w:val="none" w:sz="0" w:space="0" w:color="auto"/>
                <w:right w:val="none" w:sz="0" w:space="0" w:color="auto"/>
              </w:divBdr>
            </w:div>
          </w:divsChild>
        </w:div>
        <w:div w:id="34932809">
          <w:marLeft w:val="0"/>
          <w:marRight w:val="0"/>
          <w:marTop w:val="0"/>
          <w:marBottom w:val="0"/>
          <w:divBdr>
            <w:top w:val="none" w:sz="0" w:space="0" w:color="auto"/>
            <w:left w:val="none" w:sz="0" w:space="0" w:color="auto"/>
            <w:bottom w:val="none" w:sz="0" w:space="0" w:color="auto"/>
            <w:right w:val="none" w:sz="0" w:space="0" w:color="auto"/>
          </w:divBdr>
          <w:divsChild>
            <w:div w:id="1016689665">
              <w:marLeft w:val="0"/>
              <w:marRight w:val="0"/>
              <w:marTop w:val="0"/>
              <w:marBottom w:val="0"/>
              <w:divBdr>
                <w:top w:val="none" w:sz="0" w:space="0" w:color="auto"/>
                <w:left w:val="none" w:sz="0" w:space="0" w:color="auto"/>
                <w:bottom w:val="none" w:sz="0" w:space="0" w:color="auto"/>
                <w:right w:val="none" w:sz="0" w:space="0" w:color="auto"/>
              </w:divBdr>
            </w:div>
          </w:divsChild>
        </w:div>
        <w:div w:id="64380622">
          <w:marLeft w:val="0"/>
          <w:marRight w:val="0"/>
          <w:marTop w:val="0"/>
          <w:marBottom w:val="0"/>
          <w:divBdr>
            <w:top w:val="none" w:sz="0" w:space="0" w:color="auto"/>
            <w:left w:val="none" w:sz="0" w:space="0" w:color="auto"/>
            <w:bottom w:val="none" w:sz="0" w:space="0" w:color="auto"/>
            <w:right w:val="none" w:sz="0" w:space="0" w:color="auto"/>
          </w:divBdr>
          <w:divsChild>
            <w:div w:id="4553103">
              <w:marLeft w:val="0"/>
              <w:marRight w:val="0"/>
              <w:marTop w:val="0"/>
              <w:marBottom w:val="0"/>
              <w:divBdr>
                <w:top w:val="none" w:sz="0" w:space="0" w:color="auto"/>
                <w:left w:val="none" w:sz="0" w:space="0" w:color="auto"/>
                <w:bottom w:val="none" w:sz="0" w:space="0" w:color="auto"/>
                <w:right w:val="none" w:sz="0" w:space="0" w:color="auto"/>
              </w:divBdr>
            </w:div>
          </w:divsChild>
        </w:div>
        <w:div w:id="172494317">
          <w:marLeft w:val="0"/>
          <w:marRight w:val="0"/>
          <w:marTop w:val="0"/>
          <w:marBottom w:val="0"/>
          <w:divBdr>
            <w:top w:val="none" w:sz="0" w:space="0" w:color="auto"/>
            <w:left w:val="none" w:sz="0" w:space="0" w:color="auto"/>
            <w:bottom w:val="none" w:sz="0" w:space="0" w:color="auto"/>
            <w:right w:val="none" w:sz="0" w:space="0" w:color="auto"/>
          </w:divBdr>
          <w:divsChild>
            <w:div w:id="738984553">
              <w:marLeft w:val="0"/>
              <w:marRight w:val="0"/>
              <w:marTop w:val="0"/>
              <w:marBottom w:val="0"/>
              <w:divBdr>
                <w:top w:val="none" w:sz="0" w:space="0" w:color="auto"/>
                <w:left w:val="none" w:sz="0" w:space="0" w:color="auto"/>
                <w:bottom w:val="none" w:sz="0" w:space="0" w:color="auto"/>
                <w:right w:val="none" w:sz="0" w:space="0" w:color="auto"/>
              </w:divBdr>
            </w:div>
          </w:divsChild>
        </w:div>
        <w:div w:id="367268393">
          <w:marLeft w:val="0"/>
          <w:marRight w:val="0"/>
          <w:marTop w:val="0"/>
          <w:marBottom w:val="0"/>
          <w:divBdr>
            <w:top w:val="none" w:sz="0" w:space="0" w:color="auto"/>
            <w:left w:val="none" w:sz="0" w:space="0" w:color="auto"/>
            <w:bottom w:val="none" w:sz="0" w:space="0" w:color="auto"/>
            <w:right w:val="none" w:sz="0" w:space="0" w:color="auto"/>
          </w:divBdr>
          <w:divsChild>
            <w:div w:id="1862817785">
              <w:marLeft w:val="0"/>
              <w:marRight w:val="0"/>
              <w:marTop w:val="0"/>
              <w:marBottom w:val="0"/>
              <w:divBdr>
                <w:top w:val="none" w:sz="0" w:space="0" w:color="auto"/>
                <w:left w:val="none" w:sz="0" w:space="0" w:color="auto"/>
                <w:bottom w:val="none" w:sz="0" w:space="0" w:color="auto"/>
                <w:right w:val="none" w:sz="0" w:space="0" w:color="auto"/>
              </w:divBdr>
            </w:div>
          </w:divsChild>
        </w:div>
        <w:div w:id="505635355">
          <w:marLeft w:val="0"/>
          <w:marRight w:val="0"/>
          <w:marTop w:val="0"/>
          <w:marBottom w:val="0"/>
          <w:divBdr>
            <w:top w:val="none" w:sz="0" w:space="0" w:color="auto"/>
            <w:left w:val="none" w:sz="0" w:space="0" w:color="auto"/>
            <w:bottom w:val="none" w:sz="0" w:space="0" w:color="auto"/>
            <w:right w:val="none" w:sz="0" w:space="0" w:color="auto"/>
          </w:divBdr>
          <w:divsChild>
            <w:div w:id="1284072879">
              <w:marLeft w:val="0"/>
              <w:marRight w:val="0"/>
              <w:marTop w:val="0"/>
              <w:marBottom w:val="0"/>
              <w:divBdr>
                <w:top w:val="none" w:sz="0" w:space="0" w:color="auto"/>
                <w:left w:val="none" w:sz="0" w:space="0" w:color="auto"/>
                <w:bottom w:val="none" w:sz="0" w:space="0" w:color="auto"/>
                <w:right w:val="none" w:sz="0" w:space="0" w:color="auto"/>
              </w:divBdr>
            </w:div>
          </w:divsChild>
        </w:div>
        <w:div w:id="506480853">
          <w:marLeft w:val="0"/>
          <w:marRight w:val="0"/>
          <w:marTop w:val="0"/>
          <w:marBottom w:val="0"/>
          <w:divBdr>
            <w:top w:val="none" w:sz="0" w:space="0" w:color="auto"/>
            <w:left w:val="none" w:sz="0" w:space="0" w:color="auto"/>
            <w:bottom w:val="none" w:sz="0" w:space="0" w:color="auto"/>
            <w:right w:val="none" w:sz="0" w:space="0" w:color="auto"/>
          </w:divBdr>
          <w:divsChild>
            <w:div w:id="1968900004">
              <w:marLeft w:val="0"/>
              <w:marRight w:val="0"/>
              <w:marTop w:val="0"/>
              <w:marBottom w:val="0"/>
              <w:divBdr>
                <w:top w:val="none" w:sz="0" w:space="0" w:color="auto"/>
                <w:left w:val="none" w:sz="0" w:space="0" w:color="auto"/>
                <w:bottom w:val="none" w:sz="0" w:space="0" w:color="auto"/>
                <w:right w:val="none" w:sz="0" w:space="0" w:color="auto"/>
              </w:divBdr>
            </w:div>
          </w:divsChild>
        </w:div>
        <w:div w:id="551042640">
          <w:marLeft w:val="0"/>
          <w:marRight w:val="0"/>
          <w:marTop w:val="0"/>
          <w:marBottom w:val="0"/>
          <w:divBdr>
            <w:top w:val="none" w:sz="0" w:space="0" w:color="auto"/>
            <w:left w:val="none" w:sz="0" w:space="0" w:color="auto"/>
            <w:bottom w:val="none" w:sz="0" w:space="0" w:color="auto"/>
            <w:right w:val="none" w:sz="0" w:space="0" w:color="auto"/>
          </w:divBdr>
          <w:divsChild>
            <w:div w:id="1456371508">
              <w:marLeft w:val="0"/>
              <w:marRight w:val="0"/>
              <w:marTop w:val="0"/>
              <w:marBottom w:val="0"/>
              <w:divBdr>
                <w:top w:val="none" w:sz="0" w:space="0" w:color="auto"/>
                <w:left w:val="none" w:sz="0" w:space="0" w:color="auto"/>
                <w:bottom w:val="none" w:sz="0" w:space="0" w:color="auto"/>
                <w:right w:val="none" w:sz="0" w:space="0" w:color="auto"/>
              </w:divBdr>
            </w:div>
          </w:divsChild>
        </w:div>
        <w:div w:id="746923278">
          <w:marLeft w:val="0"/>
          <w:marRight w:val="0"/>
          <w:marTop w:val="0"/>
          <w:marBottom w:val="0"/>
          <w:divBdr>
            <w:top w:val="none" w:sz="0" w:space="0" w:color="auto"/>
            <w:left w:val="none" w:sz="0" w:space="0" w:color="auto"/>
            <w:bottom w:val="none" w:sz="0" w:space="0" w:color="auto"/>
            <w:right w:val="none" w:sz="0" w:space="0" w:color="auto"/>
          </w:divBdr>
          <w:divsChild>
            <w:div w:id="1369985785">
              <w:marLeft w:val="0"/>
              <w:marRight w:val="0"/>
              <w:marTop w:val="0"/>
              <w:marBottom w:val="0"/>
              <w:divBdr>
                <w:top w:val="none" w:sz="0" w:space="0" w:color="auto"/>
                <w:left w:val="none" w:sz="0" w:space="0" w:color="auto"/>
                <w:bottom w:val="none" w:sz="0" w:space="0" w:color="auto"/>
                <w:right w:val="none" w:sz="0" w:space="0" w:color="auto"/>
              </w:divBdr>
            </w:div>
            <w:div w:id="1919092922">
              <w:marLeft w:val="0"/>
              <w:marRight w:val="0"/>
              <w:marTop w:val="0"/>
              <w:marBottom w:val="0"/>
              <w:divBdr>
                <w:top w:val="none" w:sz="0" w:space="0" w:color="auto"/>
                <w:left w:val="none" w:sz="0" w:space="0" w:color="auto"/>
                <w:bottom w:val="none" w:sz="0" w:space="0" w:color="auto"/>
                <w:right w:val="none" w:sz="0" w:space="0" w:color="auto"/>
              </w:divBdr>
            </w:div>
          </w:divsChild>
        </w:div>
        <w:div w:id="753402348">
          <w:marLeft w:val="0"/>
          <w:marRight w:val="0"/>
          <w:marTop w:val="0"/>
          <w:marBottom w:val="0"/>
          <w:divBdr>
            <w:top w:val="none" w:sz="0" w:space="0" w:color="auto"/>
            <w:left w:val="none" w:sz="0" w:space="0" w:color="auto"/>
            <w:bottom w:val="none" w:sz="0" w:space="0" w:color="auto"/>
            <w:right w:val="none" w:sz="0" w:space="0" w:color="auto"/>
          </w:divBdr>
          <w:divsChild>
            <w:div w:id="967469508">
              <w:marLeft w:val="0"/>
              <w:marRight w:val="0"/>
              <w:marTop w:val="0"/>
              <w:marBottom w:val="0"/>
              <w:divBdr>
                <w:top w:val="none" w:sz="0" w:space="0" w:color="auto"/>
                <w:left w:val="none" w:sz="0" w:space="0" w:color="auto"/>
                <w:bottom w:val="none" w:sz="0" w:space="0" w:color="auto"/>
                <w:right w:val="none" w:sz="0" w:space="0" w:color="auto"/>
              </w:divBdr>
            </w:div>
          </w:divsChild>
        </w:div>
        <w:div w:id="783228659">
          <w:marLeft w:val="0"/>
          <w:marRight w:val="0"/>
          <w:marTop w:val="0"/>
          <w:marBottom w:val="0"/>
          <w:divBdr>
            <w:top w:val="none" w:sz="0" w:space="0" w:color="auto"/>
            <w:left w:val="none" w:sz="0" w:space="0" w:color="auto"/>
            <w:bottom w:val="none" w:sz="0" w:space="0" w:color="auto"/>
            <w:right w:val="none" w:sz="0" w:space="0" w:color="auto"/>
          </w:divBdr>
          <w:divsChild>
            <w:div w:id="507210815">
              <w:marLeft w:val="0"/>
              <w:marRight w:val="0"/>
              <w:marTop w:val="0"/>
              <w:marBottom w:val="0"/>
              <w:divBdr>
                <w:top w:val="none" w:sz="0" w:space="0" w:color="auto"/>
                <w:left w:val="none" w:sz="0" w:space="0" w:color="auto"/>
                <w:bottom w:val="none" w:sz="0" w:space="0" w:color="auto"/>
                <w:right w:val="none" w:sz="0" w:space="0" w:color="auto"/>
              </w:divBdr>
            </w:div>
            <w:div w:id="1250432393">
              <w:marLeft w:val="0"/>
              <w:marRight w:val="0"/>
              <w:marTop w:val="0"/>
              <w:marBottom w:val="0"/>
              <w:divBdr>
                <w:top w:val="none" w:sz="0" w:space="0" w:color="auto"/>
                <w:left w:val="none" w:sz="0" w:space="0" w:color="auto"/>
                <w:bottom w:val="none" w:sz="0" w:space="0" w:color="auto"/>
                <w:right w:val="none" w:sz="0" w:space="0" w:color="auto"/>
              </w:divBdr>
            </w:div>
          </w:divsChild>
        </w:div>
        <w:div w:id="832645314">
          <w:marLeft w:val="0"/>
          <w:marRight w:val="0"/>
          <w:marTop w:val="0"/>
          <w:marBottom w:val="0"/>
          <w:divBdr>
            <w:top w:val="none" w:sz="0" w:space="0" w:color="auto"/>
            <w:left w:val="none" w:sz="0" w:space="0" w:color="auto"/>
            <w:bottom w:val="none" w:sz="0" w:space="0" w:color="auto"/>
            <w:right w:val="none" w:sz="0" w:space="0" w:color="auto"/>
          </w:divBdr>
          <w:divsChild>
            <w:div w:id="1767336488">
              <w:marLeft w:val="0"/>
              <w:marRight w:val="0"/>
              <w:marTop w:val="0"/>
              <w:marBottom w:val="0"/>
              <w:divBdr>
                <w:top w:val="none" w:sz="0" w:space="0" w:color="auto"/>
                <w:left w:val="none" w:sz="0" w:space="0" w:color="auto"/>
                <w:bottom w:val="none" w:sz="0" w:space="0" w:color="auto"/>
                <w:right w:val="none" w:sz="0" w:space="0" w:color="auto"/>
              </w:divBdr>
            </w:div>
          </w:divsChild>
        </w:div>
        <w:div w:id="844444885">
          <w:marLeft w:val="0"/>
          <w:marRight w:val="0"/>
          <w:marTop w:val="0"/>
          <w:marBottom w:val="0"/>
          <w:divBdr>
            <w:top w:val="none" w:sz="0" w:space="0" w:color="auto"/>
            <w:left w:val="none" w:sz="0" w:space="0" w:color="auto"/>
            <w:bottom w:val="none" w:sz="0" w:space="0" w:color="auto"/>
            <w:right w:val="none" w:sz="0" w:space="0" w:color="auto"/>
          </w:divBdr>
          <w:divsChild>
            <w:div w:id="1084381825">
              <w:marLeft w:val="0"/>
              <w:marRight w:val="0"/>
              <w:marTop w:val="0"/>
              <w:marBottom w:val="0"/>
              <w:divBdr>
                <w:top w:val="none" w:sz="0" w:space="0" w:color="auto"/>
                <w:left w:val="none" w:sz="0" w:space="0" w:color="auto"/>
                <w:bottom w:val="none" w:sz="0" w:space="0" w:color="auto"/>
                <w:right w:val="none" w:sz="0" w:space="0" w:color="auto"/>
              </w:divBdr>
            </w:div>
          </w:divsChild>
        </w:div>
        <w:div w:id="944268550">
          <w:marLeft w:val="0"/>
          <w:marRight w:val="0"/>
          <w:marTop w:val="0"/>
          <w:marBottom w:val="0"/>
          <w:divBdr>
            <w:top w:val="none" w:sz="0" w:space="0" w:color="auto"/>
            <w:left w:val="none" w:sz="0" w:space="0" w:color="auto"/>
            <w:bottom w:val="none" w:sz="0" w:space="0" w:color="auto"/>
            <w:right w:val="none" w:sz="0" w:space="0" w:color="auto"/>
          </w:divBdr>
          <w:divsChild>
            <w:div w:id="1975792014">
              <w:marLeft w:val="0"/>
              <w:marRight w:val="0"/>
              <w:marTop w:val="0"/>
              <w:marBottom w:val="0"/>
              <w:divBdr>
                <w:top w:val="none" w:sz="0" w:space="0" w:color="auto"/>
                <w:left w:val="none" w:sz="0" w:space="0" w:color="auto"/>
                <w:bottom w:val="none" w:sz="0" w:space="0" w:color="auto"/>
                <w:right w:val="none" w:sz="0" w:space="0" w:color="auto"/>
              </w:divBdr>
            </w:div>
          </w:divsChild>
        </w:div>
        <w:div w:id="1026713935">
          <w:marLeft w:val="0"/>
          <w:marRight w:val="0"/>
          <w:marTop w:val="0"/>
          <w:marBottom w:val="0"/>
          <w:divBdr>
            <w:top w:val="none" w:sz="0" w:space="0" w:color="auto"/>
            <w:left w:val="none" w:sz="0" w:space="0" w:color="auto"/>
            <w:bottom w:val="none" w:sz="0" w:space="0" w:color="auto"/>
            <w:right w:val="none" w:sz="0" w:space="0" w:color="auto"/>
          </w:divBdr>
          <w:divsChild>
            <w:div w:id="333413713">
              <w:marLeft w:val="0"/>
              <w:marRight w:val="0"/>
              <w:marTop w:val="0"/>
              <w:marBottom w:val="0"/>
              <w:divBdr>
                <w:top w:val="none" w:sz="0" w:space="0" w:color="auto"/>
                <w:left w:val="none" w:sz="0" w:space="0" w:color="auto"/>
                <w:bottom w:val="none" w:sz="0" w:space="0" w:color="auto"/>
                <w:right w:val="none" w:sz="0" w:space="0" w:color="auto"/>
              </w:divBdr>
            </w:div>
          </w:divsChild>
        </w:div>
        <w:div w:id="1068725519">
          <w:marLeft w:val="0"/>
          <w:marRight w:val="0"/>
          <w:marTop w:val="0"/>
          <w:marBottom w:val="0"/>
          <w:divBdr>
            <w:top w:val="none" w:sz="0" w:space="0" w:color="auto"/>
            <w:left w:val="none" w:sz="0" w:space="0" w:color="auto"/>
            <w:bottom w:val="none" w:sz="0" w:space="0" w:color="auto"/>
            <w:right w:val="none" w:sz="0" w:space="0" w:color="auto"/>
          </w:divBdr>
          <w:divsChild>
            <w:div w:id="101347391">
              <w:marLeft w:val="0"/>
              <w:marRight w:val="0"/>
              <w:marTop w:val="0"/>
              <w:marBottom w:val="0"/>
              <w:divBdr>
                <w:top w:val="none" w:sz="0" w:space="0" w:color="auto"/>
                <w:left w:val="none" w:sz="0" w:space="0" w:color="auto"/>
                <w:bottom w:val="none" w:sz="0" w:space="0" w:color="auto"/>
                <w:right w:val="none" w:sz="0" w:space="0" w:color="auto"/>
              </w:divBdr>
            </w:div>
          </w:divsChild>
        </w:div>
        <w:div w:id="1298224287">
          <w:marLeft w:val="0"/>
          <w:marRight w:val="0"/>
          <w:marTop w:val="0"/>
          <w:marBottom w:val="0"/>
          <w:divBdr>
            <w:top w:val="none" w:sz="0" w:space="0" w:color="auto"/>
            <w:left w:val="none" w:sz="0" w:space="0" w:color="auto"/>
            <w:bottom w:val="none" w:sz="0" w:space="0" w:color="auto"/>
            <w:right w:val="none" w:sz="0" w:space="0" w:color="auto"/>
          </w:divBdr>
          <w:divsChild>
            <w:div w:id="226185981">
              <w:marLeft w:val="0"/>
              <w:marRight w:val="0"/>
              <w:marTop w:val="0"/>
              <w:marBottom w:val="0"/>
              <w:divBdr>
                <w:top w:val="none" w:sz="0" w:space="0" w:color="auto"/>
                <w:left w:val="none" w:sz="0" w:space="0" w:color="auto"/>
                <w:bottom w:val="none" w:sz="0" w:space="0" w:color="auto"/>
                <w:right w:val="none" w:sz="0" w:space="0" w:color="auto"/>
              </w:divBdr>
            </w:div>
          </w:divsChild>
        </w:div>
        <w:div w:id="1309557728">
          <w:marLeft w:val="0"/>
          <w:marRight w:val="0"/>
          <w:marTop w:val="0"/>
          <w:marBottom w:val="0"/>
          <w:divBdr>
            <w:top w:val="none" w:sz="0" w:space="0" w:color="auto"/>
            <w:left w:val="none" w:sz="0" w:space="0" w:color="auto"/>
            <w:bottom w:val="none" w:sz="0" w:space="0" w:color="auto"/>
            <w:right w:val="none" w:sz="0" w:space="0" w:color="auto"/>
          </w:divBdr>
          <w:divsChild>
            <w:div w:id="1044983229">
              <w:marLeft w:val="0"/>
              <w:marRight w:val="0"/>
              <w:marTop w:val="0"/>
              <w:marBottom w:val="0"/>
              <w:divBdr>
                <w:top w:val="none" w:sz="0" w:space="0" w:color="auto"/>
                <w:left w:val="none" w:sz="0" w:space="0" w:color="auto"/>
                <w:bottom w:val="none" w:sz="0" w:space="0" w:color="auto"/>
                <w:right w:val="none" w:sz="0" w:space="0" w:color="auto"/>
              </w:divBdr>
            </w:div>
          </w:divsChild>
        </w:div>
        <w:div w:id="1601451066">
          <w:marLeft w:val="0"/>
          <w:marRight w:val="0"/>
          <w:marTop w:val="0"/>
          <w:marBottom w:val="0"/>
          <w:divBdr>
            <w:top w:val="none" w:sz="0" w:space="0" w:color="auto"/>
            <w:left w:val="none" w:sz="0" w:space="0" w:color="auto"/>
            <w:bottom w:val="none" w:sz="0" w:space="0" w:color="auto"/>
            <w:right w:val="none" w:sz="0" w:space="0" w:color="auto"/>
          </w:divBdr>
          <w:divsChild>
            <w:div w:id="750472423">
              <w:marLeft w:val="0"/>
              <w:marRight w:val="0"/>
              <w:marTop w:val="0"/>
              <w:marBottom w:val="0"/>
              <w:divBdr>
                <w:top w:val="none" w:sz="0" w:space="0" w:color="auto"/>
                <w:left w:val="none" w:sz="0" w:space="0" w:color="auto"/>
                <w:bottom w:val="none" w:sz="0" w:space="0" w:color="auto"/>
                <w:right w:val="none" w:sz="0" w:space="0" w:color="auto"/>
              </w:divBdr>
            </w:div>
          </w:divsChild>
        </w:div>
        <w:div w:id="1985234856">
          <w:marLeft w:val="0"/>
          <w:marRight w:val="0"/>
          <w:marTop w:val="0"/>
          <w:marBottom w:val="0"/>
          <w:divBdr>
            <w:top w:val="none" w:sz="0" w:space="0" w:color="auto"/>
            <w:left w:val="none" w:sz="0" w:space="0" w:color="auto"/>
            <w:bottom w:val="none" w:sz="0" w:space="0" w:color="auto"/>
            <w:right w:val="none" w:sz="0" w:space="0" w:color="auto"/>
          </w:divBdr>
          <w:divsChild>
            <w:div w:id="1923491208">
              <w:marLeft w:val="0"/>
              <w:marRight w:val="0"/>
              <w:marTop w:val="0"/>
              <w:marBottom w:val="0"/>
              <w:divBdr>
                <w:top w:val="none" w:sz="0" w:space="0" w:color="auto"/>
                <w:left w:val="none" w:sz="0" w:space="0" w:color="auto"/>
                <w:bottom w:val="none" w:sz="0" w:space="0" w:color="auto"/>
                <w:right w:val="none" w:sz="0" w:space="0" w:color="auto"/>
              </w:divBdr>
            </w:div>
          </w:divsChild>
        </w:div>
        <w:div w:id="2055614174">
          <w:marLeft w:val="0"/>
          <w:marRight w:val="0"/>
          <w:marTop w:val="0"/>
          <w:marBottom w:val="0"/>
          <w:divBdr>
            <w:top w:val="none" w:sz="0" w:space="0" w:color="auto"/>
            <w:left w:val="none" w:sz="0" w:space="0" w:color="auto"/>
            <w:bottom w:val="none" w:sz="0" w:space="0" w:color="auto"/>
            <w:right w:val="none" w:sz="0" w:space="0" w:color="auto"/>
          </w:divBdr>
          <w:divsChild>
            <w:div w:id="1449470771">
              <w:marLeft w:val="0"/>
              <w:marRight w:val="0"/>
              <w:marTop w:val="0"/>
              <w:marBottom w:val="0"/>
              <w:divBdr>
                <w:top w:val="none" w:sz="0" w:space="0" w:color="auto"/>
                <w:left w:val="none" w:sz="0" w:space="0" w:color="auto"/>
                <w:bottom w:val="none" w:sz="0" w:space="0" w:color="auto"/>
                <w:right w:val="none" w:sz="0" w:space="0" w:color="auto"/>
              </w:divBdr>
            </w:div>
            <w:div w:id="17885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5132">
      <w:bodyDiv w:val="1"/>
      <w:marLeft w:val="0"/>
      <w:marRight w:val="0"/>
      <w:marTop w:val="0"/>
      <w:marBottom w:val="0"/>
      <w:divBdr>
        <w:top w:val="none" w:sz="0" w:space="0" w:color="auto"/>
        <w:left w:val="none" w:sz="0" w:space="0" w:color="auto"/>
        <w:bottom w:val="none" w:sz="0" w:space="0" w:color="auto"/>
        <w:right w:val="none" w:sz="0" w:space="0" w:color="auto"/>
      </w:divBdr>
      <w:divsChild>
        <w:div w:id="126091380">
          <w:marLeft w:val="0"/>
          <w:marRight w:val="0"/>
          <w:marTop w:val="0"/>
          <w:marBottom w:val="0"/>
          <w:divBdr>
            <w:top w:val="none" w:sz="0" w:space="0" w:color="auto"/>
            <w:left w:val="none" w:sz="0" w:space="0" w:color="auto"/>
            <w:bottom w:val="none" w:sz="0" w:space="0" w:color="auto"/>
            <w:right w:val="none" w:sz="0" w:space="0" w:color="auto"/>
          </w:divBdr>
          <w:divsChild>
            <w:div w:id="1230926055">
              <w:marLeft w:val="0"/>
              <w:marRight w:val="0"/>
              <w:marTop w:val="0"/>
              <w:marBottom w:val="0"/>
              <w:divBdr>
                <w:top w:val="none" w:sz="0" w:space="0" w:color="auto"/>
                <w:left w:val="none" w:sz="0" w:space="0" w:color="auto"/>
                <w:bottom w:val="none" w:sz="0" w:space="0" w:color="auto"/>
                <w:right w:val="none" w:sz="0" w:space="0" w:color="auto"/>
              </w:divBdr>
            </w:div>
          </w:divsChild>
        </w:div>
        <w:div w:id="201019632">
          <w:marLeft w:val="0"/>
          <w:marRight w:val="0"/>
          <w:marTop w:val="0"/>
          <w:marBottom w:val="0"/>
          <w:divBdr>
            <w:top w:val="none" w:sz="0" w:space="0" w:color="auto"/>
            <w:left w:val="none" w:sz="0" w:space="0" w:color="auto"/>
            <w:bottom w:val="none" w:sz="0" w:space="0" w:color="auto"/>
            <w:right w:val="none" w:sz="0" w:space="0" w:color="auto"/>
          </w:divBdr>
          <w:divsChild>
            <w:div w:id="431240616">
              <w:marLeft w:val="0"/>
              <w:marRight w:val="0"/>
              <w:marTop w:val="0"/>
              <w:marBottom w:val="0"/>
              <w:divBdr>
                <w:top w:val="none" w:sz="0" w:space="0" w:color="auto"/>
                <w:left w:val="none" w:sz="0" w:space="0" w:color="auto"/>
                <w:bottom w:val="none" w:sz="0" w:space="0" w:color="auto"/>
                <w:right w:val="none" w:sz="0" w:space="0" w:color="auto"/>
              </w:divBdr>
            </w:div>
          </w:divsChild>
        </w:div>
        <w:div w:id="507066135">
          <w:marLeft w:val="0"/>
          <w:marRight w:val="0"/>
          <w:marTop w:val="0"/>
          <w:marBottom w:val="0"/>
          <w:divBdr>
            <w:top w:val="none" w:sz="0" w:space="0" w:color="auto"/>
            <w:left w:val="none" w:sz="0" w:space="0" w:color="auto"/>
            <w:bottom w:val="none" w:sz="0" w:space="0" w:color="auto"/>
            <w:right w:val="none" w:sz="0" w:space="0" w:color="auto"/>
          </w:divBdr>
          <w:divsChild>
            <w:div w:id="402264397">
              <w:marLeft w:val="0"/>
              <w:marRight w:val="0"/>
              <w:marTop w:val="0"/>
              <w:marBottom w:val="0"/>
              <w:divBdr>
                <w:top w:val="none" w:sz="0" w:space="0" w:color="auto"/>
                <w:left w:val="none" w:sz="0" w:space="0" w:color="auto"/>
                <w:bottom w:val="none" w:sz="0" w:space="0" w:color="auto"/>
                <w:right w:val="none" w:sz="0" w:space="0" w:color="auto"/>
              </w:divBdr>
            </w:div>
            <w:div w:id="1196887996">
              <w:marLeft w:val="0"/>
              <w:marRight w:val="0"/>
              <w:marTop w:val="0"/>
              <w:marBottom w:val="0"/>
              <w:divBdr>
                <w:top w:val="none" w:sz="0" w:space="0" w:color="auto"/>
                <w:left w:val="none" w:sz="0" w:space="0" w:color="auto"/>
                <w:bottom w:val="none" w:sz="0" w:space="0" w:color="auto"/>
                <w:right w:val="none" w:sz="0" w:space="0" w:color="auto"/>
              </w:divBdr>
            </w:div>
          </w:divsChild>
        </w:div>
        <w:div w:id="1276139226">
          <w:marLeft w:val="0"/>
          <w:marRight w:val="0"/>
          <w:marTop w:val="0"/>
          <w:marBottom w:val="0"/>
          <w:divBdr>
            <w:top w:val="none" w:sz="0" w:space="0" w:color="auto"/>
            <w:left w:val="none" w:sz="0" w:space="0" w:color="auto"/>
            <w:bottom w:val="none" w:sz="0" w:space="0" w:color="auto"/>
            <w:right w:val="none" w:sz="0" w:space="0" w:color="auto"/>
          </w:divBdr>
          <w:divsChild>
            <w:div w:id="1813717723">
              <w:marLeft w:val="0"/>
              <w:marRight w:val="0"/>
              <w:marTop w:val="0"/>
              <w:marBottom w:val="0"/>
              <w:divBdr>
                <w:top w:val="none" w:sz="0" w:space="0" w:color="auto"/>
                <w:left w:val="none" w:sz="0" w:space="0" w:color="auto"/>
                <w:bottom w:val="none" w:sz="0" w:space="0" w:color="auto"/>
                <w:right w:val="none" w:sz="0" w:space="0" w:color="auto"/>
              </w:divBdr>
            </w:div>
          </w:divsChild>
        </w:div>
        <w:div w:id="1311128746">
          <w:marLeft w:val="0"/>
          <w:marRight w:val="0"/>
          <w:marTop w:val="0"/>
          <w:marBottom w:val="0"/>
          <w:divBdr>
            <w:top w:val="none" w:sz="0" w:space="0" w:color="auto"/>
            <w:left w:val="none" w:sz="0" w:space="0" w:color="auto"/>
            <w:bottom w:val="none" w:sz="0" w:space="0" w:color="auto"/>
            <w:right w:val="none" w:sz="0" w:space="0" w:color="auto"/>
          </w:divBdr>
          <w:divsChild>
            <w:div w:id="746809263">
              <w:marLeft w:val="0"/>
              <w:marRight w:val="0"/>
              <w:marTop w:val="0"/>
              <w:marBottom w:val="0"/>
              <w:divBdr>
                <w:top w:val="none" w:sz="0" w:space="0" w:color="auto"/>
                <w:left w:val="none" w:sz="0" w:space="0" w:color="auto"/>
                <w:bottom w:val="none" w:sz="0" w:space="0" w:color="auto"/>
                <w:right w:val="none" w:sz="0" w:space="0" w:color="auto"/>
              </w:divBdr>
            </w:div>
          </w:divsChild>
        </w:div>
        <w:div w:id="1722902653">
          <w:marLeft w:val="0"/>
          <w:marRight w:val="0"/>
          <w:marTop w:val="0"/>
          <w:marBottom w:val="0"/>
          <w:divBdr>
            <w:top w:val="none" w:sz="0" w:space="0" w:color="auto"/>
            <w:left w:val="none" w:sz="0" w:space="0" w:color="auto"/>
            <w:bottom w:val="none" w:sz="0" w:space="0" w:color="auto"/>
            <w:right w:val="none" w:sz="0" w:space="0" w:color="auto"/>
          </w:divBdr>
          <w:divsChild>
            <w:div w:id="1859003644">
              <w:marLeft w:val="0"/>
              <w:marRight w:val="0"/>
              <w:marTop w:val="0"/>
              <w:marBottom w:val="0"/>
              <w:divBdr>
                <w:top w:val="none" w:sz="0" w:space="0" w:color="auto"/>
                <w:left w:val="none" w:sz="0" w:space="0" w:color="auto"/>
                <w:bottom w:val="none" w:sz="0" w:space="0" w:color="auto"/>
                <w:right w:val="none" w:sz="0" w:space="0" w:color="auto"/>
              </w:divBdr>
            </w:div>
          </w:divsChild>
        </w:div>
        <w:div w:id="1733383061">
          <w:marLeft w:val="0"/>
          <w:marRight w:val="0"/>
          <w:marTop w:val="0"/>
          <w:marBottom w:val="0"/>
          <w:divBdr>
            <w:top w:val="none" w:sz="0" w:space="0" w:color="auto"/>
            <w:left w:val="none" w:sz="0" w:space="0" w:color="auto"/>
            <w:bottom w:val="none" w:sz="0" w:space="0" w:color="auto"/>
            <w:right w:val="none" w:sz="0" w:space="0" w:color="auto"/>
          </w:divBdr>
          <w:divsChild>
            <w:div w:id="192234620">
              <w:marLeft w:val="0"/>
              <w:marRight w:val="0"/>
              <w:marTop w:val="0"/>
              <w:marBottom w:val="0"/>
              <w:divBdr>
                <w:top w:val="none" w:sz="0" w:space="0" w:color="auto"/>
                <w:left w:val="none" w:sz="0" w:space="0" w:color="auto"/>
                <w:bottom w:val="none" w:sz="0" w:space="0" w:color="auto"/>
                <w:right w:val="none" w:sz="0" w:space="0" w:color="auto"/>
              </w:divBdr>
            </w:div>
          </w:divsChild>
        </w:div>
        <w:div w:id="1738936229">
          <w:marLeft w:val="0"/>
          <w:marRight w:val="0"/>
          <w:marTop w:val="0"/>
          <w:marBottom w:val="0"/>
          <w:divBdr>
            <w:top w:val="none" w:sz="0" w:space="0" w:color="auto"/>
            <w:left w:val="none" w:sz="0" w:space="0" w:color="auto"/>
            <w:bottom w:val="none" w:sz="0" w:space="0" w:color="auto"/>
            <w:right w:val="none" w:sz="0" w:space="0" w:color="auto"/>
          </w:divBdr>
          <w:divsChild>
            <w:div w:id="5319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361">
      <w:bodyDiv w:val="1"/>
      <w:marLeft w:val="0"/>
      <w:marRight w:val="0"/>
      <w:marTop w:val="0"/>
      <w:marBottom w:val="0"/>
      <w:divBdr>
        <w:top w:val="none" w:sz="0" w:space="0" w:color="auto"/>
        <w:left w:val="none" w:sz="0" w:space="0" w:color="auto"/>
        <w:bottom w:val="none" w:sz="0" w:space="0" w:color="auto"/>
        <w:right w:val="none" w:sz="0" w:space="0" w:color="auto"/>
      </w:divBdr>
      <w:divsChild>
        <w:div w:id="114982838">
          <w:marLeft w:val="0"/>
          <w:marRight w:val="0"/>
          <w:marTop w:val="0"/>
          <w:marBottom w:val="0"/>
          <w:divBdr>
            <w:top w:val="none" w:sz="0" w:space="0" w:color="auto"/>
            <w:left w:val="none" w:sz="0" w:space="0" w:color="auto"/>
            <w:bottom w:val="none" w:sz="0" w:space="0" w:color="auto"/>
            <w:right w:val="none" w:sz="0" w:space="0" w:color="auto"/>
          </w:divBdr>
        </w:div>
        <w:div w:id="1517229281">
          <w:marLeft w:val="0"/>
          <w:marRight w:val="0"/>
          <w:marTop w:val="0"/>
          <w:marBottom w:val="0"/>
          <w:divBdr>
            <w:top w:val="none" w:sz="0" w:space="0" w:color="auto"/>
            <w:left w:val="none" w:sz="0" w:space="0" w:color="auto"/>
            <w:bottom w:val="none" w:sz="0" w:space="0" w:color="auto"/>
            <w:right w:val="none" w:sz="0" w:space="0" w:color="auto"/>
          </w:divBdr>
        </w:div>
      </w:divsChild>
    </w:div>
    <w:div w:id="97650625">
      <w:bodyDiv w:val="1"/>
      <w:marLeft w:val="0"/>
      <w:marRight w:val="0"/>
      <w:marTop w:val="0"/>
      <w:marBottom w:val="0"/>
      <w:divBdr>
        <w:top w:val="none" w:sz="0" w:space="0" w:color="auto"/>
        <w:left w:val="none" w:sz="0" w:space="0" w:color="auto"/>
        <w:bottom w:val="none" w:sz="0" w:space="0" w:color="auto"/>
        <w:right w:val="none" w:sz="0" w:space="0" w:color="auto"/>
      </w:divBdr>
      <w:divsChild>
        <w:div w:id="48771400">
          <w:marLeft w:val="0"/>
          <w:marRight w:val="0"/>
          <w:marTop w:val="0"/>
          <w:marBottom w:val="0"/>
          <w:divBdr>
            <w:top w:val="none" w:sz="0" w:space="0" w:color="auto"/>
            <w:left w:val="none" w:sz="0" w:space="0" w:color="auto"/>
            <w:bottom w:val="none" w:sz="0" w:space="0" w:color="auto"/>
            <w:right w:val="none" w:sz="0" w:space="0" w:color="auto"/>
          </w:divBdr>
          <w:divsChild>
            <w:div w:id="1981153754">
              <w:marLeft w:val="0"/>
              <w:marRight w:val="0"/>
              <w:marTop w:val="0"/>
              <w:marBottom w:val="0"/>
              <w:divBdr>
                <w:top w:val="none" w:sz="0" w:space="0" w:color="auto"/>
                <w:left w:val="none" w:sz="0" w:space="0" w:color="auto"/>
                <w:bottom w:val="none" w:sz="0" w:space="0" w:color="auto"/>
                <w:right w:val="none" w:sz="0" w:space="0" w:color="auto"/>
              </w:divBdr>
            </w:div>
          </w:divsChild>
        </w:div>
        <w:div w:id="291139065">
          <w:marLeft w:val="0"/>
          <w:marRight w:val="0"/>
          <w:marTop w:val="0"/>
          <w:marBottom w:val="0"/>
          <w:divBdr>
            <w:top w:val="none" w:sz="0" w:space="0" w:color="auto"/>
            <w:left w:val="none" w:sz="0" w:space="0" w:color="auto"/>
            <w:bottom w:val="none" w:sz="0" w:space="0" w:color="auto"/>
            <w:right w:val="none" w:sz="0" w:space="0" w:color="auto"/>
          </w:divBdr>
          <w:divsChild>
            <w:div w:id="2082631972">
              <w:marLeft w:val="0"/>
              <w:marRight w:val="0"/>
              <w:marTop w:val="0"/>
              <w:marBottom w:val="0"/>
              <w:divBdr>
                <w:top w:val="none" w:sz="0" w:space="0" w:color="auto"/>
                <w:left w:val="none" w:sz="0" w:space="0" w:color="auto"/>
                <w:bottom w:val="none" w:sz="0" w:space="0" w:color="auto"/>
                <w:right w:val="none" w:sz="0" w:space="0" w:color="auto"/>
              </w:divBdr>
            </w:div>
          </w:divsChild>
        </w:div>
        <w:div w:id="862790328">
          <w:marLeft w:val="0"/>
          <w:marRight w:val="0"/>
          <w:marTop w:val="0"/>
          <w:marBottom w:val="0"/>
          <w:divBdr>
            <w:top w:val="none" w:sz="0" w:space="0" w:color="auto"/>
            <w:left w:val="none" w:sz="0" w:space="0" w:color="auto"/>
            <w:bottom w:val="none" w:sz="0" w:space="0" w:color="auto"/>
            <w:right w:val="none" w:sz="0" w:space="0" w:color="auto"/>
          </w:divBdr>
          <w:divsChild>
            <w:div w:id="272564936">
              <w:marLeft w:val="0"/>
              <w:marRight w:val="0"/>
              <w:marTop w:val="0"/>
              <w:marBottom w:val="0"/>
              <w:divBdr>
                <w:top w:val="none" w:sz="0" w:space="0" w:color="auto"/>
                <w:left w:val="none" w:sz="0" w:space="0" w:color="auto"/>
                <w:bottom w:val="none" w:sz="0" w:space="0" w:color="auto"/>
                <w:right w:val="none" w:sz="0" w:space="0" w:color="auto"/>
              </w:divBdr>
            </w:div>
          </w:divsChild>
        </w:div>
        <w:div w:id="1179193951">
          <w:marLeft w:val="0"/>
          <w:marRight w:val="0"/>
          <w:marTop w:val="0"/>
          <w:marBottom w:val="0"/>
          <w:divBdr>
            <w:top w:val="none" w:sz="0" w:space="0" w:color="auto"/>
            <w:left w:val="none" w:sz="0" w:space="0" w:color="auto"/>
            <w:bottom w:val="none" w:sz="0" w:space="0" w:color="auto"/>
            <w:right w:val="none" w:sz="0" w:space="0" w:color="auto"/>
          </w:divBdr>
          <w:divsChild>
            <w:div w:id="209077898">
              <w:marLeft w:val="0"/>
              <w:marRight w:val="0"/>
              <w:marTop w:val="0"/>
              <w:marBottom w:val="0"/>
              <w:divBdr>
                <w:top w:val="none" w:sz="0" w:space="0" w:color="auto"/>
                <w:left w:val="none" w:sz="0" w:space="0" w:color="auto"/>
                <w:bottom w:val="none" w:sz="0" w:space="0" w:color="auto"/>
                <w:right w:val="none" w:sz="0" w:space="0" w:color="auto"/>
              </w:divBdr>
            </w:div>
          </w:divsChild>
        </w:div>
        <w:div w:id="1255894464">
          <w:marLeft w:val="0"/>
          <w:marRight w:val="0"/>
          <w:marTop w:val="0"/>
          <w:marBottom w:val="0"/>
          <w:divBdr>
            <w:top w:val="none" w:sz="0" w:space="0" w:color="auto"/>
            <w:left w:val="none" w:sz="0" w:space="0" w:color="auto"/>
            <w:bottom w:val="none" w:sz="0" w:space="0" w:color="auto"/>
            <w:right w:val="none" w:sz="0" w:space="0" w:color="auto"/>
          </w:divBdr>
          <w:divsChild>
            <w:div w:id="1587962018">
              <w:marLeft w:val="0"/>
              <w:marRight w:val="0"/>
              <w:marTop w:val="0"/>
              <w:marBottom w:val="0"/>
              <w:divBdr>
                <w:top w:val="none" w:sz="0" w:space="0" w:color="auto"/>
                <w:left w:val="none" w:sz="0" w:space="0" w:color="auto"/>
                <w:bottom w:val="none" w:sz="0" w:space="0" w:color="auto"/>
                <w:right w:val="none" w:sz="0" w:space="0" w:color="auto"/>
              </w:divBdr>
            </w:div>
          </w:divsChild>
        </w:div>
        <w:div w:id="1306013619">
          <w:marLeft w:val="0"/>
          <w:marRight w:val="0"/>
          <w:marTop w:val="0"/>
          <w:marBottom w:val="0"/>
          <w:divBdr>
            <w:top w:val="none" w:sz="0" w:space="0" w:color="auto"/>
            <w:left w:val="none" w:sz="0" w:space="0" w:color="auto"/>
            <w:bottom w:val="none" w:sz="0" w:space="0" w:color="auto"/>
            <w:right w:val="none" w:sz="0" w:space="0" w:color="auto"/>
          </w:divBdr>
          <w:divsChild>
            <w:div w:id="81994349">
              <w:marLeft w:val="0"/>
              <w:marRight w:val="0"/>
              <w:marTop w:val="0"/>
              <w:marBottom w:val="0"/>
              <w:divBdr>
                <w:top w:val="none" w:sz="0" w:space="0" w:color="auto"/>
                <w:left w:val="none" w:sz="0" w:space="0" w:color="auto"/>
                <w:bottom w:val="none" w:sz="0" w:space="0" w:color="auto"/>
                <w:right w:val="none" w:sz="0" w:space="0" w:color="auto"/>
              </w:divBdr>
            </w:div>
          </w:divsChild>
        </w:div>
        <w:div w:id="1666666100">
          <w:marLeft w:val="0"/>
          <w:marRight w:val="0"/>
          <w:marTop w:val="0"/>
          <w:marBottom w:val="0"/>
          <w:divBdr>
            <w:top w:val="none" w:sz="0" w:space="0" w:color="auto"/>
            <w:left w:val="none" w:sz="0" w:space="0" w:color="auto"/>
            <w:bottom w:val="none" w:sz="0" w:space="0" w:color="auto"/>
            <w:right w:val="none" w:sz="0" w:space="0" w:color="auto"/>
          </w:divBdr>
          <w:divsChild>
            <w:div w:id="874854173">
              <w:marLeft w:val="0"/>
              <w:marRight w:val="0"/>
              <w:marTop w:val="0"/>
              <w:marBottom w:val="0"/>
              <w:divBdr>
                <w:top w:val="none" w:sz="0" w:space="0" w:color="auto"/>
                <w:left w:val="none" w:sz="0" w:space="0" w:color="auto"/>
                <w:bottom w:val="none" w:sz="0" w:space="0" w:color="auto"/>
                <w:right w:val="none" w:sz="0" w:space="0" w:color="auto"/>
              </w:divBdr>
            </w:div>
          </w:divsChild>
        </w:div>
        <w:div w:id="1824663734">
          <w:marLeft w:val="0"/>
          <w:marRight w:val="0"/>
          <w:marTop w:val="0"/>
          <w:marBottom w:val="0"/>
          <w:divBdr>
            <w:top w:val="none" w:sz="0" w:space="0" w:color="auto"/>
            <w:left w:val="none" w:sz="0" w:space="0" w:color="auto"/>
            <w:bottom w:val="none" w:sz="0" w:space="0" w:color="auto"/>
            <w:right w:val="none" w:sz="0" w:space="0" w:color="auto"/>
          </w:divBdr>
          <w:divsChild>
            <w:div w:id="446579739">
              <w:marLeft w:val="0"/>
              <w:marRight w:val="0"/>
              <w:marTop w:val="0"/>
              <w:marBottom w:val="0"/>
              <w:divBdr>
                <w:top w:val="none" w:sz="0" w:space="0" w:color="auto"/>
                <w:left w:val="none" w:sz="0" w:space="0" w:color="auto"/>
                <w:bottom w:val="none" w:sz="0" w:space="0" w:color="auto"/>
                <w:right w:val="none" w:sz="0" w:space="0" w:color="auto"/>
              </w:divBdr>
            </w:div>
          </w:divsChild>
        </w:div>
        <w:div w:id="1971980472">
          <w:marLeft w:val="0"/>
          <w:marRight w:val="0"/>
          <w:marTop w:val="0"/>
          <w:marBottom w:val="0"/>
          <w:divBdr>
            <w:top w:val="none" w:sz="0" w:space="0" w:color="auto"/>
            <w:left w:val="none" w:sz="0" w:space="0" w:color="auto"/>
            <w:bottom w:val="none" w:sz="0" w:space="0" w:color="auto"/>
            <w:right w:val="none" w:sz="0" w:space="0" w:color="auto"/>
          </w:divBdr>
          <w:divsChild>
            <w:div w:id="724450118">
              <w:marLeft w:val="0"/>
              <w:marRight w:val="0"/>
              <w:marTop w:val="0"/>
              <w:marBottom w:val="0"/>
              <w:divBdr>
                <w:top w:val="none" w:sz="0" w:space="0" w:color="auto"/>
                <w:left w:val="none" w:sz="0" w:space="0" w:color="auto"/>
                <w:bottom w:val="none" w:sz="0" w:space="0" w:color="auto"/>
                <w:right w:val="none" w:sz="0" w:space="0" w:color="auto"/>
              </w:divBdr>
            </w:div>
          </w:divsChild>
        </w:div>
        <w:div w:id="2077165095">
          <w:marLeft w:val="0"/>
          <w:marRight w:val="0"/>
          <w:marTop w:val="0"/>
          <w:marBottom w:val="0"/>
          <w:divBdr>
            <w:top w:val="none" w:sz="0" w:space="0" w:color="auto"/>
            <w:left w:val="none" w:sz="0" w:space="0" w:color="auto"/>
            <w:bottom w:val="none" w:sz="0" w:space="0" w:color="auto"/>
            <w:right w:val="none" w:sz="0" w:space="0" w:color="auto"/>
          </w:divBdr>
          <w:divsChild>
            <w:div w:id="16164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642">
      <w:bodyDiv w:val="1"/>
      <w:marLeft w:val="0"/>
      <w:marRight w:val="0"/>
      <w:marTop w:val="0"/>
      <w:marBottom w:val="0"/>
      <w:divBdr>
        <w:top w:val="none" w:sz="0" w:space="0" w:color="auto"/>
        <w:left w:val="none" w:sz="0" w:space="0" w:color="auto"/>
        <w:bottom w:val="none" w:sz="0" w:space="0" w:color="auto"/>
        <w:right w:val="none" w:sz="0" w:space="0" w:color="auto"/>
      </w:divBdr>
      <w:divsChild>
        <w:div w:id="13460922">
          <w:marLeft w:val="0"/>
          <w:marRight w:val="0"/>
          <w:marTop w:val="0"/>
          <w:marBottom w:val="0"/>
          <w:divBdr>
            <w:top w:val="none" w:sz="0" w:space="0" w:color="auto"/>
            <w:left w:val="none" w:sz="0" w:space="0" w:color="auto"/>
            <w:bottom w:val="none" w:sz="0" w:space="0" w:color="auto"/>
            <w:right w:val="none" w:sz="0" w:space="0" w:color="auto"/>
          </w:divBdr>
          <w:divsChild>
            <w:div w:id="904222422">
              <w:marLeft w:val="0"/>
              <w:marRight w:val="0"/>
              <w:marTop w:val="0"/>
              <w:marBottom w:val="0"/>
              <w:divBdr>
                <w:top w:val="none" w:sz="0" w:space="0" w:color="auto"/>
                <w:left w:val="none" w:sz="0" w:space="0" w:color="auto"/>
                <w:bottom w:val="none" w:sz="0" w:space="0" w:color="auto"/>
                <w:right w:val="none" w:sz="0" w:space="0" w:color="auto"/>
              </w:divBdr>
            </w:div>
          </w:divsChild>
        </w:div>
        <w:div w:id="21103163">
          <w:marLeft w:val="0"/>
          <w:marRight w:val="0"/>
          <w:marTop w:val="0"/>
          <w:marBottom w:val="0"/>
          <w:divBdr>
            <w:top w:val="none" w:sz="0" w:space="0" w:color="auto"/>
            <w:left w:val="none" w:sz="0" w:space="0" w:color="auto"/>
            <w:bottom w:val="none" w:sz="0" w:space="0" w:color="auto"/>
            <w:right w:val="none" w:sz="0" w:space="0" w:color="auto"/>
          </w:divBdr>
          <w:divsChild>
            <w:div w:id="1289050345">
              <w:marLeft w:val="0"/>
              <w:marRight w:val="0"/>
              <w:marTop w:val="0"/>
              <w:marBottom w:val="0"/>
              <w:divBdr>
                <w:top w:val="none" w:sz="0" w:space="0" w:color="auto"/>
                <w:left w:val="none" w:sz="0" w:space="0" w:color="auto"/>
                <w:bottom w:val="none" w:sz="0" w:space="0" w:color="auto"/>
                <w:right w:val="none" w:sz="0" w:space="0" w:color="auto"/>
              </w:divBdr>
            </w:div>
          </w:divsChild>
        </w:div>
        <w:div w:id="64499467">
          <w:marLeft w:val="0"/>
          <w:marRight w:val="0"/>
          <w:marTop w:val="0"/>
          <w:marBottom w:val="0"/>
          <w:divBdr>
            <w:top w:val="none" w:sz="0" w:space="0" w:color="auto"/>
            <w:left w:val="none" w:sz="0" w:space="0" w:color="auto"/>
            <w:bottom w:val="none" w:sz="0" w:space="0" w:color="auto"/>
            <w:right w:val="none" w:sz="0" w:space="0" w:color="auto"/>
          </w:divBdr>
          <w:divsChild>
            <w:div w:id="547763123">
              <w:marLeft w:val="0"/>
              <w:marRight w:val="0"/>
              <w:marTop w:val="0"/>
              <w:marBottom w:val="0"/>
              <w:divBdr>
                <w:top w:val="none" w:sz="0" w:space="0" w:color="auto"/>
                <w:left w:val="none" w:sz="0" w:space="0" w:color="auto"/>
                <w:bottom w:val="none" w:sz="0" w:space="0" w:color="auto"/>
                <w:right w:val="none" w:sz="0" w:space="0" w:color="auto"/>
              </w:divBdr>
            </w:div>
          </w:divsChild>
        </w:div>
        <w:div w:id="68625902">
          <w:marLeft w:val="0"/>
          <w:marRight w:val="0"/>
          <w:marTop w:val="0"/>
          <w:marBottom w:val="0"/>
          <w:divBdr>
            <w:top w:val="none" w:sz="0" w:space="0" w:color="auto"/>
            <w:left w:val="none" w:sz="0" w:space="0" w:color="auto"/>
            <w:bottom w:val="none" w:sz="0" w:space="0" w:color="auto"/>
            <w:right w:val="none" w:sz="0" w:space="0" w:color="auto"/>
          </w:divBdr>
          <w:divsChild>
            <w:div w:id="1157262127">
              <w:marLeft w:val="0"/>
              <w:marRight w:val="0"/>
              <w:marTop w:val="0"/>
              <w:marBottom w:val="0"/>
              <w:divBdr>
                <w:top w:val="none" w:sz="0" w:space="0" w:color="auto"/>
                <w:left w:val="none" w:sz="0" w:space="0" w:color="auto"/>
                <w:bottom w:val="none" w:sz="0" w:space="0" w:color="auto"/>
                <w:right w:val="none" w:sz="0" w:space="0" w:color="auto"/>
              </w:divBdr>
            </w:div>
          </w:divsChild>
        </w:div>
        <w:div w:id="75175556">
          <w:marLeft w:val="0"/>
          <w:marRight w:val="0"/>
          <w:marTop w:val="0"/>
          <w:marBottom w:val="0"/>
          <w:divBdr>
            <w:top w:val="none" w:sz="0" w:space="0" w:color="auto"/>
            <w:left w:val="none" w:sz="0" w:space="0" w:color="auto"/>
            <w:bottom w:val="none" w:sz="0" w:space="0" w:color="auto"/>
            <w:right w:val="none" w:sz="0" w:space="0" w:color="auto"/>
          </w:divBdr>
          <w:divsChild>
            <w:div w:id="1209562584">
              <w:marLeft w:val="0"/>
              <w:marRight w:val="0"/>
              <w:marTop w:val="0"/>
              <w:marBottom w:val="0"/>
              <w:divBdr>
                <w:top w:val="none" w:sz="0" w:space="0" w:color="auto"/>
                <w:left w:val="none" w:sz="0" w:space="0" w:color="auto"/>
                <w:bottom w:val="none" w:sz="0" w:space="0" w:color="auto"/>
                <w:right w:val="none" w:sz="0" w:space="0" w:color="auto"/>
              </w:divBdr>
            </w:div>
          </w:divsChild>
        </w:div>
        <w:div w:id="100226627">
          <w:marLeft w:val="0"/>
          <w:marRight w:val="0"/>
          <w:marTop w:val="0"/>
          <w:marBottom w:val="0"/>
          <w:divBdr>
            <w:top w:val="none" w:sz="0" w:space="0" w:color="auto"/>
            <w:left w:val="none" w:sz="0" w:space="0" w:color="auto"/>
            <w:bottom w:val="none" w:sz="0" w:space="0" w:color="auto"/>
            <w:right w:val="none" w:sz="0" w:space="0" w:color="auto"/>
          </w:divBdr>
          <w:divsChild>
            <w:div w:id="1312561310">
              <w:marLeft w:val="0"/>
              <w:marRight w:val="0"/>
              <w:marTop w:val="0"/>
              <w:marBottom w:val="0"/>
              <w:divBdr>
                <w:top w:val="none" w:sz="0" w:space="0" w:color="auto"/>
                <w:left w:val="none" w:sz="0" w:space="0" w:color="auto"/>
                <w:bottom w:val="none" w:sz="0" w:space="0" w:color="auto"/>
                <w:right w:val="none" w:sz="0" w:space="0" w:color="auto"/>
              </w:divBdr>
            </w:div>
          </w:divsChild>
        </w:div>
        <w:div w:id="106319139">
          <w:marLeft w:val="0"/>
          <w:marRight w:val="0"/>
          <w:marTop w:val="0"/>
          <w:marBottom w:val="0"/>
          <w:divBdr>
            <w:top w:val="none" w:sz="0" w:space="0" w:color="auto"/>
            <w:left w:val="none" w:sz="0" w:space="0" w:color="auto"/>
            <w:bottom w:val="none" w:sz="0" w:space="0" w:color="auto"/>
            <w:right w:val="none" w:sz="0" w:space="0" w:color="auto"/>
          </w:divBdr>
          <w:divsChild>
            <w:div w:id="1445150885">
              <w:marLeft w:val="0"/>
              <w:marRight w:val="0"/>
              <w:marTop w:val="0"/>
              <w:marBottom w:val="0"/>
              <w:divBdr>
                <w:top w:val="none" w:sz="0" w:space="0" w:color="auto"/>
                <w:left w:val="none" w:sz="0" w:space="0" w:color="auto"/>
                <w:bottom w:val="none" w:sz="0" w:space="0" w:color="auto"/>
                <w:right w:val="none" w:sz="0" w:space="0" w:color="auto"/>
              </w:divBdr>
            </w:div>
          </w:divsChild>
        </w:div>
        <w:div w:id="115026172">
          <w:marLeft w:val="0"/>
          <w:marRight w:val="0"/>
          <w:marTop w:val="0"/>
          <w:marBottom w:val="0"/>
          <w:divBdr>
            <w:top w:val="none" w:sz="0" w:space="0" w:color="auto"/>
            <w:left w:val="none" w:sz="0" w:space="0" w:color="auto"/>
            <w:bottom w:val="none" w:sz="0" w:space="0" w:color="auto"/>
            <w:right w:val="none" w:sz="0" w:space="0" w:color="auto"/>
          </w:divBdr>
          <w:divsChild>
            <w:div w:id="615255401">
              <w:marLeft w:val="0"/>
              <w:marRight w:val="0"/>
              <w:marTop w:val="0"/>
              <w:marBottom w:val="0"/>
              <w:divBdr>
                <w:top w:val="none" w:sz="0" w:space="0" w:color="auto"/>
                <w:left w:val="none" w:sz="0" w:space="0" w:color="auto"/>
                <w:bottom w:val="none" w:sz="0" w:space="0" w:color="auto"/>
                <w:right w:val="none" w:sz="0" w:space="0" w:color="auto"/>
              </w:divBdr>
            </w:div>
          </w:divsChild>
        </w:div>
        <w:div w:id="120197326">
          <w:marLeft w:val="0"/>
          <w:marRight w:val="0"/>
          <w:marTop w:val="0"/>
          <w:marBottom w:val="0"/>
          <w:divBdr>
            <w:top w:val="none" w:sz="0" w:space="0" w:color="auto"/>
            <w:left w:val="none" w:sz="0" w:space="0" w:color="auto"/>
            <w:bottom w:val="none" w:sz="0" w:space="0" w:color="auto"/>
            <w:right w:val="none" w:sz="0" w:space="0" w:color="auto"/>
          </w:divBdr>
          <w:divsChild>
            <w:div w:id="1847161180">
              <w:marLeft w:val="0"/>
              <w:marRight w:val="0"/>
              <w:marTop w:val="0"/>
              <w:marBottom w:val="0"/>
              <w:divBdr>
                <w:top w:val="none" w:sz="0" w:space="0" w:color="auto"/>
                <w:left w:val="none" w:sz="0" w:space="0" w:color="auto"/>
                <w:bottom w:val="none" w:sz="0" w:space="0" w:color="auto"/>
                <w:right w:val="none" w:sz="0" w:space="0" w:color="auto"/>
              </w:divBdr>
            </w:div>
          </w:divsChild>
        </w:div>
        <w:div w:id="150029955">
          <w:marLeft w:val="0"/>
          <w:marRight w:val="0"/>
          <w:marTop w:val="0"/>
          <w:marBottom w:val="0"/>
          <w:divBdr>
            <w:top w:val="none" w:sz="0" w:space="0" w:color="auto"/>
            <w:left w:val="none" w:sz="0" w:space="0" w:color="auto"/>
            <w:bottom w:val="none" w:sz="0" w:space="0" w:color="auto"/>
            <w:right w:val="none" w:sz="0" w:space="0" w:color="auto"/>
          </w:divBdr>
          <w:divsChild>
            <w:div w:id="1534877012">
              <w:marLeft w:val="0"/>
              <w:marRight w:val="0"/>
              <w:marTop w:val="0"/>
              <w:marBottom w:val="0"/>
              <w:divBdr>
                <w:top w:val="none" w:sz="0" w:space="0" w:color="auto"/>
                <w:left w:val="none" w:sz="0" w:space="0" w:color="auto"/>
                <w:bottom w:val="none" w:sz="0" w:space="0" w:color="auto"/>
                <w:right w:val="none" w:sz="0" w:space="0" w:color="auto"/>
              </w:divBdr>
            </w:div>
          </w:divsChild>
        </w:div>
        <w:div w:id="152533755">
          <w:marLeft w:val="0"/>
          <w:marRight w:val="0"/>
          <w:marTop w:val="0"/>
          <w:marBottom w:val="0"/>
          <w:divBdr>
            <w:top w:val="none" w:sz="0" w:space="0" w:color="auto"/>
            <w:left w:val="none" w:sz="0" w:space="0" w:color="auto"/>
            <w:bottom w:val="none" w:sz="0" w:space="0" w:color="auto"/>
            <w:right w:val="none" w:sz="0" w:space="0" w:color="auto"/>
          </w:divBdr>
          <w:divsChild>
            <w:div w:id="1346862229">
              <w:marLeft w:val="0"/>
              <w:marRight w:val="0"/>
              <w:marTop w:val="0"/>
              <w:marBottom w:val="0"/>
              <w:divBdr>
                <w:top w:val="none" w:sz="0" w:space="0" w:color="auto"/>
                <w:left w:val="none" w:sz="0" w:space="0" w:color="auto"/>
                <w:bottom w:val="none" w:sz="0" w:space="0" w:color="auto"/>
                <w:right w:val="none" w:sz="0" w:space="0" w:color="auto"/>
              </w:divBdr>
            </w:div>
          </w:divsChild>
        </w:div>
        <w:div w:id="165171758">
          <w:marLeft w:val="0"/>
          <w:marRight w:val="0"/>
          <w:marTop w:val="0"/>
          <w:marBottom w:val="0"/>
          <w:divBdr>
            <w:top w:val="none" w:sz="0" w:space="0" w:color="auto"/>
            <w:left w:val="none" w:sz="0" w:space="0" w:color="auto"/>
            <w:bottom w:val="none" w:sz="0" w:space="0" w:color="auto"/>
            <w:right w:val="none" w:sz="0" w:space="0" w:color="auto"/>
          </w:divBdr>
          <w:divsChild>
            <w:div w:id="692344478">
              <w:marLeft w:val="0"/>
              <w:marRight w:val="0"/>
              <w:marTop w:val="0"/>
              <w:marBottom w:val="0"/>
              <w:divBdr>
                <w:top w:val="none" w:sz="0" w:space="0" w:color="auto"/>
                <w:left w:val="none" w:sz="0" w:space="0" w:color="auto"/>
                <w:bottom w:val="none" w:sz="0" w:space="0" w:color="auto"/>
                <w:right w:val="none" w:sz="0" w:space="0" w:color="auto"/>
              </w:divBdr>
            </w:div>
          </w:divsChild>
        </w:div>
        <w:div w:id="173349795">
          <w:marLeft w:val="0"/>
          <w:marRight w:val="0"/>
          <w:marTop w:val="0"/>
          <w:marBottom w:val="0"/>
          <w:divBdr>
            <w:top w:val="none" w:sz="0" w:space="0" w:color="auto"/>
            <w:left w:val="none" w:sz="0" w:space="0" w:color="auto"/>
            <w:bottom w:val="none" w:sz="0" w:space="0" w:color="auto"/>
            <w:right w:val="none" w:sz="0" w:space="0" w:color="auto"/>
          </w:divBdr>
          <w:divsChild>
            <w:div w:id="1316569833">
              <w:marLeft w:val="0"/>
              <w:marRight w:val="0"/>
              <w:marTop w:val="0"/>
              <w:marBottom w:val="0"/>
              <w:divBdr>
                <w:top w:val="none" w:sz="0" w:space="0" w:color="auto"/>
                <w:left w:val="none" w:sz="0" w:space="0" w:color="auto"/>
                <w:bottom w:val="none" w:sz="0" w:space="0" w:color="auto"/>
                <w:right w:val="none" w:sz="0" w:space="0" w:color="auto"/>
              </w:divBdr>
            </w:div>
          </w:divsChild>
        </w:div>
        <w:div w:id="195316069">
          <w:marLeft w:val="0"/>
          <w:marRight w:val="0"/>
          <w:marTop w:val="0"/>
          <w:marBottom w:val="0"/>
          <w:divBdr>
            <w:top w:val="none" w:sz="0" w:space="0" w:color="auto"/>
            <w:left w:val="none" w:sz="0" w:space="0" w:color="auto"/>
            <w:bottom w:val="none" w:sz="0" w:space="0" w:color="auto"/>
            <w:right w:val="none" w:sz="0" w:space="0" w:color="auto"/>
          </w:divBdr>
          <w:divsChild>
            <w:div w:id="1719623894">
              <w:marLeft w:val="0"/>
              <w:marRight w:val="0"/>
              <w:marTop w:val="0"/>
              <w:marBottom w:val="0"/>
              <w:divBdr>
                <w:top w:val="none" w:sz="0" w:space="0" w:color="auto"/>
                <w:left w:val="none" w:sz="0" w:space="0" w:color="auto"/>
                <w:bottom w:val="none" w:sz="0" w:space="0" w:color="auto"/>
                <w:right w:val="none" w:sz="0" w:space="0" w:color="auto"/>
              </w:divBdr>
            </w:div>
          </w:divsChild>
        </w:div>
        <w:div w:id="244463963">
          <w:marLeft w:val="0"/>
          <w:marRight w:val="0"/>
          <w:marTop w:val="0"/>
          <w:marBottom w:val="0"/>
          <w:divBdr>
            <w:top w:val="none" w:sz="0" w:space="0" w:color="auto"/>
            <w:left w:val="none" w:sz="0" w:space="0" w:color="auto"/>
            <w:bottom w:val="none" w:sz="0" w:space="0" w:color="auto"/>
            <w:right w:val="none" w:sz="0" w:space="0" w:color="auto"/>
          </w:divBdr>
          <w:divsChild>
            <w:div w:id="1074933340">
              <w:marLeft w:val="0"/>
              <w:marRight w:val="0"/>
              <w:marTop w:val="0"/>
              <w:marBottom w:val="0"/>
              <w:divBdr>
                <w:top w:val="none" w:sz="0" w:space="0" w:color="auto"/>
                <w:left w:val="none" w:sz="0" w:space="0" w:color="auto"/>
                <w:bottom w:val="none" w:sz="0" w:space="0" w:color="auto"/>
                <w:right w:val="none" w:sz="0" w:space="0" w:color="auto"/>
              </w:divBdr>
            </w:div>
          </w:divsChild>
        </w:div>
        <w:div w:id="246185840">
          <w:marLeft w:val="0"/>
          <w:marRight w:val="0"/>
          <w:marTop w:val="0"/>
          <w:marBottom w:val="0"/>
          <w:divBdr>
            <w:top w:val="none" w:sz="0" w:space="0" w:color="auto"/>
            <w:left w:val="none" w:sz="0" w:space="0" w:color="auto"/>
            <w:bottom w:val="none" w:sz="0" w:space="0" w:color="auto"/>
            <w:right w:val="none" w:sz="0" w:space="0" w:color="auto"/>
          </w:divBdr>
          <w:divsChild>
            <w:div w:id="1671255203">
              <w:marLeft w:val="0"/>
              <w:marRight w:val="0"/>
              <w:marTop w:val="0"/>
              <w:marBottom w:val="0"/>
              <w:divBdr>
                <w:top w:val="none" w:sz="0" w:space="0" w:color="auto"/>
                <w:left w:val="none" w:sz="0" w:space="0" w:color="auto"/>
                <w:bottom w:val="none" w:sz="0" w:space="0" w:color="auto"/>
                <w:right w:val="none" w:sz="0" w:space="0" w:color="auto"/>
              </w:divBdr>
            </w:div>
          </w:divsChild>
        </w:div>
        <w:div w:id="271978286">
          <w:marLeft w:val="0"/>
          <w:marRight w:val="0"/>
          <w:marTop w:val="0"/>
          <w:marBottom w:val="0"/>
          <w:divBdr>
            <w:top w:val="none" w:sz="0" w:space="0" w:color="auto"/>
            <w:left w:val="none" w:sz="0" w:space="0" w:color="auto"/>
            <w:bottom w:val="none" w:sz="0" w:space="0" w:color="auto"/>
            <w:right w:val="none" w:sz="0" w:space="0" w:color="auto"/>
          </w:divBdr>
          <w:divsChild>
            <w:div w:id="354498301">
              <w:marLeft w:val="0"/>
              <w:marRight w:val="0"/>
              <w:marTop w:val="0"/>
              <w:marBottom w:val="0"/>
              <w:divBdr>
                <w:top w:val="none" w:sz="0" w:space="0" w:color="auto"/>
                <w:left w:val="none" w:sz="0" w:space="0" w:color="auto"/>
                <w:bottom w:val="none" w:sz="0" w:space="0" w:color="auto"/>
                <w:right w:val="none" w:sz="0" w:space="0" w:color="auto"/>
              </w:divBdr>
            </w:div>
          </w:divsChild>
        </w:div>
        <w:div w:id="297228316">
          <w:marLeft w:val="0"/>
          <w:marRight w:val="0"/>
          <w:marTop w:val="0"/>
          <w:marBottom w:val="0"/>
          <w:divBdr>
            <w:top w:val="none" w:sz="0" w:space="0" w:color="auto"/>
            <w:left w:val="none" w:sz="0" w:space="0" w:color="auto"/>
            <w:bottom w:val="none" w:sz="0" w:space="0" w:color="auto"/>
            <w:right w:val="none" w:sz="0" w:space="0" w:color="auto"/>
          </w:divBdr>
          <w:divsChild>
            <w:div w:id="746659602">
              <w:marLeft w:val="0"/>
              <w:marRight w:val="0"/>
              <w:marTop w:val="0"/>
              <w:marBottom w:val="0"/>
              <w:divBdr>
                <w:top w:val="none" w:sz="0" w:space="0" w:color="auto"/>
                <w:left w:val="none" w:sz="0" w:space="0" w:color="auto"/>
                <w:bottom w:val="none" w:sz="0" w:space="0" w:color="auto"/>
                <w:right w:val="none" w:sz="0" w:space="0" w:color="auto"/>
              </w:divBdr>
            </w:div>
          </w:divsChild>
        </w:div>
        <w:div w:id="319312842">
          <w:marLeft w:val="0"/>
          <w:marRight w:val="0"/>
          <w:marTop w:val="0"/>
          <w:marBottom w:val="0"/>
          <w:divBdr>
            <w:top w:val="none" w:sz="0" w:space="0" w:color="auto"/>
            <w:left w:val="none" w:sz="0" w:space="0" w:color="auto"/>
            <w:bottom w:val="none" w:sz="0" w:space="0" w:color="auto"/>
            <w:right w:val="none" w:sz="0" w:space="0" w:color="auto"/>
          </w:divBdr>
          <w:divsChild>
            <w:div w:id="2132361294">
              <w:marLeft w:val="0"/>
              <w:marRight w:val="0"/>
              <w:marTop w:val="0"/>
              <w:marBottom w:val="0"/>
              <w:divBdr>
                <w:top w:val="none" w:sz="0" w:space="0" w:color="auto"/>
                <w:left w:val="none" w:sz="0" w:space="0" w:color="auto"/>
                <w:bottom w:val="none" w:sz="0" w:space="0" w:color="auto"/>
                <w:right w:val="none" w:sz="0" w:space="0" w:color="auto"/>
              </w:divBdr>
            </w:div>
          </w:divsChild>
        </w:div>
        <w:div w:id="321616952">
          <w:marLeft w:val="0"/>
          <w:marRight w:val="0"/>
          <w:marTop w:val="0"/>
          <w:marBottom w:val="0"/>
          <w:divBdr>
            <w:top w:val="none" w:sz="0" w:space="0" w:color="auto"/>
            <w:left w:val="none" w:sz="0" w:space="0" w:color="auto"/>
            <w:bottom w:val="none" w:sz="0" w:space="0" w:color="auto"/>
            <w:right w:val="none" w:sz="0" w:space="0" w:color="auto"/>
          </w:divBdr>
          <w:divsChild>
            <w:div w:id="219366478">
              <w:marLeft w:val="0"/>
              <w:marRight w:val="0"/>
              <w:marTop w:val="0"/>
              <w:marBottom w:val="0"/>
              <w:divBdr>
                <w:top w:val="none" w:sz="0" w:space="0" w:color="auto"/>
                <w:left w:val="none" w:sz="0" w:space="0" w:color="auto"/>
                <w:bottom w:val="none" w:sz="0" w:space="0" w:color="auto"/>
                <w:right w:val="none" w:sz="0" w:space="0" w:color="auto"/>
              </w:divBdr>
            </w:div>
          </w:divsChild>
        </w:div>
        <w:div w:id="326326991">
          <w:marLeft w:val="0"/>
          <w:marRight w:val="0"/>
          <w:marTop w:val="0"/>
          <w:marBottom w:val="0"/>
          <w:divBdr>
            <w:top w:val="none" w:sz="0" w:space="0" w:color="auto"/>
            <w:left w:val="none" w:sz="0" w:space="0" w:color="auto"/>
            <w:bottom w:val="none" w:sz="0" w:space="0" w:color="auto"/>
            <w:right w:val="none" w:sz="0" w:space="0" w:color="auto"/>
          </w:divBdr>
          <w:divsChild>
            <w:div w:id="1289899010">
              <w:marLeft w:val="0"/>
              <w:marRight w:val="0"/>
              <w:marTop w:val="0"/>
              <w:marBottom w:val="0"/>
              <w:divBdr>
                <w:top w:val="none" w:sz="0" w:space="0" w:color="auto"/>
                <w:left w:val="none" w:sz="0" w:space="0" w:color="auto"/>
                <w:bottom w:val="none" w:sz="0" w:space="0" w:color="auto"/>
                <w:right w:val="none" w:sz="0" w:space="0" w:color="auto"/>
              </w:divBdr>
            </w:div>
          </w:divsChild>
        </w:div>
        <w:div w:id="357662469">
          <w:marLeft w:val="0"/>
          <w:marRight w:val="0"/>
          <w:marTop w:val="0"/>
          <w:marBottom w:val="0"/>
          <w:divBdr>
            <w:top w:val="none" w:sz="0" w:space="0" w:color="auto"/>
            <w:left w:val="none" w:sz="0" w:space="0" w:color="auto"/>
            <w:bottom w:val="none" w:sz="0" w:space="0" w:color="auto"/>
            <w:right w:val="none" w:sz="0" w:space="0" w:color="auto"/>
          </w:divBdr>
          <w:divsChild>
            <w:div w:id="953102213">
              <w:marLeft w:val="0"/>
              <w:marRight w:val="0"/>
              <w:marTop w:val="0"/>
              <w:marBottom w:val="0"/>
              <w:divBdr>
                <w:top w:val="none" w:sz="0" w:space="0" w:color="auto"/>
                <w:left w:val="none" w:sz="0" w:space="0" w:color="auto"/>
                <w:bottom w:val="none" w:sz="0" w:space="0" w:color="auto"/>
                <w:right w:val="none" w:sz="0" w:space="0" w:color="auto"/>
              </w:divBdr>
            </w:div>
          </w:divsChild>
        </w:div>
        <w:div w:id="358438886">
          <w:marLeft w:val="0"/>
          <w:marRight w:val="0"/>
          <w:marTop w:val="0"/>
          <w:marBottom w:val="0"/>
          <w:divBdr>
            <w:top w:val="none" w:sz="0" w:space="0" w:color="auto"/>
            <w:left w:val="none" w:sz="0" w:space="0" w:color="auto"/>
            <w:bottom w:val="none" w:sz="0" w:space="0" w:color="auto"/>
            <w:right w:val="none" w:sz="0" w:space="0" w:color="auto"/>
          </w:divBdr>
          <w:divsChild>
            <w:div w:id="1975207938">
              <w:marLeft w:val="0"/>
              <w:marRight w:val="0"/>
              <w:marTop w:val="0"/>
              <w:marBottom w:val="0"/>
              <w:divBdr>
                <w:top w:val="none" w:sz="0" w:space="0" w:color="auto"/>
                <w:left w:val="none" w:sz="0" w:space="0" w:color="auto"/>
                <w:bottom w:val="none" w:sz="0" w:space="0" w:color="auto"/>
                <w:right w:val="none" w:sz="0" w:space="0" w:color="auto"/>
              </w:divBdr>
            </w:div>
          </w:divsChild>
        </w:div>
        <w:div w:id="370614231">
          <w:marLeft w:val="0"/>
          <w:marRight w:val="0"/>
          <w:marTop w:val="0"/>
          <w:marBottom w:val="0"/>
          <w:divBdr>
            <w:top w:val="none" w:sz="0" w:space="0" w:color="auto"/>
            <w:left w:val="none" w:sz="0" w:space="0" w:color="auto"/>
            <w:bottom w:val="none" w:sz="0" w:space="0" w:color="auto"/>
            <w:right w:val="none" w:sz="0" w:space="0" w:color="auto"/>
          </w:divBdr>
          <w:divsChild>
            <w:div w:id="854340262">
              <w:marLeft w:val="0"/>
              <w:marRight w:val="0"/>
              <w:marTop w:val="0"/>
              <w:marBottom w:val="0"/>
              <w:divBdr>
                <w:top w:val="none" w:sz="0" w:space="0" w:color="auto"/>
                <w:left w:val="none" w:sz="0" w:space="0" w:color="auto"/>
                <w:bottom w:val="none" w:sz="0" w:space="0" w:color="auto"/>
                <w:right w:val="none" w:sz="0" w:space="0" w:color="auto"/>
              </w:divBdr>
            </w:div>
          </w:divsChild>
        </w:div>
        <w:div w:id="377050722">
          <w:marLeft w:val="0"/>
          <w:marRight w:val="0"/>
          <w:marTop w:val="0"/>
          <w:marBottom w:val="0"/>
          <w:divBdr>
            <w:top w:val="none" w:sz="0" w:space="0" w:color="auto"/>
            <w:left w:val="none" w:sz="0" w:space="0" w:color="auto"/>
            <w:bottom w:val="none" w:sz="0" w:space="0" w:color="auto"/>
            <w:right w:val="none" w:sz="0" w:space="0" w:color="auto"/>
          </w:divBdr>
          <w:divsChild>
            <w:div w:id="221914872">
              <w:marLeft w:val="0"/>
              <w:marRight w:val="0"/>
              <w:marTop w:val="0"/>
              <w:marBottom w:val="0"/>
              <w:divBdr>
                <w:top w:val="none" w:sz="0" w:space="0" w:color="auto"/>
                <w:left w:val="none" w:sz="0" w:space="0" w:color="auto"/>
                <w:bottom w:val="none" w:sz="0" w:space="0" w:color="auto"/>
                <w:right w:val="none" w:sz="0" w:space="0" w:color="auto"/>
              </w:divBdr>
            </w:div>
          </w:divsChild>
        </w:div>
        <w:div w:id="383913969">
          <w:marLeft w:val="0"/>
          <w:marRight w:val="0"/>
          <w:marTop w:val="0"/>
          <w:marBottom w:val="0"/>
          <w:divBdr>
            <w:top w:val="none" w:sz="0" w:space="0" w:color="auto"/>
            <w:left w:val="none" w:sz="0" w:space="0" w:color="auto"/>
            <w:bottom w:val="none" w:sz="0" w:space="0" w:color="auto"/>
            <w:right w:val="none" w:sz="0" w:space="0" w:color="auto"/>
          </w:divBdr>
          <w:divsChild>
            <w:div w:id="1496072691">
              <w:marLeft w:val="0"/>
              <w:marRight w:val="0"/>
              <w:marTop w:val="0"/>
              <w:marBottom w:val="0"/>
              <w:divBdr>
                <w:top w:val="none" w:sz="0" w:space="0" w:color="auto"/>
                <w:left w:val="none" w:sz="0" w:space="0" w:color="auto"/>
                <w:bottom w:val="none" w:sz="0" w:space="0" w:color="auto"/>
                <w:right w:val="none" w:sz="0" w:space="0" w:color="auto"/>
              </w:divBdr>
            </w:div>
          </w:divsChild>
        </w:div>
        <w:div w:id="441651940">
          <w:marLeft w:val="0"/>
          <w:marRight w:val="0"/>
          <w:marTop w:val="0"/>
          <w:marBottom w:val="0"/>
          <w:divBdr>
            <w:top w:val="none" w:sz="0" w:space="0" w:color="auto"/>
            <w:left w:val="none" w:sz="0" w:space="0" w:color="auto"/>
            <w:bottom w:val="none" w:sz="0" w:space="0" w:color="auto"/>
            <w:right w:val="none" w:sz="0" w:space="0" w:color="auto"/>
          </w:divBdr>
          <w:divsChild>
            <w:div w:id="134569197">
              <w:marLeft w:val="0"/>
              <w:marRight w:val="0"/>
              <w:marTop w:val="0"/>
              <w:marBottom w:val="0"/>
              <w:divBdr>
                <w:top w:val="none" w:sz="0" w:space="0" w:color="auto"/>
                <w:left w:val="none" w:sz="0" w:space="0" w:color="auto"/>
                <w:bottom w:val="none" w:sz="0" w:space="0" w:color="auto"/>
                <w:right w:val="none" w:sz="0" w:space="0" w:color="auto"/>
              </w:divBdr>
            </w:div>
          </w:divsChild>
        </w:div>
        <w:div w:id="455372762">
          <w:marLeft w:val="0"/>
          <w:marRight w:val="0"/>
          <w:marTop w:val="0"/>
          <w:marBottom w:val="0"/>
          <w:divBdr>
            <w:top w:val="none" w:sz="0" w:space="0" w:color="auto"/>
            <w:left w:val="none" w:sz="0" w:space="0" w:color="auto"/>
            <w:bottom w:val="none" w:sz="0" w:space="0" w:color="auto"/>
            <w:right w:val="none" w:sz="0" w:space="0" w:color="auto"/>
          </w:divBdr>
          <w:divsChild>
            <w:div w:id="440032433">
              <w:marLeft w:val="0"/>
              <w:marRight w:val="0"/>
              <w:marTop w:val="0"/>
              <w:marBottom w:val="0"/>
              <w:divBdr>
                <w:top w:val="none" w:sz="0" w:space="0" w:color="auto"/>
                <w:left w:val="none" w:sz="0" w:space="0" w:color="auto"/>
                <w:bottom w:val="none" w:sz="0" w:space="0" w:color="auto"/>
                <w:right w:val="none" w:sz="0" w:space="0" w:color="auto"/>
              </w:divBdr>
            </w:div>
          </w:divsChild>
        </w:div>
        <w:div w:id="496113174">
          <w:marLeft w:val="0"/>
          <w:marRight w:val="0"/>
          <w:marTop w:val="0"/>
          <w:marBottom w:val="0"/>
          <w:divBdr>
            <w:top w:val="none" w:sz="0" w:space="0" w:color="auto"/>
            <w:left w:val="none" w:sz="0" w:space="0" w:color="auto"/>
            <w:bottom w:val="none" w:sz="0" w:space="0" w:color="auto"/>
            <w:right w:val="none" w:sz="0" w:space="0" w:color="auto"/>
          </w:divBdr>
          <w:divsChild>
            <w:div w:id="1273703454">
              <w:marLeft w:val="0"/>
              <w:marRight w:val="0"/>
              <w:marTop w:val="0"/>
              <w:marBottom w:val="0"/>
              <w:divBdr>
                <w:top w:val="none" w:sz="0" w:space="0" w:color="auto"/>
                <w:left w:val="none" w:sz="0" w:space="0" w:color="auto"/>
                <w:bottom w:val="none" w:sz="0" w:space="0" w:color="auto"/>
                <w:right w:val="none" w:sz="0" w:space="0" w:color="auto"/>
              </w:divBdr>
            </w:div>
          </w:divsChild>
        </w:div>
        <w:div w:id="519321978">
          <w:marLeft w:val="0"/>
          <w:marRight w:val="0"/>
          <w:marTop w:val="0"/>
          <w:marBottom w:val="0"/>
          <w:divBdr>
            <w:top w:val="none" w:sz="0" w:space="0" w:color="auto"/>
            <w:left w:val="none" w:sz="0" w:space="0" w:color="auto"/>
            <w:bottom w:val="none" w:sz="0" w:space="0" w:color="auto"/>
            <w:right w:val="none" w:sz="0" w:space="0" w:color="auto"/>
          </w:divBdr>
          <w:divsChild>
            <w:div w:id="658269659">
              <w:marLeft w:val="0"/>
              <w:marRight w:val="0"/>
              <w:marTop w:val="0"/>
              <w:marBottom w:val="0"/>
              <w:divBdr>
                <w:top w:val="none" w:sz="0" w:space="0" w:color="auto"/>
                <w:left w:val="none" w:sz="0" w:space="0" w:color="auto"/>
                <w:bottom w:val="none" w:sz="0" w:space="0" w:color="auto"/>
                <w:right w:val="none" w:sz="0" w:space="0" w:color="auto"/>
              </w:divBdr>
            </w:div>
          </w:divsChild>
        </w:div>
        <w:div w:id="537280016">
          <w:marLeft w:val="0"/>
          <w:marRight w:val="0"/>
          <w:marTop w:val="0"/>
          <w:marBottom w:val="0"/>
          <w:divBdr>
            <w:top w:val="none" w:sz="0" w:space="0" w:color="auto"/>
            <w:left w:val="none" w:sz="0" w:space="0" w:color="auto"/>
            <w:bottom w:val="none" w:sz="0" w:space="0" w:color="auto"/>
            <w:right w:val="none" w:sz="0" w:space="0" w:color="auto"/>
          </w:divBdr>
          <w:divsChild>
            <w:div w:id="32385934">
              <w:marLeft w:val="0"/>
              <w:marRight w:val="0"/>
              <w:marTop w:val="0"/>
              <w:marBottom w:val="0"/>
              <w:divBdr>
                <w:top w:val="none" w:sz="0" w:space="0" w:color="auto"/>
                <w:left w:val="none" w:sz="0" w:space="0" w:color="auto"/>
                <w:bottom w:val="none" w:sz="0" w:space="0" w:color="auto"/>
                <w:right w:val="none" w:sz="0" w:space="0" w:color="auto"/>
              </w:divBdr>
            </w:div>
            <w:div w:id="1822960267">
              <w:marLeft w:val="0"/>
              <w:marRight w:val="0"/>
              <w:marTop w:val="0"/>
              <w:marBottom w:val="0"/>
              <w:divBdr>
                <w:top w:val="none" w:sz="0" w:space="0" w:color="auto"/>
                <w:left w:val="none" w:sz="0" w:space="0" w:color="auto"/>
                <w:bottom w:val="none" w:sz="0" w:space="0" w:color="auto"/>
                <w:right w:val="none" w:sz="0" w:space="0" w:color="auto"/>
              </w:divBdr>
            </w:div>
          </w:divsChild>
        </w:div>
        <w:div w:id="565576999">
          <w:marLeft w:val="0"/>
          <w:marRight w:val="0"/>
          <w:marTop w:val="0"/>
          <w:marBottom w:val="0"/>
          <w:divBdr>
            <w:top w:val="none" w:sz="0" w:space="0" w:color="auto"/>
            <w:left w:val="none" w:sz="0" w:space="0" w:color="auto"/>
            <w:bottom w:val="none" w:sz="0" w:space="0" w:color="auto"/>
            <w:right w:val="none" w:sz="0" w:space="0" w:color="auto"/>
          </w:divBdr>
          <w:divsChild>
            <w:div w:id="483664432">
              <w:marLeft w:val="0"/>
              <w:marRight w:val="0"/>
              <w:marTop w:val="0"/>
              <w:marBottom w:val="0"/>
              <w:divBdr>
                <w:top w:val="none" w:sz="0" w:space="0" w:color="auto"/>
                <w:left w:val="none" w:sz="0" w:space="0" w:color="auto"/>
                <w:bottom w:val="none" w:sz="0" w:space="0" w:color="auto"/>
                <w:right w:val="none" w:sz="0" w:space="0" w:color="auto"/>
              </w:divBdr>
            </w:div>
          </w:divsChild>
        </w:div>
        <w:div w:id="616832680">
          <w:marLeft w:val="0"/>
          <w:marRight w:val="0"/>
          <w:marTop w:val="0"/>
          <w:marBottom w:val="0"/>
          <w:divBdr>
            <w:top w:val="none" w:sz="0" w:space="0" w:color="auto"/>
            <w:left w:val="none" w:sz="0" w:space="0" w:color="auto"/>
            <w:bottom w:val="none" w:sz="0" w:space="0" w:color="auto"/>
            <w:right w:val="none" w:sz="0" w:space="0" w:color="auto"/>
          </w:divBdr>
          <w:divsChild>
            <w:div w:id="1436053800">
              <w:marLeft w:val="0"/>
              <w:marRight w:val="0"/>
              <w:marTop w:val="0"/>
              <w:marBottom w:val="0"/>
              <w:divBdr>
                <w:top w:val="none" w:sz="0" w:space="0" w:color="auto"/>
                <w:left w:val="none" w:sz="0" w:space="0" w:color="auto"/>
                <w:bottom w:val="none" w:sz="0" w:space="0" w:color="auto"/>
                <w:right w:val="none" w:sz="0" w:space="0" w:color="auto"/>
              </w:divBdr>
            </w:div>
          </w:divsChild>
        </w:div>
        <w:div w:id="634526586">
          <w:marLeft w:val="0"/>
          <w:marRight w:val="0"/>
          <w:marTop w:val="0"/>
          <w:marBottom w:val="0"/>
          <w:divBdr>
            <w:top w:val="none" w:sz="0" w:space="0" w:color="auto"/>
            <w:left w:val="none" w:sz="0" w:space="0" w:color="auto"/>
            <w:bottom w:val="none" w:sz="0" w:space="0" w:color="auto"/>
            <w:right w:val="none" w:sz="0" w:space="0" w:color="auto"/>
          </w:divBdr>
          <w:divsChild>
            <w:div w:id="676075699">
              <w:marLeft w:val="0"/>
              <w:marRight w:val="0"/>
              <w:marTop w:val="0"/>
              <w:marBottom w:val="0"/>
              <w:divBdr>
                <w:top w:val="none" w:sz="0" w:space="0" w:color="auto"/>
                <w:left w:val="none" w:sz="0" w:space="0" w:color="auto"/>
                <w:bottom w:val="none" w:sz="0" w:space="0" w:color="auto"/>
                <w:right w:val="none" w:sz="0" w:space="0" w:color="auto"/>
              </w:divBdr>
            </w:div>
          </w:divsChild>
        </w:div>
        <w:div w:id="635109708">
          <w:marLeft w:val="0"/>
          <w:marRight w:val="0"/>
          <w:marTop w:val="0"/>
          <w:marBottom w:val="0"/>
          <w:divBdr>
            <w:top w:val="none" w:sz="0" w:space="0" w:color="auto"/>
            <w:left w:val="none" w:sz="0" w:space="0" w:color="auto"/>
            <w:bottom w:val="none" w:sz="0" w:space="0" w:color="auto"/>
            <w:right w:val="none" w:sz="0" w:space="0" w:color="auto"/>
          </w:divBdr>
          <w:divsChild>
            <w:div w:id="829978383">
              <w:marLeft w:val="0"/>
              <w:marRight w:val="0"/>
              <w:marTop w:val="0"/>
              <w:marBottom w:val="0"/>
              <w:divBdr>
                <w:top w:val="none" w:sz="0" w:space="0" w:color="auto"/>
                <w:left w:val="none" w:sz="0" w:space="0" w:color="auto"/>
                <w:bottom w:val="none" w:sz="0" w:space="0" w:color="auto"/>
                <w:right w:val="none" w:sz="0" w:space="0" w:color="auto"/>
              </w:divBdr>
            </w:div>
          </w:divsChild>
        </w:div>
        <w:div w:id="643967385">
          <w:marLeft w:val="0"/>
          <w:marRight w:val="0"/>
          <w:marTop w:val="0"/>
          <w:marBottom w:val="0"/>
          <w:divBdr>
            <w:top w:val="none" w:sz="0" w:space="0" w:color="auto"/>
            <w:left w:val="none" w:sz="0" w:space="0" w:color="auto"/>
            <w:bottom w:val="none" w:sz="0" w:space="0" w:color="auto"/>
            <w:right w:val="none" w:sz="0" w:space="0" w:color="auto"/>
          </w:divBdr>
          <w:divsChild>
            <w:div w:id="6369671">
              <w:marLeft w:val="0"/>
              <w:marRight w:val="0"/>
              <w:marTop w:val="0"/>
              <w:marBottom w:val="0"/>
              <w:divBdr>
                <w:top w:val="none" w:sz="0" w:space="0" w:color="auto"/>
                <w:left w:val="none" w:sz="0" w:space="0" w:color="auto"/>
                <w:bottom w:val="none" w:sz="0" w:space="0" w:color="auto"/>
                <w:right w:val="none" w:sz="0" w:space="0" w:color="auto"/>
              </w:divBdr>
            </w:div>
          </w:divsChild>
        </w:div>
        <w:div w:id="665783869">
          <w:marLeft w:val="0"/>
          <w:marRight w:val="0"/>
          <w:marTop w:val="0"/>
          <w:marBottom w:val="0"/>
          <w:divBdr>
            <w:top w:val="none" w:sz="0" w:space="0" w:color="auto"/>
            <w:left w:val="none" w:sz="0" w:space="0" w:color="auto"/>
            <w:bottom w:val="none" w:sz="0" w:space="0" w:color="auto"/>
            <w:right w:val="none" w:sz="0" w:space="0" w:color="auto"/>
          </w:divBdr>
          <w:divsChild>
            <w:div w:id="2114860784">
              <w:marLeft w:val="0"/>
              <w:marRight w:val="0"/>
              <w:marTop w:val="0"/>
              <w:marBottom w:val="0"/>
              <w:divBdr>
                <w:top w:val="none" w:sz="0" w:space="0" w:color="auto"/>
                <w:left w:val="none" w:sz="0" w:space="0" w:color="auto"/>
                <w:bottom w:val="none" w:sz="0" w:space="0" w:color="auto"/>
                <w:right w:val="none" w:sz="0" w:space="0" w:color="auto"/>
              </w:divBdr>
            </w:div>
          </w:divsChild>
        </w:div>
        <w:div w:id="677776199">
          <w:marLeft w:val="0"/>
          <w:marRight w:val="0"/>
          <w:marTop w:val="0"/>
          <w:marBottom w:val="0"/>
          <w:divBdr>
            <w:top w:val="none" w:sz="0" w:space="0" w:color="auto"/>
            <w:left w:val="none" w:sz="0" w:space="0" w:color="auto"/>
            <w:bottom w:val="none" w:sz="0" w:space="0" w:color="auto"/>
            <w:right w:val="none" w:sz="0" w:space="0" w:color="auto"/>
          </w:divBdr>
          <w:divsChild>
            <w:div w:id="880629850">
              <w:marLeft w:val="0"/>
              <w:marRight w:val="0"/>
              <w:marTop w:val="0"/>
              <w:marBottom w:val="0"/>
              <w:divBdr>
                <w:top w:val="none" w:sz="0" w:space="0" w:color="auto"/>
                <w:left w:val="none" w:sz="0" w:space="0" w:color="auto"/>
                <w:bottom w:val="none" w:sz="0" w:space="0" w:color="auto"/>
                <w:right w:val="none" w:sz="0" w:space="0" w:color="auto"/>
              </w:divBdr>
            </w:div>
          </w:divsChild>
        </w:div>
        <w:div w:id="678393782">
          <w:marLeft w:val="0"/>
          <w:marRight w:val="0"/>
          <w:marTop w:val="0"/>
          <w:marBottom w:val="0"/>
          <w:divBdr>
            <w:top w:val="none" w:sz="0" w:space="0" w:color="auto"/>
            <w:left w:val="none" w:sz="0" w:space="0" w:color="auto"/>
            <w:bottom w:val="none" w:sz="0" w:space="0" w:color="auto"/>
            <w:right w:val="none" w:sz="0" w:space="0" w:color="auto"/>
          </w:divBdr>
          <w:divsChild>
            <w:div w:id="2128770407">
              <w:marLeft w:val="0"/>
              <w:marRight w:val="0"/>
              <w:marTop w:val="0"/>
              <w:marBottom w:val="0"/>
              <w:divBdr>
                <w:top w:val="none" w:sz="0" w:space="0" w:color="auto"/>
                <w:left w:val="none" w:sz="0" w:space="0" w:color="auto"/>
                <w:bottom w:val="none" w:sz="0" w:space="0" w:color="auto"/>
                <w:right w:val="none" w:sz="0" w:space="0" w:color="auto"/>
              </w:divBdr>
            </w:div>
          </w:divsChild>
        </w:div>
        <w:div w:id="702511442">
          <w:marLeft w:val="0"/>
          <w:marRight w:val="0"/>
          <w:marTop w:val="0"/>
          <w:marBottom w:val="0"/>
          <w:divBdr>
            <w:top w:val="none" w:sz="0" w:space="0" w:color="auto"/>
            <w:left w:val="none" w:sz="0" w:space="0" w:color="auto"/>
            <w:bottom w:val="none" w:sz="0" w:space="0" w:color="auto"/>
            <w:right w:val="none" w:sz="0" w:space="0" w:color="auto"/>
          </w:divBdr>
          <w:divsChild>
            <w:div w:id="488324889">
              <w:marLeft w:val="0"/>
              <w:marRight w:val="0"/>
              <w:marTop w:val="0"/>
              <w:marBottom w:val="0"/>
              <w:divBdr>
                <w:top w:val="none" w:sz="0" w:space="0" w:color="auto"/>
                <w:left w:val="none" w:sz="0" w:space="0" w:color="auto"/>
                <w:bottom w:val="none" w:sz="0" w:space="0" w:color="auto"/>
                <w:right w:val="none" w:sz="0" w:space="0" w:color="auto"/>
              </w:divBdr>
            </w:div>
          </w:divsChild>
        </w:div>
        <w:div w:id="703484747">
          <w:marLeft w:val="0"/>
          <w:marRight w:val="0"/>
          <w:marTop w:val="0"/>
          <w:marBottom w:val="0"/>
          <w:divBdr>
            <w:top w:val="none" w:sz="0" w:space="0" w:color="auto"/>
            <w:left w:val="none" w:sz="0" w:space="0" w:color="auto"/>
            <w:bottom w:val="none" w:sz="0" w:space="0" w:color="auto"/>
            <w:right w:val="none" w:sz="0" w:space="0" w:color="auto"/>
          </w:divBdr>
          <w:divsChild>
            <w:div w:id="659767895">
              <w:marLeft w:val="0"/>
              <w:marRight w:val="0"/>
              <w:marTop w:val="0"/>
              <w:marBottom w:val="0"/>
              <w:divBdr>
                <w:top w:val="none" w:sz="0" w:space="0" w:color="auto"/>
                <w:left w:val="none" w:sz="0" w:space="0" w:color="auto"/>
                <w:bottom w:val="none" w:sz="0" w:space="0" w:color="auto"/>
                <w:right w:val="none" w:sz="0" w:space="0" w:color="auto"/>
              </w:divBdr>
            </w:div>
          </w:divsChild>
        </w:div>
        <w:div w:id="726496396">
          <w:marLeft w:val="0"/>
          <w:marRight w:val="0"/>
          <w:marTop w:val="0"/>
          <w:marBottom w:val="0"/>
          <w:divBdr>
            <w:top w:val="none" w:sz="0" w:space="0" w:color="auto"/>
            <w:left w:val="none" w:sz="0" w:space="0" w:color="auto"/>
            <w:bottom w:val="none" w:sz="0" w:space="0" w:color="auto"/>
            <w:right w:val="none" w:sz="0" w:space="0" w:color="auto"/>
          </w:divBdr>
          <w:divsChild>
            <w:div w:id="525293568">
              <w:marLeft w:val="0"/>
              <w:marRight w:val="0"/>
              <w:marTop w:val="0"/>
              <w:marBottom w:val="0"/>
              <w:divBdr>
                <w:top w:val="none" w:sz="0" w:space="0" w:color="auto"/>
                <w:left w:val="none" w:sz="0" w:space="0" w:color="auto"/>
                <w:bottom w:val="none" w:sz="0" w:space="0" w:color="auto"/>
                <w:right w:val="none" w:sz="0" w:space="0" w:color="auto"/>
              </w:divBdr>
            </w:div>
          </w:divsChild>
        </w:div>
        <w:div w:id="771898185">
          <w:marLeft w:val="0"/>
          <w:marRight w:val="0"/>
          <w:marTop w:val="0"/>
          <w:marBottom w:val="0"/>
          <w:divBdr>
            <w:top w:val="none" w:sz="0" w:space="0" w:color="auto"/>
            <w:left w:val="none" w:sz="0" w:space="0" w:color="auto"/>
            <w:bottom w:val="none" w:sz="0" w:space="0" w:color="auto"/>
            <w:right w:val="none" w:sz="0" w:space="0" w:color="auto"/>
          </w:divBdr>
          <w:divsChild>
            <w:div w:id="1941058885">
              <w:marLeft w:val="0"/>
              <w:marRight w:val="0"/>
              <w:marTop w:val="0"/>
              <w:marBottom w:val="0"/>
              <w:divBdr>
                <w:top w:val="none" w:sz="0" w:space="0" w:color="auto"/>
                <w:left w:val="none" w:sz="0" w:space="0" w:color="auto"/>
                <w:bottom w:val="none" w:sz="0" w:space="0" w:color="auto"/>
                <w:right w:val="none" w:sz="0" w:space="0" w:color="auto"/>
              </w:divBdr>
            </w:div>
          </w:divsChild>
        </w:div>
        <w:div w:id="775177988">
          <w:marLeft w:val="0"/>
          <w:marRight w:val="0"/>
          <w:marTop w:val="0"/>
          <w:marBottom w:val="0"/>
          <w:divBdr>
            <w:top w:val="none" w:sz="0" w:space="0" w:color="auto"/>
            <w:left w:val="none" w:sz="0" w:space="0" w:color="auto"/>
            <w:bottom w:val="none" w:sz="0" w:space="0" w:color="auto"/>
            <w:right w:val="none" w:sz="0" w:space="0" w:color="auto"/>
          </w:divBdr>
          <w:divsChild>
            <w:div w:id="1001616376">
              <w:marLeft w:val="0"/>
              <w:marRight w:val="0"/>
              <w:marTop w:val="0"/>
              <w:marBottom w:val="0"/>
              <w:divBdr>
                <w:top w:val="none" w:sz="0" w:space="0" w:color="auto"/>
                <w:left w:val="none" w:sz="0" w:space="0" w:color="auto"/>
                <w:bottom w:val="none" w:sz="0" w:space="0" w:color="auto"/>
                <w:right w:val="none" w:sz="0" w:space="0" w:color="auto"/>
              </w:divBdr>
            </w:div>
          </w:divsChild>
        </w:div>
        <w:div w:id="799569994">
          <w:marLeft w:val="0"/>
          <w:marRight w:val="0"/>
          <w:marTop w:val="0"/>
          <w:marBottom w:val="0"/>
          <w:divBdr>
            <w:top w:val="none" w:sz="0" w:space="0" w:color="auto"/>
            <w:left w:val="none" w:sz="0" w:space="0" w:color="auto"/>
            <w:bottom w:val="none" w:sz="0" w:space="0" w:color="auto"/>
            <w:right w:val="none" w:sz="0" w:space="0" w:color="auto"/>
          </w:divBdr>
          <w:divsChild>
            <w:div w:id="1594237358">
              <w:marLeft w:val="0"/>
              <w:marRight w:val="0"/>
              <w:marTop w:val="0"/>
              <w:marBottom w:val="0"/>
              <w:divBdr>
                <w:top w:val="none" w:sz="0" w:space="0" w:color="auto"/>
                <w:left w:val="none" w:sz="0" w:space="0" w:color="auto"/>
                <w:bottom w:val="none" w:sz="0" w:space="0" w:color="auto"/>
                <w:right w:val="none" w:sz="0" w:space="0" w:color="auto"/>
              </w:divBdr>
            </w:div>
          </w:divsChild>
        </w:div>
        <w:div w:id="826285290">
          <w:marLeft w:val="0"/>
          <w:marRight w:val="0"/>
          <w:marTop w:val="0"/>
          <w:marBottom w:val="0"/>
          <w:divBdr>
            <w:top w:val="none" w:sz="0" w:space="0" w:color="auto"/>
            <w:left w:val="none" w:sz="0" w:space="0" w:color="auto"/>
            <w:bottom w:val="none" w:sz="0" w:space="0" w:color="auto"/>
            <w:right w:val="none" w:sz="0" w:space="0" w:color="auto"/>
          </w:divBdr>
          <w:divsChild>
            <w:div w:id="1760443274">
              <w:marLeft w:val="0"/>
              <w:marRight w:val="0"/>
              <w:marTop w:val="0"/>
              <w:marBottom w:val="0"/>
              <w:divBdr>
                <w:top w:val="none" w:sz="0" w:space="0" w:color="auto"/>
                <w:left w:val="none" w:sz="0" w:space="0" w:color="auto"/>
                <w:bottom w:val="none" w:sz="0" w:space="0" w:color="auto"/>
                <w:right w:val="none" w:sz="0" w:space="0" w:color="auto"/>
              </w:divBdr>
            </w:div>
          </w:divsChild>
        </w:div>
        <w:div w:id="835148171">
          <w:marLeft w:val="0"/>
          <w:marRight w:val="0"/>
          <w:marTop w:val="0"/>
          <w:marBottom w:val="0"/>
          <w:divBdr>
            <w:top w:val="none" w:sz="0" w:space="0" w:color="auto"/>
            <w:left w:val="none" w:sz="0" w:space="0" w:color="auto"/>
            <w:bottom w:val="none" w:sz="0" w:space="0" w:color="auto"/>
            <w:right w:val="none" w:sz="0" w:space="0" w:color="auto"/>
          </w:divBdr>
          <w:divsChild>
            <w:div w:id="1199779774">
              <w:marLeft w:val="0"/>
              <w:marRight w:val="0"/>
              <w:marTop w:val="0"/>
              <w:marBottom w:val="0"/>
              <w:divBdr>
                <w:top w:val="none" w:sz="0" w:space="0" w:color="auto"/>
                <w:left w:val="none" w:sz="0" w:space="0" w:color="auto"/>
                <w:bottom w:val="none" w:sz="0" w:space="0" w:color="auto"/>
                <w:right w:val="none" w:sz="0" w:space="0" w:color="auto"/>
              </w:divBdr>
            </w:div>
          </w:divsChild>
        </w:div>
        <w:div w:id="840050007">
          <w:marLeft w:val="0"/>
          <w:marRight w:val="0"/>
          <w:marTop w:val="0"/>
          <w:marBottom w:val="0"/>
          <w:divBdr>
            <w:top w:val="none" w:sz="0" w:space="0" w:color="auto"/>
            <w:left w:val="none" w:sz="0" w:space="0" w:color="auto"/>
            <w:bottom w:val="none" w:sz="0" w:space="0" w:color="auto"/>
            <w:right w:val="none" w:sz="0" w:space="0" w:color="auto"/>
          </w:divBdr>
          <w:divsChild>
            <w:div w:id="1815640781">
              <w:marLeft w:val="0"/>
              <w:marRight w:val="0"/>
              <w:marTop w:val="0"/>
              <w:marBottom w:val="0"/>
              <w:divBdr>
                <w:top w:val="none" w:sz="0" w:space="0" w:color="auto"/>
                <w:left w:val="none" w:sz="0" w:space="0" w:color="auto"/>
                <w:bottom w:val="none" w:sz="0" w:space="0" w:color="auto"/>
                <w:right w:val="none" w:sz="0" w:space="0" w:color="auto"/>
              </w:divBdr>
            </w:div>
          </w:divsChild>
        </w:div>
        <w:div w:id="848372009">
          <w:marLeft w:val="0"/>
          <w:marRight w:val="0"/>
          <w:marTop w:val="0"/>
          <w:marBottom w:val="0"/>
          <w:divBdr>
            <w:top w:val="none" w:sz="0" w:space="0" w:color="auto"/>
            <w:left w:val="none" w:sz="0" w:space="0" w:color="auto"/>
            <w:bottom w:val="none" w:sz="0" w:space="0" w:color="auto"/>
            <w:right w:val="none" w:sz="0" w:space="0" w:color="auto"/>
          </w:divBdr>
          <w:divsChild>
            <w:div w:id="984243371">
              <w:marLeft w:val="0"/>
              <w:marRight w:val="0"/>
              <w:marTop w:val="0"/>
              <w:marBottom w:val="0"/>
              <w:divBdr>
                <w:top w:val="none" w:sz="0" w:space="0" w:color="auto"/>
                <w:left w:val="none" w:sz="0" w:space="0" w:color="auto"/>
                <w:bottom w:val="none" w:sz="0" w:space="0" w:color="auto"/>
                <w:right w:val="none" w:sz="0" w:space="0" w:color="auto"/>
              </w:divBdr>
            </w:div>
          </w:divsChild>
        </w:div>
        <w:div w:id="856581493">
          <w:marLeft w:val="0"/>
          <w:marRight w:val="0"/>
          <w:marTop w:val="0"/>
          <w:marBottom w:val="0"/>
          <w:divBdr>
            <w:top w:val="none" w:sz="0" w:space="0" w:color="auto"/>
            <w:left w:val="none" w:sz="0" w:space="0" w:color="auto"/>
            <w:bottom w:val="none" w:sz="0" w:space="0" w:color="auto"/>
            <w:right w:val="none" w:sz="0" w:space="0" w:color="auto"/>
          </w:divBdr>
          <w:divsChild>
            <w:div w:id="1915623033">
              <w:marLeft w:val="0"/>
              <w:marRight w:val="0"/>
              <w:marTop w:val="0"/>
              <w:marBottom w:val="0"/>
              <w:divBdr>
                <w:top w:val="none" w:sz="0" w:space="0" w:color="auto"/>
                <w:left w:val="none" w:sz="0" w:space="0" w:color="auto"/>
                <w:bottom w:val="none" w:sz="0" w:space="0" w:color="auto"/>
                <w:right w:val="none" w:sz="0" w:space="0" w:color="auto"/>
              </w:divBdr>
            </w:div>
          </w:divsChild>
        </w:div>
        <w:div w:id="871380011">
          <w:marLeft w:val="0"/>
          <w:marRight w:val="0"/>
          <w:marTop w:val="0"/>
          <w:marBottom w:val="0"/>
          <w:divBdr>
            <w:top w:val="none" w:sz="0" w:space="0" w:color="auto"/>
            <w:left w:val="none" w:sz="0" w:space="0" w:color="auto"/>
            <w:bottom w:val="none" w:sz="0" w:space="0" w:color="auto"/>
            <w:right w:val="none" w:sz="0" w:space="0" w:color="auto"/>
          </w:divBdr>
          <w:divsChild>
            <w:div w:id="1628508636">
              <w:marLeft w:val="0"/>
              <w:marRight w:val="0"/>
              <w:marTop w:val="0"/>
              <w:marBottom w:val="0"/>
              <w:divBdr>
                <w:top w:val="none" w:sz="0" w:space="0" w:color="auto"/>
                <w:left w:val="none" w:sz="0" w:space="0" w:color="auto"/>
                <w:bottom w:val="none" w:sz="0" w:space="0" w:color="auto"/>
                <w:right w:val="none" w:sz="0" w:space="0" w:color="auto"/>
              </w:divBdr>
            </w:div>
          </w:divsChild>
        </w:div>
        <w:div w:id="882979374">
          <w:marLeft w:val="0"/>
          <w:marRight w:val="0"/>
          <w:marTop w:val="0"/>
          <w:marBottom w:val="0"/>
          <w:divBdr>
            <w:top w:val="none" w:sz="0" w:space="0" w:color="auto"/>
            <w:left w:val="none" w:sz="0" w:space="0" w:color="auto"/>
            <w:bottom w:val="none" w:sz="0" w:space="0" w:color="auto"/>
            <w:right w:val="none" w:sz="0" w:space="0" w:color="auto"/>
          </w:divBdr>
          <w:divsChild>
            <w:div w:id="1673875997">
              <w:marLeft w:val="0"/>
              <w:marRight w:val="0"/>
              <w:marTop w:val="0"/>
              <w:marBottom w:val="0"/>
              <w:divBdr>
                <w:top w:val="none" w:sz="0" w:space="0" w:color="auto"/>
                <w:left w:val="none" w:sz="0" w:space="0" w:color="auto"/>
                <w:bottom w:val="none" w:sz="0" w:space="0" w:color="auto"/>
                <w:right w:val="none" w:sz="0" w:space="0" w:color="auto"/>
              </w:divBdr>
            </w:div>
          </w:divsChild>
        </w:div>
        <w:div w:id="923342404">
          <w:marLeft w:val="0"/>
          <w:marRight w:val="0"/>
          <w:marTop w:val="0"/>
          <w:marBottom w:val="0"/>
          <w:divBdr>
            <w:top w:val="none" w:sz="0" w:space="0" w:color="auto"/>
            <w:left w:val="none" w:sz="0" w:space="0" w:color="auto"/>
            <w:bottom w:val="none" w:sz="0" w:space="0" w:color="auto"/>
            <w:right w:val="none" w:sz="0" w:space="0" w:color="auto"/>
          </w:divBdr>
          <w:divsChild>
            <w:div w:id="1379741314">
              <w:marLeft w:val="0"/>
              <w:marRight w:val="0"/>
              <w:marTop w:val="0"/>
              <w:marBottom w:val="0"/>
              <w:divBdr>
                <w:top w:val="none" w:sz="0" w:space="0" w:color="auto"/>
                <w:left w:val="none" w:sz="0" w:space="0" w:color="auto"/>
                <w:bottom w:val="none" w:sz="0" w:space="0" w:color="auto"/>
                <w:right w:val="none" w:sz="0" w:space="0" w:color="auto"/>
              </w:divBdr>
            </w:div>
          </w:divsChild>
        </w:div>
        <w:div w:id="924460593">
          <w:marLeft w:val="0"/>
          <w:marRight w:val="0"/>
          <w:marTop w:val="0"/>
          <w:marBottom w:val="0"/>
          <w:divBdr>
            <w:top w:val="none" w:sz="0" w:space="0" w:color="auto"/>
            <w:left w:val="none" w:sz="0" w:space="0" w:color="auto"/>
            <w:bottom w:val="none" w:sz="0" w:space="0" w:color="auto"/>
            <w:right w:val="none" w:sz="0" w:space="0" w:color="auto"/>
          </w:divBdr>
          <w:divsChild>
            <w:div w:id="1422526833">
              <w:marLeft w:val="0"/>
              <w:marRight w:val="0"/>
              <w:marTop w:val="0"/>
              <w:marBottom w:val="0"/>
              <w:divBdr>
                <w:top w:val="none" w:sz="0" w:space="0" w:color="auto"/>
                <w:left w:val="none" w:sz="0" w:space="0" w:color="auto"/>
                <w:bottom w:val="none" w:sz="0" w:space="0" w:color="auto"/>
                <w:right w:val="none" w:sz="0" w:space="0" w:color="auto"/>
              </w:divBdr>
            </w:div>
          </w:divsChild>
        </w:div>
        <w:div w:id="938021804">
          <w:marLeft w:val="0"/>
          <w:marRight w:val="0"/>
          <w:marTop w:val="0"/>
          <w:marBottom w:val="0"/>
          <w:divBdr>
            <w:top w:val="none" w:sz="0" w:space="0" w:color="auto"/>
            <w:left w:val="none" w:sz="0" w:space="0" w:color="auto"/>
            <w:bottom w:val="none" w:sz="0" w:space="0" w:color="auto"/>
            <w:right w:val="none" w:sz="0" w:space="0" w:color="auto"/>
          </w:divBdr>
          <w:divsChild>
            <w:div w:id="143131883">
              <w:marLeft w:val="0"/>
              <w:marRight w:val="0"/>
              <w:marTop w:val="0"/>
              <w:marBottom w:val="0"/>
              <w:divBdr>
                <w:top w:val="none" w:sz="0" w:space="0" w:color="auto"/>
                <w:left w:val="none" w:sz="0" w:space="0" w:color="auto"/>
                <w:bottom w:val="none" w:sz="0" w:space="0" w:color="auto"/>
                <w:right w:val="none" w:sz="0" w:space="0" w:color="auto"/>
              </w:divBdr>
            </w:div>
          </w:divsChild>
        </w:div>
        <w:div w:id="958687518">
          <w:marLeft w:val="0"/>
          <w:marRight w:val="0"/>
          <w:marTop w:val="0"/>
          <w:marBottom w:val="0"/>
          <w:divBdr>
            <w:top w:val="none" w:sz="0" w:space="0" w:color="auto"/>
            <w:left w:val="none" w:sz="0" w:space="0" w:color="auto"/>
            <w:bottom w:val="none" w:sz="0" w:space="0" w:color="auto"/>
            <w:right w:val="none" w:sz="0" w:space="0" w:color="auto"/>
          </w:divBdr>
          <w:divsChild>
            <w:div w:id="366490806">
              <w:marLeft w:val="0"/>
              <w:marRight w:val="0"/>
              <w:marTop w:val="0"/>
              <w:marBottom w:val="0"/>
              <w:divBdr>
                <w:top w:val="none" w:sz="0" w:space="0" w:color="auto"/>
                <w:left w:val="none" w:sz="0" w:space="0" w:color="auto"/>
                <w:bottom w:val="none" w:sz="0" w:space="0" w:color="auto"/>
                <w:right w:val="none" w:sz="0" w:space="0" w:color="auto"/>
              </w:divBdr>
            </w:div>
          </w:divsChild>
        </w:div>
        <w:div w:id="965819447">
          <w:marLeft w:val="0"/>
          <w:marRight w:val="0"/>
          <w:marTop w:val="0"/>
          <w:marBottom w:val="0"/>
          <w:divBdr>
            <w:top w:val="none" w:sz="0" w:space="0" w:color="auto"/>
            <w:left w:val="none" w:sz="0" w:space="0" w:color="auto"/>
            <w:bottom w:val="none" w:sz="0" w:space="0" w:color="auto"/>
            <w:right w:val="none" w:sz="0" w:space="0" w:color="auto"/>
          </w:divBdr>
          <w:divsChild>
            <w:div w:id="1820463991">
              <w:marLeft w:val="0"/>
              <w:marRight w:val="0"/>
              <w:marTop w:val="0"/>
              <w:marBottom w:val="0"/>
              <w:divBdr>
                <w:top w:val="none" w:sz="0" w:space="0" w:color="auto"/>
                <w:left w:val="none" w:sz="0" w:space="0" w:color="auto"/>
                <w:bottom w:val="none" w:sz="0" w:space="0" w:color="auto"/>
                <w:right w:val="none" w:sz="0" w:space="0" w:color="auto"/>
              </w:divBdr>
            </w:div>
          </w:divsChild>
        </w:div>
        <w:div w:id="974061717">
          <w:marLeft w:val="0"/>
          <w:marRight w:val="0"/>
          <w:marTop w:val="0"/>
          <w:marBottom w:val="0"/>
          <w:divBdr>
            <w:top w:val="none" w:sz="0" w:space="0" w:color="auto"/>
            <w:left w:val="none" w:sz="0" w:space="0" w:color="auto"/>
            <w:bottom w:val="none" w:sz="0" w:space="0" w:color="auto"/>
            <w:right w:val="none" w:sz="0" w:space="0" w:color="auto"/>
          </w:divBdr>
          <w:divsChild>
            <w:div w:id="784547068">
              <w:marLeft w:val="0"/>
              <w:marRight w:val="0"/>
              <w:marTop w:val="0"/>
              <w:marBottom w:val="0"/>
              <w:divBdr>
                <w:top w:val="none" w:sz="0" w:space="0" w:color="auto"/>
                <w:left w:val="none" w:sz="0" w:space="0" w:color="auto"/>
                <w:bottom w:val="none" w:sz="0" w:space="0" w:color="auto"/>
                <w:right w:val="none" w:sz="0" w:space="0" w:color="auto"/>
              </w:divBdr>
            </w:div>
          </w:divsChild>
        </w:div>
        <w:div w:id="1060133217">
          <w:marLeft w:val="0"/>
          <w:marRight w:val="0"/>
          <w:marTop w:val="0"/>
          <w:marBottom w:val="0"/>
          <w:divBdr>
            <w:top w:val="none" w:sz="0" w:space="0" w:color="auto"/>
            <w:left w:val="none" w:sz="0" w:space="0" w:color="auto"/>
            <w:bottom w:val="none" w:sz="0" w:space="0" w:color="auto"/>
            <w:right w:val="none" w:sz="0" w:space="0" w:color="auto"/>
          </w:divBdr>
          <w:divsChild>
            <w:div w:id="811602964">
              <w:marLeft w:val="0"/>
              <w:marRight w:val="0"/>
              <w:marTop w:val="0"/>
              <w:marBottom w:val="0"/>
              <w:divBdr>
                <w:top w:val="none" w:sz="0" w:space="0" w:color="auto"/>
                <w:left w:val="none" w:sz="0" w:space="0" w:color="auto"/>
                <w:bottom w:val="none" w:sz="0" w:space="0" w:color="auto"/>
                <w:right w:val="none" w:sz="0" w:space="0" w:color="auto"/>
              </w:divBdr>
            </w:div>
          </w:divsChild>
        </w:div>
        <w:div w:id="1078092226">
          <w:marLeft w:val="0"/>
          <w:marRight w:val="0"/>
          <w:marTop w:val="0"/>
          <w:marBottom w:val="0"/>
          <w:divBdr>
            <w:top w:val="none" w:sz="0" w:space="0" w:color="auto"/>
            <w:left w:val="none" w:sz="0" w:space="0" w:color="auto"/>
            <w:bottom w:val="none" w:sz="0" w:space="0" w:color="auto"/>
            <w:right w:val="none" w:sz="0" w:space="0" w:color="auto"/>
          </w:divBdr>
          <w:divsChild>
            <w:div w:id="1886482161">
              <w:marLeft w:val="0"/>
              <w:marRight w:val="0"/>
              <w:marTop w:val="0"/>
              <w:marBottom w:val="0"/>
              <w:divBdr>
                <w:top w:val="none" w:sz="0" w:space="0" w:color="auto"/>
                <w:left w:val="none" w:sz="0" w:space="0" w:color="auto"/>
                <w:bottom w:val="none" w:sz="0" w:space="0" w:color="auto"/>
                <w:right w:val="none" w:sz="0" w:space="0" w:color="auto"/>
              </w:divBdr>
            </w:div>
          </w:divsChild>
        </w:div>
        <w:div w:id="1086997631">
          <w:marLeft w:val="0"/>
          <w:marRight w:val="0"/>
          <w:marTop w:val="0"/>
          <w:marBottom w:val="0"/>
          <w:divBdr>
            <w:top w:val="none" w:sz="0" w:space="0" w:color="auto"/>
            <w:left w:val="none" w:sz="0" w:space="0" w:color="auto"/>
            <w:bottom w:val="none" w:sz="0" w:space="0" w:color="auto"/>
            <w:right w:val="none" w:sz="0" w:space="0" w:color="auto"/>
          </w:divBdr>
          <w:divsChild>
            <w:div w:id="825509437">
              <w:marLeft w:val="0"/>
              <w:marRight w:val="0"/>
              <w:marTop w:val="0"/>
              <w:marBottom w:val="0"/>
              <w:divBdr>
                <w:top w:val="none" w:sz="0" w:space="0" w:color="auto"/>
                <w:left w:val="none" w:sz="0" w:space="0" w:color="auto"/>
                <w:bottom w:val="none" w:sz="0" w:space="0" w:color="auto"/>
                <w:right w:val="none" w:sz="0" w:space="0" w:color="auto"/>
              </w:divBdr>
            </w:div>
          </w:divsChild>
        </w:div>
        <w:div w:id="1104151683">
          <w:marLeft w:val="0"/>
          <w:marRight w:val="0"/>
          <w:marTop w:val="0"/>
          <w:marBottom w:val="0"/>
          <w:divBdr>
            <w:top w:val="none" w:sz="0" w:space="0" w:color="auto"/>
            <w:left w:val="none" w:sz="0" w:space="0" w:color="auto"/>
            <w:bottom w:val="none" w:sz="0" w:space="0" w:color="auto"/>
            <w:right w:val="none" w:sz="0" w:space="0" w:color="auto"/>
          </w:divBdr>
          <w:divsChild>
            <w:div w:id="1272055927">
              <w:marLeft w:val="0"/>
              <w:marRight w:val="0"/>
              <w:marTop w:val="0"/>
              <w:marBottom w:val="0"/>
              <w:divBdr>
                <w:top w:val="none" w:sz="0" w:space="0" w:color="auto"/>
                <w:left w:val="none" w:sz="0" w:space="0" w:color="auto"/>
                <w:bottom w:val="none" w:sz="0" w:space="0" w:color="auto"/>
                <w:right w:val="none" w:sz="0" w:space="0" w:color="auto"/>
              </w:divBdr>
            </w:div>
          </w:divsChild>
        </w:div>
        <w:div w:id="1117794835">
          <w:marLeft w:val="0"/>
          <w:marRight w:val="0"/>
          <w:marTop w:val="0"/>
          <w:marBottom w:val="0"/>
          <w:divBdr>
            <w:top w:val="none" w:sz="0" w:space="0" w:color="auto"/>
            <w:left w:val="none" w:sz="0" w:space="0" w:color="auto"/>
            <w:bottom w:val="none" w:sz="0" w:space="0" w:color="auto"/>
            <w:right w:val="none" w:sz="0" w:space="0" w:color="auto"/>
          </w:divBdr>
          <w:divsChild>
            <w:div w:id="221870220">
              <w:marLeft w:val="0"/>
              <w:marRight w:val="0"/>
              <w:marTop w:val="0"/>
              <w:marBottom w:val="0"/>
              <w:divBdr>
                <w:top w:val="none" w:sz="0" w:space="0" w:color="auto"/>
                <w:left w:val="none" w:sz="0" w:space="0" w:color="auto"/>
                <w:bottom w:val="none" w:sz="0" w:space="0" w:color="auto"/>
                <w:right w:val="none" w:sz="0" w:space="0" w:color="auto"/>
              </w:divBdr>
            </w:div>
          </w:divsChild>
        </w:div>
        <w:div w:id="1136216151">
          <w:marLeft w:val="0"/>
          <w:marRight w:val="0"/>
          <w:marTop w:val="0"/>
          <w:marBottom w:val="0"/>
          <w:divBdr>
            <w:top w:val="none" w:sz="0" w:space="0" w:color="auto"/>
            <w:left w:val="none" w:sz="0" w:space="0" w:color="auto"/>
            <w:bottom w:val="none" w:sz="0" w:space="0" w:color="auto"/>
            <w:right w:val="none" w:sz="0" w:space="0" w:color="auto"/>
          </w:divBdr>
          <w:divsChild>
            <w:div w:id="1043137598">
              <w:marLeft w:val="0"/>
              <w:marRight w:val="0"/>
              <w:marTop w:val="0"/>
              <w:marBottom w:val="0"/>
              <w:divBdr>
                <w:top w:val="none" w:sz="0" w:space="0" w:color="auto"/>
                <w:left w:val="none" w:sz="0" w:space="0" w:color="auto"/>
                <w:bottom w:val="none" w:sz="0" w:space="0" w:color="auto"/>
                <w:right w:val="none" w:sz="0" w:space="0" w:color="auto"/>
              </w:divBdr>
            </w:div>
          </w:divsChild>
        </w:div>
        <w:div w:id="1138379112">
          <w:marLeft w:val="0"/>
          <w:marRight w:val="0"/>
          <w:marTop w:val="0"/>
          <w:marBottom w:val="0"/>
          <w:divBdr>
            <w:top w:val="none" w:sz="0" w:space="0" w:color="auto"/>
            <w:left w:val="none" w:sz="0" w:space="0" w:color="auto"/>
            <w:bottom w:val="none" w:sz="0" w:space="0" w:color="auto"/>
            <w:right w:val="none" w:sz="0" w:space="0" w:color="auto"/>
          </w:divBdr>
          <w:divsChild>
            <w:div w:id="1845826049">
              <w:marLeft w:val="0"/>
              <w:marRight w:val="0"/>
              <w:marTop w:val="0"/>
              <w:marBottom w:val="0"/>
              <w:divBdr>
                <w:top w:val="none" w:sz="0" w:space="0" w:color="auto"/>
                <w:left w:val="none" w:sz="0" w:space="0" w:color="auto"/>
                <w:bottom w:val="none" w:sz="0" w:space="0" w:color="auto"/>
                <w:right w:val="none" w:sz="0" w:space="0" w:color="auto"/>
              </w:divBdr>
            </w:div>
          </w:divsChild>
        </w:div>
        <w:div w:id="1226184470">
          <w:marLeft w:val="0"/>
          <w:marRight w:val="0"/>
          <w:marTop w:val="0"/>
          <w:marBottom w:val="0"/>
          <w:divBdr>
            <w:top w:val="none" w:sz="0" w:space="0" w:color="auto"/>
            <w:left w:val="none" w:sz="0" w:space="0" w:color="auto"/>
            <w:bottom w:val="none" w:sz="0" w:space="0" w:color="auto"/>
            <w:right w:val="none" w:sz="0" w:space="0" w:color="auto"/>
          </w:divBdr>
          <w:divsChild>
            <w:div w:id="1168397940">
              <w:marLeft w:val="0"/>
              <w:marRight w:val="0"/>
              <w:marTop w:val="0"/>
              <w:marBottom w:val="0"/>
              <w:divBdr>
                <w:top w:val="none" w:sz="0" w:space="0" w:color="auto"/>
                <w:left w:val="none" w:sz="0" w:space="0" w:color="auto"/>
                <w:bottom w:val="none" w:sz="0" w:space="0" w:color="auto"/>
                <w:right w:val="none" w:sz="0" w:space="0" w:color="auto"/>
              </w:divBdr>
            </w:div>
          </w:divsChild>
        </w:div>
        <w:div w:id="1264458647">
          <w:marLeft w:val="0"/>
          <w:marRight w:val="0"/>
          <w:marTop w:val="0"/>
          <w:marBottom w:val="0"/>
          <w:divBdr>
            <w:top w:val="none" w:sz="0" w:space="0" w:color="auto"/>
            <w:left w:val="none" w:sz="0" w:space="0" w:color="auto"/>
            <w:bottom w:val="none" w:sz="0" w:space="0" w:color="auto"/>
            <w:right w:val="none" w:sz="0" w:space="0" w:color="auto"/>
          </w:divBdr>
          <w:divsChild>
            <w:div w:id="1153447018">
              <w:marLeft w:val="0"/>
              <w:marRight w:val="0"/>
              <w:marTop w:val="0"/>
              <w:marBottom w:val="0"/>
              <w:divBdr>
                <w:top w:val="none" w:sz="0" w:space="0" w:color="auto"/>
                <w:left w:val="none" w:sz="0" w:space="0" w:color="auto"/>
                <w:bottom w:val="none" w:sz="0" w:space="0" w:color="auto"/>
                <w:right w:val="none" w:sz="0" w:space="0" w:color="auto"/>
              </w:divBdr>
            </w:div>
          </w:divsChild>
        </w:div>
        <w:div w:id="1289817955">
          <w:marLeft w:val="0"/>
          <w:marRight w:val="0"/>
          <w:marTop w:val="0"/>
          <w:marBottom w:val="0"/>
          <w:divBdr>
            <w:top w:val="none" w:sz="0" w:space="0" w:color="auto"/>
            <w:left w:val="none" w:sz="0" w:space="0" w:color="auto"/>
            <w:bottom w:val="none" w:sz="0" w:space="0" w:color="auto"/>
            <w:right w:val="none" w:sz="0" w:space="0" w:color="auto"/>
          </w:divBdr>
          <w:divsChild>
            <w:div w:id="184835207">
              <w:marLeft w:val="0"/>
              <w:marRight w:val="0"/>
              <w:marTop w:val="0"/>
              <w:marBottom w:val="0"/>
              <w:divBdr>
                <w:top w:val="none" w:sz="0" w:space="0" w:color="auto"/>
                <w:left w:val="none" w:sz="0" w:space="0" w:color="auto"/>
                <w:bottom w:val="none" w:sz="0" w:space="0" w:color="auto"/>
                <w:right w:val="none" w:sz="0" w:space="0" w:color="auto"/>
              </w:divBdr>
            </w:div>
          </w:divsChild>
        </w:div>
        <w:div w:id="1314142245">
          <w:marLeft w:val="0"/>
          <w:marRight w:val="0"/>
          <w:marTop w:val="0"/>
          <w:marBottom w:val="0"/>
          <w:divBdr>
            <w:top w:val="none" w:sz="0" w:space="0" w:color="auto"/>
            <w:left w:val="none" w:sz="0" w:space="0" w:color="auto"/>
            <w:bottom w:val="none" w:sz="0" w:space="0" w:color="auto"/>
            <w:right w:val="none" w:sz="0" w:space="0" w:color="auto"/>
          </w:divBdr>
          <w:divsChild>
            <w:div w:id="1665280282">
              <w:marLeft w:val="0"/>
              <w:marRight w:val="0"/>
              <w:marTop w:val="0"/>
              <w:marBottom w:val="0"/>
              <w:divBdr>
                <w:top w:val="none" w:sz="0" w:space="0" w:color="auto"/>
                <w:left w:val="none" w:sz="0" w:space="0" w:color="auto"/>
                <w:bottom w:val="none" w:sz="0" w:space="0" w:color="auto"/>
                <w:right w:val="none" w:sz="0" w:space="0" w:color="auto"/>
              </w:divBdr>
            </w:div>
          </w:divsChild>
        </w:div>
        <w:div w:id="1330405425">
          <w:marLeft w:val="0"/>
          <w:marRight w:val="0"/>
          <w:marTop w:val="0"/>
          <w:marBottom w:val="0"/>
          <w:divBdr>
            <w:top w:val="none" w:sz="0" w:space="0" w:color="auto"/>
            <w:left w:val="none" w:sz="0" w:space="0" w:color="auto"/>
            <w:bottom w:val="none" w:sz="0" w:space="0" w:color="auto"/>
            <w:right w:val="none" w:sz="0" w:space="0" w:color="auto"/>
          </w:divBdr>
          <w:divsChild>
            <w:div w:id="1258439857">
              <w:marLeft w:val="0"/>
              <w:marRight w:val="0"/>
              <w:marTop w:val="0"/>
              <w:marBottom w:val="0"/>
              <w:divBdr>
                <w:top w:val="none" w:sz="0" w:space="0" w:color="auto"/>
                <w:left w:val="none" w:sz="0" w:space="0" w:color="auto"/>
                <w:bottom w:val="none" w:sz="0" w:space="0" w:color="auto"/>
                <w:right w:val="none" w:sz="0" w:space="0" w:color="auto"/>
              </w:divBdr>
            </w:div>
          </w:divsChild>
        </w:div>
        <w:div w:id="1336760733">
          <w:marLeft w:val="0"/>
          <w:marRight w:val="0"/>
          <w:marTop w:val="0"/>
          <w:marBottom w:val="0"/>
          <w:divBdr>
            <w:top w:val="none" w:sz="0" w:space="0" w:color="auto"/>
            <w:left w:val="none" w:sz="0" w:space="0" w:color="auto"/>
            <w:bottom w:val="none" w:sz="0" w:space="0" w:color="auto"/>
            <w:right w:val="none" w:sz="0" w:space="0" w:color="auto"/>
          </w:divBdr>
          <w:divsChild>
            <w:div w:id="1031420664">
              <w:marLeft w:val="0"/>
              <w:marRight w:val="0"/>
              <w:marTop w:val="0"/>
              <w:marBottom w:val="0"/>
              <w:divBdr>
                <w:top w:val="none" w:sz="0" w:space="0" w:color="auto"/>
                <w:left w:val="none" w:sz="0" w:space="0" w:color="auto"/>
                <w:bottom w:val="none" w:sz="0" w:space="0" w:color="auto"/>
                <w:right w:val="none" w:sz="0" w:space="0" w:color="auto"/>
              </w:divBdr>
            </w:div>
          </w:divsChild>
        </w:div>
        <w:div w:id="1342590374">
          <w:marLeft w:val="0"/>
          <w:marRight w:val="0"/>
          <w:marTop w:val="0"/>
          <w:marBottom w:val="0"/>
          <w:divBdr>
            <w:top w:val="none" w:sz="0" w:space="0" w:color="auto"/>
            <w:left w:val="none" w:sz="0" w:space="0" w:color="auto"/>
            <w:bottom w:val="none" w:sz="0" w:space="0" w:color="auto"/>
            <w:right w:val="none" w:sz="0" w:space="0" w:color="auto"/>
          </w:divBdr>
          <w:divsChild>
            <w:div w:id="376979819">
              <w:marLeft w:val="0"/>
              <w:marRight w:val="0"/>
              <w:marTop w:val="0"/>
              <w:marBottom w:val="0"/>
              <w:divBdr>
                <w:top w:val="none" w:sz="0" w:space="0" w:color="auto"/>
                <w:left w:val="none" w:sz="0" w:space="0" w:color="auto"/>
                <w:bottom w:val="none" w:sz="0" w:space="0" w:color="auto"/>
                <w:right w:val="none" w:sz="0" w:space="0" w:color="auto"/>
              </w:divBdr>
            </w:div>
          </w:divsChild>
        </w:div>
        <w:div w:id="1385443191">
          <w:marLeft w:val="0"/>
          <w:marRight w:val="0"/>
          <w:marTop w:val="0"/>
          <w:marBottom w:val="0"/>
          <w:divBdr>
            <w:top w:val="none" w:sz="0" w:space="0" w:color="auto"/>
            <w:left w:val="none" w:sz="0" w:space="0" w:color="auto"/>
            <w:bottom w:val="none" w:sz="0" w:space="0" w:color="auto"/>
            <w:right w:val="none" w:sz="0" w:space="0" w:color="auto"/>
          </w:divBdr>
          <w:divsChild>
            <w:div w:id="862091728">
              <w:marLeft w:val="0"/>
              <w:marRight w:val="0"/>
              <w:marTop w:val="0"/>
              <w:marBottom w:val="0"/>
              <w:divBdr>
                <w:top w:val="none" w:sz="0" w:space="0" w:color="auto"/>
                <w:left w:val="none" w:sz="0" w:space="0" w:color="auto"/>
                <w:bottom w:val="none" w:sz="0" w:space="0" w:color="auto"/>
                <w:right w:val="none" w:sz="0" w:space="0" w:color="auto"/>
              </w:divBdr>
            </w:div>
          </w:divsChild>
        </w:div>
        <w:div w:id="1427769298">
          <w:marLeft w:val="0"/>
          <w:marRight w:val="0"/>
          <w:marTop w:val="0"/>
          <w:marBottom w:val="0"/>
          <w:divBdr>
            <w:top w:val="none" w:sz="0" w:space="0" w:color="auto"/>
            <w:left w:val="none" w:sz="0" w:space="0" w:color="auto"/>
            <w:bottom w:val="none" w:sz="0" w:space="0" w:color="auto"/>
            <w:right w:val="none" w:sz="0" w:space="0" w:color="auto"/>
          </w:divBdr>
          <w:divsChild>
            <w:div w:id="933244069">
              <w:marLeft w:val="0"/>
              <w:marRight w:val="0"/>
              <w:marTop w:val="0"/>
              <w:marBottom w:val="0"/>
              <w:divBdr>
                <w:top w:val="none" w:sz="0" w:space="0" w:color="auto"/>
                <w:left w:val="none" w:sz="0" w:space="0" w:color="auto"/>
                <w:bottom w:val="none" w:sz="0" w:space="0" w:color="auto"/>
                <w:right w:val="none" w:sz="0" w:space="0" w:color="auto"/>
              </w:divBdr>
            </w:div>
          </w:divsChild>
        </w:div>
        <w:div w:id="1450271619">
          <w:marLeft w:val="0"/>
          <w:marRight w:val="0"/>
          <w:marTop w:val="0"/>
          <w:marBottom w:val="0"/>
          <w:divBdr>
            <w:top w:val="none" w:sz="0" w:space="0" w:color="auto"/>
            <w:left w:val="none" w:sz="0" w:space="0" w:color="auto"/>
            <w:bottom w:val="none" w:sz="0" w:space="0" w:color="auto"/>
            <w:right w:val="none" w:sz="0" w:space="0" w:color="auto"/>
          </w:divBdr>
          <w:divsChild>
            <w:div w:id="118841406">
              <w:marLeft w:val="0"/>
              <w:marRight w:val="0"/>
              <w:marTop w:val="0"/>
              <w:marBottom w:val="0"/>
              <w:divBdr>
                <w:top w:val="none" w:sz="0" w:space="0" w:color="auto"/>
                <w:left w:val="none" w:sz="0" w:space="0" w:color="auto"/>
                <w:bottom w:val="none" w:sz="0" w:space="0" w:color="auto"/>
                <w:right w:val="none" w:sz="0" w:space="0" w:color="auto"/>
              </w:divBdr>
            </w:div>
          </w:divsChild>
        </w:div>
        <w:div w:id="1470053334">
          <w:marLeft w:val="0"/>
          <w:marRight w:val="0"/>
          <w:marTop w:val="0"/>
          <w:marBottom w:val="0"/>
          <w:divBdr>
            <w:top w:val="none" w:sz="0" w:space="0" w:color="auto"/>
            <w:left w:val="none" w:sz="0" w:space="0" w:color="auto"/>
            <w:bottom w:val="none" w:sz="0" w:space="0" w:color="auto"/>
            <w:right w:val="none" w:sz="0" w:space="0" w:color="auto"/>
          </w:divBdr>
          <w:divsChild>
            <w:div w:id="1933082041">
              <w:marLeft w:val="0"/>
              <w:marRight w:val="0"/>
              <w:marTop w:val="0"/>
              <w:marBottom w:val="0"/>
              <w:divBdr>
                <w:top w:val="none" w:sz="0" w:space="0" w:color="auto"/>
                <w:left w:val="none" w:sz="0" w:space="0" w:color="auto"/>
                <w:bottom w:val="none" w:sz="0" w:space="0" w:color="auto"/>
                <w:right w:val="none" w:sz="0" w:space="0" w:color="auto"/>
              </w:divBdr>
            </w:div>
          </w:divsChild>
        </w:div>
        <w:div w:id="1478567650">
          <w:marLeft w:val="0"/>
          <w:marRight w:val="0"/>
          <w:marTop w:val="0"/>
          <w:marBottom w:val="0"/>
          <w:divBdr>
            <w:top w:val="none" w:sz="0" w:space="0" w:color="auto"/>
            <w:left w:val="none" w:sz="0" w:space="0" w:color="auto"/>
            <w:bottom w:val="none" w:sz="0" w:space="0" w:color="auto"/>
            <w:right w:val="none" w:sz="0" w:space="0" w:color="auto"/>
          </w:divBdr>
          <w:divsChild>
            <w:div w:id="996493846">
              <w:marLeft w:val="0"/>
              <w:marRight w:val="0"/>
              <w:marTop w:val="0"/>
              <w:marBottom w:val="0"/>
              <w:divBdr>
                <w:top w:val="none" w:sz="0" w:space="0" w:color="auto"/>
                <w:left w:val="none" w:sz="0" w:space="0" w:color="auto"/>
                <w:bottom w:val="none" w:sz="0" w:space="0" w:color="auto"/>
                <w:right w:val="none" w:sz="0" w:space="0" w:color="auto"/>
              </w:divBdr>
            </w:div>
          </w:divsChild>
        </w:div>
        <w:div w:id="1501920828">
          <w:marLeft w:val="0"/>
          <w:marRight w:val="0"/>
          <w:marTop w:val="0"/>
          <w:marBottom w:val="0"/>
          <w:divBdr>
            <w:top w:val="none" w:sz="0" w:space="0" w:color="auto"/>
            <w:left w:val="none" w:sz="0" w:space="0" w:color="auto"/>
            <w:bottom w:val="none" w:sz="0" w:space="0" w:color="auto"/>
            <w:right w:val="none" w:sz="0" w:space="0" w:color="auto"/>
          </w:divBdr>
          <w:divsChild>
            <w:div w:id="1855417644">
              <w:marLeft w:val="0"/>
              <w:marRight w:val="0"/>
              <w:marTop w:val="0"/>
              <w:marBottom w:val="0"/>
              <w:divBdr>
                <w:top w:val="none" w:sz="0" w:space="0" w:color="auto"/>
                <w:left w:val="none" w:sz="0" w:space="0" w:color="auto"/>
                <w:bottom w:val="none" w:sz="0" w:space="0" w:color="auto"/>
                <w:right w:val="none" w:sz="0" w:space="0" w:color="auto"/>
              </w:divBdr>
            </w:div>
          </w:divsChild>
        </w:div>
        <w:div w:id="1519074792">
          <w:marLeft w:val="0"/>
          <w:marRight w:val="0"/>
          <w:marTop w:val="0"/>
          <w:marBottom w:val="0"/>
          <w:divBdr>
            <w:top w:val="none" w:sz="0" w:space="0" w:color="auto"/>
            <w:left w:val="none" w:sz="0" w:space="0" w:color="auto"/>
            <w:bottom w:val="none" w:sz="0" w:space="0" w:color="auto"/>
            <w:right w:val="none" w:sz="0" w:space="0" w:color="auto"/>
          </w:divBdr>
          <w:divsChild>
            <w:div w:id="778719900">
              <w:marLeft w:val="0"/>
              <w:marRight w:val="0"/>
              <w:marTop w:val="0"/>
              <w:marBottom w:val="0"/>
              <w:divBdr>
                <w:top w:val="none" w:sz="0" w:space="0" w:color="auto"/>
                <w:left w:val="none" w:sz="0" w:space="0" w:color="auto"/>
                <w:bottom w:val="none" w:sz="0" w:space="0" w:color="auto"/>
                <w:right w:val="none" w:sz="0" w:space="0" w:color="auto"/>
              </w:divBdr>
            </w:div>
          </w:divsChild>
        </w:div>
        <w:div w:id="1539538915">
          <w:marLeft w:val="0"/>
          <w:marRight w:val="0"/>
          <w:marTop w:val="0"/>
          <w:marBottom w:val="0"/>
          <w:divBdr>
            <w:top w:val="none" w:sz="0" w:space="0" w:color="auto"/>
            <w:left w:val="none" w:sz="0" w:space="0" w:color="auto"/>
            <w:bottom w:val="none" w:sz="0" w:space="0" w:color="auto"/>
            <w:right w:val="none" w:sz="0" w:space="0" w:color="auto"/>
          </w:divBdr>
          <w:divsChild>
            <w:div w:id="1389568625">
              <w:marLeft w:val="0"/>
              <w:marRight w:val="0"/>
              <w:marTop w:val="0"/>
              <w:marBottom w:val="0"/>
              <w:divBdr>
                <w:top w:val="none" w:sz="0" w:space="0" w:color="auto"/>
                <w:left w:val="none" w:sz="0" w:space="0" w:color="auto"/>
                <w:bottom w:val="none" w:sz="0" w:space="0" w:color="auto"/>
                <w:right w:val="none" w:sz="0" w:space="0" w:color="auto"/>
              </w:divBdr>
            </w:div>
          </w:divsChild>
        </w:div>
        <w:div w:id="1549605389">
          <w:marLeft w:val="0"/>
          <w:marRight w:val="0"/>
          <w:marTop w:val="0"/>
          <w:marBottom w:val="0"/>
          <w:divBdr>
            <w:top w:val="none" w:sz="0" w:space="0" w:color="auto"/>
            <w:left w:val="none" w:sz="0" w:space="0" w:color="auto"/>
            <w:bottom w:val="none" w:sz="0" w:space="0" w:color="auto"/>
            <w:right w:val="none" w:sz="0" w:space="0" w:color="auto"/>
          </w:divBdr>
          <w:divsChild>
            <w:div w:id="479733378">
              <w:marLeft w:val="0"/>
              <w:marRight w:val="0"/>
              <w:marTop w:val="0"/>
              <w:marBottom w:val="0"/>
              <w:divBdr>
                <w:top w:val="none" w:sz="0" w:space="0" w:color="auto"/>
                <w:left w:val="none" w:sz="0" w:space="0" w:color="auto"/>
                <w:bottom w:val="none" w:sz="0" w:space="0" w:color="auto"/>
                <w:right w:val="none" w:sz="0" w:space="0" w:color="auto"/>
              </w:divBdr>
            </w:div>
          </w:divsChild>
        </w:div>
        <w:div w:id="1598634737">
          <w:marLeft w:val="0"/>
          <w:marRight w:val="0"/>
          <w:marTop w:val="0"/>
          <w:marBottom w:val="0"/>
          <w:divBdr>
            <w:top w:val="none" w:sz="0" w:space="0" w:color="auto"/>
            <w:left w:val="none" w:sz="0" w:space="0" w:color="auto"/>
            <w:bottom w:val="none" w:sz="0" w:space="0" w:color="auto"/>
            <w:right w:val="none" w:sz="0" w:space="0" w:color="auto"/>
          </w:divBdr>
          <w:divsChild>
            <w:div w:id="2060590511">
              <w:marLeft w:val="0"/>
              <w:marRight w:val="0"/>
              <w:marTop w:val="0"/>
              <w:marBottom w:val="0"/>
              <w:divBdr>
                <w:top w:val="none" w:sz="0" w:space="0" w:color="auto"/>
                <w:left w:val="none" w:sz="0" w:space="0" w:color="auto"/>
                <w:bottom w:val="none" w:sz="0" w:space="0" w:color="auto"/>
                <w:right w:val="none" w:sz="0" w:space="0" w:color="auto"/>
              </w:divBdr>
            </w:div>
          </w:divsChild>
        </w:div>
        <w:div w:id="1638563421">
          <w:marLeft w:val="0"/>
          <w:marRight w:val="0"/>
          <w:marTop w:val="0"/>
          <w:marBottom w:val="0"/>
          <w:divBdr>
            <w:top w:val="none" w:sz="0" w:space="0" w:color="auto"/>
            <w:left w:val="none" w:sz="0" w:space="0" w:color="auto"/>
            <w:bottom w:val="none" w:sz="0" w:space="0" w:color="auto"/>
            <w:right w:val="none" w:sz="0" w:space="0" w:color="auto"/>
          </w:divBdr>
          <w:divsChild>
            <w:div w:id="401608984">
              <w:marLeft w:val="0"/>
              <w:marRight w:val="0"/>
              <w:marTop w:val="0"/>
              <w:marBottom w:val="0"/>
              <w:divBdr>
                <w:top w:val="none" w:sz="0" w:space="0" w:color="auto"/>
                <w:left w:val="none" w:sz="0" w:space="0" w:color="auto"/>
                <w:bottom w:val="none" w:sz="0" w:space="0" w:color="auto"/>
                <w:right w:val="none" w:sz="0" w:space="0" w:color="auto"/>
              </w:divBdr>
            </w:div>
          </w:divsChild>
        </w:div>
        <w:div w:id="1641764839">
          <w:marLeft w:val="0"/>
          <w:marRight w:val="0"/>
          <w:marTop w:val="0"/>
          <w:marBottom w:val="0"/>
          <w:divBdr>
            <w:top w:val="none" w:sz="0" w:space="0" w:color="auto"/>
            <w:left w:val="none" w:sz="0" w:space="0" w:color="auto"/>
            <w:bottom w:val="none" w:sz="0" w:space="0" w:color="auto"/>
            <w:right w:val="none" w:sz="0" w:space="0" w:color="auto"/>
          </w:divBdr>
          <w:divsChild>
            <w:div w:id="245458513">
              <w:marLeft w:val="0"/>
              <w:marRight w:val="0"/>
              <w:marTop w:val="0"/>
              <w:marBottom w:val="0"/>
              <w:divBdr>
                <w:top w:val="none" w:sz="0" w:space="0" w:color="auto"/>
                <w:left w:val="none" w:sz="0" w:space="0" w:color="auto"/>
                <w:bottom w:val="none" w:sz="0" w:space="0" w:color="auto"/>
                <w:right w:val="none" w:sz="0" w:space="0" w:color="auto"/>
              </w:divBdr>
            </w:div>
          </w:divsChild>
        </w:div>
        <w:div w:id="1645699281">
          <w:marLeft w:val="0"/>
          <w:marRight w:val="0"/>
          <w:marTop w:val="0"/>
          <w:marBottom w:val="0"/>
          <w:divBdr>
            <w:top w:val="none" w:sz="0" w:space="0" w:color="auto"/>
            <w:left w:val="none" w:sz="0" w:space="0" w:color="auto"/>
            <w:bottom w:val="none" w:sz="0" w:space="0" w:color="auto"/>
            <w:right w:val="none" w:sz="0" w:space="0" w:color="auto"/>
          </w:divBdr>
          <w:divsChild>
            <w:div w:id="1515608186">
              <w:marLeft w:val="0"/>
              <w:marRight w:val="0"/>
              <w:marTop w:val="0"/>
              <w:marBottom w:val="0"/>
              <w:divBdr>
                <w:top w:val="none" w:sz="0" w:space="0" w:color="auto"/>
                <w:left w:val="none" w:sz="0" w:space="0" w:color="auto"/>
                <w:bottom w:val="none" w:sz="0" w:space="0" w:color="auto"/>
                <w:right w:val="none" w:sz="0" w:space="0" w:color="auto"/>
              </w:divBdr>
            </w:div>
          </w:divsChild>
        </w:div>
        <w:div w:id="1695763709">
          <w:marLeft w:val="0"/>
          <w:marRight w:val="0"/>
          <w:marTop w:val="0"/>
          <w:marBottom w:val="0"/>
          <w:divBdr>
            <w:top w:val="none" w:sz="0" w:space="0" w:color="auto"/>
            <w:left w:val="none" w:sz="0" w:space="0" w:color="auto"/>
            <w:bottom w:val="none" w:sz="0" w:space="0" w:color="auto"/>
            <w:right w:val="none" w:sz="0" w:space="0" w:color="auto"/>
          </w:divBdr>
          <w:divsChild>
            <w:div w:id="1223518485">
              <w:marLeft w:val="0"/>
              <w:marRight w:val="0"/>
              <w:marTop w:val="0"/>
              <w:marBottom w:val="0"/>
              <w:divBdr>
                <w:top w:val="none" w:sz="0" w:space="0" w:color="auto"/>
                <w:left w:val="none" w:sz="0" w:space="0" w:color="auto"/>
                <w:bottom w:val="none" w:sz="0" w:space="0" w:color="auto"/>
                <w:right w:val="none" w:sz="0" w:space="0" w:color="auto"/>
              </w:divBdr>
            </w:div>
          </w:divsChild>
        </w:div>
        <w:div w:id="1704793062">
          <w:marLeft w:val="0"/>
          <w:marRight w:val="0"/>
          <w:marTop w:val="0"/>
          <w:marBottom w:val="0"/>
          <w:divBdr>
            <w:top w:val="none" w:sz="0" w:space="0" w:color="auto"/>
            <w:left w:val="none" w:sz="0" w:space="0" w:color="auto"/>
            <w:bottom w:val="none" w:sz="0" w:space="0" w:color="auto"/>
            <w:right w:val="none" w:sz="0" w:space="0" w:color="auto"/>
          </w:divBdr>
          <w:divsChild>
            <w:div w:id="737553881">
              <w:marLeft w:val="0"/>
              <w:marRight w:val="0"/>
              <w:marTop w:val="0"/>
              <w:marBottom w:val="0"/>
              <w:divBdr>
                <w:top w:val="none" w:sz="0" w:space="0" w:color="auto"/>
                <w:left w:val="none" w:sz="0" w:space="0" w:color="auto"/>
                <w:bottom w:val="none" w:sz="0" w:space="0" w:color="auto"/>
                <w:right w:val="none" w:sz="0" w:space="0" w:color="auto"/>
              </w:divBdr>
            </w:div>
          </w:divsChild>
        </w:div>
        <w:div w:id="1723166446">
          <w:marLeft w:val="0"/>
          <w:marRight w:val="0"/>
          <w:marTop w:val="0"/>
          <w:marBottom w:val="0"/>
          <w:divBdr>
            <w:top w:val="none" w:sz="0" w:space="0" w:color="auto"/>
            <w:left w:val="none" w:sz="0" w:space="0" w:color="auto"/>
            <w:bottom w:val="none" w:sz="0" w:space="0" w:color="auto"/>
            <w:right w:val="none" w:sz="0" w:space="0" w:color="auto"/>
          </w:divBdr>
          <w:divsChild>
            <w:div w:id="1028144522">
              <w:marLeft w:val="0"/>
              <w:marRight w:val="0"/>
              <w:marTop w:val="0"/>
              <w:marBottom w:val="0"/>
              <w:divBdr>
                <w:top w:val="none" w:sz="0" w:space="0" w:color="auto"/>
                <w:left w:val="none" w:sz="0" w:space="0" w:color="auto"/>
                <w:bottom w:val="none" w:sz="0" w:space="0" w:color="auto"/>
                <w:right w:val="none" w:sz="0" w:space="0" w:color="auto"/>
              </w:divBdr>
            </w:div>
          </w:divsChild>
        </w:div>
        <w:div w:id="1735465171">
          <w:marLeft w:val="0"/>
          <w:marRight w:val="0"/>
          <w:marTop w:val="0"/>
          <w:marBottom w:val="0"/>
          <w:divBdr>
            <w:top w:val="none" w:sz="0" w:space="0" w:color="auto"/>
            <w:left w:val="none" w:sz="0" w:space="0" w:color="auto"/>
            <w:bottom w:val="none" w:sz="0" w:space="0" w:color="auto"/>
            <w:right w:val="none" w:sz="0" w:space="0" w:color="auto"/>
          </w:divBdr>
          <w:divsChild>
            <w:div w:id="2080906221">
              <w:marLeft w:val="0"/>
              <w:marRight w:val="0"/>
              <w:marTop w:val="0"/>
              <w:marBottom w:val="0"/>
              <w:divBdr>
                <w:top w:val="none" w:sz="0" w:space="0" w:color="auto"/>
                <w:left w:val="none" w:sz="0" w:space="0" w:color="auto"/>
                <w:bottom w:val="none" w:sz="0" w:space="0" w:color="auto"/>
                <w:right w:val="none" w:sz="0" w:space="0" w:color="auto"/>
              </w:divBdr>
            </w:div>
          </w:divsChild>
        </w:div>
        <w:div w:id="1743597989">
          <w:marLeft w:val="0"/>
          <w:marRight w:val="0"/>
          <w:marTop w:val="0"/>
          <w:marBottom w:val="0"/>
          <w:divBdr>
            <w:top w:val="none" w:sz="0" w:space="0" w:color="auto"/>
            <w:left w:val="none" w:sz="0" w:space="0" w:color="auto"/>
            <w:bottom w:val="none" w:sz="0" w:space="0" w:color="auto"/>
            <w:right w:val="none" w:sz="0" w:space="0" w:color="auto"/>
          </w:divBdr>
          <w:divsChild>
            <w:div w:id="1785152216">
              <w:marLeft w:val="0"/>
              <w:marRight w:val="0"/>
              <w:marTop w:val="0"/>
              <w:marBottom w:val="0"/>
              <w:divBdr>
                <w:top w:val="none" w:sz="0" w:space="0" w:color="auto"/>
                <w:left w:val="none" w:sz="0" w:space="0" w:color="auto"/>
                <w:bottom w:val="none" w:sz="0" w:space="0" w:color="auto"/>
                <w:right w:val="none" w:sz="0" w:space="0" w:color="auto"/>
              </w:divBdr>
            </w:div>
          </w:divsChild>
        </w:div>
        <w:div w:id="1760446457">
          <w:marLeft w:val="0"/>
          <w:marRight w:val="0"/>
          <w:marTop w:val="0"/>
          <w:marBottom w:val="0"/>
          <w:divBdr>
            <w:top w:val="none" w:sz="0" w:space="0" w:color="auto"/>
            <w:left w:val="none" w:sz="0" w:space="0" w:color="auto"/>
            <w:bottom w:val="none" w:sz="0" w:space="0" w:color="auto"/>
            <w:right w:val="none" w:sz="0" w:space="0" w:color="auto"/>
          </w:divBdr>
          <w:divsChild>
            <w:div w:id="930041190">
              <w:marLeft w:val="0"/>
              <w:marRight w:val="0"/>
              <w:marTop w:val="0"/>
              <w:marBottom w:val="0"/>
              <w:divBdr>
                <w:top w:val="none" w:sz="0" w:space="0" w:color="auto"/>
                <w:left w:val="none" w:sz="0" w:space="0" w:color="auto"/>
                <w:bottom w:val="none" w:sz="0" w:space="0" w:color="auto"/>
                <w:right w:val="none" w:sz="0" w:space="0" w:color="auto"/>
              </w:divBdr>
            </w:div>
          </w:divsChild>
        </w:div>
        <w:div w:id="1779716306">
          <w:marLeft w:val="0"/>
          <w:marRight w:val="0"/>
          <w:marTop w:val="0"/>
          <w:marBottom w:val="0"/>
          <w:divBdr>
            <w:top w:val="none" w:sz="0" w:space="0" w:color="auto"/>
            <w:left w:val="none" w:sz="0" w:space="0" w:color="auto"/>
            <w:bottom w:val="none" w:sz="0" w:space="0" w:color="auto"/>
            <w:right w:val="none" w:sz="0" w:space="0" w:color="auto"/>
          </w:divBdr>
          <w:divsChild>
            <w:div w:id="1837307621">
              <w:marLeft w:val="0"/>
              <w:marRight w:val="0"/>
              <w:marTop w:val="0"/>
              <w:marBottom w:val="0"/>
              <w:divBdr>
                <w:top w:val="none" w:sz="0" w:space="0" w:color="auto"/>
                <w:left w:val="none" w:sz="0" w:space="0" w:color="auto"/>
                <w:bottom w:val="none" w:sz="0" w:space="0" w:color="auto"/>
                <w:right w:val="none" w:sz="0" w:space="0" w:color="auto"/>
              </w:divBdr>
            </w:div>
          </w:divsChild>
        </w:div>
        <w:div w:id="1783577046">
          <w:marLeft w:val="0"/>
          <w:marRight w:val="0"/>
          <w:marTop w:val="0"/>
          <w:marBottom w:val="0"/>
          <w:divBdr>
            <w:top w:val="none" w:sz="0" w:space="0" w:color="auto"/>
            <w:left w:val="none" w:sz="0" w:space="0" w:color="auto"/>
            <w:bottom w:val="none" w:sz="0" w:space="0" w:color="auto"/>
            <w:right w:val="none" w:sz="0" w:space="0" w:color="auto"/>
          </w:divBdr>
          <w:divsChild>
            <w:div w:id="427193635">
              <w:marLeft w:val="0"/>
              <w:marRight w:val="0"/>
              <w:marTop w:val="0"/>
              <w:marBottom w:val="0"/>
              <w:divBdr>
                <w:top w:val="none" w:sz="0" w:space="0" w:color="auto"/>
                <w:left w:val="none" w:sz="0" w:space="0" w:color="auto"/>
                <w:bottom w:val="none" w:sz="0" w:space="0" w:color="auto"/>
                <w:right w:val="none" w:sz="0" w:space="0" w:color="auto"/>
              </w:divBdr>
            </w:div>
          </w:divsChild>
        </w:div>
        <w:div w:id="1809542917">
          <w:marLeft w:val="0"/>
          <w:marRight w:val="0"/>
          <w:marTop w:val="0"/>
          <w:marBottom w:val="0"/>
          <w:divBdr>
            <w:top w:val="none" w:sz="0" w:space="0" w:color="auto"/>
            <w:left w:val="none" w:sz="0" w:space="0" w:color="auto"/>
            <w:bottom w:val="none" w:sz="0" w:space="0" w:color="auto"/>
            <w:right w:val="none" w:sz="0" w:space="0" w:color="auto"/>
          </w:divBdr>
          <w:divsChild>
            <w:div w:id="973947484">
              <w:marLeft w:val="0"/>
              <w:marRight w:val="0"/>
              <w:marTop w:val="0"/>
              <w:marBottom w:val="0"/>
              <w:divBdr>
                <w:top w:val="none" w:sz="0" w:space="0" w:color="auto"/>
                <w:left w:val="none" w:sz="0" w:space="0" w:color="auto"/>
                <w:bottom w:val="none" w:sz="0" w:space="0" w:color="auto"/>
                <w:right w:val="none" w:sz="0" w:space="0" w:color="auto"/>
              </w:divBdr>
            </w:div>
          </w:divsChild>
        </w:div>
        <w:div w:id="1810977816">
          <w:marLeft w:val="0"/>
          <w:marRight w:val="0"/>
          <w:marTop w:val="0"/>
          <w:marBottom w:val="0"/>
          <w:divBdr>
            <w:top w:val="none" w:sz="0" w:space="0" w:color="auto"/>
            <w:left w:val="none" w:sz="0" w:space="0" w:color="auto"/>
            <w:bottom w:val="none" w:sz="0" w:space="0" w:color="auto"/>
            <w:right w:val="none" w:sz="0" w:space="0" w:color="auto"/>
          </w:divBdr>
          <w:divsChild>
            <w:div w:id="766316901">
              <w:marLeft w:val="0"/>
              <w:marRight w:val="0"/>
              <w:marTop w:val="0"/>
              <w:marBottom w:val="0"/>
              <w:divBdr>
                <w:top w:val="none" w:sz="0" w:space="0" w:color="auto"/>
                <w:left w:val="none" w:sz="0" w:space="0" w:color="auto"/>
                <w:bottom w:val="none" w:sz="0" w:space="0" w:color="auto"/>
                <w:right w:val="none" w:sz="0" w:space="0" w:color="auto"/>
              </w:divBdr>
            </w:div>
          </w:divsChild>
        </w:div>
        <w:div w:id="1825930658">
          <w:marLeft w:val="0"/>
          <w:marRight w:val="0"/>
          <w:marTop w:val="0"/>
          <w:marBottom w:val="0"/>
          <w:divBdr>
            <w:top w:val="none" w:sz="0" w:space="0" w:color="auto"/>
            <w:left w:val="none" w:sz="0" w:space="0" w:color="auto"/>
            <w:bottom w:val="none" w:sz="0" w:space="0" w:color="auto"/>
            <w:right w:val="none" w:sz="0" w:space="0" w:color="auto"/>
          </w:divBdr>
          <w:divsChild>
            <w:div w:id="1219901777">
              <w:marLeft w:val="0"/>
              <w:marRight w:val="0"/>
              <w:marTop w:val="0"/>
              <w:marBottom w:val="0"/>
              <w:divBdr>
                <w:top w:val="none" w:sz="0" w:space="0" w:color="auto"/>
                <w:left w:val="none" w:sz="0" w:space="0" w:color="auto"/>
                <w:bottom w:val="none" w:sz="0" w:space="0" w:color="auto"/>
                <w:right w:val="none" w:sz="0" w:space="0" w:color="auto"/>
              </w:divBdr>
            </w:div>
          </w:divsChild>
        </w:div>
        <w:div w:id="1829055966">
          <w:marLeft w:val="0"/>
          <w:marRight w:val="0"/>
          <w:marTop w:val="0"/>
          <w:marBottom w:val="0"/>
          <w:divBdr>
            <w:top w:val="none" w:sz="0" w:space="0" w:color="auto"/>
            <w:left w:val="none" w:sz="0" w:space="0" w:color="auto"/>
            <w:bottom w:val="none" w:sz="0" w:space="0" w:color="auto"/>
            <w:right w:val="none" w:sz="0" w:space="0" w:color="auto"/>
          </w:divBdr>
          <w:divsChild>
            <w:div w:id="781877243">
              <w:marLeft w:val="0"/>
              <w:marRight w:val="0"/>
              <w:marTop w:val="0"/>
              <w:marBottom w:val="0"/>
              <w:divBdr>
                <w:top w:val="none" w:sz="0" w:space="0" w:color="auto"/>
                <w:left w:val="none" w:sz="0" w:space="0" w:color="auto"/>
                <w:bottom w:val="none" w:sz="0" w:space="0" w:color="auto"/>
                <w:right w:val="none" w:sz="0" w:space="0" w:color="auto"/>
              </w:divBdr>
            </w:div>
          </w:divsChild>
        </w:div>
        <w:div w:id="1832327302">
          <w:marLeft w:val="0"/>
          <w:marRight w:val="0"/>
          <w:marTop w:val="0"/>
          <w:marBottom w:val="0"/>
          <w:divBdr>
            <w:top w:val="none" w:sz="0" w:space="0" w:color="auto"/>
            <w:left w:val="none" w:sz="0" w:space="0" w:color="auto"/>
            <w:bottom w:val="none" w:sz="0" w:space="0" w:color="auto"/>
            <w:right w:val="none" w:sz="0" w:space="0" w:color="auto"/>
          </w:divBdr>
          <w:divsChild>
            <w:div w:id="912273714">
              <w:marLeft w:val="0"/>
              <w:marRight w:val="0"/>
              <w:marTop w:val="0"/>
              <w:marBottom w:val="0"/>
              <w:divBdr>
                <w:top w:val="none" w:sz="0" w:space="0" w:color="auto"/>
                <w:left w:val="none" w:sz="0" w:space="0" w:color="auto"/>
                <w:bottom w:val="none" w:sz="0" w:space="0" w:color="auto"/>
                <w:right w:val="none" w:sz="0" w:space="0" w:color="auto"/>
              </w:divBdr>
            </w:div>
          </w:divsChild>
        </w:div>
        <w:div w:id="1840653868">
          <w:marLeft w:val="0"/>
          <w:marRight w:val="0"/>
          <w:marTop w:val="0"/>
          <w:marBottom w:val="0"/>
          <w:divBdr>
            <w:top w:val="none" w:sz="0" w:space="0" w:color="auto"/>
            <w:left w:val="none" w:sz="0" w:space="0" w:color="auto"/>
            <w:bottom w:val="none" w:sz="0" w:space="0" w:color="auto"/>
            <w:right w:val="none" w:sz="0" w:space="0" w:color="auto"/>
          </w:divBdr>
          <w:divsChild>
            <w:div w:id="544290292">
              <w:marLeft w:val="0"/>
              <w:marRight w:val="0"/>
              <w:marTop w:val="0"/>
              <w:marBottom w:val="0"/>
              <w:divBdr>
                <w:top w:val="none" w:sz="0" w:space="0" w:color="auto"/>
                <w:left w:val="none" w:sz="0" w:space="0" w:color="auto"/>
                <w:bottom w:val="none" w:sz="0" w:space="0" w:color="auto"/>
                <w:right w:val="none" w:sz="0" w:space="0" w:color="auto"/>
              </w:divBdr>
            </w:div>
          </w:divsChild>
        </w:div>
        <w:div w:id="1844473336">
          <w:marLeft w:val="0"/>
          <w:marRight w:val="0"/>
          <w:marTop w:val="0"/>
          <w:marBottom w:val="0"/>
          <w:divBdr>
            <w:top w:val="none" w:sz="0" w:space="0" w:color="auto"/>
            <w:left w:val="none" w:sz="0" w:space="0" w:color="auto"/>
            <w:bottom w:val="none" w:sz="0" w:space="0" w:color="auto"/>
            <w:right w:val="none" w:sz="0" w:space="0" w:color="auto"/>
          </w:divBdr>
          <w:divsChild>
            <w:div w:id="1671131967">
              <w:marLeft w:val="0"/>
              <w:marRight w:val="0"/>
              <w:marTop w:val="0"/>
              <w:marBottom w:val="0"/>
              <w:divBdr>
                <w:top w:val="none" w:sz="0" w:space="0" w:color="auto"/>
                <w:left w:val="none" w:sz="0" w:space="0" w:color="auto"/>
                <w:bottom w:val="none" w:sz="0" w:space="0" w:color="auto"/>
                <w:right w:val="none" w:sz="0" w:space="0" w:color="auto"/>
              </w:divBdr>
            </w:div>
          </w:divsChild>
        </w:div>
        <w:div w:id="1914898027">
          <w:marLeft w:val="0"/>
          <w:marRight w:val="0"/>
          <w:marTop w:val="0"/>
          <w:marBottom w:val="0"/>
          <w:divBdr>
            <w:top w:val="none" w:sz="0" w:space="0" w:color="auto"/>
            <w:left w:val="none" w:sz="0" w:space="0" w:color="auto"/>
            <w:bottom w:val="none" w:sz="0" w:space="0" w:color="auto"/>
            <w:right w:val="none" w:sz="0" w:space="0" w:color="auto"/>
          </w:divBdr>
          <w:divsChild>
            <w:div w:id="1314987613">
              <w:marLeft w:val="0"/>
              <w:marRight w:val="0"/>
              <w:marTop w:val="0"/>
              <w:marBottom w:val="0"/>
              <w:divBdr>
                <w:top w:val="none" w:sz="0" w:space="0" w:color="auto"/>
                <w:left w:val="none" w:sz="0" w:space="0" w:color="auto"/>
                <w:bottom w:val="none" w:sz="0" w:space="0" w:color="auto"/>
                <w:right w:val="none" w:sz="0" w:space="0" w:color="auto"/>
              </w:divBdr>
            </w:div>
          </w:divsChild>
        </w:div>
        <w:div w:id="1928884049">
          <w:marLeft w:val="0"/>
          <w:marRight w:val="0"/>
          <w:marTop w:val="0"/>
          <w:marBottom w:val="0"/>
          <w:divBdr>
            <w:top w:val="none" w:sz="0" w:space="0" w:color="auto"/>
            <w:left w:val="none" w:sz="0" w:space="0" w:color="auto"/>
            <w:bottom w:val="none" w:sz="0" w:space="0" w:color="auto"/>
            <w:right w:val="none" w:sz="0" w:space="0" w:color="auto"/>
          </w:divBdr>
          <w:divsChild>
            <w:div w:id="1983729075">
              <w:marLeft w:val="0"/>
              <w:marRight w:val="0"/>
              <w:marTop w:val="0"/>
              <w:marBottom w:val="0"/>
              <w:divBdr>
                <w:top w:val="none" w:sz="0" w:space="0" w:color="auto"/>
                <w:left w:val="none" w:sz="0" w:space="0" w:color="auto"/>
                <w:bottom w:val="none" w:sz="0" w:space="0" w:color="auto"/>
                <w:right w:val="none" w:sz="0" w:space="0" w:color="auto"/>
              </w:divBdr>
            </w:div>
          </w:divsChild>
        </w:div>
        <w:div w:id="1933468200">
          <w:marLeft w:val="0"/>
          <w:marRight w:val="0"/>
          <w:marTop w:val="0"/>
          <w:marBottom w:val="0"/>
          <w:divBdr>
            <w:top w:val="none" w:sz="0" w:space="0" w:color="auto"/>
            <w:left w:val="none" w:sz="0" w:space="0" w:color="auto"/>
            <w:bottom w:val="none" w:sz="0" w:space="0" w:color="auto"/>
            <w:right w:val="none" w:sz="0" w:space="0" w:color="auto"/>
          </w:divBdr>
          <w:divsChild>
            <w:div w:id="1853489819">
              <w:marLeft w:val="0"/>
              <w:marRight w:val="0"/>
              <w:marTop w:val="0"/>
              <w:marBottom w:val="0"/>
              <w:divBdr>
                <w:top w:val="none" w:sz="0" w:space="0" w:color="auto"/>
                <w:left w:val="none" w:sz="0" w:space="0" w:color="auto"/>
                <w:bottom w:val="none" w:sz="0" w:space="0" w:color="auto"/>
                <w:right w:val="none" w:sz="0" w:space="0" w:color="auto"/>
              </w:divBdr>
            </w:div>
          </w:divsChild>
        </w:div>
        <w:div w:id="1944418927">
          <w:marLeft w:val="0"/>
          <w:marRight w:val="0"/>
          <w:marTop w:val="0"/>
          <w:marBottom w:val="0"/>
          <w:divBdr>
            <w:top w:val="none" w:sz="0" w:space="0" w:color="auto"/>
            <w:left w:val="none" w:sz="0" w:space="0" w:color="auto"/>
            <w:bottom w:val="none" w:sz="0" w:space="0" w:color="auto"/>
            <w:right w:val="none" w:sz="0" w:space="0" w:color="auto"/>
          </w:divBdr>
          <w:divsChild>
            <w:div w:id="2110809595">
              <w:marLeft w:val="0"/>
              <w:marRight w:val="0"/>
              <w:marTop w:val="0"/>
              <w:marBottom w:val="0"/>
              <w:divBdr>
                <w:top w:val="none" w:sz="0" w:space="0" w:color="auto"/>
                <w:left w:val="none" w:sz="0" w:space="0" w:color="auto"/>
                <w:bottom w:val="none" w:sz="0" w:space="0" w:color="auto"/>
                <w:right w:val="none" w:sz="0" w:space="0" w:color="auto"/>
              </w:divBdr>
            </w:div>
          </w:divsChild>
        </w:div>
        <w:div w:id="1944919498">
          <w:marLeft w:val="0"/>
          <w:marRight w:val="0"/>
          <w:marTop w:val="0"/>
          <w:marBottom w:val="0"/>
          <w:divBdr>
            <w:top w:val="none" w:sz="0" w:space="0" w:color="auto"/>
            <w:left w:val="none" w:sz="0" w:space="0" w:color="auto"/>
            <w:bottom w:val="none" w:sz="0" w:space="0" w:color="auto"/>
            <w:right w:val="none" w:sz="0" w:space="0" w:color="auto"/>
          </w:divBdr>
          <w:divsChild>
            <w:div w:id="746417079">
              <w:marLeft w:val="0"/>
              <w:marRight w:val="0"/>
              <w:marTop w:val="0"/>
              <w:marBottom w:val="0"/>
              <w:divBdr>
                <w:top w:val="none" w:sz="0" w:space="0" w:color="auto"/>
                <w:left w:val="none" w:sz="0" w:space="0" w:color="auto"/>
                <w:bottom w:val="none" w:sz="0" w:space="0" w:color="auto"/>
                <w:right w:val="none" w:sz="0" w:space="0" w:color="auto"/>
              </w:divBdr>
            </w:div>
          </w:divsChild>
        </w:div>
        <w:div w:id="1954508405">
          <w:marLeft w:val="0"/>
          <w:marRight w:val="0"/>
          <w:marTop w:val="0"/>
          <w:marBottom w:val="0"/>
          <w:divBdr>
            <w:top w:val="none" w:sz="0" w:space="0" w:color="auto"/>
            <w:left w:val="none" w:sz="0" w:space="0" w:color="auto"/>
            <w:bottom w:val="none" w:sz="0" w:space="0" w:color="auto"/>
            <w:right w:val="none" w:sz="0" w:space="0" w:color="auto"/>
          </w:divBdr>
          <w:divsChild>
            <w:div w:id="803163505">
              <w:marLeft w:val="0"/>
              <w:marRight w:val="0"/>
              <w:marTop w:val="0"/>
              <w:marBottom w:val="0"/>
              <w:divBdr>
                <w:top w:val="none" w:sz="0" w:space="0" w:color="auto"/>
                <w:left w:val="none" w:sz="0" w:space="0" w:color="auto"/>
                <w:bottom w:val="none" w:sz="0" w:space="0" w:color="auto"/>
                <w:right w:val="none" w:sz="0" w:space="0" w:color="auto"/>
              </w:divBdr>
            </w:div>
          </w:divsChild>
        </w:div>
        <w:div w:id="1955819407">
          <w:marLeft w:val="0"/>
          <w:marRight w:val="0"/>
          <w:marTop w:val="0"/>
          <w:marBottom w:val="0"/>
          <w:divBdr>
            <w:top w:val="none" w:sz="0" w:space="0" w:color="auto"/>
            <w:left w:val="none" w:sz="0" w:space="0" w:color="auto"/>
            <w:bottom w:val="none" w:sz="0" w:space="0" w:color="auto"/>
            <w:right w:val="none" w:sz="0" w:space="0" w:color="auto"/>
          </w:divBdr>
          <w:divsChild>
            <w:div w:id="1576473528">
              <w:marLeft w:val="0"/>
              <w:marRight w:val="0"/>
              <w:marTop w:val="0"/>
              <w:marBottom w:val="0"/>
              <w:divBdr>
                <w:top w:val="none" w:sz="0" w:space="0" w:color="auto"/>
                <w:left w:val="none" w:sz="0" w:space="0" w:color="auto"/>
                <w:bottom w:val="none" w:sz="0" w:space="0" w:color="auto"/>
                <w:right w:val="none" w:sz="0" w:space="0" w:color="auto"/>
              </w:divBdr>
            </w:div>
          </w:divsChild>
        </w:div>
        <w:div w:id="1965114428">
          <w:marLeft w:val="0"/>
          <w:marRight w:val="0"/>
          <w:marTop w:val="0"/>
          <w:marBottom w:val="0"/>
          <w:divBdr>
            <w:top w:val="none" w:sz="0" w:space="0" w:color="auto"/>
            <w:left w:val="none" w:sz="0" w:space="0" w:color="auto"/>
            <w:bottom w:val="none" w:sz="0" w:space="0" w:color="auto"/>
            <w:right w:val="none" w:sz="0" w:space="0" w:color="auto"/>
          </w:divBdr>
          <w:divsChild>
            <w:div w:id="1734307474">
              <w:marLeft w:val="0"/>
              <w:marRight w:val="0"/>
              <w:marTop w:val="0"/>
              <w:marBottom w:val="0"/>
              <w:divBdr>
                <w:top w:val="none" w:sz="0" w:space="0" w:color="auto"/>
                <w:left w:val="none" w:sz="0" w:space="0" w:color="auto"/>
                <w:bottom w:val="none" w:sz="0" w:space="0" w:color="auto"/>
                <w:right w:val="none" w:sz="0" w:space="0" w:color="auto"/>
              </w:divBdr>
            </w:div>
          </w:divsChild>
        </w:div>
        <w:div w:id="1980527238">
          <w:marLeft w:val="0"/>
          <w:marRight w:val="0"/>
          <w:marTop w:val="0"/>
          <w:marBottom w:val="0"/>
          <w:divBdr>
            <w:top w:val="none" w:sz="0" w:space="0" w:color="auto"/>
            <w:left w:val="none" w:sz="0" w:space="0" w:color="auto"/>
            <w:bottom w:val="none" w:sz="0" w:space="0" w:color="auto"/>
            <w:right w:val="none" w:sz="0" w:space="0" w:color="auto"/>
          </w:divBdr>
          <w:divsChild>
            <w:div w:id="1064833619">
              <w:marLeft w:val="0"/>
              <w:marRight w:val="0"/>
              <w:marTop w:val="0"/>
              <w:marBottom w:val="0"/>
              <w:divBdr>
                <w:top w:val="none" w:sz="0" w:space="0" w:color="auto"/>
                <w:left w:val="none" w:sz="0" w:space="0" w:color="auto"/>
                <w:bottom w:val="none" w:sz="0" w:space="0" w:color="auto"/>
                <w:right w:val="none" w:sz="0" w:space="0" w:color="auto"/>
              </w:divBdr>
            </w:div>
          </w:divsChild>
        </w:div>
        <w:div w:id="1982537363">
          <w:marLeft w:val="0"/>
          <w:marRight w:val="0"/>
          <w:marTop w:val="0"/>
          <w:marBottom w:val="0"/>
          <w:divBdr>
            <w:top w:val="none" w:sz="0" w:space="0" w:color="auto"/>
            <w:left w:val="none" w:sz="0" w:space="0" w:color="auto"/>
            <w:bottom w:val="none" w:sz="0" w:space="0" w:color="auto"/>
            <w:right w:val="none" w:sz="0" w:space="0" w:color="auto"/>
          </w:divBdr>
          <w:divsChild>
            <w:div w:id="2077429570">
              <w:marLeft w:val="0"/>
              <w:marRight w:val="0"/>
              <w:marTop w:val="0"/>
              <w:marBottom w:val="0"/>
              <w:divBdr>
                <w:top w:val="none" w:sz="0" w:space="0" w:color="auto"/>
                <w:left w:val="none" w:sz="0" w:space="0" w:color="auto"/>
                <w:bottom w:val="none" w:sz="0" w:space="0" w:color="auto"/>
                <w:right w:val="none" w:sz="0" w:space="0" w:color="auto"/>
              </w:divBdr>
            </w:div>
          </w:divsChild>
        </w:div>
        <w:div w:id="1986467157">
          <w:marLeft w:val="0"/>
          <w:marRight w:val="0"/>
          <w:marTop w:val="0"/>
          <w:marBottom w:val="0"/>
          <w:divBdr>
            <w:top w:val="none" w:sz="0" w:space="0" w:color="auto"/>
            <w:left w:val="none" w:sz="0" w:space="0" w:color="auto"/>
            <w:bottom w:val="none" w:sz="0" w:space="0" w:color="auto"/>
            <w:right w:val="none" w:sz="0" w:space="0" w:color="auto"/>
          </w:divBdr>
          <w:divsChild>
            <w:div w:id="199244887">
              <w:marLeft w:val="0"/>
              <w:marRight w:val="0"/>
              <w:marTop w:val="0"/>
              <w:marBottom w:val="0"/>
              <w:divBdr>
                <w:top w:val="none" w:sz="0" w:space="0" w:color="auto"/>
                <w:left w:val="none" w:sz="0" w:space="0" w:color="auto"/>
                <w:bottom w:val="none" w:sz="0" w:space="0" w:color="auto"/>
                <w:right w:val="none" w:sz="0" w:space="0" w:color="auto"/>
              </w:divBdr>
            </w:div>
          </w:divsChild>
        </w:div>
        <w:div w:id="2010400051">
          <w:marLeft w:val="0"/>
          <w:marRight w:val="0"/>
          <w:marTop w:val="0"/>
          <w:marBottom w:val="0"/>
          <w:divBdr>
            <w:top w:val="none" w:sz="0" w:space="0" w:color="auto"/>
            <w:left w:val="none" w:sz="0" w:space="0" w:color="auto"/>
            <w:bottom w:val="none" w:sz="0" w:space="0" w:color="auto"/>
            <w:right w:val="none" w:sz="0" w:space="0" w:color="auto"/>
          </w:divBdr>
          <w:divsChild>
            <w:div w:id="1438988522">
              <w:marLeft w:val="0"/>
              <w:marRight w:val="0"/>
              <w:marTop w:val="0"/>
              <w:marBottom w:val="0"/>
              <w:divBdr>
                <w:top w:val="none" w:sz="0" w:space="0" w:color="auto"/>
                <w:left w:val="none" w:sz="0" w:space="0" w:color="auto"/>
                <w:bottom w:val="none" w:sz="0" w:space="0" w:color="auto"/>
                <w:right w:val="none" w:sz="0" w:space="0" w:color="auto"/>
              </w:divBdr>
            </w:div>
          </w:divsChild>
        </w:div>
        <w:div w:id="2029016725">
          <w:marLeft w:val="0"/>
          <w:marRight w:val="0"/>
          <w:marTop w:val="0"/>
          <w:marBottom w:val="0"/>
          <w:divBdr>
            <w:top w:val="none" w:sz="0" w:space="0" w:color="auto"/>
            <w:left w:val="none" w:sz="0" w:space="0" w:color="auto"/>
            <w:bottom w:val="none" w:sz="0" w:space="0" w:color="auto"/>
            <w:right w:val="none" w:sz="0" w:space="0" w:color="auto"/>
          </w:divBdr>
          <w:divsChild>
            <w:div w:id="1355619480">
              <w:marLeft w:val="0"/>
              <w:marRight w:val="0"/>
              <w:marTop w:val="0"/>
              <w:marBottom w:val="0"/>
              <w:divBdr>
                <w:top w:val="none" w:sz="0" w:space="0" w:color="auto"/>
                <w:left w:val="none" w:sz="0" w:space="0" w:color="auto"/>
                <w:bottom w:val="none" w:sz="0" w:space="0" w:color="auto"/>
                <w:right w:val="none" w:sz="0" w:space="0" w:color="auto"/>
              </w:divBdr>
            </w:div>
          </w:divsChild>
        </w:div>
        <w:div w:id="2054839382">
          <w:marLeft w:val="0"/>
          <w:marRight w:val="0"/>
          <w:marTop w:val="0"/>
          <w:marBottom w:val="0"/>
          <w:divBdr>
            <w:top w:val="none" w:sz="0" w:space="0" w:color="auto"/>
            <w:left w:val="none" w:sz="0" w:space="0" w:color="auto"/>
            <w:bottom w:val="none" w:sz="0" w:space="0" w:color="auto"/>
            <w:right w:val="none" w:sz="0" w:space="0" w:color="auto"/>
          </w:divBdr>
          <w:divsChild>
            <w:div w:id="1821114384">
              <w:marLeft w:val="0"/>
              <w:marRight w:val="0"/>
              <w:marTop w:val="0"/>
              <w:marBottom w:val="0"/>
              <w:divBdr>
                <w:top w:val="none" w:sz="0" w:space="0" w:color="auto"/>
                <w:left w:val="none" w:sz="0" w:space="0" w:color="auto"/>
                <w:bottom w:val="none" w:sz="0" w:space="0" w:color="auto"/>
                <w:right w:val="none" w:sz="0" w:space="0" w:color="auto"/>
              </w:divBdr>
            </w:div>
          </w:divsChild>
        </w:div>
        <w:div w:id="2080906041">
          <w:marLeft w:val="0"/>
          <w:marRight w:val="0"/>
          <w:marTop w:val="0"/>
          <w:marBottom w:val="0"/>
          <w:divBdr>
            <w:top w:val="none" w:sz="0" w:space="0" w:color="auto"/>
            <w:left w:val="none" w:sz="0" w:space="0" w:color="auto"/>
            <w:bottom w:val="none" w:sz="0" w:space="0" w:color="auto"/>
            <w:right w:val="none" w:sz="0" w:space="0" w:color="auto"/>
          </w:divBdr>
          <w:divsChild>
            <w:div w:id="1922792303">
              <w:marLeft w:val="0"/>
              <w:marRight w:val="0"/>
              <w:marTop w:val="0"/>
              <w:marBottom w:val="0"/>
              <w:divBdr>
                <w:top w:val="none" w:sz="0" w:space="0" w:color="auto"/>
                <w:left w:val="none" w:sz="0" w:space="0" w:color="auto"/>
                <w:bottom w:val="none" w:sz="0" w:space="0" w:color="auto"/>
                <w:right w:val="none" w:sz="0" w:space="0" w:color="auto"/>
              </w:divBdr>
            </w:div>
          </w:divsChild>
        </w:div>
        <w:div w:id="2108190339">
          <w:marLeft w:val="0"/>
          <w:marRight w:val="0"/>
          <w:marTop w:val="0"/>
          <w:marBottom w:val="0"/>
          <w:divBdr>
            <w:top w:val="none" w:sz="0" w:space="0" w:color="auto"/>
            <w:left w:val="none" w:sz="0" w:space="0" w:color="auto"/>
            <w:bottom w:val="none" w:sz="0" w:space="0" w:color="auto"/>
            <w:right w:val="none" w:sz="0" w:space="0" w:color="auto"/>
          </w:divBdr>
          <w:divsChild>
            <w:div w:id="1060055957">
              <w:marLeft w:val="0"/>
              <w:marRight w:val="0"/>
              <w:marTop w:val="0"/>
              <w:marBottom w:val="0"/>
              <w:divBdr>
                <w:top w:val="none" w:sz="0" w:space="0" w:color="auto"/>
                <w:left w:val="none" w:sz="0" w:space="0" w:color="auto"/>
                <w:bottom w:val="none" w:sz="0" w:space="0" w:color="auto"/>
                <w:right w:val="none" w:sz="0" w:space="0" w:color="auto"/>
              </w:divBdr>
            </w:div>
          </w:divsChild>
        </w:div>
        <w:div w:id="2127649950">
          <w:marLeft w:val="0"/>
          <w:marRight w:val="0"/>
          <w:marTop w:val="0"/>
          <w:marBottom w:val="0"/>
          <w:divBdr>
            <w:top w:val="none" w:sz="0" w:space="0" w:color="auto"/>
            <w:left w:val="none" w:sz="0" w:space="0" w:color="auto"/>
            <w:bottom w:val="none" w:sz="0" w:space="0" w:color="auto"/>
            <w:right w:val="none" w:sz="0" w:space="0" w:color="auto"/>
          </w:divBdr>
          <w:divsChild>
            <w:div w:id="367461856">
              <w:marLeft w:val="0"/>
              <w:marRight w:val="0"/>
              <w:marTop w:val="0"/>
              <w:marBottom w:val="0"/>
              <w:divBdr>
                <w:top w:val="none" w:sz="0" w:space="0" w:color="auto"/>
                <w:left w:val="none" w:sz="0" w:space="0" w:color="auto"/>
                <w:bottom w:val="none" w:sz="0" w:space="0" w:color="auto"/>
                <w:right w:val="none" w:sz="0" w:space="0" w:color="auto"/>
              </w:divBdr>
            </w:div>
          </w:divsChild>
        </w:div>
        <w:div w:id="2138327332">
          <w:marLeft w:val="0"/>
          <w:marRight w:val="0"/>
          <w:marTop w:val="0"/>
          <w:marBottom w:val="0"/>
          <w:divBdr>
            <w:top w:val="none" w:sz="0" w:space="0" w:color="auto"/>
            <w:left w:val="none" w:sz="0" w:space="0" w:color="auto"/>
            <w:bottom w:val="none" w:sz="0" w:space="0" w:color="auto"/>
            <w:right w:val="none" w:sz="0" w:space="0" w:color="auto"/>
          </w:divBdr>
          <w:divsChild>
            <w:div w:id="4392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0780">
      <w:bodyDiv w:val="1"/>
      <w:marLeft w:val="0"/>
      <w:marRight w:val="0"/>
      <w:marTop w:val="0"/>
      <w:marBottom w:val="0"/>
      <w:divBdr>
        <w:top w:val="none" w:sz="0" w:space="0" w:color="auto"/>
        <w:left w:val="none" w:sz="0" w:space="0" w:color="auto"/>
        <w:bottom w:val="none" w:sz="0" w:space="0" w:color="auto"/>
        <w:right w:val="none" w:sz="0" w:space="0" w:color="auto"/>
      </w:divBdr>
      <w:divsChild>
        <w:div w:id="1755278604">
          <w:marLeft w:val="0"/>
          <w:marRight w:val="0"/>
          <w:marTop w:val="0"/>
          <w:marBottom w:val="0"/>
          <w:divBdr>
            <w:top w:val="none" w:sz="0" w:space="0" w:color="auto"/>
            <w:left w:val="none" w:sz="0" w:space="0" w:color="auto"/>
            <w:bottom w:val="none" w:sz="0" w:space="0" w:color="auto"/>
            <w:right w:val="none" w:sz="0" w:space="0" w:color="auto"/>
          </w:divBdr>
        </w:div>
        <w:div w:id="2014606514">
          <w:marLeft w:val="0"/>
          <w:marRight w:val="0"/>
          <w:marTop w:val="0"/>
          <w:marBottom w:val="0"/>
          <w:divBdr>
            <w:top w:val="none" w:sz="0" w:space="0" w:color="auto"/>
            <w:left w:val="none" w:sz="0" w:space="0" w:color="auto"/>
            <w:bottom w:val="none" w:sz="0" w:space="0" w:color="auto"/>
            <w:right w:val="none" w:sz="0" w:space="0" w:color="auto"/>
          </w:divBdr>
          <w:divsChild>
            <w:div w:id="216866004">
              <w:marLeft w:val="-75"/>
              <w:marRight w:val="0"/>
              <w:marTop w:val="30"/>
              <w:marBottom w:val="30"/>
              <w:divBdr>
                <w:top w:val="none" w:sz="0" w:space="0" w:color="auto"/>
                <w:left w:val="none" w:sz="0" w:space="0" w:color="auto"/>
                <w:bottom w:val="none" w:sz="0" w:space="0" w:color="auto"/>
                <w:right w:val="none" w:sz="0" w:space="0" w:color="auto"/>
              </w:divBdr>
              <w:divsChild>
                <w:div w:id="40135316">
                  <w:marLeft w:val="0"/>
                  <w:marRight w:val="0"/>
                  <w:marTop w:val="0"/>
                  <w:marBottom w:val="0"/>
                  <w:divBdr>
                    <w:top w:val="none" w:sz="0" w:space="0" w:color="auto"/>
                    <w:left w:val="none" w:sz="0" w:space="0" w:color="auto"/>
                    <w:bottom w:val="none" w:sz="0" w:space="0" w:color="auto"/>
                    <w:right w:val="none" w:sz="0" w:space="0" w:color="auto"/>
                  </w:divBdr>
                  <w:divsChild>
                    <w:div w:id="1189874836">
                      <w:marLeft w:val="0"/>
                      <w:marRight w:val="0"/>
                      <w:marTop w:val="0"/>
                      <w:marBottom w:val="0"/>
                      <w:divBdr>
                        <w:top w:val="none" w:sz="0" w:space="0" w:color="auto"/>
                        <w:left w:val="none" w:sz="0" w:space="0" w:color="auto"/>
                        <w:bottom w:val="none" w:sz="0" w:space="0" w:color="auto"/>
                        <w:right w:val="none" w:sz="0" w:space="0" w:color="auto"/>
                      </w:divBdr>
                    </w:div>
                  </w:divsChild>
                </w:div>
                <w:div w:id="55520792">
                  <w:marLeft w:val="0"/>
                  <w:marRight w:val="0"/>
                  <w:marTop w:val="0"/>
                  <w:marBottom w:val="0"/>
                  <w:divBdr>
                    <w:top w:val="none" w:sz="0" w:space="0" w:color="auto"/>
                    <w:left w:val="none" w:sz="0" w:space="0" w:color="auto"/>
                    <w:bottom w:val="none" w:sz="0" w:space="0" w:color="auto"/>
                    <w:right w:val="none" w:sz="0" w:space="0" w:color="auto"/>
                  </w:divBdr>
                  <w:divsChild>
                    <w:div w:id="526914017">
                      <w:marLeft w:val="0"/>
                      <w:marRight w:val="0"/>
                      <w:marTop w:val="0"/>
                      <w:marBottom w:val="0"/>
                      <w:divBdr>
                        <w:top w:val="none" w:sz="0" w:space="0" w:color="auto"/>
                        <w:left w:val="none" w:sz="0" w:space="0" w:color="auto"/>
                        <w:bottom w:val="none" w:sz="0" w:space="0" w:color="auto"/>
                        <w:right w:val="none" w:sz="0" w:space="0" w:color="auto"/>
                      </w:divBdr>
                    </w:div>
                    <w:div w:id="1342780417">
                      <w:marLeft w:val="0"/>
                      <w:marRight w:val="0"/>
                      <w:marTop w:val="0"/>
                      <w:marBottom w:val="0"/>
                      <w:divBdr>
                        <w:top w:val="none" w:sz="0" w:space="0" w:color="auto"/>
                        <w:left w:val="none" w:sz="0" w:space="0" w:color="auto"/>
                        <w:bottom w:val="none" w:sz="0" w:space="0" w:color="auto"/>
                        <w:right w:val="none" w:sz="0" w:space="0" w:color="auto"/>
                      </w:divBdr>
                    </w:div>
                  </w:divsChild>
                </w:div>
                <w:div w:id="94793667">
                  <w:marLeft w:val="0"/>
                  <w:marRight w:val="0"/>
                  <w:marTop w:val="0"/>
                  <w:marBottom w:val="0"/>
                  <w:divBdr>
                    <w:top w:val="none" w:sz="0" w:space="0" w:color="auto"/>
                    <w:left w:val="none" w:sz="0" w:space="0" w:color="auto"/>
                    <w:bottom w:val="none" w:sz="0" w:space="0" w:color="auto"/>
                    <w:right w:val="none" w:sz="0" w:space="0" w:color="auto"/>
                  </w:divBdr>
                  <w:divsChild>
                    <w:div w:id="818112903">
                      <w:marLeft w:val="0"/>
                      <w:marRight w:val="0"/>
                      <w:marTop w:val="0"/>
                      <w:marBottom w:val="0"/>
                      <w:divBdr>
                        <w:top w:val="none" w:sz="0" w:space="0" w:color="auto"/>
                        <w:left w:val="none" w:sz="0" w:space="0" w:color="auto"/>
                        <w:bottom w:val="none" w:sz="0" w:space="0" w:color="auto"/>
                        <w:right w:val="none" w:sz="0" w:space="0" w:color="auto"/>
                      </w:divBdr>
                    </w:div>
                  </w:divsChild>
                </w:div>
                <w:div w:id="125782086">
                  <w:marLeft w:val="0"/>
                  <w:marRight w:val="0"/>
                  <w:marTop w:val="0"/>
                  <w:marBottom w:val="0"/>
                  <w:divBdr>
                    <w:top w:val="none" w:sz="0" w:space="0" w:color="auto"/>
                    <w:left w:val="none" w:sz="0" w:space="0" w:color="auto"/>
                    <w:bottom w:val="none" w:sz="0" w:space="0" w:color="auto"/>
                    <w:right w:val="none" w:sz="0" w:space="0" w:color="auto"/>
                  </w:divBdr>
                  <w:divsChild>
                    <w:div w:id="1770539797">
                      <w:marLeft w:val="0"/>
                      <w:marRight w:val="0"/>
                      <w:marTop w:val="0"/>
                      <w:marBottom w:val="0"/>
                      <w:divBdr>
                        <w:top w:val="none" w:sz="0" w:space="0" w:color="auto"/>
                        <w:left w:val="none" w:sz="0" w:space="0" w:color="auto"/>
                        <w:bottom w:val="none" w:sz="0" w:space="0" w:color="auto"/>
                        <w:right w:val="none" w:sz="0" w:space="0" w:color="auto"/>
                      </w:divBdr>
                    </w:div>
                  </w:divsChild>
                </w:div>
                <w:div w:id="267584437">
                  <w:marLeft w:val="0"/>
                  <w:marRight w:val="0"/>
                  <w:marTop w:val="0"/>
                  <w:marBottom w:val="0"/>
                  <w:divBdr>
                    <w:top w:val="none" w:sz="0" w:space="0" w:color="auto"/>
                    <w:left w:val="none" w:sz="0" w:space="0" w:color="auto"/>
                    <w:bottom w:val="none" w:sz="0" w:space="0" w:color="auto"/>
                    <w:right w:val="none" w:sz="0" w:space="0" w:color="auto"/>
                  </w:divBdr>
                  <w:divsChild>
                    <w:div w:id="217667670">
                      <w:marLeft w:val="0"/>
                      <w:marRight w:val="0"/>
                      <w:marTop w:val="0"/>
                      <w:marBottom w:val="0"/>
                      <w:divBdr>
                        <w:top w:val="none" w:sz="0" w:space="0" w:color="auto"/>
                        <w:left w:val="none" w:sz="0" w:space="0" w:color="auto"/>
                        <w:bottom w:val="none" w:sz="0" w:space="0" w:color="auto"/>
                        <w:right w:val="none" w:sz="0" w:space="0" w:color="auto"/>
                      </w:divBdr>
                    </w:div>
                    <w:div w:id="1897936663">
                      <w:marLeft w:val="0"/>
                      <w:marRight w:val="0"/>
                      <w:marTop w:val="0"/>
                      <w:marBottom w:val="0"/>
                      <w:divBdr>
                        <w:top w:val="none" w:sz="0" w:space="0" w:color="auto"/>
                        <w:left w:val="none" w:sz="0" w:space="0" w:color="auto"/>
                        <w:bottom w:val="none" w:sz="0" w:space="0" w:color="auto"/>
                        <w:right w:val="none" w:sz="0" w:space="0" w:color="auto"/>
                      </w:divBdr>
                    </w:div>
                  </w:divsChild>
                </w:div>
                <w:div w:id="441808800">
                  <w:marLeft w:val="0"/>
                  <w:marRight w:val="0"/>
                  <w:marTop w:val="0"/>
                  <w:marBottom w:val="0"/>
                  <w:divBdr>
                    <w:top w:val="none" w:sz="0" w:space="0" w:color="auto"/>
                    <w:left w:val="none" w:sz="0" w:space="0" w:color="auto"/>
                    <w:bottom w:val="none" w:sz="0" w:space="0" w:color="auto"/>
                    <w:right w:val="none" w:sz="0" w:space="0" w:color="auto"/>
                  </w:divBdr>
                  <w:divsChild>
                    <w:div w:id="1873030391">
                      <w:marLeft w:val="0"/>
                      <w:marRight w:val="0"/>
                      <w:marTop w:val="0"/>
                      <w:marBottom w:val="0"/>
                      <w:divBdr>
                        <w:top w:val="none" w:sz="0" w:space="0" w:color="auto"/>
                        <w:left w:val="none" w:sz="0" w:space="0" w:color="auto"/>
                        <w:bottom w:val="none" w:sz="0" w:space="0" w:color="auto"/>
                        <w:right w:val="none" w:sz="0" w:space="0" w:color="auto"/>
                      </w:divBdr>
                    </w:div>
                  </w:divsChild>
                </w:div>
                <w:div w:id="445001870">
                  <w:marLeft w:val="0"/>
                  <w:marRight w:val="0"/>
                  <w:marTop w:val="0"/>
                  <w:marBottom w:val="0"/>
                  <w:divBdr>
                    <w:top w:val="none" w:sz="0" w:space="0" w:color="auto"/>
                    <w:left w:val="none" w:sz="0" w:space="0" w:color="auto"/>
                    <w:bottom w:val="none" w:sz="0" w:space="0" w:color="auto"/>
                    <w:right w:val="none" w:sz="0" w:space="0" w:color="auto"/>
                  </w:divBdr>
                  <w:divsChild>
                    <w:div w:id="1935630927">
                      <w:marLeft w:val="0"/>
                      <w:marRight w:val="0"/>
                      <w:marTop w:val="0"/>
                      <w:marBottom w:val="0"/>
                      <w:divBdr>
                        <w:top w:val="none" w:sz="0" w:space="0" w:color="auto"/>
                        <w:left w:val="none" w:sz="0" w:space="0" w:color="auto"/>
                        <w:bottom w:val="none" w:sz="0" w:space="0" w:color="auto"/>
                        <w:right w:val="none" w:sz="0" w:space="0" w:color="auto"/>
                      </w:divBdr>
                    </w:div>
                  </w:divsChild>
                </w:div>
                <w:div w:id="650449832">
                  <w:marLeft w:val="0"/>
                  <w:marRight w:val="0"/>
                  <w:marTop w:val="0"/>
                  <w:marBottom w:val="0"/>
                  <w:divBdr>
                    <w:top w:val="none" w:sz="0" w:space="0" w:color="auto"/>
                    <w:left w:val="none" w:sz="0" w:space="0" w:color="auto"/>
                    <w:bottom w:val="none" w:sz="0" w:space="0" w:color="auto"/>
                    <w:right w:val="none" w:sz="0" w:space="0" w:color="auto"/>
                  </w:divBdr>
                  <w:divsChild>
                    <w:div w:id="341736706">
                      <w:marLeft w:val="0"/>
                      <w:marRight w:val="0"/>
                      <w:marTop w:val="0"/>
                      <w:marBottom w:val="0"/>
                      <w:divBdr>
                        <w:top w:val="none" w:sz="0" w:space="0" w:color="auto"/>
                        <w:left w:val="none" w:sz="0" w:space="0" w:color="auto"/>
                        <w:bottom w:val="none" w:sz="0" w:space="0" w:color="auto"/>
                        <w:right w:val="none" w:sz="0" w:space="0" w:color="auto"/>
                      </w:divBdr>
                    </w:div>
                    <w:div w:id="1466969025">
                      <w:marLeft w:val="0"/>
                      <w:marRight w:val="0"/>
                      <w:marTop w:val="0"/>
                      <w:marBottom w:val="0"/>
                      <w:divBdr>
                        <w:top w:val="none" w:sz="0" w:space="0" w:color="auto"/>
                        <w:left w:val="none" w:sz="0" w:space="0" w:color="auto"/>
                        <w:bottom w:val="none" w:sz="0" w:space="0" w:color="auto"/>
                        <w:right w:val="none" w:sz="0" w:space="0" w:color="auto"/>
                      </w:divBdr>
                    </w:div>
                  </w:divsChild>
                </w:div>
                <w:div w:id="820267844">
                  <w:marLeft w:val="0"/>
                  <w:marRight w:val="0"/>
                  <w:marTop w:val="0"/>
                  <w:marBottom w:val="0"/>
                  <w:divBdr>
                    <w:top w:val="none" w:sz="0" w:space="0" w:color="auto"/>
                    <w:left w:val="none" w:sz="0" w:space="0" w:color="auto"/>
                    <w:bottom w:val="none" w:sz="0" w:space="0" w:color="auto"/>
                    <w:right w:val="none" w:sz="0" w:space="0" w:color="auto"/>
                  </w:divBdr>
                  <w:divsChild>
                    <w:div w:id="393823421">
                      <w:marLeft w:val="0"/>
                      <w:marRight w:val="0"/>
                      <w:marTop w:val="0"/>
                      <w:marBottom w:val="0"/>
                      <w:divBdr>
                        <w:top w:val="none" w:sz="0" w:space="0" w:color="auto"/>
                        <w:left w:val="none" w:sz="0" w:space="0" w:color="auto"/>
                        <w:bottom w:val="none" w:sz="0" w:space="0" w:color="auto"/>
                        <w:right w:val="none" w:sz="0" w:space="0" w:color="auto"/>
                      </w:divBdr>
                    </w:div>
                    <w:div w:id="656150176">
                      <w:marLeft w:val="0"/>
                      <w:marRight w:val="0"/>
                      <w:marTop w:val="0"/>
                      <w:marBottom w:val="0"/>
                      <w:divBdr>
                        <w:top w:val="none" w:sz="0" w:space="0" w:color="auto"/>
                        <w:left w:val="none" w:sz="0" w:space="0" w:color="auto"/>
                        <w:bottom w:val="none" w:sz="0" w:space="0" w:color="auto"/>
                        <w:right w:val="none" w:sz="0" w:space="0" w:color="auto"/>
                      </w:divBdr>
                    </w:div>
                  </w:divsChild>
                </w:div>
                <w:div w:id="912349653">
                  <w:marLeft w:val="0"/>
                  <w:marRight w:val="0"/>
                  <w:marTop w:val="0"/>
                  <w:marBottom w:val="0"/>
                  <w:divBdr>
                    <w:top w:val="none" w:sz="0" w:space="0" w:color="auto"/>
                    <w:left w:val="none" w:sz="0" w:space="0" w:color="auto"/>
                    <w:bottom w:val="none" w:sz="0" w:space="0" w:color="auto"/>
                    <w:right w:val="none" w:sz="0" w:space="0" w:color="auto"/>
                  </w:divBdr>
                  <w:divsChild>
                    <w:div w:id="186258745">
                      <w:marLeft w:val="0"/>
                      <w:marRight w:val="0"/>
                      <w:marTop w:val="0"/>
                      <w:marBottom w:val="0"/>
                      <w:divBdr>
                        <w:top w:val="none" w:sz="0" w:space="0" w:color="auto"/>
                        <w:left w:val="none" w:sz="0" w:space="0" w:color="auto"/>
                        <w:bottom w:val="none" w:sz="0" w:space="0" w:color="auto"/>
                        <w:right w:val="none" w:sz="0" w:space="0" w:color="auto"/>
                      </w:divBdr>
                    </w:div>
                  </w:divsChild>
                </w:div>
                <w:div w:id="963465965">
                  <w:marLeft w:val="0"/>
                  <w:marRight w:val="0"/>
                  <w:marTop w:val="0"/>
                  <w:marBottom w:val="0"/>
                  <w:divBdr>
                    <w:top w:val="none" w:sz="0" w:space="0" w:color="auto"/>
                    <w:left w:val="none" w:sz="0" w:space="0" w:color="auto"/>
                    <w:bottom w:val="none" w:sz="0" w:space="0" w:color="auto"/>
                    <w:right w:val="none" w:sz="0" w:space="0" w:color="auto"/>
                  </w:divBdr>
                  <w:divsChild>
                    <w:div w:id="1981617909">
                      <w:marLeft w:val="0"/>
                      <w:marRight w:val="0"/>
                      <w:marTop w:val="0"/>
                      <w:marBottom w:val="0"/>
                      <w:divBdr>
                        <w:top w:val="none" w:sz="0" w:space="0" w:color="auto"/>
                        <w:left w:val="none" w:sz="0" w:space="0" w:color="auto"/>
                        <w:bottom w:val="none" w:sz="0" w:space="0" w:color="auto"/>
                        <w:right w:val="none" w:sz="0" w:space="0" w:color="auto"/>
                      </w:divBdr>
                    </w:div>
                  </w:divsChild>
                </w:div>
                <w:div w:id="1165512284">
                  <w:marLeft w:val="0"/>
                  <w:marRight w:val="0"/>
                  <w:marTop w:val="0"/>
                  <w:marBottom w:val="0"/>
                  <w:divBdr>
                    <w:top w:val="none" w:sz="0" w:space="0" w:color="auto"/>
                    <w:left w:val="none" w:sz="0" w:space="0" w:color="auto"/>
                    <w:bottom w:val="none" w:sz="0" w:space="0" w:color="auto"/>
                    <w:right w:val="none" w:sz="0" w:space="0" w:color="auto"/>
                  </w:divBdr>
                  <w:divsChild>
                    <w:div w:id="1241216750">
                      <w:marLeft w:val="0"/>
                      <w:marRight w:val="0"/>
                      <w:marTop w:val="0"/>
                      <w:marBottom w:val="0"/>
                      <w:divBdr>
                        <w:top w:val="none" w:sz="0" w:space="0" w:color="auto"/>
                        <w:left w:val="none" w:sz="0" w:space="0" w:color="auto"/>
                        <w:bottom w:val="none" w:sz="0" w:space="0" w:color="auto"/>
                        <w:right w:val="none" w:sz="0" w:space="0" w:color="auto"/>
                      </w:divBdr>
                    </w:div>
                  </w:divsChild>
                </w:div>
                <w:div w:id="1201165876">
                  <w:marLeft w:val="0"/>
                  <w:marRight w:val="0"/>
                  <w:marTop w:val="0"/>
                  <w:marBottom w:val="0"/>
                  <w:divBdr>
                    <w:top w:val="none" w:sz="0" w:space="0" w:color="auto"/>
                    <w:left w:val="none" w:sz="0" w:space="0" w:color="auto"/>
                    <w:bottom w:val="none" w:sz="0" w:space="0" w:color="auto"/>
                    <w:right w:val="none" w:sz="0" w:space="0" w:color="auto"/>
                  </w:divBdr>
                  <w:divsChild>
                    <w:div w:id="1372614529">
                      <w:marLeft w:val="0"/>
                      <w:marRight w:val="0"/>
                      <w:marTop w:val="0"/>
                      <w:marBottom w:val="0"/>
                      <w:divBdr>
                        <w:top w:val="none" w:sz="0" w:space="0" w:color="auto"/>
                        <w:left w:val="none" w:sz="0" w:space="0" w:color="auto"/>
                        <w:bottom w:val="none" w:sz="0" w:space="0" w:color="auto"/>
                        <w:right w:val="none" w:sz="0" w:space="0" w:color="auto"/>
                      </w:divBdr>
                    </w:div>
                  </w:divsChild>
                </w:div>
                <w:div w:id="1333802061">
                  <w:marLeft w:val="0"/>
                  <w:marRight w:val="0"/>
                  <w:marTop w:val="0"/>
                  <w:marBottom w:val="0"/>
                  <w:divBdr>
                    <w:top w:val="none" w:sz="0" w:space="0" w:color="auto"/>
                    <w:left w:val="none" w:sz="0" w:space="0" w:color="auto"/>
                    <w:bottom w:val="none" w:sz="0" w:space="0" w:color="auto"/>
                    <w:right w:val="none" w:sz="0" w:space="0" w:color="auto"/>
                  </w:divBdr>
                  <w:divsChild>
                    <w:div w:id="1652827454">
                      <w:marLeft w:val="0"/>
                      <w:marRight w:val="0"/>
                      <w:marTop w:val="0"/>
                      <w:marBottom w:val="0"/>
                      <w:divBdr>
                        <w:top w:val="none" w:sz="0" w:space="0" w:color="auto"/>
                        <w:left w:val="none" w:sz="0" w:space="0" w:color="auto"/>
                        <w:bottom w:val="none" w:sz="0" w:space="0" w:color="auto"/>
                        <w:right w:val="none" w:sz="0" w:space="0" w:color="auto"/>
                      </w:divBdr>
                    </w:div>
                  </w:divsChild>
                </w:div>
                <w:div w:id="1424646646">
                  <w:marLeft w:val="0"/>
                  <w:marRight w:val="0"/>
                  <w:marTop w:val="0"/>
                  <w:marBottom w:val="0"/>
                  <w:divBdr>
                    <w:top w:val="none" w:sz="0" w:space="0" w:color="auto"/>
                    <w:left w:val="none" w:sz="0" w:space="0" w:color="auto"/>
                    <w:bottom w:val="none" w:sz="0" w:space="0" w:color="auto"/>
                    <w:right w:val="none" w:sz="0" w:space="0" w:color="auto"/>
                  </w:divBdr>
                  <w:divsChild>
                    <w:div w:id="723869288">
                      <w:marLeft w:val="0"/>
                      <w:marRight w:val="0"/>
                      <w:marTop w:val="0"/>
                      <w:marBottom w:val="0"/>
                      <w:divBdr>
                        <w:top w:val="none" w:sz="0" w:space="0" w:color="auto"/>
                        <w:left w:val="none" w:sz="0" w:space="0" w:color="auto"/>
                        <w:bottom w:val="none" w:sz="0" w:space="0" w:color="auto"/>
                        <w:right w:val="none" w:sz="0" w:space="0" w:color="auto"/>
                      </w:divBdr>
                    </w:div>
                  </w:divsChild>
                </w:div>
                <w:div w:id="1465585677">
                  <w:marLeft w:val="0"/>
                  <w:marRight w:val="0"/>
                  <w:marTop w:val="0"/>
                  <w:marBottom w:val="0"/>
                  <w:divBdr>
                    <w:top w:val="none" w:sz="0" w:space="0" w:color="auto"/>
                    <w:left w:val="none" w:sz="0" w:space="0" w:color="auto"/>
                    <w:bottom w:val="none" w:sz="0" w:space="0" w:color="auto"/>
                    <w:right w:val="none" w:sz="0" w:space="0" w:color="auto"/>
                  </w:divBdr>
                  <w:divsChild>
                    <w:div w:id="2079741587">
                      <w:marLeft w:val="0"/>
                      <w:marRight w:val="0"/>
                      <w:marTop w:val="0"/>
                      <w:marBottom w:val="0"/>
                      <w:divBdr>
                        <w:top w:val="none" w:sz="0" w:space="0" w:color="auto"/>
                        <w:left w:val="none" w:sz="0" w:space="0" w:color="auto"/>
                        <w:bottom w:val="none" w:sz="0" w:space="0" w:color="auto"/>
                        <w:right w:val="none" w:sz="0" w:space="0" w:color="auto"/>
                      </w:divBdr>
                    </w:div>
                  </w:divsChild>
                </w:div>
                <w:div w:id="1541016581">
                  <w:marLeft w:val="0"/>
                  <w:marRight w:val="0"/>
                  <w:marTop w:val="0"/>
                  <w:marBottom w:val="0"/>
                  <w:divBdr>
                    <w:top w:val="none" w:sz="0" w:space="0" w:color="auto"/>
                    <w:left w:val="none" w:sz="0" w:space="0" w:color="auto"/>
                    <w:bottom w:val="none" w:sz="0" w:space="0" w:color="auto"/>
                    <w:right w:val="none" w:sz="0" w:space="0" w:color="auto"/>
                  </w:divBdr>
                  <w:divsChild>
                    <w:div w:id="1020742790">
                      <w:marLeft w:val="0"/>
                      <w:marRight w:val="0"/>
                      <w:marTop w:val="0"/>
                      <w:marBottom w:val="0"/>
                      <w:divBdr>
                        <w:top w:val="none" w:sz="0" w:space="0" w:color="auto"/>
                        <w:left w:val="none" w:sz="0" w:space="0" w:color="auto"/>
                        <w:bottom w:val="none" w:sz="0" w:space="0" w:color="auto"/>
                        <w:right w:val="none" w:sz="0" w:space="0" w:color="auto"/>
                      </w:divBdr>
                    </w:div>
                  </w:divsChild>
                </w:div>
                <w:div w:id="1567102558">
                  <w:marLeft w:val="0"/>
                  <w:marRight w:val="0"/>
                  <w:marTop w:val="0"/>
                  <w:marBottom w:val="0"/>
                  <w:divBdr>
                    <w:top w:val="none" w:sz="0" w:space="0" w:color="auto"/>
                    <w:left w:val="none" w:sz="0" w:space="0" w:color="auto"/>
                    <w:bottom w:val="none" w:sz="0" w:space="0" w:color="auto"/>
                    <w:right w:val="none" w:sz="0" w:space="0" w:color="auto"/>
                  </w:divBdr>
                  <w:divsChild>
                    <w:div w:id="1219121924">
                      <w:marLeft w:val="0"/>
                      <w:marRight w:val="0"/>
                      <w:marTop w:val="0"/>
                      <w:marBottom w:val="0"/>
                      <w:divBdr>
                        <w:top w:val="none" w:sz="0" w:space="0" w:color="auto"/>
                        <w:left w:val="none" w:sz="0" w:space="0" w:color="auto"/>
                        <w:bottom w:val="none" w:sz="0" w:space="0" w:color="auto"/>
                        <w:right w:val="none" w:sz="0" w:space="0" w:color="auto"/>
                      </w:divBdr>
                    </w:div>
                  </w:divsChild>
                </w:div>
                <w:div w:id="1632396980">
                  <w:marLeft w:val="0"/>
                  <w:marRight w:val="0"/>
                  <w:marTop w:val="0"/>
                  <w:marBottom w:val="0"/>
                  <w:divBdr>
                    <w:top w:val="none" w:sz="0" w:space="0" w:color="auto"/>
                    <w:left w:val="none" w:sz="0" w:space="0" w:color="auto"/>
                    <w:bottom w:val="none" w:sz="0" w:space="0" w:color="auto"/>
                    <w:right w:val="none" w:sz="0" w:space="0" w:color="auto"/>
                  </w:divBdr>
                  <w:divsChild>
                    <w:div w:id="1213691107">
                      <w:marLeft w:val="0"/>
                      <w:marRight w:val="0"/>
                      <w:marTop w:val="0"/>
                      <w:marBottom w:val="0"/>
                      <w:divBdr>
                        <w:top w:val="none" w:sz="0" w:space="0" w:color="auto"/>
                        <w:left w:val="none" w:sz="0" w:space="0" w:color="auto"/>
                        <w:bottom w:val="none" w:sz="0" w:space="0" w:color="auto"/>
                        <w:right w:val="none" w:sz="0" w:space="0" w:color="auto"/>
                      </w:divBdr>
                    </w:div>
                  </w:divsChild>
                </w:div>
                <w:div w:id="1718898527">
                  <w:marLeft w:val="0"/>
                  <w:marRight w:val="0"/>
                  <w:marTop w:val="0"/>
                  <w:marBottom w:val="0"/>
                  <w:divBdr>
                    <w:top w:val="none" w:sz="0" w:space="0" w:color="auto"/>
                    <w:left w:val="none" w:sz="0" w:space="0" w:color="auto"/>
                    <w:bottom w:val="none" w:sz="0" w:space="0" w:color="auto"/>
                    <w:right w:val="none" w:sz="0" w:space="0" w:color="auto"/>
                  </w:divBdr>
                  <w:divsChild>
                    <w:div w:id="460880467">
                      <w:marLeft w:val="0"/>
                      <w:marRight w:val="0"/>
                      <w:marTop w:val="0"/>
                      <w:marBottom w:val="0"/>
                      <w:divBdr>
                        <w:top w:val="none" w:sz="0" w:space="0" w:color="auto"/>
                        <w:left w:val="none" w:sz="0" w:space="0" w:color="auto"/>
                        <w:bottom w:val="none" w:sz="0" w:space="0" w:color="auto"/>
                        <w:right w:val="none" w:sz="0" w:space="0" w:color="auto"/>
                      </w:divBdr>
                    </w:div>
                  </w:divsChild>
                </w:div>
                <w:div w:id="1741246085">
                  <w:marLeft w:val="0"/>
                  <w:marRight w:val="0"/>
                  <w:marTop w:val="0"/>
                  <w:marBottom w:val="0"/>
                  <w:divBdr>
                    <w:top w:val="none" w:sz="0" w:space="0" w:color="auto"/>
                    <w:left w:val="none" w:sz="0" w:space="0" w:color="auto"/>
                    <w:bottom w:val="none" w:sz="0" w:space="0" w:color="auto"/>
                    <w:right w:val="none" w:sz="0" w:space="0" w:color="auto"/>
                  </w:divBdr>
                  <w:divsChild>
                    <w:div w:id="968828042">
                      <w:marLeft w:val="0"/>
                      <w:marRight w:val="0"/>
                      <w:marTop w:val="0"/>
                      <w:marBottom w:val="0"/>
                      <w:divBdr>
                        <w:top w:val="none" w:sz="0" w:space="0" w:color="auto"/>
                        <w:left w:val="none" w:sz="0" w:space="0" w:color="auto"/>
                        <w:bottom w:val="none" w:sz="0" w:space="0" w:color="auto"/>
                        <w:right w:val="none" w:sz="0" w:space="0" w:color="auto"/>
                      </w:divBdr>
                    </w:div>
                  </w:divsChild>
                </w:div>
                <w:div w:id="1885168955">
                  <w:marLeft w:val="0"/>
                  <w:marRight w:val="0"/>
                  <w:marTop w:val="0"/>
                  <w:marBottom w:val="0"/>
                  <w:divBdr>
                    <w:top w:val="none" w:sz="0" w:space="0" w:color="auto"/>
                    <w:left w:val="none" w:sz="0" w:space="0" w:color="auto"/>
                    <w:bottom w:val="none" w:sz="0" w:space="0" w:color="auto"/>
                    <w:right w:val="none" w:sz="0" w:space="0" w:color="auto"/>
                  </w:divBdr>
                  <w:divsChild>
                    <w:div w:id="848449891">
                      <w:marLeft w:val="0"/>
                      <w:marRight w:val="0"/>
                      <w:marTop w:val="0"/>
                      <w:marBottom w:val="0"/>
                      <w:divBdr>
                        <w:top w:val="none" w:sz="0" w:space="0" w:color="auto"/>
                        <w:left w:val="none" w:sz="0" w:space="0" w:color="auto"/>
                        <w:bottom w:val="none" w:sz="0" w:space="0" w:color="auto"/>
                        <w:right w:val="none" w:sz="0" w:space="0" w:color="auto"/>
                      </w:divBdr>
                    </w:div>
                  </w:divsChild>
                </w:div>
                <w:div w:id="1964531072">
                  <w:marLeft w:val="0"/>
                  <w:marRight w:val="0"/>
                  <w:marTop w:val="0"/>
                  <w:marBottom w:val="0"/>
                  <w:divBdr>
                    <w:top w:val="none" w:sz="0" w:space="0" w:color="auto"/>
                    <w:left w:val="none" w:sz="0" w:space="0" w:color="auto"/>
                    <w:bottom w:val="none" w:sz="0" w:space="0" w:color="auto"/>
                    <w:right w:val="none" w:sz="0" w:space="0" w:color="auto"/>
                  </w:divBdr>
                  <w:divsChild>
                    <w:div w:id="1385907401">
                      <w:marLeft w:val="0"/>
                      <w:marRight w:val="0"/>
                      <w:marTop w:val="0"/>
                      <w:marBottom w:val="0"/>
                      <w:divBdr>
                        <w:top w:val="none" w:sz="0" w:space="0" w:color="auto"/>
                        <w:left w:val="none" w:sz="0" w:space="0" w:color="auto"/>
                        <w:bottom w:val="none" w:sz="0" w:space="0" w:color="auto"/>
                        <w:right w:val="none" w:sz="0" w:space="0" w:color="auto"/>
                      </w:divBdr>
                    </w:div>
                    <w:div w:id="1724866623">
                      <w:marLeft w:val="0"/>
                      <w:marRight w:val="0"/>
                      <w:marTop w:val="0"/>
                      <w:marBottom w:val="0"/>
                      <w:divBdr>
                        <w:top w:val="none" w:sz="0" w:space="0" w:color="auto"/>
                        <w:left w:val="none" w:sz="0" w:space="0" w:color="auto"/>
                        <w:bottom w:val="none" w:sz="0" w:space="0" w:color="auto"/>
                        <w:right w:val="none" w:sz="0" w:space="0" w:color="auto"/>
                      </w:divBdr>
                    </w:div>
                  </w:divsChild>
                </w:div>
                <w:div w:id="2058774311">
                  <w:marLeft w:val="0"/>
                  <w:marRight w:val="0"/>
                  <w:marTop w:val="0"/>
                  <w:marBottom w:val="0"/>
                  <w:divBdr>
                    <w:top w:val="none" w:sz="0" w:space="0" w:color="auto"/>
                    <w:left w:val="none" w:sz="0" w:space="0" w:color="auto"/>
                    <w:bottom w:val="none" w:sz="0" w:space="0" w:color="auto"/>
                    <w:right w:val="none" w:sz="0" w:space="0" w:color="auto"/>
                  </w:divBdr>
                  <w:divsChild>
                    <w:div w:id="11386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0672">
      <w:bodyDiv w:val="1"/>
      <w:marLeft w:val="0"/>
      <w:marRight w:val="0"/>
      <w:marTop w:val="0"/>
      <w:marBottom w:val="0"/>
      <w:divBdr>
        <w:top w:val="none" w:sz="0" w:space="0" w:color="auto"/>
        <w:left w:val="none" w:sz="0" w:space="0" w:color="auto"/>
        <w:bottom w:val="none" w:sz="0" w:space="0" w:color="auto"/>
        <w:right w:val="none" w:sz="0" w:space="0" w:color="auto"/>
      </w:divBdr>
    </w:div>
    <w:div w:id="120878639">
      <w:bodyDiv w:val="1"/>
      <w:marLeft w:val="0"/>
      <w:marRight w:val="0"/>
      <w:marTop w:val="0"/>
      <w:marBottom w:val="0"/>
      <w:divBdr>
        <w:top w:val="none" w:sz="0" w:space="0" w:color="auto"/>
        <w:left w:val="none" w:sz="0" w:space="0" w:color="auto"/>
        <w:bottom w:val="none" w:sz="0" w:space="0" w:color="auto"/>
        <w:right w:val="none" w:sz="0" w:space="0" w:color="auto"/>
      </w:divBdr>
      <w:divsChild>
        <w:div w:id="150144536">
          <w:marLeft w:val="0"/>
          <w:marRight w:val="0"/>
          <w:marTop w:val="0"/>
          <w:marBottom w:val="0"/>
          <w:divBdr>
            <w:top w:val="none" w:sz="0" w:space="0" w:color="auto"/>
            <w:left w:val="none" w:sz="0" w:space="0" w:color="auto"/>
            <w:bottom w:val="none" w:sz="0" w:space="0" w:color="auto"/>
            <w:right w:val="none" w:sz="0" w:space="0" w:color="auto"/>
          </w:divBdr>
          <w:divsChild>
            <w:div w:id="698704935">
              <w:marLeft w:val="0"/>
              <w:marRight w:val="0"/>
              <w:marTop w:val="0"/>
              <w:marBottom w:val="0"/>
              <w:divBdr>
                <w:top w:val="none" w:sz="0" w:space="0" w:color="auto"/>
                <w:left w:val="none" w:sz="0" w:space="0" w:color="auto"/>
                <w:bottom w:val="none" w:sz="0" w:space="0" w:color="auto"/>
                <w:right w:val="none" w:sz="0" w:space="0" w:color="auto"/>
              </w:divBdr>
            </w:div>
            <w:div w:id="1368457289">
              <w:marLeft w:val="0"/>
              <w:marRight w:val="0"/>
              <w:marTop w:val="0"/>
              <w:marBottom w:val="0"/>
              <w:divBdr>
                <w:top w:val="none" w:sz="0" w:space="0" w:color="auto"/>
                <w:left w:val="none" w:sz="0" w:space="0" w:color="auto"/>
                <w:bottom w:val="none" w:sz="0" w:space="0" w:color="auto"/>
                <w:right w:val="none" w:sz="0" w:space="0" w:color="auto"/>
              </w:divBdr>
            </w:div>
          </w:divsChild>
        </w:div>
        <w:div w:id="330523739">
          <w:marLeft w:val="0"/>
          <w:marRight w:val="0"/>
          <w:marTop w:val="0"/>
          <w:marBottom w:val="0"/>
          <w:divBdr>
            <w:top w:val="none" w:sz="0" w:space="0" w:color="auto"/>
            <w:left w:val="none" w:sz="0" w:space="0" w:color="auto"/>
            <w:bottom w:val="none" w:sz="0" w:space="0" w:color="auto"/>
            <w:right w:val="none" w:sz="0" w:space="0" w:color="auto"/>
          </w:divBdr>
          <w:divsChild>
            <w:div w:id="234556003">
              <w:marLeft w:val="0"/>
              <w:marRight w:val="0"/>
              <w:marTop w:val="0"/>
              <w:marBottom w:val="0"/>
              <w:divBdr>
                <w:top w:val="none" w:sz="0" w:space="0" w:color="auto"/>
                <w:left w:val="none" w:sz="0" w:space="0" w:color="auto"/>
                <w:bottom w:val="none" w:sz="0" w:space="0" w:color="auto"/>
                <w:right w:val="none" w:sz="0" w:space="0" w:color="auto"/>
              </w:divBdr>
            </w:div>
          </w:divsChild>
        </w:div>
        <w:div w:id="674070354">
          <w:marLeft w:val="0"/>
          <w:marRight w:val="0"/>
          <w:marTop w:val="0"/>
          <w:marBottom w:val="0"/>
          <w:divBdr>
            <w:top w:val="none" w:sz="0" w:space="0" w:color="auto"/>
            <w:left w:val="none" w:sz="0" w:space="0" w:color="auto"/>
            <w:bottom w:val="none" w:sz="0" w:space="0" w:color="auto"/>
            <w:right w:val="none" w:sz="0" w:space="0" w:color="auto"/>
          </w:divBdr>
          <w:divsChild>
            <w:div w:id="1672029488">
              <w:marLeft w:val="0"/>
              <w:marRight w:val="0"/>
              <w:marTop w:val="0"/>
              <w:marBottom w:val="0"/>
              <w:divBdr>
                <w:top w:val="none" w:sz="0" w:space="0" w:color="auto"/>
                <w:left w:val="none" w:sz="0" w:space="0" w:color="auto"/>
                <w:bottom w:val="none" w:sz="0" w:space="0" w:color="auto"/>
                <w:right w:val="none" w:sz="0" w:space="0" w:color="auto"/>
              </w:divBdr>
            </w:div>
          </w:divsChild>
        </w:div>
        <w:div w:id="745956852">
          <w:marLeft w:val="0"/>
          <w:marRight w:val="0"/>
          <w:marTop w:val="0"/>
          <w:marBottom w:val="0"/>
          <w:divBdr>
            <w:top w:val="none" w:sz="0" w:space="0" w:color="auto"/>
            <w:left w:val="none" w:sz="0" w:space="0" w:color="auto"/>
            <w:bottom w:val="none" w:sz="0" w:space="0" w:color="auto"/>
            <w:right w:val="none" w:sz="0" w:space="0" w:color="auto"/>
          </w:divBdr>
          <w:divsChild>
            <w:div w:id="1209344714">
              <w:marLeft w:val="0"/>
              <w:marRight w:val="0"/>
              <w:marTop w:val="0"/>
              <w:marBottom w:val="0"/>
              <w:divBdr>
                <w:top w:val="none" w:sz="0" w:space="0" w:color="auto"/>
                <w:left w:val="none" w:sz="0" w:space="0" w:color="auto"/>
                <w:bottom w:val="none" w:sz="0" w:space="0" w:color="auto"/>
                <w:right w:val="none" w:sz="0" w:space="0" w:color="auto"/>
              </w:divBdr>
            </w:div>
          </w:divsChild>
        </w:div>
        <w:div w:id="762871260">
          <w:marLeft w:val="0"/>
          <w:marRight w:val="0"/>
          <w:marTop w:val="0"/>
          <w:marBottom w:val="0"/>
          <w:divBdr>
            <w:top w:val="none" w:sz="0" w:space="0" w:color="auto"/>
            <w:left w:val="none" w:sz="0" w:space="0" w:color="auto"/>
            <w:bottom w:val="none" w:sz="0" w:space="0" w:color="auto"/>
            <w:right w:val="none" w:sz="0" w:space="0" w:color="auto"/>
          </w:divBdr>
          <w:divsChild>
            <w:div w:id="1409573579">
              <w:marLeft w:val="0"/>
              <w:marRight w:val="0"/>
              <w:marTop w:val="0"/>
              <w:marBottom w:val="0"/>
              <w:divBdr>
                <w:top w:val="none" w:sz="0" w:space="0" w:color="auto"/>
                <w:left w:val="none" w:sz="0" w:space="0" w:color="auto"/>
                <w:bottom w:val="none" w:sz="0" w:space="0" w:color="auto"/>
                <w:right w:val="none" w:sz="0" w:space="0" w:color="auto"/>
              </w:divBdr>
            </w:div>
          </w:divsChild>
        </w:div>
        <w:div w:id="971181108">
          <w:marLeft w:val="0"/>
          <w:marRight w:val="0"/>
          <w:marTop w:val="0"/>
          <w:marBottom w:val="0"/>
          <w:divBdr>
            <w:top w:val="none" w:sz="0" w:space="0" w:color="auto"/>
            <w:left w:val="none" w:sz="0" w:space="0" w:color="auto"/>
            <w:bottom w:val="none" w:sz="0" w:space="0" w:color="auto"/>
            <w:right w:val="none" w:sz="0" w:space="0" w:color="auto"/>
          </w:divBdr>
          <w:divsChild>
            <w:div w:id="304700634">
              <w:marLeft w:val="0"/>
              <w:marRight w:val="0"/>
              <w:marTop w:val="0"/>
              <w:marBottom w:val="0"/>
              <w:divBdr>
                <w:top w:val="none" w:sz="0" w:space="0" w:color="auto"/>
                <w:left w:val="none" w:sz="0" w:space="0" w:color="auto"/>
                <w:bottom w:val="none" w:sz="0" w:space="0" w:color="auto"/>
                <w:right w:val="none" w:sz="0" w:space="0" w:color="auto"/>
              </w:divBdr>
            </w:div>
          </w:divsChild>
        </w:div>
        <w:div w:id="1045568946">
          <w:marLeft w:val="0"/>
          <w:marRight w:val="0"/>
          <w:marTop w:val="0"/>
          <w:marBottom w:val="0"/>
          <w:divBdr>
            <w:top w:val="none" w:sz="0" w:space="0" w:color="auto"/>
            <w:left w:val="none" w:sz="0" w:space="0" w:color="auto"/>
            <w:bottom w:val="none" w:sz="0" w:space="0" w:color="auto"/>
            <w:right w:val="none" w:sz="0" w:space="0" w:color="auto"/>
          </w:divBdr>
          <w:divsChild>
            <w:div w:id="731777320">
              <w:marLeft w:val="0"/>
              <w:marRight w:val="0"/>
              <w:marTop w:val="0"/>
              <w:marBottom w:val="0"/>
              <w:divBdr>
                <w:top w:val="none" w:sz="0" w:space="0" w:color="auto"/>
                <w:left w:val="none" w:sz="0" w:space="0" w:color="auto"/>
                <w:bottom w:val="none" w:sz="0" w:space="0" w:color="auto"/>
                <w:right w:val="none" w:sz="0" w:space="0" w:color="auto"/>
              </w:divBdr>
            </w:div>
          </w:divsChild>
        </w:div>
        <w:div w:id="1186288640">
          <w:marLeft w:val="0"/>
          <w:marRight w:val="0"/>
          <w:marTop w:val="0"/>
          <w:marBottom w:val="0"/>
          <w:divBdr>
            <w:top w:val="none" w:sz="0" w:space="0" w:color="auto"/>
            <w:left w:val="none" w:sz="0" w:space="0" w:color="auto"/>
            <w:bottom w:val="none" w:sz="0" w:space="0" w:color="auto"/>
            <w:right w:val="none" w:sz="0" w:space="0" w:color="auto"/>
          </w:divBdr>
          <w:divsChild>
            <w:div w:id="2128893506">
              <w:marLeft w:val="0"/>
              <w:marRight w:val="0"/>
              <w:marTop w:val="0"/>
              <w:marBottom w:val="0"/>
              <w:divBdr>
                <w:top w:val="none" w:sz="0" w:space="0" w:color="auto"/>
                <w:left w:val="none" w:sz="0" w:space="0" w:color="auto"/>
                <w:bottom w:val="none" w:sz="0" w:space="0" w:color="auto"/>
                <w:right w:val="none" w:sz="0" w:space="0" w:color="auto"/>
              </w:divBdr>
            </w:div>
          </w:divsChild>
        </w:div>
        <w:div w:id="1253511537">
          <w:marLeft w:val="0"/>
          <w:marRight w:val="0"/>
          <w:marTop w:val="0"/>
          <w:marBottom w:val="0"/>
          <w:divBdr>
            <w:top w:val="none" w:sz="0" w:space="0" w:color="auto"/>
            <w:left w:val="none" w:sz="0" w:space="0" w:color="auto"/>
            <w:bottom w:val="none" w:sz="0" w:space="0" w:color="auto"/>
            <w:right w:val="none" w:sz="0" w:space="0" w:color="auto"/>
          </w:divBdr>
          <w:divsChild>
            <w:div w:id="739594241">
              <w:marLeft w:val="0"/>
              <w:marRight w:val="0"/>
              <w:marTop w:val="0"/>
              <w:marBottom w:val="0"/>
              <w:divBdr>
                <w:top w:val="none" w:sz="0" w:space="0" w:color="auto"/>
                <w:left w:val="none" w:sz="0" w:space="0" w:color="auto"/>
                <w:bottom w:val="none" w:sz="0" w:space="0" w:color="auto"/>
                <w:right w:val="none" w:sz="0" w:space="0" w:color="auto"/>
              </w:divBdr>
            </w:div>
          </w:divsChild>
        </w:div>
        <w:div w:id="1282688479">
          <w:marLeft w:val="0"/>
          <w:marRight w:val="0"/>
          <w:marTop w:val="0"/>
          <w:marBottom w:val="0"/>
          <w:divBdr>
            <w:top w:val="none" w:sz="0" w:space="0" w:color="auto"/>
            <w:left w:val="none" w:sz="0" w:space="0" w:color="auto"/>
            <w:bottom w:val="none" w:sz="0" w:space="0" w:color="auto"/>
            <w:right w:val="none" w:sz="0" w:space="0" w:color="auto"/>
          </w:divBdr>
          <w:divsChild>
            <w:div w:id="1067798662">
              <w:marLeft w:val="0"/>
              <w:marRight w:val="0"/>
              <w:marTop w:val="0"/>
              <w:marBottom w:val="0"/>
              <w:divBdr>
                <w:top w:val="none" w:sz="0" w:space="0" w:color="auto"/>
                <w:left w:val="none" w:sz="0" w:space="0" w:color="auto"/>
                <w:bottom w:val="none" w:sz="0" w:space="0" w:color="auto"/>
                <w:right w:val="none" w:sz="0" w:space="0" w:color="auto"/>
              </w:divBdr>
            </w:div>
          </w:divsChild>
        </w:div>
        <w:div w:id="1498686502">
          <w:marLeft w:val="0"/>
          <w:marRight w:val="0"/>
          <w:marTop w:val="0"/>
          <w:marBottom w:val="0"/>
          <w:divBdr>
            <w:top w:val="none" w:sz="0" w:space="0" w:color="auto"/>
            <w:left w:val="none" w:sz="0" w:space="0" w:color="auto"/>
            <w:bottom w:val="none" w:sz="0" w:space="0" w:color="auto"/>
            <w:right w:val="none" w:sz="0" w:space="0" w:color="auto"/>
          </w:divBdr>
          <w:divsChild>
            <w:div w:id="275871641">
              <w:marLeft w:val="0"/>
              <w:marRight w:val="0"/>
              <w:marTop w:val="0"/>
              <w:marBottom w:val="0"/>
              <w:divBdr>
                <w:top w:val="none" w:sz="0" w:space="0" w:color="auto"/>
                <w:left w:val="none" w:sz="0" w:space="0" w:color="auto"/>
                <w:bottom w:val="none" w:sz="0" w:space="0" w:color="auto"/>
                <w:right w:val="none" w:sz="0" w:space="0" w:color="auto"/>
              </w:divBdr>
            </w:div>
          </w:divsChild>
        </w:div>
        <w:div w:id="2087651926">
          <w:marLeft w:val="0"/>
          <w:marRight w:val="0"/>
          <w:marTop w:val="0"/>
          <w:marBottom w:val="0"/>
          <w:divBdr>
            <w:top w:val="none" w:sz="0" w:space="0" w:color="auto"/>
            <w:left w:val="none" w:sz="0" w:space="0" w:color="auto"/>
            <w:bottom w:val="none" w:sz="0" w:space="0" w:color="auto"/>
            <w:right w:val="none" w:sz="0" w:space="0" w:color="auto"/>
          </w:divBdr>
          <w:divsChild>
            <w:div w:id="916668487">
              <w:marLeft w:val="0"/>
              <w:marRight w:val="0"/>
              <w:marTop w:val="0"/>
              <w:marBottom w:val="0"/>
              <w:divBdr>
                <w:top w:val="none" w:sz="0" w:space="0" w:color="auto"/>
                <w:left w:val="none" w:sz="0" w:space="0" w:color="auto"/>
                <w:bottom w:val="none" w:sz="0" w:space="0" w:color="auto"/>
                <w:right w:val="none" w:sz="0" w:space="0" w:color="auto"/>
              </w:divBdr>
            </w:div>
          </w:divsChild>
        </w:div>
        <w:div w:id="2120955131">
          <w:marLeft w:val="0"/>
          <w:marRight w:val="0"/>
          <w:marTop w:val="0"/>
          <w:marBottom w:val="0"/>
          <w:divBdr>
            <w:top w:val="none" w:sz="0" w:space="0" w:color="auto"/>
            <w:left w:val="none" w:sz="0" w:space="0" w:color="auto"/>
            <w:bottom w:val="none" w:sz="0" w:space="0" w:color="auto"/>
            <w:right w:val="none" w:sz="0" w:space="0" w:color="auto"/>
          </w:divBdr>
          <w:divsChild>
            <w:div w:id="619453645">
              <w:marLeft w:val="0"/>
              <w:marRight w:val="0"/>
              <w:marTop w:val="0"/>
              <w:marBottom w:val="0"/>
              <w:divBdr>
                <w:top w:val="none" w:sz="0" w:space="0" w:color="auto"/>
                <w:left w:val="none" w:sz="0" w:space="0" w:color="auto"/>
                <w:bottom w:val="none" w:sz="0" w:space="0" w:color="auto"/>
                <w:right w:val="none" w:sz="0" w:space="0" w:color="auto"/>
              </w:divBdr>
            </w:div>
          </w:divsChild>
        </w:div>
        <w:div w:id="2134403565">
          <w:marLeft w:val="0"/>
          <w:marRight w:val="0"/>
          <w:marTop w:val="0"/>
          <w:marBottom w:val="0"/>
          <w:divBdr>
            <w:top w:val="none" w:sz="0" w:space="0" w:color="auto"/>
            <w:left w:val="none" w:sz="0" w:space="0" w:color="auto"/>
            <w:bottom w:val="none" w:sz="0" w:space="0" w:color="auto"/>
            <w:right w:val="none" w:sz="0" w:space="0" w:color="auto"/>
          </w:divBdr>
          <w:divsChild>
            <w:div w:id="9039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294">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sChild>
        <w:div w:id="33969613">
          <w:marLeft w:val="0"/>
          <w:marRight w:val="0"/>
          <w:marTop w:val="0"/>
          <w:marBottom w:val="0"/>
          <w:divBdr>
            <w:top w:val="none" w:sz="0" w:space="0" w:color="auto"/>
            <w:left w:val="none" w:sz="0" w:space="0" w:color="auto"/>
            <w:bottom w:val="none" w:sz="0" w:space="0" w:color="auto"/>
            <w:right w:val="none" w:sz="0" w:space="0" w:color="auto"/>
          </w:divBdr>
          <w:divsChild>
            <w:div w:id="1530218544">
              <w:marLeft w:val="0"/>
              <w:marRight w:val="0"/>
              <w:marTop w:val="30"/>
              <w:marBottom w:val="30"/>
              <w:divBdr>
                <w:top w:val="none" w:sz="0" w:space="0" w:color="auto"/>
                <w:left w:val="none" w:sz="0" w:space="0" w:color="auto"/>
                <w:bottom w:val="none" w:sz="0" w:space="0" w:color="auto"/>
                <w:right w:val="none" w:sz="0" w:space="0" w:color="auto"/>
              </w:divBdr>
              <w:divsChild>
                <w:div w:id="134417737">
                  <w:marLeft w:val="0"/>
                  <w:marRight w:val="0"/>
                  <w:marTop w:val="0"/>
                  <w:marBottom w:val="0"/>
                  <w:divBdr>
                    <w:top w:val="none" w:sz="0" w:space="0" w:color="auto"/>
                    <w:left w:val="none" w:sz="0" w:space="0" w:color="auto"/>
                    <w:bottom w:val="none" w:sz="0" w:space="0" w:color="auto"/>
                    <w:right w:val="none" w:sz="0" w:space="0" w:color="auto"/>
                  </w:divBdr>
                  <w:divsChild>
                    <w:div w:id="544685931">
                      <w:marLeft w:val="0"/>
                      <w:marRight w:val="0"/>
                      <w:marTop w:val="0"/>
                      <w:marBottom w:val="0"/>
                      <w:divBdr>
                        <w:top w:val="none" w:sz="0" w:space="0" w:color="auto"/>
                        <w:left w:val="none" w:sz="0" w:space="0" w:color="auto"/>
                        <w:bottom w:val="none" w:sz="0" w:space="0" w:color="auto"/>
                        <w:right w:val="none" w:sz="0" w:space="0" w:color="auto"/>
                      </w:divBdr>
                    </w:div>
                  </w:divsChild>
                </w:div>
                <w:div w:id="283076506">
                  <w:marLeft w:val="0"/>
                  <w:marRight w:val="0"/>
                  <w:marTop w:val="0"/>
                  <w:marBottom w:val="0"/>
                  <w:divBdr>
                    <w:top w:val="none" w:sz="0" w:space="0" w:color="auto"/>
                    <w:left w:val="none" w:sz="0" w:space="0" w:color="auto"/>
                    <w:bottom w:val="none" w:sz="0" w:space="0" w:color="auto"/>
                    <w:right w:val="none" w:sz="0" w:space="0" w:color="auto"/>
                  </w:divBdr>
                  <w:divsChild>
                    <w:div w:id="878736402">
                      <w:marLeft w:val="0"/>
                      <w:marRight w:val="0"/>
                      <w:marTop w:val="0"/>
                      <w:marBottom w:val="0"/>
                      <w:divBdr>
                        <w:top w:val="none" w:sz="0" w:space="0" w:color="auto"/>
                        <w:left w:val="none" w:sz="0" w:space="0" w:color="auto"/>
                        <w:bottom w:val="none" w:sz="0" w:space="0" w:color="auto"/>
                        <w:right w:val="none" w:sz="0" w:space="0" w:color="auto"/>
                      </w:divBdr>
                    </w:div>
                  </w:divsChild>
                </w:div>
                <w:div w:id="332295816">
                  <w:marLeft w:val="0"/>
                  <w:marRight w:val="0"/>
                  <w:marTop w:val="0"/>
                  <w:marBottom w:val="0"/>
                  <w:divBdr>
                    <w:top w:val="none" w:sz="0" w:space="0" w:color="auto"/>
                    <w:left w:val="none" w:sz="0" w:space="0" w:color="auto"/>
                    <w:bottom w:val="none" w:sz="0" w:space="0" w:color="auto"/>
                    <w:right w:val="none" w:sz="0" w:space="0" w:color="auto"/>
                  </w:divBdr>
                  <w:divsChild>
                    <w:div w:id="622732117">
                      <w:marLeft w:val="0"/>
                      <w:marRight w:val="0"/>
                      <w:marTop w:val="0"/>
                      <w:marBottom w:val="0"/>
                      <w:divBdr>
                        <w:top w:val="none" w:sz="0" w:space="0" w:color="auto"/>
                        <w:left w:val="none" w:sz="0" w:space="0" w:color="auto"/>
                        <w:bottom w:val="none" w:sz="0" w:space="0" w:color="auto"/>
                        <w:right w:val="none" w:sz="0" w:space="0" w:color="auto"/>
                      </w:divBdr>
                    </w:div>
                  </w:divsChild>
                </w:div>
                <w:div w:id="458375035">
                  <w:marLeft w:val="0"/>
                  <w:marRight w:val="0"/>
                  <w:marTop w:val="0"/>
                  <w:marBottom w:val="0"/>
                  <w:divBdr>
                    <w:top w:val="none" w:sz="0" w:space="0" w:color="auto"/>
                    <w:left w:val="none" w:sz="0" w:space="0" w:color="auto"/>
                    <w:bottom w:val="none" w:sz="0" w:space="0" w:color="auto"/>
                    <w:right w:val="none" w:sz="0" w:space="0" w:color="auto"/>
                  </w:divBdr>
                  <w:divsChild>
                    <w:div w:id="3358962">
                      <w:marLeft w:val="0"/>
                      <w:marRight w:val="0"/>
                      <w:marTop w:val="0"/>
                      <w:marBottom w:val="0"/>
                      <w:divBdr>
                        <w:top w:val="none" w:sz="0" w:space="0" w:color="auto"/>
                        <w:left w:val="none" w:sz="0" w:space="0" w:color="auto"/>
                        <w:bottom w:val="none" w:sz="0" w:space="0" w:color="auto"/>
                        <w:right w:val="none" w:sz="0" w:space="0" w:color="auto"/>
                      </w:divBdr>
                    </w:div>
                  </w:divsChild>
                </w:div>
                <w:div w:id="538200606">
                  <w:marLeft w:val="0"/>
                  <w:marRight w:val="0"/>
                  <w:marTop w:val="0"/>
                  <w:marBottom w:val="0"/>
                  <w:divBdr>
                    <w:top w:val="none" w:sz="0" w:space="0" w:color="auto"/>
                    <w:left w:val="none" w:sz="0" w:space="0" w:color="auto"/>
                    <w:bottom w:val="none" w:sz="0" w:space="0" w:color="auto"/>
                    <w:right w:val="none" w:sz="0" w:space="0" w:color="auto"/>
                  </w:divBdr>
                  <w:divsChild>
                    <w:div w:id="551232272">
                      <w:marLeft w:val="0"/>
                      <w:marRight w:val="0"/>
                      <w:marTop w:val="0"/>
                      <w:marBottom w:val="0"/>
                      <w:divBdr>
                        <w:top w:val="none" w:sz="0" w:space="0" w:color="auto"/>
                        <w:left w:val="none" w:sz="0" w:space="0" w:color="auto"/>
                        <w:bottom w:val="none" w:sz="0" w:space="0" w:color="auto"/>
                        <w:right w:val="none" w:sz="0" w:space="0" w:color="auto"/>
                      </w:divBdr>
                    </w:div>
                  </w:divsChild>
                </w:div>
                <w:div w:id="542907332">
                  <w:marLeft w:val="0"/>
                  <w:marRight w:val="0"/>
                  <w:marTop w:val="0"/>
                  <w:marBottom w:val="0"/>
                  <w:divBdr>
                    <w:top w:val="none" w:sz="0" w:space="0" w:color="auto"/>
                    <w:left w:val="none" w:sz="0" w:space="0" w:color="auto"/>
                    <w:bottom w:val="none" w:sz="0" w:space="0" w:color="auto"/>
                    <w:right w:val="none" w:sz="0" w:space="0" w:color="auto"/>
                  </w:divBdr>
                  <w:divsChild>
                    <w:div w:id="1872760677">
                      <w:marLeft w:val="0"/>
                      <w:marRight w:val="0"/>
                      <w:marTop w:val="0"/>
                      <w:marBottom w:val="0"/>
                      <w:divBdr>
                        <w:top w:val="none" w:sz="0" w:space="0" w:color="auto"/>
                        <w:left w:val="none" w:sz="0" w:space="0" w:color="auto"/>
                        <w:bottom w:val="none" w:sz="0" w:space="0" w:color="auto"/>
                        <w:right w:val="none" w:sz="0" w:space="0" w:color="auto"/>
                      </w:divBdr>
                    </w:div>
                  </w:divsChild>
                </w:div>
                <w:div w:id="587346883">
                  <w:marLeft w:val="0"/>
                  <w:marRight w:val="0"/>
                  <w:marTop w:val="0"/>
                  <w:marBottom w:val="0"/>
                  <w:divBdr>
                    <w:top w:val="none" w:sz="0" w:space="0" w:color="auto"/>
                    <w:left w:val="none" w:sz="0" w:space="0" w:color="auto"/>
                    <w:bottom w:val="none" w:sz="0" w:space="0" w:color="auto"/>
                    <w:right w:val="none" w:sz="0" w:space="0" w:color="auto"/>
                  </w:divBdr>
                  <w:divsChild>
                    <w:div w:id="455101072">
                      <w:marLeft w:val="0"/>
                      <w:marRight w:val="0"/>
                      <w:marTop w:val="0"/>
                      <w:marBottom w:val="0"/>
                      <w:divBdr>
                        <w:top w:val="none" w:sz="0" w:space="0" w:color="auto"/>
                        <w:left w:val="none" w:sz="0" w:space="0" w:color="auto"/>
                        <w:bottom w:val="none" w:sz="0" w:space="0" w:color="auto"/>
                        <w:right w:val="none" w:sz="0" w:space="0" w:color="auto"/>
                      </w:divBdr>
                    </w:div>
                  </w:divsChild>
                </w:div>
                <w:div w:id="745344168">
                  <w:marLeft w:val="0"/>
                  <w:marRight w:val="0"/>
                  <w:marTop w:val="0"/>
                  <w:marBottom w:val="0"/>
                  <w:divBdr>
                    <w:top w:val="none" w:sz="0" w:space="0" w:color="auto"/>
                    <w:left w:val="none" w:sz="0" w:space="0" w:color="auto"/>
                    <w:bottom w:val="none" w:sz="0" w:space="0" w:color="auto"/>
                    <w:right w:val="none" w:sz="0" w:space="0" w:color="auto"/>
                  </w:divBdr>
                  <w:divsChild>
                    <w:div w:id="498735434">
                      <w:marLeft w:val="0"/>
                      <w:marRight w:val="0"/>
                      <w:marTop w:val="0"/>
                      <w:marBottom w:val="0"/>
                      <w:divBdr>
                        <w:top w:val="none" w:sz="0" w:space="0" w:color="auto"/>
                        <w:left w:val="none" w:sz="0" w:space="0" w:color="auto"/>
                        <w:bottom w:val="none" w:sz="0" w:space="0" w:color="auto"/>
                        <w:right w:val="none" w:sz="0" w:space="0" w:color="auto"/>
                      </w:divBdr>
                    </w:div>
                  </w:divsChild>
                </w:div>
                <w:div w:id="759837814">
                  <w:marLeft w:val="0"/>
                  <w:marRight w:val="0"/>
                  <w:marTop w:val="0"/>
                  <w:marBottom w:val="0"/>
                  <w:divBdr>
                    <w:top w:val="none" w:sz="0" w:space="0" w:color="auto"/>
                    <w:left w:val="none" w:sz="0" w:space="0" w:color="auto"/>
                    <w:bottom w:val="none" w:sz="0" w:space="0" w:color="auto"/>
                    <w:right w:val="none" w:sz="0" w:space="0" w:color="auto"/>
                  </w:divBdr>
                  <w:divsChild>
                    <w:div w:id="1956908184">
                      <w:marLeft w:val="0"/>
                      <w:marRight w:val="0"/>
                      <w:marTop w:val="0"/>
                      <w:marBottom w:val="0"/>
                      <w:divBdr>
                        <w:top w:val="none" w:sz="0" w:space="0" w:color="auto"/>
                        <w:left w:val="none" w:sz="0" w:space="0" w:color="auto"/>
                        <w:bottom w:val="none" w:sz="0" w:space="0" w:color="auto"/>
                        <w:right w:val="none" w:sz="0" w:space="0" w:color="auto"/>
                      </w:divBdr>
                    </w:div>
                  </w:divsChild>
                </w:div>
                <w:div w:id="931356856">
                  <w:marLeft w:val="0"/>
                  <w:marRight w:val="0"/>
                  <w:marTop w:val="0"/>
                  <w:marBottom w:val="0"/>
                  <w:divBdr>
                    <w:top w:val="none" w:sz="0" w:space="0" w:color="auto"/>
                    <w:left w:val="none" w:sz="0" w:space="0" w:color="auto"/>
                    <w:bottom w:val="none" w:sz="0" w:space="0" w:color="auto"/>
                    <w:right w:val="none" w:sz="0" w:space="0" w:color="auto"/>
                  </w:divBdr>
                  <w:divsChild>
                    <w:div w:id="1587878044">
                      <w:marLeft w:val="0"/>
                      <w:marRight w:val="0"/>
                      <w:marTop w:val="0"/>
                      <w:marBottom w:val="0"/>
                      <w:divBdr>
                        <w:top w:val="none" w:sz="0" w:space="0" w:color="auto"/>
                        <w:left w:val="none" w:sz="0" w:space="0" w:color="auto"/>
                        <w:bottom w:val="none" w:sz="0" w:space="0" w:color="auto"/>
                        <w:right w:val="none" w:sz="0" w:space="0" w:color="auto"/>
                      </w:divBdr>
                    </w:div>
                  </w:divsChild>
                </w:div>
                <w:div w:id="939920168">
                  <w:marLeft w:val="0"/>
                  <w:marRight w:val="0"/>
                  <w:marTop w:val="0"/>
                  <w:marBottom w:val="0"/>
                  <w:divBdr>
                    <w:top w:val="none" w:sz="0" w:space="0" w:color="auto"/>
                    <w:left w:val="none" w:sz="0" w:space="0" w:color="auto"/>
                    <w:bottom w:val="none" w:sz="0" w:space="0" w:color="auto"/>
                    <w:right w:val="none" w:sz="0" w:space="0" w:color="auto"/>
                  </w:divBdr>
                  <w:divsChild>
                    <w:div w:id="1356156364">
                      <w:marLeft w:val="0"/>
                      <w:marRight w:val="0"/>
                      <w:marTop w:val="0"/>
                      <w:marBottom w:val="0"/>
                      <w:divBdr>
                        <w:top w:val="none" w:sz="0" w:space="0" w:color="auto"/>
                        <w:left w:val="none" w:sz="0" w:space="0" w:color="auto"/>
                        <w:bottom w:val="none" w:sz="0" w:space="0" w:color="auto"/>
                        <w:right w:val="none" w:sz="0" w:space="0" w:color="auto"/>
                      </w:divBdr>
                    </w:div>
                  </w:divsChild>
                </w:div>
                <w:div w:id="945768821">
                  <w:marLeft w:val="0"/>
                  <w:marRight w:val="0"/>
                  <w:marTop w:val="0"/>
                  <w:marBottom w:val="0"/>
                  <w:divBdr>
                    <w:top w:val="none" w:sz="0" w:space="0" w:color="auto"/>
                    <w:left w:val="none" w:sz="0" w:space="0" w:color="auto"/>
                    <w:bottom w:val="none" w:sz="0" w:space="0" w:color="auto"/>
                    <w:right w:val="none" w:sz="0" w:space="0" w:color="auto"/>
                  </w:divBdr>
                  <w:divsChild>
                    <w:div w:id="1212420916">
                      <w:marLeft w:val="0"/>
                      <w:marRight w:val="0"/>
                      <w:marTop w:val="0"/>
                      <w:marBottom w:val="0"/>
                      <w:divBdr>
                        <w:top w:val="none" w:sz="0" w:space="0" w:color="auto"/>
                        <w:left w:val="none" w:sz="0" w:space="0" w:color="auto"/>
                        <w:bottom w:val="none" w:sz="0" w:space="0" w:color="auto"/>
                        <w:right w:val="none" w:sz="0" w:space="0" w:color="auto"/>
                      </w:divBdr>
                    </w:div>
                  </w:divsChild>
                </w:div>
                <w:div w:id="970476420">
                  <w:marLeft w:val="0"/>
                  <w:marRight w:val="0"/>
                  <w:marTop w:val="0"/>
                  <w:marBottom w:val="0"/>
                  <w:divBdr>
                    <w:top w:val="none" w:sz="0" w:space="0" w:color="auto"/>
                    <w:left w:val="none" w:sz="0" w:space="0" w:color="auto"/>
                    <w:bottom w:val="none" w:sz="0" w:space="0" w:color="auto"/>
                    <w:right w:val="none" w:sz="0" w:space="0" w:color="auto"/>
                  </w:divBdr>
                  <w:divsChild>
                    <w:div w:id="227618807">
                      <w:marLeft w:val="0"/>
                      <w:marRight w:val="0"/>
                      <w:marTop w:val="0"/>
                      <w:marBottom w:val="0"/>
                      <w:divBdr>
                        <w:top w:val="none" w:sz="0" w:space="0" w:color="auto"/>
                        <w:left w:val="none" w:sz="0" w:space="0" w:color="auto"/>
                        <w:bottom w:val="none" w:sz="0" w:space="0" w:color="auto"/>
                        <w:right w:val="none" w:sz="0" w:space="0" w:color="auto"/>
                      </w:divBdr>
                    </w:div>
                  </w:divsChild>
                </w:div>
                <w:div w:id="983973264">
                  <w:marLeft w:val="0"/>
                  <w:marRight w:val="0"/>
                  <w:marTop w:val="0"/>
                  <w:marBottom w:val="0"/>
                  <w:divBdr>
                    <w:top w:val="none" w:sz="0" w:space="0" w:color="auto"/>
                    <w:left w:val="none" w:sz="0" w:space="0" w:color="auto"/>
                    <w:bottom w:val="none" w:sz="0" w:space="0" w:color="auto"/>
                    <w:right w:val="none" w:sz="0" w:space="0" w:color="auto"/>
                  </w:divBdr>
                  <w:divsChild>
                    <w:div w:id="727337270">
                      <w:marLeft w:val="0"/>
                      <w:marRight w:val="0"/>
                      <w:marTop w:val="0"/>
                      <w:marBottom w:val="0"/>
                      <w:divBdr>
                        <w:top w:val="none" w:sz="0" w:space="0" w:color="auto"/>
                        <w:left w:val="none" w:sz="0" w:space="0" w:color="auto"/>
                        <w:bottom w:val="none" w:sz="0" w:space="0" w:color="auto"/>
                        <w:right w:val="none" w:sz="0" w:space="0" w:color="auto"/>
                      </w:divBdr>
                    </w:div>
                    <w:div w:id="1224878168">
                      <w:marLeft w:val="0"/>
                      <w:marRight w:val="0"/>
                      <w:marTop w:val="0"/>
                      <w:marBottom w:val="0"/>
                      <w:divBdr>
                        <w:top w:val="none" w:sz="0" w:space="0" w:color="auto"/>
                        <w:left w:val="none" w:sz="0" w:space="0" w:color="auto"/>
                        <w:bottom w:val="none" w:sz="0" w:space="0" w:color="auto"/>
                        <w:right w:val="none" w:sz="0" w:space="0" w:color="auto"/>
                      </w:divBdr>
                    </w:div>
                  </w:divsChild>
                </w:div>
                <w:div w:id="1003971694">
                  <w:marLeft w:val="0"/>
                  <w:marRight w:val="0"/>
                  <w:marTop w:val="0"/>
                  <w:marBottom w:val="0"/>
                  <w:divBdr>
                    <w:top w:val="none" w:sz="0" w:space="0" w:color="auto"/>
                    <w:left w:val="none" w:sz="0" w:space="0" w:color="auto"/>
                    <w:bottom w:val="none" w:sz="0" w:space="0" w:color="auto"/>
                    <w:right w:val="none" w:sz="0" w:space="0" w:color="auto"/>
                  </w:divBdr>
                  <w:divsChild>
                    <w:div w:id="1984458011">
                      <w:marLeft w:val="0"/>
                      <w:marRight w:val="0"/>
                      <w:marTop w:val="0"/>
                      <w:marBottom w:val="0"/>
                      <w:divBdr>
                        <w:top w:val="none" w:sz="0" w:space="0" w:color="auto"/>
                        <w:left w:val="none" w:sz="0" w:space="0" w:color="auto"/>
                        <w:bottom w:val="none" w:sz="0" w:space="0" w:color="auto"/>
                        <w:right w:val="none" w:sz="0" w:space="0" w:color="auto"/>
                      </w:divBdr>
                    </w:div>
                  </w:divsChild>
                </w:div>
                <w:div w:id="1016346108">
                  <w:marLeft w:val="0"/>
                  <w:marRight w:val="0"/>
                  <w:marTop w:val="0"/>
                  <w:marBottom w:val="0"/>
                  <w:divBdr>
                    <w:top w:val="none" w:sz="0" w:space="0" w:color="auto"/>
                    <w:left w:val="none" w:sz="0" w:space="0" w:color="auto"/>
                    <w:bottom w:val="none" w:sz="0" w:space="0" w:color="auto"/>
                    <w:right w:val="none" w:sz="0" w:space="0" w:color="auto"/>
                  </w:divBdr>
                  <w:divsChild>
                    <w:div w:id="703555663">
                      <w:marLeft w:val="0"/>
                      <w:marRight w:val="0"/>
                      <w:marTop w:val="0"/>
                      <w:marBottom w:val="0"/>
                      <w:divBdr>
                        <w:top w:val="none" w:sz="0" w:space="0" w:color="auto"/>
                        <w:left w:val="none" w:sz="0" w:space="0" w:color="auto"/>
                        <w:bottom w:val="none" w:sz="0" w:space="0" w:color="auto"/>
                        <w:right w:val="none" w:sz="0" w:space="0" w:color="auto"/>
                      </w:divBdr>
                    </w:div>
                  </w:divsChild>
                </w:div>
                <w:div w:id="1033265746">
                  <w:marLeft w:val="0"/>
                  <w:marRight w:val="0"/>
                  <w:marTop w:val="0"/>
                  <w:marBottom w:val="0"/>
                  <w:divBdr>
                    <w:top w:val="none" w:sz="0" w:space="0" w:color="auto"/>
                    <w:left w:val="none" w:sz="0" w:space="0" w:color="auto"/>
                    <w:bottom w:val="none" w:sz="0" w:space="0" w:color="auto"/>
                    <w:right w:val="none" w:sz="0" w:space="0" w:color="auto"/>
                  </w:divBdr>
                  <w:divsChild>
                    <w:div w:id="690959996">
                      <w:marLeft w:val="0"/>
                      <w:marRight w:val="0"/>
                      <w:marTop w:val="0"/>
                      <w:marBottom w:val="0"/>
                      <w:divBdr>
                        <w:top w:val="none" w:sz="0" w:space="0" w:color="auto"/>
                        <w:left w:val="none" w:sz="0" w:space="0" w:color="auto"/>
                        <w:bottom w:val="none" w:sz="0" w:space="0" w:color="auto"/>
                        <w:right w:val="none" w:sz="0" w:space="0" w:color="auto"/>
                      </w:divBdr>
                    </w:div>
                  </w:divsChild>
                </w:div>
                <w:div w:id="1080563871">
                  <w:marLeft w:val="0"/>
                  <w:marRight w:val="0"/>
                  <w:marTop w:val="0"/>
                  <w:marBottom w:val="0"/>
                  <w:divBdr>
                    <w:top w:val="none" w:sz="0" w:space="0" w:color="auto"/>
                    <w:left w:val="none" w:sz="0" w:space="0" w:color="auto"/>
                    <w:bottom w:val="none" w:sz="0" w:space="0" w:color="auto"/>
                    <w:right w:val="none" w:sz="0" w:space="0" w:color="auto"/>
                  </w:divBdr>
                  <w:divsChild>
                    <w:div w:id="1940213510">
                      <w:marLeft w:val="0"/>
                      <w:marRight w:val="0"/>
                      <w:marTop w:val="0"/>
                      <w:marBottom w:val="0"/>
                      <w:divBdr>
                        <w:top w:val="none" w:sz="0" w:space="0" w:color="auto"/>
                        <w:left w:val="none" w:sz="0" w:space="0" w:color="auto"/>
                        <w:bottom w:val="none" w:sz="0" w:space="0" w:color="auto"/>
                        <w:right w:val="none" w:sz="0" w:space="0" w:color="auto"/>
                      </w:divBdr>
                    </w:div>
                  </w:divsChild>
                </w:div>
                <w:div w:id="1195732941">
                  <w:marLeft w:val="0"/>
                  <w:marRight w:val="0"/>
                  <w:marTop w:val="0"/>
                  <w:marBottom w:val="0"/>
                  <w:divBdr>
                    <w:top w:val="none" w:sz="0" w:space="0" w:color="auto"/>
                    <w:left w:val="none" w:sz="0" w:space="0" w:color="auto"/>
                    <w:bottom w:val="none" w:sz="0" w:space="0" w:color="auto"/>
                    <w:right w:val="none" w:sz="0" w:space="0" w:color="auto"/>
                  </w:divBdr>
                  <w:divsChild>
                    <w:div w:id="1287471264">
                      <w:marLeft w:val="0"/>
                      <w:marRight w:val="0"/>
                      <w:marTop w:val="0"/>
                      <w:marBottom w:val="0"/>
                      <w:divBdr>
                        <w:top w:val="none" w:sz="0" w:space="0" w:color="auto"/>
                        <w:left w:val="none" w:sz="0" w:space="0" w:color="auto"/>
                        <w:bottom w:val="none" w:sz="0" w:space="0" w:color="auto"/>
                        <w:right w:val="none" w:sz="0" w:space="0" w:color="auto"/>
                      </w:divBdr>
                    </w:div>
                  </w:divsChild>
                </w:div>
                <w:div w:id="1299722633">
                  <w:marLeft w:val="0"/>
                  <w:marRight w:val="0"/>
                  <w:marTop w:val="0"/>
                  <w:marBottom w:val="0"/>
                  <w:divBdr>
                    <w:top w:val="none" w:sz="0" w:space="0" w:color="auto"/>
                    <w:left w:val="none" w:sz="0" w:space="0" w:color="auto"/>
                    <w:bottom w:val="none" w:sz="0" w:space="0" w:color="auto"/>
                    <w:right w:val="none" w:sz="0" w:space="0" w:color="auto"/>
                  </w:divBdr>
                  <w:divsChild>
                    <w:div w:id="2112775757">
                      <w:marLeft w:val="0"/>
                      <w:marRight w:val="0"/>
                      <w:marTop w:val="0"/>
                      <w:marBottom w:val="0"/>
                      <w:divBdr>
                        <w:top w:val="none" w:sz="0" w:space="0" w:color="auto"/>
                        <w:left w:val="none" w:sz="0" w:space="0" w:color="auto"/>
                        <w:bottom w:val="none" w:sz="0" w:space="0" w:color="auto"/>
                        <w:right w:val="none" w:sz="0" w:space="0" w:color="auto"/>
                      </w:divBdr>
                    </w:div>
                  </w:divsChild>
                </w:div>
                <w:div w:id="1404984694">
                  <w:marLeft w:val="0"/>
                  <w:marRight w:val="0"/>
                  <w:marTop w:val="0"/>
                  <w:marBottom w:val="0"/>
                  <w:divBdr>
                    <w:top w:val="none" w:sz="0" w:space="0" w:color="auto"/>
                    <w:left w:val="none" w:sz="0" w:space="0" w:color="auto"/>
                    <w:bottom w:val="none" w:sz="0" w:space="0" w:color="auto"/>
                    <w:right w:val="none" w:sz="0" w:space="0" w:color="auto"/>
                  </w:divBdr>
                  <w:divsChild>
                    <w:div w:id="103960954">
                      <w:marLeft w:val="0"/>
                      <w:marRight w:val="0"/>
                      <w:marTop w:val="0"/>
                      <w:marBottom w:val="0"/>
                      <w:divBdr>
                        <w:top w:val="none" w:sz="0" w:space="0" w:color="auto"/>
                        <w:left w:val="none" w:sz="0" w:space="0" w:color="auto"/>
                        <w:bottom w:val="none" w:sz="0" w:space="0" w:color="auto"/>
                        <w:right w:val="none" w:sz="0" w:space="0" w:color="auto"/>
                      </w:divBdr>
                    </w:div>
                  </w:divsChild>
                </w:div>
                <w:div w:id="1529568246">
                  <w:marLeft w:val="0"/>
                  <w:marRight w:val="0"/>
                  <w:marTop w:val="0"/>
                  <w:marBottom w:val="0"/>
                  <w:divBdr>
                    <w:top w:val="none" w:sz="0" w:space="0" w:color="auto"/>
                    <w:left w:val="none" w:sz="0" w:space="0" w:color="auto"/>
                    <w:bottom w:val="none" w:sz="0" w:space="0" w:color="auto"/>
                    <w:right w:val="none" w:sz="0" w:space="0" w:color="auto"/>
                  </w:divBdr>
                  <w:divsChild>
                    <w:div w:id="1001661595">
                      <w:marLeft w:val="0"/>
                      <w:marRight w:val="0"/>
                      <w:marTop w:val="0"/>
                      <w:marBottom w:val="0"/>
                      <w:divBdr>
                        <w:top w:val="none" w:sz="0" w:space="0" w:color="auto"/>
                        <w:left w:val="none" w:sz="0" w:space="0" w:color="auto"/>
                        <w:bottom w:val="none" w:sz="0" w:space="0" w:color="auto"/>
                        <w:right w:val="none" w:sz="0" w:space="0" w:color="auto"/>
                      </w:divBdr>
                    </w:div>
                  </w:divsChild>
                </w:div>
                <w:div w:id="1563056988">
                  <w:marLeft w:val="0"/>
                  <w:marRight w:val="0"/>
                  <w:marTop w:val="0"/>
                  <w:marBottom w:val="0"/>
                  <w:divBdr>
                    <w:top w:val="none" w:sz="0" w:space="0" w:color="auto"/>
                    <w:left w:val="none" w:sz="0" w:space="0" w:color="auto"/>
                    <w:bottom w:val="none" w:sz="0" w:space="0" w:color="auto"/>
                    <w:right w:val="none" w:sz="0" w:space="0" w:color="auto"/>
                  </w:divBdr>
                  <w:divsChild>
                    <w:div w:id="261227786">
                      <w:marLeft w:val="0"/>
                      <w:marRight w:val="0"/>
                      <w:marTop w:val="0"/>
                      <w:marBottom w:val="0"/>
                      <w:divBdr>
                        <w:top w:val="none" w:sz="0" w:space="0" w:color="auto"/>
                        <w:left w:val="none" w:sz="0" w:space="0" w:color="auto"/>
                        <w:bottom w:val="none" w:sz="0" w:space="0" w:color="auto"/>
                        <w:right w:val="none" w:sz="0" w:space="0" w:color="auto"/>
                      </w:divBdr>
                    </w:div>
                  </w:divsChild>
                </w:div>
                <w:div w:id="1820076924">
                  <w:marLeft w:val="0"/>
                  <w:marRight w:val="0"/>
                  <w:marTop w:val="0"/>
                  <w:marBottom w:val="0"/>
                  <w:divBdr>
                    <w:top w:val="none" w:sz="0" w:space="0" w:color="auto"/>
                    <w:left w:val="none" w:sz="0" w:space="0" w:color="auto"/>
                    <w:bottom w:val="none" w:sz="0" w:space="0" w:color="auto"/>
                    <w:right w:val="none" w:sz="0" w:space="0" w:color="auto"/>
                  </w:divBdr>
                  <w:divsChild>
                    <w:div w:id="262035935">
                      <w:marLeft w:val="0"/>
                      <w:marRight w:val="0"/>
                      <w:marTop w:val="0"/>
                      <w:marBottom w:val="0"/>
                      <w:divBdr>
                        <w:top w:val="none" w:sz="0" w:space="0" w:color="auto"/>
                        <w:left w:val="none" w:sz="0" w:space="0" w:color="auto"/>
                        <w:bottom w:val="none" w:sz="0" w:space="0" w:color="auto"/>
                        <w:right w:val="none" w:sz="0" w:space="0" w:color="auto"/>
                      </w:divBdr>
                    </w:div>
                  </w:divsChild>
                </w:div>
                <w:div w:id="2053378093">
                  <w:marLeft w:val="0"/>
                  <w:marRight w:val="0"/>
                  <w:marTop w:val="0"/>
                  <w:marBottom w:val="0"/>
                  <w:divBdr>
                    <w:top w:val="none" w:sz="0" w:space="0" w:color="auto"/>
                    <w:left w:val="none" w:sz="0" w:space="0" w:color="auto"/>
                    <w:bottom w:val="none" w:sz="0" w:space="0" w:color="auto"/>
                    <w:right w:val="none" w:sz="0" w:space="0" w:color="auto"/>
                  </w:divBdr>
                  <w:divsChild>
                    <w:div w:id="1318604985">
                      <w:marLeft w:val="0"/>
                      <w:marRight w:val="0"/>
                      <w:marTop w:val="0"/>
                      <w:marBottom w:val="0"/>
                      <w:divBdr>
                        <w:top w:val="none" w:sz="0" w:space="0" w:color="auto"/>
                        <w:left w:val="none" w:sz="0" w:space="0" w:color="auto"/>
                        <w:bottom w:val="none" w:sz="0" w:space="0" w:color="auto"/>
                        <w:right w:val="none" w:sz="0" w:space="0" w:color="auto"/>
                      </w:divBdr>
                    </w:div>
                  </w:divsChild>
                </w:div>
                <w:div w:id="2106610877">
                  <w:marLeft w:val="0"/>
                  <w:marRight w:val="0"/>
                  <w:marTop w:val="0"/>
                  <w:marBottom w:val="0"/>
                  <w:divBdr>
                    <w:top w:val="none" w:sz="0" w:space="0" w:color="auto"/>
                    <w:left w:val="none" w:sz="0" w:space="0" w:color="auto"/>
                    <w:bottom w:val="none" w:sz="0" w:space="0" w:color="auto"/>
                    <w:right w:val="none" w:sz="0" w:space="0" w:color="auto"/>
                  </w:divBdr>
                  <w:divsChild>
                    <w:div w:id="19909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258">
          <w:marLeft w:val="0"/>
          <w:marRight w:val="0"/>
          <w:marTop w:val="0"/>
          <w:marBottom w:val="0"/>
          <w:divBdr>
            <w:top w:val="none" w:sz="0" w:space="0" w:color="auto"/>
            <w:left w:val="none" w:sz="0" w:space="0" w:color="auto"/>
            <w:bottom w:val="none" w:sz="0" w:space="0" w:color="auto"/>
            <w:right w:val="none" w:sz="0" w:space="0" w:color="auto"/>
          </w:divBdr>
        </w:div>
        <w:div w:id="1354263436">
          <w:marLeft w:val="0"/>
          <w:marRight w:val="0"/>
          <w:marTop w:val="0"/>
          <w:marBottom w:val="0"/>
          <w:divBdr>
            <w:top w:val="none" w:sz="0" w:space="0" w:color="auto"/>
            <w:left w:val="none" w:sz="0" w:space="0" w:color="auto"/>
            <w:bottom w:val="none" w:sz="0" w:space="0" w:color="auto"/>
            <w:right w:val="none" w:sz="0" w:space="0" w:color="auto"/>
          </w:divBdr>
          <w:divsChild>
            <w:div w:id="921334214">
              <w:marLeft w:val="0"/>
              <w:marRight w:val="0"/>
              <w:marTop w:val="30"/>
              <w:marBottom w:val="30"/>
              <w:divBdr>
                <w:top w:val="none" w:sz="0" w:space="0" w:color="auto"/>
                <w:left w:val="none" w:sz="0" w:space="0" w:color="auto"/>
                <w:bottom w:val="none" w:sz="0" w:space="0" w:color="auto"/>
                <w:right w:val="none" w:sz="0" w:space="0" w:color="auto"/>
              </w:divBdr>
              <w:divsChild>
                <w:div w:id="46730563">
                  <w:marLeft w:val="0"/>
                  <w:marRight w:val="0"/>
                  <w:marTop w:val="0"/>
                  <w:marBottom w:val="0"/>
                  <w:divBdr>
                    <w:top w:val="none" w:sz="0" w:space="0" w:color="auto"/>
                    <w:left w:val="none" w:sz="0" w:space="0" w:color="auto"/>
                    <w:bottom w:val="none" w:sz="0" w:space="0" w:color="auto"/>
                    <w:right w:val="none" w:sz="0" w:space="0" w:color="auto"/>
                  </w:divBdr>
                  <w:divsChild>
                    <w:div w:id="708840379">
                      <w:marLeft w:val="0"/>
                      <w:marRight w:val="0"/>
                      <w:marTop w:val="0"/>
                      <w:marBottom w:val="0"/>
                      <w:divBdr>
                        <w:top w:val="none" w:sz="0" w:space="0" w:color="auto"/>
                        <w:left w:val="none" w:sz="0" w:space="0" w:color="auto"/>
                        <w:bottom w:val="none" w:sz="0" w:space="0" w:color="auto"/>
                        <w:right w:val="none" w:sz="0" w:space="0" w:color="auto"/>
                      </w:divBdr>
                    </w:div>
                  </w:divsChild>
                </w:div>
                <w:div w:id="105468633">
                  <w:marLeft w:val="0"/>
                  <w:marRight w:val="0"/>
                  <w:marTop w:val="0"/>
                  <w:marBottom w:val="0"/>
                  <w:divBdr>
                    <w:top w:val="none" w:sz="0" w:space="0" w:color="auto"/>
                    <w:left w:val="none" w:sz="0" w:space="0" w:color="auto"/>
                    <w:bottom w:val="none" w:sz="0" w:space="0" w:color="auto"/>
                    <w:right w:val="none" w:sz="0" w:space="0" w:color="auto"/>
                  </w:divBdr>
                  <w:divsChild>
                    <w:div w:id="200287451">
                      <w:marLeft w:val="0"/>
                      <w:marRight w:val="0"/>
                      <w:marTop w:val="0"/>
                      <w:marBottom w:val="0"/>
                      <w:divBdr>
                        <w:top w:val="none" w:sz="0" w:space="0" w:color="auto"/>
                        <w:left w:val="none" w:sz="0" w:space="0" w:color="auto"/>
                        <w:bottom w:val="none" w:sz="0" w:space="0" w:color="auto"/>
                        <w:right w:val="none" w:sz="0" w:space="0" w:color="auto"/>
                      </w:divBdr>
                    </w:div>
                  </w:divsChild>
                </w:div>
                <w:div w:id="153491743">
                  <w:marLeft w:val="0"/>
                  <w:marRight w:val="0"/>
                  <w:marTop w:val="0"/>
                  <w:marBottom w:val="0"/>
                  <w:divBdr>
                    <w:top w:val="none" w:sz="0" w:space="0" w:color="auto"/>
                    <w:left w:val="none" w:sz="0" w:space="0" w:color="auto"/>
                    <w:bottom w:val="none" w:sz="0" w:space="0" w:color="auto"/>
                    <w:right w:val="none" w:sz="0" w:space="0" w:color="auto"/>
                  </w:divBdr>
                  <w:divsChild>
                    <w:div w:id="1728382570">
                      <w:marLeft w:val="0"/>
                      <w:marRight w:val="0"/>
                      <w:marTop w:val="0"/>
                      <w:marBottom w:val="0"/>
                      <w:divBdr>
                        <w:top w:val="none" w:sz="0" w:space="0" w:color="auto"/>
                        <w:left w:val="none" w:sz="0" w:space="0" w:color="auto"/>
                        <w:bottom w:val="none" w:sz="0" w:space="0" w:color="auto"/>
                        <w:right w:val="none" w:sz="0" w:space="0" w:color="auto"/>
                      </w:divBdr>
                    </w:div>
                  </w:divsChild>
                </w:div>
                <w:div w:id="299266320">
                  <w:marLeft w:val="0"/>
                  <w:marRight w:val="0"/>
                  <w:marTop w:val="0"/>
                  <w:marBottom w:val="0"/>
                  <w:divBdr>
                    <w:top w:val="none" w:sz="0" w:space="0" w:color="auto"/>
                    <w:left w:val="none" w:sz="0" w:space="0" w:color="auto"/>
                    <w:bottom w:val="none" w:sz="0" w:space="0" w:color="auto"/>
                    <w:right w:val="none" w:sz="0" w:space="0" w:color="auto"/>
                  </w:divBdr>
                  <w:divsChild>
                    <w:div w:id="2146122630">
                      <w:marLeft w:val="0"/>
                      <w:marRight w:val="0"/>
                      <w:marTop w:val="0"/>
                      <w:marBottom w:val="0"/>
                      <w:divBdr>
                        <w:top w:val="none" w:sz="0" w:space="0" w:color="auto"/>
                        <w:left w:val="none" w:sz="0" w:space="0" w:color="auto"/>
                        <w:bottom w:val="none" w:sz="0" w:space="0" w:color="auto"/>
                        <w:right w:val="none" w:sz="0" w:space="0" w:color="auto"/>
                      </w:divBdr>
                    </w:div>
                  </w:divsChild>
                </w:div>
                <w:div w:id="683478393">
                  <w:marLeft w:val="0"/>
                  <w:marRight w:val="0"/>
                  <w:marTop w:val="0"/>
                  <w:marBottom w:val="0"/>
                  <w:divBdr>
                    <w:top w:val="none" w:sz="0" w:space="0" w:color="auto"/>
                    <w:left w:val="none" w:sz="0" w:space="0" w:color="auto"/>
                    <w:bottom w:val="none" w:sz="0" w:space="0" w:color="auto"/>
                    <w:right w:val="none" w:sz="0" w:space="0" w:color="auto"/>
                  </w:divBdr>
                  <w:divsChild>
                    <w:div w:id="1049111743">
                      <w:marLeft w:val="0"/>
                      <w:marRight w:val="0"/>
                      <w:marTop w:val="0"/>
                      <w:marBottom w:val="0"/>
                      <w:divBdr>
                        <w:top w:val="none" w:sz="0" w:space="0" w:color="auto"/>
                        <w:left w:val="none" w:sz="0" w:space="0" w:color="auto"/>
                        <w:bottom w:val="none" w:sz="0" w:space="0" w:color="auto"/>
                        <w:right w:val="none" w:sz="0" w:space="0" w:color="auto"/>
                      </w:divBdr>
                    </w:div>
                  </w:divsChild>
                </w:div>
                <w:div w:id="918829744">
                  <w:marLeft w:val="0"/>
                  <w:marRight w:val="0"/>
                  <w:marTop w:val="0"/>
                  <w:marBottom w:val="0"/>
                  <w:divBdr>
                    <w:top w:val="none" w:sz="0" w:space="0" w:color="auto"/>
                    <w:left w:val="none" w:sz="0" w:space="0" w:color="auto"/>
                    <w:bottom w:val="none" w:sz="0" w:space="0" w:color="auto"/>
                    <w:right w:val="none" w:sz="0" w:space="0" w:color="auto"/>
                  </w:divBdr>
                  <w:divsChild>
                    <w:div w:id="821315887">
                      <w:marLeft w:val="0"/>
                      <w:marRight w:val="0"/>
                      <w:marTop w:val="0"/>
                      <w:marBottom w:val="0"/>
                      <w:divBdr>
                        <w:top w:val="none" w:sz="0" w:space="0" w:color="auto"/>
                        <w:left w:val="none" w:sz="0" w:space="0" w:color="auto"/>
                        <w:bottom w:val="none" w:sz="0" w:space="0" w:color="auto"/>
                        <w:right w:val="none" w:sz="0" w:space="0" w:color="auto"/>
                      </w:divBdr>
                    </w:div>
                  </w:divsChild>
                </w:div>
                <w:div w:id="1479496211">
                  <w:marLeft w:val="0"/>
                  <w:marRight w:val="0"/>
                  <w:marTop w:val="0"/>
                  <w:marBottom w:val="0"/>
                  <w:divBdr>
                    <w:top w:val="none" w:sz="0" w:space="0" w:color="auto"/>
                    <w:left w:val="none" w:sz="0" w:space="0" w:color="auto"/>
                    <w:bottom w:val="none" w:sz="0" w:space="0" w:color="auto"/>
                    <w:right w:val="none" w:sz="0" w:space="0" w:color="auto"/>
                  </w:divBdr>
                  <w:divsChild>
                    <w:div w:id="281807528">
                      <w:marLeft w:val="0"/>
                      <w:marRight w:val="0"/>
                      <w:marTop w:val="0"/>
                      <w:marBottom w:val="0"/>
                      <w:divBdr>
                        <w:top w:val="none" w:sz="0" w:space="0" w:color="auto"/>
                        <w:left w:val="none" w:sz="0" w:space="0" w:color="auto"/>
                        <w:bottom w:val="none" w:sz="0" w:space="0" w:color="auto"/>
                        <w:right w:val="none" w:sz="0" w:space="0" w:color="auto"/>
                      </w:divBdr>
                    </w:div>
                  </w:divsChild>
                </w:div>
                <w:div w:id="1945308364">
                  <w:marLeft w:val="0"/>
                  <w:marRight w:val="0"/>
                  <w:marTop w:val="0"/>
                  <w:marBottom w:val="0"/>
                  <w:divBdr>
                    <w:top w:val="none" w:sz="0" w:space="0" w:color="auto"/>
                    <w:left w:val="none" w:sz="0" w:space="0" w:color="auto"/>
                    <w:bottom w:val="none" w:sz="0" w:space="0" w:color="auto"/>
                    <w:right w:val="none" w:sz="0" w:space="0" w:color="auto"/>
                  </w:divBdr>
                  <w:divsChild>
                    <w:div w:id="14819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8635">
      <w:bodyDiv w:val="1"/>
      <w:marLeft w:val="0"/>
      <w:marRight w:val="0"/>
      <w:marTop w:val="0"/>
      <w:marBottom w:val="0"/>
      <w:divBdr>
        <w:top w:val="none" w:sz="0" w:space="0" w:color="auto"/>
        <w:left w:val="none" w:sz="0" w:space="0" w:color="auto"/>
        <w:bottom w:val="none" w:sz="0" w:space="0" w:color="auto"/>
        <w:right w:val="none" w:sz="0" w:space="0" w:color="auto"/>
      </w:divBdr>
      <w:divsChild>
        <w:div w:id="379862112">
          <w:marLeft w:val="0"/>
          <w:marRight w:val="0"/>
          <w:marTop w:val="0"/>
          <w:marBottom w:val="0"/>
          <w:divBdr>
            <w:top w:val="none" w:sz="0" w:space="0" w:color="auto"/>
            <w:left w:val="none" w:sz="0" w:space="0" w:color="auto"/>
            <w:bottom w:val="none" w:sz="0" w:space="0" w:color="auto"/>
            <w:right w:val="none" w:sz="0" w:space="0" w:color="auto"/>
          </w:divBdr>
          <w:divsChild>
            <w:div w:id="1430930010">
              <w:marLeft w:val="0"/>
              <w:marRight w:val="0"/>
              <w:marTop w:val="0"/>
              <w:marBottom w:val="0"/>
              <w:divBdr>
                <w:top w:val="none" w:sz="0" w:space="0" w:color="auto"/>
                <w:left w:val="none" w:sz="0" w:space="0" w:color="auto"/>
                <w:bottom w:val="none" w:sz="0" w:space="0" w:color="auto"/>
                <w:right w:val="none" w:sz="0" w:space="0" w:color="auto"/>
              </w:divBdr>
            </w:div>
          </w:divsChild>
        </w:div>
        <w:div w:id="546574696">
          <w:marLeft w:val="0"/>
          <w:marRight w:val="0"/>
          <w:marTop w:val="0"/>
          <w:marBottom w:val="0"/>
          <w:divBdr>
            <w:top w:val="none" w:sz="0" w:space="0" w:color="auto"/>
            <w:left w:val="none" w:sz="0" w:space="0" w:color="auto"/>
            <w:bottom w:val="none" w:sz="0" w:space="0" w:color="auto"/>
            <w:right w:val="none" w:sz="0" w:space="0" w:color="auto"/>
          </w:divBdr>
          <w:divsChild>
            <w:div w:id="2088261188">
              <w:marLeft w:val="0"/>
              <w:marRight w:val="0"/>
              <w:marTop w:val="0"/>
              <w:marBottom w:val="0"/>
              <w:divBdr>
                <w:top w:val="none" w:sz="0" w:space="0" w:color="auto"/>
                <w:left w:val="none" w:sz="0" w:space="0" w:color="auto"/>
                <w:bottom w:val="none" w:sz="0" w:space="0" w:color="auto"/>
                <w:right w:val="none" w:sz="0" w:space="0" w:color="auto"/>
              </w:divBdr>
            </w:div>
          </w:divsChild>
        </w:div>
        <w:div w:id="682243870">
          <w:marLeft w:val="0"/>
          <w:marRight w:val="0"/>
          <w:marTop w:val="0"/>
          <w:marBottom w:val="0"/>
          <w:divBdr>
            <w:top w:val="none" w:sz="0" w:space="0" w:color="auto"/>
            <w:left w:val="none" w:sz="0" w:space="0" w:color="auto"/>
            <w:bottom w:val="none" w:sz="0" w:space="0" w:color="auto"/>
            <w:right w:val="none" w:sz="0" w:space="0" w:color="auto"/>
          </w:divBdr>
          <w:divsChild>
            <w:div w:id="1538083232">
              <w:marLeft w:val="0"/>
              <w:marRight w:val="0"/>
              <w:marTop w:val="0"/>
              <w:marBottom w:val="0"/>
              <w:divBdr>
                <w:top w:val="none" w:sz="0" w:space="0" w:color="auto"/>
                <w:left w:val="none" w:sz="0" w:space="0" w:color="auto"/>
                <w:bottom w:val="none" w:sz="0" w:space="0" w:color="auto"/>
                <w:right w:val="none" w:sz="0" w:space="0" w:color="auto"/>
              </w:divBdr>
            </w:div>
          </w:divsChild>
        </w:div>
        <w:div w:id="902569454">
          <w:marLeft w:val="0"/>
          <w:marRight w:val="0"/>
          <w:marTop w:val="0"/>
          <w:marBottom w:val="0"/>
          <w:divBdr>
            <w:top w:val="none" w:sz="0" w:space="0" w:color="auto"/>
            <w:left w:val="none" w:sz="0" w:space="0" w:color="auto"/>
            <w:bottom w:val="none" w:sz="0" w:space="0" w:color="auto"/>
            <w:right w:val="none" w:sz="0" w:space="0" w:color="auto"/>
          </w:divBdr>
          <w:divsChild>
            <w:div w:id="1442988905">
              <w:marLeft w:val="0"/>
              <w:marRight w:val="0"/>
              <w:marTop w:val="0"/>
              <w:marBottom w:val="0"/>
              <w:divBdr>
                <w:top w:val="none" w:sz="0" w:space="0" w:color="auto"/>
                <w:left w:val="none" w:sz="0" w:space="0" w:color="auto"/>
                <w:bottom w:val="none" w:sz="0" w:space="0" w:color="auto"/>
                <w:right w:val="none" w:sz="0" w:space="0" w:color="auto"/>
              </w:divBdr>
            </w:div>
          </w:divsChild>
        </w:div>
        <w:div w:id="1065421664">
          <w:marLeft w:val="0"/>
          <w:marRight w:val="0"/>
          <w:marTop w:val="0"/>
          <w:marBottom w:val="0"/>
          <w:divBdr>
            <w:top w:val="none" w:sz="0" w:space="0" w:color="auto"/>
            <w:left w:val="none" w:sz="0" w:space="0" w:color="auto"/>
            <w:bottom w:val="none" w:sz="0" w:space="0" w:color="auto"/>
            <w:right w:val="none" w:sz="0" w:space="0" w:color="auto"/>
          </w:divBdr>
          <w:divsChild>
            <w:div w:id="1651790985">
              <w:marLeft w:val="0"/>
              <w:marRight w:val="0"/>
              <w:marTop w:val="0"/>
              <w:marBottom w:val="0"/>
              <w:divBdr>
                <w:top w:val="none" w:sz="0" w:space="0" w:color="auto"/>
                <w:left w:val="none" w:sz="0" w:space="0" w:color="auto"/>
                <w:bottom w:val="none" w:sz="0" w:space="0" w:color="auto"/>
                <w:right w:val="none" w:sz="0" w:space="0" w:color="auto"/>
              </w:divBdr>
            </w:div>
          </w:divsChild>
        </w:div>
        <w:div w:id="1140266849">
          <w:marLeft w:val="0"/>
          <w:marRight w:val="0"/>
          <w:marTop w:val="0"/>
          <w:marBottom w:val="0"/>
          <w:divBdr>
            <w:top w:val="none" w:sz="0" w:space="0" w:color="auto"/>
            <w:left w:val="none" w:sz="0" w:space="0" w:color="auto"/>
            <w:bottom w:val="none" w:sz="0" w:space="0" w:color="auto"/>
            <w:right w:val="none" w:sz="0" w:space="0" w:color="auto"/>
          </w:divBdr>
          <w:divsChild>
            <w:div w:id="1389691959">
              <w:marLeft w:val="0"/>
              <w:marRight w:val="0"/>
              <w:marTop w:val="0"/>
              <w:marBottom w:val="0"/>
              <w:divBdr>
                <w:top w:val="none" w:sz="0" w:space="0" w:color="auto"/>
                <w:left w:val="none" w:sz="0" w:space="0" w:color="auto"/>
                <w:bottom w:val="none" w:sz="0" w:space="0" w:color="auto"/>
                <w:right w:val="none" w:sz="0" w:space="0" w:color="auto"/>
              </w:divBdr>
            </w:div>
          </w:divsChild>
        </w:div>
        <w:div w:id="1180587307">
          <w:marLeft w:val="0"/>
          <w:marRight w:val="0"/>
          <w:marTop w:val="0"/>
          <w:marBottom w:val="0"/>
          <w:divBdr>
            <w:top w:val="none" w:sz="0" w:space="0" w:color="auto"/>
            <w:left w:val="none" w:sz="0" w:space="0" w:color="auto"/>
            <w:bottom w:val="none" w:sz="0" w:space="0" w:color="auto"/>
            <w:right w:val="none" w:sz="0" w:space="0" w:color="auto"/>
          </w:divBdr>
          <w:divsChild>
            <w:div w:id="1706369855">
              <w:marLeft w:val="0"/>
              <w:marRight w:val="0"/>
              <w:marTop w:val="0"/>
              <w:marBottom w:val="0"/>
              <w:divBdr>
                <w:top w:val="none" w:sz="0" w:space="0" w:color="auto"/>
                <w:left w:val="none" w:sz="0" w:space="0" w:color="auto"/>
                <w:bottom w:val="none" w:sz="0" w:space="0" w:color="auto"/>
                <w:right w:val="none" w:sz="0" w:space="0" w:color="auto"/>
              </w:divBdr>
            </w:div>
          </w:divsChild>
        </w:div>
        <w:div w:id="1239634058">
          <w:marLeft w:val="0"/>
          <w:marRight w:val="0"/>
          <w:marTop w:val="0"/>
          <w:marBottom w:val="0"/>
          <w:divBdr>
            <w:top w:val="none" w:sz="0" w:space="0" w:color="auto"/>
            <w:left w:val="none" w:sz="0" w:space="0" w:color="auto"/>
            <w:bottom w:val="none" w:sz="0" w:space="0" w:color="auto"/>
            <w:right w:val="none" w:sz="0" w:space="0" w:color="auto"/>
          </w:divBdr>
          <w:divsChild>
            <w:div w:id="246962574">
              <w:marLeft w:val="0"/>
              <w:marRight w:val="0"/>
              <w:marTop w:val="0"/>
              <w:marBottom w:val="0"/>
              <w:divBdr>
                <w:top w:val="none" w:sz="0" w:space="0" w:color="auto"/>
                <w:left w:val="none" w:sz="0" w:space="0" w:color="auto"/>
                <w:bottom w:val="none" w:sz="0" w:space="0" w:color="auto"/>
                <w:right w:val="none" w:sz="0" w:space="0" w:color="auto"/>
              </w:divBdr>
            </w:div>
          </w:divsChild>
        </w:div>
        <w:div w:id="1398360474">
          <w:marLeft w:val="0"/>
          <w:marRight w:val="0"/>
          <w:marTop w:val="0"/>
          <w:marBottom w:val="0"/>
          <w:divBdr>
            <w:top w:val="none" w:sz="0" w:space="0" w:color="auto"/>
            <w:left w:val="none" w:sz="0" w:space="0" w:color="auto"/>
            <w:bottom w:val="none" w:sz="0" w:space="0" w:color="auto"/>
            <w:right w:val="none" w:sz="0" w:space="0" w:color="auto"/>
          </w:divBdr>
          <w:divsChild>
            <w:div w:id="1758138304">
              <w:marLeft w:val="0"/>
              <w:marRight w:val="0"/>
              <w:marTop w:val="0"/>
              <w:marBottom w:val="0"/>
              <w:divBdr>
                <w:top w:val="none" w:sz="0" w:space="0" w:color="auto"/>
                <w:left w:val="none" w:sz="0" w:space="0" w:color="auto"/>
                <w:bottom w:val="none" w:sz="0" w:space="0" w:color="auto"/>
                <w:right w:val="none" w:sz="0" w:space="0" w:color="auto"/>
              </w:divBdr>
            </w:div>
          </w:divsChild>
        </w:div>
        <w:div w:id="1893692006">
          <w:marLeft w:val="0"/>
          <w:marRight w:val="0"/>
          <w:marTop w:val="0"/>
          <w:marBottom w:val="0"/>
          <w:divBdr>
            <w:top w:val="none" w:sz="0" w:space="0" w:color="auto"/>
            <w:left w:val="none" w:sz="0" w:space="0" w:color="auto"/>
            <w:bottom w:val="none" w:sz="0" w:space="0" w:color="auto"/>
            <w:right w:val="none" w:sz="0" w:space="0" w:color="auto"/>
          </w:divBdr>
          <w:divsChild>
            <w:div w:id="19015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505">
      <w:bodyDiv w:val="1"/>
      <w:marLeft w:val="0"/>
      <w:marRight w:val="0"/>
      <w:marTop w:val="0"/>
      <w:marBottom w:val="0"/>
      <w:divBdr>
        <w:top w:val="none" w:sz="0" w:space="0" w:color="auto"/>
        <w:left w:val="none" w:sz="0" w:space="0" w:color="auto"/>
        <w:bottom w:val="none" w:sz="0" w:space="0" w:color="auto"/>
        <w:right w:val="none" w:sz="0" w:space="0" w:color="auto"/>
      </w:divBdr>
      <w:divsChild>
        <w:div w:id="1307396605">
          <w:marLeft w:val="0"/>
          <w:marRight w:val="0"/>
          <w:marTop w:val="0"/>
          <w:marBottom w:val="0"/>
          <w:divBdr>
            <w:top w:val="none" w:sz="0" w:space="0" w:color="auto"/>
            <w:left w:val="none" w:sz="0" w:space="0" w:color="auto"/>
            <w:bottom w:val="none" w:sz="0" w:space="0" w:color="auto"/>
            <w:right w:val="none" w:sz="0" w:space="0" w:color="auto"/>
          </w:divBdr>
        </w:div>
        <w:div w:id="2086147430">
          <w:marLeft w:val="0"/>
          <w:marRight w:val="0"/>
          <w:marTop w:val="0"/>
          <w:marBottom w:val="0"/>
          <w:divBdr>
            <w:top w:val="none" w:sz="0" w:space="0" w:color="auto"/>
            <w:left w:val="none" w:sz="0" w:space="0" w:color="auto"/>
            <w:bottom w:val="none" w:sz="0" w:space="0" w:color="auto"/>
            <w:right w:val="none" w:sz="0" w:space="0" w:color="auto"/>
          </w:divBdr>
        </w:div>
      </w:divsChild>
    </w:div>
    <w:div w:id="177736920">
      <w:bodyDiv w:val="1"/>
      <w:marLeft w:val="0"/>
      <w:marRight w:val="0"/>
      <w:marTop w:val="0"/>
      <w:marBottom w:val="0"/>
      <w:divBdr>
        <w:top w:val="none" w:sz="0" w:space="0" w:color="auto"/>
        <w:left w:val="none" w:sz="0" w:space="0" w:color="auto"/>
        <w:bottom w:val="none" w:sz="0" w:space="0" w:color="auto"/>
        <w:right w:val="none" w:sz="0" w:space="0" w:color="auto"/>
      </w:divBdr>
      <w:divsChild>
        <w:div w:id="564534623">
          <w:marLeft w:val="0"/>
          <w:marRight w:val="0"/>
          <w:marTop w:val="0"/>
          <w:marBottom w:val="0"/>
          <w:divBdr>
            <w:top w:val="none" w:sz="0" w:space="0" w:color="auto"/>
            <w:left w:val="none" w:sz="0" w:space="0" w:color="auto"/>
            <w:bottom w:val="none" w:sz="0" w:space="0" w:color="auto"/>
            <w:right w:val="none" w:sz="0" w:space="0" w:color="auto"/>
          </w:divBdr>
        </w:div>
        <w:div w:id="813447723">
          <w:marLeft w:val="0"/>
          <w:marRight w:val="0"/>
          <w:marTop w:val="0"/>
          <w:marBottom w:val="0"/>
          <w:divBdr>
            <w:top w:val="none" w:sz="0" w:space="0" w:color="auto"/>
            <w:left w:val="none" w:sz="0" w:space="0" w:color="auto"/>
            <w:bottom w:val="none" w:sz="0" w:space="0" w:color="auto"/>
            <w:right w:val="none" w:sz="0" w:space="0" w:color="auto"/>
          </w:divBdr>
          <w:divsChild>
            <w:div w:id="1600019137">
              <w:marLeft w:val="0"/>
              <w:marRight w:val="0"/>
              <w:marTop w:val="30"/>
              <w:marBottom w:val="30"/>
              <w:divBdr>
                <w:top w:val="none" w:sz="0" w:space="0" w:color="auto"/>
                <w:left w:val="none" w:sz="0" w:space="0" w:color="auto"/>
                <w:bottom w:val="none" w:sz="0" w:space="0" w:color="auto"/>
                <w:right w:val="none" w:sz="0" w:space="0" w:color="auto"/>
              </w:divBdr>
              <w:divsChild>
                <w:div w:id="2901659">
                  <w:marLeft w:val="0"/>
                  <w:marRight w:val="0"/>
                  <w:marTop w:val="0"/>
                  <w:marBottom w:val="0"/>
                  <w:divBdr>
                    <w:top w:val="none" w:sz="0" w:space="0" w:color="auto"/>
                    <w:left w:val="none" w:sz="0" w:space="0" w:color="auto"/>
                    <w:bottom w:val="none" w:sz="0" w:space="0" w:color="auto"/>
                    <w:right w:val="none" w:sz="0" w:space="0" w:color="auto"/>
                  </w:divBdr>
                  <w:divsChild>
                    <w:div w:id="175777214">
                      <w:marLeft w:val="0"/>
                      <w:marRight w:val="0"/>
                      <w:marTop w:val="0"/>
                      <w:marBottom w:val="0"/>
                      <w:divBdr>
                        <w:top w:val="none" w:sz="0" w:space="0" w:color="auto"/>
                        <w:left w:val="none" w:sz="0" w:space="0" w:color="auto"/>
                        <w:bottom w:val="none" w:sz="0" w:space="0" w:color="auto"/>
                        <w:right w:val="none" w:sz="0" w:space="0" w:color="auto"/>
                      </w:divBdr>
                    </w:div>
                  </w:divsChild>
                </w:div>
                <w:div w:id="20018266">
                  <w:marLeft w:val="0"/>
                  <w:marRight w:val="0"/>
                  <w:marTop w:val="0"/>
                  <w:marBottom w:val="0"/>
                  <w:divBdr>
                    <w:top w:val="none" w:sz="0" w:space="0" w:color="auto"/>
                    <w:left w:val="none" w:sz="0" w:space="0" w:color="auto"/>
                    <w:bottom w:val="none" w:sz="0" w:space="0" w:color="auto"/>
                    <w:right w:val="none" w:sz="0" w:space="0" w:color="auto"/>
                  </w:divBdr>
                  <w:divsChild>
                    <w:div w:id="1439911014">
                      <w:marLeft w:val="0"/>
                      <w:marRight w:val="0"/>
                      <w:marTop w:val="0"/>
                      <w:marBottom w:val="0"/>
                      <w:divBdr>
                        <w:top w:val="none" w:sz="0" w:space="0" w:color="auto"/>
                        <w:left w:val="none" w:sz="0" w:space="0" w:color="auto"/>
                        <w:bottom w:val="none" w:sz="0" w:space="0" w:color="auto"/>
                        <w:right w:val="none" w:sz="0" w:space="0" w:color="auto"/>
                      </w:divBdr>
                    </w:div>
                  </w:divsChild>
                </w:div>
                <w:div w:id="202642750">
                  <w:marLeft w:val="0"/>
                  <w:marRight w:val="0"/>
                  <w:marTop w:val="0"/>
                  <w:marBottom w:val="0"/>
                  <w:divBdr>
                    <w:top w:val="none" w:sz="0" w:space="0" w:color="auto"/>
                    <w:left w:val="none" w:sz="0" w:space="0" w:color="auto"/>
                    <w:bottom w:val="none" w:sz="0" w:space="0" w:color="auto"/>
                    <w:right w:val="none" w:sz="0" w:space="0" w:color="auto"/>
                  </w:divBdr>
                  <w:divsChild>
                    <w:div w:id="1175456168">
                      <w:marLeft w:val="0"/>
                      <w:marRight w:val="0"/>
                      <w:marTop w:val="0"/>
                      <w:marBottom w:val="0"/>
                      <w:divBdr>
                        <w:top w:val="none" w:sz="0" w:space="0" w:color="auto"/>
                        <w:left w:val="none" w:sz="0" w:space="0" w:color="auto"/>
                        <w:bottom w:val="none" w:sz="0" w:space="0" w:color="auto"/>
                        <w:right w:val="none" w:sz="0" w:space="0" w:color="auto"/>
                      </w:divBdr>
                    </w:div>
                  </w:divsChild>
                </w:div>
                <w:div w:id="482964081">
                  <w:marLeft w:val="0"/>
                  <w:marRight w:val="0"/>
                  <w:marTop w:val="0"/>
                  <w:marBottom w:val="0"/>
                  <w:divBdr>
                    <w:top w:val="none" w:sz="0" w:space="0" w:color="auto"/>
                    <w:left w:val="none" w:sz="0" w:space="0" w:color="auto"/>
                    <w:bottom w:val="none" w:sz="0" w:space="0" w:color="auto"/>
                    <w:right w:val="none" w:sz="0" w:space="0" w:color="auto"/>
                  </w:divBdr>
                  <w:divsChild>
                    <w:div w:id="969825060">
                      <w:marLeft w:val="0"/>
                      <w:marRight w:val="0"/>
                      <w:marTop w:val="0"/>
                      <w:marBottom w:val="0"/>
                      <w:divBdr>
                        <w:top w:val="none" w:sz="0" w:space="0" w:color="auto"/>
                        <w:left w:val="none" w:sz="0" w:space="0" w:color="auto"/>
                        <w:bottom w:val="none" w:sz="0" w:space="0" w:color="auto"/>
                        <w:right w:val="none" w:sz="0" w:space="0" w:color="auto"/>
                      </w:divBdr>
                    </w:div>
                  </w:divsChild>
                </w:div>
                <w:div w:id="493452983">
                  <w:marLeft w:val="0"/>
                  <w:marRight w:val="0"/>
                  <w:marTop w:val="0"/>
                  <w:marBottom w:val="0"/>
                  <w:divBdr>
                    <w:top w:val="none" w:sz="0" w:space="0" w:color="auto"/>
                    <w:left w:val="none" w:sz="0" w:space="0" w:color="auto"/>
                    <w:bottom w:val="none" w:sz="0" w:space="0" w:color="auto"/>
                    <w:right w:val="none" w:sz="0" w:space="0" w:color="auto"/>
                  </w:divBdr>
                  <w:divsChild>
                    <w:div w:id="1409886472">
                      <w:marLeft w:val="0"/>
                      <w:marRight w:val="0"/>
                      <w:marTop w:val="0"/>
                      <w:marBottom w:val="0"/>
                      <w:divBdr>
                        <w:top w:val="none" w:sz="0" w:space="0" w:color="auto"/>
                        <w:left w:val="none" w:sz="0" w:space="0" w:color="auto"/>
                        <w:bottom w:val="none" w:sz="0" w:space="0" w:color="auto"/>
                        <w:right w:val="none" w:sz="0" w:space="0" w:color="auto"/>
                      </w:divBdr>
                    </w:div>
                  </w:divsChild>
                </w:div>
                <w:div w:id="904528686">
                  <w:marLeft w:val="0"/>
                  <w:marRight w:val="0"/>
                  <w:marTop w:val="0"/>
                  <w:marBottom w:val="0"/>
                  <w:divBdr>
                    <w:top w:val="none" w:sz="0" w:space="0" w:color="auto"/>
                    <w:left w:val="none" w:sz="0" w:space="0" w:color="auto"/>
                    <w:bottom w:val="none" w:sz="0" w:space="0" w:color="auto"/>
                    <w:right w:val="none" w:sz="0" w:space="0" w:color="auto"/>
                  </w:divBdr>
                  <w:divsChild>
                    <w:div w:id="695034992">
                      <w:marLeft w:val="0"/>
                      <w:marRight w:val="0"/>
                      <w:marTop w:val="0"/>
                      <w:marBottom w:val="0"/>
                      <w:divBdr>
                        <w:top w:val="none" w:sz="0" w:space="0" w:color="auto"/>
                        <w:left w:val="none" w:sz="0" w:space="0" w:color="auto"/>
                        <w:bottom w:val="none" w:sz="0" w:space="0" w:color="auto"/>
                        <w:right w:val="none" w:sz="0" w:space="0" w:color="auto"/>
                      </w:divBdr>
                    </w:div>
                    <w:div w:id="1513061689">
                      <w:marLeft w:val="0"/>
                      <w:marRight w:val="0"/>
                      <w:marTop w:val="0"/>
                      <w:marBottom w:val="0"/>
                      <w:divBdr>
                        <w:top w:val="none" w:sz="0" w:space="0" w:color="auto"/>
                        <w:left w:val="none" w:sz="0" w:space="0" w:color="auto"/>
                        <w:bottom w:val="none" w:sz="0" w:space="0" w:color="auto"/>
                        <w:right w:val="none" w:sz="0" w:space="0" w:color="auto"/>
                      </w:divBdr>
                    </w:div>
                  </w:divsChild>
                </w:div>
                <w:div w:id="1117720618">
                  <w:marLeft w:val="0"/>
                  <w:marRight w:val="0"/>
                  <w:marTop w:val="0"/>
                  <w:marBottom w:val="0"/>
                  <w:divBdr>
                    <w:top w:val="none" w:sz="0" w:space="0" w:color="auto"/>
                    <w:left w:val="none" w:sz="0" w:space="0" w:color="auto"/>
                    <w:bottom w:val="none" w:sz="0" w:space="0" w:color="auto"/>
                    <w:right w:val="none" w:sz="0" w:space="0" w:color="auto"/>
                  </w:divBdr>
                  <w:divsChild>
                    <w:div w:id="412900370">
                      <w:marLeft w:val="0"/>
                      <w:marRight w:val="0"/>
                      <w:marTop w:val="0"/>
                      <w:marBottom w:val="0"/>
                      <w:divBdr>
                        <w:top w:val="none" w:sz="0" w:space="0" w:color="auto"/>
                        <w:left w:val="none" w:sz="0" w:space="0" w:color="auto"/>
                        <w:bottom w:val="none" w:sz="0" w:space="0" w:color="auto"/>
                        <w:right w:val="none" w:sz="0" w:space="0" w:color="auto"/>
                      </w:divBdr>
                    </w:div>
                  </w:divsChild>
                </w:div>
                <w:div w:id="1403523419">
                  <w:marLeft w:val="0"/>
                  <w:marRight w:val="0"/>
                  <w:marTop w:val="0"/>
                  <w:marBottom w:val="0"/>
                  <w:divBdr>
                    <w:top w:val="none" w:sz="0" w:space="0" w:color="auto"/>
                    <w:left w:val="none" w:sz="0" w:space="0" w:color="auto"/>
                    <w:bottom w:val="none" w:sz="0" w:space="0" w:color="auto"/>
                    <w:right w:val="none" w:sz="0" w:space="0" w:color="auto"/>
                  </w:divBdr>
                  <w:divsChild>
                    <w:div w:id="1728331586">
                      <w:marLeft w:val="0"/>
                      <w:marRight w:val="0"/>
                      <w:marTop w:val="0"/>
                      <w:marBottom w:val="0"/>
                      <w:divBdr>
                        <w:top w:val="none" w:sz="0" w:space="0" w:color="auto"/>
                        <w:left w:val="none" w:sz="0" w:space="0" w:color="auto"/>
                        <w:bottom w:val="none" w:sz="0" w:space="0" w:color="auto"/>
                        <w:right w:val="none" w:sz="0" w:space="0" w:color="auto"/>
                      </w:divBdr>
                    </w:div>
                  </w:divsChild>
                </w:div>
                <w:div w:id="1960603833">
                  <w:marLeft w:val="0"/>
                  <w:marRight w:val="0"/>
                  <w:marTop w:val="0"/>
                  <w:marBottom w:val="0"/>
                  <w:divBdr>
                    <w:top w:val="none" w:sz="0" w:space="0" w:color="auto"/>
                    <w:left w:val="none" w:sz="0" w:space="0" w:color="auto"/>
                    <w:bottom w:val="none" w:sz="0" w:space="0" w:color="auto"/>
                    <w:right w:val="none" w:sz="0" w:space="0" w:color="auto"/>
                  </w:divBdr>
                  <w:divsChild>
                    <w:div w:id="2093626408">
                      <w:marLeft w:val="0"/>
                      <w:marRight w:val="0"/>
                      <w:marTop w:val="0"/>
                      <w:marBottom w:val="0"/>
                      <w:divBdr>
                        <w:top w:val="none" w:sz="0" w:space="0" w:color="auto"/>
                        <w:left w:val="none" w:sz="0" w:space="0" w:color="auto"/>
                        <w:bottom w:val="none" w:sz="0" w:space="0" w:color="auto"/>
                        <w:right w:val="none" w:sz="0" w:space="0" w:color="auto"/>
                      </w:divBdr>
                    </w:div>
                  </w:divsChild>
                </w:div>
                <w:div w:id="2074229591">
                  <w:marLeft w:val="0"/>
                  <w:marRight w:val="0"/>
                  <w:marTop w:val="0"/>
                  <w:marBottom w:val="0"/>
                  <w:divBdr>
                    <w:top w:val="none" w:sz="0" w:space="0" w:color="auto"/>
                    <w:left w:val="none" w:sz="0" w:space="0" w:color="auto"/>
                    <w:bottom w:val="none" w:sz="0" w:space="0" w:color="auto"/>
                    <w:right w:val="none" w:sz="0" w:space="0" w:color="auto"/>
                  </w:divBdr>
                  <w:divsChild>
                    <w:div w:id="2418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0779">
          <w:marLeft w:val="0"/>
          <w:marRight w:val="0"/>
          <w:marTop w:val="0"/>
          <w:marBottom w:val="0"/>
          <w:divBdr>
            <w:top w:val="none" w:sz="0" w:space="0" w:color="auto"/>
            <w:left w:val="none" w:sz="0" w:space="0" w:color="auto"/>
            <w:bottom w:val="none" w:sz="0" w:space="0" w:color="auto"/>
            <w:right w:val="none" w:sz="0" w:space="0" w:color="auto"/>
          </w:divBdr>
        </w:div>
      </w:divsChild>
    </w:div>
    <w:div w:id="179391909">
      <w:bodyDiv w:val="1"/>
      <w:marLeft w:val="0"/>
      <w:marRight w:val="0"/>
      <w:marTop w:val="0"/>
      <w:marBottom w:val="0"/>
      <w:divBdr>
        <w:top w:val="none" w:sz="0" w:space="0" w:color="auto"/>
        <w:left w:val="none" w:sz="0" w:space="0" w:color="auto"/>
        <w:bottom w:val="none" w:sz="0" w:space="0" w:color="auto"/>
        <w:right w:val="none" w:sz="0" w:space="0" w:color="auto"/>
      </w:divBdr>
      <w:divsChild>
        <w:div w:id="120077404">
          <w:marLeft w:val="0"/>
          <w:marRight w:val="0"/>
          <w:marTop w:val="0"/>
          <w:marBottom w:val="0"/>
          <w:divBdr>
            <w:top w:val="none" w:sz="0" w:space="0" w:color="auto"/>
            <w:left w:val="none" w:sz="0" w:space="0" w:color="auto"/>
            <w:bottom w:val="none" w:sz="0" w:space="0" w:color="auto"/>
            <w:right w:val="none" w:sz="0" w:space="0" w:color="auto"/>
          </w:divBdr>
          <w:divsChild>
            <w:div w:id="132648094">
              <w:marLeft w:val="0"/>
              <w:marRight w:val="0"/>
              <w:marTop w:val="0"/>
              <w:marBottom w:val="0"/>
              <w:divBdr>
                <w:top w:val="none" w:sz="0" w:space="0" w:color="auto"/>
                <w:left w:val="none" w:sz="0" w:space="0" w:color="auto"/>
                <w:bottom w:val="none" w:sz="0" w:space="0" w:color="auto"/>
                <w:right w:val="none" w:sz="0" w:space="0" w:color="auto"/>
              </w:divBdr>
            </w:div>
          </w:divsChild>
        </w:div>
        <w:div w:id="405154627">
          <w:marLeft w:val="0"/>
          <w:marRight w:val="0"/>
          <w:marTop w:val="0"/>
          <w:marBottom w:val="0"/>
          <w:divBdr>
            <w:top w:val="none" w:sz="0" w:space="0" w:color="auto"/>
            <w:left w:val="none" w:sz="0" w:space="0" w:color="auto"/>
            <w:bottom w:val="none" w:sz="0" w:space="0" w:color="auto"/>
            <w:right w:val="none" w:sz="0" w:space="0" w:color="auto"/>
          </w:divBdr>
          <w:divsChild>
            <w:div w:id="619999237">
              <w:marLeft w:val="0"/>
              <w:marRight w:val="0"/>
              <w:marTop w:val="0"/>
              <w:marBottom w:val="0"/>
              <w:divBdr>
                <w:top w:val="none" w:sz="0" w:space="0" w:color="auto"/>
                <w:left w:val="none" w:sz="0" w:space="0" w:color="auto"/>
                <w:bottom w:val="none" w:sz="0" w:space="0" w:color="auto"/>
                <w:right w:val="none" w:sz="0" w:space="0" w:color="auto"/>
              </w:divBdr>
            </w:div>
          </w:divsChild>
        </w:div>
        <w:div w:id="505049047">
          <w:marLeft w:val="0"/>
          <w:marRight w:val="0"/>
          <w:marTop w:val="0"/>
          <w:marBottom w:val="0"/>
          <w:divBdr>
            <w:top w:val="none" w:sz="0" w:space="0" w:color="auto"/>
            <w:left w:val="none" w:sz="0" w:space="0" w:color="auto"/>
            <w:bottom w:val="none" w:sz="0" w:space="0" w:color="auto"/>
            <w:right w:val="none" w:sz="0" w:space="0" w:color="auto"/>
          </w:divBdr>
          <w:divsChild>
            <w:div w:id="320038493">
              <w:marLeft w:val="0"/>
              <w:marRight w:val="0"/>
              <w:marTop w:val="0"/>
              <w:marBottom w:val="0"/>
              <w:divBdr>
                <w:top w:val="none" w:sz="0" w:space="0" w:color="auto"/>
                <w:left w:val="none" w:sz="0" w:space="0" w:color="auto"/>
                <w:bottom w:val="none" w:sz="0" w:space="0" w:color="auto"/>
                <w:right w:val="none" w:sz="0" w:space="0" w:color="auto"/>
              </w:divBdr>
            </w:div>
          </w:divsChild>
        </w:div>
        <w:div w:id="648246699">
          <w:marLeft w:val="0"/>
          <w:marRight w:val="0"/>
          <w:marTop w:val="0"/>
          <w:marBottom w:val="0"/>
          <w:divBdr>
            <w:top w:val="none" w:sz="0" w:space="0" w:color="auto"/>
            <w:left w:val="none" w:sz="0" w:space="0" w:color="auto"/>
            <w:bottom w:val="none" w:sz="0" w:space="0" w:color="auto"/>
            <w:right w:val="none" w:sz="0" w:space="0" w:color="auto"/>
          </w:divBdr>
          <w:divsChild>
            <w:div w:id="1075011266">
              <w:marLeft w:val="0"/>
              <w:marRight w:val="0"/>
              <w:marTop w:val="0"/>
              <w:marBottom w:val="0"/>
              <w:divBdr>
                <w:top w:val="none" w:sz="0" w:space="0" w:color="auto"/>
                <w:left w:val="none" w:sz="0" w:space="0" w:color="auto"/>
                <w:bottom w:val="none" w:sz="0" w:space="0" w:color="auto"/>
                <w:right w:val="none" w:sz="0" w:space="0" w:color="auto"/>
              </w:divBdr>
            </w:div>
            <w:div w:id="1776555774">
              <w:marLeft w:val="0"/>
              <w:marRight w:val="0"/>
              <w:marTop w:val="0"/>
              <w:marBottom w:val="0"/>
              <w:divBdr>
                <w:top w:val="none" w:sz="0" w:space="0" w:color="auto"/>
                <w:left w:val="none" w:sz="0" w:space="0" w:color="auto"/>
                <w:bottom w:val="none" w:sz="0" w:space="0" w:color="auto"/>
                <w:right w:val="none" w:sz="0" w:space="0" w:color="auto"/>
              </w:divBdr>
            </w:div>
          </w:divsChild>
        </w:div>
        <w:div w:id="798838049">
          <w:marLeft w:val="0"/>
          <w:marRight w:val="0"/>
          <w:marTop w:val="0"/>
          <w:marBottom w:val="0"/>
          <w:divBdr>
            <w:top w:val="none" w:sz="0" w:space="0" w:color="auto"/>
            <w:left w:val="none" w:sz="0" w:space="0" w:color="auto"/>
            <w:bottom w:val="none" w:sz="0" w:space="0" w:color="auto"/>
            <w:right w:val="none" w:sz="0" w:space="0" w:color="auto"/>
          </w:divBdr>
          <w:divsChild>
            <w:div w:id="120198070">
              <w:marLeft w:val="0"/>
              <w:marRight w:val="0"/>
              <w:marTop w:val="0"/>
              <w:marBottom w:val="0"/>
              <w:divBdr>
                <w:top w:val="none" w:sz="0" w:space="0" w:color="auto"/>
                <w:left w:val="none" w:sz="0" w:space="0" w:color="auto"/>
                <w:bottom w:val="none" w:sz="0" w:space="0" w:color="auto"/>
                <w:right w:val="none" w:sz="0" w:space="0" w:color="auto"/>
              </w:divBdr>
            </w:div>
          </w:divsChild>
        </w:div>
        <w:div w:id="1084105741">
          <w:marLeft w:val="0"/>
          <w:marRight w:val="0"/>
          <w:marTop w:val="0"/>
          <w:marBottom w:val="0"/>
          <w:divBdr>
            <w:top w:val="none" w:sz="0" w:space="0" w:color="auto"/>
            <w:left w:val="none" w:sz="0" w:space="0" w:color="auto"/>
            <w:bottom w:val="none" w:sz="0" w:space="0" w:color="auto"/>
            <w:right w:val="none" w:sz="0" w:space="0" w:color="auto"/>
          </w:divBdr>
          <w:divsChild>
            <w:div w:id="1228760850">
              <w:marLeft w:val="0"/>
              <w:marRight w:val="0"/>
              <w:marTop w:val="0"/>
              <w:marBottom w:val="0"/>
              <w:divBdr>
                <w:top w:val="none" w:sz="0" w:space="0" w:color="auto"/>
                <w:left w:val="none" w:sz="0" w:space="0" w:color="auto"/>
                <w:bottom w:val="none" w:sz="0" w:space="0" w:color="auto"/>
                <w:right w:val="none" w:sz="0" w:space="0" w:color="auto"/>
              </w:divBdr>
            </w:div>
          </w:divsChild>
        </w:div>
        <w:div w:id="1275361212">
          <w:marLeft w:val="0"/>
          <w:marRight w:val="0"/>
          <w:marTop w:val="0"/>
          <w:marBottom w:val="0"/>
          <w:divBdr>
            <w:top w:val="none" w:sz="0" w:space="0" w:color="auto"/>
            <w:left w:val="none" w:sz="0" w:space="0" w:color="auto"/>
            <w:bottom w:val="none" w:sz="0" w:space="0" w:color="auto"/>
            <w:right w:val="none" w:sz="0" w:space="0" w:color="auto"/>
          </w:divBdr>
          <w:divsChild>
            <w:div w:id="922570849">
              <w:marLeft w:val="0"/>
              <w:marRight w:val="0"/>
              <w:marTop w:val="0"/>
              <w:marBottom w:val="0"/>
              <w:divBdr>
                <w:top w:val="none" w:sz="0" w:space="0" w:color="auto"/>
                <w:left w:val="none" w:sz="0" w:space="0" w:color="auto"/>
                <w:bottom w:val="none" w:sz="0" w:space="0" w:color="auto"/>
                <w:right w:val="none" w:sz="0" w:space="0" w:color="auto"/>
              </w:divBdr>
            </w:div>
          </w:divsChild>
        </w:div>
        <w:div w:id="1443913181">
          <w:marLeft w:val="0"/>
          <w:marRight w:val="0"/>
          <w:marTop w:val="0"/>
          <w:marBottom w:val="0"/>
          <w:divBdr>
            <w:top w:val="none" w:sz="0" w:space="0" w:color="auto"/>
            <w:left w:val="none" w:sz="0" w:space="0" w:color="auto"/>
            <w:bottom w:val="none" w:sz="0" w:space="0" w:color="auto"/>
            <w:right w:val="none" w:sz="0" w:space="0" w:color="auto"/>
          </w:divBdr>
          <w:divsChild>
            <w:div w:id="914241025">
              <w:marLeft w:val="0"/>
              <w:marRight w:val="0"/>
              <w:marTop w:val="0"/>
              <w:marBottom w:val="0"/>
              <w:divBdr>
                <w:top w:val="none" w:sz="0" w:space="0" w:color="auto"/>
                <w:left w:val="none" w:sz="0" w:space="0" w:color="auto"/>
                <w:bottom w:val="none" w:sz="0" w:space="0" w:color="auto"/>
                <w:right w:val="none" w:sz="0" w:space="0" w:color="auto"/>
              </w:divBdr>
            </w:div>
          </w:divsChild>
        </w:div>
        <w:div w:id="1832479744">
          <w:marLeft w:val="0"/>
          <w:marRight w:val="0"/>
          <w:marTop w:val="0"/>
          <w:marBottom w:val="0"/>
          <w:divBdr>
            <w:top w:val="none" w:sz="0" w:space="0" w:color="auto"/>
            <w:left w:val="none" w:sz="0" w:space="0" w:color="auto"/>
            <w:bottom w:val="none" w:sz="0" w:space="0" w:color="auto"/>
            <w:right w:val="none" w:sz="0" w:space="0" w:color="auto"/>
          </w:divBdr>
          <w:divsChild>
            <w:div w:id="1047990890">
              <w:marLeft w:val="0"/>
              <w:marRight w:val="0"/>
              <w:marTop w:val="0"/>
              <w:marBottom w:val="0"/>
              <w:divBdr>
                <w:top w:val="none" w:sz="0" w:space="0" w:color="auto"/>
                <w:left w:val="none" w:sz="0" w:space="0" w:color="auto"/>
                <w:bottom w:val="none" w:sz="0" w:space="0" w:color="auto"/>
                <w:right w:val="none" w:sz="0" w:space="0" w:color="auto"/>
              </w:divBdr>
            </w:div>
          </w:divsChild>
        </w:div>
        <w:div w:id="2042365383">
          <w:marLeft w:val="0"/>
          <w:marRight w:val="0"/>
          <w:marTop w:val="0"/>
          <w:marBottom w:val="0"/>
          <w:divBdr>
            <w:top w:val="none" w:sz="0" w:space="0" w:color="auto"/>
            <w:left w:val="none" w:sz="0" w:space="0" w:color="auto"/>
            <w:bottom w:val="none" w:sz="0" w:space="0" w:color="auto"/>
            <w:right w:val="none" w:sz="0" w:space="0" w:color="auto"/>
          </w:divBdr>
          <w:divsChild>
            <w:div w:id="1372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8995">
      <w:bodyDiv w:val="1"/>
      <w:marLeft w:val="0"/>
      <w:marRight w:val="0"/>
      <w:marTop w:val="0"/>
      <w:marBottom w:val="0"/>
      <w:divBdr>
        <w:top w:val="none" w:sz="0" w:space="0" w:color="auto"/>
        <w:left w:val="none" w:sz="0" w:space="0" w:color="auto"/>
        <w:bottom w:val="none" w:sz="0" w:space="0" w:color="auto"/>
        <w:right w:val="none" w:sz="0" w:space="0" w:color="auto"/>
      </w:divBdr>
      <w:divsChild>
        <w:div w:id="191696109">
          <w:marLeft w:val="0"/>
          <w:marRight w:val="0"/>
          <w:marTop w:val="0"/>
          <w:marBottom w:val="0"/>
          <w:divBdr>
            <w:top w:val="none" w:sz="0" w:space="0" w:color="auto"/>
            <w:left w:val="none" w:sz="0" w:space="0" w:color="auto"/>
            <w:bottom w:val="none" w:sz="0" w:space="0" w:color="auto"/>
            <w:right w:val="none" w:sz="0" w:space="0" w:color="auto"/>
          </w:divBdr>
          <w:divsChild>
            <w:div w:id="1005942606">
              <w:marLeft w:val="0"/>
              <w:marRight w:val="0"/>
              <w:marTop w:val="0"/>
              <w:marBottom w:val="0"/>
              <w:divBdr>
                <w:top w:val="none" w:sz="0" w:space="0" w:color="auto"/>
                <w:left w:val="none" w:sz="0" w:space="0" w:color="auto"/>
                <w:bottom w:val="none" w:sz="0" w:space="0" w:color="auto"/>
                <w:right w:val="none" w:sz="0" w:space="0" w:color="auto"/>
              </w:divBdr>
            </w:div>
          </w:divsChild>
        </w:div>
        <w:div w:id="364214716">
          <w:marLeft w:val="0"/>
          <w:marRight w:val="0"/>
          <w:marTop w:val="0"/>
          <w:marBottom w:val="0"/>
          <w:divBdr>
            <w:top w:val="none" w:sz="0" w:space="0" w:color="auto"/>
            <w:left w:val="none" w:sz="0" w:space="0" w:color="auto"/>
            <w:bottom w:val="none" w:sz="0" w:space="0" w:color="auto"/>
            <w:right w:val="none" w:sz="0" w:space="0" w:color="auto"/>
          </w:divBdr>
          <w:divsChild>
            <w:div w:id="1284574269">
              <w:marLeft w:val="0"/>
              <w:marRight w:val="0"/>
              <w:marTop w:val="0"/>
              <w:marBottom w:val="0"/>
              <w:divBdr>
                <w:top w:val="none" w:sz="0" w:space="0" w:color="auto"/>
                <w:left w:val="none" w:sz="0" w:space="0" w:color="auto"/>
                <w:bottom w:val="none" w:sz="0" w:space="0" w:color="auto"/>
                <w:right w:val="none" w:sz="0" w:space="0" w:color="auto"/>
              </w:divBdr>
            </w:div>
          </w:divsChild>
        </w:div>
        <w:div w:id="1063867406">
          <w:marLeft w:val="0"/>
          <w:marRight w:val="0"/>
          <w:marTop w:val="0"/>
          <w:marBottom w:val="0"/>
          <w:divBdr>
            <w:top w:val="none" w:sz="0" w:space="0" w:color="auto"/>
            <w:left w:val="none" w:sz="0" w:space="0" w:color="auto"/>
            <w:bottom w:val="none" w:sz="0" w:space="0" w:color="auto"/>
            <w:right w:val="none" w:sz="0" w:space="0" w:color="auto"/>
          </w:divBdr>
          <w:divsChild>
            <w:div w:id="1705790207">
              <w:marLeft w:val="0"/>
              <w:marRight w:val="0"/>
              <w:marTop w:val="0"/>
              <w:marBottom w:val="0"/>
              <w:divBdr>
                <w:top w:val="none" w:sz="0" w:space="0" w:color="auto"/>
                <w:left w:val="none" w:sz="0" w:space="0" w:color="auto"/>
                <w:bottom w:val="none" w:sz="0" w:space="0" w:color="auto"/>
                <w:right w:val="none" w:sz="0" w:space="0" w:color="auto"/>
              </w:divBdr>
            </w:div>
          </w:divsChild>
        </w:div>
        <w:div w:id="1187476657">
          <w:marLeft w:val="0"/>
          <w:marRight w:val="0"/>
          <w:marTop w:val="0"/>
          <w:marBottom w:val="0"/>
          <w:divBdr>
            <w:top w:val="none" w:sz="0" w:space="0" w:color="auto"/>
            <w:left w:val="none" w:sz="0" w:space="0" w:color="auto"/>
            <w:bottom w:val="none" w:sz="0" w:space="0" w:color="auto"/>
            <w:right w:val="none" w:sz="0" w:space="0" w:color="auto"/>
          </w:divBdr>
          <w:divsChild>
            <w:div w:id="1357927552">
              <w:marLeft w:val="0"/>
              <w:marRight w:val="0"/>
              <w:marTop w:val="0"/>
              <w:marBottom w:val="0"/>
              <w:divBdr>
                <w:top w:val="none" w:sz="0" w:space="0" w:color="auto"/>
                <w:left w:val="none" w:sz="0" w:space="0" w:color="auto"/>
                <w:bottom w:val="none" w:sz="0" w:space="0" w:color="auto"/>
                <w:right w:val="none" w:sz="0" w:space="0" w:color="auto"/>
              </w:divBdr>
            </w:div>
          </w:divsChild>
        </w:div>
        <w:div w:id="1595169606">
          <w:marLeft w:val="0"/>
          <w:marRight w:val="0"/>
          <w:marTop w:val="0"/>
          <w:marBottom w:val="0"/>
          <w:divBdr>
            <w:top w:val="none" w:sz="0" w:space="0" w:color="auto"/>
            <w:left w:val="none" w:sz="0" w:space="0" w:color="auto"/>
            <w:bottom w:val="none" w:sz="0" w:space="0" w:color="auto"/>
            <w:right w:val="none" w:sz="0" w:space="0" w:color="auto"/>
          </w:divBdr>
          <w:divsChild>
            <w:div w:id="1596596449">
              <w:marLeft w:val="0"/>
              <w:marRight w:val="0"/>
              <w:marTop w:val="0"/>
              <w:marBottom w:val="0"/>
              <w:divBdr>
                <w:top w:val="none" w:sz="0" w:space="0" w:color="auto"/>
                <w:left w:val="none" w:sz="0" w:space="0" w:color="auto"/>
                <w:bottom w:val="none" w:sz="0" w:space="0" w:color="auto"/>
                <w:right w:val="none" w:sz="0" w:space="0" w:color="auto"/>
              </w:divBdr>
            </w:div>
          </w:divsChild>
        </w:div>
        <w:div w:id="1623149496">
          <w:marLeft w:val="0"/>
          <w:marRight w:val="0"/>
          <w:marTop w:val="0"/>
          <w:marBottom w:val="0"/>
          <w:divBdr>
            <w:top w:val="none" w:sz="0" w:space="0" w:color="auto"/>
            <w:left w:val="none" w:sz="0" w:space="0" w:color="auto"/>
            <w:bottom w:val="none" w:sz="0" w:space="0" w:color="auto"/>
            <w:right w:val="none" w:sz="0" w:space="0" w:color="auto"/>
          </w:divBdr>
          <w:divsChild>
            <w:div w:id="933712694">
              <w:marLeft w:val="0"/>
              <w:marRight w:val="0"/>
              <w:marTop w:val="0"/>
              <w:marBottom w:val="0"/>
              <w:divBdr>
                <w:top w:val="none" w:sz="0" w:space="0" w:color="auto"/>
                <w:left w:val="none" w:sz="0" w:space="0" w:color="auto"/>
                <w:bottom w:val="none" w:sz="0" w:space="0" w:color="auto"/>
                <w:right w:val="none" w:sz="0" w:space="0" w:color="auto"/>
              </w:divBdr>
            </w:div>
          </w:divsChild>
        </w:div>
        <w:div w:id="1729109510">
          <w:marLeft w:val="0"/>
          <w:marRight w:val="0"/>
          <w:marTop w:val="0"/>
          <w:marBottom w:val="0"/>
          <w:divBdr>
            <w:top w:val="none" w:sz="0" w:space="0" w:color="auto"/>
            <w:left w:val="none" w:sz="0" w:space="0" w:color="auto"/>
            <w:bottom w:val="none" w:sz="0" w:space="0" w:color="auto"/>
            <w:right w:val="none" w:sz="0" w:space="0" w:color="auto"/>
          </w:divBdr>
          <w:divsChild>
            <w:div w:id="1548493599">
              <w:marLeft w:val="0"/>
              <w:marRight w:val="0"/>
              <w:marTop w:val="0"/>
              <w:marBottom w:val="0"/>
              <w:divBdr>
                <w:top w:val="none" w:sz="0" w:space="0" w:color="auto"/>
                <w:left w:val="none" w:sz="0" w:space="0" w:color="auto"/>
                <w:bottom w:val="none" w:sz="0" w:space="0" w:color="auto"/>
                <w:right w:val="none" w:sz="0" w:space="0" w:color="auto"/>
              </w:divBdr>
            </w:div>
          </w:divsChild>
        </w:div>
        <w:div w:id="1765569295">
          <w:marLeft w:val="0"/>
          <w:marRight w:val="0"/>
          <w:marTop w:val="0"/>
          <w:marBottom w:val="0"/>
          <w:divBdr>
            <w:top w:val="none" w:sz="0" w:space="0" w:color="auto"/>
            <w:left w:val="none" w:sz="0" w:space="0" w:color="auto"/>
            <w:bottom w:val="none" w:sz="0" w:space="0" w:color="auto"/>
            <w:right w:val="none" w:sz="0" w:space="0" w:color="auto"/>
          </w:divBdr>
          <w:divsChild>
            <w:div w:id="407076115">
              <w:marLeft w:val="0"/>
              <w:marRight w:val="0"/>
              <w:marTop w:val="0"/>
              <w:marBottom w:val="0"/>
              <w:divBdr>
                <w:top w:val="none" w:sz="0" w:space="0" w:color="auto"/>
                <w:left w:val="none" w:sz="0" w:space="0" w:color="auto"/>
                <w:bottom w:val="none" w:sz="0" w:space="0" w:color="auto"/>
                <w:right w:val="none" w:sz="0" w:space="0" w:color="auto"/>
              </w:divBdr>
            </w:div>
          </w:divsChild>
        </w:div>
        <w:div w:id="1834102107">
          <w:marLeft w:val="0"/>
          <w:marRight w:val="0"/>
          <w:marTop w:val="0"/>
          <w:marBottom w:val="0"/>
          <w:divBdr>
            <w:top w:val="none" w:sz="0" w:space="0" w:color="auto"/>
            <w:left w:val="none" w:sz="0" w:space="0" w:color="auto"/>
            <w:bottom w:val="none" w:sz="0" w:space="0" w:color="auto"/>
            <w:right w:val="none" w:sz="0" w:space="0" w:color="auto"/>
          </w:divBdr>
          <w:divsChild>
            <w:div w:id="1056661877">
              <w:marLeft w:val="0"/>
              <w:marRight w:val="0"/>
              <w:marTop w:val="0"/>
              <w:marBottom w:val="0"/>
              <w:divBdr>
                <w:top w:val="none" w:sz="0" w:space="0" w:color="auto"/>
                <w:left w:val="none" w:sz="0" w:space="0" w:color="auto"/>
                <w:bottom w:val="none" w:sz="0" w:space="0" w:color="auto"/>
                <w:right w:val="none" w:sz="0" w:space="0" w:color="auto"/>
              </w:divBdr>
            </w:div>
          </w:divsChild>
        </w:div>
        <w:div w:id="2064718295">
          <w:marLeft w:val="0"/>
          <w:marRight w:val="0"/>
          <w:marTop w:val="0"/>
          <w:marBottom w:val="0"/>
          <w:divBdr>
            <w:top w:val="none" w:sz="0" w:space="0" w:color="auto"/>
            <w:left w:val="none" w:sz="0" w:space="0" w:color="auto"/>
            <w:bottom w:val="none" w:sz="0" w:space="0" w:color="auto"/>
            <w:right w:val="none" w:sz="0" w:space="0" w:color="auto"/>
          </w:divBdr>
          <w:divsChild>
            <w:div w:id="418215130">
              <w:marLeft w:val="0"/>
              <w:marRight w:val="0"/>
              <w:marTop w:val="0"/>
              <w:marBottom w:val="0"/>
              <w:divBdr>
                <w:top w:val="none" w:sz="0" w:space="0" w:color="auto"/>
                <w:left w:val="none" w:sz="0" w:space="0" w:color="auto"/>
                <w:bottom w:val="none" w:sz="0" w:space="0" w:color="auto"/>
                <w:right w:val="none" w:sz="0" w:space="0" w:color="auto"/>
              </w:divBdr>
            </w:div>
          </w:divsChild>
        </w:div>
        <w:div w:id="2068988910">
          <w:marLeft w:val="0"/>
          <w:marRight w:val="0"/>
          <w:marTop w:val="0"/>
          <w:marBottom w:val="0"/>
          <w:divBdr>
            <w:top w:val="none" w:sz="0" w:space="0" w:color="auto"/>
            <w:left w:val="none" w:sz="0" w:space="0" w:color="auto"/>
            <w:bottom w:val="none" w:sz="0" w:space="0" w:color="auto"/>
            <w:right w:val="none" w:sz="0" w:space="0" w:color="auto"/>
          </w:divBdr>
          <w:divsChild>
            <w:div w:id="1488397895">
              <w:marLeft w:val="0"/>
              <w:marRight w:val="0"/>
              <w:marTop w:val="0"/>
              <w:marBottom w:val="0"/>
              <w:divBdr>
                <w:top w:val="none" w:sz="0" w:space="0" w:color="auto"/>
                <w:left w:val="none" w:sz="0" w:space="0" w:color="auto"/>
                <w:bottom w:val="none" w:sz="0" w:space="0" w:color="auto"/>
                <w:right w:val="none" w:sz="0" w:space="0" w:color="auto"/>
              </w:divBdr>
            </w:div>
          </w:divsChild>
        </w:div>
        <w:div w:id="2077971444">
          <w:marLeft w:val="0"/>
          <w:marRight w:val="0"/>
          <w:marTop w:val="0"/>
          <w:marBottom w:val="0"/>
          <w:divBdr>
            <w:top w:val="none" w:sz="0" w:space="0" w:color="auto"/>
            <w:left w:val="none" w:sz="0" w:space="0" w:color="auto"/>
            <w:bottom w:val="none" w:sz="0" w:space="0" w:color="auto"/>
            <w:right w:val="none" w:sz="0" w:space="0" w:color="auto"/>
          </w:divBdr>
          <w:divsChild>
            <w:div w:id="9504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4221">
      <w:bodyDiv w:val="1"/>
      <w:marLeft w:val="0"/>
      <w:marRight w:val="0"/>
      <w:marTop w:val="0"/>
      <w:marBottom w:val="0"/>
      <w:divBdr>
        <w:top w:val="none" w:sz="0" w:space="0" w:color="auto"/>
        <w:left w:val="none" w:sz="0" w:space="0" w:color="auto"/>
        <w:bottom w:val="none" w:sz="0" w:space="0" w:color="auto"/>
        <w:right w:val="none" w:sz="0" w:space="0" w:color="auto"/>
      </w:divBdr>
      <w:divsChild>
        <w:div w:id="1486780862">
          <w:marLeft w:val="0"/>
          <w:marRight w:val="0"/>
          <w:marTop w:val="0"/>
          <w:marBottom w:val="0"/>
          <w:divBdr>
            <w:top w:val="none" w:sz="0" w:space="0" w:color="auto"/>
            <w:left w:val="none" w:sz="0" w:space="0" w:color="auto"/>
            <w:bottom w:val="none" w:sz="0" w:space="0" w:color="auto"/>
            <w:right w:val="none" w:sz="0" w:space="0" w:color="auto"/>
          </w:divBdr>
          <w:divsChild>
            <w:div w:id="2077899092">
              <w:marLeft w:val="0"/>
              <w:marRight w:val="0"/>
              <w:marTop w:val="0"/>
              <w:marBottom w:val="0"/>
              <w:divBdr>
                <w:top w:val="none" w:sz="0" w:space="0" w:color="auto"/>
                <w:left w:val="none" w:sz="0" w:space="0" w:color="auto"/>
                <w:bottom w:val="none" w:sz="0" w:space="0" w:color="auto"/>
                <w:right w:val="none" w:sz="0" w:space="0" w:color="auto"/>
              </w:divBdr>
              <w:divsChild>
                <w:div w:id="6014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5738">
      <w:bodyDiv w:val="1"/>
      <w:marLeft w:val="0"/>
      <w:marRight w:val="0"/>
      <w:marTop w:val="0"/>
      <w:marBottom w:val="0"/>
      <w:divBdr>
        <w:top w:val="none" w:sz="0" w:space="0" w:color="auto"/>
        <w:left w:val="none" w:sz="0" w:space="0" w:color="auto"/>
        <w:bottom w:val="none" w:sz="0" w:space="0" w:color="auto"/>
        <w:right w:val="none" w:sz="0" w:space="0" w:color="auto"/>
      </w:divBdr>
      <w:divsChild>
        <w:div w:id="614944537">
          <w:marLeft w:val="0"/>
          <w:marRight w:val="0"/>
          <w:marTop w:val="0"/>
          <w:marBottom w:val="0"/>
          <w:divBdr>
            <w:top w:val="none" w:sz="0" w:space="0" w:color="auto"/>
            <w:left w:val="none" w:sz="0" w:space="0" w:color="auto"/>
            <w:bottom w:val="none" w:sz="0" w:space="0" w:color="auto"/>
            <w:right w:val="none" w:sz="0" w:space="0" w:color="auto"/>
          </w:divBdr>
        </w:div>
        <w:div w:id="1607230222">
          <w:marLeft w:val="0"/>
          <w:marRight w:val="0"/>
          <w:marTop w:val="0"/>
          <w:marBottom w:val="0"/>
          <w:divBdr>
            <w:top w:val="none" w:sz="0" w:space="0" w:color="auto"/>
            <w:left w:val="none" w:sz="0" w:space="0" w:color="auto"/>
            <w:bottom w:val="none" w:sz="0" w:space="0" w:color="auto"/>
            <w:right w:val="none" w:sz="0" w:space="0" w:color="auto"/>
          </w:divBdr>
        </w:div>
      </w:divsChild>
    </w:div>
    <w:div w:id="230696157">
      <w:bodyDiv w:val="1"/>
      <w:marLeft w:val="0"/>
      <w:marRight w:val="0"/>
      <w:marTop w:val="0"/>
      <w:marBottom w:val="0"/>
      <w:divBdr>
        <w:top w:val="none" w:sz="0" w:space="0" w:color="auto"/>
        <w:left w:val="none" w:sz="0" w:space="0" w:color="auto"/>
        <w:bottom w:val="none" w:sz="0" w:space="0" w:color="auto"/>
        <w:right w:val="none" w:sz="0" w:space="0" w:color="auto"/>
      </w:divBdr>
      <w:divsChild>
        <w:div w:id="222914858">
          <w:marLeft w:val="0"/>
          <w:marRight w:val="0"/>
          <w:marTop w:val="0"/>
          <w:marBottom w:val="0"/>
          <w:divBdr>
            <w:top w:val="none" w:sz="0" w:space="0" w:color="auto"/>
            <w:left w:val="none" w:sz="0" w:space="0" w:color="auto"/>
            <w:bottom w:val="none" w:sz="0" w:space="0" w:color="auto"/>
            <w:right w:val="none" w:sz="0" w:space="0" w:color="auto"/>
          </w:divBdr>
        </w:div>
        <w:div w:id="376702028">
          <w:marLeft w:val="0"/>
          <w:marRight w:val="0"/>
          <w:marTop w:val="0"/>
          <w:marBottom w:val="0"/>
          <w:divBdr>
            <w:top w:val="none" w:sz="0" w:space="0" w:color="auto"/>
            <w:left w:val="none" w:sz="0" w:space="0" w:color="auto"/>
            <w:bottom w:val="none" w:sz="0" w:space="0" w:color="auto"/>
            <w:right w:val="none" w:sz="0" w:space="0" w:color="auto"/>
          </w:divBdr>
        </w:div>
        <w:div w:id="421225840">
          <w:marLeft w:val="0"/>
          <w:marRight w:val="0"/>
          <w:marTop w:val="0"/>
          <w:marBottom w:val="0"/>
          <w:divBdr>
            <w:top w:val="none" w:sz="0" w:space="0" w:color="auto"/>
            <w:left w:val="none" w:sz="0" w:space="0" w:color="auto"/>
            <w:bottom w:val="none" w:sz="0" w:space="0" w:color="auto"/>
            <w:right w:val="none" w:sz="0" w:space="0" w:color="auto"/>
          </w:divBdr>
        </w:div>
        <w:div w:id="955795531">
          <w:marLeft w:val="0"/>
          <w:marRight w:val="0"/>
          <w:marTop w:val="0"/>
          <w:marBottom w:val="0"/>
          <w:divBdr>
            <w:top w:val="none" w:sz="0" w:space="0" w:color="auto"/>
            <w:left w:val="none" w:sz="0" w:space="0" w:color="auto"/>
            <w:bottom w:val="none" w:sz="0" w:space="0" w:color="auto"/>
            <w:right w:val="none" w:sz="0" w:space="0" w:color="auto"/>
          </w:divBdr>
        </w:div>
        <w:div w:id="1071460600">
          <w:marLeft w:val="0"/>
          <w:marRight w:val="0"/>
          <w:marTop w:val="0"/>
          <w:marBottom w:val="0"/>
          <w:divBdr>
            <w:top w:val="none" w:sz="0" w:space="0" w:color="auto"/>
            <w:left w:val="none" w:sz="0" w:space="0" w:color="auto"/>
            <w:bottom w:val="none" w:sz="0" w:space="0" w:color="auto"/>
            <w:right w:val="none" w:sz="0" w:space="0" w:color="auto"/>
          </w:divBdr>
        </w:div>
        <w:div w:id="1103963079">
          <w:marLeft w:val="0"/>
          <w:marRight w:val="0"/>
          <w:marTop w:val="0"/>
          <w:marBottom w:val="0"/>
          <w:divBdr>
            <w:top w:val="none" w:sz="0" w:space="0" w:color="auto"/>
            <w:left w:val="none" w:sz="0" w:space="0" w:color="auto"/>
            <w:bottom w:val="none" w:sz="0" w:space="0" w:color="auto"/>
            <w:right w:val="none" w:sz="0" w:space="0" w:color="auto"/>
          </w:divBdr>
        </w:div>
        <w:div w:id="1775054079">
          <w:marLeft w:val="0"/>
          <w:marRight w:val="0"/>
          <w:marTop w:val="0"/>
          <w:marBottom w:val="0"/>
          <w:divBdr>
            <w:top w:val="none" w:sz="0" w:space="0" w:color="auto"/>
            <w:left w:val="none" w:sz="0" w:space="0" w:color="auto"/>
            <w:bottom w:val="none" w:sz="0" w:space="0" w:color="auto"/>
            <w:right w:val="none" w:sz="0" w:space="0" w:color="auto"/>
          </w:divBdr>
        </w:div>
        <w:div w:id="1803619792">
          <w:marLeft w:val="0"/>
          <w:marRight w:val="0"/>
          <w:marTop w:val="0"/>
          <w:marBottom w:val="0"/>
          <w:divBdr>
            <w:top w:val="none" w:sz="0" w:space="0" w:color="auto"/>
            <w:left w:val="none" w:sz="0" w:space="0" w:color="auto"/>
            <w:bottom w:val="none" w:sz="0" w:space="0" w:color="auto"/>
            <w:right w:val="none" w:sz="0" w:space="0" w:color="auto"/>
          </w:divBdr>
        </w:div>
      </w:divsChild>
    </w:div>
    <w:div w:id="251937542">
      <w:bodyDiv w:val="1"/>
      <w:marLeft w:val="0"/>
      <w:marRight w:val="0"/>
      <w:marTop w:val="0"/>
      <w:marBottom w:val="0"/>
      <w:divBdr>
        <w:top w:val="none" w:sz="0" w:space="0" w:color="auto"/>
        <w:left w:val="none" w:sz="0" w:space="0" w:color="auto"/>
        <w:bottom w:val="none" w:sz="0" w:space="0" w:color="auto"/>
        <w:right w:val="none" w:sz="0" w:space="0" w:color="auto"/>
      </w:divBdr>
      <w:divsChild>
        <w:div w:id="354890272">
          <w:marLeft w:val="0"/>
          <w:marRight w:val="0"/>
          <w:marTop w:val="0"/>
          <w:marBottom w:val="0"/>
          <w:divBdr>
            <w:top w:val="none" w:sz="0" w:space="0" w:color="auto"/>
            <w:left w:val="none" w:sz="0" w:space="0" w:color="auto"/>
            <w:bottom w:val="none" w:sz="0" w:space="0" w:color="auto"/>
            <w:right w:val="none" w:sz="0" w:space="0" w:color="auto"/>
          </w:divBdr>
        </w:div>
        <w:div w:id="545683461">
          <w:marLeft w:val="0"/>
          <w:marRight w:val="0"/>
          <w:marTop w:val="0"/>
          <w:marBottom w:val="0"/>
          <w:divBdr>
            <w:top w:val="none" w:sz="0" w:space="0" w:color="auto"/>
            <w:left w:val="none" w:sz="0" w:space="0" w:color="auto"/>
            <w:bottom w:val="none" w:sz="0" w:space="0" w:color="auto"/>
            <w:right w:val="none" w:sz="0" w:space="0" w:color="auto"/>
          </w:divBdr>
        </w:div>
      </w:divsChild>
    </w:div>
    <w:div w:id="273249053">
      <w:bodyDiv w:val="1"/>
      <w:marLeft w:val="0"/>
      <w:marRight w:val="0"/>
      <w:marTop w:val="0"/>
      <w:marBottom w:val="0"/>
      <w:divBdr>
        <w:top w:val="none" w:sz="0" w:space="0" w:color="auto"/>
        <w:left w:val="none" w:sz="0" w:space="0" w:color="auto"/>
        <w:bottom w:val="none" w:sz="0" w:space="0" w:color="auto"/>
        <w:right w:val="none" w:sz="0" w:space="0" w:color="auto"/>
      </w:divBdr>
      <w:divsChild>
        <w:div w:id="2318513">
          <w:marLeft w:val="0"/>
          <w:marRight w:val="0"/>
          <w:marTop w:val="0"/>
          <w:marBottom w:val="0"/>
          <w:divBdr>
            <w:top w:val="none" w:sz="0" w:space="0" w:color="auto"/>
            <w:left w:val="none" w:sz="0" w:space="0" w:color="auto"/>
            <w:bottom w:val="none" w:sz="0" w:space="0" w:color="auto"/>
            <w:right w:val="none" w:sz="0" w:space="0" w:color="auto"/>
          </w:divBdr>
          <w:divsChild>
            <w:div w:id="2018656721">
              <w:marLeft w:val="0"/>
              <w:marRight w:val="0"/>
              <w:marTop w:val="0"/>
              <w:marBottom w:val="0"/>
              <w:divBdr>
                <w:top w:val="none" w:sz="0" w:space="0" w:color="auto"/>
                <w:left w:val="none" w:sz="0" w:space="0" w:color="auto"/>
                <w:bottom w:val="none" w:sz="0" w:space="0" w:color="auto"/>
                <w:right w:val="none" w:sz="0" w:space="0" w:color="auto"/>
              </w:divBdr>
            </w:div>
          </w:divsChild>
        </w:div>
        <w:div w:id="44767424">
          <w:marLeft w:val="0"/>
          <w:marRight w:val="0"/>
          <w:marTop w:val="0"/>
          <w:marBottom w:val="0"/>
          <w:divBdr>
            <w:top w:val="none" w:sz="0" w:space="0" w:color="auto"/>
            <w:left w:val="none" w:sz="0" w:space="0" w:color="auto"/>
            <w:bottom w:val="none" w:sz="0" w:space="0" w:color="auto"/>
            <w:right w:val="none" w:sz="0" w:space="0" w:color="auto"/>
          </w:divBdr>
          <w:divsChild>
            <w:div w:id="1943026452">
              <w:marLeft w:val="0"/>
              <w:marRight w:val="0"/>
              <w:marTop w:val="0"/>
              <w:marBottom w:val="0"/>
              <w:divBdr>
                <w:top w:val="none" w:sz="0" w:space="0" w:color="auto"/>
                <w:left w:val="none" w:sz="0" w:space="0" w:color="auto"/>
                <w:bottom w:val="none" w:sz="0" w:space="0" w:color="auto"/>
                <w:right w:val="none" w:sz="0" w:space="0" w:color="auto"/>
              </w:divBdr>
            </w:div>
          </w:divsChild>
        </w:div>
        <w:div w:id="50542891">
          <w:marLeft w:val="0"/>
          <w:marRight w:val="0"/>
          <w:marTop w:val="0"/>
          <w:marBottom w:val="0"/>
          <w:divBdr>
            <w:top w:val="none" w:sz="0" w:space="0" w:color="auto"/>
            <w:left w:val="none" w:sz="0" w:space="0" w:color="auto"/>
            <w:bottom w:val="none" w:sz="0" w:space="0" w:color="auto"/>
            <w:right w:val="none" w:sz="0" w:space="0" w:color="auto"/>
          </w:divBdr>
          <w:divsChild>
            <w:div w:id="1652363672">
              <w:marLeft w:val="0"/>
              <w:marRight w:val="0"/>
              <w:marTop w:val="0"/>
              <w:marBottom w:val="0"/>
              <w:divBdr>
                <w:top w:val="none" w:sz="0" w:space="0" w:color="auto"/>
                <w:left w:val="none" w:sz="0" w:space="0" w:color="auto"/>
                <w:bottom w:val="none" w:sz="0" w:space="0" w:color="auto"/>
                <w:right w:val="none" w:sz="0" w:space="0" w:color="auto"/>
              </w:divBdr>
            </w:div>
          </w:divsChild>
        </w:div>
        <w:div w:id="70201041">
          <w:marLeft w:val="0"/>
          <w:marRight w:val="0"/>
          <w:marTop w:val="0"/>
          <w:marBottom w:val="0"/>
          <w:divBdr>
            <w:top w:val="none" w:sz="0" w:space="0" w:color="auto"/>
            <w:left w:val="none" w:sz="0" w:space="0" w:color="auto"/>
            <w:bottom w:val="none" w:sz="0" w:space="0" w:color="auto"/>
            <w:right w:val="none" w:sz="0" w:space="0" w:color="auto"/>
          </w:divBdr>
          <w:divsChild>
            <w:div w:id="1612207383">
              <w:marLeft w:val="0"/>
              <w:marRight w:val="0"/>
              <w:marTop w:val="0"/>
              <w:marBottom w:val="0"/>
              <w:divBdr>
                <w:top w:val="none" w:sz="0" w:space="0" w:color="auto"/>
                <w:left w:val="none" w:sz="0" w:space="0" w:color="auto"/>
                <w:bottom w:val="none" w:sz="0" w:space="0" w:color="auto"/>
                <w:right w:val="none" w:sz="0" w:space="0" w:color="auto"/>
              </w:divBdr>
            </w:div>
          </w:divsChild>
        </w:div>
        <w:div w:id="87623596">
          <w:marLeft w:val="0"/>
          <w:marRight w:val="0"/>
          <w:marTop w:val="0"/>
          <w:marBottom w:val="0"/>
          <w:divBdr>
            <w:top w:val="none" w:sz="0" w:space="0" w:color="auto"/>
            <w:left w:val="none" w:sz="0" w:space="0" w:color="auto"/>
            <w:bottom w:val="none" w:sz="0" w:space="0" w:color="auto"/>
            <w:right w:val="none" w:sz="0" w:space="0" w:color="auto"/>
          </w:divBdr>
          <w:divsChild>
            <w:div w:id="1477527083">
              <w:marLeft w:val="0"/>
              <w:marRight w:val="0"/>
              <w:marTop w:val="0"/>
              <w:marBottom w:val="0"/>
              <w:divBdr>
                <w:top w:val="none" w:sz="0" w:space="0" w:color="auto"/>
                <w:left w:val="none" w:sz="0" w:space="0" w:color="auto"/>
                <w:bottom w:val="none" w:sz="0" w:space="0" w:color="auto"/>
                <w:right w:val="none" w:sz="0" w:space="0" w:color="auto"/>
              </w:divBdr>
            </w:div>
          </w:divsChild>
        </w:div>
        <w:div w:id="107969663">
          <w:marLeft w:val="0"/>
          <w:marRight w:val="0"/>
          <w:marTop w:val="0"/>
          <w:marBottom w:val="0"/>
          <w:divBdr>
            <w:top w:val="none" w:sz="0" w:space="0" w:color="auto"/>
            <w:left w:val="none" w:sz="0" w:space="0" w:color="auto"/>
            <w:bottom w:val="none" w:sz="0" w:space="0" w:color="auto"/>
            <w:right w:val="none" w:sz="0" w:space="0" w:color="auto"/>
          </w:divBdr>
          <w:divsChild>
            <w:div w:id="2081175616">
              <w:marLeft w:val="0"/>
              <w:marRight w:val="0"/>
              <w:marTop w:val="0"/>
              <w:marBottom w:val="0"/>
              <w:divBdr>
                <w:top w:val="none" w:sz="0" w:space="0" w:color="auto"/>
                <w:left w:val="none" w:sz="0" w:space="0" w:color="auto"/>
                <w:bottom w:val="none" w:sz="0" w:space="0" w:color="auto"/>
                <w:right w:val="none" w:sz="0" w:space="0" w:color="auto"/>
              </w:divBdr>
            </w:div>
          </w:divsChild>
        </w:div>
        <w:div w:id="158352182">
          <w:marLeft w:val="0"/>
          <w:marRight w:val="0"/>
          <w:marTop w:val="0"/>
          <w:marBottom w:val="0"/>
          <w:divBdr>
            <w:top w:val="none" w:sz="0" w:space="0" w:color="auto"/>
            <w:left w:val="none" w:sz="0" w:space="0" w:color="auto"/>
            <w:bottom w:val="none" w:sz="0" w:space="0" w:color="auto"/>
            <w:right w:val="none" w:sz="0" w:space="0" w:color="auto"/>
          </w:divBdr>
          <w:divsChild>
            <w:div w:id="2123643258">
              <w:marLeft w:val="0"/>
              <w:marRight w:val="0"/>
              <w:marTop w:val="0"/>
              <w:marBottom w:val="0"/>
              <w:divBdr>
                <w:top w:val="none" w:sz="0" w:space="0" w:color="auto"/>
                <w:left w:val="none" w:sz="0" w:space="0" w:color="auto"/>
                <w:bottom w:val="none" w:sz="0" w:space="0" w:color="auto"/>
                <w:right w:val="none" w:sz="0" w:space="0" w:color="auto"/>
              </w:divBdr>
            </w:div>
          </w:divsChild>
        </w:div>
        <w:div w:id="171145458">
          <w:marLeft w:val="0"/>
          <w:marRight w:val="0"/>
          <w:marTop w:val="0"/>
          <w:marBottom w:val="0"/>
          <w:divBdr>
            <w:top w:val="none" w:sz="0" w:space="0" w:color="auto"/>
            <w:left w:val="none" w:sz="0" w:space="0" w:color="auto"/>
            <w:bottom w:val="none" w:sz="0" w:space="0" w:color="auto"/>
            <w:right w:val="none" w:sz="0" w:space="0" w:color="auto"/>
          </w:divBdr>
          <w:divsChild>
            <w:div w:id="75441018">
              <w:marLeft w:val="0"/>
              <w:marRight w:val="0"/>
              <w:marTop w:val="0"/>
              <w:marBottom w:val="0"/>
              <w:divBdr>
                <w:top w:val="none" w:sz="0" w:space="0" w:color="auto"/>
                <w:left w:val="none" w:sz="0" w:space="0" w:color="auto"/>
                <w:bottom w:val="none" w:sz="0" w:space="0" w:color="auto"/>
                <w:right w:val="none" w:sz="0" w:space="0" w:color="auto"/>
              </w:divBdr>
            </w:div>
          </w:divsChild>
        </w:div>
        <w:div w:id="179978735">
          <w:marLeft w:val="0"/>
          <w:marRight w:val="0"/>
          <w:marTop w:val="0"/>
          <w:marBottom w:val="0"/>
          <w:divBdr>
            <w:top w:val="none" w:sz="0" w:space="0" w:color="auto"/>
            <w:left w:val="none" w:sz="0" w:space="0" w:color="auto"/>
            <w:bottom w:val="none" w:sz="0" w:space="0" w:color="auto"/>
            <w:right w:val="none" w:sz="0" w:space="0" w:color="auto"/>
          </w:divBdr>
          <w:divsChild>
            <w:div w:id="1185049641">
              <w:marLeft w:val="0"/>
              <w:marRight w:val="0"/>
              <w:marTop w:val="0"/>
              <w:marBottom w:val="0"/>
              <w:divBdr>
                <w:top w:val="none" w:sz="0" w:space="0" w:color="auto"/>
                <w:left w:val="none" w:sz="0" w:space="0" w:color="auto"/>
                <w:bottom w:val="none" w:sz="0" w:space="0" w:color="auto"/>
                <w:right w:val="none" w:sz="0" w:space="0" w:color="auto"/>
              </w:divBdr>
            </w:div>
          </w:divsChild>
        </w:div>
        <w:div w:id="183516762">
          <w:marLeft w:val="0"/>
          <w:marRight w:val="0"/>
          <w:marTop w:val="0"/>
          <w:marBottom w:val="0"/>
          <w:divBdr>
            <w:top w:val="none" w:sz="0" w:space="0" w:color="auto"/>
            <w:left w:val="none" w:sz="0" w:space="0" w:color="auto"/>
            <w:bottom w:val="none" w:sz="0" w:space="0" w:color="auto"/>
            <w:right w:val="none" w:sz="0" w:space="0" w:color="auto"/>
          </w:divBdr>
          <w:divsChild>
            <w:div w:id="72627110">
              <w:marLeft w:val="0"/>
              <w:marRight w:val="0"/>
              <w:marTop w:val="0"/>
              <w:marBottom w:val="0"/>
              <w:divBdr>
                <w:top w:val="none" w:sz="0" w:space="0" w:color="auto"/>
                <w:left w:val="none" w:sz="0" w:space="0" w:color="auto"/>
                <w:bottom w:val="none" w:sz="0" w:space="0" w:color="auto"/>
                <w:right w:val="none" w:sz="0" w:space="0" w:color="auto"/>
              </w:divBdr>
            </w:div>
          </w:divsChild>
        </w:div>
        <w:div w:id="186334039">
          <w:marLeft w:val="0"/>
          <w:marRight w:val="0"/>
          <w:marTop w:val="0"/>
          <w:marBottom w:val="0"/>
          <w:divBdr>
            <w:top w:val="none" w:sz="0" w:space="0" w:color="auto"/>
            <w:left w:val="none" w:sz="0" w:space="0" w:color="auto"/>
            <w:bottom w:val="none" w:sz="0" w:space="0" w:color="auto"/>
            <w:right w:val="none" w:sz="0" w:space="0" w:color="auto"/>
          </w:divBdr>
          <w:divsChild>
            <w:div w:id="947392310">
              <w:marLeft w:val="0"/>
              <w:marRight w:val="0"/>
              <w:marTop w:val="0"/>
              <w:marBottom w:val="0"/>
              <w:divBdr>
                <w:top w:val="none" w:sz="0" w:space="0" w:color="auto"/>
                <w:left w:val="none" w:sz="0" w:space="0" w:color="auto"/>
                <w:bottom w:val="none" w:sz="0" w:space="0" w:color="auto"/>
                <w:right w:val="none" w:sz="0" w:space="0" w:color="auto"/>
              </w:divBdr>
            </w:div>
          </w:divsChild>
        </w:div>
        <w:div w:id="213128259">
          <w:marLeft w:val="0"/>
          <w:marRight w:val="0"/>
          <w:marTop w:val="0"/>
          <w:marBottom w:val="0"/>
          <w:divBdr>
            <w:top w:val="none" w:sz="0" w:space="0" w:color="auto"/>
            <w:left w:val="none" w:sz="0" w:space="0" w:color="auto"/>
            <w:bottom w:val="none" w:sz="0" w:space="0" w:color="auto"/>
            <w:right w:val="none" w:sz="0" w:space="0" w:color="auto"/>
          </w:divBdr>
          <w:divsChild>
            <w:div w:id="370113211">
              <w:marLeft w:val="0"/>
              <w:marRight w:val="0"/>
              <w:marTop w:val="0"/>
              <w:marBottom w:val="0"/>
              <w:divBdr>
                <w:top w:val="none" w:sz="0" w:space="0" w:color="auto"/>
                <w:left w:val="none" w:sz="0" w:space="0" w:color="auto"/>
                <w:bottom w:val="none" w:sz="0" w:space="0" w:color="auto"/>
                <w:right w:val="none" w:sz="0" w:space="0" w:color="auto"/>
              </w:divBdr>
            </w:div>
          </w:divsChild>
        </w:div>
        <w:div w:id="246965194">
          <w:marLeft w:val="0"/>
          <w:marRight w:val="0"/>
          <w:marTop w:val="0"/>
          <w:marBottom w:val="0"/>
          <w:divBdr>
            <w:top w:val="none" w:sz="0" w:space="0" w:color="auto"/>
            <w:left w:val="none" w:sz="0" w:space="0" w:color="auto"/>
            <w:bottom w:val="none" w:sz="0" w:space="0" w:color="auto"/>
            <w:right w:val="none" w:sz="0" w:space="0" w:color="auto"/>
          </w:divBdr>
          <w:divsChild>
            <w:div w:id="1471433857">
              <w:marLeft w:val="0"/>
              <w:marRight w:val="0"/>
              <w:marTop w:val="0"/>
              <w:marBottom w:val="0"/>
              <w:divBdr>
                <w:top w:val="none" w:sz="0" w:space="0" w:color="auto"/>
                <w:left w:val="none" w:sz="0" w:space="0" w:color="auto"/>
                <w:bottom w:val="none" w:sz="0" w:space="0" w:color="auto"/>
                <w:right w:val="none" w:sz="0" w:space="0" w:color="auto"/>
              </w:divBdr>
            </w:div>
          </w:divsChild>
        </w:div>
        <w:div w:id="249855698">
          <w:marLeft w:val="0"/>
          <w:marRight w:val="0"/>
          <w:marTop w:val="0"/>
          <w:marBottom w:val="0"/>
          <w:divBdr>
            <w:top w:val="none" w:sz="0" w:space="0" w:color="auto"/>
            <w:left w:val="none" w:sz="0" w:space="0" w:color="auto"/>
            <w:bottom w:val="none" w:sz="0" w:space="0" w:color="auto"/>
            <w:right w:val="none" w:sz="0" w:space="0" w:color="auto"/>
          </w:divBdr>
          <w:divsChild>
            <w:div w:id="1059745336">
              <w:marLeft w:val="0"/>
              <w:marRight w:val="0"/>
              <w:marTop w:val="0"/>
              <w:marBottom w:val="0"/>
              <w:divBdr>
                <w:top w:val="none" w:sz="0" w:space="0" w:color="auto"/>
                <w:left w:val="none" w:sz="0" w:space="0" w:color="auto"/>
                <w:bottom w:val="none" w:sz="0" w:space="0" w:color="auto"/>
                <w:right w:val="none" w:sz="0" w:space="0" w:color="auto"/>
              </w:divBdr>
            </w:div>
          </w:divsChild>
        </w:div>
        <w:div w:id="283193284">
          <w:marLeft w:val="0"/>
          <w:marRight w:val="0"/>
          <w:marTop w:val="0"/>
          <w:marBottom w:val="0"/>
          <w:divBdr>
            <w:top w:val="none" w:sz="0" w:space="0" w:color="auto"/>
            <w:left w:val="none" w:sz="0" w:space="0" w:color="auto"/>
            <w:bottom w:val="none" w:sz="0" w:space="0" w:color="auto"/>
            <w:right w:val="none" w:sz="0" w:space="0" w:color="auto"/>
          </w:divBdr>
          <w:divsChild>
            <w:div w:id="1379159102">
              <w:marLeft w:val="0"/>
              <w:marRight w:val="0"/>
              <w:marTop w:val="0"/>
              <w:marBottom w:val="0"/>
              <w:divBdr>
                <w:top w:val="none" w:sz="0" w:space="0" w:color="auto"/>
                <w:left w:val="none" w:sz="0" w:space="0" w:color="auto"/>
                <w:bottom w:val="none" w:sz="0" w:space="0" w:color="auto"/>
                <w:right w:val="none" w:sz="0" w:space="0" w:color="auto"/>
              </w:divBdr>
            </w:div>
          </w:divsChild>
        </w:div>
        <w:div w:id="283736316">
          <w:marLeft w:val="0"/>
          <w:marRight w:val="0"/>
          <w:marTop w:val="0"/>
          <w:marBottom w:val="0"/>
          <w:divBdr>
            <w:top w:val="none" w:sz="0" w:space="0" w:color="auto"/>
            <w:left w:val="none" w:sz="0" w:space="0" w:color="auto"/>
            <w:bottom w:val="none" w:sz="0" w:space="0" w:color="auto"/>
            <w:right w:val="none" w:sz="0" w:space="0" w:color="auto"/>
          </w:divBdr>
          <w:divsChild>
            <w:div w:id="1024863429">
              <w:marLeft w:val="0"/>
              <w:marRight w:val="0"/>
              <w:marTop w:val="0"/>
              <w:marBottom w:val="0"/>
              <w:divBdr>
                <w:top w:val="none" w:sz="0" w:space="0" w:color="auto"/>
                <w:left w:val="none" w:sz="0" w:space="0" w:color="auto"/>
                <w:bottom w:val="none" w:sz="0" w:space="0" w:color="auto"/>
                <w:right w:val="none" w:sz="0" w:space="0" w:color="auto"/>
              </w:divBdr>
            </w:div>
          </w:divsChild>
        </w:div>
        <w:div w:id="296760258">
          <w:marLeft w:val="0"/>
          <w:marRight w:val="0"/>
          <w:marTop w:val="0"/>
          <w:marBottom w:val="0"/>
          <w:divBdr>
            <w:top w:val="none" w:sz="0" w:space="0" w:color="auto"/>
            <w:left w:val="none" w:sz="0" w:space="0" w:color="auto"/>
            <w:bottom w:val="none" w:sz="0" w:space="0" w:color="auto"/>
            <w:right w:val="none" w:sz="0" w:space="0" w:color="auto"/>
          </w:divBdr>
          <w:divsChild>
            <w:div w:id="1952590958">
              <w:marLeft w:val="0"/>
              <w:marRight w:val="0"/>
              <w:marTop w:val="0"/>
              <w:marBottom w:val="0"/>
              <w:divBdr>
                <w:top w:val="none" w:sz="0" w:space="0" w:color="auto"/>
                <w:left w:val="none" w:sz="0" w:space="0" w:color="auto"/>
                <w:bottom w:val="none" w:sz="0" w:space="0" w:color="auto"/>
                <w:right w:val="none" w:sz="0" w:space="0" w:color="auto"/>
              </w:divBdr>
            </w:div>
          </w:divsChild>
        </w:div>
        <w:div w:id="319506203">
          <w:marLeft w:val="0"/>
          <w:marRight w:val="0"/>
          <w:marTop w:val="0"/>
          <w:marBottom w:val="0"/>
          <w:divBdr>
            <w:top w:val="none" w:sz="0" w:space="0" w:color="auto"/>
            <w:left w:val="none" w:sz="0" w:space="0" w:color="auto"/>
            <w:bottom w:val="none" w:sz="0" w:space="0" w:color="auto"/>
            <w:right w:val="none" w:sz="0" w:space="0" w:color="auto"/>
          </w:divBdr>
          <w:divsChild>
            <w:div w:id="2017686713">
              <w:marLeft w:val="0"/>
              <w:marRight w:val="0"/>
              <w:marTop w:val="0"/>
              <w:marBottom w:val="0"/>
              <w:divBdr>
                <w:top w:val="none" w:sz="0" w:space="0" w:color="auto"/>
                <w:left w:val="none" w:sz="0" w:space="0" w:color="auto"/>
                <w:bottom w:val="none" w:sz="0" w:space="0" w:color="auto"/>
                <w:right w:val="none" w:sz="0" w:space="0" w:color="auto"/>
              </w:divBdr>
            </w:div>
          </w:divsChild>
        </w:div>
        <w:div w:id="348334635">
          <w:marLeft w:val="0"/>
          <w:marRight w:val="0"/>
          <w:marTop w:val="0"/>
          <w:marBottom w:val="0"/>
          <w:divBdr>
            <w:top w:val="none" w:sz="0" w:space="0" w:color="auto"/>
            <w:left w:val="none" w:sz="0" w:space="0" w:color="auto"/>
            <w:bottom w:val="none" w:sz="0" w:space="0" w:color="auto"/>
            <w:right w:val="none" w:sz="0" w:space="0" w:color="auto"/>
          </w:divBdr>
          <w:divsChild>
            <w:div w:id="69625492">
              <w:marLeft w:val="0"/>
              <w:marRight w:val="0"/>
              <w:marTop w:val="0"/>
              <w:marBottom w:val="0"/>
              <w:divBdr>
                <w:top w:val="none" w:sz="0" w:space="0" w:color="auto"/>
                <w:left w:val="none" w:sz="0" w:space="0" w:color="auto"/>
                <w:bottom w:val="none" w:sz="0" w:space="0" w:color="auto"/>
                <w:right w:val="none" w:sz="0" w:space="0" w:color="auto"/>
              </w:divBdr>
            </w:div>
            <w:div w:id="1794984652">
              <w:marLeft w:val="0"/>
              <w:marRight w:val="0"/>
              <w:marTop w:val="0"/>
              <w:marBottom w:val="0"/>
              <w:divBdr>
                <w:top w:val="none" w:sz="0" w:space="0" w:color="auto"/>
                <w:left w:val="none" w:sz="0" w:space="0" w:color="auto"/>
                <w:bottom w:val="none" w:sz="0" w:space="0" w:color="auto"/>
                <w:right w:val="none" w:sz="0" w:space="0" w:color="auto"/>
              </w:divBdr>
            </w:div>
          </w:divsChild>
        </w:div>
        <w:div w:id="350230950">
          <w:marLeft w:val="0"/>
          <w:marRight w:val="0"/>
          <w:marTop w:val="0"/>
          <w:marBottom w:val="0"/>
          <w:divBdr>
            <w:top w:val="none" w:sz="0" w:space="0" w:color="auto"/>
            <w:left w:val="none" w:sz="0" w:space="0" w:color="auto"/>
            <w:bottom w:val="none" w:sz="0" w:space="0" w:color="auto"/>
            <w:right w:val="none" w:sz="0" w:space="0" w:color="auto"/>
          </w:divBdr>
          <w:divsChild>
            <w:div w:id="1597061031">
              <w:marLeft w:val="0"/>
              <w:marRight w:val="0"/>
              <w:marTop w:val="0"/>
              <w:marBottom w:val="0"/>
              <w:divBdr>
                <w:top w:val="none" w:sz="0" w:space="0" w:color="auto"/>
                <w:left w:val="none" w:sz="0" w:space="0" w:color="auto"/>
                <w:bottom w:val="none" w:sz="0" w:space="0" w:color="auto"/>
                <w:right w:val="none" w:sz="0" w:space="0" w:color="auto"/>
              </w:divBdr>
            </w:div>
          </w:divsChild>
        </w:div>
        <w:div w:id="399518532">
          <w:marLeft w:val="0"/>
          <w:marRight w:val="0"/>
          <w:marTop w:val="0"/>
          <w:marBottom w:val="0"/>
          <w:divBdr>
            <w:top w:val="none" w:sz="0" w:space="0" w:color="auto"/>
            <w:left w:val="none" w:sz="0" w:space="0" w:color="auto"/>
            <w:bottom w:val="none" w:sz="0" w:space="0" w:color="auto"/>
            <w:right w:val="none" w:sz="0" w:space="0" w:color="auto"/>
          </w:divBdr>
          <w:divsChild>
            <w:div w:id="480080608">
              <w:marLeft w:val="0"/>
              <w:marRight w:val="0"/>
              <w:marTop w:val="0"/>
              <w:marBottom w:val="0"/>
              <w:divBdr>
                <w:top w:val="none" w:sz="0" w:space="0" w:color="auto"/>
                <w:left w:val="none" w:sz="0" w:space="0" w:color="auto"/>
                <w:bottom w:val="none" w:sz="0" w:space="0" w:color="auto"/>
                <w:right w:val="none" w:sz="0" w:space="0" w:color="auto"/>
              </w:divBdr>
            </w:div>
          </w:divsChild>
        </w:div>
        <w:div w:id="412045328">
          <w:marLeft w:val="0"/>
          <w:marRight w:val="0"/>
          <w:marTop w:val="0"/>
          <w:marBottom w:val="0"/>
          <w:divBdr>
            <w:top w:val="none" w:sz="0" w:space="0" w:color="auto"/>
            <w:left w:val="none" w:sz="0" w:space="0" w:color="auto"/>
            <w:bottom w:val="none" w:sz="0" w:space="0" w:color="auto"/>
            <w:right w:val="none" w:sz="0" w:space="0" w:color="auto"/>
          </w:divBdr>
          <w:divsChild>
            <w:div w:id="2032608766">
              <w:marLeft w:val="0"/>
              <w:marRight w:val="0"/>
              <w:marTop w:val="0"/>
              <w:marBottom w:val="0"/>
              <w:divBdr>
                <w:top w:val="none" w:sz="0" w:space="0" w:color="auto"/>
                <w:left w:val="none" w:sz="0" w:space="0" w:color="auto"/>
                <w:bottom w:val="none" w:sz="0" w:space="0" w:color="auto"/>
                <w:right w:val="none" w:sz="0" w:space="0" w:color="auto"/>
              </w:divBdr>
            </w:div>
          </w:divsChild>
        </w:div>
        <w:div w:id="426467051">
          <w:marLeft w:val="0"/>
          <w:marRight w:val="0"/>
          <w:marTop w:val="0"/>
          <w:marBottom w:val="0"/>
          <w:divBdr>
            <w:top w:val="none" w:sz="0" w:space="0" w:color="auto"/>
            <w:left w:val="none" w:sz="0" w:space="0" w:color="auto"/>
            <w:bottom w:val="none" w:sz="0" w:space="0" w:color="auto"/>
            <w:right w:val="none" w:sz="0" w:space="0" w:color="auto"/>
          </w:divBdr>
          <w:divsChild>
            <w:div w:id="46612655">
              <w:marLeft w:val="0"/>
              <w:marRight w:val="0"/>
              <w:marTop w:val="0"/>
              <w:marBottom w:val="0"/>
              <w:divBdr>
                <w:top w:val="none" w:sz="0" w:space="0" w:color="auto"/>
                <w:left w:val="none" w:sz="0" w:space="0" w:color="auto"/>
                <w:bottom w:val="none" w:sz="0" w:space="0" w:color="auto"/>
                <w:right w:val="none" w:sz="0" w:space="0" w:color="auto"/>
              </w:divBdr>
            </w:div>
          </w:divsChild>
        </w:div>
        <w:div w:id="441607729">
          <w:marLeft w:val="0"/>
          <w:marRight w:val="0"/>
          <w:marTop w:val="0"/>
          <w:marBottom w:val="0"/>
          <w:divBdr>
            <w:top w:val="none" w:sz="0" w:space="0" w:color="auto"/>
            <w:left w:val="none" w:sz="0" w:space="0" w:color="auto"/>
            <w:bottom w:val="none" w:sz="0" w:space="0" w:color="auto"/>
            <w:right w:val="none" w:sz="0" w:space="0" w:color="auto"/>
          </w:divBdr>
          <w:divsChild>
            <w:div w:id="99497224">
              <w:marLeft w:val="0"/>
              <w:marRight w:val="0"/>
              <w:marTop w:val="0"/>
              <w:marBottom w:val="0"/>
              <w:divBdr>
                <w:top w:val="none" w:sz="0" w:space="0" w:color="auto"/>
                <w:left w:val="none" w:sz="0" w:space="0" w:color="auto"/>
                <w:bottom w:val="none" w:sz="0" w:space="0" w:color="auto"/>
                <w:right w:val="none" w:sz="0" w:space="0" w:color="auto"/>
              </w:divBdr>
            </w:div>
          </w:divsChild>
        </w:div>
        <w:div w:id="446513768">
          <w:marLeft w:val="0"/>
          <w:marRight w:val="0"/>
          <w:marTop w:val="0"/>
          <w:marBottom w:val="0"/>
          <w:divBdr>
            <w:top w:val="none" w:sz="0" w:space="0" w:color="auto"/>
            <w:left w:val="none" w:sz="0" w:space="0" w:color="auto"/>
            <w:bottom w:val="none" w:sz="0" w:space="0" w:color="auto"/>
            <w:right w:val="none" w:sz="0" w:space="0" w:color="auto"/>
          </w:divBdr>
          <w:divsChild>
            <w:div w:id="2126272585">
              <w:marLeft w:val="0"/>
              <w:marRight w:val="0"/>
              <w:marTop w:val="0"/>
              <w:marBottom w:val="0"/>
              <w:divBdr>
                <w:top w:val="none" w:sz="0" w:space="0" w:color="auto"/>
                <w:left w:val="none" w:sz="0" w:space="0" w:color="auto"/>
                <w:bottom w:val="none" w:sz="0" w:space="0" w:color="auto"/>
                <w:right w:val="none" w:sz="0" w:space="0" w:color="auto"/>
              </w:divBdr>
            </w:div>
          </w:divsChild>
        </w:div>
        <w:div w:id="466313247">
          <w:marLeft w:val="0"/>
          <w:marRight w:val="0"/>
          <w:marTop w:val="0"/>
          <w:marBottom w:val="0"/>
          <w:divBdr>
            <w:top w:val="none" w:sz="0" w:space="0" w:color="auto"/>
            <w:left w:val="none" w:sz="0" w:space="0" w:color="auto"/>
            <w:bottom w:val="none" w:sz="0" w:space="0" w:color="auto"/>
            <w:right w:val="none" w:sz="0" w:space="0" w:color="auto"/>
          </w:divBdr>
          <w:divsChild>
            <w:div w:id="2043747084">
              <w:marLeft w:val="0"/>
              <w:marRight w:val="0"/>
              <w:marTop w:val="0"/>
              <w:marBottom w:val="0"/>
              <w:divBdr>
                <w:top w:val="none" w:sz="0" w:space="0" w:color="auto"/>
                <w:left w:val="none" w:sz="0" w:space="0" w:color="auto"/>
                <w:bottom w:val="none" w:sz="0" w:space="0" w:color="auto"/>
                <w:right w:val="none" w:sz="0" w:space="0" w:color="auto"/>
              </w:divBdr>
            </w:div>
          </w:divsChild>
        </w:div>
        <w:div w:id="474834564">
          <w:marLeft w:val="0"/>
          <w:marRight w:val="0"/>
          <w:marTop w:val="0"/>
          <w:marBottom w:val="0"/>
          <w:divBdr>
            <w:top w:val="none" w:sz="0" w:space="0" w:color="auto"/>
            <w:left w:val="none" w:sz="0" w:space="0" w:color="auto"/>
            <w:bottom w:val="none" w:sz="0" w:space="0" w:color="auto"/>
            <w:right w:val="none" w:sz="0" w:space="0" w:color="auto"/>
          </w:divBdr>
          <w:divsChild>
            <w:div w:id="1924337189">
              <w:marLeft w:val="0"/>
              <w:marRight w:val="0"/>
              <w:marTop w:val="0"/>
              <w:marBottom w:val="0"/>
              <w:divBdr>
                <w:top w:val="none" w:sz="0" w:space="0" w:color="auto"/>
                <w:left w:val="none" w:sz="0" w:space="0" w:color="auto"/>
                <w:bottom w:val="none" w:sz="0" w:space="0" w:color="auto"/>
                <w:right w:val="none" w:sz="0" w:space="0" w:color="auto"/>
              </w:divBdr>
            </w:div>
          </w:divsChild>
        </w:div>
        <w:div w:id="475490218">
          <w:marLeft w:val="0"/>
          <w:marRight w:val="0"/>
          <w:marTop w:val="0"/>
          <w:marBottom w:val="0"/>
          <w:divBdr>
            <w:top w:val="none" w:sz="0" w:space="0" w:color="auto"/>
            <w:left w:val="none" w:sz="0" w:space="0" w:color="auto"/>
            <w:bottom w:val="none" w:sz="0" w:space="0" w:color="auto"/>
            <w:right w:val="none" w:sz="0" w:space="0" w:color="auto"/>
          </w:divBdr>
          <w:divsChild>
            <w:div w:id="650524950">
              <w:marLeft w:val="0"/>
              <w:marRight w:val="0"/>
              <w:marTop w:val="0"/>
              <w:marBottom w:val="0"/>
              <w:divBdr>
                <w:top w:val="none" w:sz="0" w:space="0" w:color="auto"/>
                <w:left w:val="none" w:sz="0" w:space="0" w:color="auto"/>
                <w:bottom w:val="none" w:sz="0" w:space="0" w:color="auto"/>
                <w:right w:val="none" w:sz="0" w:space="0" w:color="auto"/>
              </w:divBdr>
            </w:div>
          </w:divsChild>
        </w:div>
        <w:div w:id="489368379">
          <w:marLeft w:val="0"/>
          <w:marRight w:val="0"/>
          <w:marTop w:val="0"/>
          <w:marBottom w:val="0"/>
          <w:divBdr>
            <w:top w:val="none" w:sz="0" w:space="0" w:color="auto"/>
            <w:left w:val="none" w:sz="0" w:space="0" w:color="auto"/>
            <w:bottom w:val="none" w:sz="0" w:space="0" w:color="auto"/>
            <w:right w:val="none" w:sz="0" w:space="0" w:color="auto"/>
          </w:divBdr>
          <w:divsChild>
            <w:div w:id="541945841">
              <w:marLeft w:val="0"/>
              <w:marRight w:val="0"/>
              <w:marTop w:val="0"/>
              <w:marBottom w:val="0"/>
              <w:divBdr>
                <w:top w:val="none" w:sz="0" w:space="0" w:color="auto"/>
                <w:left w:val="none" w:sz="0" w:space="0" w:color="auto"/>
                <w:bottom w:val="none" w:sz="0" w:space="0" w:color="auto"/>
                <w:right w:val="none" w:sz="0" w:space="0" w:color="auto"/>
              </w:divBdr>
            </w:div>
          </w:divsChild>
        </w:div>
        <w:div w:id="519661830">
          <w:marLeft w:val="0"/>
          <w:marRight w:val="0"/>
          <w:marTop w:val="0"/>
          <w:marBottom w:val="0"/>
          <w:divBdr>
            <w:top w:val="none" w:sz="0" w:space="0" w:color="auto"/>
            <w:left w:val="none" w:sz="0" w:space="0" w:color="auto"/>
            <w:bottom w:val="none" w:sz="0" w:space="0" w:color="auto"/>
            <w:right w:val="none" w:sz="0" w:space="0" w:color="auto"/>
          </w:divBdr>
          <w:divsChild>
            <w:div w:id="1688367813">
              <w:marLeft w:val="0"/>
              <w:marRight w:val="0"/>
              <w:marTop w:val="0"/>
              <w:marBottom w:val="0"/>
              <w:divBdr>
                <w:top w:val="none" w:sz="0" w:space="0" w:color="auto"/>
                <w:left w:val="none" w:sz="0" w:space="0" w:color="auto"/>
                <w:bottom w:val="none" w:sz="0" w:space="0" w:color="auto"/>
                <w:right w:val="none" w:sz="0" w:space="0" w:color="auto"/>
              </w:divBdr>
            </w:div>
          </w:divsChild>
        </w:div>
        <w:div w:id="524028386">
          <w:marLeft w:val="0"/>
          <w:marRight w:val="0"/>
          <w:marTop w:val="0"/>
          <w:marBottom w:val="0"/>
          <w:divBdr>
            <w:top w:val="none" w:sz="0" w:space="0" w:color="auto"/>
            <w:left w:val="none" w:sz="0" w:space="0" w:color="auto"/>
            <w:bottom w:val="none" w:sz="0" w:space="0" w:color="auto"/>
            <w:right w:val="none" w:sz="0" w:space="0" w:color="auto"/>
          </w:divBdr>
          <w:divsChild>
            <w:div w:id="568658879">
              <w:marLeft w:val="0"/>
              <w:marRight w:val="0"/>
              <w:marTop w:val="0"/>
              <w:marBottom w:val="0"/>
              <w:divBdr>
                <w:top w:val="none" w:sz="0" w:space="0" w:color="auto"/>
                <w:left w:val="none" w:sz="0" w:space="0" w:color="auto"/>
                <w:bottom w:val="none" w:sz="0" w:space="0" w:color="auto"/>
                <w:right w:val="none" w:sz="0" w:space="0" w:color="auto"/>
              </w:divBdr>
            </w:div>
          </w:divsChild>
        </w:div>
        <w:div w:id="538476148">
          <w:marLeft w:val="0"/>
          <w:marRight w:val="0"/>
          <w:marTop w:val="0"/>
          <w:marBottom w:val="0"/>
          <w:divBdr>
            <w:top w:val="none" w:sz="0" w:space="0" w:color="auto"/>
            <w:left w:val="none" w:sz="0" w:space="0" w:color="auto"/>
            <w:bottom w:val="none" w:sz="0" w:space="0" w:color="auto"/>
            <w:right w:val="none" w:sz="0" w:space="0" w:color="auto"/>
          </w:divBdr>
          <w:divsChild>
            <w:div w:id="148064412">
              <w:marLeft w:val="0"/>
              <w:marRight w:val="0"/>
              <w:marTop w:val="0"/>
              <w:marBottom w:val="0"/>
              <w:divBdr>
                <w:top w:val="none" w:sz="0" w:space="0" w:color="auto"/>
                <w:left w:val="none" w:sz="0" w:space="0" w:color="auto"/>
                <w:bottom w:val="none" w:sz="0" w:space="0" w:color="auto"/>
                <w:right w:val="none" w:sz="0" w:space="0" w:color="auto"/>
              </w:divBdr>
            </w:div>
          </w:divsChild>
        </w:div>
        <w:div w:id="543294318">
          <w:marLeft w:val="0"/>
          <w:marRight w:val="0"/>
          <w:marTop w:val="0"/>
          <w:marBottom w:val="0"/>
          <w:divBdr>
            <w:top w:val="none" w:sz="0" w:space="0" w:color="auto"/>
            <w:left w:val="none" w:sz="0" w:space="0" w:color="auto"/>
            <w:bottom w:val="none" w:sz="0" w:space="0" w:color="auto"/>
            <w:right w:val="none" w:sz="0" w:space="0" w:color="auto"/>
          </w:divBdr>
          <w:divsChild>
            <w:div w:id="1138298662">
              <w:marLeft w:val="0"/>
              <w:marRight w:val="0"/>
              <w:marTop w:val="0"/>
              <w:marBottom w:val="0"/>
              <w:divBdr>
                <w:top w:val="none" w:sz="0" w:space="0" w:color="auto"/>
                <w:left w:val="none" w:sz="0" w:space="0" w:color="auto"/>
                <w:bottom w:val="none" w:sz="0" w:space="0" w:color="auto"/>
                <w:right w:val="none" w:sz="0" w:space="0" w:color="auto"/>
              </w:divBdr>
            </w:div>
          </w:divsChild>
        </w:div>
        <w:div w:id="544023342">
          <w:marLeft w:val="0"/>
          <w:marRight w:val="0"/>
          <w:marTop w:val="0"/>
          <w:marBottom w:val="0"/>
          <w:divBdr>
            <w:top w:val="none" w:sz="0" w:space="0" w:color="auto"/>
            <w:left w:val="none" w:sz="0" w:space="0" w:color="auto"/>
            <w:bottom w:val="none" w:sz="0" w:space="0" w:color="auto"/>
            <w:right w:val="none" w:sz="0" w:space="0" w:color="auto"/>
          </w:divBdr>
          <w:divsChild>
            <w:div w:id="513155445">
              <w:marLeft w:val="0"/>
              <w:marRight w:val="0"/>
              <w:marTop w:val="0"/>
              <w:marBottom w:val="0"/>
              <w:divBdr>
                <w:top w:val="none" w:sz="0" w:space="0" w:color="auto"/>
                <w:left w:val="none" w:sz="0" w:space="0" w:color="auto"/>
                <w:bottom w:val="none" w:sz="0" w:space="0" w:color="auto"/>
                <w:right w:val="none" w:sz="0" w:space="0" w:color="auto"/>
              </w:divBdr>
            </w:div>
          </w:divsChild>
        </w:div>
        <w:div w:id="597444262">
          <w:marLeft w:val="0"/>
          <w:marRight w:val="0"/>
          <w:marTop w:val="0"/>
          <w:marBottom w:val="0"/>
          <w:divBdr>
            <w:top w:val="none" w:sz="0" w:space="0" w:color="auto"/>
            <w:left w:val="none" w:sz="0" w:space="0" w:color="auto"/>
            <w:bottom w:val="none" w:sz="0" w:space="0" w:color="auto"/>
            <w:right w:val="none" w:sz="0" w:space="0" w:color="auto"/>
          </w:divBdr>
          <w:divsChild>
            <w:div w:id="1440490920">
              <w:marLeft w:val="0"/>
              <w:marRight w:val="0"/>
              <w:marTop w:val="0"/>
              <w:marBottom w:val="0"/>
              <w:divBdr>
                <w:top w:val="none" w:sz="0" w:space="0" w:color="auto"/>
                <w:left w:val="none" w:sz="0" w:space="0" w:color="auto"/>
                <w:bottom w:val="none" w:sz="0" w:space="0" w:color="auto"/>
                <w:right w:val="none" w:sz="0" w:space="0" w:color="auto"/>
              </w:divBdr>
            </w:div>
          </w:divsChild>
        </w:div>
        <w:div w:id="608977861">
          <w:marLeft w:val="0"/>
          <w:marRight w:val="0"/>
          <w:marTop w:val="0"/>
          <w:marBottom w:val="0"/>
          <w:divBdr>
            <w:top w:val="none" w:sz="0" w:space="0" w:color="auto"/>
            <w:left w:val="none" w:sz="0" w:space="0" w:color="auto"/>
            <w:bottom w:val="none" w:sz="0" w:space="0" w:color="auto"/>
            <w:right w:val="none" w:sz="0" w:space="0" w:color="auto"/>
          </w:divBdr>
          <w:divsChild>
            <w:div w:id="111244881">
              <w:marLeft w:val="0"/>
              <w:marRight w:val="0"/>
              <w:marTop w:val="0"/>
              <w:marBottom w:val="0"/>
              <w:divBdr>
                <w:top w:val="none" w:sz="0" w:space="0" w:color="auto"/>
                <w:left w:val="none" w:sz="0" w:space="0" w:color="auto"/>
                <w:bottom w:val="none" w:sz="0" w:space="0" w:color="auto"/>
                <w:right w:val="none" w:sz="0" w:space="0" w:color="auto"/>
              </w:divBdr>
            </w:div>
          </w:divsChild>
        </w:div>
        <w:div w:id="614488252">
          <w:marLeft w:val="0"/>
          <w:marRight w:val="0"/>
          <w:marTop w:val="0"/>
          <w:marBottom w:val="0"/>
          <w:divBdr>
            <w:top w:val="none" w:sz="0" w:space="0" w:color="auto"/>
            <w:left w:val="none" w:sz="0" w:space="0" w:color="auto"/>
            <w:bottom w:val="none" w:sz="0" w:space="0" w:color="auto"/>
            <w:right w:val="none" w:sz="0" w:space="0" w:color="auto"/>
          </w:divBdr>
          <w:divsChild>
            <w:div w:id="1963147810">
              <w:marLeft w:val="0"/>
              <w:marRight w:val="0"/>
              <w:marTop w:val="0"/>
              <w:marBottom w:val="0"/>
              <w:divBdr>
                <w:top w:val="none" w:sz="0" w:space="0" w:color="auto"/>
                <w:left w:val="none" w:sz="0" w:space="0" w:color="auto"/>
                <w:bottom w:val="none" w:sz="0" w:space="0" w:color="auto"/>
                <w:right w:val="none" w:sz="0" w:space="0" w:color="auto"/>
              </w:divBdr>
            </w:div>
          </w:divsChild>
        </w:div>
        <w:div w:id="619804059">
          <w:marLeft w:val="0"/>
          <w:marRight w:val="0"/>
          <w:marTop w:val="0"/>
          <w:marBottom w:val="0"/>
          <w:divBdr>
            <w:top w:val="none" w:sz="0" w:space="0" w:color="auto"/>
            <w:left w:val="none" w:sz="0" w:space="0" w:color="auto"/>
            <w:bottom w:val="none" w:sz="0" w:space="0" w:color="auto"/>
            <w:right w:val="none" w:sz="0" w:space="0" w:color="auto"/>
          </w:divBdr>
          <w:divsChild>
            <w:div w:id="1076126127">
              <w:marLeft w:val="0"/>
              <w:marRight w:val="0"/>
              <w:marTop w:val="0"/>
              <w:marBottom w:val="0"/>
              <w:divBdr>
                <w:top w:val="none" w:sz="0" w:space="0" w:color="auto"/>
                <w:left w:val="none" w:sz="0" w:space="0" w:color="auto"/>
                <w:bottom w:val="none" w:sz="0" w:space="0" w:color="auto"/>
                <w:right w:val="none" w:sz="0" w:space="0" w:color="auto"/>
              </w:divBdr>
            </w:div>
          </w:divsChild>
        </w:div>
        <w:div w:id="627467005">
          <w:marLeft w:val="0"/>
          <w:marRight w:val="0"/>
          <w:marTop w:val="0"/>
          <w:marBottom w:val="0"/>
          <w:divBdr>
            <w:top w:val="none" w:sz="0" w:space="0" w:color="auto"/>
            <w:left w:val="none" w:sz="0" w:space="0" w:color="auto"/>
            <w:bottom w:val="none" w:sz="0" w:space="0" w:color="auto"/>
            <w:right w:val="none" w:sz="0" w:space="0" w:color="auto"/>
          </w:divBdr>
          <w:divsChild>
            <w:div w:id="1819299162">
              <w:marLeft w:val="0"/>
              <w:marRight w:val="0"/>
              <w:marTop w:val="0"/>
              <w:marBottom w:val="0"/>
              <w:divBdr>
                <w:top w:val="none" w:sz="0" w:space="0" w:color="auto"/>
                <w:left w:val="none" w:sz="0" w:space="0" w:color="auto"/>
                <w:bottom w:val="none" w:sz="0" w:space="0" w:color="auto"/>
                <w:right w:val="none" w:sz="0" w:space="0" w:color="auto"/>
              </w:divBdr>
            </w:div>
          </w:divsChild>
        </w:div>
        <w:div w:id="634721590">
          <w:marLeft w:val="0"/>
          <w:marRight w:val="0"/>
          <w:marTop w:val="0"/>
          <w:marBottom w:val="0"/>
          <w:divBdr>
            <w:top w:val="none" w:sz="0" w:space="0" w:color="auto"/>
            <w:left w:val="none" w:sz="0" w:space="0" w:color="auto"/>
            <w:bottom w:val="none" w:sz="0" w:space="0" w:color="auto"/>
            <w:right w:val="none" w:sz="0" w:space="0" w:color="auto"/>
          </w:divBdr>
          <w:divsChild>
            <w:div w:id="1862469660">
              <w:marLeft w:val="0"/>
              <w:marRight w:val="0"/>
              <w:marTop w:val="0"/>
              <w:marBottom w:val="0"/>
              <w:divBdr>
                <w:top w:val="none" w:sz="0" w:space="0" w:color="auto"/>
                <w:left w:val="none" w:sz="0" w:space="0" w:color="auto"/>
                <w:bottom w:val="none" w:sz="0" w:space="0" w:color="auto"/>
                <w:right w:val="none" w:sz="0" w:space="0" w:color="auto"/>
              </w:divBdr>
            </w:div>
          </w:divsChild>
        </w:div>
        <w:div w:id="653070877">
          <w:marLeft w:val="0"/>
          <w:marRight w:val="0"/>
          <w:marTop w:val="0"/>
          <w:marBottom w:val="0"/>
          <w:divBdr>
            <w:top w:val="none" w:sz="0" w:space="0" w:color="auto"/>
            <w:left w:val="none" w:sz="0" w:space="0" w:color="auto"/>
            <w:bottom w:val="none" w:sz="0" w:space="0" w:color="auto"/>
            <w:right w:val="none" w:sz="0" w:space="0" w:color="auto"/>
          </w:divBdr>
          <w:divsChild>
            <w:div w:id="237253083">
              <w:marLeft w:val="0"/>
              <w:marRight w:val="0"/>
              <w:marTop w:val="0"/>
              <w:marBottom w:val="0"/>
              <w:divBdr>
                <w:top w:val="none" w:sz="0" w:space="0" w:color="auto"/>
                <w:left w:val="none" w:sz="0" w:space="0" w:color="auto"/>
                <w:bottom w:val="none" w:sz="0" w:space="0" w:color="auto"/>
                <w:right w:val="none" w:sz="0" w:space="0" w:color="auto"/>
              </w:divBdr>
            </w:div>
          </w:divsChild>
        </w:div>
        <w:div w:id="658652734">
          <w:marLeft w:val="0"/>
          <w:marRight w:val="0"/>
          <w:marTop w:val="0"/>
          <w:marBottom w:val="0"/>
          <w:divBdr>
            <w:top w:val="none" w:sz="0" w:space="0" w:color="auto"/>
            <w:left w:val="none" w:sz="0" w:space="0" w:color="auto"/>
            <w:bottom w:val="none" w:sz="0" w:space="0" w:color="auto"/>
            <w:right w:val="none" w:sz="0" w:space="0" w:color="auto"/>
          </w:divBdr>
          <w:divsChild>
            <w:div w:id="27535310">
              <w:marLeft w:val="0"/>
              <w:marRight w:val="0"/>
              <w:marTop w:val="0"/>
              <w:marBottom w:val="0"/>
              <w:divBdr>
                <w:top w:val="none" w:sz="0" w:space="0" w:color="auto"/>
                <w:left w:val="none" w:sz="0" w:space="0" w:color="auto"/>
                <w:bottom w:val="none" w:sz="0" w:space="0" w:color="auto"/>
                <w:right w:val="none" w:sz="0" w:space="0" w:color="auto"/>
              </w:divBdr>
            </w:div>
          </w:divsChild>
        </w:div>
        <w:div w:id="665591754">
          <w:marLeft w:val="0"/>
          <w:marRight w:val="0"/>
          <w:marTop w:val="0"/>
          <w:marBottom w:val="0"/>
          <w:divBdr>
            <w:top w:val="none" w:sz="0" w:space="0" w:color="auto"/>
            <w:left w:val="none" w:sz="0" w:space="0" w:color="auto"/>
            <w:bottom w:val="none" w:sz="0" w:space="0" w:color="auto"/>
            <w:right w:val="none" w:sz="0" w:space="0" w:color="auto"/>
          </w:divBdr>
          <w:divsChild>
            <w:div w:id="171576335">
              <w:marLeft w:val="0"/>
              <w:marRight w:val="0"/>
              <w:marTop w:val="0"/>
              <w:marBottom w:val="0"/>
              <w:divBdr>
                <w:top w:val="none" w:sz="0" w:space="0" w:color="auto"/>
                <w:left w:val="none" w:sz="0" w:space="0" w:color="auto"/>
                <w:bottom w:val="none" w:sz="0" w:space="0" w:color="auto"/>
                <w:right w:val="none" w:sz="0" w:space="0" w:color="auto"/>
              </w:divBdr>
            </w:div>
          </w:divsChild>
        </w:div>
        <w:div w:id="671296161">
          <w:marLeft w:val="0"/>
          <w:marRight w:val="0"/>
          <w:marTop w:val="0"/>
          <w:marBottom w:val="0"/>
          <w:divBdr>
            <w:top w:val="none" w:sz="0" w:space="0" w:color="auto"/>
            <w:left w:val="none" w:sz="0" w:space="0" w:color="auto"/>
            <w:bottom w:val="none" w:sz="0" w:space="0" w:color="auto"/>
            <w:right w:val="none" w:sz="0" w:space="0" w:color="auto"/>
          </w:divBdr>
          <w:divsChild>
            <w:div w:id="572928651">
              <w:marLeft w:val="0"/>
              <w:marRight w:val="0"/>
              <w:marTop w:val="0"/>
              <w:marBottom w:val="0"/>
              <w:divBdr>
                <w:top w:val="none" w:sz="0" w:space="0" w:color="auto"/>
                <w:left w:val="none" w:sz="0" w:space="0" w:color="auto"/>
                <w:bottom w:val="none" w:sz="0" w:space="0" w:color="auto"/>
                <w:right w:val="none" w:sz="0" w:space="0" w:color="auto"/>
              </w:divBdr>
            </w:div>
          </w:divsChild>
        </w:div>
        <w:div w:id="703870813">
          <w:marLeft w:val="0"/>
          <w:marRight w:val="0"/>
          <w:marTop w:val="0"/>
          <w:marBottom w:val="0"/>
          <w:divBdr>
            <w:top w:val="none" w:sz="0" w:space="0" w:color="auto"/>
            <w:left w:val="none" w:sz="0" w:space="0" w:color="auto"/>
            <w:bottom w:val="none" w:sz="0" w:space="0" w:color="auto"/>
            <w:right w:val="none" w:sz="0" w:space="0" w:color="auto"/>
          </w:divBdr>
          <w:divsChild>
            <w:div w:id="231627326">
              <w:marLeft w:val="0"/>
              <w:marRight w:val="0"/>
              <w:marTop w:val="0"/>
              <w:marBottom w:val="0"/>
              <w:divBdr>
                <w:top w:val="none" w:sz="0" w:space="0" w:color="auto"/>
                <w:left w:val="none" w:sz="0" w:space="0" w:color="auto"/>
                <w:bottom w:val="none" w:sz="0" w:space="0" w:color="auto"/>
                <w:right w:val="none" w:sz="0" w:space="0" w:color="auto"/>
              </w:divBdr>
            </w:div>
          </w:divsChild>
        </w:div>
        <w:div w:id="740060685">
          <w:marLeft w:val="0"/>
          <w:marRight w:val="0"/>
          <w:marTop w:val="0"/>
          <w:marBottom w:val="0"/>
          <w:divBdr>
            <w:top w:val="none" w:sz="0" w:space="0" w:color="auto"/>
            <w:left w:val="none" w:sz="0" w:space="0" w:color="auto"/>
            <w:bottom w:val="none" w:sz="0" w:space="0" w:color="auto"/>
            <w:right w:val="none" w:sz="0" w:space="0" w:color="auto"/>
          </w:divBdr>
          <w:divsChild>
            <w:div w:id="2136483480">
              <w:marLeft w:val="0"/>
              <w:marRight w:val="0"/>
              <w:marTop w:val="0"/>
              <w:marBottom w:val="0"/>
              <w:divBdr>
                <w:top w:val="none" w:sz="0" w:space="0" w:color="auto"/>
                <w:left w:val="none" w:sz="0" w:space="0" w:color="auto"/>
                <w:bottom w:val="none" w:sz="0" w:space="0" w:color="auto"/>
                <w:right w:val="none" w:sz="0" w:space="0" w:color="auto"/>
              </w:divBdr>
            </w:div>
          </w:divsChild>
        </w:div>
        <w:div w:id="748355857">
          <w:marLeft w:val="0"/>
          <w:marRight w:val="0"/>
          <w:marTop w:val="0"/>
          <w:marBottom w:val="0"/>
          <w:divBdr>
            <w:top w:val="none" w:sz="0" w:space="0" w:color="auto"/>
            <w:left w:val="none" w:sz="0" w:space="0" w:color="auto"/>
            <w:bottom w:val="none" w:sz="0" w:space="0" w:color="auto"/>
            <w:right w:val="none" w:sz="0" w:space="0" w:color="auto"/>
          </w:divBdr>
          <w:divsChild>
            <w:div w:id="1384988557">
              <w:marLeft w:val="0"/>
              <w:marRight w:val="0"/>
              <w:marTop w:val="0"/>
              <w:marBottom w:val="0"/>
              <w:divBdr>
                <w:top w:val="none" w:sz="0" w:space="0" w:color="auto"/>
                <w:left w:val="none" w:sz="0" w:space="0" w:color="auto"/>
                <w:bottom w:val="none" w:sz="0" w:space="0" w:color="auto"/>
                <w:right w:val="none" w:sz="0" w:space="0" w:color="auto"/>
              </w:divBdr>
            </w:div>
          </w:divsChild>
        </w:div>
        <w:div w:id="756831721">
          <w:marLeft w:val="0"/>
          <w:marRight w:val="0"/>
          <w:marTop w:val="0"/>
          <w:marBottom w:val="0"/>
          <w:divBdr>
            <w:top w:val="none" w:sz="0" w:space="0" w:color="auto"/>
            <w:left w:val="none" w:sz="0" w:space="0" w:color="auto"/>
            <w:bottom w:val="none" w:sz="0" w:space="0" w:color="auto"/>
            <w:right w:val="none" w:sz="0" w:space="0" w:color="auto"/>
          </w:divBdr>
          <w:divsChild>
            <w:div w:id="2069959612">
              <w:marLeft w:val="0"/>
              <w:marRight w:val="0"/>
              <w:marTop w:val="0"/>
              <w:marBottom w:val="0"/>
              <w:divBdr>
                <w:top w:val="none" w:sz="0" w:space="0" w:color="auto"/>
                <w:left w:val="none" w:sz="0" w:space="0" w:color="auto"/>
                <w:bottom w:val="none" w:sz="0" w:space="0" w:color="auto"/>
                <w:right w:val="none" w:sz="0" w:space="0" w:color="auto"/>
              </w:divBdr>
            </w:div>
          </w:divsChild>
        </w:div>
        <w:div w:id="765266762">
          <w:marLeft w:val="0"/>
          <w:marRight w:val="0"/>
          <w:marTop w:val="0"/>
          <w:marBottom w:val="0"/>
          <w:divBdr>
            <w:top w:val="none" w:sz="0" w:space="0" w:color="auto"/>
            <w:left w:val="none" w:sz="0" w:space="0" w:color="auto"/>
            <w:bottom w:val="none" w:sz="0" w:space="0" w:color="auto"/>
            <w:right w:val="none" w:sz="0" w:space="0" w:color="auto"/>
          </w:divBdr>
          <w:divsChild>
            <w:div w:id="1752044747">
              <w:marLeft w:val="0"/>
              <w:marRight w:val="0"/>
              <w:marTop w:val="0"/>
              <w:marBottom w:val="0"/>
              <w:divBdr>
                <w:top w:val="none" w:sz="0" w:space="0" w:color="auto"/>
                <w:left w:val="none" w:sz="0" w:space="0" w:color="auto"/>
                <w:bottom w:val="none" w:sz="0" w:space="0" w:color="auto"/>
                <w:right w:val="none" w:sz="0" w:space="0" w:color="auto"/>
              </w:divBdr>
            </w:div>
          </w:divsChild>
        </w:div>
        <w:div w:id="778335053">
          <w:marLeft w:val="0"/>
          <w:marRight w:val="0"/>
          <w:marTop w:val="0"/>
          <w:marBottom w:val="0"/>
          <w:divBdr>
            <w:top w:val="none" w:sz="0" w:space="0" w:color="auto"/>
            <w:left w:val="none" w:sz="0" w:space="0" w:color="auto"/>
            <w:bottom w:val="none" w:sz="0" w:space="0" w:color="auto"/>
            <w:right w:val="none" w:sz="0" w:space="0" w:color="auto"/>
          </w:divBdr>
          <w:divsChild>
            <w:div w:id="421492308">
              <w:marLeft w:val="0"/>
              <w:marRight w:val="0"/>
              <w:marTop w:val="0"/>
              <w:marBottom w:val="0"/>
              <w:divBdr>
                <w:top w:val="none" w:sz="0" w:space="0" w:color="auto"/>
                <w:left w:val="none" w:sz="0" w:space="0" w:color="auto"/>
                <w:bottom w:val="none" w:sz="0" w:space="0" w:color="auto"/>
                <w:right w:val="none" w:sz="0" w:space="0" w:color="auto"/>
              </w:divBdr>
            </w:div>
          </w:divsChild>
        </w:div>
        <w:div w:id="799610705">
          <w:marLeft w:val="0"/>
          <w:marRight w:val="0"/>
          <w:marTop w:val="0"/>
          <w:marBottom w:val="0"/>
          <w:divBdr>
            <w:top w:val="none" w:sz="0" w:space="0" w:color="auto"/>
            <w:left w:val="none" w:sz="0" w:space="0" w:color="auto"/>
            <w:bottom w:val="none" w:sz="0" w:space="0" w:color="auto"/>
            <w:right w:val="none" w:sz="0" w:space="0" w:color="auto"/>
          </w:divBdr>
          <w:divsChild>
            <w:div w:id="272565256">
              <w:marLeft w:val="0"/>
              <w:marRight w:val="0"/>
              <w:marTop w:val="0"/>
              <w:marBottom w:val="0"/>
              <w:divBdr>
                <w:top w:val="none" w:sz="0" w:space="0" w:color="auto"/>
                <w:left w:val="none" w:sz="0" w:space="0" w:color="auto"/>
                <w:bottom w:val="none" w:sz="0" w:space="0" w:color="auto"/>
                <w:right w:val="none" w:sz="0" w:space="0" w:color="auto"/>
              </w:divBdr>
            </w:div>
          </w:divsChild>
        </w:div>
        <w:div w:id="828862245">
          <w:marLeft w:val="0"/>
          <w:marRight w:val="0"/>
          <w:marTop w:val="0"/>
          <w:marBottom w:val="0"/>
          <w:divBdr>
            <w:top w:val="none" w:sz="0" w:space="0" w:color="auto"/>
            <w:left w:val="none" w:sz="0" w:space="0" w:color="auto"/>
            <w:bottom w:val="none" w:sz="0" w:space="0" w:color="auto"/>
            <w:right w:val="none" w:sz="0" w:space="0" w:color="auto"/>
          </w:divBdr>
          <w:divsChild>
            <w:div w:id="150827744">
              <w:marLeft w:val="0"/>
              <w:marRight w:val="0"/>
              <w:marTop w:val="0"/>
              <w:marBottom w:val="0"/>
              <w:divBdr>
                <w:top w:val="none" w:sz="0" w:space="0" w:color="auto"/>
                <w:left w:val="none" w:sz="0" w:space="0" w:color="auto"/>
                <w:bottom w:val="none" w:sz="0" w:space="0" w:color="auto"/>
                <w:right w:val="none" w:sz="0" w:space="0" w:color="auto"/>
              </w:divBdr>
            </w:div>
          </w:divsChild>
        </w:div>
        <w:div w:id="865337967">
          <w:marLeft w:val="0"/>
          <w:marRight w:val="0"/>
          <w:marTop w:val="0"/>
          <w:marBottom w:val="0"/>
          <w:divBdr>
            <w:top w:val="none" w:sz="0" w:space="0" w:color="auto"/>
            <w:left w:val="none" w:sz="0" w:space="0" w:color="auto"/>
            <w:bottom w:val="none" w:sz="0" w:space="0" w:color="auto"/>
            <w:right w:val="none" w:sz="0" w:space="0" w:color="auto"/>
          </w:divBdr>
          <w:divsChild>
            <w:div w:id="553811504">
              <w:marLeft w:val="0"/>
              <w:marRight w:val="0"/>
              <w:marTop w:val="0"/>
              <w:marBottom w:val="0"/>
              <w:divBdr>
                <w:top w:val="none" w:sz="0" w:space="0" w:color="auto"/>
                <w:left w:val="none" w:sz="0" w:space="0" w:color="auto"/>
                <w:bottom w:val="none" w:sz="0" w:space="0" w:color="auto"/>
                <w:right w:val="none" w:sz="0" w:space="0" w:color="auto"/>
              </w:divBdr>
            </w:div>
          </w:divsChild>
        </w:div>
        <w:div w:id="869798465">
          <w:marLeft w:val="0"/>
          <w:marRight w:val="0"/>
          <w:marTop w:val="0"/>
          <w:marBottom w:val="0"/>
          <w:divBdr>
            <w:top w:val="none" w:sz="0" w:space="0" w:color="auto"/>
            <w:left w:val="none" w:sz="0" w:space="0" w:color="auto"/>
            <w:bottom w:val="none" w:sz="0" w:space="0" w:color="auto"/>
            <w:right w:val="none" w:sz="0" w:space="0" w:color="auto"/>
          </w:divBdr>
          <w:divsChild>
            <w:div w:id="2010325339">
              <w:marLeft w:val="0"/>
              <w:marRight w:val="0"/>
              <w:marTop w:val="0"/>
              <w:marBottom w:val="0"/>
              <w:divBdr>
                <w:top w:val="none" w:sz="0" w:space="0" w:color="auto"/>
                <w:left w:val="none" w:sz="0" w:space="0" w:color="auto"/>
                <w:bottom w:val="none" w:sz="0" w:space="0" w:color="auto"/>
                <w:right w:val="none" w:sz="0" w:space="0" w:color="auto"/>
              </w:divBdr>
            </w:div>
          </w:divsChild>
        </w:div>
        <w:div w:id="870413855">
          <w:marLeft w:val="0"/>
          <w:marRight w:val="0"/>
          <w:marTop w:val="0"/>
          <w:marBottom w:val="0"/>
          <w:divBdr>
            <w:top w:val="none" w:sz="0" w:space="0" w:color="auto"/>
            <w:left w:val="none" w:sz="0" w:space="0" w:color="auto"/>
            <w:bottom w:val="none" w:sz="0" w:space="0" w:color="auto"/>
            <w:right w:val="none" w:sz="0" w:space="0" w:color="auto"/>
          </w:divBdr>
          <w:divsChild>
            <w:div w:id="1006129352">
              <w:marLeft w:val="0"/>
              <w:marRight w:val="0"/>
              <w:marTop w:val="0"/>
              <w:marBottom w:val="0"/>
              <w:divBdr>
                <w:top w:val="none" w:sz="0" w:space="0" w:color="auto"/>
                <w:left w:val="none" w:sz="0" w:space="0" w:color="auto"/>
                <w:bottom w:val="none" w:sz="0" w:space="0" w:color="auto"/>
                <w:right w:val="none" w:sz="0" w:space="0" w:color="auto"/>
              </w:divBdr>
            </w:div>
          </w:divsChild>
        </w:div>
        <w:div w:id="895238148">
          <w:marLeft w:val="0"/>
          <w:marRight w:val="0"/>
          <w:marTop w:val="0"/>
          <w:marBottom w:val="0"/>
          <w:divBdr>
            <w:top w:val="none" w:sz="0" w:space="0" w:color="auto"/>
            <w:left w:val="none" w:sz="0" w:space="0" w:color="auto"/>
            <w:bottom w:val="none" w:sz="0" w:space="0" w:color="auto"/>
            <w:right w:val="none" w:sz="0" w:space="0" w:color="auto"/>
          </w:divBdr>
          <w:divsChild>
            <w:div w:id="750931261">
              <w:marLeft w:val="0"/>
              <w:marRight w:val="0"/>
              <w:marTop w:val="0"/>
              <w:marBottom w:val="0"/>
              <w:divBdr>
                <w:top w:val="none" w:sz="0" w:space="0" w:color="auto"/>
                <w:left w:val="none" w:sz="0" w:space="0" w:color="auto"/>
                <w:bottom w:val="none" w:sz="0" w:space="0" w:color="auto"/>
                <w:right w:val="none" w:sz="0" w:space="0" w:color="auto"/>
              </w:divBdr>
            </w:div>
          </w:divsChild>
        </w:div>
        <w:div w:id="895623564">
          <w:marLeft w:val="0"/>
          <w:marRight w:val="0"/>
          <w:marTop w:val="0"/>
          <w:marBottom w:val="0"/>
          <w:divBdr>
            <w:top w:val="none" w:sz="0" w:space="0" w:color="auto"/>
            <w:left w:val="none" w:sz="0" w:space="0" w:color="auto"/>
            <w:bottom w:val="none" w:sz="0" w:space="0" w:color="auto"/>
            <w:right w:val="none" w:sz="0" w:space="0" w:color="auto"/>
          </w:divBdr>
          <w:divsChild>
            <w:div w:id="1245919100">
              <w:marLeft w:val="0"/>
              <w:marRight w:val="0"/>
              <w:marTop w:val="0"/>
              <w:marBottom w:val="0"/>
              <w:divBdr>
                <w:top w:val="none" w:sz="0" w:space="0" w:color="auto"/>
                <w:left w:val="none" w:sz="0" w:space="0" w:color="auto"/>
                <w:bottom w:val="none" w:sz="0" w:space="0" w:color="auto"/>
                <w:right w:val="none" w:sz="0" w:space="0" w:color="auto"/>
              </w:divBdr>
            </w:div>
          </w:divsChild>
        </w:div>
        <w:div w:id="909969272">
          <w:marLeft w:val="0"/>
          <w:marRight w:val="0"/>
          <w:marTop w:val="0"/>
          <w:marBottom w:val="0"/>
          <w:divBdr>
            <w:top w:val="none" w:sz="0" w:space="0" w:color="auto"/>
            <w:left w:val="none" w:sz="0" w:space="0" w:color="auto"/>
            <w:bottom w:val="none" w:sz="0" w:space="0" w:color="auto"/>
            <w:right w:val="none" w:sz="0" w:space="0" w:color="auto"/>
          </w:divBdr>
          <w:divsChild>
            <w:div w:id="1296250405">
              <w:marLeft w:val="0"/>
              <w:marRight w:val="0"/>
              <w:marTop w:val="0"/>
              <w:marBottom w:val="0"/>
              <w:divBdr>
                <w:top w:val="none" w:sz="0" w:space="0" w:color="auto"/>
                <w:left w:val="none" w:sz="0" w:space="0" w:color="auto"/>
                <w:bottom w:val="none" w:sz="0" w:space="0" w:color="auto"/>
                <w:right w:val="none" w:sz="0" w:space="0" w:color="auto"/>
              </w:divBdr>
            </w:div>
          </w:divsChild>
        </w:div>
        <w:div w:id="961493455">
          <w:marLeft w:val="0"/>
          <w:marRight w:val="0"/>
          <w:marTop w:val="0"/>
          <w:marBottom w:val="0"/>
          <w:divBdr>
            <w:top w:val="none" w:sz="0" w:space="0" w:color="auto"/>
            <w:left w:val="none" w:sz="0" w:space="0" w:color="auto"/>
            <w:bottom w:val="none" w:sz="0" w:space="0" w:color="auto"/>
            <w:right w:val="none" w:sz="0" w:space="0" w:color="auto"/>
          </w:divBdr>
          <w:divsChild>
            <w:div w:id="815419482">
              <w:marLeft w:val="0"/>
              <w:marRight w:val="0"/>
              <w:marTop w:val="0"/>
              <w:marBottom w:val="0"/>
              <w:divBdr>
                <w:top w:val="none" w:sz="0" w:space="0" w:color="auto"/>
                <w:left w:val="none" w:sz="0" w:space="0" w:color="auto"/>
                <w:bottom w:val="none" w:sz="0" w:space="0" w:color="auto"/>
                <w:right w:val="none" w:sz="0" w:space="0" w:color="auto"/>
              </w:divBdr>
            </w:div>
          </w:divsChild>
        </w:div>
        <w:div w:id="971062770">
          <w:marLeft w:val="0"/>
          <w:marRight w:val="0"/>
          <w:marTop w:val="0"/>
          <w:marBottom w:val="0"/>
          <w:divBdr>
            <w:top w:val="none" w:sz="0" w:space="0" w:color="auto"/>
            <w:left w:val="none" w:sz="0" w:space="0" w:color="auto"/>
            <w:bottom w:val="none" w:sz="0" w:space="0" w:color="auto"/>
            <w:right w:val="none" w:sz="0" w:space="0" w:color="auto"/>
          </w:divBdr>
          <w:divsChild>
            <w:div w:id="318969072">
              <w:marLeft w:val="0"/>
              <w:marRight w:val="0"/>
              <w:marTop w:val="0"/>
              <w:marBottom w:val="0"/>
              <w:divBdr>
                <w:top w:val="none" w:sz="0" w:space="0" w:color="auto"/>
                <w:left w:val="none" w:sz="0" w:space="0" w:color="auto"/>
                <w:bottom w:val="none" w:sz="0" w:space="0" w:color="auto"/>
                <w:right w:val="none" w:sz="0" w:space="0" w:color="auto"/>
              </w:divBdr>
            </w:div>
          </w:divsChild>
        </w:div>
        <w:div w:id="976448069">
          <w:marLeft w:val="0"/>
          <w:marRight w:val="0"/>
          <w:marTop w:val="0"/>
          <w:marBottom w:val="0"/>
          <w:divBdr>
            <w:top w:val="none" w:sz="0" w:space="0" w:color="auto"/>
            <w:left w:val="none" w:sz="0" w:space="0" w:color="auto"/>
            <w:bottom w:val="none" w:sz="0" w:space="0" w:color="auto"/>
            <w:right w:val="none" w:sz="0" w:space="0" w:color="auto"/>
          </w:divBdr>
          <w:divsChild>
            <w:div w:id="832139550">
              <w:marLeft w:val="0"/>
              <w:marRight w:val="0"/>
              <w:marTop w:val="0"/>
              <w:marBottom w:val="0"/>
              <w:divBdr>
                <w:top w:val="none" w:sz="0" w:space="0" w:color="auto"/>
                <w:left w:val="none" w:sz="0" w:space="0" w:color="auto"/>
                <w:bottom w:val="none" w:sz="0" w:space="0" w:color="auto"/>
                <w:right w:val="none" w:sz="0" w:space="0" w:color="auto"/>
              </w:divBdr>
            </w:div>
          </w:divsChild>
        </w:div>
        <w:div w:id="1037047320">
          <w:marLeft w:val="0"/>
          <w:marRight w:val="0"/>
          <w:marTop w:val="0"/>
          <w:marBottom w:val="0"/>
          <w:divBdr>
            <w:top w:val="none" w:sz="0" w:space="0" w:color="auto"/>
            <w:left w:val="none" w:sz="0" w:space="0" w:color="auto"/>
            <w:bottom w:val="none" w:sz="0" w:space="0" w:color="auto"/>
            <w:right w:val="none" w:sz="0" w:space="0" w:color="auto"/>
          </w:divBdr>
          <w:divsChild>
            <w:div w:id="1100182367">
              <w:marLeft w:val="0"/>
              <w:marRight w:val="0"/>
              <w:marTop w:val="0"/>
              <w:marBottom w:val="0"/>
              <w:divBdr>
                <w:top w:val="none" w:sz="0" w:space="0" w:color="auto"/>
                <w:left w:val="none" w:sz="0" w:space="0" w:color="auto"/>
                <w:bottom w:val="none" w:sz="0" w:space="0" w:color="auto"/>
                <w:right w:val="none" w:sz="0" w:space="0" w:color="auto"/>
              </w:divBdr>
            </w:div>
          </w:divsChild>
        </w:div>
        <w:div w:id="1043140848">
          <w:marLeft w:val="0"/>
          <w:marRight w:val="0"/>
          <w:marTop w:val="0"/>
          <w:marBottom w:val="0"/>
          <w:divBdr>
            <w:top w:val="none" w:sz="0" w:space="0" w:color="auto"/>
            <w:left w:val="none" w:sz="0" w:space="0" w:color="auto"/>
            <w:bottom w:val="none" w:sz="0" w:space="0" w:color="auto"/>
            <w:right w:val="none" w:sz="0" w:space="0" w:color="auto"/>
          </w:divBdr>
          <w:divsChild>
            <w:div w:id="433014647">
              <w:marLeft w:val="0"/>
              <w:marRight w:val="0"/>
              <w:marTop w:val="0"/>
              <w:marBottom w:val="0"/>
              <w:divBdr>
                <w:top w:val="none" w:sz="0" w:space="0" w:color="auto"/>
                <w:left w:val="none" w:sz="0" w:space="0" w:color="auto"/>
                <w:bottom w:val="none" w:sz="0" w:space="0" w:color="auto"/>
                <w:right w:val="none" w:sz="0" w:space="0" w:color="auto"/>
              </w:divBdr>
            </w:div>
          </w:divsChild>
        </w:div>
        <w:div w:id="1071079032">
          <w:marLeft w:val="0"/>
          <w:marRight w:val="0"/>
          <w:marTop w:val="0"/>
          <w:marBottom w:val="0"/>
          <w:divBdr>
            <w:top w:val="none" w:sz="0" w:space="0" w:color="auto"/>
            <w:left w:val="none" w:sz="0" w:space="0" w:color="auto"/>
            <w:bottom w:val="none" w:sz="0" w:space="0" w:color="auto"/>
            <w:right w:val="none" w:sz="0" w:space="0" w:color="auto"/>
          </w:divBdr>
          <w:divsChild>
            <w:div w:id="17775702">
              <w:marLeft w:val="0"/>
              <w:marRight w:val="0"/>
              <w:marTop w:val="0"/>
              <w:marBottom w:val="0"/>
              <w:divBdr>
                <w:top w:val="none" w:sz="0" w:space="0" w:color="auto"/>
                <w:left w:val="none" w:sz="0" w:space="0" w:color="auto"/>
                <w:bottom w:val="none" w:sz="0" w:space="0" w:color="auto"/>
                <w:right w:val="none" w:sz="0" w:space="0" w:color="auto"/>
              </w:divBdr>
            </w:div>
          </w:divsChild>
        </w:div>
        <w:div w:id="1106265241">
          <w:marLeft w:val="0"/>
          <w:marRight w:val="0"/>
          <w:marTop w:val="0"/>
          <w:marBottom w:val="0"/>
          <w:divBdr>
            <w:top w:val="none" w:sz="0" w:space="0" w:color="auto"/>
            <w:left w:val="none" w:sz="0" w:space="0" w:color="auto"/>
            <w:bottom w:val="none" w:sz="0" w:space="0" w:color="auto"/>
            <w:right w:val="none" w:sz="0" w:space="0" w:color="auto"/>
          </w:divBdr>
          <w:divsChild>
            <w:div w:id="1548029978">
              <w:marLeft w:val="0"/>
              <w:marRight w:val="0"/>
              <w:marTop w:val="0"/>
              <w:marBottom w:val="0"/>
              <w:divBdr>
                <w:top w:val="none" w:sz="0" w:space="0" w:color="auto"/>
                <w:left w:val="none" w:sz="0" w:space="0" w:color="auto"/>
                <w:bottom w:val="none" w:sz="0" w:space="0" w:color="auto"/>
                <w:right w:val="none" w:sz="0" w:space="0" w:color="auto"/>
              </w:divBdr>
            </w:div>
          </w:divsChild>
        </w:div>
        <w:div w:id="1133713010">
          <w:marLeft w:val="0"/>
          <w:marRight w:val="0"/>
          <w:marTop w:val="0"/>
          <w:marBottom w:val="0"/>
          <w:divBdr>
            <w:top w:val="none" w:sz="0" w:space="0" w:color="auto"/>
            <w:left w:val="none" w:sz="0" w:space="0" w:color="auto"/>
            <w:bottom w:val="none" w:sz="0" w:space="0" w:color="auto"/>
            <w:right w:val="none" w:sz="0" w:space="0" w:color="auto"/>
          </w:divBdr>
          <w:divsChild>
            <w:div w:id="752359544">
              <w:marLeft w:val="0"/>
              <w:marRight w:val="0"/>
              <w:marTop w:val="0"/>
              <w:marBottom w:val="0"/>
              <w:divBdr>
                <w:top w:val="none" w:sz="0" w:space="0" w:color="auto"/>
                <w:left w:val="none" w:sz="0" w:space="0" w:color="auto"/>
                <w:bottom w:val="none" w:sz="0" w:space="0" w:color="auto"/>
                <w:right w:val="none" w:sz="0" w:space="0" w:color="auto"/>
              </w:divBdr>
            </w:div>
          </w:divsChild>
        </w:div>
        <w:div w:id="1144808572">
          <w:marLeft w:val="0"/>
          <w:marRight w:val="0"/>
          <w:marTop w:val="0"/>
          <w:marBottom w:val="0"/>
          <w:divBdr>
            <w:top w:val="none" w:sz="0" w:space="0" w:color="auto"/>
            <w:left w:val="none" w:sz="0" w:space="0" w:color="auto"/>
            <w:bottom w:val="none" w:sz="0" w:space="0" w:color="auto"/>
            <w:right w:val="none" w:sz="0" w:space="0" w:color="auto"/>
          </w:divBdr>
          <w:divsChild>
            <w:div w:id="1071198513">
              <w:marLeft w:val="0"/>
              <w:marRight w:val="0"/>
              <w:marTop w:val="0"/>
              <w:marBottom w:val="0"/>
              <w:divBdr>
                <w:top w:val="none" w:sz="0" w:space="0" w:color="auto"/>
                <w:left w:val="none" w:sz="0" w:space="0" w:color="auto"/>
                <w:bottom w:val="none" w:sz="0" w:space="0" w:color="auto"/>
                <w:right w:val="none" w:sz="0" w:space="0" w:color="auto"/>
              </w:divBdr>
            </w:div>
          </w:divsChild>
        </w:div>
        <w:div w:id="1224565100">
          <w:marLeft w:val="0"/>
          <w:marRight w:val="0"/>
          <w:marTop w:val="0"/>
          <w:marBottom w:val="0"/>
          <w:divBdr>
            <w:top w:val="none" w:sz="0" w:space="0" w:color="auto"/>
            <w:left w:val="none" w:sz="0" w:space="0" w:color="auto"/>
            <w:bottom w:val="none" w:sz="0" w:space="0" w:color="auto"/>
            <w:right w:val="none" w:sz="0" w:space="0" w:color="auto"/>
          </w:divBdr>
          <w:divsChild>
            <w:div w:id="1510752426">
              <w:marLeft w:val="0"/>
              <w:marRight w:val="0"/>
              <w:marTop w:val="0"/>
              <w:marBottom w:val="0"/>
              <w:divBdr>
                <w:top w:val="none" w:sz="0" w:space="0" w:color="auto"/>
                <w:left w:val="none" w:sz="0" w:space="0" w:color="auto"/>
                <w:bottom w:val="none" w:sz="0" w:space="0" w:color="auto"/>
                <w:right w:val="none" w:sz="0" w:space="0" w:color="auto"/>
              </w:divBdr>
            </w:div>
          </w:divsChild>
        </w:div>
        <w:div w:id="1227642981">
          <w:marLeft w:val="0"/>
          <w:marRight w:val="0"/>
          <w:marTop w:val="0"/>
          <w:marBottom w:val="0"/>
          <w:divBdr>
            <w:top w:val="none" w:sz="0" w:space="0" w:color="auto"/>
            <w:left w:val="none" w:sz="0" w:space="0" w:color="auto"/>
            <w:bottom w:val="none" w:sz="0" w:space="0" w:color="auto"/>
            <w:right w:val="none" w:sz="0" w:space="0" w:color="auto"/>
          </w:divBdr>
          <w:divsChild>
            <w:div w:id="1707215171">
              <w:marLeft w:val="0"/>
              <w:marRight w:val="0"/>
              <w:marTop w:val="0"/>
              <w:marBottom w:val="0"/>
              <w:divBdr>
                <w:top w:val="none" w:sz="0" w:space="0" w:color="auto"/>
                <w:left w:val="none" w:sz="0" w:space="0" w:color="auto"/>
                <w:bottom w:val="none" w:sz="0" w:space="0" w:color="auto"/>
                <w:right w:val="none" w:sz="0" w:space="0" w:color="auto"/>
              </w:divBdr>
            </w:div>
          </w:divsChild>
        </w:div>
        <w:div w:id="1267032894">
          <w:marLeft w:val="0"/>
          <w:marRight w:val="0"/>
          <w:marTop w:val="0"/>
          <w:marBottom w:val="0"/>
          <w:divBdr>
            <w:top w:val="none" w:sz="0" w:space="0" w:color="auto"/>
            <w:left w:val="none" w:sz="0" w:space="0" w:color="auto"/>
            <w:bottom w:val="none" w:sz="0" w:space="0" w:color="auto"/>
            <w:right w:val="none" w:sz="0" w:space="0" w:color="auto"/>
          </w:divBdr>
          <w:divsChild>
            <w:div w:id="2131052437">
              <w:marLeft w:val="0"/>
              <w:marRight w:val="0"/>
              <w:marTop w:val="0"/>
              <w:marBottom w:val="0"/>
              <w:divBdr>
                <w:top w:val="none" w:sz="0" w:space="0" w:color="auto"/>
                <w:left w:val="none" w:sz="0" w:space="0" w:color="auto"/>
                <w:bottom w:val="none" w:sz="0" w:space="0" w:color="auto"/>
                <w:right w:val="none" w:sz="0" w:space="0" w:color="auto"/>
              </w:divBdr>
            </w:div>
          </w:divsChild>
        </w:div>
        <w:div w:id="1275595347">
          <w:marLeft w:val="0"/>
          <w:marRight w:val="0"/>
          <w:marTop w:val="0"/>
          <w:marBottom w:val="0"/>
          <w:divBdr>
            <w:top w:val="none" w:sz="0" w:space="0" w:color="auto"/>
            <w:left w:val="none" w:sz="0" w:space="0" w:color="auto"/>
            <w:bottom w:val="none" w:sz="0" w:space="0" w:color="auto"/>
            <w:right w:val="none" w:sz="0" w:space="0" w:color="auto"/>
          </w:divBdr>
          <w:divsChild>
            <w:div w:id="1631469718">
              <w:marLeft w:val="0"/>
              <w:marRight w:val="0"/>
              <w:marTop w:val="0"/>
              <w:marBottom w:val="0"/>
              <w:divBdr>
                <w:top w:val="none" w:sz="0" w:space="0" w:color="auto"/>
                <w:left w:val="none" w:sz="0" w:space="0" w:color="auto"/>
                <w:bottom w:val="none" w:sz="0" w:space="0" w:color="auto"/>
                <w:right w:val="none" w:sz="0" w:space="0" w:color="auto"/>
              </w:divBdr>
            </w:div>
          </w:divsChild>
        </w:div>
        <w:div w:id="1287587369">
          <w:marLeft w:val="0"/>
          <w:marRight w:val="0"/>
          <w:marTop w:val="0"/>
          <w:marBottom w:val="0"/>
          <w:divBdr>
            <w:top w:val="none" w:sz="0" w:space="0" w:color="auto"/>
            <w:left w:val="none" w:sz="0" w:space="0" w:color="auto"/>
            <w:bottom w:val="none" w:sz="0" w:space="0" w:color="auto"/>
            <w:right w:val="none" w:sz="0" w:space="0" w:color="auto"/>
          </w:divBdr>
          <w:divsChild>
            <w:div w:id="1324117649">
              <w:marLeft w:val="0"/>
              <w:marRight w:val="0"/>
              <w:marTop w:val="0"/>
              <w:marBottom w:val="0"/>
              <w:divBdr>
                <w:top w:val="none" w:sz="0" w:space="0" w:color="auto"/>
                <w:left w:val="none" w:sz="0" w:space="0" w:color="auto"/>
                <w:bottom w:val="none" w:sz="0" w:space="0" w:color="auto"/>
                <w:right w:val="none" w:sz="0" w:space="0" w:color="auto"/>
              </w:divBdr>
            </w:div>
          </w:divsChild>
        </w:div>
        <w:div w:id="1304850131">
          <w:marLeft w:val="0"/>
          <w:marRight w:val="0"/>
          <w:marTop w:val="0"/>
          <w:marBottom w:val="0"/>
          <w:divBdr>
            <w:top w:val="none" w:sz="0" w:space="0" w:color="auto"/>
            <w:left w:val="none" w:sz="0" w:space="0" w:color="auto"/>
            <w:bottom w:val="none" w:sz="0" w:space="0" w:color="auto"/>
            <w:right w:val="none" w:sz="0" w:space="0" w:color="auto"/>
          </w:divBdr>
          <w:divsChild>
            <w:div w:id="1434469633">
              <w:marLeft w:val="0"/>
              <w:marRight w:val="0"/>
              <w:marTop w:val="0"/>
              <w:marBottom w:val="0"/>
              <w:divBdr>
                <w:top w:val="none" w:sz="0" w:space="0" w:color="auto"/>
                <w:left w:val="none" w:sz="0" w:space="0" w:color="auto"/>
                <w:bottom w:val="none" w:sz="0" w:space="0" w:color="auto"/>
                <w:right w:val="none" w:sz="0" w:space="0" w:color="auto"/>
              </w:divBdr>
            </w:div>
          </w:divsChild>
        </w:div>
        <w:div w:id="1304966395">
          <w:marLeft w:val="0"/>
          <w:marRight w:val="0"/>
          <w:marTop w:val="0"/>
          <w:marBottom w:val="0"/>
          <w:divBdr>
            <w:top w:val="none" w:sz="0" w:space="0" w:color="auto"/>
            <w:left w:val="none" w:sz="0" w:space="0" w:color="auto"/>
            <w:bottom w:val="none" w:sz="0" w:space="0" w:color="auto"/>
            <w:right w:val="none" w:sz="0" w:space="0" w:color="auto"/>
          </w:divBdr>
          <w:divsChild>
            <w:div w:id="1436749553">
              <w:marLeft w:val="0"/>
              <w:marRight w:val="0"/>
              <w:marTop w:val="0"/>
              <w:marBottom w:val="0"/>
              <w:divBdr>
                <w:top w:val="none" w:sz="0" w:space="0" w:color="auto"/>
                <w:left w:val="none" w:sz="0" w:space="0" w:color="auto"/>
                <w:bottom w:val="none" w:sz="0" w:space="0" w:color="auto"/>
                <w:right w:val="none" w:sz="0" w:space="0" w:color="auto"/>
              </w:divBdr>
            </w:div>
          </w:divsChild>
        </w:div>
        <w:div w:id="1310745519">
          <w:marLeft w:val="0"/>
          <w:marRight w:val="0"/>
          <w:marTop w:val="0"/>
          <w:marBottom w:val="0"/>
          <w:divBdr>
            <w:top w:val="none" w:sz="0" w:space="0" w:color="auto"/>
            <w:left w:val="none" w:sz="0" w:space="0" w:color="auto"/>
            <w:bottom w:val="none" w:sz="0" w:space="0" w:color="auto"/>
            <w:right w:val="none" w:sz="0" w:space="0" w:color="auto"/>
          </w:divBdr>
          <w:divsChild>
            <w:div w:id="1916552953">
              <w:marLeft w:val="0"/>
              <w:marRight w:val="0"/>
              <w:marTop w:val="0"/>
              <w:marBottom w:val="0"/>
              <w:divBdr>
                <w:top w:val="none" w:sz="0" w:space="0" w:color="auto"/>
                <w:left w:val="none" w:sz="0" w:space="0" w:color="auto"/>
                <w:bottom w:val="none" w:sz="0" w:space="0" w:color="auto"/>
                <w:right w:val="none" w:sz="0" w:space="0" w:color="auto"/>
              </w:divBdr>
            </w:div>
          </w:divsChild>
        </w:div>
        <w:div w:id="1320425221">
          <w:marLeft w:val="0"/>
          <w:marRight w:val="0"/>
          <w:marTop w:val="0"/>
          <w:marBottom w:val="0"/>
          <w:divBdr>
            <w:top w:val="none" w:sz="0" w:space="0" w:color="auto"/>
            <w:left w:val="none" w:sz="0" w:space="0" w:color="auto"/>
            <w:bottom w:val="none" w:sz="0" w:space="0" w:color="auto"/>
            <w:right w:val="none" w:sz="0" w:space="0" w:color="auto"/>
          </w:divBdr>
          <w:divsChild>
            <w:div w:id="1400861533">
              <w:marLeft w:val="0"/>
              <w:marRight w:val="0"/>
              <w:marTop w:val="0"/>
              <w:marBottom w:val="0"/>
              <w:divBdr>
                <w:top w:val="none" w:sz="0" w:space="0" w:color="auto"/>
                <w:left w:val="none" w:sz="0" w:space="0" w:color="auto"/>
                <w:bottom w:val="none" w:sz="0" w:space="0" w:color="auto"/>
                <w:right w:val="none" w:sz="0" w:space="0" w:color="auto"/>
              </w:divBdr>
            </w:div>
          </w:divsChild>
        </w:div>
        <w:div w:id="1327631024">
          <w:marLeft w:val="0"/>
          <w:marRight w:val="0"/>
          <w:marTop w:val="0"/>
          <w:marBottom w:val="0"/>
          <w:divBdr>
            <w:top w:val="none" w:sz="0" w:space="0" w:color="auto"/>
            <w:left w:val="none" w:sz="0" w:space="0" w:color="auto"/>
            <w:bottom w:val="none" w:sz="0" w:space="0" w:color="auto"/>
            <w:right w:val="none" w:sz="0" w:space="0" w:color="auto"/>
          </w:divBdr>
          <w:divsChild>
            <w:div w:id="1572347948">
              <w:marLeft w:val="0"/>
              <w:marRight w:val="0"/>
              <w:marTop w:val="0"/>
              <w:marBottom w:val="0"/>
              <w:divBdr>
                <w:top w:val="none" w:sz="0" w:space="0" w:color="auto"/>
                <w:left w:val="none" w:sz="0" w:space="0" w:color="auto"/>
                <w:bottom w:val="none" w:sz="0" w:space="0" w:color="auto"/>
                <w:right w:val="none" w:sz="0" w:space="0" w:color="auto"/>
              </w:divBdr>
            </w:div>
          </w:divsChild>
        </w:div>
        <w:div w:id="1336345085">
          <w:marLeft w:val="0"/>
          <w:marRight w:val="0"/>
          <w:marTop w:val="0"/>
          <w:marBottom w:val="0"/>
          <w:divBdr>
            <w:top w:val="none" w:sz="0" w:space="0" w:color="auto"/>
            <w:left w:val="none" w:sz="0" w:space="0" w:color="auto"/>
            <w:bottom w:val="none" w:sz="0" w:space="0" w:color="auto"/>
            <w:right w:val="none" w:sz="0" w:space="0" w:color="auto"/>
          </w:divBdr>
          <w:divsChild>
            <w:div w:id="938370067">
              <w:marLeft w:val="0"/>
              <w:marRight w:val="0"/>
              <w:marTop w:val="0"/>
              <w:marBottom w:val="0"/>
              <w:divBdr>
                <w:top w:val="none" w:sz="0" w:space="0" w:color="auto"/>
                <w:left w:val="none" w:sz="0" w:space="0" w:color="auto"/>
                <w:bottom w:val="none" w:sz="0" w:space="0" w:color="auto"/>
                <w:right w:val="none" w:sz="0" w:space="0" w:color="auto"/>
              </w:divBdr>
            </w:div>
          </w:divsChild>
        </w:div>
        <w:div w:id="1340889915">
          <w:marLeft w:val="0"/>
          <w:marRight w:val="0"/>
          <w:marTop w:val="0"/>
          <w:marBottom w:val="0"/>
          <w:divBdr>
            <w:top w:val="none" w:sz="0" w:space="0" w:color="auto"/>
            <w:left w:val="none" w:sz="0" w:space="0" w:color="auto"/>
            <w:bottom w:val="none" w:sz="0" w:space="0" w:color="auto"/>
            <w:right w:val="none" w:sz="0" w:space="0" w:color="auto"/>
          </w:divBdr>
          <w:divsChild>
            <w:div w:id="639960163">
              <w:marLeft w:val="0"/>
              <w:marRight w:val="0"/>
              <w:marTop w:val="0"/>
              <w:marBottom w:val="0"/>
              <w:divBdr>
                <w:top w:val="none" w:sz="0" w:space="0" w:color="auto"/>
                <w:left w:val="none" w:sz="0" w:space="0" w:color="auto"/>
                <w:bottom w:val="none" w:sz="0" w:space="0" w:color="auto"/>
                <w:right w:val="none" w:sz="0" w:space="0" w:color="auto"/>
              </w:divBdr>
            </w:div>
          </w:divsChild>
        </w:div>
        <w:div w:id="1345401517">
          <w:marLeft w:val="0"/>
          <w:marRight w:val="0"/>
          <w:marTop w:val="0"/>
          <w:marBottom w:val="0"/>
          <w:divBdr>
            <w:top w:val="none" w:sz="0" w:space="0" w:color="auto"/>
            <w:left w:val="none" w:sz="0" w:space="0" w:color="auto"/>
            <w:bottom w:val="none" w:sz="0" w:space="0" w:color="auto"/>
            <w:right w:val="none" w:sz="0" w:space="0" w:color="auto"/>
          </w:divBdr>
          <w:divsChild>
            <w:div w:id="1163548390">
              <w:marLeft w:val="0"/>
              <w:marRight w:val="0"/>
              <w:marTop w:val="0"/>
              <w:marBottom w:val="0"/>
              <w:divBdr>
                <w:top w:val="none" w:sz="0" w:space="0" w:color="auto"/>
                <w:left w:val="none" w:sz="0" w:space="0" w:color="auto"/>
                <w:bottom w:val="none" w:sz="0" w:space="0" w:color="auto"/>
                <w:right w:val="none" w:sz="0" w:space="0" w:color="auto"/>
              </w:divBdr>
            </w:div>
          </w:divsChild>
        </w:div>
        <w:div w:id="1346905489">
          <w:marLeft w:val="0"/>
          <w:marRight w:val="0"/>
          <w:marTop w:val="0"/>
          <w:marBottom w:val="0"/>
          <w:divBdr>
            <w:top w:val="none" w:sz="0" w:space="0" w:color="auto"/>
            <w:left w:val="none" w:sz="0" w:space="0" w:color="auto"/>
            <w:bottom w:val="none" w:sz="0" w:space="0" w:color="auto"/>
            <w:right w:val="none" w:sz="0" w:space="0" w:color="auto"/>
          </w:divBdr>
          <w:divsChild>
            <w:div w:id="1967615356">
              <w:marLeft w:val="0"/>
              <w:marRight w:val="0"/>
              <w:marTop w:val="0"/>
              <w:marBottom w:val="0"/>
              <w:divBdr>
                <w:top w:val="none" w:sz="0" w:space="0" w:color="auto"/>
                <w:left w:val="none" w:sz="0" w:space="0" w:color="auto"/>
                <w:bottom w:val="none" w:sz="0" w:space="0" w:color="auto"/>
                <w:right w:val="none" w:sz="0" w:space="0" w:color="auto"/>
              </w:divBdr>
            </w:div>
          </w:divsChild>
        </w:div>
        <w:div w:id="1371801855">
          <w:marLeft w:val="0"/>
          <w:marRight w:val="0"/>
          <w:marTop w:val="0"/>
          <w:marBottom w:val="0"/>
          <w:divBdr>
            <w:top w:val="none" w:sz="0" w:space="0" w:color="auto"/>
            <w:left w:val="none" w:sz="0" w:space="0" w:color="auto"/>
            <w:bottom w:val="none" w:sz="0" w:space="0" w:color="auto"/>
            <w:right w:val="none" w:sz="0" w:space="0" w:color="auto"/>
          </w:divBdr>
          <w:divsChild>
            <w:div w:id="274795706">
              <w:marLeft w:val="0"/>
              <w:marRight w:val="0"/>
              <w:marTop w:val="0"/>
              <w:marBottom w:val="0"/>
              <w:divBdr>
                <w:top w:val="none" w:sz="0" w:space="0" w:color="auto"/>
                <w:left w:val="none" w:sz="0" w:space="0" w:color="auto"/>
                <w:bottom w:val="none" w:sz="0" w:space="0" w:color="auto"/>
                <w:right w:val="none" w:sz="0" w:space="0" w:color="auto"/>
              </w:divBdr>
            </w:div>
          </w:divsChild>
        </w:div>
        <w:div w:id="1375696013">
          <w:marLeft w:val="0"/>
          <w:marRight w:val="0"/>
          <w:marTop w:val="0"/>
          <w:marBottom w:val="0"/>
          <w:divBdr>
            <w:top w:val="none" w:sz="0" w:space="0" w:color="auto"/>
            <w:left w:val="none" w:sz="0" w:space="0" w:color="auto"/>
            <w:bottom w:val="none" w:sz="0" w:space="0" w:color="auto"/>
            <w:right w:val="none" w:sz="0" w:space="0" w:color="auto"/>
          </w:divBdr>
          <w:divsChild>
            <w:div w:id="893586949">
              <w:marLeft w:val="0"/>
              <w:marRight w:val="0"/>
              <w:marTop w:val="0"/>
              <w:marBottom w:val="0"/>
              <w:divBdr>
                <w:top w:val="none" w:sz="0" w:space="0" w:color="auto"/>
                <w:left w:val="none" w:sz="0" w:space="0" w:color="auto"/>
                <w:bottom w:val="none" w:sz="0" w:space="0" w:color="auto"/>
                <w:right w:val="none" w:sz="0" w:space="0" w:color="auto"/>
              </w:divBdr>
            </w:div>
          </w:divsChild>
        </w:div>
        <w:div w:id="1390229637">
          <w:marLeft w:val="0"/>
          <w:marRight w:val="0"/>
          <w:marTop w:val="0"/>
          <w:marBottom w:val="0"/>
          <w:divBdr>
            <w:top w:val="none" w:sz="0" w:space="0" w:color="auto"/>
            <w:left w:val="none" w:sz="0" w:space="0" w:color="auto"/>
            <w:bottom w:val="none" w:sz="0" w:space="0" w:color="auto"/>
            <w:right w:val="none" w:sz="0" w:space="0" w:color="auto"/>
          </w:divBdr>
          <w:divsChild>
            <w:div w:id="643002308">
              <w:marLeft w:val="0"/>
              <w:marRight w:val="0"/>
              <w:marTop w:val="0"/>
              <w:marBottom w:val="0"/>
              <w:divBdr>
                <w:top w:val="none" w:sz="0" w:space="0" w:color="auto"/>
                <w:left w:val="none" w:sz="0" w:space="0" w:color="auto"/>
                <w:bottom w:val="none" w:sz="0" w:space="0" w:color="auto"/>
                <w:right w:val="none" w:sz="0" w:space="0" w:color="auto"/>
              </w:divBdr>
            </w:div>
          </w:divsChild>
        </w:div>
        <w:div w:id="1440100364">
          <w:marLeft w:val="0"/>
          <w:marRight w:val="0"/>
          <w:marTop w:val="0"/>
          <w:marBottom w:val="0"/>
          <w:divBdr>
            <w:top w:val="none" w:sz="0" w:space="0" w:color="auto"/>
            <w:left w:val="none" w:sz="0" w:space="0" w:color="auto"/>
            <w:bottom w:val="none" w:sz="0" w:space="0" w:color="auto"/>
            <w:right w:val="none" w:sz="0" w:space="0" w:color="auto"/>
          </w:divBdr>
          <w:divsChild>
            <w:div w:id="437146188">
              <w:marLeft w:val="0"/>
              <w:marRight w:val="0"/>
              <w:marTop w:val="0"/>
              <w:marBottom w:val="0"/>
              <w:divBdr>
                <w:top w:val="none" w:sz="0" w:space="0" w:color="auto"/>
                <w:left w:val="none" w:sz="0" w:space="0" w:color="auto"/>
                <w:bottom w:val="none" w:sz="0" w:space="0" w:color="auto"/>
                <w:right w:val="none" w:sz="0" w:space="0" w:color="auto"/>
              </w:divBdr>
            </w:div>
          </w:divsChild>
        </w:div>
        <w:div w:id="1515610154">
          <w:marLeft w:val="0"/>
          <w:marRight w:val="0"/>
          <w:marTop w:val="0"/>
          <w:marBottom w:val="0"/>
          <w:divBdr>
            <w:top w:val="none" w:sz="0" w:space="0" w:color="auto"/>
            <w:left w:val="none" w:sz="0" w:space="0" w:color="auto"/>
            <w:bottom w:val="none" w:sz="0" w:space="0" w:color="auto"/>
            <w:right w:val="none" w:sz="0" w:space="0" w:color="auto"/>
          </w:divBdr>
          <w:divsChild>
            <w:div w:id="1266156770">
              <w:marLeft w:val="0"/>
              <w:marRight w:val="0"/>
              <w:marTop w:val="0"/>
              <w:marBottom w:val="0"/>
              <w:divBdr>
                <w:top w:val="none" w:sz="0" w:space="0" w:color="auto"/>
                <w:left w:val="none" w:sz="0" w:space="0" w:color="auto"/>
                <w:bottom w:val="none" w:sz="0" w:space="0" w:color="auto"/>
                <w:right w:val="none" w:sz="0" w:space="0" w:color="auto"/>
              </w:divBdr>
            </w:div>
          </w:divsChild>
        </w:div>
        <w:div w:id="1528257809">
          <w:marLeft w:val="0"/>
          <w:marRight w:val="0"/>
          <w:marTop w:val="0"/>
          <w:marBottom w:val="0"/>
          <w:divBdr>
            <w:top w:val="none" w:sz="0" w:space="0" w:color="auto"/>
            <w:left w:val="none" w:sz="0" w:space="0" w:color="auto"/>
            <w:bottom w:val="none" w:sz="0" w:space="0" w:color="auto"/>
            <w:right w:val="none" w:sz="0" w:space="0" w:color="auto"/>
          </w:divBdr>
          <w:divsChild>
            <w:div w:id="135027577">
              <w:marLeft w:val="0"/>
              <w:marRight w:val="0"/>
              <w:marTop w:val="0"/>
              <w:marBottom w:val="0"/>
              <w:divBdr>
                <w:top w:val="none" w:sz="0" w:space="0" w:color="auto"/>
                <w:left w:val="none" w:sz="0" w:space="0" w:color="auto"/>
                <w:bottom w:val="none" w:sz="0" w:space="0" w:color="auto"/>
                <w:right w:val="none" w:sz="0" w:space="0" w:color="auto"/>
              </w:divBdr>
            </w:div>
          </w:divsChild>
        </w:div>
        <w:div w:id="1533612263">
          <w:marLeft w:val="0"/>
          <w:marRight w:val="0"/>
          <w:marTop w:val="0"/>
          <w:marBottom w:val="0"/>
          <w:divBdr>
            <w:top w:val="none" w:sz="0" w:space="0" w:color="auto"/>
            <w:left w:val="none" w:sz="0" w:space="0" w:color="auto"/>
            <w:bottom w:val="none" w:sz="0" w:space="0" w:color="auto"/>
            <w:right w:val="none" w:sz="0" w:space="0" w:color="auto"/>
          </w:divBdr>
          <w:divsChild>
            <w:div w:id="512650757">
              <w:marLeft w:val="0"/>
              <w:marRight w:val="0"/>
              <w:marTop w:val="0"/>
              <w:marBottom w:val="0"/>
              <w:divBdr>
                <w:top w:val="none" w:sz="0" w:space="0" w:color="auto"/>
                <w:left w:val="none" w:sz="0" w:space="0" w:color="auto"/>
                <w:bottom w:val="none" w:sz="0" w:space="0" w:color="auto"/>
                <w:right w:val="none" w:sz="0" w:space="0" w:color="auto"/>
              </w:divBdr>
            </w:div>
          </w:divsChild>
        </w:div>
        <w:div w:id="1538350576">
          <w:marLeft w:val="0"/>
          <w:marRight w:val="0"/>
          <w:marTop w:val="0"/>
          <w:marBottom w:val="0"/>
          <w:divBdr>
            <w:top w:val="none" w:sz="0" w:space="0" w:color="auto"/>
            <w:left w:val="none" w:sz="0" w:space="0" w:color="auto"/>
            <w:bottom w:val="none" w:sz="0" w:space="0" w:color="auto"/>
            <w:right w:val="none" w:sz="0" w:space="0" w:color="auto"/>
          </w:divBdr>
          <w:divsChild>
            <w:div w:id="1668678265">
              <w:marLeft w:val="0"/>
              <w:marRight w:val="0"/>
              <w:marTop w:val="0"/>
              <w:marBottom w:val="0"/>
              <w:divBdr>
                <w:top w:val="none" w:sz="0" w:space="0" w:color="auto"/>
                <w:left w:val="none" w:sz="0" w:space="0" w:color="auto"/>
                <w:bottom w:val="none" w:sz="0" w:space="0" w:color="auto"/>
                <w:right w:val="none" w:sz="0" w:space="0" w:color="auto"/>
              </w:divBdr>
            </w:div>
          </w:divsChild>
        </w:div>
        <w:div w:id="1540776277">
          <w:marLeft w:val="0"/>
          <w:marRight w:val="0"/>
          <w:marTop w:val="0"/>
          <w:marBottom w:val="0"/>
          <w:divBdr>
            <w:top w:val="none" w:sz="0" w:space="0" w:color="auto"/>
            <w:left w:val="none" w:sz="0" w:space="0" w:color="auto"/>
            <w:bottom w:val="none" w:sz="0" w:space="0" w:color="auto"/>
            <w:right w:val="none" w:sz="0" w:space="0" w:color="auto"/>
          </w:divBdr>
          <w:divsChild>
            <w:div w:id="885338198">
              <w:marLeft w:val="0"/>
              <w:marRight w:val="0"/>
              <w:marTop w:val="0"/>
              <w:marBottom w:val="0"/>
              <w:divBdr>
                <w:top w:val="none" w:sz="0" w:space="0" w:color="auto"/>
                <w:left w:val="none" w:sz="0" w:space="0" w:color="auto"/>
                <w:bottom w:val="none" w:sz="0" w:space="0" w:color="auto"/>
                <w:right w:val="none" w:sz="0" w:space="0" w:color="auto"/>
              </w:divBdr>
            </w:div>
          </w:divsChild>
        </w:div>
        <w:div w:id="1549336827">
          <w:marLeft w:val="0"/>
          <w:marRight w:val="0"/>
          <w:marTop w:val="0"/>
          <w:marBottom w:val="0"/>
          <w:divBdr>
            <w:top w:val="none" w:sz="0" w:space="0" w:color="auto"/>
            <w:left w:val="none" w:sz="0" w:space="0" w:color="auto"/>
            <w:bottom w:val="none" w:sz="0" w:space="0" w:color="auto"/>
            <w:right w:val="none" w:sz="0" w:space="0" w:color="auto"/>
          </w:divBdr>
          <w:divsChild>
            <w:div w:id="244807651">
              <w:marLeft w:val="0"/>
              <w:marRight w:val="0"/>
              <w:marTop w:val="0"/>
              <w:marBottom w:val="0"/>
              <w:divBdr>
                <w:top w:val="none" w:sz="0" w:space="0" w:color="auto"/>
                <w:left w:val="none" w:sz="0" w:space="0" w:color="auto"/>
                <w:bottom w:val="none" w:sz="0" w:space="0" w:color="auto"/>
                <w:right w:val="none" w:sz="0" w:space="0" w:color="auto"/>
              </w:divBdr>
            </w:div>
          </w:divsChild>
        </w:div>
        <w:div w:id="1553886803">
          <w:marLeft w:val="0"/>
          <w:marRight w:val="0"/>
          <w:marTop w:val="0"/>
          <w:marBottom w:val="0"/>
          <w:divBdr>
            <w:top w:val="none" w:sz="0" w:space="0" w:color="auto"/>
            <w:left w:val="none" w:sz="0" w:space="0" w:color="auto"/>
            <w:bottom w:val="none" w:sz="0" w:space="0" w:color="auto"/>
            <w:right w:val="none" w:sz="0" w:space="0" w:color="auto"/>
          </w:divBdr>
          <w:divsChild>
            <w:div w:id="1600407810">
              <w:marLeft w:val="0"/>
              <w:marRight w:val="0"/>
              <w:marTop w:val="0"/>
              <w:marBottom w:val="0"/>
              <w:divBdr>
                <w:top w:val="none" w:sz="0" w:space="0" w:color="auto"/>
                <w:left w:val="none" w:sz="0" w:space="0" w:color="auto"/>
                <w:bottom w:val="none" w:sz="0" w:space="0" w:color="auto"/>
                <w:right w:val="none" w:sz="0" w:space="0" w:color="auto"/>
              </w:divBdr>
            </w:div>
          </w:divsChild>
        </w:div>
        <w:div w:id="1591695176">
          <w:marLeft w:val="0"/>
          <w:marRight w:val="0"/>
          <w:marTop w:val="0"/>
          <w:marBottom w:val="0"/>
          <w:divBdr>
            <w:top w:val="none" w:sz="0" w:space="0" w:color="auto"/>
            <w:left w:val="none" w:sz="0" w:space="0" w:color="auto"/>
            <w:bottom w:val="none" w:sz="0" w:space="0" w:color="auto"/>
            <w:right w:val="none" w:sz="0" w:space="0" w:color="auto"/>
          </w:divBdr>
          <w:divsChild>
            <w:div w:id="502745599">
              <w:marLeft w:val="0"/>
              <w:marRight w:val="0"/>
              <w:marTop w:val="0"/>
              <w:marBottom w:val="0"/>
              <w:divBdr>
                <w:top w:val="none" w:sz="0" w:space="0" w:color="auto"/>
                <w:left w:val="none" w:sz="0" w:space="0" w:color="auto"/>
                <w:bottom w:val="none" w:sz="0" w:space="0" w:color="auto"/>
                <w:right w:val="none" w:sz="0" w:space="0" w:color="auto"/>
              </w:divBdr>
            </w:div>
          </w:divsChild>
        </w:div>
        <w:div w:id="1638801298">
          <w:marLeft w:val="0"/>
          <w:marRight w:val="0"/>
          <w:marTop w:val="0"/>
          <w:marBottom w:val="0"/>
          <w:divBdr>
            <w:top w:val="none" w:sz="0" w:space="0" w:color="auto"/>
            <w:left w:val="none" w:sz="0" w:space="0" w:color="auto"/>
            <w:bottom w:val="none" w:sz="0" w:space="0" w:color="auto"/>
            <w:right w:val="none" w:sz="0" w:space="0" w:color="auto"/>
          </w:divBdr>
          <w:divsChild>
            <w:div w:id="1370567132">
              <w:marLeft w:val="0"/>
              <w:marRight w:val="0"/>
              <w:marTop w:val="0"/>
              <w:marBottom w:val="0"/>
              <w:divBdr>
                <w:top w:val="none" w:sz="0" w:space="0" w:color="auto"/>
                <w:left w:val="none" w:sz="0" w:space="0" w:color="auto"/>
                <w:bottom w:val="none" w:sz="0" w:space="0" w:color="auto"/>
                <w:right w:val="none" w:sz="0" w:space="0" w:color="auto"/>
              </w:divBdr>
            </w:div>
          </w:divsChild>
        </w:div>
        <w:div w:id="1648628721">
          <w:marLeft w:val="0"/>
          <w:marRight w:val="0"/>
          <w:marTop w:val="0"/>
          <w:marBottom w:val="0"/>
          <w:divBdr>
            <w:top w:val="none" w:sz="0" w:space="0" w:color="auto"/>
            <w:left w:val="none" w:sz="0" w:space="0" w:color="auto"/>
            <w:bottom w:val="none" w:sz="0" w:space="0" w:color="auto"/>
            <w:right w:val="none" w:sz="0" w:space="0" w:color="auto"/>
          </w:divBdr>
          <w:divsChild>
            <w:div w:id="2097432020">
              <w:marLeft w:val="0"/>
              <w:marRight w:val="0"/>
              <w:marTop w:val="0"/>
              <w:marBottom w:val="0"/>
              <w:divBdr>
                <w:top w:val="none" w:sz="0" w:space="0" w:color="auto"/>
                <w:left w:val="none" w:sz="0" w:space="0" w:color="auto"/>
                <w:bottom w:val="none" w:sz="0" w:space="0" w:color="auto"/>
                <w:right w:val="none" w:sz="0" w:space="0" w:color="auto"/>
              </w:divBdr>
            </w:div>
          </w:divsChild>
        </w:div>
        <w:div w:id="1658420451">
          <w:marLeft w:val="0"/>
          <w:marRight w:val="0"/>
          <w:marTop w:val="0"/>
          <w:marBottom w:val="0"/>
          <w:divBdr>
            <w:top w:val="none" w:sz="0" w:space="0" w:color="auto"/>
            <w:left w:val="none" w:sz="0" w:space="0" w:color="auto"/>
            <w:bottom w:val="none" w:sz="0" w:space="0" w:color="auto"/>
            <w:right w:val="none" w:sz="0" w:space="0" w:color="auto"/>
          </w:divBdr>
          <w:divsChild>
            <w:div w:id="1541016906">
              <w:marLeft w:val="0"/>
              <w:marRight w:val="0"/>
              <w:marTop w:val="0"/>
              <w:marBottom w:val="0"/>
              <w:divBdr>
                <w:top w:val="none" w:sz="0" w:space="0" w:color="auto"/>
                <w:left w:val="none" w:sz="0" w:space="0" w:color="auto"/>
                <w:bottom w:val="none" w:sz="0" w:space="0" w:color="auto"/>
                <w:right w:val="none" w:sz="0" w:space="0" w:color="auto"/>
              </w:divBdr>
            </w:div>
          </w:divsChild>
        </w:div>
        <w:div w:id="1707830412">
          <w:marLeft w:val="0"/>
          <w:marRight w:val="0"/>
          <w:marTop w:val="0"/>
          <w:marBottom w:val="0"/>
          <w:divBdr>
            <w:top w:val="none" w:sz="0" w:space="0" w:color="auto"/>
            <w:left w:val="none" w:sz="0" w:space="0" w:color="auto"/>
            <w:bottom w:val="none" w:sz="0" w:space="0" w:color="auto"/>
            <w:right w:val="none" w:sz="0" w:space="0" w:color="auto"/>
          </w:divBdr>
          <w:divsChild>
            <w:div w:id="846361521">
              <w:marLeft w:val="0"/>
              <w:marRight w:val="0"/>
              <w:marTop w:val="0"/>
              <w:marBottom w:val="0"/>
              <w:divBdr>
                <w:top w:val="none" w:sz="0" w:space="0" w:color="auto"/>
                <w:left w:val="none" w:sz="0" w:space="0" w:color="auto"/>
                <w:bottom w:val="none" w:sz="0" w:space="0" w:color="auto"/>
                <w:right w:val="none" w:sz="0" w:space="0" w:color="auto"/>
              </w:divBdr>
            </w:div>
          </w:divsChild>
        </w:div>
        <w:div w:id="1719819161">
          <w:marLeft w:val="0"/>
          <w:marRight w:val="0"/>
          <w:marTop w:val="0"/>
          <w:marBottom w:val="0"/>
          <w:divBdr>
            <w:top w:val="none" w:sz="0" w:space="0" w:color="auto"/>
            <w:left w:val="none" w:sz="0" w:space="0" w:color="auto"/>
            <w:bottom w:val="none" w:sz="0" w:space="0" w:color="auto"/>
            <w:right w:val="none" w:sz="0" w:space="0" w:color="auto"/>
          </w:divBdr>
          <w:divsChild>
            <w:div w:id="160510251">
              <w:marLeft w:val="0"/>
              <w:marRight w:val="0"/>
              <w:marTop w:val="0"/>
              <w:marBottom w:val="0"/>
              <w:divBdr>
                <w:top w:val="none" w:sz="0" w:space="0" w:color="auto"/>
                <w:left w:val="none" w:sz="0" w:space="0" w:color="auto"/>
                <w:bottom w:val="none" w:sz="0" w:space="0" w:color="auto"/>
                <w:right w:val="none" w:sz="0" w:space="0" w:color="auto"/>
              </w:divBdr>
            </w:div>
          </w:divsChild>
        </w:div>
        <w:div w:id="1723366234">
          <w:marLeft w:val="0"/>
          <w:marRight w:val="0"/>
          <w:marTop w:val="0"/>
          <w:marBottom w:val="0"/>
          <w:divBdr>
            <w:top w:val="none" w:sz="0" w:space="0" w:color="auto"/>
            <w:left w:val="none" w:sz="0" w:space="0" w:color="auto"/>
            <w:bottom w:val="none" w:sz="0" w:space="0" w:color="auto"/>
            <w:right w:val="none" w:sz="0" w:space="0" w:color="auto"/>
          </w:divBdr>
          <w:divsChild>
            <w:div w:id="2122802539">
              <w:marLeft w:val="0"/>
              <w:marRight w:val="0"/>
              <w:marTop w:val="0"/>
              <w:marBottom w:val="0"/>
              <w:divBdr>
                <w:top w:val="none" w:sz="0" w:space="0" w:color="auto"/>
                <w:left w:val="none" w:sz="0" w:space="0" w:color="auto"/>
                <w:bottom w:val="none" w:sz="0" w:space="0" w:color="auto"/>
                <w:right w:val="none" w:sz="0" w:space="0" w:color="auto"/>
              </w:divBdr>
            </w:div>
          </w:divsChild>
        </w:div>
        <w:div w:id="1729498906">
          <w:marLeft w:val="0"/>
          <w:marRight w:val="0"/>
          <w:marTop w:val="0"/>
          <w:marBottom w:val="0"/>
          <w:divBdr>
            <w:top w:val="none" w:sz="0" w:space="0" w:color="auto"/>
            <w:left w:val="none" w:sz="0" w:space="0" w:color="auto"/>
            <w:bottom w:val="none" w:sz="0" w:space="0" w:color="auto"/>
            <w:right w:val="none" w:sz="0" w:space="0" w:color="auto"/>
          </w:divBdr>
          <w:divsChild>
            <w:div w:id="314847124">
              <w:marLeft w:val="0"/>
              <w:marRight w:val="0"/>
              <w:marTop w:val="0"/>
              <w:marBottom w:val="0"/>
              <w:divBdr>
                <w:top w:val="none" w:sz="0" w:space="0" w:color="auto"/>
                <w:left w:val="none" w:sz="0" w:space="0" w:color="auto"/>
                <w:bottom w:val="none" w:sz="0" w:space="0" w:color="auto"/>
                <w:right w:val="none" w:sz="0" w:space="0" w:color="auto"/>
              </w:divBdr>
            </w:div>
          </w:divsChild>
        </w:div>
        <w:div w:id="1746142571">
          <w:marLeft w:val="0"/>
          <w:marRight w:val="0"/>
          <w:marTop w:val="0"/>
          <w:marBottom w:val="0"/>
          <w:divBdr>
            <w:top w:val="none" w:sz="0" w:space="0" w:color="auto"/>
            <w:left w:val="none" w:sz="0" w:space="0" w:color="auto"/>
            <w:bottom w:val="none" w:sz="0" w:space="0" w:color="auto"/>
            <w:right w:val="none" w:sz="0" w:space="0" w:color="auto"/>
          </w:divBdr>
          <w:divsChild>
            <w:div w:id="1671373509">
              <w:marLeft w:val="0"/>
              <w:marRight w:val="0"/>
              <w:marTop w:val="0"/>
              <w:marBottom w:val="0"/>
              <w:divBdr>
                <w:top w:val="none" w:sz="0" w:space="0" w:color="auto"/>
                <w:left w:val="none" w:sz="0" w:space="0" w:color="auto"/>
                <w:bottom w:val="none" w:sz="0" w:space="0" w:color="auto"/>
                <w:right w:val="none" w:sz="0" w:space="0" w:color="auto"/>
              </w:divBdr>
            </w:div>
          </w:divsChild>
        </w:div>
        <w:div w:id="1755472592">
          <w:marLeft w:val="0"/>
          <w:marRight w:val="0"/>
          <w:marTop w:val="0"/>
          <w:marBottom w:val="0"/>
          <w:divBdr>
            <w:top w:val="none" w:sz="0" w:space="0" w:color="auto"/>
            <w:left w:val="none" w:sz="0" w:space="0" w:color="auto"/>
            <w:bottom w:val="none" w:sz="0" w:space="0" w:color="auto"/>
            <w:right w:val="none" w:sz="0" w:space="0" w:color="auto"/>
          </w:divBdr>
          <w:divsChild>
            <w:div w:id="447628325">
              <w:marLeft w:val="0"/>
              <w:marRight w:val="0"/>
              <w:marTop w:val="0"/>
              <w:marBottom w:val="0"/>
              <w:divBdr>
                <w:top w:val="none" w:sz="0" w:space="0" w:color="auto"/>
                <w:left w:val="none" w:sz="0" w:space="0" w:color="auto"/>
                <w:bottom w:val="none" w:sz="0" w:space="0" w:color="auto"/>
                <w:right w:val="none" w:sz="0" w:space="0" w:color="auto"/>
              </w:divBdr>
            </w:div>
          </w:divsChild>
        </w:div>
        <w:div w:id="1755784458">
          <w:marLeft w:val="0"/>
          <w:marRight w:val="0"/>
          <w:marTop w:val="0"/>
          <w:marBottom w:val="0"/>
          <w:divBdr>
            <w:top w:val="none" w:sz="0" w:space="0" w:color="auto"/>
            <w:left w:val="none" w:sz="0" w:space="0" w:color="auto"/>
            <w:bottom w:val="none" w:sz="0" w:space="0" w:color="auto"/>
            <w:right w:val="none" w:sz="0" w:space="0" w:color="auto"/>
          </w:divBdr>
          <w:divsChild>
            <w:div w:id="1598321411">
              <w:marLeft w:val="0"/>
              <w:marRight w:val="0"/>
              <w:marTop w:val="0"/>
              <w:marBottom w:val="0"/>
              <w:divBdr>
                <w:top w:val="none" w:sz="0" w:space="0" w:color="auto"/>
                <w:left w:val="none" w:sz="0" w:space="0" w:color="auto"/>
                <w:bottom w:val="none" w:sz="0" w:space="0" w:color="auto"/>
                <w:right w:val="none" w:sz="0" w:space="0" w:color="auto"/>
              </w:divBdr>
            </w:div>
          </w:divsChild>
        </w:div>
        <w:div w:id="1829586876">
          <w:marLeft w:val="0"/>
          <w:marRight w:val="0"/>
          <w:marTop w:val="0"/>
          <w:marBottom w:val="0"/>
          <w:divBdr>
            <w:top w:val="none" w:sz="0" w:space="0" w:color="auto"/>
            <w:left w:val="none" w:sz="0" w:space="0" w:color="auto"/>
            <w:bottom w:val="none" w:sz="0" w:space="0" w:color="auto"/>
            <w:right w:val="none" w:sz="0" w:space="0" w:color="auto"/>
          </w:divBdr>
          <w:divsChild>
            <w:div w:id="194851573">
              <w:marLeft w:val="0"/>
              <w:marRight w:val="0"/>
              <w:marTop w:val="0"/>
              <w:marBottom w:val="0"/>
              <w:divBdr>
                <w:top w:val="none" w:sz="0" w:space="0" w:color="auto"/>
                <w:left w:val="none" w:sz="0" w:space="0" w:color="auto"/>
                <w:bottom w:val="none" w:sz="0" w:space="0" w:color="auto"/>
                <w:right w:val="none" w:sz="0" w:space="0" w:color="auto"/>
              </w:divBdr>
            </w:div>
          </w:divsChild>
        </w:div>
        <w:div w:id="1879932882">
          <w:marLeft w:val="0"/>
          <w:marRight w:val="0"/>
          <w:marTop w:val="0"/>
          <w:marBottom w:val="0"/>
          <w:divBdr>
            <w:top w:val="none" w:sz="0" w:space="0" w:color="auto"/>
            <w:left w:val="none" w:sz="0" w:space="0" w:color="auto"/>
            <w:bottom w:val="none" w:sz="0" w:space="0" w:color="auto"/>
            <w:right w:val="none" w:sz="0" w:space="0" w:color="auto"/>
          </w:divBdr>
          <w:divsChild>
            <w:div w:id="798305379">
              <w:marLeft w:val="0"/>
              <w:marRight w:val="0"/>
              <w:marTop w:val="0"/>
              <w:marBottom w:val="0"/>
              <w:divBdr>
                <w:top w:val="none" w:sz="0" w:space="0" w:color="auto"/>
                <w:left w:val="none" w:sz="0" w:space="0" w:color="auto"/>
                <w:bottom w:val="none" w:sz="0" w:space="0" w:color="auto"/>
                <w:right w:val="none" w:sz="0" w:space="0" w:color="auto"/>
              </w:divBdr>
            </w:div>
          </w:divsChild>
        </w:div>
        <w:div w:id="1895579414">
          <w:marLeft w:val="0"/>
          <w:marRight w:val="0"/>
          <w:marTop w:val="0"/>
          <w:marBottom w:val="0"/>
          <w:divBdr>
            <w:top w:val="none" w:sz="0" w:space="0" w:color="auto"/>
            <w:left w:val="none" w:sz="0" w:space="0" w:color="auto"/>
            <w:bottom w:val="none" w:sz="0" w:space="0" w:color="auto"/>
            <w:right w:val="none" w:sz="0" w:space="0" w:color="auto"/>
          </w:divBdr>
          <w:divsChild>
            <w:div w:id="1089691334">
              <w:marLeft w:val="0"/>
              <w:marRight w:val="0"/>
              <w:marTop w:val="0"/>
              <w:marBottom w:val="0"/>
              <w:divBdr>
                <w:top w:val="none" w:sz="0" w:space="0" w:color="auto"/>
                <w:left w:val="none" w:sz="0" w:space="0" w:color="auto"/>
                <w:bottom w:val="none" w:sz="0" w:space="0" w:color="auto"/>
                <w:right w:val="none" w:sz="0" w:space="0" w:color="auto"/>
              </w:divBdr>
            </w:div>
          </w:divsChild>
        </w:div>
        <w:div w:id="1906987043">
          <w:marLeft w:val="0"/>
          <w:marRight w:val="0"/>
          <w:marTop w:val="0"/>
          <w:marBottom w:val="0"/>
          <w:divBdr>
            <w:top w:val="none" w:sz="0" w:space="0" w:color="auto"/>
            <w:left w:val="none" w:sz="0" w:space="0" w:color="auto"/>
            <w:bottom w:val="none" w:sz="0" w:space="0" w:color="auto"/>
            <w:right w:val="none" w:sz="0" w:space="0" w:color="auto"/>
          </w:divBdr>
          <w:divsChild>
            <w:div w:id="95906569">
              <w:marLeft w:val="0"/>
              <w:marRight w:val="0"/>
              <w:marTop w:val="0"/>
              <w:marBottom w:val="0"/>
              <w:divBdr>
                <w:top w:val="none" w:sz="0" w:space="0" w:color="auto"/>
                <w:left w:val="none" w:sz="0" w:space="0" w:color="auto"/>
                <w:bottom w:val="none" w:sz="0" w:space="0" w:color="auto"/>
                <w:right w:val="none" w:sz="0" w:space="0" w:color="auto"/>
              </w:divBdr>
            </w:div>
          </w:divsChild>
        </w:div>
        <w:div w:id="1907299384">
          <w:marLeft w:val="0"/>
          <w:marRight w:val="0"/>
          <w:marTop w:val="0"/>
          <w:marBottom w:val="0"/>
          <w:divBdr>
            <w:top w:val="none" w:sz="0" w:space="0" w:color="auto"/>
            <w:left w:val="none" w:sz="0" w:space="0" w:color="auto"/>
            <w:bottom w:val="none" w:sz="0" w:space="0" w:color="auto"/>
            <w:right w:val="none" w:sz="0" w:space="0" w:color="auto"/>
          </w:divBdr>
          <w:divsChild>
            <w:div w:id="1577127002">
              <w:marLeft w:val="0"/>
              <w:marRight w:val="0"/>
              <w:marTop w:val="0"/>
              <w:marBottom w:val="0"/>
              <w:divBdr>
                <w:top w:val="none" w:sz="0" w:space="0" w:color="auto"/>
                <w:left w:val="none" w:sz="0" w:space="0" w:color="auto"/>
                <w:bottom w:val="none" w:sz="0" w:space="0" w:color="auto"/>
                <w:right w:val="none" w:sz="0" w:space="0" w:color="auto"/>
              </w:divBdr>
            </w:div>
          </w:divsChild>
        </w:div>
        <w:div w:id="1914585344">
          <w:marLeft w:val="0"/>
          <w:marRight w:val="0"/>
          <w:marTop w:val="0"/>
          <w:marBottom w:val="0"/>
          <w:divBdr>
            <w:top w:val="none" w:sz="0" w:space="0" w:color="auto"/>
            <w:left w:val="none" w:sz="0" w:space="0" w:color="auto"/>
            <w:bottom w:val="none" w:sz="0" w:space="0" w:color="auto"/>
            <w:right w:val="none" w:sz="0" w:space="0" w:color="auto"/>
          </w:divBdr>
          <w:divsChild>
            <w:div w:id="511533459">
              <w:marLeft w:val="0"/>
              <w:marRight w:val="0"/>
              <w:marTop w:val="0"/>
              <w:marBottom w:val="0"/>
              <w:divBdr>
                <w:top w:val="none" w:sz="0" w:space="0" w:color="auto"/>
                <w:left w:val="none" w:sz="0" w:space="0" w:color="auto"/>
                <w:bottom w:val="none" w:sz="0" w:space="0" w:color="auto"/>
                <w:right w:val="none" w:sz="0" w:space="0" w:color="auto"/>
              </w:divBdr>
            </w:div>
          </w:divsChild>
        </w:div>
        <w:div w:id="1943032633">
          <w:marLeft w:val="0"/>
          <w:marRight w:val="0"/>
          <w:marTop w:val="0"/>
          <w:marBottom w:val="0"/>
          <w:divBdr>
            <w:top w:val="none" w:sz="0" w:space="0" w:color="auto"/>
            <w:left w:val="none" w:sz="0" w:space="0" w:color="auto"/>
            <w:bottom w:val="none" w:sz="0" w:space="0" w:color="auto"/>
            <w:right w:val="none" w:sz="0" w:space="0" w:color="auto"/>
          </w:divBdr>
          <w:divsChild>
            <w:div w:id="756748512">
              <w:marLeft w:val="0"/>
              <w:marRight w:val="0"/>
              <w:marTop w:val="0"/>
              <w:marBottom w:val="0"/>
              <w:divBdr>
                <w:top w:val="none" w:sz="0" w:space="0" w:color="auto"/>
                <w:left w:val="none" w:sz="0" w:space="0" w:color="auto"/>
                <w:bottom w:val="none" w:sz="0" w:space="0" w:color="auto"/>
                <w:right w:val="none" w:sz="0" w:space="0" w:color="auto"/>
              </w:divBdr>
            </w:div>
          </w:divsChild>
        </w:div>
        <w:div w:id="1965580355">
          <w:marLeft w:val="0"/>
          <w:marRight w:val="0"/>
          <w:marTop w:val="0"/>
          <w:marBottom w:val="0"/>
          <w:divBdr>
            <w:top w:val="none" w:sz="0" w:space="0" w:color="auto"/>
            <w:left w:val="none" w:sz="0" w:space="0" w:color="auto"/>
            <w:bottom w:val="none" w:sz="0" w:space="0" w:color="auto"/>
            <w:right w:val="none" w:sz="0" w:space="0" w:color="auto"/>
          </w:divBdr>
          <w:divsChild>
            <w:div w:id="1868644096">
              <w:marLeft w:val="0"/>
              <w:marRight w:val="0"/>
              <w:marTop w:val="0"/>
              <w:marBottom w:val="0"/>
              <w:divBdr>
                <w:top w:val="none" w:sz="0" w:space="0" w:color="auto"/>
                <w:left w:val="none" w:sz="0" w:space="0" w:color="auto"/>
                <w:bottom w:val="none" w:sz="0" w:space="0" w:color="auto"/>
                <w:right w:val="none" w:sz="0" w:space="0" w:color="auto"/>
              </w:divBdr>
            </w:div>
          </w:divsChild>
        </w:div>
        <w:div w:id="1987202680">
          <w:marLeft w:val="0"/>
          <w:marRight w:val="0"/>
          <w:marTop w:val="0"/>
          <w:marBottom w:val="0"/>
          <w:divBdr>
            <w:top w:val="none" w:sz="0" w:space="0" w:color="auto"/>
            <w:left w:val="none" w:sz="0" w:space="0" w:color="auto"/>
            <w:bottom w:val="none" w:sz="0" w:space="0" w:color="auto"/>
            <w:right w:val="none" w:sz="0" w:space="0" w:color="auto"/>
          </w:divBdr>
          <w:divsChild>
            <w:div w:id="792408210">
              <w:marLeft w:val="0"/>
              <w:marRight w:val="0"/>
              <w:marTop w:val="0"/>
              <w:marBottom w:val="0"/>
              <w:divBdr>
                <w:top w:val="none" w:sz="0" w:space="0" w:color="auto"/>
                <w:left w:val="none" w:sz="0" w:space="0" w:color="auto"/>
                <w:bottom w:val="none" w:sz="0" w:space="0" w:color="auto"/>
                <w:right w:val="none" w:sz="0" w:space="0" w:color="auto"/>
              </w:divBdr>
            </w:div>
          </w:divsChild>
        </w:div>
        <w:div w:id="1995646481">
          <w:marLeft w:val="0"/>
          <w:marRight w:val="0"/>
          <w:marTop w:val="0"/>
          <w:marBottom w:val="0"/>
          <w:divBdr>
            <w:top w:val="none" w:sz="0" w:space="0" w:color="auto"/>
            <w:left w:val="none" w:sz="0" w:space="0" w:color="auto"/>
            <w:bottom w:val="none" w:sz="0" w:space="0" w:color="auto"/>
            <w:right w:val="none" w:sz="0" w:space="0" w:color="auto"/>
          </w:divBdr>
          <w:divsChild>
            <w:div w:id="971790545">
              <w:marLeft w:val="0"/>
              <w:marRight w:val="0"/>
              <w:marTop w:val="0"/>
              <w:marBottom w:val="0"/>
              <w:divBdr>
                <w:top w:val="none" w:sz="0" w:space="0" w:color="auto"/>
                <w:left w:val="none" w:sz="0" w:space="0" w:color="auto"/>
                <w:bottom w:val="none" w:sz="0" w:space="0" w:color="auto"/>
                <w:right w:val="none" w:sz="0" w:space="0" w:color="auto"/>
              </w:divBdr>
            </w:div>
          </w:divsChild>
        </w:div>
        <w:div w:id="1998336539">
          <w:marLeft w:val="0"/>
          <w:marRight w:val="0"/>
          <w:marTop w:val="0"/>
          <w:marBottom w:val="0"/>
          <w:divBdr>
            <w:top w:val="none" w:sz="0" w:space="0" w:color="auto"/>
            <w:left w:val="none" w:sz="0" w:space="0" w:color="auto"/>
            <w:bottom w:val="none" w:sz="0" w:space="0" w:color="auto"/>
            <w:right w:val="none" w:sz="0" w:space="0" w:color="auto"/>
          </w:divBdr>
          <w:divsChild>
            <w:div w:id="487674559">
              <w:marLeft w:val="0"/>
              <w:marRight w:val="0"/>
              <w:marTop w:val="0"/>
              <w:marBottom w:val="0"/>
              <w:divBdr>
                <w:top w:val="none" w:sz="0" w:space="0" w:color="auto"/>
                <w:left w:val="none" w:sz="0" w:space="0" w:color="auto"/>
                <w:bottom w:val="none" w:sz="0" w:space="0" w:color="auto"/>
                <w:right w:val="none" w:sz="0" w:space="0" w:color="auto"/>
              </w:divBdr>
            </w:div>
          </w:divsChild>
        </w:div>
        <w:div w:id="2037845913">
          <w:marLeft w:val="0"/>
          <w:marRight w:val="0"/>
          <w:marTop w:val="0"/>
          <w:marBottom w:val="0"/>
          <w:divBdr>
            <w:top w:val="none" w:sz="0" w:space="0" w:color="auto"/>
            <w:left w:val="none" w:sz="0" w:space="0" w:color="auto"/>
            <w:bottom w:val="none" w:sz="0" w:space="0" w:color="auto"/>
            <w:right w:val="none" w:sz="0" w:space="0" w:color="auto"/>
          </w:divBdr>
          <w:divsChild>
            <w:div w:id="57630396">
              <w:marLeft w:val="0"/>
              <w:marRight w:val="0"/>
              <w:marTop w:val="0"/>
              <w:marBottom w:val="0"/>
              <w:divBdr>
                <w:top w:val="none" w:sz="0" w:space="0" w:color="auto"/>
                <w:left w:val="none" w:sz="0" w:space="0" w:color="auto"/>
                <w:bottom w:val="none" w:sz="0" w:space="0" w:color="auto"/>
                <w:right w:val="none" w:sz="0" w:space="0" w:color="auto"/>
              </w:divBdr>
            </w:div>
          </w:divsChild>
        </w:div>
        <w:div w:id="2094160699">
          <w:marLeft w:val="0"/>
          <w:marRight w:val="0"/>
          <w:marTop w:val="0"/>
          <w:marBottom w:val="0"/>
          <w:divBdr>
            <w:top w:val="none" w:sz="0" w:space="0" w:color="auto"/>
            <w:left w:val="none" w:sz="0" w:space="0" w:color="auto"/>
            <w:bottom w:val="none" w:sz="0" w:space="0" w:color="auto"/>
            <w:right w:val="none" w:sz="0" w:space="0" w:color="auto"/>
          </w:divBdr>
          <w:divsChild>
            <w:div w:id="575480988">
              <w:marLeft w:val="0"/>
              <w:marRight w:val="0"/>
              <w:marTop w:val="0"/>
              <w:marBottom w:val="0"/>
              <w:divBdr>
                <w:top w:val="none" w:sz="0" w:space="0" w:color="auto"/>
                <w:left w:val="none" w:sz="0" w:space="0" w:color="auto"/>
                <w:bottom w:val="none" w:sz="0" w:space="0" w:color="auto"/>
                <w:right w:val="none" w:sz="0" w:space="0" w:color="auto"/>
              </w:divBdr>
            </w:div>
          </w:divsChild>
        </w:div>
        <w:div w:id="2106416571">
          <w:marLeft w:val="0"/>
          <w:marRight w:val="0"/>
          <w:marTop w:val="0"/>
          <w:marBottom w:val="0"/>
          <w:divBdr>
            <w:top w:val="none" w:sz="0" w:space="0" w:color="auto"/>
            <w:left w:val="none" w:sz="0" w:space="0" w:color="auto"/>
            <w:bottom w:val="none" w:sz="0" w:space="0" w:color="auto"/>
            <w:right w:val="none" w:sz="0" w:space="0" w:color="auto"/>
          </w:divBdr>
          <w:divsChild>
            <w:div w:id="1756508310">
              <w:marLeft w:val="0"/>
              <w:marRight w:val="0"/>
              <w:marTop w:val="0"/>
              <w:marBottom w:val="0"/>
              <w:divBdr>
                <w:top w:val="none" w:sz="0" w:space="0" w:color="auto"/>
                <w:left w:val="none" w:sz="0" w:space="0" w:color="auto"/>
                <w:bottom w:val="none" w:sz="0" w:space="0" w:color="auto"/>
                <w:right w:val="none" w:sz="0" w:space="0" w:color="auto"/>
              </w:divBdr>
            </w:div>
          </w:divsChild>
        </w:div>
        <w:div w:id="2139954785">
          <w:marLeft w:val="0"/>
          <w:marRight w:val="0"/>
          <w:marTop w:val="0"/>
          <w:marBottom w:val="0"/>
          <w:divBdr>
            <w:top w:val="none" w:sz="0" w:space="0" w:color="auto"/>
            <w:left w:val="none" w:sz="0" w:space="0" w:color="auto"/>
            <w:bottom w:val="none" w:sz="0" w:space="0" w:color="auto"/>
            <w:right w:val="none" w:sz="0" w:space="0" w:color="auto"/>
          </w:divBdr>
          <w:divsChild>
            <w:div w:id="4208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2769">
      <w:bodyDiv w:val="1"/>
      <w:marLeft w:val="0"/>
      <w:marRight w:val="0"/>
      <w:marTop w:val="0"/>
      <w:marBottom w:val="0"/>
      <w:divBdr>
        <w:top w:val="none" w:sz="0" w:space="0" w:color="auto"/>
        <w:left w:val="none" w:sz="0" w:space="0" w:color="auto"/>
        <w:bottom w:val="none" w:sz="0" w:space="0" w:color="auto"/>
        <w:right w:val="none" w:sz="0" w:space="0" w:color="auto"/>
      </w:divBdr>
    </w:div>
    <w:div w:id="297030546">
      <w:bodyDiv w:val="1"/>
      <w:marLeft w:val="0"/>
      <w:marRight w:val="0"/>
      <w:marTop w:val="0"/>
      <w:marBottom w:val="0"/>
      <w:divBdr>
        <w:top w:val="none" w:sz="0" w:space="0" w:color="auto"/>
        <w:left w:val="none" w:sz="0" w:space="0" w:color="auto"/>
        <w:bottom w:val="none" w:sz="0" w:space="0" w:color="auto"/>
        <w:right w:val="none" w:sz="0" w:space="0" w:color="auto"/>
      </w:divBdr>
    </w:div>
    <w:div w:id="342170581">
      <w:bodyDiv w:val="1"/>
      <w:marLeft w:val="0"/>
      <w:marRight w:val="0"/>
      <w:marTop w:val="0"/>
      <w:marBottom w:val="0"/>
      <w:divBdr>
        <w:top w:val="none" w:sz="0" w:space="0" w:color="auto"/>
        <w:left w:val="none" w:sz="0" w:space="0" w:color="auto"/>
        <w:bottom w:val="none" w:sz="0" w:space="0" w:color="auto"/>
        <w:right w:val="none" w:sz="0" w:space="0" w:color="auto"/>
      </w:divBdr>
      <w:divsChild>
        <w:div w:id="1964380881">
          <w:marLeft w:val="0"/>
          <w:marRight w:val="0"/>
          <w:marTop w:val="0"/>
          <w:marBottom w:val="0"/>
          <w:divBdr>
            <w:top w:val="none" w:sz="0" w:space="0" w:color="auto"/>
            <w:left w:val="none" w:sz="0" w:space="0" w:color="auto"/>
            <w:bottom w:val="none" w:sz="0" w:space="0" w:color="auto"/>
            <w:right w:val="none" w:sz="0" w:space="0" w:color="auto"/>
          </w:divBdr>
        </w:div>
        <w:div w:id="2007827316">
          <w:marLeft w:val="0"/>
          <w:marRight w:val="0"/>
          <w:marTop w:val="0"/>
          <w:marBottom w:val="0"/>
          <w:divBdr>
            <w:top w:val="none" w:sz="0" w:space="0" w:color="auto"/>
            <w:left w:val="none" w:sz="0" w:space="0" w:color="auto"/>
            <w:bottom w:val="none" w:sz="0" w:space="0" w:color="auto"/>
            <w:right w:val="none" w:sz="0" w:space="0" w:color="auto"/>
          </w:divBdr>
        </w:div>
      </w:divsChild>
    </w:div>
    <w:div w:id="358818190">
      <w:bodyDiv w:val="1"/>
      <w:marLeft w:val="0"/>
      <w:marRight w:val="0"/>
      <w:marTop w:val="0"/>
      <w:marBottom w:val="0"/>
      <w:divBdr>
        <w:top w:val="none" w:sz="0" w:space="0" w:color="auto"/>
        <w:left w:val="none" w:sz="0" w:space="0" w:color="auto"/>
        <w:bottom w:val="none" w:sz="0" w:space="0" w:color="auto"/>
        <w:right w:val="none" w:sz="0" w:space="0" w:color="auto"/>
      </w:divBdr>
      <w:divsChild>
        <w:div w:id="81487838">
          <w:marLeft w:val="0"/>
          <w:marRight w:val="0"/>
          <w:marTop w:val="0"/>
          <w:marBottom w:val="0"/>
          <w:divBdr>
            <w:top w:val="none" w:sz="0" w:space="0" w:color="auto"/>
            <w:left w:val="none" w:sz="0" w:space="0" w:color="auto"/>
            <w:bottom w:val="none" w:sz="0" w:space="0" w:color="auto"/>
            <w:right w:val="none" w:sz="0" w:space="0" w:color="auto"/>
          </w:divBdr>
          <w:divsChild>
            <w:div w:id="1594246005">
              <w:marLeft w:val="0"/>
              <w:marRight w:val="0"/>
              <w:marTop w:val="0"/>
              <w:marBottom w:val="0"/>
              <w:divBdr>
                <w:top w:val="none" w:sz="0" w:space="0" w:color="auto"/>
                <w:left w:val="none" w:sz="0" w:space="0" w:color="auto"/>
                <w:bottom w:val="none" w:sz="0" w:space="0" w:color="auto"/>
                <w:right w:val="none" w:sz="0" w:space="0" w:color="auto"/>
              </w:divBdr>
            </w:div>
          </w:divsChild>
        </w:div>
        <w:div w:id="98304812">
          <w:marLeft w:val="0"/>
          <w:marRight w:val="0"/>
          <w:marTop w:val="0"/>
          <w:marBottom w:val="0"/>
          <w:divBdr>
            <w:top w:val="none" w:sz="0" w:space="0" w:color="auto"/>
            <w:left w:val="none" w:sz="0" w:space="0" w:color="auto"/>
            <w:bottom w:val="none" w:sz="0" w:space="0" w:color="auto"/>
            <w:right w:val="none" w:sz="0" w:space="0" w:color="auto"/>
          </w:divBdr>
          <w:divsChild>
            <w:div w:id="38021994">
              <w:marLeft w:val="0"/>
              <w:marRight w:val="0"/>
              <w:marTop w:val="0"/>
              <w:marBottom w:val="0"/>
              <w:divBdr>
                <w:top w:val="none" w:sz="0" w:space="0" w:color="auto"/>
                <w:left w:val="none" w:sz="0" w:space="0" w:color="auto"/>
                <w:bottom w:val="none" w:sz="0" w:space="0" w:color="auto"/>
                <w:right w:val="none" w:sz="0" w:space="0" w:color="auto"/>
              </w:divBdr>
            </w:div>
          </w:divsChild>
        </w:div>
        <w:div w:id="398094868">
          <w:marLeft w:val="0"/>
          <w:marRight w:val="0"/>
          <w:marTop w:val="0"/>
          <w:marBottom w:val="0"/>
          <w:divBdr>
            <w:top w:val="none" w:sz="0" w:space="0" w:color="auto"/>
            <w:left w:val="none" w:sz="0" w:space="0" w:color="auto"/>
            <w:bottom w:val="none" w:sz="0" w:space="0" w:color="auto"/>
            <w:right w:val="none" w:sz="0" w:space="0" w:color="auto"/>
          </w:divBdr>
          <w:divsChild>
            <w:div w:id="1550268010">
              <w:marLeft w:val="0"/>
              <w:marRight w:val="0"/>
              <w:marTop w:val="0"/>
              <w:marBottom w:val="0"/>
              <w:divBdr>
                <w:top w:val="none" w:sz="0" w:space="0" w:color="auto"/>
                <w:left w:val="none" w:sz="0" w:space="0" w:color="auto"/>
                <w:bottom w:val="none" w:sz="0" w:space="0" w:color="auto"/>
                <w:right w:val="none" w:sz="0" w:space="0" w:color="auto"/>
              </w:divBdr>
            </w:div>
          </w:divsChild>
        </w:div>
        <w:div w:id="446586447">
          <w:marLeft w:val="0"/>
          <w:marRight w:val="0"/>
          <w:marTop w:val="0"/>
          <w:marBottom w:val="0"/>
          <w:divBdr>
            <w:top w:val="none" w:sz="0" w:space="0" w:color="auto"/>
            <w:left w:val="none" w:sz="0" w:space="0" w:color="auto"/>
            <w:bottom w:val="none" w:sz="0" w:space="0" w:color="auto"/>
            <w:right w:val="none" w:sz="0" w:space="0" w:color="auto"/>
          </w:divBdr>
          <w:divsChild>
            <w:div w:id="2014793884">
              <w:marLeft w:val="0"/>
              <w:marRight w:val="0"/>
              <w:marTop w:val="0"/>
              <w:marBottom w:val="0"/>
              <w:divBdr>
                <w:top w:val="none" w:sz="0" w:space="0" w:color="auto"/>
                <w:left w:val="none" w:sz="0" w:space="0" w:color="auto"/>
                <w:bottom w:val="none" w:sz="0" w:space="0" w:color="auto"/>
                <w:right w:val="none" w:sz="0" w:space="0" w:color="auto"/>
              </w:divBdr>
            </w:div>
          </w:divsChild>
        </w:div>
        <w:div w:id="569731269">
          <w:marLeft w:val="0"/>
          <w:marRight w:val="0"/>
          <w:marTop w:val="0"/>
          <w:marBottom w:val="0"/>
          <w:divBdr>
            <w:top w:val="none" w:sz="0" w:space="0" w:color="auto"/>
            <w:left w:val="none" w:sz="0" w:space="0" w:color="auto"/>
            <w:bottom w:val="none" w:sz="0" w:space="0" w:color="auto"/>
            <w:right w:val="none" w:sz="0" w:space="0" w:color="auto"/>
          </w:divBdr>
          <w:divsChild>
            <w:div w:id="1664813181">
              <w:marLeft w:val="0"/>
              <w:marRight w:val="0"/>
              <w:marTop w:val="0"/>
              <w:marBottom w:val="0"/>
              <w:divBdr>
                <w:top w:val="none" w:sz="0" w:space="0" w:color="auto"/>
                <w:left w:val="none" w:sz="0" w:space="0" w:color="auto"/>
                <w:bottom w:val="none" w:sz="0" w:space="0" w:color="auto"/>
                <w:right w:val="none" w:sz="0" w:space="0" w:color="auto"/>
              </w:divBdr>
            </w:div>
          </w:divsChild>
        </w:div>
        <w:div w:id="578945817">
          <w:marLeft w:val="0"/>
          <w:marRight w:val="0"/>
          <w:marTop w:val="0"/>
          <w:marBottom w:val="0"/>
          <w:divBdr>
            <w:top w:val="none" w:sz="0" w:space="0" w:color="auto"/>
            <w:left w:val="none" w:sz="0" w:space="0" w:color="auto"/>
            <w:bottom w:val="none" w:sz="0" w:space="0" w:color="auto"/>
            <w:right w:val="none" w:sz="0" w:space="0" w:color="auto"/>
          </w:divBdr>
          <w:divsChild>
            <w:div w:id="716272045">
              <w:marLeft w:val="0"/>
              <w:marRight w:val="0"/>
              <w:marTop w:val="0"/>
              <w:marBottom w:val="0"/>
              <w:divBdr>
                <w:top w:val="none" w:sz="0" w:space="0" w:color="auto"/>
                <w:left w:val="none" w:sz="0" w:space="0" w:color="auto"/>
                <w:bottom w:val="none" w:sz="0" w:space="0" w:color="auto"/>
                <w:right w:val="none" w:sz="0" w:space="0" w:color="auto"/>
              </w:divBdr>
            </w:div>
          </w:divsChild>
        </w:div>
        <w:div w:id="578953312">
          <w:marLeft w:val="0"/>
          <w:marRight w:val="0"/>
          <w:marTop w:val="0"/>
          <w:marBottom w:val="0"/>
          <w:divBdr>
            <w:top w:val="none" w:sz="0" w:space="0" w:color="auto"/>
            <w:left w:val="none" w:sz="0" w:space="0" w:color="auto"/>
            <w:bottom w:val="none" w:sz="0" w:space="0" w:color="auto"/>
            <w:right w:val="none" w:sz="0" w:space="0" w:color="auto"/>
          </w:divBdr>
          <w:divsChild>
            <w:div w:id="474641547">
              <w:marLeft w:val="0"/>
              <w:marRight w:val="0"/>
              <w:marTop w:val="0"/>
              <w:marBottom w:val="0"/>
              <w:divBdr>
                <w:top w:val="none" w:sz="0" w:space="0" w:color="auto"/>
                <w:left w:val="none" w:sz="0" w:space="0" w:color="auto"/>
                <w:bottom w:val="none" w:sz="0" w:space="0" w:color="auto"/>
                <w:right w:val="none" w:sz="0" w:space="0" w:color="auto"/>
              </w:divBdr>
            </w:div>
          </w:divsChild>
        </w:div>
        <w:div w:id="953252549">
          <w:marLeft w:val="0"/>
          <w:marRight w:val="0"/>
          <w:marTop w:val="0"/>
          <w:marBottom w:val="0"/>
          <w:divBdr>
            <w:top w:val="none" w:sz="0" w:space="0" w:color="auto"/>
            <w:left w:val="none" w:sz="0" w:space="0" w:color="auto"/>
            <w:bottom w:val="none" w:sz="0" w:space="0" w:color="auto"/>
            <w:right w:val="none" w:sz="0" w:space="0" w:color="auto"/>
          </w:divBdr>
          <w:divsChild>
            <w:div w:id="107701433">
              <w:marLeft w:val="0"/>
              <w:marRight w:val="0"/>
              <w:marTop w:val="0"/>
              <w:marBottom w:val="0"/>
              <w:divBdr>
                <w:top w:val="none" w:sz="0" w:space="0" w:color="auto"/>
                <w:left w:val="none" w:sz="0" w:space="0" w:color="auto"/>
                <w:bottom w:val="none" w:sz="0" w:space="0" w:color="auto"/>
                <w:right w:val="none" w:sz="0" w:space="0" w:color="auto"/>
              </w:divBdr>
            </w:div>
          </w:divsChild>
        </w:div>
        <w:div w:id="1069886478">
          <w:marLeft w:val="0"/>
          <w:marRight w:val="0"/>
          <w:marTop w:val="0"/>
          <w:marBottom w:val="0"/>
          <w:divBdr>
            <w:top w:val="none" w:sz="0" w:space="0" w:color="auto"/>
            <w:left w:val="none" w:sz="0" w:space="0" w:color="auto"/>
            <w:bottom w:val="none" w:sz="0" w:space="0" w:color="auto"/>
            <w:right w:val="none" w:sz="0" w:space="0" w:color="auto"/>
          </w:divBdr>
          <w:divsChild>
            <w:div w:id="1283877947">
              <w:marLeft w:val="0"/>
              <w:marRight w:val="0"/>
              <w:marTop w:val="0"/>
              <w:marBottom w:val="0"/>
              <w:divBdr>
                <w:top w:val="none" w:sz="0" w:space="0" w:color="auto"/>
                <w:left w:val="none" w:sz="0" w:space="0" w:color="auto"/>
                <w:bottom w:val="none" w:sz="0" w:space="0" w:color="auto"/>
                <w:right w:val="none" w:sz="0" w:space="0" w:color="auto"/>
              </w:divBdr>
            </w:div>
          </w:divsChild>
        </w:div>
        <w:div w:id="1087339751">
          <w:marLeft w:val="0"/>
          <w:marRight w:val="0"/>
          <w:marTop w:val="0"/>
          <w:marBottom w:val="0"/>
          <w:divBdr>
            <w:top w:val="none" w:sz="0" w:space="0" w:color="auto"/>
            <w:left w:val="none" w:sz="0" w:space="0" w:color="auto"/>
            <w:bottom w:val="none" w:sz="0" w:space="0" w:color="auto"/>
            <w:right w:val="none" w:sz="0" w:space="0" w:color="auto"/>
          </w:divBdr>
          <w:divsChild>
            <w:div w:id="496461186">
              <w:marLeft w:val="0"/>
              <w:marRight w:val="0"/>
              <w:marTop w:val="0"/>
              <w:marBottom w:val="0"/>
              <w:divBdr>
                <w:top w:val="none" w:sz="0" w:space="0" w:color="auto"/>
                <w:left w:val="none" w:sz="0" w:space="0" w:color="auto"/>
                <w:bottom w:val="none" w:sz="0" w:space="0" w:color="auto"/>
                <w:right w:val="none" w:sz="0" w:space="0" w:color="auto"/>
              </w:divBdr>
            </w:div>
          </w:divsChild>
        </w:div>
        <w:div w:id="1094085928">
          <w:marLeft w:val="0"/>
          <w:marRight w:val="0"/>
          <w:marTop w:val="0"/>
          <w:marBottom w:val="0"/>
          <w:divBdr>
            <w:top w:val="none" w:sz="0" w:space="0" w:color="auto"/>
            <w:left w:val="none" w:sz="0" w:space="0" w:color="auto"/>
            <w:bottom w:val="none" w:sz="0" w:space="0" w:color="auto"/>
            <w:right w:val="none" w:sz="0" w:space="0" w:color="auto"/>
          </w:divBdr>
          <w:divsChild>
            <w:div w:id="1752197980">
              <w:marLeft w:val="0"/>
              <w:marRight w:val="0"/>
              <w:marTop w:val="0"/>
              <w:marBottom w:val="0"/>
              <w:divBdr>
                <w:top w:val="none" w:sz="0" w:space="0" w:color="auto"/>
                <w:left w:val="none" w:sz="0" w:space="0" w:color="auto"/>
                <w:bottom w:val="none" w:sz="0" w:space="0" w:color="auto"/>
                <w:right w:val="none" w:sz="0" w:space="0" w:color="auto"/>
              </w:divBdr>
            </w:div>
          </w:divsChild>
        </w:div>
        <w:div w:id="1107851405">
          <w:marLeft w:val="0"/>
          <w:marRight w:val="0"/>
          <w:marTop w:val="0"/>
          <w:marBottom w:val="0"/>
          <w:divBdr>
            <w:top w:val="none" w:sz="0" w:space="0" w:color="auto"/>
            <w:left w:val="none" w:sz="0" w:space="0" w:color="auto"/>
            <w:bottom w:val="none" w:sz="0" w:space="0" w:color="auto"/>
            <w:right w:val="none" w:sz="0" w:space="0" w:color="auto"/>
          </w:divBdr>
          <w:divsChild>
            <w:div w:id="138810501">
              <w:marLeft w:val="0"/>
              <w:marRight w:val="0"/>
              <w:marTop w:val="0"/>
              <w:marBottom w:val="0"/>
              <w:divBdr>
                <w:top w:val="none" w:sz="0" w:space="0" w:color="auto"/>
                <w:left w:val="none" w:sz="0" w:space="0" w:color="auto"/>
                <w:bottom w:val="none" w:sz="0" w:space="0" w:color="auto"/>
                <w:right w:val="none" w:sz="0" w:space="0" w:color="auto"/>
              </w:divBdr>
            </w:div>
          </w:divsChild>
        </w:div>
        <w:div w:id="1431241128">
          <w:marLeft w:val="0"/>
          <w:marRight w:val="0"/>
          <w:marTop w:val="0"/>
          <w:marBottom w:val="0"/>
          <w:divBdr>
            <w:top w:val="none" w:sz="0" w:space="0" w:color="auto"/>
            <w:left w:val="none" w:sz="0" w:space="0" w:color="auto"/>
            <w:bottom w:val="none" w:sz="0" w:space="0" w:color="auto"/>
            <w:right w:val="none" w:sz="0" w:space="0" w:color="auto"/>
          </w:divBdr>
          <w:divsChild>
            <w:div w:id="427694691">
              <w:marLeft w:val="0"/>
              <w:marRight w:val="0"/>
              <w:marTop w:val="0"/>
              <w:marBottom w:val="0"/>
              <w:divBdr>
                <w:top w:val="none" w:sz="0" w:space="0" w:color="auto"/>
                <w:left w:val="none" w:sz="0" w:space="0" w:color="auto"/>
                <w:bottom w:val="none" w:sz="0" w:space="0" w:color="auto"/>
                <w:right w:val="none" w:sz="0" w:space="0" w:color="auto"/>
              </w:divBdr>
            </w:div>
          </w:divsChild>
        </w:div>
        <w:div w:id="1436511977">
          <w:marLeft w:val="0"/>
          <w:marRight w:val="0"/>
          <w:marTop w:val="0"/>
          <w:marBottom w:val="0"/>
          <w:divBdr>
            <w:top w:val="none" w:sz="0" w:space="0" w:color="auto"/>
            <w:left w:val="none" w:sz="0" w:space="0" w:color="auto"/>
            <w:bottom w:val="none" w:sz="0" w:space="0" w:color="auto"/>
            <w:right w:val="none" w:sz="0" w:space="0" w:color="auto"/>
          </w:divBdr>
          <w:divsChild>
            <w:div w:id="1970237547">
              <w:marLeft w:val="0"/>
              <w:marRight w:val="0"/>
              <w:marTop w:val="0"/>
              <w:marBottom w:val="0"/>
              <w:divBdr>
                <w:top w:val="none" w:sz="0" w:space="0" w:color="auto"/>
                <w:left w:val="none" w:sz="0" w:space="0" w:color="auto"/>
                <w:bottom w:val="none" w:sz="0" w:space="0" w:color="auto"/>
                <w:right w:val="none" w:sz="0" w:space="0" w:color="auto"/>
              </w:divBdr>
            </w:div>
          </w:divsChild>
        </w:div>
        <w:div w:id="1449885578">
          <w:marLeft w:val="0"/>
          <w:marRight w:val="0"/>
          <w:marTop w:val="0"/>
          <w:marBottom w:val="0"/>
          <w:divBdr>
            <w:top w:val="none" w:sz="0" w:space="0" w:color="auto"/>
            <w:left w:val="none" w:sz="0" w:space="0" w:color="auto"/>
            <w:bottom w:val="none" w:sz="0" w:space="0" w:color="auto"/>
            <w:right w:val="none" w:sz="0" w:space="0" w:color="auto"/>
          </w:divBdr>
          <w:divsChild>
            <w:div w:id="1897857226">
              <w:marLeft w:val="0"/>
              <w:marRight w:val="0"/>
              <w:marTop w:val="0"/>
              <w:marBottom w:val="0"/>
              <w:divBdr>
                <w:top w:val="none" w:sz="0" w:space="0" w:color="auto"/>
                <w:left w:val="none" w:sz="0" w:space="0" w:color="auto"/>
                <w:bottom w:val="none" w:sz="0" w:space="0" w:color="auto"/>
                <w:right w:val="none" w:sz="0" w:space="0" w:color="auto"/>
              </w:divBdr>
            </w:div>
          </w:divsChild>
        </w:div>
        <w:div w:id="1450588887">
          <w:marLeft w:val="0"/>
          <w:marRight w:val="0"/>
          <w:marTop w:val="0"/>
          <w:marBottom w:val="0"/>
          <w:divBdr>
            <w:top w:val="none" w:sz="0" w:space="0" w:color="auto"/>
            <w:left w:val="none" w:sz="0" w:space="0" w:color="auto"/>
            <w:bottom w:val="none" w:sz="0" w:space="0" w:color="auto"/>
            <w:right w:val="none" w:sz="0" w:space="0" w:color="auto"/>
          </w:divBdr>
          <w:divsChild>
            <w:div w:id="1943293860">
              <w:marLeft w:val="0"/>
              <w:marRight w:val="0"/>
              <w:marTop w:val="0"/>
              <w:marBottom w:val="0"/>
              <w:divBdr>
                <w:top w:val="none" w:sz="0" w:space="0" w:color="auto"/>
                <w:left w:val="none" w:sz="0" w:space="0" w:color="auto"/>
                <w:bottom w:val="none" w:sz="0" w:space="0" w:color="auto"/>
                <w:right w:val="none" w:sz="0" w:space="0" w:color="auto"/>
              </w:divBdr>
            </w:div>
          </w:divsChild>
        </w:div>
        <w:div w:id="1505900421">
          <w:marLeft w:val="0"/>
          <w:marRight w:val="0"/>
          <w:marTop w:val="0"/>
          <w:marBottom w:val="0"/>
          <w:divBdr>
            <w:top w:val="none" w:sz="0" w:space="0" w:color="auto"/>
            <w:left w:val="none" w:sz="0" w:space="0" w:color="auto"/>
            <w:bottom w:val="none" w:sz="0" w:space="0" w:color="auto"/>
            <w:right w:val="none" w:sz="0" w:space="0" w:color="auto"/>
          </w:divBdr>
          <w:divsChild>
            <w:div w:id="1660037475">
              <w:marLeft w:val="0"/>
              <w:marRight w:val="0"/>
              <w:marTop w:val="0"/>
              <w:marBottom w:val="0"/>
              <w:divBdr>
                <w:top w:val="none" w:sz="0" w:space="0" w:color="auto"/>
                <w:left w:val="none" w:sz="0" w:space="0" w:color="auto"/>
                <w:bottom w:val="none" w:sz="0" w:space="0" w:color="auto"/>
                <w:right w:val="none" w:sz="0" w:space="0" w:color="auto"/>
              </w:divBdr>
            </w:div>
          </w:divsChild>
        </w:div>
        <w:div w:id="1541431357">
          <w:marLeft w:val="0"/>
          <w:marRight w:val="0"/>
          <w:marTop w:val="0"/>
          <w:marBottom w:val="0"/>
          <w:divBdr>
            <w:top w:val="none" w:sz="0" w:space="0" w:color="auto"/>
            <w:left w:val="none" w:sz="0" w:space="0" w:color="auto"/>
            <w:bottom w:val="none" w:sz="0" w:space="0" w:color="auto"/>
            <w:right w:val="none" w:sz="0" w:space="0" w:color="auto"/>
          </w:divBdr>
          <w:divsChild>
            <w:div w:id="1729835714">
              <w:marLeft w:val="0"/>
              <w:marRight w:val="0"/>
              <w:marTop w:val="0"/>
              <w:marBottom w:val="0"/>
              <w:divBdr>
                <w:top w:val="none" w:sz="0" w:space="0" w:color="auto"/>
                <w:left w:val="none" w:sz="0" w:space="0" w:color="auto"/>
                <w:bottom w:val="none" w:sz="0" w:space="0" w:color="auto"/>
                <w:right w:val="none" w:sz="0" w:space="0" w:color="auto"/>
              </w:divBdr>
            </w:div>
          </w:divsChild>
        </w:div>
        <w:div w:id="1548028665">
          <w:marLeft w:val="0"/>
          <w:marRight w:val="0"/>
          <w:marTop w:val="0"/>
          <w:marBottom w:val="0"/>
          <w:divBdr>
            <w:top w:val="none" w:sz="0" w:space="0" w:color="auto"/>
            <w:left w:val="none" w:sz="0" w:space="0" w:color="auto"/>
            <w:bottom w:val="none" w:sz="0" w:space="0" w:color="auto"/>
            <w:right w:val="none" w:sz="0" w:space="0" w:color="auto"/>
          </w:divBdr>
          <w:divsChild>
            <w:div w:id="414909843">
              <w:marLeft w:val="0"/>
              <w:marRight w:val="0"/>
              <w:marTop w:val="0"/>
              <w:marBottom w:val="0"/>
              <w:divBdr>
                <w:top w:val="none" w:sz="0" w:space="0" w:color="auto"/>
                <w:left w:val="none" w:sz="0" w:space="0" w:color="auto"/>
                <w:bottom w:val="none" w:sz="0" w:space="0" w:color="auto"/>
                <w:right w:val="none" w:sz="0" w:space="0" w:color="auto"/>
              </w:divBdr>
            </w:div>
          </w:divsChild>
        </w:div>
        <w:div w:id="1548569868">
          <w:marLeft w:val="0"/>
          <w:marRight w:val="0"/>
          <w:marTop w:val="0"/>
          <w:marBottom w:val="0"/>
          <w:divBdr>
            <w:top w:val="none" w:sz="0" w:space="0" w:color="auto"/>
            <w:left w:val="none" w:sz="0" w:space="0" w:color="auto"/>
            <w:bottom w:val="none" w:sz="0" w:space="0" w:color="auto"/>
            <w:right w:val="none" w:sz="0" w:space="0" w:color="auto"/>
          </w:divBdr>
          <w:divsChild>
            <w:div w:id="256451642">
              <w:marLeft w:val="0"/>
              <w:marRight w:val="0"/>
              <w:marTop w:val="0"/>
              <w:marBottom w:val="0"/>
              <w:divBdr>
                <w:top w:val="none" w:sz="0" w:space="0" w:color="auto"/>
                <w:left w:val="none" w:sz="0" w:space="0" w:color="auto"/>
                <w:bottom w:val="none" w:sz="0" w:space="0" w:color="auto"/>
                <w:right w:val="none" w:sz="0" w:space="0" w:color="auto"/>
              </w:divBdr>
            </w:div>
          </w:divsChild>
        </w:div>
        <w:div w:id="1777556766">
          <w:marLeft w:val="0"/>
          <w:marRight w:val="0"/>
          <w:marTop w:val="0"/>
          <w:marBottom w:val="0"/>
          <w:divBdr>
            <w:top w:val="none" w:sz="0" w:space="0" w:color="auto"/>
            <w:left w:val="none" w:sz="0" w:space="0" w:color="auto"/>
            <w:bottom w:val="none" w:sz="0" w:space="0" w:color="auto"/>
            <w:right w:val="none" w:sz="0" w:space="0" w:color="auto"/>
          </w:divBdr>
          <w:divsChild>
            <w:div w:id="1127430080">
              <w:marLeft w:val="0"/>
              <w:marRight w:val="0"/>
              <w:marTop w:val="0"/>
              <w:marBottom w:val="0"/>
              <w:divBdr>
                <w:top w:val="none" w:sz="0" w:space="0" w:color="auto"/>
                <w:left w:val="none" w:sz="0" w:space="0" w:color="auto"/>
                <w:bottom w:val="none" w:sz="0" w:space="0" w:color="auto"/>
                <w:right w:val="none" w:sz="0" w:space="0" w:color="auto"/>
              </w:divBdr>
            </w:div>
          </w:divsChild>
        </w:div>
        <w:div w:id="1808432549">
          <w:marLeft w:val="0"/>
          <w:marRight w:val="0"/>
          <w:marTop w:val="0"/>
          <w:marBottom w:val="0"/>
          <w:divBdr>
            <w:top w:val="none" w:sz="0" w:space="0" w:color="auto"/>
            <w:left w:val="none" w:sz="0" w:space="0" w:color="auto"/>
            <w:bottom w:val="none" w:sz="0" w:space="0" w:color="auto"/>
            <w:right w:val="none" w:sz="0" w:space="0" w:color="auto"/>
          </w:divBdr>
          <w:divsChild>
            <w:div w:id="313264838">
              <w:marLeft w:val="0"/>
              <w:marRight w:val="0"/>
              <w:marTop w:val="0"/>
              <w:marBottom w:val="0"/>
              <w:divBdr>
                <w:top w:val="none" w:sz="0" w:space="0" w:color="auto"/>
                <w:left w:val="none" w:sz="0" w:space="0" w:color="auto"/>
                <w:bottom w:val="none" w:sz="0" w:space="0" w:color="auto"/>
                <w:right w:val="none" w:sz="0" w:space="0" w:color="auto"/>
              </w:divBdr>
            </w:div>
          </w:divsChild>
        </w:div>
        <w:div w:id="2117213647">
          <w:marLeft w:val="0"/>
          <w:marRight w:val="0"/>
          <w:marTop w:val="0"/>
          <w:marBottom w:val="0"/>
          <w:divBdr>
            <w:top w:val="none" w:sz="0" w:space="0" w:color="auto"/>
            <w:left w:val="none" w:sz="0" w:space="0" w:color="auto"/>
            <w:bottom w:val="none" w:sz="0" w:space="0" w:color="auto"/>
            <w:right w:val="none" w:sz="0" w:space="0" w:color="auto"/>
          </w:divBdr>
          <w:divsChild>
            <w:div w:id="937251949">
              <w:marLeft w:val="0"/>
              <w:marRight w:val="0"/>
              <w:marTop w:val="0"/>
              <w:marBottom w:val="0"/>
              <w:divBdr>
                <w:top w:val="none" w:sz="0" w:space="0" w:color="auto"/>
                <w:left w:val="none" w:sz="0" w:space="0" w:color="auto"/>
                <w:bottom w:val="none" w:sz="0" w:space="0" w:color="auto"/>
                <w:right w:val="none" w:sz="0" w:space="0" w:color="auto"/>
              </w:divBdr>
            </w:div>
          </w:divsChild>
        </w:div>
        <w:div w:id="2138058435">
          <w:marLeft w:val="0"/>
          <w:marRight w:val="0"/>
          <w:marTop w:val="0"/>
          <w:marBottom w:val="0"/>
          <w:divBdr>
            <w:top w:val="none" w:sz="0" w:space="0" w:color="auto"/>
            <w:left w:val="none" w:sz="0" w:space="0" w:color="auto"/>
            <w:bottom w:val="none" w:sz="0" w:space="0" w:color="auto"/>
            <w:right w:val="none" w:sz="0" w:space="0" w:color="auto"/>
          </w:divBdr>
          <w:divsChild>
            <w:div w:id="670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12223">
      <w:bodyDiv w:val="1"/>
      <w:marLeft w:val="0"/>
      <w:marRight w:val="0"/>
      <w:marTop w:val="0"/>
      <w:marBottom w:val="0"/>
      <w:divBdr>
        <w:top w:val="none" w:sz="0" w:space="0" w:color="auto"/>
        <w:left w:val="none" w:sz="0" w:space="0" w:color="auto"/>
        <w:bottom w:val="none" w:sz="0" w:space="0" w:color="auto"/>
        <w:right w:val="none" w:sz="0" w:space="0" w:color="auto"/>
      </w:divBdr>
    </w:div>
    <w:div w:id="465858775">
      <w:bodyDiv w:val="1"/>
      <w:marLeft w:val="0"/>
      <w:marRight w:val="0"/>
      <w:marTop w:val="0"/>
      <w:marBottom w:val="0"/>
      <w:divBdr>
        <w:top w:val="none" w:sz="0" w:space="0" w:color="auto"/>
        <w:left w:val="none" w:sz="0" w:space="0" w:color="auto"/>
        <w:bottom w:val="none" w:sz="0" w:space="0" w:color="auto"/>
        <w:right w:val="none" w:sz="0" w:space="0" w:color="auto"/>
      </w:divBdr>
      <w:divsChild>
        <w:div w:id="329329333">
          <w:marLeft w:val="0"/>
          <w:marRight w:val="0"/>
          <w:marTop w:val="0"/>
          <w:marBottom w:val="0"/>
          <w:divBdr>
            <w:top w:val="none" w:sz="0" w:space="0" w:color="auto"/>
            <w:left w:val="none" w:sz="0" w:space="0" w:color="auto"/>
            <w:bottom w:val="none" w:sz="0" w:space="0" w:color="auto"/>
            <w:right w:val="none" w:sz="0" w:space="0" w:color="auto"/>
          </w:divBdr>
          <w:divsChild>
            <w:div w:id="665090500">
              <w:marLeft w:val="-75"/>
              <w:marRight w:val="0"/>
              <w:marTop w:val="30"/>
              <w:marBottom w:val="30"/>
              <w:divBdr>
                <w:top w:val="none" w:sz="0" w:space="0" w:color="auto"/>
                <w:left w:val="none" w:sz="0" w:space="0" w:color="auto"/>
                <w:bottom w:val="none" w:sz="0" w:space="0" w:color="auto"/>
                <w:right w:val="none" w:sz="0" w:space="0" w:color="auto"/>
              </w:divBdr>
              <w:divsChild>
                <w:div w:id="210072625">
                  <w:marLeft w:val="0"/>
                  <w:marRight w:val="0"/>
                  <w:marTop w:val="0"/>
                  <w:marBottom w:val="0"/>
                  <w:divBdr>
                    <w:top w:val="none" w:sz="0" w:space="0" w:color="auto"/>
                    <w:left w:val="none" w:sz="0" w:space="0" w:color="auto"/>
                    <w:bottom w:val="none" w:sz="0" w:space="0" w:color="auto"/>
                    <w:right w:val="none" w:sz="0" w:space="0" w:color="auto"/>
                  </w:divBdr>
                  <w:divsChild>
                    <w:div w:id="1860005806">
                      <w:marLeft w:val="0"/>
                      <w:marRight w:val="0"/>
                      <w:marTop w:val="0"/>
                      <w:marBottom w:val="0"/>
                      <w:divBdr>
                        <w:top w:val="none" w:sz="0" w:space="0" w:color="auto"/>
                        <w:left w:val="none" w:sz="0" w:space="0" w:color="auto"/>
                        <w:bottom w:val="none" w:sz="0" w:space="0" w:color="auto"/>
                        <w:right w:val="none" w:sz="0" w:space="0" w:color="auto"/>
                      </w:divBdr>
                    </w:div>
                  </w:divsChild>
                </w:div>
                <w:div w:id="257761879">
                  <w:marLeft w:val="0"/>
                  <w:marRight w:val="0"/>
                  <w:marTop w:val="0"/>
                  <w:marBottom w:val="0"/>
                  <w:divBdr>
                    <w:top w:val="none" w:sz="0" w:space="0" w:color="auto"/>
                    <w:left w:val="none" w:sz="0" w:space="0" w:color="auto"/>
                    <w:bottom w:val="none" w:sz="0" w:space="0" w:color="auto"/>
                    <w:right w:val="none" w:sz="0" w:space="0" w:color="auto"/>
                  </w:divBdr>
                  <w:divsChild>
                    <w:div w:id="1152865273">
                      <w:marLeft w:val="0"/>
                      <w:marRight w:val="0"/>
                      <w:marTop w:val="0"/>
                      <w:marBottom w:val="0"/>
                      <w:divBdr>
                        <w:top w:val="none" w:sz="0" w:space="0" w:color="auto"/>
                        <w:left w:val="none" w:sz="0" w:space="0" w:color="auto"/>
                        <w:bottom w:val="none" w:sz="0" w:space="0" w:color="auto"/>
                        <w:right w:val="none" w:sz="0" w:space="0" w:color="auto"/>
                      </w:divBdr>
                    </w:div>
                  </w:divsChild>
                </w:div>
                <w:div w:id="281574001">
                  <w:marLeft w:val="0"/>
                  <w:marRight w:val="0"/>
                  <w:marTop w:val="0"/>
                  <w:marBottom w:val="0"/>
                  <w:divBdr>
                    <w:top w:val="none" w:sz="0" w:space="0" w:color="auto"/>
                    <w:left w:val="none" w:sz="0" w:space="0" w:color="auto"/>
                    <w:bottom w:val="none" w:sz="0" w:space="0" w:color="auto"/>
                    <w:right w:val="none" w:sz="0" w:space="0" w:color="auto"/>
                  </w:divBdr>
                  <w:divsChild>
                    <w:div w:id="192157181">
                      <w:marLeft w:val="0"/>
                      <w:marRight w:val="0"/>
                      <w:marTop w:val="0"/>
                      <w:marBottom w:val="0"/>
                      <w:divBdr>
                        <w:top w:val="none" w:sz="0" w:space="0" w:color="auto"/>
                        <w:left w:val="none" w:sz="0" w:space="0" w:color="auto"/>
                        <w:bottom w:val="none" w:sz="0" w:space="0" w:color="auto"/>
                        <w:right w:val="none" w:sz="0" w:space="0" w:color="auto"/>
                      </w:divBdr>
                    </w:div>
                  </w:divsChild>
                </w:div>
                <w:div w:id="295918128">
                  <w:marLeft w:val="0"/>
                  <w:marRight w:val="0"/>
                  <w:marTop w:val="0"/>
                  <w:marBottom w:val="0"/>
                  <w:divBdr>
                    <w:top w:val="none" w:sz="0" w:space="0" w:color="auto"/>
                    <w:left w:val="none" w:sz="0" w:space="0" w:color="auto"/>
                    <w:bottom w:val="none" w:sz="0" w:space="0" w:color="auto"/>
                    <w:right w:val="none" w:sz="0" w:space="0" w:color="auto"/>
                  </w:divBdr>
                  <w:divsChild>
                    <w:div w:id="1509097642">
                      <w:marLeft w:val="0"/>
                      <w:marRight w:val="0"/>
                      <w:marTop w:val="0"/>
                      <w:marBottom w:val="0"/>
                      <w:divBdr>
                        <w:top w:val="none" w:sz="0" w:space="0" w:color="auto"/>
                        <w:left w:val="none" w:sz="0" w:space="0" w:color="auto"/>
                        <w:bottom w:val="none" w:sz="0" w:space="0" w:color="auto"/>
                        <w:right w:val="none" w:sz="0" w:space="0" w:color="auto"/>
                      </w:divBdr>
                    </w:div>
                  </w:divsChild>
                </w:div>
                <w:div w:id="329796445">
                  <w:marLeft w:val="0"/>
                  <w:marRight w:val="0"/>
                  <w:marTop w:val="0"/>
                  <w:marBottom w:val="0"/>
                  <w:divBdr>
                    <w:top w:val="none" w:sz="0" w:space="0" w:color="auto"/>
                    <w:left w:val="none" w:sz="0" w:space="0" w:color="auto"/>
                    <w:bottom w:val="none" w:sz="0" w:space="0" w:color="auto"/>
                    <w:right w:val="none" w:sz="0" w:space="0" w:color="auto"/>
                  </w:divBdr>
                  <w:divsChild>
                    <w:div w:id="511603947">
                      <w:marLeft w:val="0"/>
                      <w:marRight w:val="0"/>
                      <w:marTop w:val="0"/>
                      <w:marBottom w:val="0"/>
                      <w:divBdr>
                        <w:top w:val="none" w:sz="0" w:space="0" w:color="auto"/>
                        <w:left w:val="none" w:sz="0" w:space="0" w:color="auto"/>
                        <w:bottom w:val="none" w:sz="0" w:space="0" w:color="auto"/>
                        <w:right w:val="none" w:sz="0" w:space="0" w:color="auto"/>
                      </w:divBdr>
                    </w:div>
                  </w:divsChild>
                </w:div>
                <w:div w:id="604116631">
                  <w:marLeft w:val="0"/>
                  <w:marRight w:val="0"/>
                  <w:marTop w:val="0"/>
                  <w:marBottom w:val="0"/>
                  <w:divBdr>
                    <w:top w:val="none" w:sz="0" w:space="0" w:color="auto"/>
                    <w:left w:val="none" w:sz="0" w:space="0" w:color="auto"/>
                    <w:bottom w:val="none" w:sz="0" w:space="0" w:color="auto"/>
                    <w:right w:val="none" w:sz="0" w:space="0" w:color="auto"/>
                  </w:divBdr>
                  <w:divsChild>
                    <w:div w:id="1045907175">
                      <w:marLeft w:val="0"/>
                      <w:marRight w:val="0"/>
                      <w:marTop w:val="0"/>
                      <w:marBottom w:val="0"/>
                      <w:divBdr>
                        <w:top w:val="none" w:sz="0" w:space="0" w:color="auto"/>
                        <w:left w:val="none" w:sz="0" w:space="0" w:color="auto"/>
                        <w:bottom w:val="none" w:sz="0" w:space="0" w:color="auto"/>
                        <w:right w:val="none" w:sz="0" w:space="0" w:color="auto"/>
                      </w:divBdr>
                    </w:div>
                  </w:divsChild>
                </w:div>
                <w:div w:id="643849788">
                  <w:marLeft w:val="0"/>
                  <w:marRight w:val="0"/>
                  <w:marTop w:val="0"/>
                  <w:marBottom w:val="0"/>
                  <w:divBdr>
                    <w:top w:val="none" w:sz="0" w:space="0" w:color="auto"/>
                    <w:left w:val="none" w:sz="0" w:space="0" w:color="auto"/>
                    <w:bottom w:val="none" w:sz="0" w:space="0" w:color="auto"/>
                    <w:right w:val="none" w:sz="0" w:space="0" w:color="auto"/>
                  </w:divBdr>
                  <w:divsChild>
                    <w:div w:id="567612845">
                      <w:marLeft w:val="0"/>
                      <w:marRight w:val="0"/>
                      <w:marTop w:val="0"/>
                      <w:marBottom w:val="0"/>
                      <w:divBdr>
                        <w:top w:val="none" w:sz="0" w:space="0" w:color="auto"/>
                        <w:left w:val="none" w:sz="0" w:space="0" w:color="auto"/>
                        <w:bottom w:val="none" w:sz="0" w:space="0" w:color="auto"/>
                        <w:right w:val="none" w:sz="0" w:space="0" w:color="auto"/>
                      </w:divBdr>
                    </w:div>
                  </w:divsChild>
                </w:div>
                <w:div w:id="681905420">
                  <w:marLeft w:val="0"/>
                  <w:marRight w:val="0"/>
                  <w:marTop w:val="0"/>
                  <w:marBottom w:val="0"/>
                  <w:divBdr>
                    <w:top w:val="none" w:sz="0" w:space="0" w:color="auto"/>
                    <w:left w:val="none" w:sz="0" w:space="0" w:color="auto"/>
                    <w:bottom w:val="none" w:sz="0" w:space="0" w:color="auto"/>
                    <w:right w:val="none" w:sz="0" w:space="0" w:color="auto"/>
                  </w:divBdr>
                  <w:divsChild>
                    <w:div w:id="1935429372">
                      <w:marLeft w:val="0"/>
                      <w:marRight w:val="0"/>
                      <w:marTop w:val="0"/>
                      <w:marBottom w:val="0"/>
                      <w:divBdr>
                        <w:top w:val="none" w:sz="0" w:space="0" w:color="auto"/>
                        <w:left w:val="none" w:sz="0" w:space="0" w:color="auto"/>
                        <w:bottom w:val="none" w:sz="0" w:space="0" w:color="auto"/>
                        <w:right w:val="none" w:sz="0" w:space="0" w:color="auto"/>
                      </w:divBdr>
                    </w:div>
                  </w:divsChild>
                </w:div>
                <w:div w:id="709499522">
                  <w:marLeft w:val="0"/>
                  <w:marRight w:val="0"/>
                  <w:marTop w:val="0"/>
                  <w:marBottom w:val="0"/>
                  <w:divBdr>
                    <w:top w:val="none" w:sz="0" w:space="0" w:color="auto"/>
                    <w:left w:val="none" w:sz="0" w:space="0" w:color="auto"/>
                    <w:bottom w:val="none" w:sz="0" w:space="0" w:color="auto"/>
                    <w:right w:val="none" w:sz="0" w:space="0" w:color="auto"/>
                  </w:divBdr>
                  <w:divsChild>
                    <w:div w:id="876503955">
                      <w:marLeft w:val="0"/>
                      <w:marRight w:val="0"/>
                      <w:marTop w:val="0"/>
                      <w:marBottom w:val="0"/>
                      <w:divBdr>
                        <w:top w:val="none" w:sz="0" w:space="0" w:color="auto"/>
                        <w:left w:val="none" w:sz="0" w:space="0" w:color="auto"/>
                        <w:bottom w:val="none" w:sz="0" w:space="0" w:color="auto"/>
                        <w:right w:val="none" w:sz="0" w:space="0" w:color="auto"/>
                      </w:divBdr>
                    </w:div>
                  </w:divsChild>
                </w:div>
                <w:div w:id="899023518">
                  <w:marLeft w:val="0"/>
                  <w:marRight w:val="0"/>
                  <w:marTop w:val="0"/>
                  <w:marBottom w:val="0"/>
                  <w:divBdr>
                    <w:top w:val="none" w:sz="0" w:space="0" w:color="auto"/>
                    <w:left w:val="none" w:sz="0" w:space="0" w:color="auto"/>
                    <w:bottom w:val="none" w:sz="0" w:space="0" w:color="auto"/>
                    <w:right w:val="none" w:sz="0" w:space="0" w:color="auto"/>
                  </w:divBdr>
                  <w:divsChild>
                    <w:div w:id="1660112930">
                      <w:marLeft w:val="0"/>
                      <w:marRight w:val="0"/>
                      <w:marTop w:val="0"/>
                      <w:marBottom w:val="0"/>
                      <w:divBdr>
                        <w:top w:val="none" w:sz="0" w:space="0" w:color="auto"/>
                        <w:left w:val="none" w:sz="0" w:space="0" w:color="auto"/>
                        <w:bottom w:val="none" w:sz="0" w:space="0" w:color="auto"/>
                        <w:right w:val="none" w:sz="0" w:space="0" w:color="auto"/>
                      </w:divBdr>
                    </w:div>
                  </w:divsChild>
                </w:div>
                <w:div w:id="973565030">
                  <w:marLeft w:val="0"/>
                  <w:marRight w:val="0"/>
                  <w:marTop w:val="0"/>
                  <w:marBottom w:val="0"/>
                  <w:divBdr>
                    <w:top w:val="none" w:sz="0" w:space="0" w:color="auto"/>
                    <w:left w:val="none" w:sz="0" w:space="0" w:color="auto"/>
                    <w:bottom w:val="none" w:sz="0" w:space="0" w:color="auto"/>
                    <w:right w:val="none" w:sz="0" w:space="0" w:color="auto"/>
                  </w:divBdr>
                  <w:divsChild>
                    <w:div w:id="1142424090">
                      <w:marLeft w:val="0"/>
                      <w:marRight w:val="0"/>
                      <w:marTop w:val="0"/>
                      <w:marBottom w:val="0"/>
                      <w:divBdr>
                        <w:top w:val="none" w:sz="0" w:space="0" w:color="auto"/>
                        <w:left w:val="none" w:sz="0" w:space="0" w:color="auto"/>
                        <w:bottom w:val="none" w:sz="0" w:space="0" w:color="auto"/>
                        <w:right w:val="none" w:sz="0" w:space="0" w:color="auto"/>
                      </w:divBdr>
                    </w:div>
                  </w:divsChild>
                </w:div>
                <w:div w:id="987779999">
                  <w:marLeft w:val="0"/>
                  <w:marRight w:val="0"/>
                  <w:marTop w:val="0"/>
                  <w:marBottom w:val="0"/>
                  <w:divBdr>
                    <w:top w:val="none" w:sz="0" w:space="0" w:color="auto"/>
                    <w:left w:val="none" w:sz="0" w:space="0" w:color="auto"/>
                    <w:bottom w:val="none" w:sz="0" w:space="0" w:color="auto"/>
                    <w:right w:val="none" w:sz="0" w:space="0" w:color="auto"/>
                  </w:divBdr>
                  <w:divsChild>
                    <w:div w:id="538130280">
                      <w:marLeft w:val="0"/>
                      <w:marRight w:val="0"/>
                      <w:marTop w:val="0"/>
                      <w:marBottom w:val="0"/>
                      <w:divBdr>
                        <w:top w:val="none" w:sz="0" w:space="0" w:color="auto"/>
                        <w:left w:val="none" w:sz="0" w:space="0" w:color="auto"/>
                        <w:bottom w:val="none" w:sz="0" w:space="0" w:color="auto"/>
                        <w:right w:val="none" w:sz="0" w:space="0" w:color="auto"/>
                      </w:divBdr>
                    </w:div>
                  </w:divsChild>
                </w:div>
                <w:div w:id="1226843023">
                  <w:marLeft w:val="0"/>
                  <w:marRight w:val="0"/>
                  <w:marTop w:val="0"/>
                  <w:marBottom w:val="0"/>
                  <w:divBdr>
                    <w:top w:val="none" w:sz="0" w:space="0" w:color="auto"/>
                    <w:left w:val="none" w:sz="0" w:space="0" w:color="auto"/>
                    <w:bottom w:val="none" w:sz="0" w:space="0" w:color="auto"/>
                    <w:right w:val="none" w:sz="0" w:space="0" w:color="auto"/>
                  </w:divBdr>
                  <w:divsChild>
                    <w:div w:id="1684360750">
                      <w:marLeft w:val="0"/>
                      <w:marRight w:val="0"/>
                      <w:marTop w:val="0"/>
                      <w:marBottom w:val="0"/>
                      <w:divBdr>
                        <w:top w:val="none" w:sz="0" w:space="0" w:color="auto"/>
                        <w:left w:val="none" w:sz="0" w:space="0" w:color="auto"/>
                        <w:bottom w:val="none" w:sz="0" w:space="0" w:color="auto"/>
                        <w:right w:val="none" w:sz="0" w:space="0" w:color="auto"/>
                      </w:divBdr>
                    </w:div>
                  </w:divsChild>
                </w:div>
                <w:div w:id="1443651835">
                  <w:marLeft w:val="0"/>
                  <w:marRight w:val="0"/>
                  <w:marTop w:val="0"/>
                  <w:marBottom w:val="0"/>
                  <w:divBdr>
                    <w:top w:val="none" w:sz="0" w:space="0" w:color="auto"/>
                    <w:left w:val="none" w:sz="0" w:space="0" w:color="auto"/>
                    <w:bottom w:val="none" w:sz="0" w:space="0" w:color="auto"/>
                    <w:right w:val="none" w:sz="0" w:space="0" w:color="auto"/>
                  </w:divBdr>
                  <w:divsChild>
                    <w:div w:id="1361785465">
                      <w:marLeft w:val="0"/>
                      <w:marRight w:val="0"/>
                      <w:marTop w:val="0"/>
                      <w:marBottom w:val="0"/>
                      <w:divBdr>
                        <w:top w:val="none" w:sz="0" w:space="0" w:color="auto"/>
                        <w:left w:val="none" w:sz="0" w:space="0" w:color="auto"/>
                        <w:bottom w:val="none" w:sz="0" w:space="0" w:color="auto"/>
                        <w:right w:val="none" w:sz="0" w:space="0" w:color="auto"/>
                      </w:divBdr>
                    </w:div>
                  </w:divsChild>
                </w:div>
                <w:div w:id="1464737651">
                  <w:marLeft w:val="0"/>
                  <w:marRight w:val="0"/>
                  <w:marTop w:val="0"/>
                  <w:marBottom w:val="0"/>
                  <w:divBdr>
                    <w:top w:val="none" w:sz="0" w:space="0" w:color="auto"/>
                    <w:left w:val="none" w:sz="0" w:space="0" w:color="auto"/>
                    <w:bottom w:val="none" w:sz="0" w:space="0" w:color="auto"/>
                    <w:right w:val="none" w:sz="0" w:space="0" w:color="auto"/>
                  </w:divBdr>
                  <w:divsChild>
                    <w:div w:id="179249006">
                      <w:marLeft w:val="0"/>
                      <w:marRight w:val="0"/>
                      <w:marTop w:val="0"/>
                      <w:marBottom w:val="0"/>
                      <w:divBdr>
                        <w:top w:val="none" w:sz="0" w:space="0" w:color="auto"/>
                        <w:left w:val="none" w:sz="0" w:space="0" w:color="auto"/>
                        <w:bottom w:val="none" w:sz="0" w:space="0" w:color="auto"/>
                        <w:right w:val="none" w:sz="0" w:space="0" w:color="auto"/>
                      </w:divBdr>
                    </w:div>
                  </w:divsChild>
                </w:div>
                <w:div w:id="1468160822">
                  <w:marLeft w:val="0"/>
                  <w:marRight w:val="0"/>
                  <w:marTop w:val="0"/>
                  <w:marBottom w:val="0"/>
                  <w:divBdr>
                    <w:top w:val="none" w:sz="0" w:space="0" w:color="auto"/>
                    <w:left w:val="none" w:sz="0" w:space="0" w:color="auto"/>
                    <w:bottom w:val="none" w:sz="0" w:space="0" w:color="auto"/>
                    <w:right w:val="none" w:sz="0" w:space="0" w:color="auto"/>
                  </w:divBdr>
                  <w:divsChild>
                    <w:div w:id="2120835221">
                      <w:marLeft w:val="0"/>
                      <w:marRight w:val="0"/>
                      <w:marTop w:val="0"/>
                      <w:marBottom w:val="0"/>
                      <w:divBdr>
                        <w:top w:val="none" w:sz="0" w:space="0" w:color="auto"/>
                        <w:left w:val="none" w:sz="0" w:space="0" w:color="auto"/>
                        <w:bottom w:val="none" w:sz="0" w:space="0" w:color="auto"/>
                        <w:right w:val="none" w:sz="0" w:space="0" w:color="auto"/>
                      </w:divBdr>
                    </w:div>
                  </w:divsChild>
                </w:div>
                <w:div w:id="1598253184">
                  <w:marLeft w:val="0"/>
                  <w:marRight w:val="0"/>
                  <w:marTop w:val="0"/>
                  <w:marBottom w:val="0"/>
                  <w:divBdr>
                    <w:top w:val="none" w:sz="0" w:space="0" w:color="auto"/>
                    <w:left w:val="none" w:sz="0" w:space="0" w:color="auto"/>
                    <w:bottom w:val="none" w:sz="0" w:space="0" w:color="auto"/>
                    <w:right w:val="none" w:sz="0" w:space="0" w:color="auto"/>
                  </w:divBdr>
                  <w:divsChild>
                    <w:div w:id="345599857">
                      <w:marLeft w:val="0"/>
                      <w:marRight w:val="0"/>
                      <w:marTop w:val="0"/>
                      <w:marBottom w:val="0"/>
                      <w:divBdr>
                        <w:top w:val="none" w:sz="0" w:space="0" w:color="auto"/>
                        <w:left w:val="none" w:sz="0" w:space="0" w:color="auto"/>
                        <w:bottom w:val="none" w:sz="0" w:space="0" w:color="auto"/>
                        <w:right w:val="none" w:sz="0" w:space="0" w:color="auto"/>
                      </w:divBdr>
                    </w:div>
                  </w:divsChild>
                </w:div>
                <w:div w:id="1676567607">
                  <w:marLeft w:val="0"/>
                  <w:marRight w:val="0"/>
                  <w:marTop w:val="0"/>
                  <w:marBottom w:val="0"/>
                  <w:divBdr>
                    <w:top w:val="none" w:sz="0" w:space="0" w:color="auto"/>
                    <w:left w:val="none" w:sz="0" w:space="0" w:color="auto"/>
                    <w:bottom w:val="none" w:sz="0" w:space="0" w:color="auto"/>
                    <w:right w:val="none" w:sz="0" w:space="0" w:color="auto"/>
                  </w:divBdr>
                  <w:divsChild>
                    <w:div w:id="1517890866">
                      <w:marLeft w:val="0"/>
                      <w:marRight w:val="0"/>
                      <w:marTop w:val="0"/>
                      <w:marBottom w:val="0"/>
                      <w:divBdr>
                        <w:top w:val="none" w:sz="0" w:space="0" w:color="auto"/>
                        <w:left w:val="none" w:sz="0" w:space="0" w:color="auto"/>
                        <w:bottom w:val="none" w:sz="0" w:space="0" w:color="auto"/>
                        <w:right w:val="none" w:sz="0" w:space="0" w:color="auto"/>
                      </w:divBdr>
                    </w:div>
                  </w:divsChild>
                </w:div>
                <w:div w:id="1725059351">
                  <w:marLeft w:val="0"/>
                  <w:marRight w:val="0"/>
                  <w:marTop w:val="0"/>
                  <w:marBottom w:val="0"/>
                  <w:divBdr>
                    <w:top w:val="none" w:sz="0" w:space="0" w:color="auto"/>
                    <w:left w:val="none" w:sz="0" w:space="0" w:color="auto"/>
                    <w:bottom w:val="none" w:sz="0" w:space="0" w:color="auto"/>
                    <w:right w:val="none" w:sz="0" w:space="0" w:color="auto"/>
                  </w:divBdr>
                  <w:divsChild>
                    <w:div w:id="665129217">
                      <w:marLeft w:val="0"/>
                      <w:marRight w:val="0"/>
                      <w:marTop w:val="0"/>
                      <w:marBottom w:val="0"/>
                      <w:divBdr>
                        <w:top w:val="none" w:sz="0" w:space="0" w:color="auto"/>
                        <w:left w:val="none" w:sz="0" w:space="0" w:color="auto"/>
                        <w:bottom w:val="none" w:sz="0" w:space="0" w:color="auto"/>
                        <w:right w:val="none" w:sz="0" w:space="0" w:color="auto"/>
                      </w:divBdr>
                    </w:div>
                  </w:divsChild>
                </w:div>
                <w:div w:id="1732120404">
                  <w:marLeft w:val="0"/>
                  <w:marRight w:val="0"/>
                  <w:marTop w:val="0"/>
                  <w:marBottom w:val="0"/>
                  <w:divBdr>
                    <w:top w:val="none" w:sz="0" w:space="0" w:color="auto"/>
                    <w:left w:val="none" w:sz="0" w:space="0" w:color="auto"/>
                    <w:bottom w:val="none" w:sz="0" w:space="0" w:color="auto"/>
                    <w:right w:val="none" w:sz="0" w:space="0" w:color="auto"/>
                  </w:divBdr>
                  <w:divsChild>
                    <w:div w:id="1584801811">
                      <w:marLeft w:val="0"/>
                      <w:marRight w:val="0"/>
                      <w:marTop w:val="0"/>
                      <w:marBottom w:val="0"/>
                      <w:divBdr>
                        <w:top w:val="none" w:sz="0" w:space="0" w:color="auto"/>
                        <w:left w:val="none" w:sz="0" w:space="0" w:color="auto"/>
                        <w:bottom w:val="none" w:sz="0" w:space="0" w:color="auto"/>
                        <w:right w:val="none" w:sz="0" w:space="0" w:color="auto"/>
                      </w:divBdr>
                    </w:div>
                  </w:divsChild>
                </w:div>
                <w:div w:id="1744523460">
                  <w:marLeft w:val="0"/>
                  <w:marRight w:val="0"/>
                  <w:marTop w:val="0"/>
                  <w:marBottom w:val="0"/>
                  <w:divBdr>
                    <w:top w:val="none" w:sz="0" w:space="0" w:color="auto"/>
                    <w:left w:val="none" w:sz="0" w:space="0" w:color="auto"/>
                    <w:bottom w:val="none" w:sz="0" w:space="0" w:color="auto"/>
                    <w:right w:val="none" w:sz="0" w:space="0" w:color="auto"/>
                  </w:divBdr>
                  <w:divsChild>
                    <w:div w:id="172034415">
                      <w:marLeft w:val="0"/>
                      <w:marRight w:val="0"/>
                      <w:marTop w:val="0"/>
                      <w:marBottom w:val="0"/>
                      <w:divBdr>
                        <w:top w:val="none" w:sz="0" w:space="0" w:color="auto"/>
                        <w:left w:val="none" w:sz="0" w:space="0" w:color="auto"/>
                        <w:bottom w:val="none" w:sz="0" w:space="0" w:color="auto"/>
                        <w:right w:val="none" w:sz="0" w:space="0" w:color="auto"/>
                      </w:divBdr>
                    </w:div>
                  </w:divsChild>
                </w:div>
                <w:div w:id="1767386404">
                  <w:marLeft w:val="0"/>
                  <w:marRight w:val="0"/>
                  <w:marTop w:val="0"/>
                  <w:marBottom w:val="0"/>
                  <w:divBdr>
                    <w:top w:val="none" w:sz="0" w:space="0" w:color="auto"/>
                    <w:left w:val="none" w:sz="0" w:space="0" w:color="auto"/>
                    <w:bottom w:val="none" w:sz="0" w:space="0" w:color="auto"/>
                    <w:right w:val="none" w:sz="0" w:space="0" w:color="auto"/>
                  </w:divBdr>
                  <w:divsChild>
                    <w:div w:id="1103917554">
                      <w:marLeft w:val="0"/>
                      <w:marRight w:val="0"/>
                      <w:marTop w:val="0"/>
                      <w:marBottom w:val="0"/>
                      <w:divBdr>
                        <w:top w:val="none" w:sz="0" w:space="0" w:color="auto"/>
                        <w:left w:val="none" w:sz="0" w:space="0" w:color="auto"/>
                        <w:bottom w:val="none" w:sz="0" w:space="0" w:color="auto"/>
                        <w:right w:val="none" w:sz="0" w:space="0" w:color="auto"/>
                      </w:divBdr>
                    </w:div>
                  </w:divsChild>
                </w:div>
                <w:div w:id="1809010139">
                  <w:marLeft w:val="0"/>
                  <w:marRight w:val="0"/>
                  <w:marTop w:val="0"/>
                  <w:marBottom w:val="0"/>
                  <w:divBdr>
                    <w:top w:val="none" w:sz="0" w:space="0" w:color="auto"/>
                    <w:left w:val="none" w:sz="0" w:space="0" w:color="auto"/>
                    <w:bottom w:val="none" w:sz="0" w:space="0" w:color="auto"/>
                    <w:right w:val="none" w:sz="0" w:space="0" w:color="auto"/>
                  </w:divBdr>
                  <w:divsChild>
                    <w:div w:id="914167292">
                      <w:marLeft w:val="0"/>
                      <w:marRight w:val="0"/>
                      <w:marTop w:val="0"/>
                      <w:marBottom w:val="0"/>
                      <w:divBdr>
                        <w:top w:val="none" w:sz="0" w:space="0" w:color="auto"/>
                        <w:left w:val="none" w:sz="0" w:space="0" w:color="auto"/>
                        <w:bottom w:val="none" w:sz="0" w:space="0" w:color="auto"/>
                        <w:right w:val="none" w:sz="0" w:space="0" w:color="auto"/>
                      </w:divBdr>
                    </w:div>
                  </w:divsChild>
                </w:div>
                <w:div w:id="1919363334">
                  <w:marLeft w:val="0"/>
                  <w:marRight w:val="0"/>
                  <w:marTop w:val="0"/>
                  <w:marBottom w:val="0"/>
                  <w:divBdr>
                    <w:top w:val="none" w:sz="0" w:space="0" w:color="auto"/>
                    <w:left w:val="none" w:sz="0" w:space="0" w:color="auto"/>
                    <w:bottom w:val="none" w:sz="0" w:space="0" w:color="auto"/>
                    <w:right w:val="none" w:sz="0" w:space="0" w:color="auto"/>
                  </w:divBdr>
                  <w:divsChild>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1922444898">
                  <w:marLeft w:val="0"/>
                  <w:marRight w:val="0"/>
                  <w:marTop w:val="0"/>
                  <w:marBottom w:val="0"/>
                  <w:divBdr>
                    <w:top w:val="none" w:sz="0" w:space="0" w:color="auto"/>
                    <w:left w:val="none" w:sz="0" w:space="0" w:color="auto"/>
                    <w:bottom w:val="none" w:sz="0" w:space="0" w:color="auto"/>
                    <w:right w:val="none" w:sz="0" w:space="0" w:color="auto"/>
                  </w:divBdr>
                  <w:divsChild>
                    <w:div w:id="541483198">
                      <w:marLeft w:val="0"/>
                      <w:marRight w:val="0"/>
                      <w:marTop w:val="0"/>
                      <w:marBottom w:val="0"/>
                      <w:divBdr>
                        <w:top w:val="none" w:sz="0" w:space="0" w:color="auto"/>
                        <w:left w:val="none" w:sz="0" w:space="0" w:color="auto"/>
                        <w:bottom w:val="none" w:sz="0" w:space="0" w:color="auto"/>
                        <w:right w:val="none" w:sz="0" w:space="0" w:color="auto"/>
                      </w:divBdr>
                    </w:div>
                  </w:divsChild>
                </w:div>
                <w:div w:id="1955361494">
                  <w:marLeft w:val="0"/>
                  <w:marRight w:val="0"/>
                  <w:marTop w:val="0"/>
                  <w:marBottom w:val="0"/>
                  <w:divBdr>
                    <w:top w:val="none" w:sz="0" w:space="0" w:color="auto"/>
                    <w:left w:val="none" w:sz="0" w:space="0" w:color="auto"/>
                    <w:bottom w:val="none" w:sz="0" w:space="0" w:color="auto"/>
                    <w:right w:val="none" w:sz="0" w:space="0" w:color="auto"/>
                  </w:divBdr>
                  <w:divsChild>
                    <w:div w:id="538125688">
                      <w:marLeft w:val="0"/>
                      <w:marRight w:val="0"/>
                      <w:marTop w:val="0"/>
                      <w:marBottom w:val="0"/>
                      <w:divBdr>
                        <w:top w:val="none" w:sz="0" w:space="0" w:color="auto"/>
                        <w:left w:val="none" w:sz="0" w:space="0" w:color="auto"/>
                        <w:bottom w:val="none" w:sz="0" w:space="0" w:color="auto"/>
                        <w:right w:val="none" w:sz="0" w:space="0" w:color="auto"/>
                      </w:divBdr>
                    </w:div>
                  </w:divsChild>
                </w:div>
                <w:div w:id="2059166349">
                  <w:marLeft w:val="0"/>
                  <w:marRight w:val="0"/>
                  <w:marTop w:val="0"/>
                  <w:marBottom w:val="0"/>
                  <w:divBdr>
                    <w:top w:val="none" w:sz="0" w:space="0" w:color="auto"/>
                    <w:left w:val="none" w:sz="0" w:space="0" w:color="auto"/>
                    <w:bottom w:val="none" w:sz="0" w:space="0" w:color="auto"/>
                    <w:right w:val="none" w:sz="0" w:space="0" w:color="auto"/>
                  </w:divBdr>
                  <w:divsChild>
                    <w:div w:id="624655822">
                      <w:marLeft w:val="0"/>
                      <w:marRight w:val="0"/>
                      <w:marTop w:val="0"/>
                      <w:marBottom w:val="0"/>
                      <w:divBdr>
                        <w:top w:val="none" w:sz="0" w:space="0" w:color="auto"/>
                        <w:left w:val="none" w:sz="0" w:space="0" w:color="auto"/>
                        <w:bottom w:val="none" w:sz="0" w:space="0" w:color="auto"/>
                        <w:right w:val="none" w:sz="0" w:space="0" w:color="auto"/>
                      </w:divBdr>
                    </w:div>
                  </w:divsChild>
                </w:div>
                <w:div w:id="2063290756">
                  <w:marLeft w:val="0"/>
                  <w:marRight w:val="0"/>
                  <w:marTop w:val="0"/>
                  <w:marBottom w:val="0"/>
                  <w:divBdr>
                    <w:top w:val="none" w:sz="0" w:space="0" w:color="auto"/>
                    <w:left w:val="none" w:sz="0" w:space="0" w:color="auto"/>
                    <w:bottom w:val="none" w:sz="0" w:space="0" w:color="auto"/>
                    <w:right w:val="none" w:sz="0" w:space="0" w:color="auto"/>
                  </w:divBdr>
                  <w:divsChild>
                    <w:div w:id="787314382">
                      <w:marLeft w:val="0"/>
                      <w:marRight w:val="0"/>
                      <w:marTop w:val="0"/>
                      <w:marBottom w:val="0"/>
                      <w:divBdr>
                        <w:top w:val="none" w:sz="0" w:space="0" w:color="auto"/>
                        <w:left w:val="none" w:sz="0" w:space="0" w:color="auto"/>
                        <w:bottom w:val="none" w:sz="0" w:space="0" w:color="auto"/>
                        <w:right w:val="none" w:sz="0" w:space="0" w:color="auto"/>
                      </w:divBdr>
                    </w:div>
                  </w:divsChild>
                </w:div>
                <w:div w:id="2085100587">
                  <w:marLeft w:val="0"/>
                  <w:marRight w:val="0"/>
                  <w:marTop w:val="0"/>
                  <w:marBottom w:val="0"/>
                  <w:divBdr>
                    <w:top w:val="none" w:sz="0" w:space="0" w:color="auto"/>
                    <w:left w:val="none" w:sz="0" w:space="0" w:color="auto"/>
                    <w:bottom w:val="none" w:sz="0" w:space="0" w:color="auto"/>
                    <w:right w:val="none" w:sz="0" w:space="0" w:color="auto"/>
                  </w:divBdr>
                  <w:divsChild>
                    <w:div w:id="1931349239">
                      <w:marLeft w:val="0"/>
                      <w:marRight w:val="0"/>
                      <w:marTop w:val="0"/>
                      <w:marBottom w:val="0"/>
                      <w:divBdr>
                        <w:top w:val="none" w:sz="0" w:space="0" w:color="auto"/>
                        <w:left w:val="none" w:sz="0" w:space="0" w:color="auto"/>
                        <w:bottom w:val="none" w:sz="0" w:space="0" w:color="auto"/>
                        <w:right w:val="none" w:sz="0" w:space="0" w:color="auto"/>
                      </w:divBdr>
                    </w:div>
                  </w:divsChild>
                </w:div>
                <w:div w:id="2099978726">
                  <w:marLeft w:val="0"/>
                  <w:marRight w:val="0"/>
                  <w:marTop w:val="0"/>
                  <w:marBottom w:val="0"/>
                  <w:divBdr>
                    <w:top w:val="none" w:sz="0" w:space="0" w:color="auto"/>
                    <w:left w:val="none" w:sz="0" w:space="0" w:color="auto"/>
                    <w:bottom w:val="none" w:sz="0" w:space="0" w:color="auto"/>
                    <w:right w:val="none" w:sz="0" w:space="0" w:color="auto"/>
                  </w:divBdr>
                  <w:divsChild>
                    <w:div w:id="3828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781">
          <w:marLeft w:val="0"/>
          <w:marRight w:val="0"/>
          <w:marTop w:val="0"/>
          <w:marBottom w:val="0"/>
          <w:divBdr>
            <w:top w:val="none" w:sz="0" w:space="0" w:color="auto"/>
            <w:left w:val="none" w:sz="0" w:space="0" w:color="auto"/>
            <w:bottom w:val="none" w:sz="0" w:space="0" w:color="auto"/>
            <w:right w:val="none" w:sz="0" w:space="0" w:color="auto"/>
          </w:divBdr>
        </w:div>
      </w:divsChild>
    </w:div>
    <w:div w:id="471101334">
      <w:bodyDiv w:val="1"/>
      <w:marLeft w:val="0"/>
      <w:marRight w:val="0"/>
      <w:marTop w:val="0"/>
      <w:marBottom w:val="0"/>
      <w:divBdr>
        <w:top w:val="none" w:sz="0" w:space="0" w:color="auto"/>
        <w:left w:val="none" w:sz="0" w:space="0" w:color="auto"/>
        <w:bottom w:val="none" w:sz="0" w:space="0" w:color="auto"/>
        <w:right w:val="none" w:sz="0" w:space="0" w:color="auto"/>
      </w:divBdr>
    </w:div>
    <w:div w:id="494343940">
      <w:bodyDiv w:val="1"/>
      <w:marLeft w:val="0"/>
      <w:marRight w:val="0"/>
      <w:marTop w:val="0"/>
      <w:marBottom w:val="0"/>
      <w:divBdr>
        <w:top w:val="none" w:sz="0" w:space="0" w:color="auto"/>
        <w:left w:val="none" w:sz="0" w:space="0" w:color="auto"/>
        <w:bottom w:val="none" w:sz="0" w:space="0" w:color="auto"/>
        <w:right w:val="none" w:sz="0" w:space="0" w:color="auto"/>
      </w:divBdr>
      <w:divsChild>
        <w:div w:id="1589576271">
          <w:marLeft w:val="0"/>
          <w:marRight w:val="0"/>
          <w:marTop w:val="0"/>
          <w:marBottom w:val="0"/>
          <w:divBdr>
            <w:top w:val="none" w:sz="0" w:space="0" w:color="auto"/>
            <w:left w:val="none" w:sz="0" w:space="0" w:color="auto"/>
            <w:bottom w:val="none" w:sz="0" w:space="0" w:color="auto"/>
            <w:right w:val="none" w:sz="0" w:space="0" w:color="auto"/>
          </w:divBdr>
        </w:div>
        <w:div w:id="1980377917">
          <w:marLeft w:val="0"/>
          <w:marRight w:val="0"/>
          <w:marTop w:val="0"/>
          <w:marBottom w:val="0"/>
          <w:divBdr>
            <w:top w:val="none" w:sz="0" w:space="0" w:color="auto"/>
            <w:left w:val="none" w:sz="0" w:space="0" w:color="auto"/>
            <w:bottom w:val="none" w:sz="0" w:space="0" w:color="auto"/>
            <w:right w:val="none" w:sz="0" w:space="0" w:color="auto"/>
          </w:divBdr>
          <w:divsChild>
            <w:div w:id="975843271">
              <w:marLeft w:val="-75"/>
              <w:marRight w:val="0"/>
              <w:marTop w:val="30"/>
              <w:marBottom w:val="30"/>
              <w:divBdr>
                <w:top w:val="none" w:sz="0" w:space="0" w:color="auto"/>
                <w:left w:val="none" w:sz="0" w:space="0" w:color="auto"/>
                <w:bottom w:val="none" w:sz="0" w:space="0" w:color="auto"/>
                <w:right w:val="none" w:sz="0" w:space="0" w:color="auto"/>
              </w:divBdr>
              <w:divsChild>
                <w:div w:id="168494139">
                  <w:marLeft w:val="0"/>
                  <w:marRight w:val="0"/>
                  <w:marTop w:val="0"/>
                  <w:marBottom w:val="0"/>
                  <w:divBdr>
                    <w:top w:val="none" w:sz="0" w:space="0" w:color="auto"/>
                    <w:left w:val="none" w:sz="0" w:space="0" w:color="auto"/>
                    <w:bottom w:val="none" w:sz="0" w:space="0" w:color="auto"/>
                    <w:right w:val="none" w:sz="0" w:space="0" w:color="auto"/>
                  </w:divBdr>
                  <w:divsChild>
                    <w:div w:id="144130957">
                      <w:marLeft w:val="0"/>
                      <w:marRight w:val="0"/>
                      <w:marTop w:val="0"/>
                      <w:marBottom w:val="0"/>
                      <w:divBdr>
                        <w:top w:val="none" w:sz="0" w:space="0" w:color="auto"/>
                        <w:left w:val="none" w:sz="0" w:space="0" w:color="auto"/>
                        <w:bottom w:val="none" w:sz="0" w:space="0" w:color="auto"/>
                        <w:right w:val="none" w:sz="0" w:space="0" w:color="auto"/>
                      </w:divBdr>
                    </w:div>
                  </w:divsChild>
                </w:div>
                <w:div w:id="171838238">
                  <w:marLeft w:val="0"/>
                  <w:marRight w:val="0"/>
                  <w:marTop w:val="0"/>
                  <w:marBottom w:val="0"/>
                  <w:divBdr>
                    <w:top w:val="none" w:sz="0" w:space="0" w:color="auto"/>
                    <w:left w:val="none" w:sz="0" w:space="0" w:color="auto"/>
                    <w:bottom w:val="none" w:sz="0" w:space="0" w:color="auto"/>
                    <w:right w:val="none" w:sz="0" w:space="0" w:color="auto"/>
                  </w:divBdr>
                  <w:divsChild>
                    <w:div w:id="1615284549">
                      <w:marLeft w:val="0"/>
                      <w:marRight w:val="0"/>
                      <w:marTop w:val="0"/>
                      <w:marBottom w:val="0"/>
                      <w:divBdr>
                        <w:top w:val="none" w:sz="0" w:space="0" w:color="auto"/>
                        <w:left w:val="none" w:sz="0" w:space="0" w:color="auto"/>
                        <w:bottom w:val="none" w:sz="0" w:space="0" w:color="auto"/>
                        <w:right w:val="none" w:sz="0" w:space="0" w:color="auto"/>
                      </w:divBdr>
                    </w:div>
                  </w:divsChild>
                </w:div>
                <w:div w:id="489106054">
                  <w:marLeft w:val="0"/>
                  <w:marRight w:val="0"/>
                  <w:marTop w:val="0"/>
                  <w:marBottom w:val="0"/>
                  <w:divBdr>
                    <w:top w:val="none" w:sz="0" w:space="0" w:color="auto"/>
                    <w:left w:val="none" w:sz="0" w:space="0" w:color="auto"/>
                    <w:bottom w:val="none" w:sz="0" w:space="0" w:color="auto"/>
                    <w:right w:val="none" w:sz="0" w:space="0" w:color="auto"/>
                  </w:divBdr>
                  <w:divsChild>
                    <w:div w:id="1094284347">
                      <w:marLeft w:val="0"/>
                      <w:marRight w:val="0"/>
                      <w:marTop w:val="0"/>
                      <w:marBottom w:val="0"/>
                      <w:divBdr>
                        <w:top w:val="none" w:sz="0" w:space="0" w:color="auto"/>
                        <w:left w:val="none" w:sz="0" w:space="0" w:color="auto"/>
                        <w:bottom w:val="none" w:sz="0" w:space="0" w:color="auto"/>
                        <w:right w:val="none" w:sz="0" w:space="0" w:color="auto"/>
                      </w:divBdr>
                    </w:div>
                  </w:divsChild>
                </w:div>
                <w:div w:id="493423288">
                  <w:marLeft w:val="0"/>
                  <w:marRight w:val="0"/>
                  <w:marTop w:val="0"/>
                  <w:marBottom w:val="0"/>
                  <w:divBdr>
                    <w:top w:val="none" w:sz="0" w:space="0" w:color="auto"/>
                    <w:left w:val="none" w:sz="0" w:space="0" w:color="auto"/>
                    <w:bottom w:val="none" w:sz="0" w:space="0" w:color="auto"/>
                    <w:right w:val="none" w:sz="0" w:space="0" w:color="auto"/>
                  </w:divBdr>
                  <w:divsChild>
                    <w:div w:id="303388916">
                      <w:marLeft w:val="0"/>
                      <w:marRight w:val="0"/>
                      <w:marTop w:val="0"/>
                      <w:marBottom w:val="0"/>
                      <w:divBdr>
                        <w:top w:val="none" w:sz="0" w:space="0" w:color="auto"/>
                        <w:left w:val="none" w:sz="0" w:space="0" w:color="auto"/>
                        <w:bottom w:val="none" w:sz="0" w:space="0" w:color="auto"/>
                        <w:right w:val="none" w:sz="0" w:space="0" w:color="auto"/>
                      </w:divBdr>
                    </w:div>
                  </w:divsChild>
                </w:div>
                <w:div w:id="547180366">
                  <w:marLeft w:val="0"/>
                  <w:marRight w:val="0"/>
                  <w:marTop w:val="0"/>
                  <w:marBottom w:val="0"/>
                  <w:divBdr>
                    <w:top w:val="none" w:sz="0" w:space="0" w:color="auto"/>
                    <w:left w:val="none" w:sz="0" w:space="0" w:color="auto"/>
                    <w:bottom w:val="none" w:sz="0" w:space="0" w:color="auto"/>
                    <w:right w:val="none" w:sz="0" w:space="0" w:color="auto"/>
                  </w:divBdr>
                  <w:divsChild>
                    <w:div w:id="536047461">
                      <w:marLeft w:val="0"/>
                      <w:marRight w:val="0"/>
                      <w:marTop w:val="0"/>
                      <w:marBottom w:val="0"/>
                      <w:divBdr>
                        <w:top w:val="none" w:sz="0" w:space="0" w:color="auto"/>
                        <w:left w:val="none" w:sz="0" w:space="0" w:color="auto"/>
                        <w:bottom w:val="none" w:sz="0" w:space="0" w:color="auto"/>
                        <w:right w:val="none" w:sz="0" w:space="0" w:color="auto"/>
                      </w:divBdr>
                    </w:div>
                    <w:div w:id="1664165424">
                      <w:marLeft w:val="0"/>
                      <w:marRight w:val="0"/>
                      <w:marTop w:val="0"/>
                      <w:marBottom w:val="0"/>
                      <w:divBdr>
                        <w:top w:val="none" w:sz="0" w:space="0" w:color="auto"/>
                        <w:left w:val="none" w:sz="0" w:space="0" w:color="auto"/>
                        <w:bottom w:val="none" w:sz="0" w:space="0" w:color="auto"/>
                        <w:right w:val="none" w:sz="0" w:space="0" w:color="auto"/>
                      </w:divBdr>
                    </w:div>
                  </w:divsChild>
                </w:div>
                <w:div w:id="649599722">
                  <w:marLeft w:val="0"/>
                  <w:marRight w:val="0"/>
                  <w:marTop w:val="0"/>
                  <w:marBottom w:val="0"/>
                  <w:divBdr>
                    <w:top w:val="none" w:sz="0" w:space="0" w:color="auto"/>
                    <w:left w:val="none" w:sz="0" w:space="0" w:color="auto"/>
                    <w:bottom w:val="none" w:sz="0" w:space="0" w:color="auto"/>
                    <w:right w:val="none" w:sz="0" w:space="0" w:color="auto"/>
                  </w:divBdr>
                  <w:divsChild>
                    <w:div w:id="307707095">
                      <w:marLeft w:val="0"/>
                      <w:marRight w:val="0"/>
                      <w:marTop w:val="0"/>
                      <w:marBottom w:val="0"/>
                      <w:divBdr>
                        <w:top w:val="none" w:sz="0" w:space="0" w:color="auto"/>
                        <w:left w:val="none" w:sz="0" w:space="0" w:color="auto"/>
                        <w:bottom w:val="none" w:sz="0" w:space="0" w:color="auto"/>
                        <w:right w:val="none" w:sz="0" w:space="0" w:color="auto"/>
                      </w:divBdr>
                    </w:div>
                  </w:divsChild>
                </w:div>
                <w:div w:id="721826141">
                  <w:marLeft w:val="0"/>
                  <w:marRight w:val="0"/>
                  <w:marTop w:val="0"/>
                  <w:marBottom w:val="0"/>
                  <w:divBdr>
                    <w:top w:val="none" w:sz="0" w:space="0" w:color="auto"/>
                    <w:left w:val="none" w:sz="0" w:space="0" w:color="auto"/>
                    <w:bottom w:val="none" w:sz="0" w:space="0" w:color="auto"/>
                    <w:right w:val="none" w:sz="0" w:space="0" w:color="auto"/>
                  </w:divBdr>
                  <w:divsChild>
                    <w:div w:id="244464558">
                      <w:marLeft w:val="0"/>
                      <w:marRight w:val="0"/>
                      <w:marTop w:val="0"/>
                      <w:marBottom w:val="0"/>
                      <w:divBdr>
                        <w:top w:val="none" w:sz="0" w:space="0" w:color="auto"/>
                        <w:left w:val="none" w:sz="0" w:space="0" w:color="auto"/>
                        <w:bottom w:val="none" w:sz="0" w:space="0" w:color="auto"/>
                        <w:right w:val="none" w:sz="0" w:space="0" w:color="auto"/>
                      </w:divBdr>
                    </w:div>
                    <w:div w:id="1939943277">
                      <w:marLeft w:val="0"/>
                      <w:marRight w:val="0"/>
                      <w:marTop w:val="0"/>
                      <w:marBottom w:val="0"/>
                      <w:divBdr>
                        <w:top w:val="none" w:sz="0" w:space="0" w:color="auto"/>
                        <w:left w:val="none" w:sz="0" w:space="0" w:color="auto"/>
                        <w:bottom w:val="none" w:sz="0" w:space="0" w:color="auto"/>
                        <w:right w:val="none" w:sz="0" w:space="0" w:color="auto"/>
                      </w:divBdr>
                    </w:div>
                  </w:divsChild>
                </w:div>
                <w:div w:id="913854024">
                  <w:marLeft w:val="0"/>
                  <w:marRight w:val="0"/>
                  <w:marTop w:val="0"/>
                  <w:marBottom w:val="0"/>
                  <w:divBdr>
                    <w:top w:val="none" w:sz="0" w:space="0" w:color="auto"/>
                    <w:left w:val="none" w:sz="0" w:space="0" w:color="auto"/>
                    <w:bottom w:val="none" w:sz="0" w:space="0" w:color="auto"/>
                    <w:right w:val="none" w:sz="0" w:space="0" w:color="auto"/>
                  </w:divBdr>
                  <w:divsChild>
                    <w:div w:id="1486126957">
                      <w:marLeft w:val="0"/>
                      <w:marRight w:val="0"/>
                      <w:marTop w:val="0"/>
                      <w:marBottom w:val="0"/>
                      <w:divBdr>
                        <w:top w:val="none" w:sz="0" w:space="0" w:color="auto"/>
                        <w:left w:val="none" w:sz="0" w:space="0" w:color="auto"/>
                        <w:bottom w:val="none" w:sz="0" w:space="0" w:color="auto"/>
                        <w:right w:val="none" w:sz="0" w:space="0" w:color="auto"/>
                      </w:divBdr>
                    </w:div>
                  </w:divsChild>
                </w:div>
                <w:div w:id="918320749">
                  <w:marLeft w:val="0"/>
                  <w:marRight w:val="0"/>
                  <w:marTop w:val="0"/>
                  <w:marBottom w:val="0"/>
                  <w:divBdr>
                    <w:top w:val="none" w:sz="0" w:space="0" w:color="auto"/>
                    <w:left w:val="none" w:sz="0" w:space="0" w:color="auto"/>
                    <w:bottom w:val="none" w:sz="0" w:space="0" w:color="auto"/>
                    <w:right w:val="none" w:sz="0" w:space="0" w:color="auto"/>
                  </w:divBdr>
                  <w:divsChild>
                    <w:div w:id="1270622429">
                      <w:marLeft w:val="0"/>
                      <w:marRight w:val="0"/>
                      <w:marTop w:val="0"/>
                      <w:marBottom w:val="0"/>
                      <w:divBdr>
                        <w:top w:val="none" w:sz="0" w:space="0" w:color="auto"/>
                        <w:left w:val="none" w:sz="0" w:space="0" w:color="auto"/>
                        <w:bottom w:val="none" w:sz="0" w:space="0" w:color="auto"/>
                        <w:right w:val="none" w:sz="0" w:space="0" w:color="auto"/>
                      </w:divBdr>
                    </w:div>
                  </w:divsChild>
                </w:div>
                <w:div w:id="932592419">
                  <w:marLeft w:val="0"/>
                  <w:marRight w:val="0"/>
                  <w:marTop w:val="0"/>
                  <w:marBottom w:val="0"/>
                  <w:divBdr>
                    <w:top w:val="none" w:sz="0" w:space="0" w:color="auto"/>
                    <w:left w:val="none" w:sz="0" w:space="0" w:color="auto"/>
                    <w:bottom w:val="none" w:sz="0" w:space="0" w:color="auto"/>
                    <w:right w:val="none" w:sz="0" w:space="0" w:color="auto"/>
                  </w:divBdr>
                  <w:divsChild>
                    <w:div w:id="84226530">
                      <w:marLeft w:val="0"/>
                      <w:marRight w:val="0"/>
                      <w:marTop w:val="0"/>
                      <w:marBottom w:val="0"/>
                      <w:divBdr>
                        <w:top w:val="none" w:sz="0" w:space="0" w:color="auto"/>
                        <w:left w:val="none" w:sz="0" w:space="0" w:color="auto"/>
                        <w:bottom w:val="none" w:sz="0" w:space="0" w:color="auto"/>
                        <w:right w:val="none" w:sz="0" w:space="0" w:color="auto"/>
                      </w:divBdr>
                    </w:div>
                  </w:divsChild>
                </w:div>
                <w:div w:id="961574185">
                  <w:marLeft w:val="0"/>
                  <w:marRight w:val="0"/>
                  <w:marTop w:val="0"/>
                  <w:marBottom w:val="0"/>
                  <w:divBdr>
                    <w:top w:val="none" w:sz="0" w:space="0" w:color="auto"/>
                    <w:left w:val="none" w:sz="0" w:space="0" w:color="auto"/>
                    <w:bottom w:val="none" w:sz="0" w:space="0" w:color="auto"/>
                    <w:right w:val="none" w:sz="0" w:space="0" w:color="auto"/>
                  </w:divBdr>
                  <w:divsChild>
                    <w:div w:id="1364986031">
                      <w:marLeft w:val="0"/>
                      <w:marRight w:val="0"/>
                      <w:marTop w:val="0"/>
                      <w:marBottom w:val="0"/>
                      <w:divBdr>
                        <w:top w:val="none" w:sz="0" w:space="0" w:color="auto"/>
                        <w:left w:val="none" w:sz="0" w:space="0" w:color="auto"/>
                        <w:bottom w:val="none" w:sz="0" w:space="0" w:color="auto"/>
                        <w:right w:val="none" w:sz="0" w:space="0" w:color="auto"/>
                      </w:divBdr>
                    </w:div>
                  </w:divsChild>
                </w:div>
                <w:div w:id="962805499">
                  <w:marLeft w:val="0"/>
                  <w:marRight w:val="0"/>
                  <w:marTop w:val="0"/>
                  <w:marBottom w:val="0"/>
                  <w:divBdr>
                    <w:top w:val="none" w:sz="0" w:space="0" w:color="auto"/>
                    <w:left w:val="none" w:sz="0" w:space="0" w:color="auto"/>
                    <w:bottom w:val="none" w:sz="0" w:space="0" w:color="auto"/>
                    <w:right w:val="none" w:sz="0" w:space="0" w:color="auto"/>
                  </w:divBdr>
                  <w:divsChild>
                    <w:div w:id="1462917364">
                      <w:marLeft w:val="0"/>
                      <w:marRight w:val="0"/>
                      <w:marTop w:val="0"/>
                      <w:marBottom w:val="0"/>
                      <w:divBdr>
                        <w:top w:val="none" w:sz="0" w:space="0" w:color="auto"/>
                        <w:left w:val="none" w:sz="0" w:space="0" w:color="auto"/>
                        <w:bottom w:val="none" w:sz="0" w:space="0" w:color="auto"/>
                        <w:right w:val="none" w:sz="0" w:space="0" w:color="auto"/>
                      </w:divBdr>
                    </w:div>
                  </w:divsChild>
                </w:div>
                <w:div w:id="1026175767">
                  <w:marLeft w:val="0"/>
                  <w:marRight w:val="0"/>
                  <w:marTop w:val="0"/>
                  <w:marBottom w:val="0"/>
                  <w:divBdr>
                    <w:top w:val="none" w:sz="0" w:space="0" w:color="auto"/>
                    <w:left w:val="none" w:sz="0" w:space="0" w:color="auto"/>
                    <w:bottom w:val="none" w:sz="0" w:space="0" w:color="auto"/>
                    <w:right w:val="none" w:sz="0" w:space="0" w:color="auto"/>
                  </w:divBdr>
                  <w:divsChild>
                    <w:div w:id="1597131182">
                      <w:marLeft w:val="0"/>
                      <w:marRight w:val="0"/>
                      <w:marTop w:val="0"/>
                      <w:marBottom w:val="0"/>
                      <w:divBdr>
                        <w:top w:val="none" w:sz="0" w:space="0" w:color="auto"/>
                        <w:left w:val="none" w:sz="0" w:space="0" w:color="auto"/>
                        <w:bottom w:val="none" w:sz="0" w:space="0" w:color="auto"/>
                        <w:right w:val="none" w:sz="0" w:space="0" w:color="auto"/>
                      </w:divBdr>
                    </w:div>
                  </w:divsChild>
                </w:div>
                <w:div w:id="1047685710">
                  <w:marLeft w:val="0"/>
                  <w:marRight w:val="0"/>
                  <w:marTop w:val="0"/>
                  <w:marBottom w:val="0"/>
                  <w:divBdr>
                    <w:top w:val="none" w:sz="0" w:space="0" w:color="auto"/>
                    <w:left w:val="none" w:sz="0" w:space="0" w:color="auto"/>
                    <w:bottom w:val="none" w:sz="0" w:space="0" w:color="auto"/>
                    <w:right w:val="none" w:sz="0" w:space="0" w:color="auto"/>
                  </w:divBdr>
                  <w:divsChild>
                    <w:div w:id="308947945">
                      <w:marLeft w:val="0"/>
                      <w:marRight w:val="0"/>
                      <w:marTop w:val="0"/>
                      <w:marBottom w:val="0"/>
                      <w:divBdr>
                        <w:top w:val="none" w:sz="0" w:space="0" w:color="auto"/>
                        <w:left w:val="none" w:sz="0" w:space="0" w:color="auto"/>
                        <w:bottom w:val="none" w:sz="0" w:space="0" w:color="auto"/>
                        <w:right w:val="none" w:sz="0" w:space="0" w:color="auto"/>
                      </w:divBdr>
                    </w:div>
                    <w:div w:id="369763229">
                      <w:marLeft w:val="0"/>
                      <w:marRight w:val="0"/>
                      <w:marTop w:val="0"/>
                      <w:marBottom w:val="0"/>
                      <w:divBdr>
                        <w:top w:val="none" w:sz="0" w:space="0" w:color="auto"/>
                        <w:left w:val="none" w:sz="0" w:space="0" w:color="auto"/>
                        <w:bottom w:val="none" w:sz="0" w:space="0" w:color="auto"/>
                        <w:right w:val="none" w:sz="0" w:space="0" w:color="auto"/>
                      </w:divBdr>
                    </w:div>
                  </w:divsChild>
                </w:div>
                <w:div w:id="1211529891">
                  <w:marLeft w:val="0"/>
                  <w:marRight w:val="0"/>
                  <w:marTop w:val="0"/>
                  <w:marBottom w:val="0"/>
                  <w:divBdr>
                    <w:top w:val="none" w:sz="0" w:space="0" w:color="auto"/>
                    <w:left w:val="none" w:sz="0" w:space="0" w:color="auto"/>
                    <w:bottom w:val="none" w:sz="0" w:space="0" w:color="auto"/>
                    <w:right w:val="none" w:sz="0" w:space="0" w:color="auto"/>
                  </w:divBdr>
                  <w:divsChild>
                    <w:div w:id="1911839585">
                      <w:marLeft w:val="0"/>
                      <w:marRight w:val="0"/>
                      <w:marTop w:val="0"/>
                      <w:marBottom w:val="0"/>
                      <w:divBdr>
                        <w:top w:val="none" w:sz="0" w:space="0" w:color="auto"/>
                        <w:left w:val="none" w:sz="0" w:space="0" w:color="auto"/>
                        <w:bottom w:val="none" w:sz="0" w:space="0" w:color="auto"/>
                        <w:right w:val="none" w:sz="0" w:space="0" w:color="auto"/>
                      </w:divBdr>
                    </w:div>
                  </w:divsChild>
                </w:div>
                <w:div w:id="1411921877">
                  <w:marLeft w:val="0"/>
                  <w:marRight w:val="0"/>
                  <w:marTop w:val="0"/>
                  <w:marBottom w:val="0"/>
                  <w:divBdr>
                    <w:top w:val="none" w:sz="0" w:space="0" w:color="auto"/>
                    <w:left w:val="none" w:sz="0" w:space="0" w:color="auto"/>
                    <w:bottom w:val="none" w:sz="0" w:space="0" w:color="auto"/>
                    <w:right w:val="none" w:sz="0" w:space="0" w:color="auto"/>
                  </w:divBdr>
                  <w:divsChild>
                    <w:div w:id="1787698057">
                      <w:marLeft w:val="0"/>
                      <w:marRight w:val="0"/>
                      <w:marTop w:val="0"/>
                      <w:marBottom w:val="0"/>
                      <w:divBdr>
                        <w:top w:val="none" w:sz="0" w:space="0" w:color="auto"/>
                        <w:left w:val="none" w:sz="0" w:space="0" w:color="auto"/>
                        <w:bottom w:val="none" w:sz="0" w:space="0" w:color="auto"/>
                        <w:right w:val="none" w:sz="0" w:space="0" w:color="auto"/>
                      </w:divBdr>
                    </w:div>
                    <w:div w:id="2033919502">
                      <w:marLeft w:val="0"/>
                      <w:marRight w:val="0"/>
                      <w:marTop w:val="0"/>
                      <w:marBottom w:val="0"/>
                      <w:divBdr>
                        <w:top w:val="none" w:sz="0" w:space="0" w:color="auto"/>
                        <w:left w:val="none" w:sz="0" w:space="0" w:color="auto"/>
                        <w:bottom w:val="none" w:sz="0" w:space="0" w:color="auto"/>
                        <w:right w:val="none" w:sz="0" w:space="0" w:color="auto"/>
                      </w:divBdr>
                    </w:div>
                  </w:divsChild>
                </w:div>
                <w:div w:id="1484350577">
                  <w:marLeft w:val="0"/>
                  <w:marRight w:val="0"/>
                  <w:marTop w:val="0"/>
                  <w:marBottom w:val="0"/>
                  <w:divBdr>
                    <w:top w:val="none" w:sz="0" w:space="0" w:color="auto"/>
                    <w:left w:val="none" w:sz="0" w:space="0" w:color="auto"/>
                    <w:bottom w:val="none" w:sz="0" w:space="0" w:color="auto"/>
                    <w:right w:val="none" w:sz="0" w:space="0" w:color="auto"/>
                  </w:divBdr>
                  <w:divsChild>
                    <w:div w:id="326519224">
                      <w:marLeft w:val="0"/>
                      <w:marRight w:val="0"/>
                      <w:marTop w:val="0"/>
                      <w:marBottom w:val="0"/>
                      <w:divBdr>
                        <w:top w:val="none" w:sz="0" w:space="0" w:color="auto"/>
                        <w:left w:val="none" w:sz="0" w:space="0" w:color="auto"/>
                        <w:bottom w:val="none" w:sz="0" w:space="0" w:color="auto"/>
                        <w:right w:val="none" w:sz="0" w:space="0" w:color="auto"/>
                      </w:divBdr>
                    </w:div>
                    <w:div w:id="935820646">
                      <w:marLeft w:val="0"/>
                      <w:marRight w:val="0"/>
                      <w:marTop w:val="0"/>
                      <w:marBottom w:val="0"/>
                      <w:divBdr>
                        <w:top w:val="none" w:sz="0" w:space="0" w:color="auto"/>
                        <w:left w:val="none" w:sz="0" w:space="0" w:color="auto"/>
                        <w:bottom w:val="none" w:sz="0" w:space="0" w:color="auto"/>
                        <w:right w:val="none" w:sz="0" w:space="0" w:color="auto"/>
                      </w:divBdr>
                    </w:div>
                  </w:divsChild>
                </w:div>
                <w:div w:id="1660502992">
                  <w:marLeft w:val="0"/>
                  <w:marRight w:val="0"/>
                  <w:marTop w:val="0"/>
                  <w:marBottom w:val="0"/>
                  <w:divBdr>
                    <w:top w:val="none" w:sz="0" w:space="0" w:color="auto"/>
                    <w:left w:val="none" w:sz="0" w:space="0" w:color="auto"/>
                    <w:bottom w:val="none" w:sz="0" w:space="0" w:color="auto"/>
                    <w:right w:val="none" w:sz="0" w:space="0" w:color="auto"/>
                  </w:divBdr>
                  <w:divsChild>
                    <w:div w:id="570703559">
                      <w:marLeft w:val="0"/>
                      <w:marRight w:val="0"/>
                      <w:marTop w:val="0"/>
                      <w:marBottom w:val="0"/>
                      <w:divBdr>
                        <w:top w:val="none" w:sz="0" w:space="0" w:color="auto"/>
                        <w:left w:val="none" w:sz="0" w:space="0" w:color="auto"/>
                        <w:bottom w:val="none" w:sz="0" w:space="0" w:color="auto"/>
                        <w:right w:val="none" w:sz="0" w:space="0" w:color="auto"/>
                      </w:divBdr>
                    </w:div>
                  </w:divsChild>
                </w:div>
                <w:div w:id="1661737456">
                  <w:marLeft w:val="0"/>
                  <w:marRight w:val="0"/>
                  <w:marTop w:val="0"/>
                  <w:marBottom w:val="0"/>
                  <w:divBdr>
                    <w:top w:val="none" w:sz="0" w:space="0" w:color="auto"/>
                    <w:left w:val="none" w:sz="0" w:space="0" w:color="auto"/>
                    <w:bottom w:val="none" w:sz="0" w:space="0" w:color="auto"/>
                    <w:right w:val="none" w:sz="0" w:space="0" w:color="auto"/>
                  </w:divBdr>
                  <w:divsChild>
                    <w:div w:id="1652980984">
                      <w:marLeft w:val="0"/>
                      <w:marRight w:val="0"/>
                      <w:marTop w:val="0"/>
                      <w:marBottom w:val="0"/>
                      <w:divBdr>
                        <w:top w:val="none" w:sz="0" w:space="0" w:color="auto"/>
                        <w:left w:val="none" w:sz="0" w:space="0" w:color="auto"/>
                        <w:bottom w:val="none" w:sz="0" w:space="0" w:color="auto"/>
                        <w:right w:val="none" w:sz="0" w:space="0" w:color="auto"/>
                      </w:divBdr>
                    </w:div>
                  </w:divsChild>
                </w:div>
                <w:div w:id="1786339384">
                  <w:marLeft w:val="0"/>
                  <w:marRight w:val="0"/>
                  <w:marTop w:val="0"/>
                  <w:marBottom w:val="0"/>
                  <w:divBdr>
                    <w:top w:val="none" w:sz="0" w:space="0" w:color="auto"/>
                    <w:left w:val="none" w:sz="0" w:space="0" w:color="auto"/>
                    <w:bottom w:val="none" w:sz="0" w:space="0" w:color="auto"/>
                    <w:right w:val="none" w:sz="0" w:space="0" w:color="auto"/>
                  </w:divBdr>
                  <w:divsChild>
                    <w:div w:id="1177694574">
                      <w:marLeft w:val="0"/>
                      <w:marRight w:val="0"/>
                      <w:marTop w:val="0"/>
                      <w:marBottom w:val="0"/>
                      <w:divBdr>
                        <w:top w:val="none" w:sz="0" w:space="0" w:color="auto"/>
                        <w:left w:val="none" w:sz="0" w:space="0" w:color="auto"/>
                        <w:bottom w:val="none" w:sz="0" w:space="0" w:color="auto"/>
                        <w:right w:val="none" w:sz="0" w:space="0" w:color="auto"/>
                      </w:divBdr>
                    </w:div>
                  </w:divsChild>
                </w:div>
                <w:div w:id="1970817774">
                  <w:marLeft w:val="0"/>
                  <w:marRight w:val="0"/>
                  <w:marTop w:val="0"/>
                  <w:marBottom w:val="0"/>
                  <w:divBdr>
                    <w:top w:val="none" w:sz="0" w:space="0" w:color="auto"/>
                    <w:left w:val="none" w:sz="0" w:space="0" w:color="auto"/>
                    <w:bottom w:val="none" w:sz="0" w:space="0" w:color="auto"/>
                    <w:right w:val="none" w:sz="0" w:space="0" w:color="auto"/>
                  </w:divBdr>
                  <w:divsChild>
                    <w:div w:id="953093107">
                      <w:marLeft w:val="0"/>
                      <w:marRight w:val="0"/>
                      <w:marTop w:val="0"/>
                      <w:marBottom w:val="0"/>
                      <w:divBdr>
                        <w:top w:val="none" w:sz="0" w:space="0" w:color="auto"/>
                        <w:left w:val="none" w:sz="0" w:space="0" w:color="auto"/>
                        <w:bottom w:val="none" w:sz="0" w:space="0" w:color="auto"/>
                        <w:right w:val="none" w:sz="0" w:space="0" w:color="auto"/>
                      </w:divBdr>
                    </w:div>
                  </w:divsChild>
                </w:div>
                <w:div w:id="2049840393">
                  <w:marLeft w:val="0"/>
                  <w:marRight w:val="0"/>
                  <w:marTop w:val="0"/>
                  <w:marBottom w:val="0"/>
                  <w:divBdr>
                    <w:top w:val="none" w:sz="0" w:space="0" w:color="auto"/>
                    <w:left w:val="none" w:sz="0" w:space="0" w:color="auto"/>
                    <w:bottom w:val="none" w:sz="0" w:space="0" w:color="auto"/>
                    <w:right w:val="none" w:sz="0" w:space="0" w:color="auto"/>
                  </w:divBdr>
                  <w:divsChild>
                    <w:div w:id="1003356490">
                      <w:marLeft w:val="0"/>
                      <w:marRight w:val="0"/>
                      <w:marTop w:val="0"/>
                      <w:marBottom w:val="0"/>
                      <w:divBdr>
                        <w:top w:val="none" w:sz="0" w:space="0" w:color="auto"/>
                        <w:left w:val="none" w:sz="0" w:space="0" w:color="auto"/>
                        <w:bottom w:val="none" w:sz="0" w:space="0" w:color="auto"/>
                        <w:right w:val="none" w:sz="0" w:space="0" w:color="auto"/>
                      </w:divBdr>
                    </w:div>
                  </w:divsChild>
                </w:div>
                <w:div w:id="2102289791">
                  <w:marLeft w:val="0"/>
                  <w:marRight w:val="0"/>
                  <w:marTop w:val="0"/>
                  <w:marBottom w:val="0"/>
                  <w:divBdr>
                    <w:top w:val="none" w:sz="0" w:space="0" w:color="auto"/>
                    <w:left w:val="none" w:sz="0" w:space="0" w:color="auto"/>
                    <w:bottom w:val="none" w:sz="0" w:space="0" w:color="auto"/>
                    <w:right w:val="none" w:sz="0" w:space="0" w:color="auto"/>
                  </w:divBdr>
                  <w:divsChild>
                    <w:div w:id="1163542979">
                      <w:marLeft w:val="0"/>
                      <w:marRight w:val="0"/>
                      <w:marTop w:val="0"/>
                      <w:marBottom w:val="0"/>
                      <w:divBdr>
                        <w:top w:val="none" w:sz="0" w:space="0" w:color="auto"/>
                        <w:left w:val="none" w:sz="0" w:space="0" w:color="auto"/>
                        <w:bottom w:val="none" w:sz="0" w:space="0" w:color="auto"/>
                        <w:right w:val="none" w:sz="0" w:space="0" w:color="auto"/>
                      </w:divBdr>
                    </w:div>
                  </w:divsChild>
                </w:div>
                <w:div w:id="2141797579">
                  <w:marLeft w:val="0"/>
                  <w:marRight w:val="0"/>
                  <w:marTop w:val="0"/>
                  <w:marBottom w:val="0"/>
                  <w:divBdr>
                    <w:top w:val="none" w:sz="0" w:space="0" w:color="auto"/>
                    <w:left w:val="none" w:sz="0" w:space="0" w:color="auto"/>
                    <w:bottom w:val="none" w:sz="0" w:space="0" w:color="auto"/>
                    <w:right w:val="none" w:sz="0" w:space="0" w:color="auto"/>
                  </w:divBdr>
                  <w:divsChild>
                    <w:div w:id="16711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17193">
      <w:bodyDiv w:val="1"/>
      <w:marLeft w:val="0"/>
      <w:marRight w:val="0"/>
      <w:marTop w:val="0"/>
      <w:marBottom w:val="0"/>
      <w:divBdr>
        <w:top w:val="none" w:sz="0" w:space="0" w:color="auto"/>
        <w:left w:val="none" w:sz="0" w:space="0" w:color="auto"/>
        <w:bottom w:val="none" w:sz="0" w:space="0" w:color="auto"/>
        <w:right w:val="none" w:sz="0" w:space="0" w:color="auto"/>
      </w:divBdr>
      <w:divsChild>
        <w:div w:id="1147820576">
          <w:marLeft w:val="0"/>
          <w:marRight w:val="0"/>
          <w:marTop w:val="0"/>
          <w:marBottom w:val="0"/>
          <w:divBdr>
            <w:top w:val="none" w:sz="0" w:space="0" w:color="auto"/>
            <w:left w:val="none" w:sz="0" w:space="0" w:color="auto"/>
            <w:bottom w:val="none" w:sz="0" w:space="0" w:color="auto"/>
            <w:right w:val="none" w:sz="0" w:space="0" w:color="auto"/>
          </w:divBdr>
        </w:div>
        <w:div w:id="1759865255">
          <w:marLeft w:val="0"/>
          <w:marRight w:val="0"/>
          <w:marTop w:val="0"/>
          <w:marBottom w:val="0"/>
          <w:divBdr>
            <w:top w:val="none" w:sz="0" w:space="0" w:color="auto"/>
            <w:left w:val="none" w:sz="0" w:space="0" w:color="auto"/>
            <w:bottom w:val="none" w:sz="0" w:space="0" w:color="auto"/>
            <w:right w:val="none" w:sz="0" w:space="0" w:color="auto"/>
          </w:divBdr>
        </w:div>
      </w:divsChild>
    </w:div>
    <w:div w:id="502622656">
      <w:bodyDiv w:val="1"/>
      <w:marLeft w:val="0"/>
      <w:marRight w:val="0"/>
      <w:marTop w:val="0"/>
      <w:marBottom w:val="0"/>
      <w:divBdr>
        <w:top w:val="none" w:sz="0" w:space="0" w:color="auto"/>
        <w:left w:val="none" w:sz="0" w:space="0" w:color="auto"/>
        <w:bottom w:val="none" w:sz="0" w:space="0" w:color="auto"/>
        <w:right w:val="none" w:sz="0" w:space="0" w:color="auto"/>
      </w:divBdr>
    </w:div>
    <w:div w:id="528834099">
      <w:bodyDiv w:val="1"/>
      <w:marLeft w:val="0"/>
      <w:marRight w:val="0"/>
      <w:marTop w:val="0"/>
      <w:marBottom w:val="0"/>
      <w:divBdr>
        <w:top w:val="none" w:sz="0" w:space="0" w:color="auto"/>
        <w:left w:val="none" w:sz="0" w:space="0" w:color="auto"/>
        <w:bottom w:val="none" w:sz="0" w:space="0" w:color="auto"/>
        <w:right w:val="none" w:sz="0" w:space="0" w:color="auto"/>
      </w:divBdr>
      <w:divsChild>
        <w:div w:id="182743287">
          <w:marLeft w:val="0"/>
          <w:marRight w:val="0"/>
          <w:marTop w:val="0"/>
          <w:marBottom w:val="0"/>
          <w:divBdr>
            <w:top w:val="none" w:sz="0" w:space="0" w:color="auto"/>
            <w:left w:val="none" w:sz="0" w:space="0" w:color="auto"/>
            <w:bottom w:val="none" w:sz="0" w:space="0" w:color="auto"/>
            <w:right w:val="none" w:sz="0" w:space="0" w:color="auto"/>
          </w:divBdr>
          <w:divsChild>
            <w:div w:id="1850565095">
              <w:marLeft w:val="0"/>
              <w:marRight w:val="0"/>
              <w:marTop w:val="0"/>
              <w:marBottom w:val="0"/>
              <w:divBdr>
                <w:top w:val="none" w:sz="0" w:space="0" w:color="auto"/>
                <w:left w:val="none" w:sz="0" w:space="0" w:color="auto"/>
                <w:bottom w:val="none" w:sz="0" w:space="0" w:color="auto"/>
                <w:right w:val="none" w:sz="0" w:space="0" w:color="auto"/>
              </w:divBdr>
            </w:div>
          </w:divsChild>
        </w:div>
        <w:div w:id="226770466">
          <w:marLeft w:val="0"/>
          <w:marRight w:val="0"/>
          <w:marTop w:val="0"/>
          <w:marBottom w:val="0"/>
          <w:divBdr>
            <w:top w:val="none" w:sz="0" w:space="0" w:color="auto"/>
            <w:left w:val="none" w:sz="0" w:space="0" w:color="auto"/>
            <w:bottom w:val="none" w:sz="0" w:space="0" w:color="auto"/>
            <w:right w:val="none" w:sz="0" w:space="0" w:color="auto"/>
          </w:divBdr>
          <w:divsChild>
            <w:div w:id="1902671867">
              <w:marLeft w:val="0"/>
              <w:marRight w:val="0"/>
              <w:marTop w:val="0"/>
              <w:marBottom w:val="0"/>
              <w:divBdr>
                <w:top w:val="none" w:sz="0" w:space="0" w:color="auto"/>
                <w:left w:val="none" w:sz="0" w:space="0" w:color="auto"/>
                <w:bottom w:val="none" w:sz="0" w:space="0" w:color="auto"/>
                <w:right w:val="none" w:sz="0" w:space="0" w:color="auto"/>
              </w:divBdr>
            </w:div>
          </w:divsChild>
        </w:div>
        <w:div w:id="281233819">
          <w:marLeft w:val="0"/>
          <w:marRight w:val="0"/>
          <w:marTop w:val="0"/>
          <w:marBottom w:val="0"/>
          <w:divBdr>
            <w:top w:val="none" w:sz="0" w:space="0" w:color="auto"/>
            <w:left w:val="none" w:sz="0" w:space="0" w:color="auto"/>
            <w:bottom w:val="none" w:sz="0" w:space="0" w:color="auto"/>
            <w:right w:val="none" w:sz="0" w:space="0" w:color="auto"/>
          </w:divBdr>
          <w:divsChild>
            <w:div w:id="1685590344">
              <w:marLeft w:val="0"/>
              <w:marRight w:val="0"/>
              <w:marTop w:val="0"/>
              <w:marBottom w:val="0"/>
              <w:divBdr>
                <w:top w:val="none" w:sz="0" w:space="0" w:color="auto"/>
                <w:left w:val="none" w:sz="0" w:space="0" w:color="auto"/>
                <w:bottom w:val="none" w:sz="0" w:space="0" w:color="auto"/>
                <w:right w:val="none" w:sz="0" w:space="0" w:color="auto"/>
              </w:divBdr>
            </w:div>
          </w:divsChild>
        </w:div>
        <w:div w:id="298465419">
          <w:marLeft w:val="0"/>
          <w:marRight w:val="0"/>
          <w:marTop w:val="0"/>
          <w:marBottom w:val="0"/>
          <w:divBdr>
            <w:top w:val="none" w:sz="0" w:space="0" w:color="auto"/>
            <w:left w:val="none" w:sz="0" w:space="0" w:color="auto"/>
            <w:bottom w:val="none" w:sz="0" w:space="0" w:color="auto"/>
            <w:right w:val="none" w:sz="0" w:space="0" w:color="auto"/>
          </w:divBdr>
          <w:divsChild>
            <w:div w:id="1015234645">
              <w:marLeft w:val="0"/>
              <w:marRight w:val="0"/>
              <w:marTop w:val="0"/>
              <w:marBottom w:val="0"/>
              <w:divBdr>
                <w:top w:val="none" w:sz="0" w:space="0" w:color="auto"/>
                <w:left w:val="none" w:sz="0" w:space="0" w:color="auto"/>
                <w:bottom w:val="none" w:sz="0" w:space="0" w:color="auto"/>
                <w:right w:val="none" w:sz="0" w:space="0" w:color="auto"/>
              </w:divBdr>
            </w:div>
          </w:divsChild>
        </w:div>
        <w:div w:id="449058550">
          <w:marLeft w:val="0"/>
          <w:marRight w:val="0"/>
          <w:marTop w:val="0"/>
          <w:marBottom w:val="0"/>
          <w:divBdr>
            <w:top w:val="none" w:sz="0" w:space="0" w:color="auto"/>
            <w:left w:val="none" w:sz="0" w:space="0" w:color="auto"/>
            <w:bottom w:val="none" w:sz="0" w:space="0" w:color="auto"/>
            <w:right w:val="none" w:sz="0" w:space="0" w:color="auto"/>
          </w:divBdr>
          <w:divsChild>
            <w:div w:id="1795056934">
              <w:marLeft w:val="0"/>
              <w:marRight w:val="0"/>
              <w:marTop w:val="0"/>
              <w:marBottom w:val="0"/>
              <w:divBdr>
                <w:top w:val="none" w:sz="0" w:space="0" w:color="auto"/>
                <w:left w:val="none" w:sz="0" w:space="0" w:color="auto"/>
                <w:bottom w:val="none" w:sz="0" w:space="0" w:color="auto"/>
                <w:right w:val="none" w:sz="0" w:space="0" w:color="auto"/>
              </w:divBdr>
            </w:div>
          </w:divsChild>
        </w:div>
        <w:div w:id="466170014">
          <w:marLeft w:val="0"/>
          <w:marRight w:val="0"/>
          <w:marTop w:val="0"/>
          <w:marBottom w:val="0"/>
          <w:divBdr>
            <w:top w:val="none" w:sz="0" w:space="0" w:color="auto"/>
            <w:left w:val="none" w:sz="0" w:space="0" w:color="auto"/>
            <w:bottom w:val="none" w:sz="0" w:space="0" w:color="auto"/>
            <w:right w:val="none" w:sz="0" w:space="0" w:color="auto"/>
          </w:divBdr>
          <w:divsChild>
            <w:div w:id="345451127">
              <w:marLeft w:val="0"/>
              <w:marRight w:val="0"/>
              <w:marTop w:val="0"/>
              <w:marBottom w:val="0"/>
              <w:divBdr>
                <w:top w:val="none" w:sz="0" w:space="0" w:color="auto"/>
                <w:left w:val="none" w:sz="0" w:space="0" w:color="auto"/>
                <w:bottom w:val="none" w:sz="0" w:space="0" w:color="auto"/>
                <w:right w:val="none" w:sz="0" w:space="0" w:color="auto"/>
              </w:divBdr>
            </w:div>
          </w:divsChild>
        </w:div>
        <w:div w:id="498229046">
          <w:marLeft w:val="0"/>
          <w:marRight w:val="0"/>
          <w:marTop w:val="0"/>
          <w:marBottom w:val="0"/>
          <w:divBdr>
            <w:top w:val="none" w:sz="0" w:space="0" w:color="auto"/>
            <w:left w:val="none" w:sz="0" w:space="0" w:color="auto"/>
            <w:bottom w:val="none" w:sz="0" w:space="0" w:color="auto"/>
            <w:right w:val="none" w:sz="0" w:space="0" w:color="auto"/>
          </w:divBdr>
          <w:divsChild>
            <w:div w:id="1005329347">
              <w:marLeft w:val="0"/>
              <w:marRight w:val="0"/>
              <w:marTop w:val="0"/>
              <w:marBottom w:val="0"/>
              <w:divBdr>
                <w:top w:val="none" w:sz="0" w:space="0" w:color="auto"/>
                <w:left w:val="none" w:sz="0" w:space="0" w:color="auto"/>
                <w:bottom w:val="none" w:sz="0" w:space="0" w:color="auto"/>
                <w:right w:val="none" w:sz="0" w:space="0" w:color="auto"/>
              </w:divBdr>
            </w:div>
          </w:divsChild>
        </w:div>
        <w:div w:id="676539802">
          <w:marLeft w:val="0"/>
          <w:marRight w:val="0"/>
          <w:marTop w:val="0"/>
          <w:marBottom w:val="0"/>
          <w:divBdr>
            <w:top w:val="none" w:sz="0" w:space="0" w:color="auto"/>
            <w:left w:val="none" w:sz="0" w:space="0" w:color="auto"/>
            <w:bottom w:val="none" w:sz="0" w:space="0" w:color="auto"/>
            <w:right w:val="none" w:sz="0" w:space="0" w:color="auto"/>
          </w:divBdr>
          <w:divsChild>
            <w:div w:id="115805619">
              <w:marLeft w:val="0"/>
              <w:marRight w:val="0"/>
              <w:marTop w:val="0"/>
              <w:marBottom w:val="0"/>
              <w:divBdr>
                <w:top w:val="none" w:sz="0" w:space="0" w:color="auto"/>
                <w:left w:val="none" w:sz="0" w:space="0" w:color="auto"/>
                <w:bottom w:val="none" w:sz="0" w:space="0" w:color="auto"/>
                <w:right w:val="none" w:sz="0" w:space="0" w:color="auto"/>
              </w:divBdr>
            </w:div>
          </w:divsChild>
        </w:div>
        <w:div w:id="759521736">
          <w:marLeft w:val="0"/>
          <w:marRight w:val="0"/>
          <w:marTop w:val="0"/>
          <w:marBottom w:val="0"/>
          <w:divBdr>
            <w:top w:val="none" w:sz="0" w:space="0" w:color="auto"/>
            <w:left w:val="none" w:sz="0" w:space="0" w:color="auto"/>
            <w:bottom w:val="none" w:sz="0" w:space="0" w:color="auto"/>
            <w:right w:val="none" w:sz="0" w:space="0" w:color="auto"/>
          </w:divBdr>
          <w:divsChild>
            <w:div w:id="1336609844">
              <w:marLeft w:val="0"/>
              <w:marRight w:val="0"/>
              <w:marTop w:val="0"/>
              <w:marBottom w:val="0"/>
              <w:divBdr>
                <w:top w:val="none" w:sz="0" w:space="0" w:color="auto"/>
                <w:left w:val="none" w:sz="0" w:space="0" w:color="auto"/>
                <w:bottom w:val="none" w:sz="0" w:space="0" w:color="auto"/>
                <w:right w:val="none" w:sz="0" w:space="0" w:color="auto"/>
              </w:divBdr>
            </w:div>
          </w:divsChild>
        </w:div>
        <w:div w:id="774177900">
          <w:marLeft w:val="0"/>
          <w:marRight w:val="0"/>
          <w:marTop w:val="0"/>
          <w:marBottom w:val="0"/>
          <w:divBdr>
            <w:top w:val="none" w:sz="0" w:space="0" w:color="auto"/>
            <w:left w:val="none" w:sz="0" w:space="0" w:color="auto"/>
            <w:bottom w:val="none" w:sz="0" w:space="0" w:color="auto"/>
            <w:right w:val="none" w:sz="0" w:space="0" w:color="auto"/>
          </w:divBdr>
          <w:divsChild>
            <w:div w:id="348220725">
              <w:marLeft w:val="0"/>
              <w:marRight w:val="0"/>
              <w:marTop w:val="0"/>
              <w:marBottom w:val="0"/>
              <w:divBdr>
                <w:top w:val="none" w:sz="0" w:space="0" w:color="auto"/>
                <w:left w:val="none" w:sz="0" w:space="0" w:color="auto"/>
                <w:bottom w:val="none" w:sz="0" w:space="0" w:color="auto"/>
                <w:right w:val="none" w:sz="0" w:space="0" w:color="auto"/>
              </w:divBdr>
            </w:div>
          </w:divsChild>
        </w:div>
        <w:div w:id="795299942">
          <w:marLeft w:val="0"/>
          <w:marRight w:val="0"/>
          <w:marTop w:val="0"/>
          <w:marBottom w:val="0"/>
          <w:divBdr>
            <w:top w:val="none" w:sz="0" w:space="0" w:color="auto"/>
            <w:left w:val="none" w:sz="0" w:space="0" w:color="auto"/>
            <w:bottom w:val="none" w:sz="0" w:space="0" w:color="auto"/>
            <w:right w:val="none" w:sz="0" w:space="0" w:color="auto"/>
          </w:divBdr>
          <w:divsChild>
            <w:div w:id="875120633">
              <w:marLeft w:val="0"/>
              <w:marRight w:val="0"/>
              <w:marTop w:val="0"/>
              <w:marBottom w:val="0"/>
              <w:divBdr>
                <w:top w:val="none" w:sz="0" w:space="0" w:color="auto"/>
                <w:left w:val="none" w:sz="0" w:space="0" w:color="auto"/>
                <w:bottom w:val="none" w:sz="0" w:space="0" w:color="auto"/>
                <w:right w:val="none" w:sz="0" w:space="0" w:color="auto"/>
              </w:divBdr>
            </w:div>
          </w:divsChild>
        </w:div>
        <w:div w:id="992682954">
          <w:marLeft w:val="0"/>
          <w:marRight w:val="0"/>
          <w:marTop w:val="0"/>
          <w:marBottom w:val="0"/>
          <w:divBdr>
            <w:top w:val="none" w:sz="0" w:space="0" w:color="auto"/>
            <w:left w:val="none" w:sz="0" w:space="0" w:color="auto"/>
            <w:bottom w:val="none" w:sz="0" w:space="0" w:color="auto"/>
            <w:right w:val="none" w:sz="0" w:space="0" w:color="auto"/>
          </w:divBdr>
          <w:divsChild>
            <w:div w:id="2051103472">
              <w:marLeft w:val="0"/>
              <w:marRight w:val="0"/>
              <w:marTop w:val="0"/>
              <w:marBottom w:val="0"/>
              <w:divBdr>
                <w:top w:val="none" w:sz="0" w:space="0" w:color="auto"/>
                <w:left w:val="none" w:sz="0" w:space="0" w:color="auto"/>
                <w:bottom w:val="none" w:sz="0" w:space="0" w:color="auto"/>
                <w:right w:val="none" w:sz="0" w:space="0" w:color="auto"/>
              </w:divBdr>
            </w:div>
          </w:divsChild>
        </w:div>
        <w:div w:id="1094596733">
          <w:marLeft w:val="0"/>
          <w:marRight w:val="0"/>
          <w:marTop w:val="0"/>
          <w:marBottom w:val="0"/>
          <w:divBdr>
            <w:top w:val="none" w:sz="0" w:space="0" w:color="auto"/>
            <w:left w:val="none" w:sz="0" w:space="0" w:color="auto"/>
            <w:bottom w:val="none" w:sz="0" w:space="0" w:color="auto"/>
            <w:right w:val="none" w:sz="0" w:space="0" w:color="auto"/>
          </w:divBdr>
          <w:divsChild>
            <w:div w:id="1893690848">
              <w:marLeft w:val="0"/>
              <w:marRight w:val="0"/>
              <w:marTop w:val="0"/>
              <w:marBottom w:val="0"/>
              <w:divBdr>
                <w:top w:val="none" w:sz="0" w:space="0" w:color="auto"/>
                <w:left w:val="none" w:sz="0" w:space="0" w:color="auto"/>
                <w:bottom w:val="none" w:sz="0" w:space="0" w:color="auto"/>
                <w:right w:val="none" w:sz="0" w:space="0" w:color="auto"/>
              </w:divBdr>
            </w:div>
          </w:divsChild>
        </w:div>
        <w:div w:id="1587879001">
          <w:marLeft w:val="0"/>
          <w:marRight w:val="0"/>
          <w:marTop w:val="0"/>
          <w:marBottom w:val="0"/>
          <w:divBdr>
            <w:top w:val="none" w:sz="0" w:space="0" w:color="auto"/>
            <w:left w:val="none" w:sz="0" w:space="0" w:color="auto"/>
            <w:bottom w:val="none" w:sz="0" w:space="0" w:color="auto"/>
            <w:right w:val="none" w:sz="0" w:space="0" w:color="auto"/>
          </w:divBdr>
          <w:divsChild>
            <w:div w:id="1377124209">
              <w:marLeft w:val="0"/>
              <w:marRight w:val="0"/>
              <w:marTop w:val="0"/>
              <w:marBottom w:val="0"/>
              <w:divBdr>
                <w:top w:val="none" w:sz="0" w:space="0" w:color="auto"/>
                <w:left w:val="none" w:sz="0" w:space="0" w:color="auto"/>
                <w:bottom w:val="none" w:sz="0" w:space="0" w:color="auto"/>
                <w:right w:val="none" w:sz="0" w:space="0" w:color="auto"/>
              </w:divBdr>
            </w:div>
          </w:divsChild>
        </w:div>
        <w:div w:id="1681277259">
          <w:marLeft w:val="0"/>
          <w:marRight w:val="0"/>
          <w:marTop w:val="0"/>
          <w:marBottom w:val="0"/>
          <w:divBdr>
            <w:top w:val="none" w:sz="0" w:space="0" w:color="auto"/>
            <w:left w:val="none" w:sz="0" w:space="0" w:color="auto"/>
            <w:bottom w:val="none" w:sz="0" w:space="0" w:color="auto"/>
            <w:right w:val="none" w:sz="0" w:space="0" w:color="auto"/>
          </w:divBdr>
          <w:divsChild>
            <w:div w:id="1515074853">
              <w:marLeft w:val="0"/>
              <w:marRight w:val="0"/>
              <w:marTop w:val="0"/>
              <w:marBottom w:val="0"/>
              <w:divBdr>
                <w:top w:val="none" w:sz="0" w:space="0" w:color="auto"/>
                <w:left w:val="none" w:sz="0" w:space="0" w:color="auto"/>
                <w:bottom w:val="none" w:sz="0" w:space="0" w:color="auto"/>
                <w:right w:val="none" w:sz="0" w:space="0" w:color="auto"/>
              </w:divBdr>
            </w:div>
          </w:divsChild>
        </w:div>
        <w:div w:id="1712342381">
          <w:marLeft w:val="0"/>
          <w:marRight w:val="0"/>
          <w:marTop w:val="0"/>
          <w:marBottom w:val="0"/>
          <w:divBdr>
            <w:top w:val="none" w:sz="0" w:space="0" w:color="auto"/>
            <w:left w:val="none" w:sz="0" w:space="0" w:color="auto"/>
            <w:bottom w:val="none" w:sz="0" w:space="0" w:color="auto"/>
            <w:right w:val="none" w:sz="0" w:space="0" w:color="auto"/>
          </w:divBdr>
          <w:divsChild>
            <w:div w:id="1807549646">
              <w:marLeft w:val="0"/>
              <w:marRight w:val="0"/>
              <w:marTop w:val="0"/>
              <w:marBottom w:val="0"/>
              <w:divBdr>
                <w:top w:val="none" w:sz="0" w:space="0" w:color="auto"/>
                <w:left w:val="none" w:sz="0" w:space="0" w:color="auto"/>
                <w:bottom w:val="none" w:sz="0" w:space="0" w:color="auto"/>
                <w:right w:val="none" w:sz="0" w:space="0" w:color="auto"/>
              </w:divBdr>
            </w:div>
          </w:divsChild>
        </w:div>
        <w:div w:id="1715232596">
          <w:marLeft w:val="0"/>
          <w:marRight w:val="0"/>
          <w:marTop w:val="0"/>
          <w:marBottom w:val="0"/>
          <w:divBdr>
            <w:top w:val="none" w:sz="0" w:space="0" w:color="auto"/>
            <w:left w:val="none" w:sz="0" w:space="0" w:color="auto"/>
            <w:bottom w:val="none" w:sz="0" w:space="0" w:color="auto"/>
            <w:right w:val="none" w:sz="0" w:space="0" w:color="auto"/>
          </w:divBdr>
          <w:divsChild>
            <w:div w:id="973681557">
              <w:marLeft w:val="0"/>
              <w:marRight w:val="0"/>
              <w:marTop w:val="0"/>
              <w:marBottom w:val="0"/>
              <w:divBdr>
                <w:top w:val="none" w:sz="0" w:space="0" w:color="auto"/>
                <w:left w:val="none" w:sz="0" w:space="0" w:color="auto"/>
                <w:bottom w:val="none" w:sz="0" w:space="0" w:color="auto"/>
                <w:right w:val="none" w:sz="0" w:space="0" w:color="auto"/>
              </w:divBdr>
            </w:div>
          </w:divsChild>
        </w:div>
        <w:div w:id="1722822616">
          <w:marLeft w:val="0"/>
          <w:marRight w:val="0"/>
          <w:marTop w:val="0"/>
          <w:marBottom w:val="0"/>
          <w:divBdr>
            <w:top w:val="none" w:sz="0" w:space="0" w:color="auto"/>
            <w:left w:val="none" w:sz="0" w:space="0" w:color="auto"/>
            <w:bottom w:val="none" w:sz="0" w:space="0" w:color="auto"/>
            <w:right w:val="none" w:sz="0" w:space="0" w:color="auto"/>
          </w:divBdr>
          <w:divsChild>
            <w:div w:id="1221280942">
              <w:marLeft w:val="0"/>
              <w:marRight w:val="0"/>
              <w:marTop w:val="0"/>
              <w:marBottom w:val="0"/>
              <w:divBdr>
                <w:top w:val="none" w:sz="0" w:space="0" w:color="auto"/>
                <w:left w:val="none" w:sz="0" w:space="0" w:color="auto"/>
                <w:bottom w:val="none" w:sz="0" w:space="0" w:color="auto"/>
                <w:right w:val="none" w:sz="0" w:space="0" w:color="auto"/>
              </w:divBdr>
            </w:div>
          </w:divsChild>
        </w:div>
        <w:div w:id="1751806096">
          <w:marLeft w:val="0"/>
          <w:marRight w:val="0"/>
          <w:marTop w:val="0"/>
          <w:marBottom w:val="0"/>
          <w:divBdr>
            <w:top w:val="none" w:sz="0" w:space="0" w:color="auto"/>
            <w:left w:val="none" w:sz="0" w:space="0" w:color="auto"/>
            <w:bottom w:val="none" w:sz="0" w:space="0" w:color="auto"/>
            <w:right w:val="none" w:sz="0" w:space="0" w:color="auto"/>
          </w:divBdr>
          <w:divsChild>
            <w:div w:id="926500945">
              <w:marLeft w:val="0"/>
              <w:marRight w:val="0"/>
              <w:marTop w:val="0"/>
              <w:marBottom w:val="0"/>
              <w:divBdr>
                <w:top w:val="none" w:sz="0" w:space="0" w:color="auto"/>
                <w:left w:val="none" w:sz="0" w:space="0" w:color="auto"/>
                <w:bottom w:val="none" w:sz="0" w:space="0" w:color="auto"/>
                <w:right w:val="none" w:sz="0" w:space="0" w:color="auto"/>
              </w:divBdr>
            </w:div>
          </w:divsChild>
        </w:div>
        <w:div w:id="1757093716">
          <w:marLeft w:val="0"/>
          <w:marRight w:val="0"/>
          <w:marTop w:val="0"/>
          <w:marBottom w:val="0"/>
          <w:divBdr>
            <w:top w:val="none" w:sz="0" w:space="0" w:color="auto"/>
            <w:left w:val="none" w:sz="0" w:space="0" w:color="auto"/>
            <w:bottom w:val="none" w:sz="0" w:space="0" w:color="auto"/>
            <w:right w:val="none" w:sz="0" w:space="0" w:color="auto"/>
          </w:divBdr>
          <w:divsChild>
            <w:div w:id="1401714178">
              <w:marLeft w:val="0"/>
              <w:marRight w:val="0"/>
              <w:marTop w:val="0"/>
              <w:marBottom w:val="0"/>
              <w:divBdr>
                <w:top w:val="none" w:sz="0" w:space="0" w:color="auto"/>
                <w:left w:val="none" w:sz="0" w:space="0" w:color="auto"/>
                <w:bottom w:val="none" w:sz="0" w:space="0" w:color="auto"/>
                <w:right w:val="none" w:sz="0" w:space="0" w:color="auto"/>
              </w:divBdr>
            </w:div>
          </w:divsChild>
        </w:div>
        <w:div w:id="2037384709">
          <w:marLeft w:val="0"/>
          <w:marRight w:val="0"/>
          <w:marTop w:val="0"/>
          <w:marBottom w:val="0"/>
          <w:divBdr>
            <w:top w:val="none" w:sz="0" w:space="0" w:color="auto"/>
            <w:left w:val="none" w:sz="0" w:space="0" w:color="auto"/>
            <w:bottom w:val="none" w:sz="0" w:space="0" w:color="auto"/>
            <w:right w:val="none" w:sz="0" w:space="0" w:color="auto"/>
          </w:divBdr>
          <w:divsChild>
            <w:div w:id="1177690184">
              <w:marLeft w:val="0"/>
              <w:marRight w:val="0"/>
              <w:marTop w:val="0"/>
              <w:marBottom w:val="0"/>
              <w:divBdr>
                <w:top w:val="none" w:sz="0" w:space="0" w:color="auto"/>
                <w:left w:val="none" w:sz="0" w:space="0" w:color="auto"/>
                <w:bottom w:val="none" w:sz="0" w:space="0" w:color="auto"/>
                <w:right w:val="none" w:sz="0" w:space="0" w:color="auto"/>
              </w:divBdr>
            </w:div>
          </w:divsChild>
        </w:div>
        <w:div w:id="2047945566">
          <w:marLeft w:val="0"/>
          <w:marRight w:val="0"/>
          <w:marTop w:val="0"/>
          <w:marBottom w:val="0"/>
          <w:divBdr>
            <w:top w:val="none" w:sz="0" w:space="0" w:color="auto"/>
            <w:left w:val="none" w:sz="0" w:space="0" w:color="auto"/>
            <w:bottom w:val="none" w:sz="0" w:space="0" w:color="auto"/>
            <w:right w:val="none" w:sz="0" w:space="0" w:color="auto"/>
          </w:divBdr>
          <w:divsChild>
            <w:div w:id="381559560">
              <w:marLeft w:val="0"/>
              <w:marRight w:val="0"/>
              <w:marTop w:val="0"/>
              <w:marBottom w:val="0"/>
              <w:divBdr>
                <w:top w:val="none" w:sz="0" w:space="0" w:color="auto"/>
                <w:left w:val="none" w:sz="0" w:space="0" w:color="auto"/>
                <w:bottom w:val="none" w:sz="0" w:space="0" w:color="auto"/>
                <w:right w:val="none" w:sz="0" w:space="0" w:color="auto"/>
              </w:divBdr>
            </w:div>
          </w:divsChild>
        </w:div>
        <w:div w:id="2087065834">
          <w:marLeft w:val="0"/>
          <w:marRight w:val="0"/>
          <w:marTop w:val="0"/>
          <w:marBottom w:val="0"/>
          <w:divBdr>
            <w:top w:val="none" w:sz="0" w:space="0" w:color="auto"/>
            <w:left w:val="none" w:sz="0" w:space="0" w:color="auto"/>
            <w:bottom w:val="none" w:sz="0" w:space="0" w:color="auto"/>
            <w:right w:val="none" w:sz="0" w:space="0" w:color="auto"/>
          </w:divBdr>
          <w:divsChild>
            <w:div w:id="249968680">
              <w:marLeft w:val="0"/>
              <w:marRight w:val="0"/>
              <w:marTop w:val="0"/>
              <w:marBottom w:val="0"/>
              <w:divBdr>
                <w:top w:val="none" w:sz="0" w:space="0" w:color="auto"/>
                <w:left w:val="none" w:sz="0" w:space="0" w:color="auto"/>
                <w:bottom w:val="none" w:sz="0" w:space="0" w:color="auto"/>
                <w:right w:val="none" w:sz="0" w:space="0" w:color="auto"/>
              </w:divBdr>
            </w:div>
          </w:divsChild>
        </w:div>
        <w:div w:id="2118283489">
          <w:marLeft w:val="0"/>
          <w:marRight w:val="0"/>
          <w:marTop w:val="0"/>
          <w:marBottom w:val="0"/>
          <w:divBdr>
            <w:top w:val="none" w:sz="0" w:space="0" w:color="auto"/>
            <w:left w:val="none" w:sz="0" w:space="0" w:color="auto"/>
            <w:bottom w:val="none" w:sz="0" w:space="0" w:color="auto"/>
            <w:right w:val="none" w:sz="0" w:space="0" w:color="auto"/>
          </w:divBdr>
          <w:divsChild>
            <w:div w:id="15737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5016">
      <w:bodyDiv w:val="1"/>
      <w:marLeft w:val="0"/>
      <w:marRight w:val="0"/>
      <w:marTop w:val="0"/>
      <w:marBottom w:val="0"/>
      <w:divBdr>
        <w:top w:val="none" w:sz="0" w:space="0" w:color="auto"/>
        <w:left w:val="none" w:sz="0" w:space="0" w:color="auto"/>
        <w:bottom w:val="none" w:sz="0" w:space="0" w:color="auto"/>
        <w:right w:val="none" w:sz="0" w:space="0" w:color="auto"/>
      </w:divBdr>
      <w:divsChild>
        <w:div w:id="1263148460">
          <w:marLeft w:val="0"/>
          <w:marRight w:val="0"/>
          <w:marTop w:val="0"/>
          <w:marBottom w:val="0"/>
          <w:divBdr>
            <w:top w:val="none" w:sz="0" w:space="0" w:color="auto"/>
            <w:left w:val="none" w:sz="0" w:space="0" w:color="auto"/>
            <w:bottom w:val="none" w:sz="0" w:space="0" w:color="auto"/>
            <w:right w:val="none" w:sz="0" w:space="0" w:color="auto"/>
          </w:divBdr>
        </w:div>
        <w:div w:id="1912540372">
          <w:marLeft w:val="0"/>
          <w:marRight w:val="0"/>
          <w:marTop w:val="0"/>
          <w:marBottom w:val="0"/>
          <w:divBdr>
            <w:top w:val="none" w:sz="0" w:space="0" w:color="auto"/>
            <w:left w:val="none" w:sz="0" w:space="0" w:color="auto"/>
            <w:bottom w:val="none" w:sz="0" w:space="0" w:color="auto"/>
            <w:right w:val="none" w:sz="0" w:space="0" w:color="auto"/>
          </w:divBdr>
        </w:div>
      </w:divsChild>
    </w:div>
    <w:div w:id="545219317">
      <w:bodyDiv w:val="1"/>
      <w:marLeft w:val="0"/>
      <w:marRight w:val="0"/>
      <w:marTop w:val="0"/>
      <w:marBottom w:val="0"/>
      <w:divBdr>
        <w:top w:val="none" w:sz="0" w:space="0" w:color="auto"/>
        <w:left w:val="none" w:sz="0" w:space="0" w:color="auto"/>
        <w:bottom w:val="none" w:sz="0" w:space="0" w:color="auto"/>
        <w:right w:val="none" w:sz="0" w:space="0" w:color="auto"/>
      </w:divBdr>
      <w:divsChild>
        <w:div w:id="587928812">
          <w:marLeft w:val="0"/>
          <w:marRight w:val="0"/>
          <w:marTop w:val="0"/>
          <w:marBottom w:val="0"/>
          <w:divBdr>
            <w:top w:val="none" w:sz="0" w:space="0" w:color="auto"/>
            <w:left w:val="none" w:sz="0" w:space="0" w:color="auto"/>
            <w:bottom w:val="none" w:sz="0" w:space="0" w:color="auto"/>
            <w:right w:val="none" w:sz="0" w:space="0" w:color="auto"/>
          </w:divBdr>
          <w:divsChild>
            <w:div w:id="116609464">
              <w:marLeft w:val="0"/>
              <w:marRight w:val="0"/>
              <w:marTop w:val="30"/>
              <w:marBottom w:val="30"/>
              <w:divBdr>
                <w:top w:val="none" w:sz="0" w:space="0" w:color="auto"/>
                <w:left w:val="none" w:sz="0" w:space="0" w:color="auto"/>
                <w:bottom w:val="none" w:sz="0" w:space="0" w:color="auto"/>
                <w:right w:val="none" w:sz="0" w:space="0" w:color="auto"/>
              </w:divBdr>
              <w:divsChild>
                <w:div w:id="87428239">
                  <w:marLeft w:val="0"/>
                  <w:marRight w:val="0"/>
                  <w:marTop w:val="0"/>
                  <w:marBottom w:val="0"/>
                  <w:divBdr>
                    <w:top w:val="none" w:sz="0" w:space="0" w:color="auto"/>
                    <w:left w:val="none" w:sz="0" w:space="0" w:color="auto"/>
                    <w:bottom w:val="none" w:sz="0" w:space="0" w:color="auto"/>
                    <w:right w:val="none" w:sz="0" w:space="0" w:color="auto"/>
                  </w:divBdr>
                  <w:divsChild>
                    <w:div w:id="780882993">
                      <w:marLeft w:val="0"/>
                      <w:marRight w:val="0"/>
                      <w:marTop w:val="0"/>
                      <w:marBottom w:val="0"/>
                      <w:divBdr>
                        <w:top w:val="none" w:sz="0" w:space="0" w:color="auto"/>
                        <w:left w:val="none" w:sz="0" w:space="0" w:color="auto"/>
                        <w:bottom w:val="none" w:sz="0" w:space="0" w:color="auto"/>
                        <w:right w:val="none" w:sz="0" w:space="0" w:color="auto"/>
                      </w:divBdr>
                    </w:div>
                  </w:divsChild>
                </w:div>
                <w:div w:id="120199484">
                  <w:marLeft w:val="0"/>
                  <w:marRight w:val="0"/>
                  <w:marTop w:val="0"/>
                  <w:marBottom w:val="0"/>
                  <w:divBdr>
                    <w:top w:val="none" w:sz="0" w:space="0" w:color="auto"/>
                    <w:left w:val="none" w:sz="0" w:space="0" w:color="auto"/>
                    <w:bottom w:val="none" w:sz="0" w:space="0" w:color="auto"/>
                    <w:right w:val="none" w:sz="0" w:space="0" w:color="auto"/>
                  </w:divBdr>
                  <w:divsChild>
                    <w:div w:id="1005858085">
                      <w:marLeft w:val="0"/>
                      <w:marRight w:val="0"/>
                      <w:marTop w:val="0"/>
                      <w:marBottom w:val="0"/>
                      <w:divBdr>
                        <w:top w:val="none" w:sz="0" w:space="0" w:color="auto"/>
                        <w:left w:val="none" w:sz="0" w:space="0" w:color="auto"/>
                        <w:bottom w:val="none" w:sz="0" w:space="0" w:color="auto"/>
                        <w:right w:val="none" w:sz="0" w:space="0" w:color="auto"/>
                      </w:divBdr>
                    </w:div>
                  </w:divsChild>
                </w:div>
                <w:div w:id="216673515">
                  <w:marLeft w:val="0"/>
                  <w:marRight w:val="0"/>
                  <w:marTop w:val="0"/>
                  <w:marBottom w:val="0"/>
                  <w:divBdr>
                    <w:top w:val="none" w:sz="0" w:space="0" w:color="auto"/>
                    <w:left w:val="none" w:sz="0" w:space="0" w:color="auto"/>
                    <w:bottom w:val="none" w:sz="0" w:space="0" w:color="auto"/>
                    <w:right w:val="none" w:sz="0" w:space="0" w:color="auto"/>
                  </w:divBdr>
                  <w:divsChild>
                    <w:div w:id="818764867">
                      <w:marLeft w:val="0"/>
                      <w:marRight w:val="0"/>
                      <w:marTop w:val="0"/>
                      <w:marBottom w:val="0"/>
                      <w:divBdr>
                        <w:top w:val="none" w:sz="0" w:space="0" w:color="auto"/>
                        <w:left w:val="none" w:sz="0" w:space="0" w:color="auto"/>
                        <w:bottom w:val="none" w:sz="0" w:space="0" w:color="auto"/>
                        <w:right w:val="none" w:sz="0" w:space="0" w:color="auto"/>
                      </w:divBdr>
                    </w:div>
                  </w:divsChild>
                </w:div>
                <w:div w:id="522475909">
                  <w:marLeft w:val="0"/>
                  <w:marRight w:val="0"/>
                  <w:marTop w:val="0"/>
                  <w:marBottom w:val="0"/>
                  <w:divBdr>
                    <w:top w:val="none" w:sz="0" w:space="0" w:color="auto"/>
                    <w:left w:val="none" w:sz="0" w:space="0" w:color="auto"/>
                    <w:bottom w:val="none" w:sz="0" w:space="0" w:color="auto"/>
                    <w:right w:val="none" w:sz="0" w:space="0" w:color="auto"/>
                  </w:divBdr>
                  <w:divsChild>
                    <w:div w:id="278269280">
                      <w:marLeft w:val="0"/>
                      <w:marRight w:val="0"/>
                      <w:marTop w:val="0"/>
                      <w:marBottom w:val="0"/>
                      <w:divBdr>
                        <w:top w:val="none" w:sz="0" w:space="0" w:color="auto"/>
                        <w:left w:val="none" w:sz="0" w:space="0" w:color="auto"/>
                        <w:bottom w:val="none" w:sz="0" w:space="0" w:color="auto"/>
                        <w:right w:val="none" w:sz="0" w:space="0" w:color="auto"/>
                      </w:divBdr>
                    </w:div>
                  </w:divsChild>
                </w:div>
                <w:div w:id="664942337">
                  <w:marLeft w:val="0"/>
                  <w:marRight w:val="0"/>
                  <w:marTop w:val="0"/>
                  <w:marBottom w:val="0"/>
                  <w:divBdr>
                    <w:top w:val="none" w:sz="0" w:space="0" w:color="auto"/>
                    <w:left w:val="none" w:sz="0" w:space="0" w:color="auto"/>
                    <w:bottom w:val="none" w:sz="0" w:space="0" w:color="auto"/>
                    <w:right w:val="none" w:sz="0" w:space="0" w:color="auto"/>
                  </w:divBdr>
                  <w:divsChild>
                    <w:div w:id="1664894858">
                      <w:marLeft w:val="0"/>
                      <w:marRight w:val="0"/>
                      <w:marTop w:val="0"/>
                      <w:marBottom w:val="0"/>
                      <w:divBdr>
                        <w:top w:val="none" w:sz="0" w:space="0" w:color="auto"/>
                        <w:left w:val="none" w:sz="0" w:space="0" w:color="auto"/>
                        <w:bottom w:val="none" w:sz="0" w:space="0" w:color="auto"/>
                        <w:right w:val="none" w:sz="0" w:space="0" w:color="auto"/>
                      </w:divBdr>
                    </w:div>
                  </w:divsChild>
                </w:div>
                <w:div w:id="871650223">
                  <w:marLeft w:val="0"/>
                  <w:marRight w:val="0"/>
                  <w:marTop w:val="0"/>
                  <w:marBottom w:val="0"/>
                  <w:divBdr>
                    <w:top w:val="none" w:sz="0" w:space="0" w:color="auto"/>
                    <w:left w:val="none" w:sz="0" w:space="0" w:color="auto"/>
                    <w:bottom w:val="none" w:sz="0" w:space="0" w:color="auto"/>
                    <w:right w:val="none" w:sz="0" w:space="0" w:color="auto"/>
                  </w:divBdr>
                  <w:divsChild>
                    <w:div w:id="1132867168">
                      <w:marLeft w:val="0"/>
                      <w:marRight w:val="0"/>
                      <w:marTop w:val="0"/>
                      <w:marBottom w:val="0"/>
                      <w:divBdr>
                        <w:top w:val="none" w:sz="0" w:space="0" w:color="auto"/>
                        <w:left w:val="none" w:sz="0" w:space="0" w:color="auto"/>
                        <w:bottom w:val="none" w:sz="0" w:space="0" w:color="auto"/>
                        <w:right w:val="none" w:sz="0" w:space="0" w:color="auto"/>
                      </w:divBdr>
                    </w:div>
                  </w:divsChild>
                </w:div>
                <w:div w:id="1098788559">
                  <w:marLeft w:val="0"/>
                  <w:marRight w:val="0"/>
                  <w:marTop w:val="0"/>
                  <w:marBottom w:val="0"/>
                  <w:divBdr>
                    <w:top w:val="none" w:sz="0" w:space="0" w:color="auto"/>
                    <w:left w:val="none" w:sz="0" w:space="0" w:color="auto"/>
                    <w:bottom w:val="none" w:sz="0" w:space="0" w:color="auto"/>
                    <w:right w:val="none" w:sz="0" w:space="0" w:color="auto"/>
                  </w:divBdr>
                  <w:divsChild>
                    <w:div w:id="422839615">
                      <w:marLeft w:val="0"/>
                      <w:marRight w:val="0"/>
                      <w:marTop w:val="0"/>
                      <w:marBottom w:val="0"/>
                      <w:divBdr>
                        <w:top w:val="none" w:sz="0" w:space="0" w:color="auto"/>
                        <w:left w:val="none" w:sz="0" w:space="0" w:color="auto"/>
                        <w:bottom w:val="none" w:sz="0" w:space="0" w:color="auto"/>
                        <w:right w:val="none" w:sz="0" w:space="0" w:color="auto"/>
                      </w:divBdr>
                    </w:div>
                  </w:divsChild>
                </w:div>
                <w:div w:id="1550727430">
                  <w:marLeft w:val="0"/>
                  <w:marRight w:val="0"/>
                  <w:marTop w:val="0"/>
                  <w:marBottom w:val="0"/>
                  <w:divBdr>
                    <w:top w:val="none" w:sz="0" w:space="0" w:color="auto"/>
                    <w:left w:val="none" w:sz="0" w:space="0" w:color="auto"/>
                    <w:bottom w:val="none" w:sz="0" w:space="0" w:color="auto"/>
                    <w:right w:val="none" w:sz="0" w:space="0" w:color="auto"/>
                  </w:divBdr>
                  <w:divsChild>
                    <w:div w:id="17060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2841">
          <w:marLeft w:val="0"/>
          <w:marRight w:val="0"/>
          <w:marTop w:val="0"/>
          <w:marBottom w:val="0"/>
          <w:divBdr>
            <w:top w:val="none" w:sz="0" w:space="0" w:color="auto"/>
            <w:left w:val="none" w:sz="0" w:space="0" w:color="auto"/>
            <w:bottom w:val="none" w:sz="0" w:space="0" w:color="auto"/>
            <w:right w:val="none" w:sz="0" w:space="0" w:color="auto"/>
          </w:divBdr>
          <w:divsChild>
            <w:div w:id="148785780">
              <w:marLeft w:val="0"/>
              <w:marRight w:val="0"/>
              <w:marTop w:val="30"/>
              <w:marBottom w:val="30"/>
              <w:divBdr>
                <w:top w:val="none" w:sz="0" w:space="0" w:color="auto"/>
                <w:left w:val="none" w:sz="0" w:space="0" w:color="auto"/>
                <w:bottom w:val="none" w:sz="0" w:space="0" w:color="auto"/>
                <w:right w:val="none" w:sz="0" w:space="0" w:color="auto"/>
              </w:divBdr>
              <w:divsChild>
                <w:div w:id="51664192">
                  <w:marLeft w:val="0"/>
                  <w:marRight w:val="0"/>
                  <w:marTop w:val="0"/>
                  <w:marBottom w:val="0"/>
                  <w:divBdr>
                    <w:top w:val="none" w:sz="0" w:space="0" w:color="auto"/>
                    <w:left w:val="none" w:sz="0" w:space="0" w:color="auto"/>
                    <w:bottom w:val="none" w:sz="0" w:space="0" w:color="auto"/>
                    <w:right w:val="none" w:sz="0" w:space="0" w:color="auto"/>
                  </w:divBdr>
                  <w:divsChild>
                    <w:div w:id="1289622676">
                      <w:marLeft w:val="0"/>
                      <w:marRight w:val="0"/>
                      <w:marTop w:val="0"/>
                      <w:marBottom w:val="0"/>
                      <w:divBdr>
                        <w:top w:val="none" w:sz="0" w:space="0" w:color="auto"/>
                        <w:left w:val="none" w:sz="0" w:space="0" w:color="auto"/>
                        <w:bottom w:val="none" w:sz="0" w:space="0" w:color="auto"/>
                        <w:right w:val="none" w:sz="0" w:space="0" w:color="auto"/>
                      </w:divBdr>
                    </w:div>
                  </w:divsChild>
                </w:div>
                <w:div w:id="87502730">
                  <w:marLeft w:val="0"/>
                  <w:marRight w:val="0"/>
                  <w:marTop w:val="0"/>
                  <w:marBottom w:val="0"/>
                  <w:divBdr>
                    <w:top w:val="none" w:sz="0" w:space="0" w:color="auto"/>
                    <w:left w:val="none" w:sz="0" w:space="0" w:color="auto"/>
                    <w:bottom w:val="none" w:sz="0" w:space="0" w:color="auto"/>
                    <w:right w:val="none" w:sz="0" w:space="0" w:color="auto"/>
                  </w:divBdr>
                  <w:divsChild>
                    <w:div w:id="605384985">
                      <w:marLeft w:val="0"/>
                      <w:marRight w:val="0"/>
                      <w:marTop w:val="0"/>
                      <w:marBottom w:val="0"/>
                      <w:divBdr>
                        <w:top w:val="none" w:sz="0" w:space="0" w:color="auto"/>
                        <w:left w:val="none" w:sz="0" w:space="0" w:color="auto"/>
                        <w:bottom w:val="none" w:sz="0" w:space="0" w:color="auto"/>
                        <w:right w:val="none" w:sz="0" w:space="0" w:color="auto"/>
                      </w:divBdr>
                    </w:div>
                  </w:divsChild>
                </w:div>
                <w:div w:id="279803841">
                  <w:marLeft w:val="0"/>
                  <w:marRight w:val="0"/>
                  <w:marTop w:val="0"/>
                  <w:marBottom w:val="0"/>
                  <w:divBdr>
                    <w:top w:val="none" w:sz="0" w:space="0" w:color="auto"/>
                    <w:left w:val="none" w:sz="0" w:space="0" w:color="auto"/>
                    <w:bottom w:val="none" w:sz="0" w:space="0" w:color="auto"/>
                    <w:right w:val="none" w:sz="0" w:space="0" w:color="auto"/>
                  </w:divBdr>
                  <w:divsChild>
                    <w:div w:id="1944410215">
                      <w:marLeft w:val="0"/>
                      <w:marRight w:val="0"/>
                      <w:marTop w:val="0"/>
                      <w:marBottom w:val="0"/>
                      <w:divBdr>
                        <w:top w:val="none" w:sz="0" w:space="0" w:color="auto"/>
                        <w:left w:val="none" w:sz="0" w:space="0" w:color="auto"/>
                        <w:bottom w:val="none" w:sz="0" w:space="0" w:color="auto"/>
                        <w:right w:val="none" w:sz="0" w:space="0" w:color="auto"/>
                      </w:divBdr>
                    </w:div>
                  </w:divsChild>
                </w:div>
                <w:div w:id="494303683">
                  <w:marLeft w:val="0"/>
                  <w:marRight w:val="0"/>
                  <w:marTop w:val="0"/>
                  <w:marBottom w:val="0"/>
                  <w:divBdr>
                    <w:top w:val="none" w:sz="0" w:space="0" w:color="auto"/>
                    <w:left w:val="none" w:sz="0" w:space="0" w:color="auto"/>
                    <w:bottom w:val="none" w:sz="0" w:space="0" w:color="auto"/>
                    <w:right w:val="none" w:sz="0" w:space="0" w:color="auto"/>
                  </w:divBdr>
                  <w:divsChild>
                    <w:div w:id="1485589713">
                      <w:marLeft w:val="0"/>
                      <w:marRight w:val="0"/>
                      <w:marTop w:val="0"/>
                      <w:marBottom w:val="0"/>
                      <w:divBdr>
                        <w:top w:val="none" w:sz="0" w:space="0" w:color="auto"/>
                        <w:left w:val="none" w:sz="0" w:space="0" w:color="auto"/>
                        <w:bottom w:val="none" w:sz="0" w:space="0" w:color="auto"/>
                        <w:right w:val="none" w:sz="0" w:space="0" w:color="auto"/>
                      </w:divBdr>
                    </w:div>
                  </w:divsChild>
                </w:div>
                <w:div w:id="515923827">
                  <w:marLeft w:val="0"/>
                  <w:marRight w:val="0"/>
                  <w:marTop w:val="0"/>
                  <w:marBottom w:val="0"/>
                  <w:divBdr>
                    <w:top w:val="none" w:sz="0" w:space="0" w:color="auto"/>
                    <w:left w:val="none" w:sz="0" w:space="0" w:color="auto"/>
                    <w:bottom w:val="none" w:sz="0" w:space="0" w:color="auto"/>
                    <w:right w:val="none" w:sz="0" w:space="0" w:color="auto"/>
                  </w:divBdr>
                  <w:divsChild>
                    <w:div w:id="274559739">
                      <w:marLeft w:val="0"/>
                      <w:marRight w:val="0"/>
                      <w:marTop w:val="0"/>
                      <w:marBottom w:val="0"/>
                      <w:divBdr>
                        <w:top w:val="none" w:sz="0" w:space="0" w:color="auto"/>
                        <w:left w:val="none" w:sz="0" w:space="0" w:color="auto"/>
                        <w:bottom w:val="none" w:sz="0" w:space="0" w:color="auto"/>
                        <w:right w:val="none" w:sz="0" w:space="0" w:color="auto"/>
                      </w:divBdr>
                    </w:div>
                  </w:divsChild>
                </w:div>
                <w:div w:id="590700666">
                  <w:marLeft w:val="0"/>
                  <w:marRight w:val="0"/>
                  <w:marTop w:val="0"/>
                  <w:marBottom w:val="0"/>
                  <w:divBdr>
                    <w:top w:val="none" w:sz="0" w:space="0" w:color="auto"/>
                    <w:left w:val="none" w:sz="0" w:space="0" w:color="auto"/>
                    <w:bottom w:val="none" w:sz="0" w:space="0" w:color="auto"/>
                    <w:right w:val="none" w:sz="0" w:space="0" w:color="auto"/>
                  </w:divBdr>
                  <w:divsChild>
                    <w:div w:id="1945531384">
                      <w:marLeft w:val="0"/>
                      <w:marRight w:val="0"/>
                      <w:marTop w:val="0"/>
                      <w:marBottom w:val="0"/>
                      <w:divBdr>
                        <w:top w:val="none" w:sz="0" w:space="0" w:color="auto"/>
                        <w:left w:val="none" w:sz="0" w:space="0" w:color="auto"/>
                        <w:bottom w:val="none" w:sz="0" w:space="0" w:color="auto"/>
                        <w:right w:val="none" w:sz="0" w:space="0" w:color="auto"/>
                      </w:divBdr>
                    </w:div>
                  </w:divsChild>
                </w:div>
                <w:div w:id="691610832">
                  <w:marLeft w:val="0"/>
                  <w:marRight w:val="0"/>
                  <w:marTop w:val="0"/>
                  <w:marBottom w:val="0"/>
                  <w:divBdr>
                    <w:top w:val="none" w:sz="0" w:space="0" w:color="auto"/>
                    <w:left w:val="none" w:sz="0" w:space="0" w:color="auto"/>
                    <w:bottom w:val="none" w:sz="0" w:space="0" w:color="auto"/>
                    <w:right w:val="none" w:sz="0" w:space="0" w:color="auto"/>
                  </w:divBdr>
                  <w:divsChild>
                    <w:div w:id="1421878392">
                      <w:marLeft w:val="0"/>
                      <w:marRight w:val="0"/>
                      <w:marTop w:val="0"/>
                      <w:marBottom w:val="0"/>
                      <w:divBdr>
                        <w:top w:val="none" w:sz="0" w:space="0" w:color="auto"/>
                        <w:left w:val="none" w:sz="0" w:space="0" w:color="auto"/>
                        <w:bottom w:val="none" w:sz="0" w:space="0" w:color="auto"/>
                        <w:right w:val="none" w:sz="0" w:space="0" w:color="auto"/>
                      </w:divBdr>
                    </w:div>
                  </w:divsChild>
                </w:div>
                <w:div w:id="846989128">
                  <w:marLeft w:val="0"/>
                  <w:marRight w:val="0"/>
                  <w:marTop w:val="0"/>
                  <w:marBottom w:val="0"/>
                  <w:divBdr>
                    <w:top w:val="none" w:sz="0" w:space="0" w:color="auto"/>
                    <w:left w:val="none" w:sz="0" w:space="0" w:color="auto"/>
                    <w:bottom w:val="none" w:sz="0" w:space="0" w:color="auto"/>
                    <w:right w:val="none" w:sz="0" w:space="0" w:color="auto"/>
                  </w:divBdr>
                  <w:divsChild>
                    <w:div w:id="684552538">
                      <w:marLeft w:val="0"/>
                      <w:marRight w:val="0"/>
                      <w:marTop w:val="0"/>
                      <w:marBottom w:val="0"/>
                      <w:divBdr>
                        <w:top w:val="none" w:sz="0" w:space="0" w:color="auto"/>
                        <w:left w:val="none" w:sz="0" w:space="0" w:color="auto"/>
                        <w:bottom w:val="none" w:sz="0" w:space="0" w:color="auto"/>
                        <w:right w:val="none" w:sz="0" w:space="0" w:color="auto"/>
                      </w:divBdr>
                    </w:div>
                  </w:divsChild>
                </w:div>
                <w:div w:id="916402065">
                  <w:marLeft w:val="0"/>
                  <w:marRight w:val="0"/>
                  <w:marTop w:val="0"/>
                  <w:marBottom w:val="0"/>
                  <w:divBdr>
                    <w:top w:val="none" w:sz="0" w:space="0" w:color="auto"/>
                    <w:left w:val="none" w:sz="0" w:space="0" w:color="auto"/>
                    <w:bottom w:val="none" w:sz="0" w:space="0" w:color="auto"/>
                    <w:right w:val="none" w:sz="0" w:space="0" w:color="auto"/>
                  </w:divBdr>
                  <w:divsChild>
                    <w:div w:id="934557805">
                      <w:marLeft w:val="0"/>
                      <w:marRight w:val="0"/>
                      <w:marTop w:val="0"/>
                      <w:marBottom w:val="0"/>
                      <w:divBdr>
                        <w:top w:val="none" w:sz="0" w:space="0" w:color="auto"/>
                        <w:left w:val="none" w:sz="0" w:space="0" w:color="auto"/>
                        <w:bottom w:val="none" w:sz="0" w:space="0" w:color="auto"/>
                        <w:right w:val="none" w:sz="0" w:space="0" w:color="auto"/>
                      </w:divBdr>
                    </w:div>
                  </w:divsChild>
                </w:div>
                <w:div w:id="1057241870">
                  <w:marLeft w:val="0"/>
                  <w:marRight w:val="0"/>
                  <w:marTop w:val="0"/>
                  <w:marBottom w:val="0"/>
                  <w:divBdr>
                    <w:top w:val="none" w:sz="0" w:space="0" w:color="auto"/>
                    <w:left w:val="none" w:sz="0" w:space="0" w:color="auto"/>
                    <w:bottom w:val="none" w:sz="0" w:space="0" w:color="auto"/>
                    <w:right w:val="none" w:sz="0" w:space="0" w:color="auto"/>
                  </w:divBdr>
                  <w:divsChild>
                    <w:div w:id="1216817607">
                      <w:marLeft w:val="0"/>
                      <w:marRight w:val="0"/>
                      <w:marTop w:val="0"/>
                      <w:marBottom w:val="0"/>
                      <w:divBdr>
                        <w:top w:val="none" w:sz="0" w:space="0" w:color="auto"/>
                        <w:left w:val="none" w:sz="0" w:space="0" w:color="auto"/>
                        <w:bottom w:val="none" w:sz="0" w:space="0" w:color="auto"/>
                        <w:right w:val="none" w:sz="0" w:space="0" w:color="auto"/>
                      </w:divBdr>
                    </w:div>
                  </w:divsChild>
                </w:div>
                <w:div w:id="1087113527">
                  <w:marLeft w:val="0"/>
                  <w:marRight w:val="0"/>
                  <w:marTop w:val="0"/>
                  <w:marBottom w:val="0"/>
                  <w:divBdr>
                    <w:top w:val="none" w:sz="0" w:space="0" w:color="auto"/>
                    <w:left w:val="none" w:sz="0" w:space="0" w:color="auto"/>
                    <w:bottom w:val="none" w:sz="0" w:space="0" w:color="auto"/>
                    <w:right w:val="none" w:sz="0" w:space="0" w:color="auto"/>
                  </w:divBdr>
                  <w:divsChild>
                    <w:div w:id="1467697699">
                      <w:marLeft w:val="0"/>
                      <w:marRight w:val="0"/>
                      <w:marTop w:val="0"/>
                      <w:marBottom w:val="0"/>
                      <w:divBdr>
                        <w:top w:val="none" w:sz="0" w:space="0" w:color="auto"/>
                        <w:left w:val="none" w:sz="0" w:space="0" w:color="auto"/>
                        <w:bottom w:val="none" w:sz="0" w:space="0" w:color="auto"/>
                        <w:right w:val="none" w:sz="0" w:space="0" w:color="auto"/>
                      </w:divBdr>
                    </w:div>
                  </w:divsChild>
                </w:div>
                <w:div w:id="1206986953">
                  <w:marLeft w:val="0"/>
                  <w:marRight w:val="0"/>
                  <w:marTop w:val="0"/>
                  <w:marBottom w:val="0"/>
                  <w:divBdr>
                    <w:top w:val="none" w:sz="0" w:space="0" w:color="auto"/>
                    <w:left w:val="none" w:sz="0" w:space="0" w:color="auto"/>
                    <w:bottom w:val="none" w:sz="0" w:space="0" w:color="auto"/>
                    <w:right w:val="none" w:sz="0" w:space="0" w:color="auto"/>
                  </w:divBdr>
                  <w:divsChild>
                    <w:div w:id="1362626065">
                      <w:marLeft w:val="0"/>
                      <w:marRight w:val="0"/>
                      <w:marTop w:val="0"/>
                      <w:marBottom w:val="0"/>
                      <w:divBdr>
                        <w:top w:val="none" w:sz="0" w:space="0" w:color="auto"/>
                        <w:left w:val="none" w:sz="0" w:space="0" w:color="auto"/>
                        <w:bottom w:val="none" w:sz="0" w:space="0" w:color="auto"/>
                        <w:right w:val="none" w:sz="0" w:space="0" w:color="auto"/>
                      </w:divBdr>
                    </w:div>
                  </w:divsChild>
                </w:div>
                <w:div w:id="1260792355">
                  <w:marLeft w:val="0"/>
                  <w:marRight w:val="0"/>
                  <w:marTop w:val="0"/>
                  <w:marBottom w:val="0"/>
                  <w:divBdr>
                    <w:top w:val="none" w:sz="0" w:space="0" w:color="auto"/>
                    <w:left w:val="none" w:sz="0" w:space="0" w:color="auto"/>
                    <w:bottom w:val="none" w:sz="0" w:space="0" w:color="auto"/>
                    <w:right w:val="none" w:sz="0" w:space="0" w:color="auto"/>
                  </w:divBdr>
                  <w:divsChild>
                    <w:div w:id="393965728">
                      <w:marLeft w:val="0"/>
                      <w:marRight w:val="0"/>
                      <w:marTop w:val="0"/>
                      <w:marBottom w:val="0"/>
                      <w:divBdr>
                        <w:top w:val="none" w:sz="0" w:space="0" w:color="auto"/>
                        <w:left w:val="none" w:sz="0" w:space="0" w:color="auto"/>
                        <w:bottom w:val="none" w:sz="0" w:space="0" w:color="auto"/>
                        <w:right w:val="none" w:sz="0" w:space="0" w:color="auto"/>
                      </w:divBdr>
                    </w:div>
                    <w:div w:id="860048513">
                      <w:marLeft w:val="0"/>
                      <w:marRight w:val="0"/>
                      <w:marTop w:val="0"/>
                      <w:marBottom w:val="0"/>
                      <w:divBdr>
                        <w:top w:val="none" w:sz="0" w:space="0" w:color="auto"/>
                        <w:left w:val="none" w:sz="0" w:space="0" w:color="auto"/>
                        <w:bottom w:val="none" w:sz="0" w:space="0" w:color="auto"/>
                        <w:right w:val="none" w:sz="0" w:space="0" w:color="auto"/>
                      </w:divBdr>
                    </w:div>
                  </w:divsChild>
                </w:div>
                <w:div w:id="1416244002">
                  <w:marLeft w:val="0"/>
                  <w:marRight w:val="0"/>
                  <w:marTop w:val="0"/>
                  <w:marBottom w:val="0"/>
                  <w:divBdr>
                    <w:top w:val="none" w:sz="0" w:space="0" w:color="auto"/>
                    <w:left w:val="none" w:sz="0" w:space="0" w:color="auto"/>
                    <w:bottom w:val="none" w:sz="0" w:space="0" w:color="auto"/>
                    <w:right w:val="none" w:sz="0" w:space="0" w:color="auto"/>
                  </w:divBdr>
                  <w:divsChild>
                    <w:div w:id="495459502">
                      <w:marLeft w:val="0"/>
                      <w:marRight w:val="0"/>
                      <w:marTop w:val="0"/>
                      <w:marBottom w:val="0"/>
                      <w:divBdr>
                        <w:top w:val="none" w:sz="0" w:space="0" w:color="auto"/>
                        <w:left w:val="none" w:sz="0" w:space="0" w:color="auto"/>
                        <w:bottom w:val="none" w:sz="0" w:space="0" w:color="auto"/>
                        <w:right w:val="none" w:sz="0" w:space="0" w:color="auto"/>
                      </w:divBdr>
                    </w:div>
                  </w:divsChild>
                </w:div>
                <w:div w:id="1459880792">
                  <w:marLeft w:val="0"/>
                  <w:marRight w:val="0"/>
                  <w:marTop w:val="0"/>
                  <w:marBottom w:val="0"/>
                  <w:divBdr>
                    <w:top w:val="none" w:sz="0" w:space="0" w:color="auto"/>
                    <w:left w:val="none" w:sz="0" w:space="0" w:color="auto"/>
                    <w:bottom w:val="none" w:sz="0" w:space="0" w:color="auto"/>
                    <w:right w:val="none" w:sz="0" w:space="0" w:color="auto"/>
                  </w:divBdr>
                  <w:divsChild>
                    <w:div w:id="899292428">
                      <w:marLeft w:val="0"/>
                      <w:marRight w:val="0"/>
                      <w:marTop w:val="0"/>
                      <w:marBottom w:val="0"/>
                      <w:divBdr>
                        <w:top w:val="none" w:sz="0" w:space="0" w:color="auto"/>
                        <w:left w:val="none" w:sz="0" w:space="0" w:color="auto"/>
                        <w:bottom w:val="none" w:sz="0" w:space="0" w:color="auto"/>
                        <w:right w:val="none" w:sz="0" w:space="0" w:color="auto"/>
                      </w:divBdr>
                    </w:div>
                  </w:divsChild>
                </w:div>
                <w:div w:id="1472600822">
                  <w:marLeft w:val="0"/>
                  <w:marRight w:val="0"/>
                  <w:marTop w:val="0"/>
                  <w:marBottom w:val="0"/>
                  <w:divBdr>
                    <w:top w:val="none" w:sz="0" w:space="0" w:color="auto"/>
                    <w:left w:val="none" w:sz="0" w:space="0" w:color="auto"/>
                    <w:bottom w:val="none" w:sz="0" w:space="0" w:color="auto"/>
                    <w:right w:val="none" w:sz="0" w:space="0" w:color="auto"/>
                  </w:divBdr>
                  <w:divsChild>
                    <w:div w:id="1066027059">
                      <w:marLeft w:val="0"/>
                      <w:marRight w:val="0"/>
                      <w:marTop w:val="0"/>
                      <w:marBottom w:val="0"/>
                      <w:divBdr>
                        <w:top w:val="none" w:sz="0" w:space="0" w:color="auto"/>
                        <w:left w:val="none" w:sz="0" w:space="0" w:color="auto"/>
                        <w:bottom w:val="none" w:sz="0" w:space="0" w:color="auto"/>
                        <w:right w:val="none" w:sz="0" w:space="0" w:color="auto"/>
                      </w:divBdr>
                    </w:div>
                  </w:divsChild>
                </w:div>
                <w:div w:id="1480881283">
                  <w:marLeft w:val="0"/>
                  <w:marRight w:val="0"/>
                  <w:marTop w:val="0"/>
                  <w:marBottom w:val="0"/>
                  <w:divBdr>
                    <w:top w:val="none" w:sz="0" w:space="0" w:color="auto"/>
                    <w:left w:val="none" w:sz="0" w:space="0" w:color="auto"/>
                    <w:bottom w:val="none" w:sz="0" w:space="0" w:color="auto"/>
                    <w:right w:val="none" w:sz="0" w:space="0" w:color="auto"/>
                  </w:divBdr>
                  <w:divsChild>
                    <w:div w:id="1017194281">
                      <w:marLeft w:val="0"/>
                      <w:marRight w:val="0"/>
                      <w:marTop w:val="0"/>
                      <w:marBottom w:val="0"/>
                      <w:divBdr>
                        <w:top w:val="none" w:sz="0" w:space="0" w:color="auto"/>
                        <w:left w:val="none" w:sz="0" w:space="0" w:color="auto"/>
                        <w:bottom w:val="none" w:sz="0" w:space="0" w:color="auto"/>
                        <w:right w:val="none" w:sz="0" w:space="0" w:color="auto"/>
                      </w:divBdr>
                    </w:div>
                  </w:divsChild>
                </w:div>
                <w:div w:id="1565489054">
                  <w:marLeft w:val="0"/>
                  <w:marRight w:val="0"/>
                  <w:marTop w:val="0"/>
                  <w:marBottom w:val="0"/>
                  <w:divBdr>
                    <w:top w:val="none" w:sz="0" w:space="0" w:color="auto"/>
                    <w:left w:val="none" w:sz="0" w:space="0" w:color="auto"/>
                    <w:bottom w:val="none" w:sz="0" w:space="0" w:color="auto"/>
                    <w:right w:val="none" w:sz="0" w:space="0" w:color="auto"/>
                  </w:divBdr>
                  <w:divsChild>
                    <w:div w:id="1818375154">
                      <w:marLeft w:val="0"/>
                      <w:marRight w:val="0"/>
                      <w:marTop w:val="0"/>
                      <w:marBottom w:val="0"/>
                      <w:divBdr>
                        <w:top w:val="none" w:sz="0" w:space="0" w:color="auto"/>
                        <w:left w:val="none" w:sz="0" w:space="0" w:color="auto"/>
                        <w:bottom w:val="none" w:sz="0" w:space="0" w:color="auto"/>
                        <w:right w:val="none" w:sz="0" w:space="0" w:color="auto"/>
                      </w:divBdr>
                    </w:div>
                  </w:divsChild>
                </w:div>
                <w:div w:id="1590381311">
                  <w:marLeft w:val="0"/>
                  <w:marRight w:val="0"/>
                  <w:marTop w:val="0"/>
                  <w:marBottom w:val="0"/>
                  <w:divBdr>
                    <w:top w:val="none" w:sz="0" w:space="0" w:color="auto"/>
                    <w:left w:val="none" w:sz="0" w:space="0" w:color="auto"/>
                    <w:bottom w:val="none" w:sz="0" w:space="0" w:color="auto"/>
                    <w:right w:val="none" w:sz="0" w:space="0" w:color="auto"/>
                  </w:divBdr>
                  <w:divsChild>
                    <w:div w:id="1779450226">
                      <w:marLeft w:val="0"/>
                      <w:marRight w:val="0"/>
                      <w:marTop w:val="0"/>
                      <w:marBottom w:val="0"/>
                      <w:divBdr>
                        <w:top w:val="none" w:sz="0" w:space="0" w:color="auto"/>
                        <w:left w:val="none" w:sz="0" w:space="0" w:color="auto"/>
                        <w:bottom w:val="none" w:sz="0" w:space="0" w:color="auto"/>
                        <w:right w:val="none" w:sz="0" w:space="0" w:color="auto"/>
                      </w:divBdr>
                    </w:div>
                  </w:divsChild>
                </w:div>
                <w:div w:id="1602764103">
                  <w:marLeft w:val="0"/>
                  <w:marRight w:val="0"/>
                  <w:marTop w:val="0"/>
                  <w:marBottom w:val="0"/>
                  <w:divBdr>
                    <w:top w:val="none" w:sz="0" w:space="0" w:color="auto"/>
                    <w:left w:val="none" w:sz="0" w:space="0" w:color="auto"/>
                    <w:bottom w:val="none" w:sz="0" w:space="0" w:color="auto"/>
                    <w:right w:val="none" w:sz="0" w:space="0" w:color="auto"/>
                  </w:divBdr>
                  <w:divsChild>
                    <w:div w:id="502362049">
                      <w:marLeft w:val="0"/>
                      <w:marRight w:val="0"/>
                      <w:marTop w:val="0"/>
                      <w:marBottom w:val="0"/>
                      <w:divBdr>
                        <w:top w:val="none" w:sz="0" w:space="0" w:color="auto"/>
                        <w:left w:val="none" w:sz="0" w:space="0" w:color="auto"/>
                        <w:bottom w:val="none" w:sz="0" w:space="0" w:color="auto"/>
                        <w:right w:val="none" w:sz="0" w:space="0" w:color="auto"/>
                      </w:divBdr>
                    </w:div>
                  </w:divsChild>
                </w:div>
                <w:div w:id="1614248253">
                  <w:marLeft w:val="0"/>
                  <w:marRight w:val="0"/>
                  <w:marTop w:val="0"/>
                  <w:marBottom w:val="0"/>
                  <w:divBdr>
                    <w:top w:val="none" w:sz="0" w:space="0" w:color="auto"/>
                    <w:left w:val="none" w:sz="0" w:space="0" w:color="auto"/>
                    <w:bottom w:val="none" w:sz="0" w:space="0" w:color="auto"/>
                    <w:right w:val="none" w:sz="0" w:space="0" w:color="auto"/>
                  </w:divBdr>
                  <w:divsChild>
                    <w:div w:id="1929192086">
                      <w:marLeft w:val="0"/>
                      <w:marRight w:val="0"/>
                      <w:marTop w:val="0"/>
                      <w:marBottom w:val="0"/>
                      <w:divBdr>
                        <w:top w:val="none" w:sz="0" w:space="0" w:color="auto"/>
                        <w:left w:val="none" w:sz="0" w:space="0" w:color="auto"/>
                        <w:bottom w:val="none" w:sz="0" w:space="0" w:color="auto"/>
                        <w:right w:val="none" w:sz="0" w:space="0" w:color="auto"/>
                      </w:divBdr>
                    </w:div>
                  </w:divsChild>
                </w:div>
                <w:div w:id="1736008478">
                  <w:marLeft w:val="0"/>
                  <w:marRight w:val="0"/>
                  <w:marTop w:val="0"/>
                  <w:marBottom w:val="0"/>
                  <w:divBdr>
                    <w:top w:val="none" w:sz="0" w:space="0" w:color="auto"/>
                    <w:left w:val="none" w:sz="0" w:space="0" w:color="auto"/>
                    <w:bottom w:val="none" w:sz="0" w:space="0" w:color="auto"/>
                    <w:right w:val="none" w:sz="0" w:space="0" w:color="auto"/>
                  </w:divBdr>
                  <w:divsChild>
                    <w:div w:id="1300643844">
                      <w:marLeft w:val="0"/>
                      <w:marRight w:val="0"/>
                      <w:marTop w:val="0"/>
                      <w:marBottom w:val="0"/>
                      <w:divBdr>
                        <w:top w:val="none" w:sz="0" w:space="0" w:color="auto"/>
                        <w:left w:val="none" w:sz="0" w:space="0" w:color="auto"/>
                        <w:bottom w:val="none" w:sz="0" w:space="0" w:color="auto"/>
                        <w:right w:val="none" w:sz="0" w:space="0" w:color="auto"/>
                      </w:divBdr>
                    </w:div>
                  </w:divsChild>
                </w:div>
                <w:div w:id="1741095337">
                  <w:marLeft w:val="0"/>
                  <w:marRight w:val="0"/>
                  <w:marTop w:val="0"/>
                  <w:marBottom w:val="0"/>
                  <w:divBdr>
                    <w:top w:val="none" w:sz="0" w:space="0" w:color="auto"/>
                    <w:left w:val="none" w:sz="0" w:space="0" w:color="auto"/>
                    <w:bottom w:val="none" w:sz="0" w:space="0" w:color="auto"/>
                    <w:right w:val="none" w:sz="0" w:space="0" w:color="auto"/>
                  </w:divBdr>
                  <w:divsChild>
                    <w:div w:id="1564683350">
                      <w:marLeft w:val="0"/>
                      <w:marRight w:val="0"/>
                      <w:marTop w:val="0"/>
                      <w:marBottom w:val="0"/>
                      <w:divBdr>
                        <w:top w:val="none" w:sz="0" w:space="0" w:color="auto"/>
                        <w:left w:val="none" w:sz="0" w:space="0" w:color="auto"/>
                        <w:bottom w:val="none" w:sz="0" w:space="0" w:color="auto"/>
                        <w:right w:val="none" w:sz="0" w:space="0" w:color="auto"/>
                      </w:divBdr>
                    </w:div>
                  </w:divsChild>
                </w:div>
                <w:div w:id="1851720426">
                  <w:marLeft w:val="0"/>
                  <w:marRight w:val="0"/>
                  <w:marTop w:val="0"/>
                  <w:marBottom w:val="0"/>
                  <w:divBdr>
                    <w:top w:val="none" w:sz="0" w:space="0" w:color="auto"/>
                    <w:left w:val="none" w:sz="0" w:space="0" w:color="auto"/>
                    <w:bottom w:val="none" w:sz="0" w:space="0" w:color="auto"/>
                    <w:right w:val="none" w:sz="0" w:space="0" w:color="auto"/>
                  </w:divBdr>
                  <w:divsChild>
                    <w:div w:id="608128098">
                      <w:marLeft w:val="0"/>
                      <w:marRight w:val="0"/>
                      <w:marTop w:val="0"/>
                      <w:marBottom w:val="0"/>
                      <w:divBdr>
                        <w:top w:val="none" w:sz="0" w:space="0" w:color="auto"/>
                        <w:left w:val="none" w:sz="0" w:space="0" w:color="auto"/>
                        <w:bottom w:val="none" w:sz="0" w:space="0" w:color="auto"/>
                        <w:right w:val="none" w:sz="0" w:space="0" w:color="auto"/>
                      </w:divBdr>
                    </w:div>
                  </w:divsChild>
                </w:div>
                <w:div w:id="2041975253">
                  <w:marLeft w:val="0"/>
                  <w:marRight w:val="0"/>
                  <w:marTop w:val="0"/>
                  <w:marBottom w:val="0"/>
                  <w:divBdr>
                    <w:top w:val="none" w:sz="0" w:space="0" w:color="auto"/>
                    <w:left w:val="none" w:sz="0" w:space="0" w:color="auto"/>
                    <w:bottom w:val="none" w:sz="0" w:space="0" w:color="auto"/>
                    <w:right w:val="none" w:sz="0" w:space="0" w:color="auto"/>
                  </w:divBdr>
                  <w:divsChild>
                    <w:div w:id="275328813">
                      <w:marLeft w:val="0"/>
                      <w:marRight w:val="0"/>
                      <w:marTop w:val="0"/>
                      <w:marBottom w:val="0"/>
                      <w:divBdr>
                        <w:top w:val="none" w:sz="0" w:space="0" w:color="auto"/>
                        <w:left w:val="none" w:sz="0" w:space="0" w:color="auto"/>
                        <w:bottom w:val="none" w:sz="0" w:space="0" w:color="auto"/>
                        <w:right w:val="none" w:sz="0" w:space="0" w:color="auto"/>
                      </w:divBdr>
                    </w:div>
                  </w:divsChild>
                </w:div>
                <w:div w:id="2084795481">
                  <w:marLeft w:val="0"/>
                  <w:marRight w:val="0"/>
                  <w:marTop w:val="0"/>
                  <w:marBottom w:val="0"/>
                  <w:divBdr>
                    <w:top w:val="none" w:sz="0" w:space="0" w:color="auto"/>
                    <w:left w:val="none" w:sz="0" w:space="0" w:color="auto"/>
                    <w:bottom w:val="none" w:sz="0" w:space="0" w:color="auto"/>
                    <w:right w:val="none" w:sz="0" w:space="0" w:color="auto"/>
                  </w:divBdr>
                  <w:divsChild>
                    <w:div w:id="66232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352">
          <w:marLeft w:val="0"/>
          <w:marRight w:val="0"/>
          <w:marTop w:val="0"/>
          <w:marBottom w:val="0"/>
          <w:divBdr>
            <w:top w:val="none" w:sz="0" w:space="0" w:color="auto"/>
            <w:left w:val="none" w:sz="0" w:space="0" w:color="auto"/>
            <w:bottom w:val="none" w:sz="0" w:space="0" w:color="auto"/>
            <w:right w:val="none" w:sz="0" w:space="0" w:color="auto"/>
          </w:divBdr>
        </w:div>
      </w:divsChild>
    </w:div>
    <w:div w:id="558439718">
      <w:bodyDiv w:val="1"/>
      <w:marLeft w:val="0"/>
      <w:marRight w:val="0"/>
      <w:marTop w:val="0"/>
      <w:marBottom w:val="0"/>
      <w:divBdr>
        <w:top w:val="none" w:sz="0" w:space="0" w:color="auto"/>
        <w:left w:val="none" w:sz="0" w:space="0" w:color="auto"/>
        <w:bottom w:val="none" w:sz="0" w:space="0" w:color="auto"/>
        <w:right w:val="none" w:sz="0" w:space="0" w:color="auto"/>
      </w:divBdr>
    </w:div>
    <w:div w:id="567687638">
      <w:bodyDiv w:val="1"/>
      <w:marLeft w:val="0"/>
      <w:marRight w:val="0"/>
      <w:marTop w:val="0"/>
      <w:marBottom w:val="0"/>
      <w:divBdr>
        <w:top w:val="none" w:sz="0" w:space="0" w:color="auto"/>
        <w:left w:val="none" w:sz="0" w:space="0" w:color="auto"/>
        <w:bottom w:val="none" w:sz="0" w:space="0" w:color="auto"/>
        <w:right w:val="none" w:sz="0" w:space="0" w:color="auto"/>
      </w:divBdr>
      <w:divsChild>
        <w:div w:id="624888485">
          <w:marLeft w:val="0"/>
          <w:marRight w:val="0"/>
          <w:marTop w:val="0"/>
          <w:marBottom w:val="0"/>
          <w:divBdr>
            <w:top w:val="none" w:sz="0" w:space="0" w:color="auto"/>
            <w:left w:val="none" w:sz="0" w:space="0" w:color="auto"/>
            <w:bottom w:val="none" w:sz="0" w:space="0" w:color="auto"/>
            <w:right w:val="none" w:sz="0" w:space="0" w:color="auto"/>
          </w:divBdr>
        </w:div>
        <w:div w:id="1660579542">
          <w:marLeft w:val="0"/>
          <w:marRight w:val="0"/>
          <w:marTop w:val="0"/>
          <w:marBottom w:val="0"/>
          <w:divBdr>
            <w:top w:val="none" w:sz="0" w:space="0" w:color="auto"/>
            <w:left w:val="none" w:sz="0" w:space="0" w:color="auto"/>
            <w:bottom w:val="none" w:sz="0" w:space="0" w:color="auto"/>
            <w:right w:val="none" w:sz="0" w:space="0" w:color="auto"/>
          </w:divBdr>
        </w:div>
      </w:divsChild>
    </w:div>
    <w:div w:id="637733307">
      <w:bodyDiv w:val="1"/>
      <w:marLeft w:val="0"/>
      <w:marRight w:val="0"/>
      <w:marTop w:val="0"/>
      <w:marBottom w:val="0"/>
      <w:divBdr>
        <w:top w:val="none" w:sz="0" w:space="0" w:color="auto"/>
        <w:left w:val="none" w:sz="0" w:space="0" w:color="auto"/>
        <w:bottom w:val="none" w:sz="0" w:space="0" w:color="auto"/>
        <w:right w:val="none" w:sz="0" w:space="0" w:color="auto"/>
      </w:divBdr>
      <w:divsChild>
        <w:div w:id="127212913">
          <w:marLeft w:val="0"/>
          <w:marRight w:val="0"/>
          <w:marTop w:val="0"/>
          <w:marBottom w:val="0"/>
          <w:divBdr>
            <w:top w:val="none" w:sz="0" w:space="0" w:color="auto"/>
            <w:left w:val="none" w:sz="0" w:space="0" w:color="auto"/>
            <w:bottom w:val="none" w:sz="0" w:space="0" w:color="auto"/>
            <w:right w:val="none" w:sz="0" w:space="0" w:color="auto"/>
          </w:divBdr>
        </w:div>
        <w:div w:id="301008751">
          <w:marLeft w:val="0"/>
          <w:marRight w:val="0"/>
          <w:marTop w:val="0"/>
          <w:marBottom w:val="0"/>
          <w:divBdr>
            <w:top w:val="none" w:sz="0" w:space="0" w:color="auto"/>
            <w:left w:val="none" w:sz="0" w:space="0" w:color="auto"/>
            <w:bottom w:val="none" w:sz="0" w:space="0" w:color="auto"/>
            <w:right w:val="none" w:sz="0" w:space="0" w:color="auto"/>
          </w:divBdr>
        </w:div>
        <w:div w:id="836578764">
          <w:marLeft w:val="0"/>
          <w:marRight w:val="0"/>
          <w:marTop w:val="0"/>
          <w:marBottom w:val="0"/>
          <w:divBdr>
            <w:top w:val="none" w:sz="0" w:space="0" w:color="auto"/>
            <w:left w:val="none" w:sz="0" w:space="0" w:color="auto"/>
            <w:bottom w:val="none" w:sz="0" w:space="0" w:color="auto"/>
            <w:right w:val="none" w:sz="0" w:space="0" w:color="auto"/>
          </w:divBdr>
        </w:div>
        <w:div w:id="961493927">
          <w:marLeft w:val="0"/>
          <w:marRight w:val="0"/>
          <w:marTop w:val="0"/>
          <w:marBottom w:val="0"/>
          <w:divBdr>
            <w:top w:val="none" w:sz="0" w:space="0" w:color="auto"/>
            <w:left w:val="none" w:sz="0" w:space="0" w:color="auto"/>
            <w:bottom w:val="none" w:sz="0" w:space="0" w:color="auto"/>
            <w:right w:val="none" w:sz="0" w:space="0" w:color="auto"/>
          </w:divBdr>
        </w:div>
        <w:div w:id="1981962641">
          <w:marLeft w:val="0"/>
          <w:marRight w:val="0"/>
          <w:marTop w:val="0"/>
          <w:marBottom w:val="0"/>
          <w:divBdr>
            <w:top w:val="none" w:sz="0" w:space="0" w:color="auto"/>
            <w:left w:val="none" w:sz="0" w:space="0" w:color="auto"/>
            <w:bottom w:val="none" w:sz="0" w:space="0" w:color="auto"/>
            <w:right w:val="none" w:sz="0" w:space="0" w:color="auto"/>
          </w:divBdr>
        </w:div>
        <w:div w:id="1994333085">
          <w:marLeft w:val="0"/>
          <w:marRight w:val="0"/>
          <w:marTop w:val="0"/>
          <w:marBottom w:val="0"/>
          <w:divBdr>
            <w:top w:val="none" w:sz="0" w:space="0" w:color="auto"/>
            <w:left w:val="none" w:sz="0" w:space="0" w:color="auto"/>
            <w:bottom w:val="none" w:sz="0" w:space="0" w:color="auto"/>
            <w:right w:val="none" w:sz="0" w:space="0" w:color="auto"/>
          </w:divBdr>
        </w:div>
      </w:divsChild>
    </w:div>
    <w:div w:id="645666906">
      <w:bodyDiv w:val="1"/>
      <w:marLeft w:val="0"/>
      <w:marRight w:val="0"/>
      <w:marTop w:val="0"/>
      <w:marBottom w:val="0"/>
      <w:divBdr>
        <w:top w:val="none" w:sz="0" w:space="0" w:color="auto"/>
        <w:left w:val="none" w:sz="0" w:space="0" w:color="auto"/>
        <w:bottom w:val="none" w:sz="0" w:space="0" w:color="auto"/>
        <w:right w:val="none" w:sz="0" w:space="0" w:color="auto"/>
      </w:divBdr>
    </w:div>
    <w:div w:id="657458894">
      <w:bodyDiv w:val="1"/>
      <w:marLeft w:val="0"/>
      <w:marRight w:val="0"/>
      <w:marTop w:val="0"/>
      <w:marBottom w:val="0"/>
      <w:divBdr>
        <w:top w:val="none" w:sz="0" w:space="0" w:color="auto"/>
        <w:left w:val="none" w:sz="0" w:space="0" w:color="auto"/>
        <w:bottom w:val="none" w:sz="0" w:space="0" w:color="auto"/>
        <w:right w:val="none" w:sz="0" w:space="0" w:color="auto"/>
      </w:divBdr>
      <w:divsChild>
        <w:div w:id="45228991">
          <w:marLeft w:val="0"/>
          <w:marRight w:val="0"/>
          <w:marTop w:val="0"/>
          <w:marBottom w:val="0"/>
          <w:divBdr>
            <w:top w:val="none" w:sz="0" w:space="0" w:color="auto"/>
            <w:left w:val="none" w:sz="0" w:space="0" w:color="auto"/>
            <w:bottom w:val="none" w:sz="0" w:space="0" w:color="auto"/>
            <w:right w:val="none" w:sz="0" w:space="0" w:color="auto"/>
          </w:divBdr>
          <w:divsChild>
            <w:div w:id="1563053251">
              <w:marLeft w:val="0"/>
              <w:marRight w:val="0"/>
              <w:marTop w:val="0"/>
              <w:marBottom w:val="0"/>
              <w:divBdr>
                <w:top w:val="none" w:sz="0" w:space="0" w:color="auto"/>
                <w:left w:val="none" w:sz="0" w:space="0" w:color="auto"/>
                <w:bottom w:val="none" w:sz="0" w:space="0" w:color="auto"/>
                <w:right w:val="none" w:sz="0" w:space="0" w:color="auto"/>
              </w:divBdr>
            </w:div>
          </w:divsChild>
        </w:div>
        <w:div w:id="66925937">
          <w:marLeft w:val="0"/>
          <w:marRight w:val="0"/>
          <w:marTop w:val="0"/>
          <w:marBottom w:val="0"/>
          <w:divBdr>
            <w:top w:val="none" w:sz="0" w:space="0" w:color="auto"/>
            <w:left w:val="none" w:sz="0" w:space="0" w:color="auto"/>
            <w:bottom w:val="none" w:sz="0" w:space="0" w:color="auto"/>
            <w:right w:val="none" w:sz="0" w:space="0" w:color="auto"/>
          </w:divBdr>
          <w:divsChild>
            <w:div w:id="797188946">
              <w:marLeft w:val="0"/>
              <w:marRight w:val="0"/>
              <w:marTop w:val="0"/>
              <w:marBottom w:val="0"/>
              <w:divBdr>
                <w:top w:val="none" w:sz="0" w:space="0" w:color="auto"/>
                <w:left w:val="none" w:sz="0" w:space="0" w:color="auto"/>
                <w:bottom w:val="none" w:sz="0" w:space="0" w:color="auto"/>
                <w:right w:val="none" w:sz="0" w:space="0" w:color="auto"/>
              </w:divBdr>
            </w:div>
          </w:divsChild>
        </w:div>
        <w:div w:id="391931346">
          <w:marLeft w:val="0"/>
          <w:marRight w:val="0"/>
          <w:marTop w:val="0"/>
          <w:marBottom w:val="0"/>
          <w:divBdr>
            <w:top w:val="none" w:sz="0" w:space="0" w:color="auto"/>
            <w:left w:val="none" w:sz="0" w:space="0" w:color="auto"/>
            <w:bottom w:val="none" w:sz="0" w:space="0" w:color="auto"/>
            <w:right w:val="none" w:sz="0" w:space="0" w:color="auto"/>
          </w:divBdr>
          <w:divsChild>
            <w:div w:id="968896346">
              <w:marLeft w:val="0"/>
              <w:marRight w:val="0"/>
              <w:marTop w:val="0"/>
              <w:marBottom w:val="0"/>
              <w:divBdr>
                <w:top w:val="none" w:sz="0" w:space="0" w:color="auto"/>
                <w:left w:val="none" w:sz="0" w:space="0" w:color="auto"/>
                <w:bottom w:val="none" w:sz="0" w:space="0" w:color="auto"/>
                <w:right w:val="none" w:sz="0" w:space="0" w:color="auto"/>
              </w:divBdr>
            </w:div>
          </w:divsChild>
        </w:div>
        <w:div w:id="404957033">
          <w:marLeft w:val="0"/>
          <w:marRight w:val="0"/>
          <w:marTop w:val="0"/>
          <w:marBottom w:val="0"/>
          <w:divBdr>
            <w:top w:val="none" w:sz="0" w:space="0" w:color="auto"/>
            <w:left w:val="none" w:sz="0" w:space="0" w:color="auto"/>
            <w:bottom w:val="none" w:sz="0" w:space="0" w:color="auto"/>
            <w:right w:val="none" w:sz="0" w:space="0" w:color="auto"/>
          </w:divBdr>
          <w:divsChild>
            <w:div w:id="1130512733">
              <w:marLeft w:val="0"/>
              <w:marRight w:val="0"/>
              <w:marTop w:val="0"/>
              <w:marBottom w:val="0"/>
              <w:divBdr>
                <w:top w:val="none" w:sz="0" w:space="0" w:color="auto"/>
                <w:left w:val="none" w:sz="0" w:space="0" w:color="auto"/>
                <w:bottom w:val="none" w:sz="0" w:space="0" w:color="auto"/>
                <w:right w:val="none" w:sz="0" w:space="0" w:color="auto"/>
              </w:divBdr>
            </w:div>
          </w:divsChild>
        </w:div>
        <w:div w:id="436829083">
          <w:marLeft w:val="0"/>
          <w:marRight w:val="0"/>
          <w:marTop w:val="0"/>
          <w:marBottom w:val="0"/>
          <w:divBdr>
            <w:top w:val="none" w:sz="0" w:space="0" w:color="auto"/>
            <w:left w:val="none" w:sz="0" w:space="0" w:color="auto"/>
            <w:bottom w:val="none" w:sz="0" w:space="0" w:color="auto"/>
            <w:right w:val="none" w:sz="0" w:space="0" w:color="auto"/>
          </w:divBdr>
          <w:divsChild>
            <w:div w:id="2055961259">
              <w:marLeft w:val="0"/>
              <w:marRight w:val="0"/>
              <w:marTop w:val="0"/>
              <w:marBottom w:val="0"/>
              <w:divBdr>
                <w:top w:val="none" w:sz="0" w:space="0" w:color="auto"/>
                <w:left w:val="none" w:sz="0" w:space="0" w:color="auto"/>
                <w:bottom w:val="none" w:sz="0" w:space="0" w:color="auto"/>
                <w:right w:val="none" w:sz="0" w:space="0" w:color="auto"/>
              </w:divBdr>
            </w:div>
          </w:divsChild>
        </w:div>
        <w:div w:id="452867516">
          <w:marLeft w:val="0"/>
          <w:marRight w:val="0"/>
          <w:marTop w:val="0"/>
          <w:marBottom w:val="0"/>
          <w:divBdr>
            <w:top w:val="none" w:sz="0" w:space="0" w:color="auto"/>
            <w:left w:val="none" w:sz="0" w:space="0" w:color="auto"/>
            <w:bottom w:val="none" w:sz="0" w:space="0" w:color="auto"/>
            <w:right w:val="none" w:sz="0" w:space="0" w:color="auto"/>
          </w:divBdr>
          <w:divsChild>
            <w:div w:id="1761370316">
              <w:marLeft w:val="0"/>
              <w:marRight w:val="0"/>
              <w:marTop w:val="0"/>
              <w:marBottom w:val="0"/>
              <w:divBdr>
                <w:top w:val="none" w:sz="0" w:space="0" w:color="auto"/>
                <w:left w:val="none" w:sz="0" w:space="0" w:color="auto"/>
                <w:bottom w:val="none" w:sz="0" w:space="0" w:color="auto"/>
                <w:right w:val="none" w:sz="0" w:space="0" w:color="auto"/>
              </w:divBdr>
            </w:div>
          </w:divsChild>
        </w:div>
        <w:div w:id="472214472">
          <w:marLeft w:val="0"/>
          <w:marRight w:val="0"/>
          <w:marTop w:val="0"/>
          <w:marBottom w:val="0"/>
          <w:divBdr>
            <w:top w:val="none" w:sz="0" w:space="0" w:color="auto"/>
            <w:left w:val="none" w:sz="0" w:space="0" w:color="auto"/>
            <w:bottom w:val="none" w:sz="0" w:space="0" w:color="auto"/>
            <w:right w:val="none" w:sz="0" w:space="0" w:color="auto"/>
          </w:divBdr>
          <w:divsChild>
            <w:div w:id="185336719">
              <w:marLeft w:val="0"/>
              <w:marRight w:val="0"/>
              <w:marTop w:val="0"/>
              <w:marBottom w:val="0"/>
              <w:divBdr>
                <w:top w:val="none" w:sz="0" w:space="0" w:color="auto"/>
                <w:left w:val="none" w:sz="0" w:space="0" w:color="auto"/>
                <w:bottom w:val="none" w:sz="0" w:space="0" w:color="auto"/>
                <w:right w:val="none" w:sz="0" w:space="0" w:color="auto"/>
              </w:divBdr>
            </w:div>
          </w:divsChild>
        </w:div>
        <w:div w:id="511381005">
          <w:marLeft w:val="0"/>
          <w:marRight w:val="0"/>
          <w:marTop w:val="0"/>
          <w:marBottom w:val="0"/>
          <w:divBdr>
            <w:top w:val="none" w:sz="0" w:space="0" w:color="auto"/>
            <w:left w:val="none" w:sz="0" w:space="0" w:color="auto"/>
            <w:bottom w:val="none" w:sz="0" w:space="0" w:color="auto"/>
            <w:right w:val="none" w:sz="0" w:space="0" w:color="auto"/>
          </w:divBdr>
          <w:divsChild>
            <w:div w:id="203687156">
              <w:marLeft w:val="0"/>
              <w:marRight w:val="0"/>
              <w:marTop w:val="0"/>
              <w:marBottom w:val="0"/>
              <w:divBdr>
                <w:top w:val="none" w:sz="0" w:space="0" w:color="auto"/>
                <w:left w:val="none" w:sz="0" w:space="0" w:color="auto"/>
                <w:bottom w:val="none" w:sz="0" w:space="0" w:color="auto"/>
                <w:right w:val="none" w:sz="0" w:space="0" w:color="auto"/>
              </w:divBdr>
            </w:div>
          </w:divsChild>
        </w:div>
        <w:div w:id="515971924">
          <w:marLeft w:val="0"/>
          <w:marRight w:val="0"/>
          <w:marTop w:val="0"/>
          <w:marBottom w:val="0"/>
          <w:divBdr>
            <w:top w:val="none" w:sz="0" w:space="0" w:color="auto"/>
            <w:left w:val="none" w:sz="0" w:space="0" w:color="auto"/>
            <w:bottom w:val="none" w:sz="0" w:space="0" w:color="auto"/>
            <w:right w:val="none" w:sz="0" w:space="0" w:color="auto"/>
          </w:divBdr>
          <w:divsChild>
            <w:div w:id="1067606234">
              <w:marLeft w:val="0"/>
              <w:marRight w:val="0"/>
              <w:marTop w:val="0"/>
              <w:marBottom w:val="0"/>
              <w:divBdr>
                <w:top w:val="none" w:sz="0" w:space="0" w:color="auto"/>
                <w:left w:val="none" w:sz="0" w:space="0" w:color="auto"/>
                <w:bottom w:val="none" w:sz="0" w:space="0" w:color="auto"/>
                <w:right w:val="none" w:sz="0" w:space="0" w:color="auto"/>
              </w:divBdr>
            </w:div>
          </w:divsChild>
        </w:div>
        <w:div w:id="527569292">
          <w:marLeft w:val="0"/>
          <w:marRight w:val="0"/>
          <w:marTop w:val="0"/>
          <w:marBottom w:val="0"/>
          <w:divBdr>
            <w:top w:val="none" w:sz="0" w:space="0" w:color="auto"/>
            <w:left w:val="none" w:sz="0" w:space="0" w:color="auto"/>
            <w:bottom w:val="none" w:sz="0" w:space="0" w:color="auto"/>
            <w:right w:val="none" w:sz="0" w:space="0" w:color="auto"/>
          </w:divBdr>
          <w:divsChild>
            <w:div w:id="687295197">
              <w:marLeft w:val="0"/>
              <w:marRight w:val="0"/>
              <w:marTop w:val="0"/>
              <w:marBottom w:val="0"/>
              <w:divBdr>
                <w:top w:val="none" w:sz="0" w:space="0" w:color="auto"/>
                <w:left w:val="none" w:sz="0" w:space="0" w:color="auto"/>
                <w:bottom w:val="none" w:sz="0" w:space="0" w:color="auto"/>
                <w:right w:val="none" w:sz="0" w:space="0" w:color="auto"/>
              </w:divBdr>
            </w:div>
          </w:divsChild>
        </w:div>
        <w:div w:id="642390198">
          <w:marLeft w:val="0"/>
          <w:marRight w:val="0"/>
          <w:marTop w:val="0"/>
          <w:marBottom w:val="0"/>
          <w:divBdr>
            <w:top w:val="none" w:sz="0" w:space="0" w:color="auto"/>
            <w:left w:val="none" w:sz="0" w:space="0" w:color="auto"/>
            <w:bottom w:val="none" w:sz="0" w:space="0" w:color="auto"/>
            <w:right w:val="none" w:sz="0" w:space="0" w:color="auto"/>
          </w:divBdr>
          <w:divsChild>
            <w:div w:id="1087968365">
              <w:marLeft w:val="0"/>
              <w:marRight w:val="0"/>
              <w:marTop w:val="0"/>
              <w:marBottom w:val="0"/>
              <w:divBdr>
                <w:top w:val="none" w:sz="0" w:space="0" w:color="auto"/>
                <w:left w:val="none" w:sz="0" w:space="0" w:color="auto"/>
                <w:bottom w:val="none" w:sz="0" w:space="0" w:color="auto"/>
                <w:right w:val="none" w:sz="0" w:space="0" w:color="auto"/>
              </w:divBdr>
            </w:div>
          </w:divsChild>
        </w:div>
        <w:div w:id="740299306">
          <w:marLeft w:val="0"/>
          <w:marRight w:val="0"/>
          <w:marTop w:val="0"/>
          <w:marBottom w:val="0"/>
          <w:divBdr>
            <w:top w:val="none" w:sz="0" w:space="0" w:color="auto"/>
            <w:left w:val="none" w:sz="0" w:space="0" w:color="auto"/>
            <w:bottom w:val="none" w:sz="0" w:space="0" w:color="auto"/>
            <w:right w:val="none" w:sz="0" w:space="0" w:color="auto"/>
          </w:divBdr>
          <w:divsChild>
            <w:div w:id="1432973574">
              <w:marLeft w:val="0"/>
              <w:marRight w:val="0"/>
              <w:marTop w:val="0"/>
              <w:marBottom w:val="0"/>
              <w:divBdr>
                <w:top w:val="none" w:sz="0" w:space="0" w:color="auto"/>
                <w:left w:val="none" w:sz="0" w:space="0" w:color="auto"/>
                <w:bottom w:val="none" w:sz="0" w:space="0" w:color="auto"/>
                <w:right w:val="none" w:sz="0" w:space="0" w:color="auto"/>
              </w:divBdr>
            </w:div>
          </w:divsChild>
        </w:div>
        <w:div w:id="886911129">
          <w:marLeft w:val="0"/>
          <w:marRight w:val="0"/>
          <w:marTop w:val="0"/>
          <w:marBottom w:val="0"/>
          <w:divBdr>
            <w:top w:val="none" w:sz="0" w:space="0" w:color="auto"/>
            <w:left w:val="none" w:sz="0" w:space="0" w:color="auto"/>
            <w:bottom w:val="none" w:sz="0" w:space="0" w:color="auto"/>
            <w:right w:val="none" w:sz="0" w:space="0" w:color="auto"/>
          </w:divBdr>
          <w:divsChild>
            <w:div w:id="1374111367">
              <w:marLeft w:val="0"/>
              <w:marRight w:val="0"/>
              <w:marTop w:val="0"/>
              <w:marBottom w:val="0"/>
              <w:divBdr>
                <w:top w:val="none" w:sz="0" w:space="0" w:color="auto"/>
                <w:left w:val="none" w:sz="0" w:space="0" w:color="auto"/>
                <w:bottom w:val="none" w:sz="0" w:space="0" w:color="auto"/>
                <w:right w:val="none" w:sz="0" w:space="0" w:color="auto"/>
              </w:divBdr>
            </w:div>
          </w:divsChild>
        </w:div>
        <w:div w:id="1124734089">
          <w:marLeft w:val="0"/>
          <w:marRight w:val="0"/>
          <w:marTop w:val="0"/>
          <w:marBottom w:val="0"/>
          <w:divBdr>
            <w:top w:val="none" w:sz="0" w:space="0" w:color="auto"/>
            <w:left w:val="none" w:sz="0" w:space="0" w:color="auto"/>
            <w:bottom w:val="none" w:sz="0" w:space="0" w:color="auto"/>
            <w:right w:val="none" w:sz="0" w:space="0" w:color="auto"/>
          </w:divBdr>
          <w:divsChild>
            <w:div w:id="1864828576">
              <w:marLeft w:val="0"/>
              <w:marRight w:val="0"/>
              <w:marTop w:val="0"/>
              <w:marBottom w:val="0"/>
              <w:divBdr>
                <w:top w:val="none" w:sz="0" w:space="0" w:color="auto"/>
                <w:left w:val="none" w:sz="0" w:space="0" w:color="auto"/>
                <w:bottom w:val="none" w:sz="0" w:space="0" w:color="auto"/>
                <w:right w:val="none" w:sz="0" w:space="0" w:color="auto"/>
              </w:divBdr>
            </w:div>
          </w:divsChild>
        </w:div>
        <w:div w:id="1403718181">
          <w:marLeft w:val="0"/>
          <w:marRight w:val="0"/>
          <w:marTop w:val="0"/>
          <w:marBottom w:val="0"/>
          <w:divBdr>
            <w:top w:val="none" w:sz="0" w:space="0" w:color="auto"/>
            <w:left w:val="none" w:sz="0" w:space="0" w:color="auto"/>
            <w:bottom w:val="none" w:sz="0" w:space="0" w:color="auto"/>
            <w:right w:val="none" w:sz="0" w:space="0" w:color="auto"/>
          </w:divBdr>
          <w:divsChild>
            <w:div w:id="2119594134">
              <w:marLeft w:val="0"/>
              <w:marRight w:val="0"/>
              <w:marTop w:val="0"/>
              <w:marBottom w:val="0"/>
              <w:divBdr>
                <w:top w:val="none" w:sz="0" w:space="0" w:color="auto"/>
                <w:left w:val="none" w:sz="0" w:space="0" w:color="auto"/>
                <w:bottom w:val="none" w:sz="0" w:space="0" w:color="auto"/>
                <w:right w:val="none" w:sz="0" w:space="0" w:color="auto"/>
              </w:divBdr>
            </w:div>
          </w:divsChild>
        </w:div>
        <w:div w:id="1474785299">
          <w:marLeft w:val="0"/>
          <w:marRight w:val="0"/>
          <w:marTop w:val="0"/>
          <w:marBottom w:val="0"/>
          <w:divBdr>
            <w:top w:val="none" w:sz="0" w:space="0" w:color="auto"/>
            <w:left w:val="none" w:sz="0" w:space="0" w:color="auto"/>
            <w:bottom w:val="none" w:sz="0" w:space="0" w:color="auto"/>
            <w:right w:val="none" w:sz="0" w:space="0" w:color="auto"/>
          </w:divBdr>
          <w:divsChild>
            <w:div w:id="1796753382">
              <w:marLeft w:val="0"/>
              <w:marRight w:val="0"/>
              <w:marTop w:val="0"/>
              <w:marBottom w:val="0"/>
              <w:divBdr>
                <w:top w:val="none" w:sz="0" w:space="0" w:color="auto"/>
                <w:left w:val="none" w:sz="0" w:space="0" w:color="auto"/>
                <w:bottom w:val="none" w:sz="0" w:space="0" w:color="auto"/>
                <w:right w:val="none" w:sz="0" w:space="0" w:color="auto"/>
              </w:divBdr>
            </w:div>
          </w:divsChild>
        </w:div>
        <w:div w:id="1545673947">
          <w:marLeft w:val="0"/>
          <w:marRight w:val="0"/>
          <w:marTop w:val="0"/>
          <w:marBottom w:val="0"/>
          <w:divBdr>
            <w:top w:val="none" w:sz="0" w:space="0" w:color="auto"/>
            <w:left w:val="none" w:sz="0" w:space="0" w:color="auto"/>
            <w:bottom w:val="none" w:sz="0" w:space="0" w:color="auto"/>
            <w:right w:val="none" w:sz="0" w:space="0" w:color="auto"/>
          </w:divBdr>
          <w:divsChild>
            <w:div w:id="1807314210">
              <w:marLeft w:val="0"/>
              <w:marRight w:val="0"/>
              <w:marTop w:val="0"/>
              <w:marBottom w:val="0"/>
              <w:divBdr>
                <w:top w:val="none" w:sz="0" w:space="0" w:color="auto"/>
                <w:left w:val="none" w:sz="0" w:space="0" w:color="auto"/>
                <w:bottom w:val="none" w:sz="0" w:space="0" w:color="auto"/>
                <w:right w:val="none" w:sz="0" w:space="0" w:color="auto"/>
              </w:divBdr>
            </w:div>
          </w:divsChild>
        </w:div>
        <w:div w:id="1730693126">
          <w:marLeft w:val="0"/>
          <w:marRight w:val="0"/>
          <w:marTop w:val="0"/>
          <w:marBottom w:val="0"/>
          <w:divBdr>
            <w:top w:val="none" w:sz="0" w:space="0" w:color="auto"/>
            <w:left w:val="none" w:sz="0" w:space="0" w:color="auto"/>
            <w:bottom w:val="none" w:sz="0" w:space="0" w:color="auto"/>
            <w:right w:val="none" w:sz="0" w:space="0" w:color="auto"/>
          </w:divBdr>
          <w:divsChild>
            <w:div w:id="1960792409">
              <w:marLeft w:val="0"/>
              <w:marRight w:val="0"/>
              <w:marTop w:val="0"/>
              <w:marBottom w:val="0"/>
              <w:divBdr>
                <w:top w:val="none" w:sz="0" w:space="0" w:color="auto"/>
                <w:left w:val="none" w:sz="0" w:space="0" w:color="auto"/>
                <w:bottom w:val="none" w:sz="0" w:space="0" w:color="auto"/>
                <w:right w:val="none" w:sz="0" w:space="0" w:color="auto"/>
              </w:divBdr>
            </w:div>
          </w:divsChild>
        </w:div>
        <w:div w:id="1761757255">
          <w:marLeft w:val="0"/>
          <w:marRight w:val="0"/>
          <w:marTop w:val="0"/>
          <w:marBottom w:val="0"/>
          <w:divBdr>
            <w:top w:val="none" w:sz="0" w:space="0" w:color="auto"/>
            <w:left w:val="none" w:sz="0" w:space="0" w:color="auto"/>
            <w:bottom w:val="none" w:sz="0" w:space="0" w:color="auto"/>
            <w:right w:val="none" w:sz="0" w:space="0" w:color="auto"/>
          </w:divBdr>
          <w:divsChild>
            <w:div w:id="234972793">
              <w:marLeft w:val="0"/>
              <w:marRight w:val="0"/>
              <w:marTop w:val="0"/>
              <w:marBottom w:val="0"/>
              <w:divBdr>
                <w:top w:val="none" w:sz="0" w:space="0" w:color="auto"/>
                <w:left w:val="none" w:sz="0" w:space="0" w:color="auto"/>
                <w:bottom w:val="none" w:sz="0" w:space="0" w:color="auto"/>
                <w:right w:val="none" w:sz="0" w:space="0" w:color="auto"/>
              </w:divBdr>
            </w:div>
          </w:divsChild>
        </w:div>
        <w:div w:id="1865094335">
          <w:marLeft w:val="0"/>
          <w:marRight w:val="0"/>
          <w:marTop w:val="0"/>
          <w:marBottom w:val="0"/>
          <w:divBdr>
            <w:top w:val="none" w:sz="0" w:space="0" w:color="auto"/>
            <w:left w:val="none" w:sz="0" w:space="0" w:color="auto"/>
            <w:bottom w:val="none" w:sz="0" w:space="0" w:color="auto"/>
            <w:right w:val="none" w:sz="0" w:space="0" w:color="auto"/>
          </w:divBdr>
          <w:divsChild>
            <w:div w:id="1510758766">
              <w:marLeft w:val="0"/>
              <w:marRight w:val="0"/>
              <w:marTop w:val="0"/>
              <w:marBottom w:val="0"/>
              <w:divBdr>
                <w:top w:val="none" w:sz="0" w:space="0" w:color="auto"/>
                <w:left w:val="none" w:sz="0" w:space="0" w:color="auto"/>
                <w:bottom w:val="none" w:sz="0" w:space="0" w:color="auto"/>
                <w:right w:val="none" w:sz="0" w:space="0" w:color="auto"/>
              </w:divBdr>
            </w:div>
          </w:divsChild>
        </w:div>
        <w:div w:id="1873684335">
          <w:marLeft w:val="0"/>
          <w:marRight w:val="0"/>
          <w:marTop w:val="0"/>
          <w:marBottom w:val="0"/>
          <w:divBdr>
            <w:top w:val="none" w:sz="0" w:space="0" w:color="auto"/>
            <w:left w:val="none" w:sz="0" w:space="0" w:color="auto"/>
            <w:bottom w:val="none" w:sz="0" w:space="0" w:color="auto"/>
            <w:right w:val="none" w:sz="0" w:space="0" w:color="auto"/>
          </w:divBdr>
          <w:divsChild>
            <w:div w:id="184175087">
              <w:marLeft w:val="0"/>
              <w:marRight w:val="0"/>
              <w:marTop w:val="0"/>
              <w:marBottom w:val="0"/>
              <w:divBdr>
                <w:top w:val="none" w:sz="0" w:space="0" w:color="auto"/>
                <w:left w:val="none" w:sz="0" w:space="0" w:color="auto"/>
                <w:bottom w:val="none" w:sz="0" w:space="0" w:color="auto"/>
                <w:right w:val="none" w:sz="0" w:space="0" w:color="auto"/>
              </w:divBdr>
            </w:div>
          </w:divsChild>
        </w:div>
        <w:div w:id="1960798879">
          <w:marLeft w:val="0"/>
          <w:marRight w:val="0"/>
          <w:marTop w:val="0"/>
          <w:marBottom w:val="0"/>
          <w:divBdr>
            <w:top w:val="none" w:sz="0" w:space="0" w:color="auto"/>
            <w:left w:val="none" w:sz="0" w:space="0" w:color="auto"/>
            <w:bottom w:val="none" w:sz="0" w:space="0" w:color="auto"/>
            <w:right w:val="none" w:sz="0" w:space="0" w:color="auto"/>
          </w:divBdr>
          <w:divsChild>
            <w:div w:id="1671906475">
              <w:marLeft w:val="0"/>
              <w:marRight w:val="0"/>
              <w:marTop w:val="0"/>
              <w:marBottom w:val="0"/>
              <w:divBdr>
                <w:top w:val="none" w:sz="0" w:space="0" w:color="auto"/>
                <w:left w:val="none" w:sz="0" w:space="0" w:color="auto"/>
                <w:bottom w:val="none" w:sz="0" w:space="0" w:color="auto"/>
                <w:right w:val="none" w:sz="0" w:space="0" w:color="auto"/>
              </w:divBdr>
            </w:div>
          </w:divsChild>
        </w:div>
        <w:div w:id="1978216347">
          <w:marLeft w:val="0"/>
          <w:marRight w:val="0"/>
          <w:marTop w:val="0"/>
          <w:marBottom w:val="0"/>
          <w:divBdr>
            <w:top w:val="none" w:sz="0" w:space="0" w:color="auto"/>
            <w:left w:val="none" w:sz="0" w:space="0" w:color="auto"/>
            <w:bottom w:val="none" w:sz="0" w:space="0" w:color="auto"/>
            <w:right w:val="none" w:sz="0" w:space="0" w:color="auto"/>
          </w:divBdr>
          <w:divsChild>
            <w:div w:id="1751464697">
              <w:marLeft w:val="0"/>
              <w:marRight w:val="0"/>
              <w:marTop w:val="0"/>
              <w:marBottom w:val="0"/>
              <w:divBdr>
                <w:top w:val="none" w:sz="0" w:space="0" w:color="auto"/>
                <w:left w:val="none" w:sz="0" w:space="0" w:color="auto"/>
                <w:bottom w:val="none" w:sz="0" w:space="0" w:color="auto"/>
                <w:right w:val="none" w:sz="0" w:space="0" w:color="auto"/>
              </w:divBdr>
            </w:div>
          </w:divsChild>
        </w:div>
        <w:div w:id="2107462325">
          <w:marLeft w:val="0"/>
          <w:marRight w:val="0"/>
          <w:marTop w:val="0"/>
          <w:marBottom w:val="0"/>
          <w:divBdr>
            <w:top w:val="none" w:sz="0" w:space="0" w:color="auto"/>
            <w:left w:val="none" w:sz="0" w:space="0" w:color="auto"/>
            <w:bottom w:val="none" w:sz="0" w:space="0" w:color="auto"/>
            <w:right w:val="none" w:sz="0" w:space="0" w:color="auto"/>
          </w:divBdr>
          <w:divsChild>
            <w:div w:id="13811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9819">
      <w:bodyDiv w:val="1"/>
      <w:marLeft w:val="0"/>
      <w:marRight w:val="0"/>
      <w:marTop w:val="0"/>
      <w:marBottom w:val="0"/>
      <w:divBdr>
        <w:top w:val="none" w:sz="0" w:space="0" w:color="auto"/>
        <w:left w:val="none" w:sz="0" w:space="0" w:color="auto"/>
        <w:bottom w:val="none" w:sz="0" w:space="0" w:color="auto"/>
        <w:right w:val="none" w:sz="0" w:space="0" w:color="auto"/>
      </w:divBdr>
      <w:divsChild>
        <w:div w:id="679116327">
          <w:marLeft w:val="0"/>
          <w:marRight w:val="0"/>
          <w:marTop w:val="0"/>
          <w:marBottom w:val="0"/>
          <w:divBdr>
            <w:top w:val="none" w:sz="0" w:space="0" w:color="auto"/>
            <w:left w:val="none" w:sz="0" w:space="0" w:color="auto"/>
            <w:bottom w:val="none" w:sz="0" w:space="0" w:color="auto"/>
            <w:right w:val="none" w:sz="0" w:space="0" w:color="auto"/>
          </w:divBdr>
          <w:divsChild>
            <w:div w:id="579754859">
              <w:marLeft w:val="-75"/>
              <w:marRight w:val="0"/>
              <w:marTop w:val="30"/>
              <w:marBottom w:val="30"/>
              <w:divBdr>
                <w:top w:val="none" w:sz="0" w:space="0" w:color="auto"/>
                <w:left w:val="none" w:sz="0" w:space="0" w:color="auto"/>
                <w:bottom w:val="none" w:sz="0" w:space="0" w:color="auto"/>
                <w:right w:val="none" w:sz="0" w:space="0" w:color="auto"/>
              </w:divBdr>
              <w:divsChild>
                <w:div w:id="21639229">
                  <w:marLeft w:val="0"/>
                  <w:marRight w:val="0"/>
                  <w:marTop w:val="0"/>
                  <w:marBottom w:val="0"/>
                  <w:divBdr>
                    <w:top w:val="none" w:sz="0" w:space="0" w:color="auto"/>
                    <w:left w:val="none" w:sz="0" w:space="0" w:color="auto"/>
                    <w:bottom w:val="none" w:sz="0" w:space="0" w:color="auto"/>
                    <w:right w:val="none" w:sz="0" w:space="0" w:color="auto"/>
                  </w:divBdr>
                  <w:divsChild>
                    <w:div w:id="663509629">
                      <w:marLeft w:val="0"/>
                      <w:marRight w:val="0"/>
                      <w:marTop w:val="0"/>
                      <w:marBottom w:val="0"/>
                      <w:divBdr>
                        <w:top w:val="none" w:sz="0" w:space="0" w:color="auto"/>
                        <w:left w:val="none" w:sz="0" w:space="0" w:color="auto"/>
                        <w:bottom w:val="none" w:sz="0" w:space="0" w:color="auto"/>
                        <w:right w:val="none" w:sz="0" w:space="0" w:color="auto"/>
                      </w:divBdr>
                    </w:div>
                  </w:divsChild>
                </w:div>
                <w:div w:id="29577251">
                  <w:marLeft w:val="0"/>
                  <w:marRight w:val="0"/>
                  <w:marTop w:val="0"/>
                  <w:marBottom w:val="0"/>
                  <w:divBdr>
                    <w:top w:val="none" w:sz="0" w:space="0" w:color="auto"/>
                    <w:left w:val="none" w:sz="0" w:space="0" w:color="auto"/>
                    <w:bottom w:val="none" w:sz="0" w:space="0" w:color="auto"/>
                    <w:right w:val="none" w:sz="0" w:space="0" w:color="auto"/>
                  </w:divBdr>
                  <w:divsChild>
                    <w:div w:id="1738741501">
                      <w:marLeft w:val="0"/>
                      <w:marRight w:val="0"/>
                      <w:marTop w:val="0"/>
                      <w:marBottom w:val="0"/>
                      <w:divBdr>
                        <w:top w:val="none" w:sz="0" w:space="0" w:color="auto"/>
                        <w:left w:val="none" w:sz="0" w:space="0" w:color="auto"/>
                        <w:bottom w:val="none" w:sz="0" w:space="0" w:color="auto"/>
                        <w:right w:val="none" w:sz="0" w:space="0" w:color="auto"/>
                      </w:divBdr>
                    </w:div>
                  </w:divsChild>
                </w:div>
                <w:div w:id="44262179">
                  <w:marLeft w:val="0"/>
                  <w:marRight w:val="0"/>
                  <w:marTop w:val="0"/>
                  <w:marBottom w:val="0"/>
                  <w:divBdr>
                    <w:top w:val="none" w:sz="0" w:space="0" w:color="auto"/>
                    <w:left w:val="none" w:sz="0" w:space="0" w:color="auto"/>
                    <w:bottom w:val="none" w:sz="0" w:space="0" w:color="auto"/>
                    <w:right w:val="none" w:sz="0" w:space="0" w:color="auto"/>
                  </w:divBdr>
                  <w:divsChild>
                    <w:div w:id="284773455">
                      <w:marLeft w:val="0"/>
                      <w:marRight w:val="0"/>
                      <w:marTop w:val="0"/>
                      <w:marBottom w:val="0"/>
                      <w:divBdr>
                        <w:top w:val="none" w:sz="0" w:space="0" w:color="auto"/>
                        <w:left w:val="none" w:sz="0" w:space="0" w:color="auto"/>
                        <w:bottom w:val="none" w:sz="0" w:space="0" w:color="auto"/>
                        <w:right w:val="none" w:sz="0" w:space="0" w:color="auto"/>
                      </w:divBdr>
                    </w:div>
                  </w:divsChild>
                </w:div>
                <w:div w:id="68503747">
                  <w:marLeft w:val="0"/>
                  <w:marRight w:val="0"/>
                  <w:marTop w:val="0"/>
                  <w:marBottom w:val="0"/>
                  <w:divBdr>
                    <w:top w:val="none" w:sz="0" w:space="0" w:color="auto"/>
                    <w:left w:val="none" w:sz="0" w:space="0" w:color="auto"/>
                    <w:bottom w:val="none" w:sz="0" w:space="0" w:color="auto"/>
                    <w:right w:val="none" w:sz="0" w:space="0" w:color="auto"/>
                  </w:divBdr>
                  <w:divsChild>
                    <w:div w:id="1977753559">
                      <w:marLeft w:val="0"/>
                      <w:marRight w:val="0"/>
                      <w:marTop w:val="0"/>
                      <w:marBottom w:val="0"/>
                      <w:divBdr>
                        <w:top w:val="none" w:sz="0" w:space="0" w:color="auto"/>
                        <w:left w:val="none" w:sz="0" w:space="0" w:color="auto"/>
                        <w:bottom w:val="none" w:sz="0" w:space="0" w:color="auto"/>
                        <w:right w:val="none" w:sz="0" w:space="0" w:color="auto"/>
                      </w:divBdr>
                    </w:div>
                  </w:divsChild>
                </w:div>
                <w:div w:id="123281024">
                  <w:marLeft w:val="0"/>
                  <w:marRight w:val="0"/>
                  <w:marTop w:val="0"/>
                  <w:marBottom w:val="0"/>
                  <w:divBdr>
                    <w:top w:val="none" w:sz="0" w:space="0" w:color="auto"/>
                    <w:left w:val="none" w:sz="0" w:space="0" w:color="auto"/>
                    <w:bottom w:val="none" w:sz="0" w:space="0" w:color="auto"/>
                    <w:right w:val="none" w:sz="0" w:space="0" w:color="auto"/>
                  </w:divBdr>
                  <w:divsChild>
                    <w:div w:id="481652744">
                      <w:marLeft w:val="0"/>
                      <w:marRight w:val="0"/>
                      <w:marTop w:val="0"/>
                      <w:marBottom w:val="0"/>
                      <w:divBdr>
                        <w:top w:val="none" w:sz="0" w:space="0" w:color="auto"/>
                        <w:left w:val="none" w:sz="0" w:space="0" w:color="auto"/>
                        <w:bottom w:val="none" w:sz="0" w:space="0" w:color="auto"/>
                        <w:right w:val="none" w:sz="0" w:space="0" w:color="auto"/>
                      </w:divBdr>
                    </w:div>
                  </w:divsChild>
                </w:div>
                <w:div w:id="161237161">
                  <w:marLeft w:val="0"/>
                  <w:marRight w:val="0"/>
                  <w:marTop w:val="0"/>
                  <w:marBottom w:val="0"/>
                  <w:divBdr>
                    <w:top w:val="none" w:sz="0" w:space="0" w:color="auto"/>
                    <w:left w:val="none" w:sz="0" w:space="0" w:color="auto"/>
                    <w:bottom w:val="none" w:sz="0" w:space="0" w:color="auto"/>
                    <w:right w:val="none" w:sz="0" w:space="0" w:color="auto"/>
                  </w:divBdr>
                  <w:divsChild>
                    <w:div w:id="2051299995">
                      <w:marLeft w:val="0"/>
                      <w:marRight w:val="0"/>
                      <w:marTop w:val="0"/>
                      <w:marBottom w:val="0"/>
                      <w:divBdr>
                        <w:top w:val="none" w:sz="0" w:space="0" w:color="auto"/>
                        <w:left w:val="none" w:sz="0" w:space="0" w:color="auto"/>
                        <w:bottom w:val="none" w:sz="0" w:space="0" w:color="auto"/>
                        <w:right w:val="none" w:sz="0" w:space="0" w:color="auto"/>
                      </w:divBdr>
                    </w:div>
                  </w:divsChild>
                </w:div>
                <w:div w:id="166556800">
                  <w:marLeft w:val="0"/>
                  <w:marRight w:val="0"/>
                  <w:marTop w:val="0"/>
                  <w:marBottom w:val="0"/>
                  <w:divBdr>
                    <w:top w:val="none" w:sz="0" w:space="0" w:color="auto"/>
                    <w:left w:val="none" w:sz="0" w:space="0" w:color="auto"/>
                    <w:bottom w:val="none" w:sz="0" w:space="0" w:color="auto"/>
                    <w:right w:val="none" w:sz="0" w:space="0" w:color="auto"/>
                  </w:divBdr>
                  <w:divsChild>
                    <w:div w:id="29495601">
                      <w:marLeft w:val="0"/>
                      <w:marRight w:val="0"/>
                      <w:marTop w:val="0"/>
                      <w:marBottom w:val="0"/>
                      <w:divBdr>
                        <w:top w:val="none" w:sz="0" w:space="0" w:color="auto"/>
                        <w:left w:val="none" w:sz="0" w:space="0" w:color="auto"/>
                        <w:bottom w:val="none" w:sz="0" w:space="0" w:color="auto"/>
                        <w:right w:val="none" w:sz="0" w:space="0" w:color="auto"/>
                      </w:divBdr>
                    </w:div>
                  </w:divsChild>
                </w:div>
                <w:div w:id="173541426">
                  <w:marLeft w:val="0"/>
                  <w:marRight w:val="0"/>
                  <w:marTop w:val="0"/>
                  <w:marBottom w:val="0"/>
                  <w:divBdr>
                    <w:top w:val="none" w:sz="0" w:space="0" w:color="auto"/>
                    <w:left w:val="none" w:sz="0" w:space="0" w:color="auto"/>
                    <w:bottom w:val="none" w:sz="0" w:space="0" w:color="auto"/>
                    <w:right w:val="none" w:sz="0" w:space="0" w:color="auto"/>
                  </w:divBdr>
                  <w:divsChild>
                    <w:div w:id="311522189">
                      <w:marLeft w:val="0"/>
                      <w:marRight w:val="0"/>
                      <w:marTop w:val="0"/>
                      <w:marBottom w:val="0"/>
                      <w:divBdr>
                        <w:top w:val="none" w:sz="0" w:space="0" w:color="auto"/>
                        <w:left w:val="none" w:sz="0" w:space="0" w:color="auto"/>
                        <w:bottom w:val="none" w:sz="0" w:space="0" w:color="auto"/>
                        <w:right w:val="none" w:sz="0" w:space="0" w:color="auto"/>
                      </w:divBdr>
                    </w:div>
                  </w:divsChild>
                </w:div>
                <w:div w:id="198933385">
                  <w:marLeft w:val="0"/>
                  <w:marRight w:val="0"/>
                  <w:marTop w:val="0"/>
                  <w:marBottom w:val="0"/>
                  <w:divBdr>
                    <w:top w:val="none" w:sz="0" w:space="0" w:color="auto"/>
                    <w:left w:val="none" w:sz="0" w:space="0" w:color="auto"/>
                    <w:bottom w:val="none" w:sz="0" w:space="0" w:color="auto"/>
                    <w:right w:val="none" w:sz="0" w:space="0" w:color="auto"/>
                  </w:divBdr>
                  <w:divsChild>
                    <w:div w:id="706373049">
                      <w:marLeft w:val="0"/>
                      <w:marRight w:val="0"/>
                      <w:marTop w:val="0"/>
                      <w:marBottom w:val="0"/>
                      <w:divBdr>
                        <w:top w:val="none" w:sz="0" w:space="0" w:color="auto"/>
                        <w:left w:val="none" w:sz="0" w:space="0" w:color="auto"/>
                        <w:bottom w:val="none" w:sz="0" w:space="0" w:color="auto"/>
                        <w:right w:val="none" w:sz="0" w:space="0" w:color="auto"/>
                      </w:divBdr>
                    </w:div>
                  </w:divsChild>
                </w:div>
                <w:div w:id="248541782">
                  <w:marLeft w:val="0"/>
                  <w:marRight w:val="0"/>
                  <w:marTop w:val="0"/>
                  <w:marBottom w:val="0"/>
                  <w:divBdr>
                    <w:top w:val="none" w:sz="0" w:space="0" w:color="auto"/>
                    <w:left w:val="none" w:sz="0" w:space="0" w:color="auto"/>
                    <w:bottom w:val="none" w:sz="0" w:space="0" w:color="auto"/>
                    <w:right w:val="none" w:sz="0" w:space="0" w:color="auto"/>
                  </w:divBdr>
                  <w:divsChild>
                    <w:div w:id="1262881309">
                      <w:marLeft w:val="0"/>
                      <w:marRight w:val="0"/>
                      <w:marTop w:val="0"/>
                      <w:marBottom w:val="0"/>
                      <w:divBdr>
                        <w:top w:val="none" w:sz="0" w:space="0" w:color="auto"/>
                        <w:left w:val="none" w:sz="0" w:space="0" w:color="auto"/>
                        <w:bottom w:val="none" w:sz="0" w:space="0" w:color="auto"/>
                        <w:right w:val="none" w:sz="0" w:space="0" w:color="auto"/>
                      </w:divBdr>
                    </w:div>
                  </w:divsChild>
                </w:div>
                <w:div w:id="257373760">
                  <w:marLeft w:val="0"/>
                  <w:marRight w:val="0"/>
                  <w:marTop w:val="0"/>
                  <w:marBottom w:val="0"/>
                  <w:divBdr>
                    <w:top w:val="none" w:sz="0" w:space="0" w:color="auto"/>
                    <w:left w:val="none" w:sz="0" w:space="0" w:color="auto"/>
                    <w:bottom w:val="none" w:sz="0" w:space="0" w:color="auto"/>
                    <w:right w:val="none" w:sz="0" w:space="0" w:color="auto"/>
                  </w:divBdr>
                  <w:divsChild>
                    <w:div w:id="565804425">
                      <w:marLeft w:val="0"/>
                      <w:marRight w:val="0"/>
                      <w:marTop w:val="0"/>
                      <w:marBottom w:val="0"/>
                      <w:divBdr>
                        <w:top w:val="none" w:sz="0" w:space="0" w:color="auto"/>
                        <w:left w:val="none" w:sz="0" w:space="0" w:color="auto"/>
                        <w:bottom w:val="none" w:sz="0" w:space="0" w:color="auto"/>
                        <w:right w:val="none" w:sz="0" w:space="0" w:color="auto"/>
                      </w:divBdr>
                    </w:div>
                  </w:divsChild>
                </w:div>
                <w:div w:id="310906646">
                  <w:marLeft w:val="0"/>
                  <w:marRight w:val="0"/>
                  <w:marTop w:val="0"/>
                  <w:marBottom w:val="0"/>
                  <w:divBdr>
                    <w:top w:val="none" w:sz="0" w:space="0" w:color="auto"/>
                    <w:left w:val="none" w:sz="0" w:space="0" w:color="auto"/>
                    <w:bottom w:val="none" w:sz="0" w:space="0" w:color="auto"/>
                    <w:right w:val="none" w:sz="0" w:space="0" w:color="auto"/>
                  </w:divBdr>
                  <w:divsChild>
                    <w:div w:id="249242146">
                      <w:marLeft w:val="0"/>
                      <w:marRight w:val="0"/>
                      <w:marTop w:val="0"/>
                      <w:marBottom w:val="0"/>
                      <w:divBdr>
                        <w:top w:val="none" w:sz="0" w:space="0" w:color="auto"/>
                        <w:left w:val="none" w:sz="0" w:space="0" w:color="auto"/>
                        <w:bottom w:val="none" w:sz="0" w:space="0" w:color="auto"/>
                        <w:right w:val="none" w:sz="0" w:space="0" w:color="auto"/>
                      </w:divBdr>
                    </w:div>
                  </w:divsChild>
                </w:div>
                <w:div w:id="313529465">
                  <w:marLeft w:val="0"/>
                  <w:marRight w:val="0"/>
                  <w:marTop w:val="0"/>
                  <w:marBottom w:val="0"/>
                  <w:divBdr>
                    <w:top w:val="none" w:sz="0" w:space="0" w:color="auto"/>
                    <w:left w:val="none" w:sz="0" w:space="0" w:color="auto"/>
                    <w:bottom w:val="none" w:sz="0" w:space="0" w:color="auto"/>
                    <w:right w:val="none" w:sz="0" w:space="0" w:color="auto"/>
                  </w:divBdr>
                  <w:divsChild>
                    <w:div w:id="222521011">
                      <w:marLeft w:val="0"/>
                      <w:marRight w:val="0"/>
                      <w:marTop w:val="0"/>
                      <w:marBottom w:val="0"/>
                      <w:divBdr>
                        <w:top w:val="none" w:sz="0" w:space="0" w:color="auto"/>
                        <w:left w:val="none" w:sz="0" w:space="0" w:color="auto"/>
                        <w:bottom w:val="none" w:sz="0" w:space="0" w:color="auto"/>
                        <w:right w:val="none" w:sz="0" w:space="0" w:color="auto"/>
                      </w:divBdr>
                    </w:div>
                  </w:divsChild>
                </w:div>
                <w:div w:id="347412571">
                  <w:marLeft w:val="0"/>
                  <w:marRight w:val="0"/>
                  <w:marTop w:val="0"/>
                  <w:marBottom w:val="0"/>
                  <w:divBdr>
                    <w:top w:val="none" w:sz="0" w:space="0" w:color="auto"/>
                    <w:left w:val="none" w:sz="0" w:space="0" w:color="auto"/>
                    <w:bottom w:val="none" w:sz="0" w:space="0" w:color="auto"/>
                    <w:right w:val="none" w:sz="0" w:space="0" w:color="auto"/>
                  </w:divBdr>
                  <w:divsChild>
                    <w:div w:id="1203398507">
                      <w:marLeft w:val="0"/>
                      <w:marRight w:val="0"/>
                      <w:marTop w:val="0"/>
                      <w:marBottom w:val="0"/>
                      <w:divBdr>
                        <w:top w:val="none" w:sz="0" w:space="0" w:color="auto"/>
                        <w:left w:val="none" w:sz="0" w:space="0" w:color="auto"/>
                        <w:bottom w:val="none" w:sz="0" w:space="0" w:color="auto"/>
                        <w:right w:val="none" w:sz="0" w:space="0" w:color="auto"/>
                      </w:divBdr>
                    </w:div>
                  </w:divsChild>
                </w:div>
                <w:div w:id="353574677">
                  <w:marLeft w:val="0"/>
                  <w:marRight w:val="0"/>
                  <w:marTop w:val="0"/>
                  <w:marBottom w:val="0"/>
                  <w:divBdr>
                    <w:top w:val="none" w:sz="0" w:space="0" w:color="auto"/>
                    <w:left w:val="none" w:sz="0" w:space="0" w:color="auto"/>
                    <w:bottom w:val="none" w:sz="0" w:space="0" w:color="auto"/>
                    <w:right w:val="none" w:sz="0" w:space="0" w:color="auto"/>
                  </w:divBdr>
                  <w:divsChild>
                    <w:div w:id="2007510210">
                      <w:marLeft w:val="0"/>
                      <w:marRight w:val="0"/>
                      <w:marTop w:val="0"/>
                      <w:marBottom w:val="0"/>
                      <w:divBdr>
                        <w:top w:val="none" w:sz="0" w:space="0" w:color="auto"/>
                        <w:left w:val="none" w:sz="0" w:space="0" w:color="auto"/>
                        <w:bottom w:val="none" w:sz="0" w:space="0" w:color="auto"/>
                        <w:right w:val="none" w:sz="0" w:space="0" w:color="auto"/>
                      </w:divBdr>
                    </w:div>
                  </w:divsChild>
                </w:div>
                <w:div w:id="360666104">
                  <w:marLeft w:val="0"/>
                  <w:marRight w:val="0"/>
                  <w:marTop w:val="0"/>
                  <w:marBottom w:val="0"/>
                  <w:divBdr>
                    <w:top w:val="none" w:sz="0" w:space="0" w:color="auto"/>
                    <w:left w:val="none" w:sz="0" w:space="0" w:color="auto"/>
                    <w:bottom w:val="none" w:sz="0" w:space="0" w:color="auto"/>
                    <w:right w:val="none" w:sz="0" w:space="0" w:color="auto"/>
                  </w:divBdr>
                  <w:divsChild>
                    <w:div w:id="54281878">
                      <w:marLeft w:val="0"/>
                      <w:marRight w:val="0"/>
                      <w:marTop w:val="0"/>
                      <w:marBottom w:val="0"/>
                      <w:divBdr>
                        <w:top w:val="none" w:sz="0" w:space="0" w:color="auto"/>
                        <w:left w:val="none" w:sz="0" w:space="0" w:color="auto"/>
                        <w:bottom w:val="none" w:sz="0" w:space="0" w:color="auto"/>
                        <w:right w:val="none" w:sz="0" w:space="0" w:color="auto"/>
                      </w:divBdr>
                    </w:div>
                  </w:divsChild>
                </w:div>
                <w:div w:id="393890539">
                  <w:marLeft w:val="0"/>
                  <w:marRight w:val="0"/>
                  <w:marTop w:val="0"/>
                  <w:marBottom w:val="0"/>
                  <w:divBdr>
                    <w:top w:val="none" w:sz="0" w:space="0" w:color="auto"/>
                    <w:left w:val="none" w:sz="0" w:space="0" w:color="auto"/>
                    <w:bottom w:val="none" w:sz="0" w:space="0" w:color="auto"/>
                    <w:right w:val="none" w:sz="0" w:space="0" w:color="auto"/>
                  </w:divBdr>
                  <w:divsChild>
                    <w:div w:id="634408072">
                      <w:marLeft w:val="0"/>
                      <w:marRight w:val="0"/>
                      <w:marTop w:val="0"/>
                      <w:marBottom w:val="0"/>
                      <w:divBdr>
                        <w:top w:val="none" w:sz="0" w:space="0" w:color="auto"/>
                        <w:left w:val="none" w:sz="0" w:space="0" w:color="auto"/>
                        <w:bottom w:val="none" w:sz="0" w:space="0" w:color="auto"/>
                        <w:right w:val="none" w:sz="0" w:space="0" w:color="auto"/>
                      </w:divBdr>
                    </w:div>
                  </w:divsChild>
                </w:div>
                <w:div w:id="409621060">
                  <w:marLeft w:val="0"/>
                  <w:marRight w:val="0"/>
                  <w:marTop w:val="0"/>
                  <w:marBottom w:val="0"/>
                  <w:divBdr>
                    <w:top w:val="none" w:sz="0" w:space="0" w:color="auto"/>
                    <w:left w:val="none" w:sz="0" w:space="0" w:color="auto"/>
                    <w:bottom w:val="none" w:sz="0" w:space="0" w:color="auto"/>
                    <w:right w:val="none" w:sz="0" w:space="0" w:color="auto"/>
                  </w:divBdr>
                  <w:divsChild>
                    <w:div w:id="2078548548">
                      <w:marLeft w:val="0"/>
                      <w:marRight w:val="0"/>
                      <w:marTop w:val="0"/>
                      <w:marBottom w:val="0"/>
                      <w:divBdr>
                        <w:top w:val="none" w:sz="0" w:space="0" w:color="auto"/>
                        <w:left w:val="none" w:sz="0" w:space="0" w:color="auto"/>
                        <w:bottom w:val="none" w:sz="0" w:space="0" w:color="auto"/>
                        <w:right w:val="none" w:sz="0" w:space="0" w:color="auto"/>
                      </w:divBdr>
                    </w:div>
                  </w:divsChild>
                </w:div>
                <w:div w:id="435561480">
                  <w:marLeft w:val="0"/>
                  <w:marRight w:val="0"/>
                  <w:marTop w:val="0"/>
                  <w:marBottom w:val="0"/>
                  <w:divBdr>
                    <w:top w:val="none" w:sz="0" w:space="0" w:color="auto"/>
                    <w:left w:val="none" w:sz="0" w:space="0" w:color="auto"/>
                    <w:bottom w:val="none" w:sz="0" w:space="0" w:color="auto"/>
                    <w:right w:val="none" w:sz="0" w:space="0" w:color="auto"/>
                  </w:divBdr>
                  <w:divsChild>
                    <w:div w:id="1345127568">
                      <w:marLeft w:val="0"/>
                      <w:marRight w:val="0"/>
                      <w:marTop w:val="0"/>
                      <w:marBottom w:val="0"/>
                      <w:divBdr>
                        <w:top w:val="none" w:sz="0" w:space="0" w:color="auto"/>
                        <w:left w:val="none" w:sz="0" w:space="0" w:color="auto"/>
                        <w:bottom w:val="none" w:sz="0" w:space="0" w:color="auto"/>
                        <w:right w:val="none" w:sz="0" w:space="0" w:color="auto"/>
                      </w:divBdr>
                    </w:div>
                  </w:divsChild>
                </w:div>
                <w:div w:id="454063339">
                  <w:marLeft w:val="0"/>
                  <w:marRight w:val="0"/>
                  <w:marTop w:val="0"/>
                  <w:marBottom w:val="0"/>
                  <w:divBdr>
                    <w:top w:val="none" w:sz="0" w:space="0" w:color="auto"/>
                    <w:left w:val="none" w:sz="0" w:space="0" w:color="auto"/>
                    <w:bottom w:val="none" w:sz="0" w:space="0" w:color="auto"/>
                    <w:right w:val="none" w:sz="0" w:space="0" w:color="auto"/>
                  </w:divBdr>
                  <w:divsChild>
                    <w:div w:id="510414237">
                      <w:marLeft w:val="0"/>
                      <w:marRight w:val="0"/>
                      <w:marTop w:val="0"/>
                      <w:marBottom w:val="0"/>
                      <w:divBdr>
                        <w:top w:val="none" w:sz="0" w:space="0" w:color="auto"/>
                        <w:left w:val="none" w:sz="0" w:space="0" w:color="auto"/>
                        <w:bottom w:val="none" w:sz="0" w:space="0" w:color="auto"/>
                        <w:right w:val="none" w:sz="0" w:space="0" w:color="auto"/>
                      </w:divBdr>
                    </w:div>
                  </w:divsChild>
                </w:div>
                <w:div w:id="456992986">
                  <w:marLeft w:val="0"/>
                  <w:marRight w:val="0"/>
                  <w:marTop w:val="0"/>
                  <w:marBottom w:val="0"/>
                  <w:divBdr>
                    <w:top w:val="none" w:sz="0" w:space="0" w:color="auto"/>
                    <w:left w:val="none" w:sz="0" w:space="0" w:color="auto"/>
                    <w:bottom w:val="none" w:sz="0" w:space="0" w:color="auto"/>
                    <w:right w:val="none" w:sz="0" w:space="0" w:color="auto"/>
                  </w:divBdr>
                  <w:divsChild>
                    <w:div w:id="1192955422">
                      <w:marLeft w:val="0"/>
                      <w:marRight w:val="0"/>
                      <w:marTop w:val="0"/>
                      <w:marBottom w:val="0"/>
                      <w:divBdr>
                        <w:top w:val="none" w:sz="0" w:space="0" w:color="auto"/>
                        <w:left w:val="none" w:sz="0" w:space="0" w:color="auto"/>
                        <w:bottom w:val="none" w:sz="0" w:space="0" w:color="auto"/>
                        <w:right w:val="none" w:sz="0" w:space="0" w:color="auto"/>
                      </w:divBdr>
                    </w:div>
                  </w:divsChild>
                </w:div>
                <w:div w:id="467360423">
                  <w:marLeft w:val="0"/>
                  <w:marRight w:val="0"/>
                  <w:marTop w:val="0"/>
                  <w:marBottom w:val="0"/>
                  <w:divBdr>
                    <w:top w:val="none" w:sz="0" w:space="0" w:color="auto"/>
                    <w:left w:val="none" w:sz="0" w:space="0" w:color="auto"/>
                    <w:bottom w:val="none" w:sz="0" w:space="0" w:color="auto"/>
                    <w:right w:val="none" w:sz="0" w:space="0" w:color="auto"/>
                  </w:divBdr>
                  <w:divsChild>
                    <w:div w:id="1266112278">
                      <w:marLeft w:val="0"/>
                      <w:marRight w:val="0"/>
                      <w:marTop w:val="0"/>
                      <w:marBottom w:val="0"/>
                      <w:divBdr>
                        <w:top w:val="none" w:sz="0" w:space="0" w:color="auto"/>
                        <w:left w:val="none" w:sz="0" w:space="0" w:color="auto"/>
                        <w:bottom w:val="none" w:sz="0" w:space="0" w:color="auto"/>
                        <w:right w:val="none" w:sz="0" w:space="0" w:color="auto"/>
                      </w:divBdr>
                    </w:div>
                  </w:divsChild>
                </w:div>
                <w:div w:id="508787732">
                  <w:marLeft w:val="0"/>
                  <w:marRight w:val="0"/>
                  <w:marTop w:val="0"/>
                  <w:marBottom w:val="0"/>
                  <w:divBdr>
                    <w:top w:val="none" w:sz="0" w:space="0" w:color="auto"/>
                    <w:left w:val="none" w:sz="0" w:space="0" w:color="auto"/>
                    <w:bottom w:val="none" w:sz="0" w:space="0" w:color="auto"/>
                    <w:right w:val="none" w:sz="0" w:space="0" w:color="auto"/>
                  </w:divBdr>
                  <w:divsChild>
                    <w:div w:id="1504860213">
                      <w:marLeft w:val="0"/>
                      <w:marRight w:val="0"/>
                      <w:marTop w:val="0"/>
                      <w:marBottom w:val="0"/>
                      <w:divBdr>
                        <w:top w:val="none" w:sz="0" w:space="0" w:color="auto"/>
                        <w:left w:val="none" w:sz="0" w:space="0" w:color="auto"/>
                        <w:bottom w:val="none" w:sz="0" w:space="0" w:color="auto"/>
                        <w:right w:val="none" w:sz="0" w:space="0" w:color="auto"/>
                      </w:divBdr>
                    </w:div>
                  </w:divsChild>
                </w:div>
                <w:div w:id="520902256">
                  <w:marLeft w:val="0"/>
                  <w:marRight w:val="0"/>
                  <w:marTop w:val="0"/>
                  <w:marBottom w:val="0"/>
                  <w:divBdr>
                    <w:top w:val="none" w:sz="0" w:space="0" w:color="auto"/>
                    <w:left w:val="none" w:sz="0" w:space="0" w:color="auto"/>
                    <w:bottom w:val="none" w:sz="0" w:space="0" w:color="auto"/>
                    <w:right w:val="none" w:sz="0" w:space="0" w:color="auto"/>
                  </w:divBdr>
                  <w:divsChild>
                    <w:div w:id="414014918">
                      <w:marLeft w:val="0"/>
                      <w:marRight w:val="0"/>
                      <w:marTop w:val="0"/>
                      <w:marBottom w:val="0"/>
                      <w:divBdr>
                        <w:top w:val="none" w:sz="0" w:space="0" w:color="auto"/>
                        <w:left w:val="none" w:sz="0" w:space="0" w:color="auto"/>
                        <w:bottom w:val="none" w:sz="0" w:space="0" w:color="auto"/>
                        <w:right w:val="none" w:sz="0" w:space="0" w:color="auto"/>
                      </w:divBdr>
                    </w:div>
                  </w:divsChild>
                </w:div>
                <w:div w:id="577060919">
                  <w:marLeft w:val="0"/>
                  <w:marRight w:val="0"/>
                  <w:marTop w:val="0"/>
                  <w:marBottom w:val="0"/>
                  <w:divBdr>
                    <w:top w:val="none" w:sz="0" w:space="0" w:color="auto"/>
                    <w:left w:val="none" w:sz="0" w:space="0" w:color="auto"/>
                    <w:bottom w:val="none" w:sz="0" w:space="0" w:color="auto"/>
                    <w:right w:val="none" w:sz="0" w:space="0" w:color="auto"/>
                  </w:divBdr>
                  <w:divsChild>
                    <w:div w:id="733510699">
                      <w:marLeft w:val="0"/>
                      <w:marRight w:val="0"/>
                      <w:marTop w:val="0"/>
                      <w:marBottom w:val="0"/>
                      <w:divBdr>
                        <w:top w:val="none" w:sz="0" w:space="0" w:color="auto"/>
                        <w:left w:val="none" w:sz="0" w:space="0" w:color="auto"/>
                        <w:bottom w:val="none" w:sz="0" w:space="0" w:color="auto"/>
                        <w:right w:val="none" w:sz="0" w:space="0" w:color="auto"/>
                      </w:divBdr>
                    </w:div>
                  </w:divsChild>
                </w:div>
                <w:div w:id="633022576">
                  <w:marLeft w:val="0"/>
                  <w:marRight w:val="0"/>
                  <w:marTop w:val="0"/>
                  <w:marBottom w:val="0"/>
                  <w:divBdr>
                    <w:top w:val="none" w:sz="0" w:space="0" w:color="auto"/>
                    <w:left w:val="none" w:sz="0" w:space="0" w:color="auto"/>
                    <w:bottom w:val="none" w:sz="0" w:space="0" w:color="auto"/>
                    <w:right w:val="none" w:sz="0" w:space="0" w:color="auto"/>
                  </w:divBdr>
                  <w:divsChild>
                    <w:div w:id="2080320950">
                      <w:marLeft w:val="0"/>
                      <w:marRight w:val="0"/>
                      <w:marTop w:val="0"/>
                      <w:marBottom w:val="0"/>
                      <w:divBdr>
                        <w:top w:val="none" w:sz="0" w:space="0" w:color="auto"/>
                        <w:left w:val="none" w:sz="0" w:space="0" w:color="auto"/>
                        <w:bottom w:val="none" w:sz="0" w:space="0" w:color="auto"/>
                        <w:right w:val="none" w:sz="0" w:space="0" w:color="auto"/>
                      </w:divBdr>
                    </w:div>
                  </w:divsChild>
                </w:div>
                <w:div w:id="646859818">
                  <w:marLeft w:val="0"/>
                  <w:marRight w:val="0"/>
                  <w:marTop w:val="0"/>
                  <w:marBottom w:val="0"/>
                  <w:divBdr>
                    <w:top w:val="none" w:sz="0" w:space="0" w:color="auto"/>
                    <w:left w:val="none" w:sz="0" w:space="0" w:color="auto"/>
                    <w:bottom w:val="none" w:sz="0" w:space="0" w:color="auto"/>
                    <w:right w:val="none" w:sz="0" w:space="0" w:color="auto"/>
                  </w:divBdr>
                  <w:divsChild>
                    <w:div w:id="1829903576">
                      <w:marLeft w:val="0"/>
                      <w:marRight w:val="0"/>
                      <w:marTop w:val="0"/>
                      <w:marBottom w:val="0"/>
                      <w:divBdr>
                        <w:top w:val="none" w:sz="0" w:space="0" w:color="auto"/>
                        <w:left w:val="none" w:sz="0" w:space="0" w:color="auto"/>
                        <w:bottom w:val="none" w:sz="0" w:space="0" w:color="auto"/>
                        <w:right w:val="none" w:sz="0" w:space="0" w:color="auto"/>
                      </w:divBdr>
                    </w:div>
                  </w:divsChild>
                </w:div>
                <w:div w:id="684208906">
                  <w:marLeft w:val="0"/>
                  <w:marRight w:val="0"/>
                  <w:marTop w:val="0"/>
                  <w:marBottom w:val="0"/>
                  <w:divBdr>
                    <w:top w:val="none" w:sz="0" w:space="0" w:color="auto"/>
                    <w:left w:val="none" w:sz="0" w:space="0" w:color="auto"/>
                    <w:bottom w:val="none" w:sz="0" w:space="0" w:color="auto"/>
                    <w:right w:val="none" w:sz="0" w:space="0" w:color="auto"/>
                  </w:divBdr>
                  <w:divsChild>
                    <w:div w:id="441918147">
                      <w:marLeft w:val="0"/>
                      <w:marRight w:val="0"/>
                      <w:marTop w:val="0"/>
                      <w:marBottom w:val="0"/>
                      <w:divBdr>
                        <w:top w:val="none" w:sz="0" w:space="0" w:color="auto"/>
                        <w:left w:val="none" w:sz="0" w:space="0" w:color="auto"/>
                        <w:bottom w:val="none" w:sz="0" w:space="0" w:color="auto"/>
                        <w:right w:val="none" w:sz="0" w:space="0" w:color="auto"/>
                      </w:divBdr>
                    </w:div>
                  </w:divsChild>
                </w:div>
                <w:div w:id="691538177">
                  <w:marLeft w:val="0"/>
                  <w:marRight w:val="0"/>
                  <w:marTop w:val="0"/>
                  <w:marBottom w:val="0"/>
                  <w:divBdr>
                    <w:top w:val="none" w:sz="0" w:space="0" w:color="auto"/>
                    <w:left w:val="none" w:sz="0" w:space="0" w:color="auto"/>
                    <w:bottom w:val="none" w:sz="0" w:space="0" w:color="auto"/>
                    <w:right w:val="none" w:sz="0" w:space="0" w:color="auto"/>
                  </w:divBdr>
                  <w:divsChild>
                    <w:div w:id="1297293842">
                      <w:marLeft w:val="0"/>
                      <w:marRight w:val="0"/>
                      <w:marTop w:val="0"/>
                      <w:marBottom w:val="0"/>
                      <w:divBdr>
                        <w:top w:val="none" w:sz="0" w:space="0" w:color="auto"/>
                        <w:left w:val="none" w:sz="0" w:space="0" w:color="auto"/>
                        <w:bottom w:val="none" w:sz="0" w:space="0" w:color="auto"/>
                        <w:right w:val="none" w:sz="0" w:space="0" w:color="auto"/>
                      </w:divBdr>
                    </w:div>
                  </w:divsChild>
                </w:div>
                <w:div w:id="711460593">
                  <w:marLeft w:val="0"/>
                  <w:marRight w:val="0"/>
                  <w:marTop w:val="0"/>
                  <w:marBottom w:val="0"/>
                  <w:divBdr>
                    <w:top w:val="none" w:sz="0" w:space="0" w:color="auto"/>
                    <w:left w:val="none" w:sz="0" w:space="0" w:color="auto"/>
                    <w:bottom w:val="none" w:sz="0" w:space="0" w:color="auto"/>
                    <w:right w:val="none" w:sz="0" w:space="0" w:color="auto"/>
                  </w:divBdr>
                  <w:divsChild>
                    <w:div w:id="788548447">
                      <w:marLeft w:val="0"/>
                      <w:marRight w:val="0"/>
                      <w:marTop w:val="0"/>
                      <w:marBottom w:val="0"/>
                      <w:divBdr>
                        <w:top w:val="none" w:sz="0" w:space="0" w:color="auto"/>
                        <w:left w:val="none" w:sz="0" w:space="0" w:color="auto"/>
                        <w:bottom w:val="none" w:sz="0" w:space="0" w:color="auto"/>
                        <w:right w:val="none" w:sz="0" w:space="0" w:color="auto"/>
                      </w:divBdr>
                    </w:div>
                  </w:divsChild>
                </w:div>
                <w:div w:id="783186211">
                  <w:marLeft w:val="0"/>
                  <w:marRight w:val="0"/>
                  <w:marTop w:val="0"/>
                  <w:marBottom w:val="0"/>
                  <w:divBdr>
                    <w:top w:val="none" w:sz="0" w:space="0" w:color="auto"/>
                    <w:left w:val="none" w:sz="0" w:space="0" w:color="auto"/>
                    <w:bottom w:val="none" w:sz="0" w:space="0" w:color="auto"/>
                    <w:right w:val="none" w:sz="0" w:space="0" w:color="auto"/>
                  </w:divBdr>
                  <w:divsChild>
                    <w:div w:id="740296222">
                      <w:marLeft w:val="0"/>
                      <w:marRight w:val="0"/>
                      <w:marTop w:val="0"/>
                      <w:marBottom w:val="0"/>
                      <w:divBdr>
                        <w:top w:val="none" w:sz="0" w:space="0" w:color="auto"/>
                        <w:left w:val="none" w:sz="0" w:space="0" w:color="auto"/>
                        <w:bottom w:val="none" w:sz="0" w:space="0" w:color="auto"/>
                        <w:right w:val="none" w:sz="0" w:space="0" w:color="auto"/>
                      </w:divBdr>
                    </w:div>
                  </w:divsChild>
                </w:div>
                <w:div w:id="784543751">
                  <w:marLeft w:val="0"/>
                  <w:marRight w:val="0"/>
                  <w:marTop w:val="0"/>
                  <w:marBottom w:val="0"/>
                  <w:divBdr>
                    <w:top w:val="none" w:sz="0" w:space="0" w:color="auto"/>
                    <w:left w:val="none" w:sz="0" w:space="0" w:color="auto"/>
                    <w:bottom w:val="none" w:sz="0" w:space="0" w:color="auto"/>
                    <w:right w:val="none" w:sz="0" w:space="0" w:color="auto"/>
                  </w:divBdr>
                  <w:divsChild>
                    <w:div w:id="1057122983">
                      <w:marLeft w:val="0"/>
                      <w:marRight w:val="0"/>
                      <w:marTop w:val="0"/>
                      <w:marBottom w:val="0"/>
                      <w:divBdr>
                        <w:top w:val="none" w:sz="0" w:space="0" w:color="auto"/>
                        <w:left w:val="none" w:sz="0" w:space="0" w:color="auto"/>
                        <w:bottom w:val="none" w:sz="0" w:space="0" w:color="auto"/>
                        <w:right w:val="none" w:sz="0" w:space="0" w:color="auto"/>
                      </w:divBdr>
                    </w:div>
                  </w:divsChild>
                </w:div>
                <w:div w:id="784808062">
                  <w:marLeft w:val="0"/>
                  <w:marRight w:val="0"/>
                  <w:marTop w:val="0"/>
                  <w:marBottom w:val="0"/>
                  <w:divBdr>
                    <w:top w:val="none" w:sz="0" w:space="0" w:color="auto"/>
                    <w:left w:val="none" w:sz="0" w:space="0" w:color="auto"/>
                    <w:bottom w:val="none" w:sz="0" w:space="0" w:color="auto"/>
                    <w:right w:val="none" w:sz="0" w:space="0" w:color="auto"/>
                  </w:divBdr>
                  <w:divsChild>
                    <w:div w:id="1983924574">
                      <w:marLeft w:val="0"/>
                      <w:marRight w:val="0"/>
                      <w:marTop w:val="0"/>
                      <w:marBottom w:val="0"/>
                      <w:divBdr>
                        <w:top w:val="none" w:sz="0" w:space="0" w:color="auto"/>
                        <w:left w:val="none" w:sz="0" w:space="0" w:color="auto"/>
                        <w:bottom w:val="none" w:sz="0" w:space="0" w:color="auto"/>
                        <w:right w:val="none" w:sz="0" w:space="0" w:color="auto"/>
                      </w:divBdr>
                    </w:div>
                  </w:divsChild>
                </w:div>
                <w:div w:id="805047907">
                  <w:marLeft w:val="0"/>
                  <w:marRight w:val="0"/>
                  <w:marTop w:val="0"/>
                  <w:marBottom w:val="0"/>
                  <w:divBdr>
                    <w:top w:val="none" w:sz="0" w:space="0" w:color="auto"/>
                    <w:left w:val="none" w:sz="0" w:space="0" w:color="auto"/>
                    <w:bottom w:val="none" w:sz="0" w:space="0" w:color="auto"/>
                    <w:right w:val="none" w:sz="0" w:space="0" w:color="auto"/>
                  </w:divBdr>
                  <w:divsChild>
                    <w:div w:id="1782913003">
                      <w:marLeft w:val="0"/>
                      <w:marRight w:val="0"/>
                      <w:marTop w:val="0"/>
                      <w:marBottom w:val="0"/>
                      <w:divBdr>
                        <w:top w:val="none" w:sz="0" w:space="0" w:color="auto"/>
                        <w:left w:val="none" w:sz="0" w:space="0" w:color="auto"/>
                        <w:bottom w:val="none" w:sz="0" w:space="0" w:color="auto"/>
                        <w:right w:val="none" w:sz="0" w:space="0" w:color="auto"/>
                      </w:divBdr>
                    </w:div>
                  </w:divsChild>
                </w:div>
                <w:div w:id="849562735">
                  <w:marLeft w:val="0"/>
                  <w:marRight w:val="0"/>
                  <w:marTop w:val="0"/>
                  <w:marBottom w:val="0"/>
                  <w:divBdr>
                    <w:top w:val="none" w:sz="0" w:space="0" w:color="auto"/>
                    <w:left w:val="none" w:sz="0" w:space="0" w:color="auto"/>
                    <w:bottom w:val="none" w:sz="0" w:space="0" w:color="auto"/>
                    <w:right w:val="none" w:sz="0" w:space="0" w:color="auto"/>
                  </w:divBdr>
                  <w:divsChild>
                    <w:div w:id="2146001668">
                      <w:marLeft w:val="0"/>
                      <w:marRight w:val="0"/>
                      <w:marTop w:val="0"/>
                      <w:marBottom w:val="0"/>
                      <w:divBdr>
                        <w:top w:val="none" w:sz="0" w:space="0" w:color="auto"/>
                        <w:left w:val="none" w:sz="0" w:space="0" w:color="auto"/>
                        <w:bottom w:val="none" w:sz="0" w:space="0" w:color="auto"/>
                        <w:right w:val="none" w:sz="0" w:space="0" w:color="auto"/>
                      </w:divBdr>
                    </w:div>
                  </w:divsChild>
                </w:div>
                <w:div w:id="873233312">
                  <w:marLeft w:val="0"/>
                  <w:marRight w:val="0"/>
                  <w:marTop w:val="0"/>
                  <w:marBottom w:val="0"/>
                  <w:divBdr>
                    <w:top w:val="none" w:sz="0" w:space="0" w:color="auto"/>
                    <w:left w:val="none" w:sz="0" w:space="0" w:color="auto"/>
                    <w:bottom w:val="none" w:sz="0" w:space="0" w:color="auto"/>
                    <w:right w:val="none" w:sz="0" w:space="0" w:color="auto"/>
                  </w:divBdr>
                  <w:divsChild>
                    <w:div w:id="1654604956">
                      <w:marLeft w:val="0"/>
                      <w:marRight w:val="0"/>
                      <w:marTop w:val="0"/>
                      <w:marBottom w:val="0"/>
                      <w:divBdr>
                        <w:top w:val="none" w:sz="0" w:space="0" w:color="auto"/>
                        <w:left w:val="none" w:sz="0" w:space="0" w:color="auto"/>
                        <w:bottom w:val="none" w:sz="0" w:space="0" w:color="auto"/>
                        <w:right w:val="none" w:sz="0" w:space="0" w:color="auto"/>
                      </w:divBdr>
                    </w:div>
                  </w:divsChild>
                </w:div>
                <w:div w:id="874149635">
                  <w:marLeft w:val="0"/>
                  <w:marRight w:val="0"/>
                  <w:marTop w:val="0"/>
                  <w:marBottom w:val="0"/>
                  <w:divBdr>
                    <w:top w:val="none" w:sz="0" w:space="0" w:color="auto"/>
                    <w:left w:val="none" w:sz="0" w:space="0" w:color="auto"/>
                    <w:bottom w:val="none" w:sz="0" w:space="0" w:color="auto"/>
                    <w:right w:val="none" w:sz="0" w:space="0" w:color="auto"/>
                  </w:divBdr>
                  <w:divsChild>
                    <w:div w:id="194316987">
                      <w:marLeft w:val="0"/>
                      <w:marRight w:val="0"/>
                      <w:marTop w:val="0"/>
                      <w:marBottom w:val="0"/>
                      <w:divBdr>
                        <w:top w:val="none" w:sz="0" w:space="0" w:color="auto"/>
                        <w:left w:val="none" w:sz="0" w:space="0" w:color="auto"/>
                        <w:bottom w:val="none" w:sz="0" w:space="0" w:color="auto"/>
                        <w:right w:val="none" w:sz="0" w:space="0" w:color="auto"/>
                      </w:divBdr>
                    </w:div>
                  </w:divsChild>
                </w:div>
                <w:div w:id="933054170">
                  <w:marLeft w:val="0"/>
                  <w:marRight w:val="0"/>
                  <w:marTop w:val="0"/>
                  <w:marBottom w:val="0"/>
                  <w:divBdr>
                    <w:top w:val="none" w:sz="0" w:space="0" w:color="auto"/>
                    <w:left w:val="none" w:sz="0" w:space="0" w:color="auto"/>
                    <w:bottom w:val="none" w:sz="0" w:space="0" w:color="auto"/>
                    <w:right w:val="none" w:sz="0" w:space="0" w:color="auto"/>
                  </w:divBdr>
                  <w:divsChild>
                    <w:div w:id="437455704">
                      <w:marLeft w:val="0"/>
                      <w:marRight w:val="0"/>
                      <w:marTop w:val="0"/>
                      <w:marBottom w:val="0"/>
                      <w:divBdr>
                        <w:top w:val="none" w:sz="0" w:space="0" w:color="auto"/>
                        <w:left w:val="none" w:sz="0" w:space="0" w:color="auto"/>
                        <w:bottom w:val="none" w:sz="0" w:space="0" w:color="auto"/>
                        <w:right w:val="none" w:sz="0" w:space="0" w:color="auto"/>
                      </w:divBdr>
                    </w:div>
                  </w:divsChild>
                </w:div>
                <w:div w:id="934871607">
                  <w:marLeft w:val="0"/>
                  <w:marRight w:val="0"/>
                  <w:marTop w:val="0"/>
                  <w:marBottom w:val="0"/>
                  <w:divBdr>
                    <w:top w:val="none" w:sz="0" w:space="0" w:color="auto"/>
                    <w:left w:val="none" w:sz="0" w:space="0" w:color="auto"/>
                    <w:bottom w:val="none" w:sz="0" w:space="0" w:color="auto"/>
                    <w:right w:val="none" w:sz="0" w:space="0" w:color="auto"/>
                  </w:divBdr>
                  <w:divsChild>
                    <w:div w:id="364988012">
                      <w:marLeft w:val="0"/>
                      <w:marRight w:val="0"/>
                      <w:marTop w:val="0"/>
                      <w:marBottom w:val="0"/>
                      <w:divBdr>
                        <w:top w:val="none" w:sz="0" w:space="0" w:color="auto"/>
                        <w:left w:val="none" w:sz="0" w:space="0" w:color="auto"/>
                        <w:bottom w:val="none" w:sz="0" w:space="0" w:color="auto"/>
                        <w:right w:val="none" w:sz="0" w:space="0" w:color="auto"/>
                      </w:divBdr>
                    </w:div>
                  </w:divsChild>
                </w:div>
                <w:div w:id="946935335">
                  <w:marLeft w:val="0"/>
                  <w:marRight w:val="0"/>
                  <w:marTop w:val="0"/>
                  <w:marBottom w:val="0"/>
                  <w:divBdr>
                    <w:top w:val="none" w:sz="0" w:space="0" w:color="auto"/>
                    <w:left w:val="none" w:sz="0" w:space="0" w:color="auto"/>
                    <w:bottom w:val="none" w:sz="0" w:space="0" w:color="auto"/>
                    <w:right w:val="none" w:sz="0" w:space="0" w:color="auto"/>
                  </w:divBdr>
                  <w:divsChild>
                    <w:div w:id="1651134841">
                      <w:marLeft w:val="0"/>
                      <w:marRight w:val="0"/>
                      <w:marTop w:val="0"/>
                      <w:marBottom w:val="0"/>
                      <w:divBdr>
                        <w:top w:val="none" w:sz="0" w:space="0" w:color="auto"/>
                        <w:left w:val="none" w:sz="0" w:space="0" w:color="auto"/>
                        <w:bottom w:val="none" w:sz="0" w:space="0" w:color="auto"/>
                        <w:right w:val="none" w:sz="0" w:space="0" w:color="auto"/>
                      </w:divBdr>
                    </w:div>
                  </w:divsChild>
                </w:div>
                <w:div w:id="952711545">
                  <w:marLeft w:val="0"/>
                  <w:marRight w:val="0"/>
                  <w:marTop w:val="0"/>
                  <w:marBottom w:val="0"/>
                  <w:divBdr>
                    <w:top w:val="none" w:sz="0" w:space="0" w:color="auto"/>
                    <w:left w:val="none" w:sz="0" w:space="0" w:color="auto"/>
                    <w:bottom w:val="none" w:sz="0" w:space="0" w:color="auto"/>
                    <w:right w:val="none" w:sz="0" w:space="0" w:color="auto"/>
                  </w:divBdr>
                  <w:divsChild>
                    <w:div w:id="1833371073">
                      <w:marLeft w:val="0"/>
                      <w:marRight w:val="0"/>
                      <w:marTop w:val="0"/>
                      <w:marBottom w:val="0"/>
                      <w:divBdr>
                        <w:top w:val="none" w:sz="0" w:space="0" w:color="auto"/>
                        <w:left w:val="none" w:sz="0" w:space="0" w:color="auto"/>
                        <w:bottom w:val="none" w:sz="0" w:space="0" w:color="auto"/>
                        <w:right w:val="none" w:sz="0" w:space="0" w:color="auto"/>
                      </w:divBdr>
                    </w:div>
                  </w:divsChild>
                </w:div>
                <w:div w:id="959998302">
                  <w:marLeft w:val="0"/>
                  <w:marRight w:val="0"/>
                  <w:marTop w:val="0"/>
                  <w:marBottom w:val="0"/>
                  <w:divBdr>
                    <w:top w:val="none" w:sz="0" w:space="0" w:color="auto"/>
                    <w:left w:val="none" w:sz="0" w:space="0" w:color="auto"/>
                    <w:bottom w:val="none" w:sz="0" w:space="0" w:color="auto"/>
                    <w:right w:val="none" w:sz="0" w:space="0" w:color="auto"/>
                  </w:divBdr>
                  <w:divsChild>
                    <w:div w:id="1120993385">
                      <w:marLeft w:val="0"/>
                      <w:marRight w:val="0"/>
                      <w:marTop w:val="0"/>
                      <w:marBottom w:val="0"/>
                      <w:divBdr>
                        <w:top w:val="none" w:sz="0" w:space="0" w:color="auto"/>
                        <w:left w:val="none" w:sz="0" w:space="0" w:color="auto"/>
                        <w:bottom w:val="none" w:sz="0" w:space="0" w:color="auto"/>
                        <w:right w:val="none" w:sz="0" w:space="0" w:color="auto"/>
                      </w:divBdr>
                    </w:div>
                  </w:divsChild>
                </w:div>
                <w:div w:id="1049452010">
                  <w:marLeft w:val="0"/>
                  <w:marRight w:val="0"/>
                  <w:marTop w:val="0"/>
                  <w:marBottom w:val="0"/>
                  <w:divBdr>
                    <w:top w:val="none" w:sz="0" w:space="0" w:color="auto"/>
                    <w:left w:val="none" w:sz="0" w:space="0" w:color="auto"/>
                    <w:bottom w:val="none" w:sz="0" w:space="0" w:color="auto"/>
                    <w:right w:val="none" w:sz="0" w:space="0" w:color="auto"/>
                  </w:divBdr>
                  <w:divsChild>
                    <w:div w:id="1365515758">
                      <w:marLeft w:val="0"/>
                      <w:marRight w:val="0"/>
                      <w:marTop w:val="0"/>
                      <w:marBottom w:val="0"/>
                      <w:divBdr>
                        <w:top w:val="none" w:sz="0" w:space="0" w:color="auto"/>
                        <w:left w:val="none" w:sz="0" w:space="0" w:color="auto"/>
                        <w:bottom w:val="none" w:sz="0" w:space="0" w:color="auto"/>
                        <w:right w:val="none" w:sz="0" w:space="0" w:color="auto"/>
                      </w:divBdr>
                    </w:div>
                  </w:divsChild>
                </w:div>
                <w:div w:id="1053037421">
                  <w:marLeft w:val="0"/>
                  <w:marRight w:val="0"/>
                  <w:marTop w:val="0"/>
                  <w:marBottom w:val="0"/>
                  <w:divBdr>
                    <w:top w:val="none" w:sz="0" w:space="0" w:color="auto"/>
                    <w:left w:val="none" w:sz="0" w:space="0" w:color="auto"/>
                    <w:bottom w:val="none" w:sz="0" w:space="0" w:color="auto"/>
                    <w:right w:val="none" w:sz="0" w:space="0" w:color="auto"/>
                  </w:divBdr>
                  <w:divsChild>
                    <w:div w:id="2139954096">
                      <w:marLeft w:val="0"/>
                      <w:marRight w:val="0"/>
                      <w:marTop w:val="0"/>
                      <w:marBottom w:val="0"/>
                      <w:divBdr>
                        <w:top w:val="none" w:sz="0" w:space="0" w:color="auto"/>
                        <w:left w:val="none" w:sz="0" w:space="0" w:color="auto"/>
                        <w:bottom w:val="none" w:sz="0" w:space="0" w:color="auto"/>
                        <w:right w:val="none" w:sz="0" w:space="0" w:color="auto"/>
                      </w:divBdr>
                    </w:div>
                  </w:divsChild>
                </w:div>
                <w:div w:id="1154024529">
                  <w:marLeft w:val="0"/>
                  <w:marRight w:val="0"/>
                  <w:marTop w:val="0"/>
                  <w:marBottom w:val="0"/>
                  <w:divBdr>
                    <w:top w:val="none" w:sz="0" w:space="0" w:color="auto"/>
                    <w:left w:val="none" w:sz="0" w:space="0" w:color="auto"/>
                    <w:bottom w:val="none" w:sz="0" w:space="0" w:color="auto"/>
                    <w:right w:val="none" w:sz="0" w:space="0" w:color="auto"/>
                  </w:divBdr>
                  <w:divsChild>
                    <w:div w:id="1484160991">
                      <w:marLeft w:val="0"/>
                      <w:marRight w:val="0"/>
                      <w:marTop w:val="0"/>
                      <w:marBottom w:val="0"/>
                      <w:divBdr>
                        <w:top w:val="none" w:sz="0" w:space="0" w:color="auto"/>
                        <w:left w:val="none" w:sz="0" w:space="0" w:color="auto"/>
                        <w:bottom w:val="none" w:sz="0" w:space="0" w:color="auto"/>
                        <w:right w:val="none" w:sz="0" w:space="0" w:color="auto"/>
                      </w:divBdr>
                    </w:div>
                  </w:divsChild>
                </w:div>
                <w:div w:id="1154108577">
                  <w:marLeft w:val="0"/>
                  <w:marRight w:val="0"/>
                  <w:marTop w:val="0"/>
                  <w:marBottom w:val="0"/>
                  <w:divBdr>
                    <w:top w:val="none" w:sz="0" w:space="0" w:color="auto"/>
                    <w:left w:val="none" w:sz="0" w:space="0" w:color="auto"/>
                    <w:bottom w:val="none" w:sz="0" w:space="0" w:color="auto"/>
                    <w:right w:val="none" w:sz="0" w:space="0" w:color="auto"/>
                  </w:divBdr>
                  <w:divsChild>
                    <w:div w:id="278991805">
                      <w:marLeft w:val="0"/>
                      <w:marRight w:val="0"/>
                      <w:marTop w:val="0"/>
                      <w:marBottom w:val="0"/>
                      <w:divBdr>
                        <w:top w:val="none" w:sz="0" w:space="0" w:color="auto"/>
                        <w:left w:val="none" w:sz="0" w:space="0" w:color="auto"/>
                        <w:bottom w:val="none" w:sz="0" w:space="0" w:color="auto"/>
                        <w:right w:val="none" w:sz="0" w:space="0" w:color="auto"/>
                      </w:divBdr>
                    </w:div>
                  </w:divsChild>
                </w:div>
                <w:div w:id="1155490099">
                  <w:marLeft w:val="0"/>
                  <w:marRight w:val="0"/>
                  <w:marTop w:val="0"/>
                  <w:marBottom w:val="0"/>
                  <w:divBdr>
                    <w:top w:val="none" w:sz="0" w:space="0" w:color="auto"/>
                    <w:left w:val="none" w:sz="0" w:space="0" w:color="auto"/>
                    <w:bottom w:val="none" w:sz="0" w:space="0" w:color="auto"/>
                    <w:right w:val="none" w:sz="0" w:space="0" w:color="auto"/>
                  </w:divBdr>
                  <w:divsChild>
                    <w:div w:id="5135892">
                      <w:marLeft w:val="0"/>
                      <w:marRight w:val="0"/>
                      <w:marTop w:val="0"/>
                      <w:marBottom w:val="0"/>
                      <w:divBdr>
                        <w:top w:val="none" w:sz="0" w:space="0" w:color="auto"/>
                        <w:left w:val="none" w:sz="0" w:space="0" w:color="auto"/>
                        <w:bottom w:val="none" w:sz="0" w:space="0" w:color="auto"/>
                        <w:right w:val="none" w:sz="0" w:space="0" w:color="auto"/>
                      </w:divBdr>
                    </w:div>
                  </w:divsChild>
                </w:div>
                <w:div w:id="1175337543">
                  <w:marLeft w:val="0"/>
                  <w:marRight w:val="0"/>
                  <w:marTop w:val="0"/>
                  <w:marBottom w:val="0"/>
                  <w:divBdr>
                    <w:top w:val="none" w:sz="0" w:space="0" w:color="auto"/>
                    <w:left w:val="none" w:sz="0" w:space="0" w:color="auto"/>
                    <w:bottom w:val="none" w:sz="0" w:space="0" w:color="auto"/>
                    <w:right w:val="none" w:sz="0" w:space="0" w:color="auto"/>
                  </w:divBdr>
                  <w:divsChild>
                    <w:div w:id="2049642696">
                      <w:marLeft w:val="0"/>
                      <w:marRight w:val="0"/>
                      <w:marTop w:val="0"/>
                      <w:marBottom w:val="0"/>
                      <w:divBdr>
                        <w:top w:val="none" w:sz="0" w:space="0" w:color="auto"/>
                        <w:left w:val="none" w:sz="0" w:space="0" w:color="auto"/>
                        <w:bottom w:val="none" w:sz="0" w:space="0" w:color="auto"/>
                        <w:right w:val="none" w:sz="0" w:space="0" w:color="auto"/>
                      </w:divBdr>
                    </w:div>
                  </w:divsChild>
                </w:div>
                <w:div w:id="1204757988">
                  <w:marLeft w:val="0"/>
                  <w:marRight w:val="0"/>
                  <w:marTop w:val="0"/>
                  <w:marBottom w:val="0"/>
                  <w:divBdr>
                    <w:top w:val="none" w:sz="0" w:space="0" w:color="auto"/>
                    <w:left w:val="none" w:sz="0" w:space="0" w:color="auto"/>
                    <w:bottom w:val="none" w:sz="0" w:space="0" w:color="auto"/>
                    <w:right w:val="none" w:sz="0" w:space="0" w:color="auto"/>
                  </w:divBdr>
                  <w:divsChild>
                    <w:div w:id="1315453277">
                      <w:marLeft w:val="0"/>
                      <w:marRight w:val="0"/>
                      <w:marTop w:val="0"/>
                      <w:marBottom w:val="0"/>
                      <w:divBdr>
                        <w:top w:val="none" w:sz="0" w:space="0" w:color="auto"/>
                        <w:left w:val="none" w:sz="0" w:space="0" w:color="auto"/>
                        <w:bottom w:val="none" w:sz="0" w:space="0" w:color="auto"/>
                        <w:right w:val="none" w:sz="0" w:space="0" w:color="auto"/>
                      </w:divBdr>
                    </w:div>
                  </w:divsChild>
                </w:div>
                <w:div w:id="1229265100">
                  <w:marLeft w:val="0"/>
                  <w:marRight w:val="0"/>
                  <w:marTop w:val="0"/>
                  <w:marBottom w:val="0"/>
                  <w:divBdr>
                    <w:top w:val="none" w:sz="0" w:space="0" w:color="auto"/>
                    <w:left w:val="none" w:sz="0" w:space="0" w:color="auto"/>
                    <w:bottom w:val="none" w:sz="0" w:space="0" w:color="auto"/>
                    <w:right w:val="none" w:sz="0" w:space="0" w:color="auto"/>
                  </w:divBdr>
                  <w:divsChild>
                    <w:div w:id="1135101018">
                      <w:marLeft w:val="0"/>
                      <w:marRight w:val="0"/>
                      <w:marTop w:val="0"/>
                      <w:marBottom w:val="0"/>
                      <w:divBdr>
                        <w:top w:val="none" w:sz="0" w:space="0" w:color="auto"/>
                        <w:left w:val="none" w:sz="0" w:space="0" w:color="auto"/>
                        <w:bottom w:val="none" w:sz="0" w:space="0" w:color="auto"/>
                        <w:right w:val="none" w:sz="0" w:space="0" w:color="auto"/>
                      </w:divBdr>
                    </w:div>
                  </w:divsChild>
                </w:div>
                <w:div w:id="1272323699">
                  <w:marLeft w:val="0"/>
                  <w:marRight w:val="0"/>
                  <w:marTop w:val="0"/>
                  <w:marBottom w:val="0"/>
                  <w:divBdr>
                    <w:top w:val="none" w:sz="0" w:space="0" w:color="auto"/>
                    <w:left w:val="none" w:sz="0" w:space="0" w:color="auto"/>
                    <w:bottom w:val="none" w:sz="0" w:space="0" w:color="auto"/>
                    <w:right w:val="none" w:sz="0" w:space="0" w:color="auto"/>
                  </w:divBdr>
                  <w:divsChild>
                    <w:div w:id="993026250">
                      <w:marLeft w:val="0"/>
                      <w:marRight w:val="0"/>
                      <w:marTop w:val="0"/>
                      <w:marBottom w:val="0"/>
                      <w:divBdr>
                        <w:top w:val="none" w:sz="0" w:space="0" w:color="auto"/>
                        <w:left w:val="none" w:sz="0" w:space="0" w:color="auto"/>
                        <w:bottom w:val="none" w:sz="0" w:space="0" w:color="auto"/>
                        <w:right w:val="none" w:sz="0" w:space="0" w:color="auto"/>
                      </w:divBdr>
                    </w:div>
                  </w:divsChild>
                </w:div>
                <w:div w:id="1273248046">
                  <w:marLeft w:val="0"/>
                  <w:marRight w:val="0"/>
                  <w:marTop w:val="0"/>
                  <w:marBottom w:val="0"/>
                  <w:divBdr>
                    <w:top w:val="none" w:sz="0" w:space="0" w:color="auto"/>
                    <w:left w:val="none" w:sz="0" w:space="0" w:color="auto"/>
                    <w:bottom w:val="none" w:sz="0" w:space="0" w:color="auto"/>
                    <w:right w:val="none" w:sz="0" w:space="0" w:color="auto"/>
                  </w:divBdr>
                  <w:divsChild>
                    <w:div w:id="394863834">
                      <w:marLeft w:val="0"/>
                      <w:marRight w:val="0"/>
                      <w:marTop w:val="0"/>
                      <w:marBottom w:val="0"/>
                      <w:divBdr>
                        <w:top w:val="none" w:sz="0" w:space="0" w:color="auto"/>
                        <w:left w:val="none" w:sz="0" w:space="0" w:color="auto"/>
                        <w:bottom w:val="none" w:sz="0" w:space="0" w:color="auto"/>
                        <w:right w:val="none" w:sz="0" w:space="0" w:color="auto"/>
                      </w:divBdr>
                    </w:div>
                  </w:divsChild>
                </w:div>
                <w:div w:id="1285893380">
                  <w:marLeft w:val="0"/>
                  <w:marRight w:val="0"/>
                  <w:marTop w:val="0"/>
                  <w:marBottom w:val="0"/>
                  <w:divBdr>
                    <w:top w:val="none" w:sz="0" w:space="0" w:color="auto"/>
                    <w:left w:val="none" w:sz="0" w:space="0" w:color="auto"/>
                    <w:bottom w:val="none" w:sz="0" w:space="0" w:color="auto"/>
                    <w:right w:val="none" w:sz="0" w:space="0" w:color="auto"/>
                  </w:divBdr>
                  <w:divsChild>
                    <w:div w:id="427779575">
                      <w:marLeft w:val="0"/>
                      <w:marRight w:val="0"/>
                      <w:marTop w:val="0"/>
                      <w:marBottom w:val="0"/>
                      <w:divBdr>
                        <w:top w:val="none" w:sz="0" w:space="0" w:color="auto"/>
                        <w:left w:val="none" w:sz="0" w:space="0" w:color="auto"/>
                        <w:bottom w:val="none" w:sz="0" w:space="0" w:color="auto"/>
                        <w:right w:val="none" w:sz="0" w:space="0" w:color="auto"/>
                      </w:divBdr>
                    </w:div>
                  </w:divsChild>
                </w:div>
                <w:div w:id="1301614195">
                  <w:marLeft w:val="0"/>
                  <w:marRight w:val="0"/>
                  <w:marTop w:val="0"/>
                  <w:marBottom w:val="0"/>
                  <w:divBdr>
                    <w:top w:val="none" w:sz="0" w:space="0" w:color="auto"/>
                    <w:left w:val="none" w:sz="0" w:space="0" w:color="auto"/>
                    <w:bottom w:val="none" w:sz="0" w:space="0" w:color="auto"/>
                    <w:right w:val="none" w:sz="0" w:space="0" w:color="auto"/>
                  </w:divBdr>
                  <w:divsChild>
                    <w:div w:id="1501773770">
                      <w:marLeft w:val="0"/>
                      <w:marRight w:val="0"/>
                      <w:marTop w:val="0"/>
                      <w:marBottom w:val="0"/>
                      <w:divBdr>
                        <w:top w:val="none" w:sz="0" w:space="0" w:color="auto"/>
                        <w:left w:val="none" w:sz="0" w:space="0" w:color="auto"/>
                        <w:bottom w:val="none" w:sz="0" w:space="0" w:color="auto"/>
                        <w:right w:val="none" w:sz="0" w:space="0" w:color="auto"/>
                      </w:divBdr>
                    </w:div>
                  </w:divsChild>
                </w:div>
                <w:div w:id="1302345061">
                  <w:marLeft w:val="0"/>
                  <w:marRight w:val="0"/>
                  <w:marTop w:val="0"/>
                  <w:marBottom w:val="0"/>
                  <w:divBdr>
                    <w:top w:val="none" w:sz="0" w:space="0" w:color="auto"/>
                    <w:left w:val="none" w:sz="0" w:space="0" w:color="auto"/>
                    <w:bottom w:val="none" w:sz="0" w:space="0" w:color="auto"/>
                    <w:right w:val="none" w:sz="0" w:space="0" w:color="auto"/>
                  </w:divBdr>
                  <w:divsChild>
                    <w:div w:id="1476877644">
                      <w:marLeft w:val="0"/>
                      <w:marRight w:val="0"/>
                      <w:marTop w:val="0"/>
                      <w:marBottom w:val="0"/>
                      <w:divBdr>
                        <w:top w:val="none" w:sz="0" w:space="0" w:color="auto"/>
                        <w:left w:val="none" w:sz="0" w:space="0" w:color="auto"/>
                        <w:bottom w:val="none" w:sz="0" w:space="0" w:color="auto"/>
                        <w:right w:val="none" w:sz="0" w:space="0" w:color="auto"/>
                      </w:divBdr>
                    </w:div>
                  </w:divsChild>
                </w:div>
                <w:div w:id="1314528367">
                  <w:marLeft w:val="0"/>
                  <w:marRight w:val="0"/>
                  <w:marTop w:val="0"/>
                  <w:marBottom w:val="0"/>
                  <w:divBdr>
                    <w:top w:val="none" w:sz="0" w:space="0" w:color="auto"/>
                    <w:left w:val="none" w:sz="0" w:space="0" w:color="auto"/>
                    <w:bottom w:val="none" w:sz="0" w:space="0" w:color="auto"/>
                    <w:right w:val="none" w:sz="0" w:space="0" w:color="auto"/>
                  </w:divBdr>
                  <w:divsChild>
                    <w:div w:id="1814057134">
                      <w:marLeft w:val="0"/>
                      <w:marRight w:val="0"/>
                      <w:marTop w:val="0"/>
                      <w:marBottom w:val="0"/>
                      <w:divBdr>
                        <w:top w:val="none" w:sz="0" w:space="0" w:color="auto"/>
                        <w:left w:val="none" w:sz="0" w:space="0" w:color="auto"/>
                        <w:bottom w:val="none" w:sz="0" w:space="0" w:color="auto"/>
                        <w:right w:val="none" w:sz="0" w:space="0" w:color="auto"/>
                      </w:divBdr>
                    </w:div>
                  </w:divsChild>
                </w:div>
                <w:div w:id="1323780738">
                  <w:marLeft w:val="0"/>
                  <w:marRight w:val="0"/>
                  <w:marTop w:val="0"/>
                  <w:marBottom w:val="0"/>
                  <w:divBdr>
                    <w:top w:val="none" w:sz="0" w:space="0" w:color="auto"/>
                    <w:left w:val="none" w:sz="0" w:space="0" w:color="auto"/>
                    <w:bottom w:val="none" w:sz="0" w:space="0" w:color="auto"/>
                    <w:right w:val="none" w:sz="0" w:space="0" w:color="auto"/>
                  </w:divBdr>
                  <w:divsChild>
                    <w:div w:id="2085373091">
                      <w:marLeft w:val="0"/>
                      <w:marRight w:val="0"/>
                      <w:marTop w:val="0"/>
                      <w:marBottom w:val="0"/>
                      <w:divBdr>
                        <w:top w:val="none" w:sz="0" w:space="0" w:color="auto"/>
                        <w:left w:val="none" w:sz="0" w:space="0" w:color="auto"/>
                        <w:bottom w:val="none" w:sz="0" w:space="0" w:color="auto"/>
                        <w:right w:val="none" w:sz="0" w:space="0" w:color="auto"/>
                      </w:divBdr>
                    </w:div>
                  </w:divsChild>
                </w:div>
                <w:div w:id="1354722909">
                  <w:marLeft w:val="0"/>
                  <w:marRight w:val="0"/>
                  <w:marTop w:val="0"/>
                  <w:marBottom w:val="0"/>
                  <w:divBdr>
                    <w:top w:val="none" w:sz="0" w:space="0" w:color="auto"/>
                    <w:left w:val="none" w:sz="0" w:space="0" w:color="auto"/>
                    <w:bottom w:val="none" w:sz="0" w:space="0" w:color="auto"/>
                    <w:right w:val="none" w:sz="0" w:space="0" w:color="auto"/>
                  </w:divBdr>
                  <w:divsChild>
                    <w:div w:id="1742410065">
                      <w:marLeft w:val="0"/>
                      <w:marRight w:val="0"/>
                      <w:marTop w:val="0"/>
                      <w:marBottom w:val="0"/>
                      <w:divBdr>
                        <w:top w:val="none" w:sz="0" w:space="0" w:color="auto"/>
                        <w:left w:val="none" w:sz="0" w:space="0" w:color="auto"/>
                        <w:bottom w:val="none" w:sz="0" w:space="0" w:color="auto"/>
                        <w:right w:val="none" w:sz="0" w:space="0" w:color="auto"/>
                      </w:divBdr>
                    </w:div>
                  </w:divsChild>
                </w:div>
                <w:div w:id="1355963368">
                  <w:marLeft w:val="0"/>
                  <w:marRight w:val="0"/>
                  <w:marTop w:val="0"/>
                  <w:marBottom w:val="0"/>
                  <w:divBdr>
                    <w:top w:val="none" w:sz="0" w:space="0" w:color="auto"/>
                    <w:left w:val="none" w:sz="0" w:space="0" w:color="auto"/>
                    <w:bottom w:val="none" w:sz="0" w:space="0" w:color="auto"/>
                    <w:right w:val="none" w:sz="0" w:space="0" w:color="auto"/>
                  </w:divBdr>
                  <w:divsChild>
                    <w:div w:id="1524978359">
                      <w:marLeft w:val="0"/>
                      <w:marRight w:val="0"/>
                      <w:marTop w:val="0"/>
                      <w:marBottom w:val="0"/>
                      <w:divBdr>
                        <w:top w:val="none" w:sz="0" w:space="0" w:color="auto"/>
                        <w:left w:val="none" w:sz="0" w:space="0" w:color="auto"/>
                        <w:bottom w:val="none" w:sz="0" w:space="0" w:color="auto"/>
                        <w:right w:val="none" w:sz="0" w:space="0" w:color="auto"/>
                      </w:divBdr>
                    </w:div>
                  </w:divsChild>
                </w:div>
                <w:div w:id="1390111915">
                  <w:marLeft w:val="0"/>
                  <w:marRight w:val="0"/>
                  <w:marTop w:val="0"/>
                  <w:marBottom w:val="0"/>
                  <w:divBdr>
                    <w:top w:val="none" w:sz="0" w:space="0" w:color="auto"/>
                    <w:left w:val="none" w:sz="0" w:space="0" w:color="auto"/>
                    <w:bottom w:val="none" w:sz="0" w:space="0" w:color="auto"/>
                    <w:right w:val="none" w:sz="0" w:space="0" w:color="auto"/>
                  </w:divBdr>
                  <w:divsChild>
                    <w:div w:id="250626225">
                      <w:marLeft w:val="0"/>
                      <w:marRight w:val="0"/>
                      <w:marTop w:val="0"/>
                      <w:marBottom w:val="0"/>
                      <w:divBdr>
                        <w:top w:val="none" w:sz="0" w:space="0" w:color="auto"/>
                        <w:left w:val="none" w:sz="0" w:space="0" w:color="auto"/>
                        <w:bottom w:val="none" w:sz="0" w:space="0" w:color="auto"/>
                        <w:right w:val="none" w:sz="0" w:space="0" w:color="auto"/>
                      </w:divBdr>
                    </w:div>
                  </w:divsChild>
                </w:div>
                <w:div w:id="1440294486">
                  <w:marLeft w:val="0"/>
                  <w:marRight w:val="0"/>
                  <w:marTop w:val="0"/>
                  <w:marBottom w:val="0"/>
                  <w:divBdr>
                    <w:top w:val="none" w:sz="0" w:space="0" w:color="auto"/>
                    <w:left w:val="none" w:sz="0" w:space="0" w:color="auto"/>
                    <w:bottom w:val="none" w:sz="0" w:space="0" w:color="auto"/>
                    <w:right w:val="none" w:sz="0" w:space="0" w:color="auto"/>
                  </w:divBdr>
                  <w:divsChild>
                    <w:div w:id="1457487663">
                      <w:marLeft w:val="0"/>
                      <w:marRight w:val="0"/>
                      <w:marTop w:val="0"/>
                      <w:marBottom w:val="0"/>
                      <w:divBdr>
                        <w:top w:val="none" w:sz="0" w:space="0" w:color="auto"/>
                        <w:left w:val="none" w:sz="0" w:space="0" w:color="auto"/>
                        <w:bottom w:val="none" w:sz="0" w:space="0" w:color="auto"/>
                        <w:right w:val="none" w:sz="0" w:space="0" w:color="auto"/>
                      </w:divBdr>
                    </w:div>
                  </w:divsChild>
                </w:div>
                <w:div w:id="1490437432">
                  <w:marLeft w:val="0"/>
                  <w:marRight w:val="0"/>
                  <w:marTop w:val="0"/>
                  <w:marBottom w:val="0"/>
                  <w:divBdr>
                    <w:top w:val="none" w:sz="0" w:space="0" w:color="auto"/>
                    <w:left w:val="none" w:sz="0" w:space="0" w:color="auto"/>
                    <w:bottom w:val="none" w:sz="0" w:space="0" w:color="auto"/>
                    <w:right w:val="none" w:sz="0" w:space="0" w:color="auto"/>
                  </w:divBdr>
                  <w:divsChild>
                    <w:div w:id="268709109">
                      <w:marLeft w:val="0"/>
                      <w:marRight w:val="0"/>
                      <w:marTop w:val="0"/>
                      <w:marBottom w:val="0"/>
                      <w:divBdr>
                        <w:top w:val="none" w:sz="0" w:space="0" w:color="auto"/>
                        <w:left w:val="none" w:sz="0" w:space="0" w:color="auto"/>
                        <w:bottom w:val="none" w:sz="0" w:space="0" w:color="auto"/>
                        <w:right w:val="none" w:sz="0" w:space="0" w:color="auto"/>
                      </w:divBdr>
                    </w:div>
                  </w:divsChild>
                </w:div>
                <w:div w:id="1568950455">
                  <w:marLeft w:val="0"/>
                  <w:marRight w:val="0"/>
                  <w:marTop w:val="0"/>
                  <w:marBottom w:val="0"/>
                  <w:divBdr>
                    <w:top w:val="none" w:sz="0" w:space="0" w:color="auto"/>
                    <w:left w:val="none" w:sz="0" w:space="0" w:color="auto"/>
                    <w:bottom w:val="none" w:sz="0" w:space="0" w:color="auto"/>
                    <w:right w:val="none" w:sz="0" w:space="0" w:color="auto"/>
                  </w:divBdr>
                  <w:divsChild>
                    <w:div w:id="1831560115">
                      <w:marLeft w:val="0"/>
                      <w:marRight w:val="0"/>
                      <w:marTop w:val="0"/>
                      <w:marBottom w:val="0"/>
                      <w:divBdr>
                        <w:top w:val="none" w:sz="0" w:space="0" w:color="auto"/>
                        <w:left w:val="none" w:sz="0" w:space="0" w:color="auto"/>
                        <w:bottom w:val="none" w:sz="0" w:space="0" w:color="auto"/>
                        <w:right w:val="none" w:sz="0" w:space="0" w:color="auto"/>
                      </w:divBdr>
                    </w:div>
                  </w:divsChild>
                </w:div>
                <w:div w:id="1611661689">
                  <w:marLeft w:val="0"/>
                  <w:marRight w:val="0"/>
                  <w:marTop w:val="0"/>
                  <w:marBottom w:val="0"/>
                  <w:divBdr>
                    <w:top w:val="none" w:sz="0" w:space="0" w:color="auto"/>
                    <w:left w:val="none" w:sz="0" w:space="0" w:color="auto"/>
                    <w:bottom w:val="none" w:sz="0" w:space="0" w:color="auto"/>
                    <w:right w:val="none" w:sz="0" w:space="0" w:color="auto"/>
                  </w:divBdr>
                  <w:divsChild>
                    <w:div w:id="1858231315">
                      <w:marLeft w:val="0"/>
                      <w:marRight w:val="0"/>
                      <w:marTop w:val="0"/>
                      <w:marBottom w:val="0"/>
                      <w:divBdr>
                        <w:top w:val="none" w:sz="0" w:space="0" w:color="auto"/>
                        <w:left w:val="none" w:sz="0" w:space="0" w:color="auto"/>
                        <w:bottom w:val="none" w:sz="0" w:space="0" w:color="auto"/>
                        <w:right w:val="none" w:sz="0" w:space="0" w:color="auto"/>
                      </w:divBdr>
                    </w:div>
                  </w:divsChild>
                </w:div>
                <w:div w:id="1624993537">
                  <w:marLeft w:val="0"/>
                  <w:marRight w:val="0"/>
                  <w:marTop w:val="0"/>
                  <w:marBottom w:val="0"/>
                  <w:divBdr>
                    <w:top w:val="none" w:sz="0" w:space="0" w:color="auto"/>
                    <w:left w:val="none" w:sz="0" w:space="0" w:color="auto"/>
                    <w:bottom w:val="none" w:sz="0" w:space="0" w:color="auto"/>
                    <w:right w:val="none" w:sz="0" w:space="0" w:color="auto"/>
                  </w:divBdr>
                  <w:divsChild>
                    <w:div w:id="2065444503">
                      <w:marLeft w:val="0"/>
                      <w:marRight w:val="0"/>
                      <w:marTop w:val="0"/>
                      <w:marBottom w:val="0"/>
                      <w:divBdr>
                        <w:top w:val="none" w:sz="0" w:space="0" w:color="auto"/>
                        <w:left w:val="none" w:sz="0" w:space="0" w:color="auto"/>
                        <w:bottom w:val="none" w:sz="0" w:space="0" w:color="auto"/>
                        <w:right w:val="none" w:sz="0" w:space="0" w:color="auto"/>
                      </w:divBdr>
                    </w:div>
                  </w:divsChild>
                </w:div>
                <w:div w:id="1635673472">
                  <w:marLeft w:val="0"/>
                  <w:marRight w:val="0"/>
                  <w:marTop w:val="0"/>
                  <w:marBottom w:val="0"/>
                  <w:divBdr>
                    <w:top w:val="none" w:sz="0" w:space="0" w:color="auto"/>
                    <w:left w:val="none" w:sz="0" w:space="0" w:color="auto"/>
                    <w:bottom w:val="none" w:sz="0" w:space="0" w:color="auto"/>
                    <w:right w:val="none" w:sz="0" w:space="0" w:color="auto"/>
                  </w:divBdr>
                  <w:divsChild>
                    <w:div w:id="281351896">
                      <w:marLeft w:val="0"/>
                      <w:marRight w:val="0"/>
                      <w:marTop w:val="0"/>
                      <w:marBottom w:val="0"/>
                      <w:divBdr>
                        <w:top w:val="none" w:sz="0" w:space="0" w:color="auto"/>
                        <w:left w:val="none" w:sz="0" w:space="0" w:color="auto"/>
                        <w:bottom w:val="none" w:sz="0" w:space="0" w:color="auto"/>
                        <w:right w:val="none" w:sz="0" w:space="0" w:color="auto"/>
                      </w:divBdr>
                    </w:div>
                  </w:divsChild>
                </w:div>
                <w:div w:id="1668702611">
                  <w:marLeft w:val="0"/>
                  <w:marRight w:val="0"/>
                  <w:marTop w:val="0"/>
                  <w:marBottom w:val="0"/>
                  <w:divBdr>
                    <w:top w:val="none" w:sz="0" w:space="0" w:color="auto"/>
                    <w:left w:val="none" w:sz="0" w:space="0" w:color="auto"/>
                    <w:bottom w:val="none" w:sz="0" w:space="0" w:color="auto"/>
                    <w:right w:val="none" w:sz="0" w:space="0" w:color="auto"/>
                  </w:divBdr>
                  <w:divsChild>
                    <w:div w:id="868958829">
                      <w:marLeft w:val="0"/>
                      <w:marRight w:val="0"/>
                      <w:marTop w:val="0"/>
                      <w:marBottom w:val="0"/>
                      <w:divBdr>
                        <w:top w:val="none" w:sz="0" w:space="0" w:color="auto"/>
                        <w:left w:val="none" w:sz="0" w:space="0" w:color="auto"/>
                        <w:bottom w:val="none" w:sz="0" w:space="0" w:color="auto"/>
                        <w:right w:val="none" w:sz="0" w:space="0" w:color="auto"/>
                      </w:divBdr>
                    </w:div>
                  </w:divsChild>
                </w:div>
                <w:div w:id="1669014867">
                  <w:marLeft w:val="0"/>
                  <w:marRight w:val="0"/>
                  <w:marTop w:val="0"/>
                  <w:marBottom w:val="0"/>
                  <w:divBdr>
                    <w:top w:val="none" w:sz="0" w:space="0" w:color="auto"/>
                    <w:left w:val="none" w:sz="0" w:space="0" w:color="auto"/>
                    <w:bottom w:val="none" w:sz="0" w:space="0" w:color="auto"/>
                    <w:right w:val="none" w:sz="0" w:space="0" w:color="auto"/>
                  </w:divBdr>
                  <w:divsChild>
                    <w:div w:id="634065740">
                      <w:marLeft w:val="0"/>
                      <w:marRight w:val="0"/>
                      <w:marTop w:val="0"/>
                      <w:marBottom w:val="0"/>
                      <w:divBdr>
                        <w:top w:val="none" w:sz="0" w:space="0" w:color="auto"/>
                        <w:left w:val="none" w:sz="0" w:space="0" w:color="auto"/>
                        <w:bottom w:val="none" w:sz="0" w:space="0" w:color="auto"/>
                        <w:right w:val="none" w:sz="0" w:space="0" w:color="auto"/>
                      </w:divBdr>
                    </w:div>
                  </w:divsChild>
                </w:div>
                <w:div w:id="1674139674">
                  <w:marLeft w:val="0"/>
                  <w:marRight w:val="0"/>
                  <w:marTop w:val="0"/>
                  <w:marBottom w:val="0"/>
                  <w:divBdr>
                    <w:top w:val="none" w:sz="0" w:space="0" w:color="auto"/>
                    <w:left w:val="none" w:sz="0" w:space="0" w:color="auto"/>
                    <w:bottom w:val="none" w:sz="0" w:space="0" w:color="auto"/>
                    <w:right w:val="none" w:sz="0" w:space="0" w:color="auto"/>
                  </w:divBdr>
                  <w:divsChild>
                    <w:div w:id="1232233044">
                      <w:marLeft w:val="0"/>
                      <w:marRight w:val="0"/>
                      <w:marTop w:val="0"/>
                      <w:marBottom w:val="0"/>
                      <w:divBdr>
                        <w:top w:val="none" w:sz="0" w:space="0" w:color="auto"/>
                        <w:left w:val="none" w:sz="0" w:space="0" w:color="auto"/>
                        <w:bottom w:val="none" w:sz="0" w:space="0" w:color="auto"/>
                        <w:right w:val="none" w:sz="0" w:space="0" w:color="auto"/>
                      </w:divBdr>
                    </w:div>
                    <w:div w:id="1672872496">
                      <w:marLeft w:val="0"/>
                      <w:marRight w:val="0"/>
                      <w:marTop w:val="0"/>
                      <w:marBottom w:val="0"/>
                      <w:divBdr>
                        <w:top w:val="none" w:sz="0" w:space="0" w:color="auto"/>
                        <w:left w:val="none" w:sz="0" w:space="0" w:color="auto"/>
                        <w:bottom w:val="none" w:sz="0" w:space="0" w:color="auto"/>
                        <w:right w:val="none" w:sz="0" w:space="0" w:color="auto"/>
                      </w:divBdr>
                    </w:div>
                  </w:divsChild>
                </w:div>
                <w:div w:id="1675835425">
                  <w:marLeft w:val="0"/>
                  <w:marRight w:val="0"/>
                  <w:marTop w:val="0"/>
                  <w:marBottom w:val="0"/>
                  <w:divBdr>
                    <w:top w:val="none" w:sz="0" w:space="0" w:color="auto"/>
                    <w:left w:val="none" w:sz="0" w:space="0" w:color="auto"/>
                    <w:bottom w:val="none" w:sz="0" w:space="0" w:color="auto"/>
                    <w:right w:val="none" w:sz="0" w:space="0" w:color="auto"/>
                  </w:divBdr>
                  <w:divsChild>
                    <w:div w:id="1492871551">
                      <w:marLeft w:val="0"/>
                      <w:marRight w:val="0"/>
                      <w:marTop w:val="0"/>
                      <w:marBottom w:val="0"/>
                      <w:divBdr>
                        <w:top w:val="none" w:sz="0" w:space="0" w:color="auto"/>
                        <w:left w:val="none" w:sz="0" w:space="0" w:color="auto"/>
                        <w:bottom w:val="none" w:sz="0" w:space="0" w:color="auto"/>
                        <w:right w:val="none" w:sz="0" w:space="0" w:color="auto"/>
                      </w:divBdr>
                    </w:div>
                  </w:divsChild>
                </w:div>
                <w:div w:id="1687437017">
                  <w:marLeft w:val="0"/>
                  <w:marRight w:val="0"/>
                  <w:marTop w:val="0"/>
                  <w:marBottom w:val="0"/>
                  <w:divBdr>
                    <w:top w:val="none" w:sz="0" w:space="0" w:color="auto"/>
                    <w:left w:val="none" w:sz="0" w:space="0" w:color="auto"/>
                    <w:bottom w:val="none" w:sz="0" w:space="0" w:color="auto"/>
                    <w:right w:val="none" w:sz="0" w:space="0" w:color="auto"/>
                  </w:divBdr>
                  <w:divsChild>
                    <w:div w:id="76678801">
                      <w:marLeft w:val="0"/>
                      <w:marRight w:val="0"/>
                      <w:marTop w:val="0"/>
                      <w:marBottom w:val="0"/>
                      <w:divBdr>
                        <w:top w:val="none" w:sz="0" w:space="0" w:color="auto"/>
                        <w:left w:val="none" w:sz="0" w:space="0" w:color="auto"/>
                        <w:bottom w:val="none" w:sz="0" w:space="0" w:color="auto"/>
                        <w:right w:val="none" w:sz="0" w:space="0" w:color="auto"/>
                      </w:divBdr>
                    </w:div>
                  </w:divsChild>
                </w:div>
                <w:div w:id="1701779344">
                  <w:marLeft w:val="0"/>
                  <w:marRight w:val="0"/>
                  <w:marTop w:val="0"/>
                  <w:marBottom w:val="0"/>
                  <w:divBdr>
                    <w:top w:val="none" w:sz="0" w:space="0" w:color="auto"/>
                    <w:left w:val="none" w:sz="0" w:space="0" w:color="auto"/>
                    <w:bottom w:val="none" w:sz="0" w:space="0" w:color="auto"/>
                    <w:right w:val="none" w:sz="0" w:space="0" w:color="auto"/>
                  </w:divBdr>
                  <w:divsChild>
                    <w:div w:id="774788501">
                      <w:marLeft w:val="0"/>
                      <w:marRight w:val="0"/>
                      <w:marTop w:val="0"/>
                      <w:marBottom w:val="0"/>
                      <w:divBdr>
                        <w:top w:val="none" w:sz="0" w:space="0" w:color="auto"/>
                        <w:left w:val="none" w:sz="0" w:space="0" w:color="auto"/>
                        <w:bottom w:val="none" w:sz="0" w:space="0" w:color="auto"/>
                        <w:right w:val="none" w:sz="0" w:space="0" w:color="auto"/>
                      </w:divBdr>
                    </w:div>
                  </w:divsChild>
                </w:div>
                <w:div w:id="1706052566">
                  <w:marLeft w:val="0"/>
                  <w:marRight w:val="0"/>
                  <w:marTop w:val="0"/>
                  <w:marBottom w:val="0"/>
                  <w:divBdr>
                    <w:top w:val="none" w:sz="0" w:space="0" w:color="auto"/>
                    <w:left w:val="none" w:sz="0" w:space="0" w:color="auto"/>
                    <w:bottom w:val="none" w:sz="0" w:space="0" w:color="auto"/>
                    <w:right w:val="none" w:sz="0" w:space="0" w:color="auto"/>
                  </w:divBdr>
                  <w:divsChild>
                    <w:div w:id="748040949">
                      <w:marLeft w:val="0"/>
                      <w:marRight w:val="0"/>
                      <w:marTop w:val="0"/>
                      <w:marBottom w:val="0"/>
                      <w:divBdr>
                        <w:top w:val="none" w:sz="0" w:space="0" w:color="auto"/>
                        <w:left w:val="none" w:sz="0" w:space="0" w:color="auto"/>
                        <w:bottom w:val="none" w:sz="0" w:space="0" w:color="auto"/>
                        <w:right w:val="none" w:sz="0" w:space="0" w:color="auto"/>
                      </w:divBdr>
                    </w:div>
                  </w:divsChild>
                </w:div>
                <w:div w:id="1727726309">
                  <w:marLeft w:val="0"/>
                  <w:marRight w:val="0"/>
                  <w:marTop w:val="0"/>
                  <w:marBottom w:val="0"/>
                  <w:divBdr>
                    <w:top w:val="none" w:sz="0" w:space="0" w:color="auto"/>
                    <w:left w:val="none" w:sz="0" w:space="0" w:color="auto"/>
                    <w:bottom w:val="none" w:sz="0" w:space="0" w:color="auto"/>
                    <w:right w:val="none" w:sz="0" w:space="0" w:color="auto"/>
                  </w:divBdr>
                  <w:divsChild>
                    <w:div w:id="658852385">
                      <w:marLeft w:val="0"/>
                      <w:marRight w:val="0"/>
                      <w:marTop w:val="0"/>
                      <w:marBottom w:val="0"/>
                      <w:divBdr>
                        <w:top w:val="none" w:sz="0" w:space="0" w:color="auto"/>
                        <w:left w:val="none" w:sz="0" w:space="0" w:color="auto"/>
                        <w:bottom w:val="none" w:sz="0" w:space="0" w:color="auto"/>
                        <w:right w:val="none" w:sz="0" w:space="0" w:color="auto"/>
                      </w:divBdr>
                    </w:div>
                  </w:divsChild>
                </w:div>
                <w:div w:id="1734158067">
                  <w:marLeft w:val="0"/>
                  <w:marRight w:val="0"/>
                  <w:marTop w:val="0"/>
                  <w:marBottom w:val="0"/>
                  <w:divBdr>
                    <w:top w:val="none" w:sz="0" w:space="0" w:color="auto"/>
                    <w:left w:val="none" w:sz="0" w:space="0" w:color="auto"/>
                    <w:bottom w:val="none" w:sz="0" w:space="0" w:color="auto"/>
                    <w:right w:val="none" w:sz="0" w:space="0" w:color="auto"/>
                  </w:divBdr>
                  <w:divsChild>
                    <w:div w:id="1220626176">
                      <w:marLeft w:val="0"/>
                      <w:marRight w:val="0"/>
                      <w:marTop w:val="0"/>
                      <w:marBottom w:val="0"/>
                      <w:divBdr>
                        <w:top w:val="none" w:sz="0" w:space="0" w:color="auto"/>
                        <w:left w:val="none" w:sz="0" w:space="0" w:color="auto"/>
                        <w:bottom w:val="none" w:sz="0" w:space="0" w:color="auto"/>
                        <w:right w:val="none" w:sz="0" w:space="0" w:color="auto"/>
                      </w:divBdr>
                    </w:div>
                  </w:divsChild>
                </w:div>
                <w:div w:id="1734158762">
                  <w:marLeft w:val="0"/>
                  <w:marRight w:val="0"/>
                  <w:marTop w:val="0"/>
                  <w:marBottom w:val="0"/>
                  <w:divBdr>
                    <w:top w:val="none" w:sz="0" w:space="0" w:color="auto"/>
                    <w:left w:val="none" w:sz="0" w:space="0" w:color="auto"/>
                    <w:bottom w:val="none" w:sz="0" w:space="0" w:color="auto"/>
                    <w:right w:val="none" w:sz="0" w:space="0" w:color="auto"/>
                  </w:divBdr>
                  <w:divsChild>
                    <w:div w:id="1534688414">
                      <w:marLeft w:val="0"/>
                      <w:marRight w:val="0"/>
                      <w:marTop w:val="0"/>
                      <w:marBottom w:val="0"/>
                      <w:divBdr>
                        <w:top w:val="none" w:sz="0" w:space="0" w:color="auto"/>
                        <w:left w:val="none" w:sz="0" w:space="0" w:color="auto"/>
                        <w:bottom w:val="none" w:sz="0" w:space="0" w:color="auto"/>
                        <w:right w:val="none" w:sz="0" w:space="0" w:color="auto"/>
                      </w:divBdr>
                    </w:div>
                  </w:divsChild>
                </w:div>
                <w:div w:id="1735932863">
                  <w:marLeft w:val="0"/>
                  <w:marRight w:val="0"/>
                  <w:marTop w:val="0"/>
                  <w:marBottom w:val="0"/>
                  <w:divBdr>
                    <w:top w:val="none" w:sz="0" w:space="0" w:color="auto"/>
                    <w:left w:val="none" w:sz="0" w:space="0" w:color="auto"/>
                    <w:bottom w:val="none" w:sz="0" w:space="0" w:color="auto"/>
                    <w:right w:val="none" w:sz="0" w:space="0" w:color="auto"/>
                  </w:divBdr>
                  <w:divsChild>
                    <w:div w:id="699664924">
                      <w:marLeft w:val="0"/>
                      <w:marRight w:val="0"/>
                      <w:marTop w:val="0"/>
                      <w:marBottom w:val="0"/>
                      <w:divBdr>
                        <w:top w:val="none" w:sz="0" w:space="0" w:color="auto"/>
                        <w:left w:val="none" w:sz="0" w:space="0" w:color="auto"/>
                        <w:bottom w:val="none" w:sz="0" w:space="0" w:color="auto"/>
                        <w:right w:val="none" w:sz="0" w:space="0" w:color="auto"/>
                      </w:divBdr>
                    </w:div>
                  </w:divsChild>
                </w:div>
                <w:div w:id="1744717754">
                  <w:marLeft w:val="0"/>
                  <w:marRight w:val="0"/>
                  <w:marTop w:val="0"/>
                  <w:marBottom w:val="0"/>
                  <w:divBdr>
                    <w:top w:val="none" w:sz="0" w:space="0" w:color="auto"/>
                    <w:left w:val="none" w:sz="0" w:space="0" w:color="auto"/>
                    <w:bottom w:val="none" w:sz="0" w:space="0" w:color="auto"/>
                    <w:right w:val="none" w:sz="0" w:space="0" w:color="auto"/>
                  </w:divBdr>
                  <w:divsChild>
                    <w:div w:id="411051136">
                      <w:marLeft w:val="0"/>
                      <w:marRight w:val="0"/>
                      <w:marTop w:val="0"/>
                      <w:marBottom w:val="0"/>
                      <w:divBdr>
                        <w:top w:val="none" w:sz="0" w:space="0" w:color="auto"/>
                        <w:left w:val="none" w:sz="0" w:space="0" w:color="auto"/>
                        <w:bottom w:val="none" w:sz="0" w:space="0" w:color="auto"/>
                        <w:right w:val="none" w:sz="0" w:space="0" w:color="auto"/>
                      </w:divBdr>
                    </w:div>
                  </w:divsChild>
                </w:div>
                <w:div w:id="1802192957">
                  <w:marLeft w:val="0"/>
                  <w:marRight w:val="0"/>
                  <w:marTop w:val="0"/>
                  <w:marBottom w:val="0"/>
                  <w:divBdr>
                    <w:top w:val="none" w:sz="0" w:space="0" w:color="auto"/>
                    <w:left w:val="none" w:sz="0" w:space="0" w:color="auto"/>
                    <w:bottom w:val="none" w:sz="0" w:space="0" w:color="auto"/>
                    <w:right w:val="none" w:sz="0" w:space="0" w:color="auto"/>
                  </w:divBdr>
                  <w:divsChild>
                    <w:div w:id="1775901564">
                      <w:marLeft w:val="0"/>
                      <w:marRight w:val="0"/>
                      <w:marTop w:val="0"/>
                      <w:marBottom w:val="0"/>
                      <w:divBdr>
                        <w:top w:val="none" w:sz="0" w:space="0" w:color="auto"/>
                        <w:left w:val="none" w:sz="0" w:space="0" w:color="auto"/>
                        <w:bottom w:val="none" w:sz="0" w:space="0" w:color="auto"/>
                        <w:right w:val="none" w:sz="0" w:space="0" w:color="auto"/>
                      </w:divBdr>
                    </w:div>
                  </w:divsChild>
                </w:div>
                <w:div w:id="1806655079">
                  <w:marLeft w:val="0"/>
                  <w:marRight w:val="0"/>
                  <w:marTop w:val="0"/>
                  <w:marBottom w:val="0"/>
                  <w:divBdr>
                    <w:top w:val="none" w:sz="0" w:space="0" w:color="auto"/>
                    <w:left w:val="none" w:sz="0" w:space="0" w:color="auto"/>
                    <w:bottom w:val="none" w:sz="0" w:space="0" w:color="auto"/>
                    <w:right w:val="none" w:sz="0" w:space="0" w:color="auto"/>
                  </w:divBdr>
                  <w:divsChild>
                    <w:div w:id="1658222106">
                      <w:marLeft w:val="0"/>
                      <w:marRight w:val="0"/>
                      <w:marTop w:val="0"/>
                      <w:marBottom w:val="0"/>
                      <w:divBdr>
                        <w:top w:val="none" w:sz="0" w:space="0" w:color="auto"/>
                        <w:left w:val="none" w:sz="0" w:space="0" w:color="auto"/>
                        <w:bottom w:val="none" w:sz="0" w:space="0" w:color="auto"/>
                        <w:right w:val="none" w:sz="0" w:space="0" w:color="auto"/>
                      </w:divBdr>
                    </w:div>
                  </w:divsChild>
                </w:div>
                <w:div w:id="1872448390">
                  <w:marLeft w:val="0"/>
                  <w:marRight w:val="0"/>
                  <w:marTop w:val="0"/>
                  <w:marBottom w:val="0"/>
                  <w:divBdr>
                    <w:top w:val="none" w:sz="0" w:space="0" w:color="auto"/>
                    <w:left w:val="none" w:sz="0" w:space="0" w:color="auto"/>
                    <w:bottom w:val="none" w:sz="0" w:space="0" w:color="auto"/>
                    <w:right w:val="none" w:sz="0" w:space="0" w:color="auto"/>
                  </w:divBdr>
                  <w:divsChild>
                    <w:div w:id="1987123535">
                      <w:marLeft w:val="0"/>
                      <w:marRight w:val="0"/>
                      <w:marTop w:val="0"/>
                      <w:marBottom w:val="0"/>
                      <w:divBdr>
                        <w:top w:val="none" w:sz="0" w:space="0" w:color="auto"/>
                        <w:left w:val="none" w:sz="0" w:space="0" w:color="auto"/>
                        <w:bottom w:val="none" w:sz="0" w:space="0" w:color="auto"/>
                        <w:right w:val="none" w:sz="0" w:space="0" w:color="auto"/>
                      </w:divBdr>
                    </w:div>
                  </w:divsChild>
                </w:div>
                <w:div w:id="1895892705">
                  <w:marLeft w:val="0"/>
                  <w:marRight w:val="0"/>
                  <w:marTop w:val="0"/>
                  <w:marBottom w:val="0"/>
                  <w:divBdr>
                    <w:top w:val="none" w:sz="0" w:space="0" w:color="auto"/>
                    <w:left w:val="none" w:sz="0" w:space="0" w:color="auto"/>
                    <w:bottom w:val="none" w:sz="0" w:space="0" w:color="auto"/>
                    <w:right w:val="none" w:sz="0" w:space="0" w:color="auto"/>
                  </w:divBdr>
                  <w:divsChild>
                    <w:div w:id="1170024257">
                      <w:marLeft w:val="0"/>
                      <w:marRight w:val="0"/>
                      <w:marTop w:val="0"/>
                      <w:marBottom w:val="0"/>
                      <w:divBdr>
                        <w:top w:val="none" w:sz="0" w:space="0" w:color="auto"/>
                        <w:left w:val="none" w:sz="0" w:space="0" w:color="auto"/>
                        <w:bottom w:val="none" w:sz="0" w:space="0" w:color="auto"/>
                        <w:right w:val="none" w:sz="0" w:space="0" w:color="auto"/>
                      </w:divBdr>
                    </w:div>
                  </w:divsChild>
                </w:div>
                <w:div w:id="1906335200">
                  <w:marLeft w:val="0"/>
                  <w:marRight w:val="0"/>
                  <w:marTop w:val="0"/>
                  <w:marBottom w:val="0"/>
                  <w:divBdr>
                    <w:top w:val="none" w:sz="0" w:space="0" w:color="auto"/>
                    <w:left w:val="none" w:sz="0" w:space="0" w:color="auto"/>
                    <w:bottom w:val="none" w:sz="0" w:space="0" w:color="auto"/>
                    <w:right w:val="none" w:sz="0" w:space="0" w:color="auto"/>
                  </w:divBdr>
                  <w:divsChild>
                    <w:div w:id="717053564">
                      <w:marLeft w:val="0"/>
                      <w:marRight w:val="0"/>
                      <w:marTop w:val="0"/>
                      <w:marBottom w:val="0"/>
                      <w:divBdr>
                        <w:top w:val="none" w:sz="0" w:space="0" w:color="auto"/>
                        <w:left w:val="none" w:sz="0" w:space="0" w:color="auto"/>
                        <w:bottom w:val="none" w:sz="0" w:space="0" w:color="auto"/>
                        <w:right w:val="none" w:sz="0" w:space="0" w:color="auto"/>
                      </w:divBdr>
                    </w:div>
                  </w:divsChild>
                </w:div>
                <w:div w:id="1925609189">
                  <w:marLeft w:val="0"/>
                  <w:marRight w:val="0"/>
                  <w:marTop w:val="0"/>
                  <w:marBottom w:val="0"/>
                  <w:divBdr>
                    <w:top w:val="none" w:sz="0" w:space="0" w:color="auto"/>
                    <w:left w:val="none" w:sz="0" w:space="0" w:color="auto"/>
                    <w:bottom w:val="none" w:sz="0" w:space="0" w:color="auto"/>
                    <w:right w:val="none" w:sz="0" w:space="0" w:color="auto"/>
                  </w:divBdr>
                  <w:divsChild>
                    <w:div w:id="1990667987">
                      <w:marLeft w:val="0"/>
                      <w:marRight w:val="0"/>
                      <w:marTop w:val="0"/>
                      <w:marBottom w:val="0"/>
                      <w:divBdr>
                        <w:top w:val="none" w:sz="0" w:space="0" w:color="auto"/>
                        <w:left w:val="none" w:sz="0" w:space="0" w:color="auto"/>
                        <w:bottom w:val="none" w:sz="0" w:space="0" w:color="auto"/>
                        <w:right w:val="none" w:sz="0" w:space="0" w:color="auto"/>
                      </w:divBdr>
                    </w:div>
                  </w:divsChild>
                </w:div>
                <w:div w:id="1945576244">
                  <w:marLeft w:val="0"/>
                  <w:marRight w:val="0"/>
                  <w:marTop w:val="0"/>
                  <w:marBottom w:val="0"/>
                  <w:divBdr>
                    <w:top w:val="none" w:sz="0" w:space="0" w:color="auto"/>
                    <w:left w:val="none" w:sz="0" w:space="0" w:color="auto"/>
                    <w:bottom w:val="none" w:sz="0" w:space="0" w:color="auto"/>
                    <w:right w:val="none" w:sz="0" w:space="0" w:color="auto"/>
                  </w:divBdr>
                  <w:divsChild>
                    <w:div w:id="1350181179">
                      <w:marLeft w:val="0"/>
                      <w:marRight w:val="0"/>
                      <w:marTop w:val="0"/>
                      <w:marBottom w:val="0"/>
                      <w:divBdr>
                        <w:top w:val="none" w:sz="0" w:space="0" w:color="auto"/>
                        <w:left w:val="none" w:sz="0" w:space="0" w:color="auto"/>
                        <w:bottom w:val="none" w:sz="0" w:space="0" w:color="auto"/>
                        <w:right w:val="none" w:sz="0" w:space="0" w:color="auto"/>
                      </w:divBdr>
                    </w:div>
                  </w:divsChild>
                </w:div>
                <w:div w:id="1994019303">
                  <w:marLeft w:val="0"/>
                  <w:marRight w:val="0"/>
                  <w:marTop w:val="0"/>
                  <w:marBottom w:val="0"/>
                  <w:divBdr>
                    <w:top w:val="none" w:sz="0" w:space="0" w:color="auto"/>
                    <w:left w:val="none" w:sz="0" w:space="0" w:color="auto"/>
                    <w:bottom w:val="none" w:sz="0" w:space="0" w:color="auto"/>
                    <w:right w:val="none" w:sz="0" w:space="0" w:color="auto"/>
                  </w:divBdr>
                  <w:divsChild>
                    <w:div w:id="1891840857">
                      <w:marLeft w:val="0"/>
                      <w:marRight w:val="0"/>
                      <w:marTop w:val="0"/>
                      <w:marBottom w:val="0"/>
                      <w:divBdr>
                        <w:top w:val="none" w:sz="0" w:space="0" w:color="auto"/>
                        <w:left w:val="none" w:sz="0" w:space="0" w:color="auto"/>
                        <w:bottom w:val="none" w:sz="0" w:space="0" w:color="auto"/>
                        <w:right w:val="none" w:sz="0" w:space="0" w:color="auto"/>
                      </w:divBdr>
                    </w:div>
                  </w:divsChild>
                </w:div>
                <w:div w:id="2020694784">
                  <w:marLeft w:val="0"/>
                  <w:marRight w:val="0"/>
                  <w:marTop w:val="0"/>
                  <w:marBottom w:val="0"/>
                  <w:divBdr>
                    <w:top w:val="none" w:sz="0" w:space="0" w:color="auto"/>
                    <w:left w:val="none" w:sz="0" w:space="0" w:color="auto"/>
                    <w:bottom w:val="none" w:sz="0" w:space="0" w:color="auto"/>
                    <w:right w:val="none" w:sz="0" w:space="0" w:color="auto"/>
                  </w:divBdr>
                  <w:divsChild>
                    <w:div w:id="41560153">
                      <w:marLeft w:val="0"/>
                      <w:marRight w:val="0"/>
                      <w:marTop w:val="0"/>
                      <w:marBottom w:val="0"/>
                      <w:divBdr>
                        <w:top w:val="none" w:sz="0" w:space="0" w:color="auto"/>
                        <w:left w:val="none" w:sz="0" w:space="0" w:color="auto"/>
                        <w:bottom w:val="none" w:sz="0" w:space="0" w:color="auto"/>
                        <w:right w:val="none" w:sz="0" w:space="0" w:color="auto"/>
                      </w:divBdr>
                    </w:div>
                  </w:divsChild>
                </w:div>
                <w:div w:id="2021008145">
                  <w:marLeft w:val="0"/>
                  <w:marRight w:val="0"/>
                  <w:marTop w:val="0"/>
                  <w:marBottom w:val="0"/>
                  <w:divBdr>
                    <w:top w:val="none" w:sz="0" w:space="0" w:color="auto"/>
                    <w:left w:val="none" w:sz="0" w:space="0" w:color="auto"/>
                    <w:bottom w:val="none" w:sz="0" w:space="0" w:color="auto"/>
                    <w:right w:val="none" w:sz="0" w:space="0" w:color="auto"/>
                  </w:divBdr>
                  <w:divsChild>
                    <w:div w:id="1837525506">
                      <w:marLeft w:val="0"/>
                      <w:marRight w:val="0"/>
                      <w:marTop w:val="0"/>
                      <w:marBottom w:val="0"/>
                      <w:divBdr>
                        <w:top w:val="none" w:sz="0" w:space="0" w:color="auto"/>
                        <w:left w:val="none" w:sz="0" w:space="0" w:color="auto"/>
                        <w:bottom w:val="none" w:sz="0" w:space="0" w:color="auto"/>
                        <w:right w:val="none" w:sz="0" w:space="0" w:color="auto"/>
                      </w:divBdr>
                    </w:div>
                  </w:divsChild>
                </w:div>
                <w:div w:id="2043939106">
                  <w:marLeft w:val="0"/>
                  <w:marRight w:val="0"/>
                  <w:marTop w:val="0"/>
                  <w:marBottom w:val="0"/>
                  <w:divBdr>
                    <w:top w:val="none" w:sz="0" w:space="0" w:color="auto"/>
                    <w:left w:val="none" w:sz="0" w:space="0" w:color="auto"/>
                    <w:bottom w:val="none" w:sz="0" w:space="0" w:color="auto"/>
                    <w:right w:val="none" w:sz="0" w:space="0" w:color="auto"/>
                  </w:divBdr>
                  <w:divsChild>
                    <w:div w:id="1608392049">
                      <w:marLeft w:val="0"/>
                      <w:marRight w:val="0"/>
                      <w:marTop w:val="0"/>
                      <w:marBottom w:val="0"/>
                      <w:divBdr>
                        <w:top w:val="none" w:sz="0" w:space="0" w:color="auto"/>
                        <w:left w:val="none" w:sz="0" w:space="0" w:color="auto"/>
                        <w:bottom w:val="none" w:sz="0" w:space="0" w:color="auto"/>
                        <w:right w:val="none" w:sz="0" w:space="0" w:color="auto"/>
                      </w:divBdr>
                    </w:div>
                  </w:divsChild>
                </w:div>
                <w:div w:id="2046831727">
                  <w:marLeft w:val="0"/>
                  <w:marRight w:val="0"/>
                  <w:marTop w:val="0"/>
                  <w:marBottom w:val="0"/>
                  <w:divBdr>
                    <w:top w:val="none" w:sz="0" w:space="0" w:color="auto"/>
                    <w:left w:val="none" w:sz="0" w:space="0" w:color="auto"/>
                    <w:bottom w:val="none" w:sz="0" w:space="0" w:color="auto"/>
                    <w:right w:val="none" w:sz="0" w:space="0" w:color="auto"/>
                  </w:divBdr>
                  <w:divsChild>
                    <w:div w:id="1382710838">
                      <w:marLeft w:val="0"/>
                      <w:marRight w:val="0"/>
                      <w:marTop w:val="0"/>
                      <w:marBottom w:val="0"/>
                      <w:divBdr>
                        <w:top w:val="none" w:sz="0" w:space="0" w:color="auto"/>
                        <w:left w:val="none" w:sz="0" w:space="0" w:color="auto"/>
                        <w:bottom w:val="none" w:sz="0" w:space="0" w:color="auto"/>
                        <w:right w:val="none" w:sz="0" w:space="0" w:color="auto"/>
                      </w:divBdr>
                    </w:div>
                  </w:divsChild>
                </w:div>
                <w:div w:id="2103140256">
                  <w:marLeft w:val="0"/>
                  <w:marRight w:val="0"/>
                  <w:marTop w:val="0"/>
                  <w:marBottom w:val="0"/>
                  <w:divBdr>
                    <w:top w:val="none" w:sz="0" w:space="0" w:color="auto"/>
                    <w:left w:val="none" w:sz="0" w:space="0" w:color="auto"/>
                    <w:bottom w:val="none" w:sz="0" w:space="0" w:color="auto"/>
                    <w:right w:val="none" w:sz="0" w:space="0" w:color="auto"/>
                  </w:divBdr>
                  <w:divsChild>
                    <w:div w:id="1634169901">
                      <w:marLeft w:val="0"/>
                      <w:marRight w:val="0"/>
                      <w:marTop w:val="0"/>
                      <w:marBottom w:val="0"/>
                      <w:divBdr>
                        <w:top w:val="none" w:sz="0" w:space="0" w:color="auto"/>
                        <w:left w:val="none" w:sz="0" w:space="0" w:color="auto"/>
                        <w:bottom w:val="none" w:sz="0" w:space="0" w:color="auto"/>
                        <w:right w:val="none" w:sz="0" w:space="0" w:color="auto"/>
                      </w:divBdr>
                    </w:div>
                  </w:divsChild>
                </w:div>
                <w:div w:id="2104835848">
                  <w:marLeft w:val="0"/>
                  <w:marRight w:val="0"/>
                  <w:marTop w:val="0"/>
                  <w:marBottom w:val="0"/>
                  <w:divBdr>
                    <w:top w:val="none" w:sz="0" w:space="0" w:color="auto"/>
                    <w:left w:val="none" w:sz="0" w:space="0" w:color="auto"/>
                    <w:bottom w:val="none" w:sz="0" w:space="0" w:color="auto"/>
                    <w:right w:val="none" w:sz="0" w:space="0" w:color="auto"/>
                  </w:divBdr>
                  <w:divsChild>
                    <w:div w:id="416824417">
                      <w:marLeft w:val="0"/>
                      <w:marRight w:val="0"/>
                      <w:marTop w:val="0"/>
                      <w:marBottom w:val="0"/>
                      <w:divBdr>
                        <w:top w:val="none" w:sz="0" w:space="0" w:color="auto"/>
                        <w:left w:val="none" w:sz="0" w:space="0" w:color="auto"/>
                        <w:bottom w:val="none" w:sz="0" w:space="0" w:color="auto"/>
                        <w:right w:val="none" w:sz="0" w:space="0" w:color="auto"/>
                      </w:divBdr>
                    </w:div>
                  </w:divsChild>
                </w:div>
                <w:div w:id="2140372579">
                  <w:marLeft w:val="0"/>
                  <w:marRight w:val="0"/>
                  <w:marTop w:val="0"/>
                  <w:marBottom w:val="0"/>
                  <w:divBdr>
                    <w:top w:val="none" w:sz="0" w:space="0" w:color="auto"/>
                    <w:left w:val="none" w:sz="0" w:space="0" w:color="auto"/>
                    <w:bottom w:val="none" w:sz="0" w:space="0" w:color="auto"/>
                    <w:right w:val="none" w:sz="0" w:space="0" w:color="auto"/>
                  </w:divBdr>
                  <w:divsChild>
                    <w:div w:id="12974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453">
          <w:marLeft w:val="0"/>
          <w:marRight w:val="0"/>
          <w:marTop w:val="0"/>
          <w:marBottom w:val="0"/>
          <w:divBdr>
            <w:top w:val="none" w:sz="0" w:space="0" w:color="auto"/>
            <w:left w:val="none" w:sz="0" w:space="0" w:color="auto"/>
            <w:bottom w:val="none" w:sz="0" w:space="0" w:color="auto"/>
            <w:right w:val="none" w:sz="0" w:space="0" w:color="auto"/>
          </w:divBdr>
        </w:div>
        <w:div w:id="1574048077">
          <w:marLeft w:val="0"/>
          <w:marRight w:val="0"/>
          <w:marTop w:val="0"/>
          <w:marBottom w:val="0"/>
          <w:divBdr>
            <w:top w:val="none" w:sz="0" w:space="0" w:color="auto"/>
            <w:left w:val="none" w:sz="0" w:space="0" w:color="auto"/>
            <w:bottom w:val="none" w:sz="0" w:space="0" w:color="auto"/>
            <w:right w:val="none" w:sz="0" w:space="0" w:color="auto"/>
          </w:divBdr>
        </w:div>
        <w:div w:id="1673607195">
          <w:marLeft w:val="0"/>
          <w:marRight w:val="0"/>
          <w:marTop w:val="0"/>
          <w:marBottom w:val="0"/>
          <w:divBdr>
            <w:top w:val="none" w:sz="0" w:space="0" w:color="auto"/>
            <w:left w:val="none" w:sz="0" w:space="0" w:color="auto"/>
            <w:bottom w:val="none" w:sz="0" w:space="0" w:color="auto"/>
            <w:right w:val="none" w:sz="0" w:space="0" w:color="auto"/>
          </w:divBdr>
        </w:div>
        <w:div w:id="1785802174">
          <w:marLeft w:val="0"/>
          <w:marRight w:val="0"/>
          <w:marTop w:val="0"/>
          <w:marBottom w:val="0"/>
          <w:divBdr>
            <w:top w:val="none" w:sz="0" w:space="0" w:color="auto"/>
            <w:left w:val="none" w:sz="0" w:space="0" w:color="auto"/>
            <w:bottom w:val="none" w:sz="0" w:space="0" w:color="auto"/>
            <w:right w:val="none" w:sz="0" w:space="0" w:color="auto"/>
          </w:divBdr>
        </w:div>
        <w:div w:id="1874684693">
          <w:marLeft w:val="0"/>
          <w:marRight w:val="0"/>
          <w:marTop w:val="0"/>
          <w:marBottom w:val="0"/>
          <w:divBdr>
            <w:top w:val="none" w:sz="0" w:space="0" w:color="auto"/>
            <w:left w:val="none" w:sz="0" w:space="0" w:color="auto"/>
            <w:bottom w:val="none" w:sz="0" w:space="0" w:color="auto"/>
            <w:right w:val="none" w:sz="0" w:space="0" w:color="auto"/>
          </w:divBdr>
        </w:div>
        <w:div w:id="1891532243">
          <w:marLeft w:val="0"/>
          <w:marRight w:val="0"/>
          <w:marTop w:val="0"/>
          <w:marBottom w:val="0"/>
          <w:divBdr>
            <w:top w:val="none" w:sz="0" w:space="0" w:color="auto"/>
            <w:left w:val="none" w:sz="0" w:space="0" w:color="auto"/>
            <w:bottom w:val="none" w:sz="0" w:space="0" w:color="auto"/>
            <w:right w:val="none" w:sz="0" w:space="0" w:color="auto"/>
          </w:divBdr>
        </w:div>
      </w:divsChild>
    </w:div>
    <w:div w:id="713505586">
      <w:bodyDiv w:val="1"/>
      <w:marLeft w:val="0"/>
      <w:marRight w:val="0"/>
      <w:marTop w:val="0"/>
      <w:marBottom w:val="0"/>
      <w:divBdr>
        <w:top w:val="none" w:sz="0" w:space="0" w:color="auto"/>
        <w:left w:val="none" w:sz="0" w:space="0" w:color="auto"/>
        <w:bottom w:val="none" w:sz="0" w:space="0" w:color="auto"/>
        <w:right w:val="none" w:sz="0" w:space="0" w:color="auto"/>
      </w:divBdr>
      <w:divsChild>
        <w:div w:id="541212401">
          <w:marLeft w:val="0"/>
          <w:marRight w:val="0"/>
          <w:marTop w:val="0"/>
          <w:marBottom w:val="0"/>
          <w:divBdr>
            <w:top w:val="none" w:sz="0" w:space="0" w:color="auto"/>
            <w:left w:val="none" w:sz="0" w:space="0" w:color="auto"/>
            <w:bottom w:val="none" w:sz="0" w:space="0" w:color="auto"/>
            <w:right w:val="none" w:sz="0" w:space="0" w:color="auto"/>
          </w:divBdr>
        </w:div>
        <w:div w:id="727338407">
          <w:marLeft w:val="0"/>
          <w:marRight w:val="0"/>
          <w:marTop w:val="0"/>
          <w:marBottom w:val="0"/>
          <w:divBdr>
            <w:top w:val="none" w:sz="0" w:space="0" w:color="auto"/>
            <w:left w:val="none" w:sz="0" w:space="0" w:color="auto"/>
            <w:bottom w:val="none" w:sz="0" w:space="0" w:color="auto"/>
            <w:right w:val="none" w:sz="0" w:space="0" w:color="auto"/>
          </w:divBdr>
        </w:div>
        <w:div w:id="864713764">
          <w:marLeft w:val="0"/>
          <w:marRight w:val="0"/>
          <w:marTop w:val="0"/>
          <w:marBottom w:val="0"/>
          <w:divBdr>
            <w:top w:val="none" w:sz="0" w:space="0" w:color="auto"/>
            <w:left w:val="none" w:sz="0" w:space="0" w:color="auto"/>
            <w:bottom w:val="none" w:sz="0" w:space="0" w:color="auto"/>
            <w:right w:val="none" w:sz="0" w:space="0" w:color="auto"/>
          </w:divBdr>
          <w:divsChild>
            <w:div w:id="1412777860">
              <w:marLeft w:val="-75"/>
              <w:marRight w:val="0"/>
              <w:marTop w:val="30"/>
              <w:marBottom w:val="30"/>
              <w:divBdr>
                <w:top w:val="none" w:sz="0" w:space="0" w:color="auto"/>
                <w:left w:val="none" w:sz="0" w:space="0" w:color="auto"/>
                <w:bottom w:val="none" w:sz="0" w:space="0" w:color="auto"/>
                <w:right w:val="none" w:sz="0" w:space="0" w:color="auto"/>
              </w:divBdr>
              <w:divsChild>
                <w:div w:id="86940">
                  <w:marLeft w:val="0"/>
                  <w:marRight w:val="0"/>
                  <w:marTop w:val="0"/>
                  <w:marBottom w:val="0"/>
                  <w:divBdr>
                    <w:top w:val="none" w:sz="0" w:space="0" w:color="auto"/>
                    <w:left w:val="none" w:sz="0" w:space="0" w:color="auto"/>
                    <w:bottom w:val="none" w:sz="0" w:space="0" w:color="auto"/>
                    <w:right w:val="none" w:sz="0" w:space="0" w:color="auto"/>
                  </w:divBdr>
                  <w:divsChild>
                    <w:div w:id="70009500">
                      <w:marLeft w:val="0"/>
                      <w:marRight w:val="0"/>
                      <w:marTop w:val="0"/>
                      <w:marBottom w:val="0"/>
                      <w:divBdr>
                        <w:top w:val="none" w:sz="0" w:space="0" w:color="auto"/>
                        <w:left w:val="none" w:sz="0" w:space="0" w:color="auto"/>
                        <w:bottom w:val="none" w:sz="0" w:space="0" w:color="auto"/>
                        <w:right w:val="none" w:sz="0" w:space="0" w:color="auto"/>
                      </w:divBdr>
                    </w:div>
                  </w:divsChild>
                </w:div>
                <w:div w:id="34353432">
                  <w:marLeft w:val="0"/>
                  <w:marRight w:val="0"/>
                  <w:marTop w:val="0"/>
                  <w:marBottom w:val="0"/>
                  <w:divBdr>
                    <w:top w:val="none" w:sz="0" w:space="0" w:color="auto"/>
                    <w:left w:val="none" w:sz="0" w:space="0" w:color="auto"/>
                    <w:bottom w:val="none" w:sz="0" w:space="0" w:color="auto"/>
                    <w:right w:val="none" w:sz="0" w:space="0" w:color="auto"/>
                  </w:divBdr>
                  <w:divsChild>
                    <w:div w:id="195580083">
                      <w:marLeft w:val="0"/>
                      <w:marRight w:val="0"/>
                      <w:marTop w:val="0"/>
                      <w:marBottom w:val="0"/>
                      <w:divBdr>
                        <w:top w:val="none" w:sz="0" w:space="0" w:color="auto"/>
                        <w:left w:val="none" w:sz="0" w:space="0" w:color="auto"/>
                        <w:bottom w:val="none" w:sz="0" w:space="0" w:color="auto"/>
                        <w:right w:val="none" w:sz="0" w:space="0" w:color="auto"/>
                      </w:divBdr>
                    </w:div>
                  </w:divsChild>
                </w:div>
                <w:div w:id="92940258">
                  <w:marLeft w:val="0"/>
                  <w:marRight w:val="0"/>
                  <w:marTop w:val="0"/>
                  <w:marBottom w:val="0"/>
                  <w:divBdr>
                    <w:top w:val="none" w:sz="0" w:space="0" w:color="auto"/>
                    <w:left w:val="none" w:sz="0" w:space="0" w:color="auto"/>
                    <w:bottom w:val="none" w:sz="0" w:space="0" w:color="auto"/>
                    <w:right w:val="none" w:sz="0" w:space="0" w:color="auto"/>
                  </w:divBdr>
                  <w:divsChild>
                    <w:div w:id="20128760">
                      <w:marLeft w:val="0"/>
                      <w:marRight w:val="0"/>
                      <w:marTop w:val="0"/>
                      <w:marBottom w:val="0"/>
                      <w:divBdr>
                        <w:top w:val="none" w:sz="0" w:space="0" w:color="auto"/>
                        <w:left w:val="none" w:sz="0" w:space="0" w:color="auto"/>
                        <w:bottom w:val="none" w:sz="0" w:space="0" w:color="auto"/>
                        <w:right w:val="none" w:sz="0" w:space="0" w:color="auto"/>
                      </w:divBdr>
                    </w:div>
                  </w:divsChild>
                </w:div>
                <w:div w:id="140972282">
                  <w:marLeft w:val="0"/>
                  <w:marRight w:val="0"/>
                  <w:marTop w:val="0"/>
                  <w:marBottom w:val="0"/>
                  <w:divBdr>
                    <w:top w:val="none" w:sz="0" w:space="0" w:color="auto"/>
                    <w:left w:val="none" w:sz="0" w:space="0" w:color="auto"/>
                    <w:bottom w:val="none" w:sz="0" w:space="0" w:color="auto"/>
                    <w:right w:val="none" w:sz="0" w:space="0" w:color="auto"/>
                  </w:divBdr>
                  <w:divsChild>
                    <w:div w:id="724793516">
                      <w:marLeft w:val="0"/>
                      <w:marRight w:val="0"/>
                      <w:marTop w:val="0"/>
                      <w:marBottom w:val="0"/>
                      <w:divBdr>
                        <w:top w:val="none" w:sz="0" w:space="0" w:color="auto"/>
                        <w:left w:val="none" w:sz="0" w:space="0" w:color="auto"/>
                        <w:bottom w:val="none" w:sz="0" w:space="0" w:color="auto"/>
                        <w:right w:val="none" w:sz="0" w:space="0" w:color="auto"/>
                      </w:divBdr>
                    </w:div>
                  </w:divsChild>
                </w:div>
                <w:div w:id="278266953">
                  <w:marLeft w:val="0"/>
                  <w:marRight w:val="0"/>
                  <w:marTop w:val="0"/>
                  <w:marBottom w:val="0"/>
                  <w:divBdr>
                    <w:top w:val="none" w:sz="0" w:space="0" w:color="auto"/>
                    <w:left w:val="none" w:sz="0" w:space="0" w:color="auto"/>
                    <w:bottom w:val="none" w:sz="0" w:space="0" w:color="auto"/>
                    <w:right w:val="none" w:sz="0" w:space="0" w:color="auto"/>
                  </w:divBdr>
                  <w:divsChild>
                    <w:div w:id="1862430815">
                      <w:marLeft w:val="0"/>
                      <w:marRight w:val="0"/>
                      <w:marTop w:val="0"/>
                      <w:marBottom w:val="0"/>
                      <w:divBdr>
                        <w:top w:val="none" w:sz="0" w:space="0" w:color="auto"/>
                        <w:left w:val="none" w:sz="0" w:space="0" w:color="auto"/>
                        <w:bottom w:val="none" w:sz="0" w:space="0" w:color="auto"/>
                        <w:right w:val="none" w:sz="0" w:space="0" w:color="auto"/>
                      </w:divBdr>
                    </w:div>
                  </w:divsChild>
                </w:div>
                <w:div w:id="290211375">
                  <w:marLeft w:val="0"/>
                  <w:marRight w:val="0"/>
                  <w:marTop w:val="0"/>
                  <w:marBottom w:val="0"/>
                  <w:divBdr>
                    <w:top w:val="none" w:sz="0" w:space="0" w:color="auto"/>
                    <w:left w:val="none" w:sz="0" w:space="0" w:color="auto"/>
                    <w:bottom w:val="none" w:sz="0" w:space="0" w:color="auto"/>
                    <w:right w:val="none" w:sz="0" w:space="0" w:color="auto"/>
                  </w:divBdr>
                  <w:divsChild>
                    <w:div w:id="965620556">
                      <w:marLeft w:val="0"/>
                      <w:marRight w:val="0"/>
                      <w:marTop w:val="0"/>
                      <w:marBottom w:val="0"/>
                      <w:divBdr>
                        <w:top w:val="none" w:sz="0" w:space="0" w:color="auto"/>
                        <w:left w:val="none" w:sz="0" w:space="0" w:color="auto"/>
                        <w:bottom w:val="none" w:sz="0" w:space="0" w:color="auto"/>
                        <w:right w:val="none" w:sz="0" w:space="0" w:color="auto"/>
                      </w:divBdr>
                    </w:div>
                  </w:divsChild>
                </w:div>
                <w:div w:id="302585678">
                  <w:marLeft w:val="0"/>
                  <w:marRight w:val="0"/>
                  <w:marTop w:val="0"/>
                  <w:marBottom w:val="0"/>
                  <w:divBdr>
                    <w:top w:val="none" w:sz="0" w:space="0" w:color="auto"/>
                    <w:left w:val="none" w:sz="0" w:space="0" w:color="auto"/>
                    <w:bottom w:val="none" w:sz="0" w:space="0" w:color="auto"/>
                    <w:right w:val="none" w:sz="0" w:space="0" w:color="auto"/>
                  </w:divBdr>
                  <w:divsChild>
                    <w:div w:id="866915904">
                      <w:marLeft w:val="0"/>
                      <w:marRight w:val="0"/>
                      <w:marTop w:val="0"/>
                      <w:marBottom w:val="0"/>
                      <w:divBdr>
                        <w:top w:val="none" w:sz="0" w:space="0" w:color="auto"/>
                        <w:left w:val="none" w:sz="0" w:space="0" w:color="auto"/>
                        <w:bottom w:val="none" w:sz="0" w:space="0" w:color="auto"/>
                        <w:right w:val="none" w:sz="0" w:space="0" w:color="auto"/>
                      </w:divBdr>
                    </w:div>
                  </w:divsChild>
                </w:div>
                <w:div w:id="312415418">
                  <w:marLeft w:val="0"/>
                  <w:marRight w:val="0"/>
                  <w:marTop w:val="0"/>
                  <w:marBottom w:val="0"/>
                  <w:divBdr>
                    <w:top w:val="none" w:sz="0" w:space="0" w:color="auto"/>
                    <w:left w:val="none" w:sz="0" w:space="0" w:color="auto"/>
                    <w:bottom w:val="none" w:sz="0" w:space="0" w:color="auto"/>
                    <w:right w:val="none" w:sz="0" w:space="0" w:color="auto"/>
                  </w:divBdr>
                  <w:divsChild>
                    <w:div w:id="1495607015">
                      <w:marLeft w:val="0"/>
                      <w:marRight w:val="0"/>
                      <w:marTop w:val="0"/>
                      <w:marBottom w:val="0"/>
                      <w:divBdr>
                        <w:top w:val="none" w:sz="0" w:space="0" w:color="auto"/>
                        <w:left w:val="none" w:sz="0" w:space="0" w:color="auto"/>
                        <w:bottom w:val="none" w:sz="0" w:space="0" w:color="auto"/>
                        <w:right w:val="none" w:sz="0" w:space="0" w:color="auto"/>
                      </w:divBdr>
                    </w:div>
                  </w:divsChild>
                </w:div>
                <w:div w:id="351034711">
                  <w:marLeft w:val="0"/>
                  <w:marRight w:val="0"/>
                  <w:marTop w:val="0"/>
                  <w:marBottom w:val="0"/>
                  <w:divBdr>
                    <w:top w:val="none" w:sz="0" w:space="0" w:color="auto"/>
                    <w:left w:val="none" w:sz="0" w:space="0" w:color="auto"/>
                    <w:bottom w:val="none" w:sz="0" w:space="0" w:color="auto"/>
                    <w:right w:val="none" w:sz="0" w:space="0" w:color="auto"/>
                  </w:divBdr>
                  <w:divsChild>
                    <w:div w:id="75172992">
                      <w:marLeft w:val="0"/>
                      <w:marRight w:val="0"/>
                      <w:marTop w:val="0"/>
                      <w:marBottom w:val="0"/>
                      <w:divBdr>
                        <w:top w:val="none" w:sz="0" w:space="0" w:color="auto"/>
                        <w:left w:val="none" w:sz="0" w:space="0" w:color="auto"/>
                        <w:bottom w:val="none" w:sz="0" w:space="0" w:color="auto"/>
                        <w:right w:val="none" w:sz="0" w:space="0" w:color="auto"/>
                      </w:divBdr>
                    </w:div>
                  </w:divsChild>
                </w:div>
                <w:div w:id="394815000">
                  <w:marLeft w:val="0"/>
                  <w:marRight w:val="0"/>
                  <w:marTop w:val="0"/>
                  <w:marBottom w:val="0"/>
                  <w:divBdr>
                    <w:top w:val="none" w:sz="0" w:space="0" w:color="auto"/>
                    <w:left w:val="none" w:sz="0" w:space="0" w:color="auto"/>
                    <w:bottom w:val="none" w:sz="0" w:space="0" w:color="auto"/>
                    <w:right w:val="none" w:sz="0" w:space="0" w:color="auto"/>
                  </w:divBdr>
                  <w:divsChild>
                    <w:div w:id="218977813">
                      <w:marLeft w:val="0"/>
                      <w:marRight w:val="0"/>
                      <w:marTop w:val="0"/>
                      <w:marBottom w:val="0"/>
                      <w:divBdr>
                        <w:top w:val="none" w:sz="0" w:space="0" w:color="auto"/>
                        <w:left w:val="none" w:sz="0" w:space="0" w:color="auto"/>
                        <w:bottom w:val="none" w:sz="0" w:space="0" w:color="auto"/>
                        <w:right w:val="none" w:sz="0" w:space="0" w:color="auto"/>
                      </w:divBdr>
                    </w:div>
                  </w:divsChild>
                </w:div>
                <w:div w:id="401223688">
                  <w:marLeft w:val="0"/>
                  <w:marRight w:val="0"/>
                  <w:marTop w:val="0"/>
                  <w:marBottom w:val="0"/>
                  <w:divBdr>
                    <w:top w:val="none" w:sz="0" w:space="0" w:color="auto"/>
                    <w:left w:val="none" w:sz="0" w:space="0" w:color="auto"/>
                    <w:bottom w:val="none" w:sz="0" w:space="0" w:color="auto"/>
                    <w:right w:val="none" w:sz="0" w:space="0" w:color="auto"/>
                  </w:divBdr>
                  <w:divsChild>
                    <w:div w:id="806320504">
                      <w:marLeft w:val="0"/>
                      <w:marRight w:val="0"/>
                      <w:marTop w:val="0"/>
                      <w:marBottom w:val="0"/>
                      <w:divBdr>
                        <w:top w:val="none" w:sz="0" w:space="0" w:color="auto"/>
                        <w:left w:val="none" w:sz="0" w:space="0" w:color="auto"/>
                        <w:bottom w:val="none" w:sz="0" w:space="0" w:color="auto"/>
                        <w:right w:val="none" w:sz="0" w:space="0" w:color="auto"/>
                      </w:divBdr>
                    </w:div>
                  </w:divsChild>
                </w:div>
                <w:div w:id="412750939">
                  <w:marLeft w:val="0"/>
                  <w:marRight w:val="0"/>
                  <w:marTop w:val="0"/>
                  <w:marBottom w:val="0"/>
                  <w:divBdr>
                    <w:top w:val="none" w:sz="0" w:space="0" w:color="auto"/>
                    <w:left w:val="none" w:sz="0" w:space="0" w:color="auto"/>
                    <w:bottom w:val="none" w:sz="0" w:space="0" w:color="auto"/>
                    <w:right w:val="none" w:sz="0" w:space="0" w:color="auto"/>
                  </w:divBdr>
                  <w:divsChild>
                    <w:div w:id="452407123">
                      <w:marLeft w:val="0"/>
                      <w:marRight w:val="0"/>
                      <w:marTop w:val="0"/>
                      <w:marBottom w:val="0"/>
                      <w:divBdr>
                        <w:top w:val="none" w:sz="0" w:space="0" w:color="auto"/>
                        <w:left w:val="none" w:sz="0" w:space="0" w:color="auto"/>
                        <w:bottom w:val="none" w:sz="0" w:space="0" w:color="auto"/>
                        <w:right w:val="none" w:sz="0" w:space="0" w:color="auto"/>
                      </w:divBdr>
                    </w:div>
                  </w:divsChild>
                </w:div>
                <w:div w:id="417100561">
                  <w:marLeft w:val="0"/>
                  <w:marRight w:val="0"/>
                  <w:marTop w:val="0"/>
                  <w:marBottom w:val="0"/>
                  <w:divBdr>
                    <w:top w:val="none" w:sz="0" w:space="0" w:color="auto"/>
                    <w:left w:val="none" w:sz="0" w:space="0" w:color="auto"/>
                    <w:bottom w:val="none" w:sz="0" w:space="0" w:color="auto"/>
                    <w:right w:val="none" w:sz="0" w:space="0" w:color="auto"/>
                  </w:divBdr>
                  <w:divsChild>
                    <w:div w:id="1957177574">
                      <w:marLeft w:val="0"/>
                      <w:marRight w:val="0"/>
                      <w:marTop w:val="0"/>
                      <w:marBottom w:val="0"/>
                      <w:divBdr>
                        <w:top w:val="none" w:sz="0" w:space="0" w:color="auto"/>
                        <w:left w:val="none" w:sz="0" w:space="0" w:color="auto"/>
                        <w:bottom w:val="none" w:sz="0" w:space="0" w:color="auto"/>
                        <w:right w:val="none" w:sz="0" w:space="0" w:color="auto"/>
                      </w:divBdr>
                    </w:div>
                  </w:divsChild>
                </w:div>
                <w:div w:id="433136325">
                  <w:marLeft w:val="0"/>
                  <w:marRight w:val="0"/>
                  <w:marTop w:val="0"/>
                  <w:marBottom w:val="0"/>
                  <w:divBdr>
                    <w:top w:val="none" w:sz="0" w:space="0" w:color="auto"/>
                    <w:left w:val="none" w:sz="0" w:space="0" w:color="auto"/>
                    <w:bottom w:val="none" w:sz="0" w:space="0" w:color="auto"/>
                    <w:right w:val="none" w:sz="0" w:space="0" w:color="auto"/>
                  </w:divBdr>
                  <w:divsChild>
                    <w:div w:id="2085758085">
                      <w:marLeft w:val="0"/>
                      <w:marRight w:val="0"/>
                      <w:marTop w:val="0"/>
                      <w:marBottom w:val="0"/>
                      <w:divBdr>
                        <w:top w:val="none" w:sz="0" w:space="0" w:color="auto"/>
                        <w:left w:val="none" w:sz="0" w:space="0" w:color="auto"/>
                        <w:bottom w:val="none" w:sz="0" w:space="0" w:color="auto"/>
                        <w:right w:val="none" w:sz="0" w:space="0" w:color="auto"/>
                      </w:divBdr>
                    </w:div>
                  </w:divsChild>
                </w:div>
                <w:div w:id="442841572">
                  <w:marLeft w:val="0"/>
                  <w:marRight w:val="0"/>
                  <w:marTop w:val="0"/>
                  <w:marBottom w:val="0"/>
                  <w:divBdr>
                    <w:top w:val="none" w:sz="0" w:space="0" w:color="auto"/>
                    <w:left w:val="none" w:sz="0" w:space="0" w:color="auto"/>
                    <w:bottom w:val="none" w:sz="0" w:space="0" w:color="auto"/>
                    <w:right w:val="none" w:sz="0" w:space="0" w:color="auto"/>
                  </w:divBdr>
                  <w:divsChild>
                    <w:div w:id="1254322838">
                      <w:marLeft w:val="0"/>
                      <w:marRight w:val="0"/>
                      <w:marTop w:val="0"/>
                      <w:marBottom w:val="0"/>
                      <w:divBdr>
                        <w:top w:val="none" w:sz="0" w:space="0" w:color="auto"/>
                        <w:left w:val="none" w:sz="0" w:space="0" w:color="auto"/>
                        <w:bottom w:val="none" w:sz="0" w:space="0" w:color="auto"/>
                        <w:right w:val="none" w:sz="0" w:space="0" w:color="auto"/>
                      </w:divBdr>
                    </w:div>
                  </w:divsChild>
                </w:div>
                <w:div w:id="599487459">
                  <w:marLeft w:val="0"/>
                  <w:marRight w:val="0"/>
                  <w:marTop w:val="0"/>
                  <w:marBottom w:val="0"/>
                  <w:divBdr>
                    <w:top w:val="none" w:sz="0" w:space="0" w:color="auto"/>
                    <w:left w:val="none" w:sz="0" w:space="0" w:color="auto"/>
                    <w:bottom w:val="none" w:sz="0" w:space="0" w:color="auto"/>
                    <w:right w:val="none" w:sz="0" w:space="0" w:color="auto"/>
                  </w:divBdr>
                  <w:divsChild>
                    <w:div w:id="305009463">
                      <w:marLeft w:val="0"/>
                      <w:marRight w:val="0"/>
                      <w:marTop w:val="0"/>
                      <w:marBottom w:val="0"/>
                      <w:divBdr>
                        <w:top w:val="none" w:sz="0" w:space="0" w:color="auto"/>
                        <w:left w:val="none" w:sz="0" w:space="0" w:color="auto"/>
                        <w:bottom w:val="none" w:sz="0" w:space="0" w:color="auto"/>
                        <w:right w:val="none" w:sz="0" w:space="0" w:color="auto"/>
                      </w:divBdr>
                    </w:div>
                  </w:divsChild>
                </w:div>
                <w:div w:id="629819170">
                  <w:marLeft w:val="0"/>
                  <w:marRight w:val="0"/>
                  <w:marTop w:val="0"/>
                  <w:marBottom w:val="0"/>
                  <w:divBdr>
                    <w:top w:val="none" w:sz="0" w:space="0" w:color="auto"/>
                    <w:left w:val="none" w:sz="0" w:space="0" w:color="auto"/>
                    <w:bottom w:val="none" w:sz="0" w:space="0" w:color="auto"/>
                    <w:right w:val="none" w:sz="0" w:space="0" w:color="auto"/>
                  </w:divBdr>
                  <w:divsChild>
                    <w:div w:id="683899870">
                      <w:marLeft w:val="0"/>
                      <w:marRight w:val="0"/>
                      <w:marTop w:val="0"/>
                      <w:marBottom w:val="0"/>
                      <w:divBdr>
                        <w:top w:val="none" w:sz="0" w:space="0" w:color="auto"/>
                        <w:left w:val="none" w:sz="0" w:space="0" w:color="auto"/>
                        <w:bottom w:val="none" w:sz="0" w:space="0" w:color="auto"/>
                        <w:right w:val="none" w:sz="0" w:space="0" w:color="auto"/>
                      </w:divBdr>
                    </w:div>
                  </w:divsChild>
                </w:div>
                <w:div w:id="636300257">
                  <w:marLeft w:val="0"/>
                  <w:marRight w:val="0"/>
                  <w:marTop w:val="0"/>
                  <w:marBottom w:val="0"/>
                  <w:divBdr>
                    <w:top w:val="none" w:sz="0" w:space="0" w:color="auto"/>
                    <w:left w:val="none" w:sz="0" w:space="0" w:color="auto"/>
                    <w:bottom w:val="none" w:sz="0" w:space="0" w:color="auto"/>
                    <w:right w:val="none" w:sz="0" w:space="0" w:color="auto"/>
                  </w:divBdr>
                  <w:divsChild>
                    <w:div w:id="1145004880">
                      <w:marLeft w:val="0"/>
                      <w:marRight w:val="0"/>
                      <w:marTop w:val="0"/>
                      <w:marBottom w:val="0"/>
                      <w:divBdr>
                        <w:top w:val="none" w:sz="0" w:space="0" w:color="auto"/>
                        <w:left w:val="none" w:sz="0" w:space="0" w:color="auto"/>
                        <w:bottom w:val="none" w:sz="0" w:space="0" w:color="auto"/>
                        <w:right w:val="none" w:sz="0" w:space="0" w:color="auto"/>
                      </w:divBdr>
                    </w:div>
                  </w:divsChild>
                </w:div>
                <w:div w:id="655961073">
                  <w:marLeft w:val="0"/>
                  <w:marRight w:val="0"/>
                  <w:marTop w:val="0"/>
                  <w:marBottom w:val="0"/>
                  <w:divBdr>
                    <w:top w:val="none" w:sz="0" w:space="0" w:color="auto"/>
                    <w:left w:val="none" w:sz="0" w:space="0" w:color="auto"/>
                    <w:bottom w:val="none" w:sz="0" w:space="0" w:color="auto"/>
                    <w:right w:val="none" w:sz="0" w:space="0" w:color="auto"/>
                  </w:divBdr>
                  <w:divsChild>
                    <w:div w:id="2075084766">
                      <w:marLeft w:val="0"/>
                      <w:marRight w:val="0"/>
                      <w:marTop w:val="0"/>
                      <w:marBottom w:val="0"/>
                      <w:divBdr>
                        <w:top w:val="none" w:sz="0" w:space="0" w:color="auto"/>
                        <w:left w:val="none" w:sz="0" w:space="0" w:color="auto"/>
                        <w:bottom w:val="none" w:sz="0" w:space="0" w:color="auto"/>
                        <w:right w:val="none" w:sz="0" w:space="0" w:color="auto"/>
                      </w:divBdr>
                    </w:div>
                  </w:divsChild>
                </w:div>
                <w:div w:id="692340920">
                  <w:marLeft w:val="0"/>
                  <w:marRight w:val="0"/>
                  <w:marTop w:val="0"/>
                  <w:marBottom w:val="0"/>
                  <w:divBdr>
                    <w:top w:val="none" w:sz="0" w:space="0" w:color="auto"/>
                    <w:left w:val="none" w:sz="0" w:space="0" w:color="auto"/>
                    <w:bottom w:val="none" w:sz="0" w:space="0" w:color="auto"/>
                    <w:right w:val="none" w:sz="0" w:space="0" w:color="auto"/>
                  </w:divBdr>
                  <w:divsChild>
                    <w:div w:id="204221644">
                      <w:marLeft w:val="0"/>
                      <w:marRight w:val="0"/>
                      <w:marTop w:val="0"/>
                      <w:marBottom w:val="0"/>
                      <w:divBdr>
                        <w:top w:val="none" w:sz="0" w:space="0" w:color="auto"/>
                        <w:left w:val="none" w:sz="0" w:space="0" w:color="auto"/>
                        <w:bottom w:val="none" w:sz="0" w:space="0" w:color="auto"/>
                        <w:right w:val="none" w:sz="0" w:space="0" w:color="auto"/>
                      </w:divBdr>
                    </w:div>
                  </w:divsChild>
                </w:div>
                <w:div w:id="698168146">
                  <w:marLeft w:val="0"/>
                  <w:marRight w:val="0"/>
                  <w:marTop w:val="0"/>
                  <w:marBottom w:val="0"/>
                  <w:divBdr>
                    <w:top w:val="none" w:sz="0" w:space="0" w:color="auto"/>
                    <w:left w:val="none" w:sz="0" w:space="0" w:color="auto"/>
                    <w:bottom w:val="none" w:sz="0" w:space="0" w:color="auto"/>
                    <w:right w:val="none" w:sz="0" w:space="0" w:color="auto"/>
                  </w:divBdr>
                  <w:divsChild>
                    <w:div w:id="1381318124">
                      <w:marLeft w:val="0"/>
                      <w:marRight w:val="0"/>
                      <w:marTop w:val="0"/>
                      <w:marBottom w:val="0"/>
                      <w:divBdr>
                        <w:top w:val="none" w:sz="0" w:space="0" w:color="auto"/>
                        <w:left w:val="none" w:sz="0" w:space="0" w:color="auto"/>
                        <w:bottom w:val="none" w:sz="0" w:space="0" w:color="auto"/>
                        <w:right w:val="none" w:sz="0" w:space="0" w:color="auto"/>
                      </w:divBdr>
                    </w:div>
                  </w:divsChild>
                </w:div>
                <w:div w:id="802384410">
                  <w:marLeft w:val="0"/>
                  <w:marRight w:val="0"/>
                  <w:marTop w:val="0"/>
                  <w:marBottom w:val="0"/>
                  <w:divBdr>
                    <w:top w:val="none" w:sz="0" w:space="0" w:color="auto"/>
                    <w:left w:val="none" w:sz="0" w:space="0" w:color="auto"/>
                    <w:bottom w:val="none" w:sz="0" w:space="0" w:color="auto"/>
                    <w:right w:val="none" w:sz="0" w:space="0" w:color="auto"/>
                  </w:divBdr>
                  <w:divsChild>
                    <w:div w:id="304891513">
                      <w:marLeft w:val="0"/>
                      <w:marRight w:val="0"/>
                      <w:marTop w:val="0"/>
                      <w:marBottom w:val="0"/>
                      <w:divBdr>
                        <w:top w:val="none" w:sz="0" w:space="0" w:color="auto"/>
                        <w:left w:val="none" w:sz="0" w:space="0" w:color="auto"/>
                        <w:bottom w:val="none" w:sz="0" w:space="0" w:color="auto"/>
                        <w:right w:val="none" w:sz="0" w:space="0" w:color="auto"/>
                      </w:divBdr>
                    </w:div>
                  </w:divsChild>
                </w:div>
                <w:div w:id="811870392">
                  <w:marLeft w:val="0"/>
                  <w:marRight w:val="0"/>
                  <w:marTop w:val="0"/>
                  <w:marBottom w:val="0"/>
                  <w:divBdr>
                    <w:top w:val="none" w:sz="0" w:space="0" w:color="auto"/>
                    <w:left w:val="none" w:sz="0" w:space="0" w:color="auto"/>
                    <w:bottom w:val="none" w:sz="0" w:space="0" w:color="auto"/>
                    <w:right w:val="none" w:sz="0" w:space="0" w:color="auto"/>
                  </w:divBdr>
                  <w:divsChild>
                    <w:div w:id="2095738298">
                      <w:marLeft w:val="0"/>
                      <w:marRight w:val="0"/>
                      <w:marTop w:val="0"/>
                      <w:marBottom w:val="0"/>
                      <w:divBdr>
                        <w:top w:val="none" w:sz="0" w:space="0" w:color="auto"/>
                        <w:left w:val="none" w:sz="0" w:space="0" w:color="auto"/>
                        <w:bottom w:val="none" w:sz="0" w:space="0" w:color="auto"/>
                        <w:right w:val="none" w:sz="0" w:space="0" w:color="auto"/>
                      </w:divBdr>
                    </w:div>
                  </w:divsChild>
                </w:div>
                <w:div w:id="848330638">
                  <w:marLeft w:val="0"/>
                  <w:marRight w:val="0"/>
                  <w:marTop w:val="0"/>
                  <w:marBottom w:val="0"/>
                  <w:divBdr>
                    <w:top w:val="none" w:sz="0" w:space="0" w:color="auto"/>
                    <w:left w:val="none" w:sz="0" w:space="0" w:color="auto"/>
                    <w:bottom w:val="none" w:sz="0" w:space="0" w:color="auto"/>
                    <w:right w:val="none" w:sz="0" w:space="0" w:color="auto"/>
                  </w:divBdr>
                  <w:divsChild>
                    <w:div w:id="555776864">
                      <w:marLeft w:val="0"/>
                      <w:marRight w:val="0"/>
                      <w:marTop w:val="0"/>
                      <w:marBottom w:val="0"/>
                      <w:divBdr>
                        <w:top w:val="none" w:sz="0" w:space="0" w:color="auto"/>
                        <w:left w:val="none" w:sz="0" w:space="0" w:color="auto"/>
                        <w:bottom w:val="none" w:sz="0" w:space="0" w:color="auto"/>
                        <w:right w:val="none" w:sz="0" w:space="0" w:color="auto"/>
                      </w:divBdr>
                    </w:div>
                  </w:divsChild>
                </w:div>
                <w:div w:id="865413625">
                  <w:marLeft w:val="0"/>
                  <w:marRight w:val="0"/>
                  <w:marTop w:val="0"/>
                  <w:marBottom w:val="0"/>
                  <w:divBdr>
                    <w:top w:val="none" w:sz="0" w:space="0" w:color="auto"/>
                    <w:left w:val="none" w:sz="0" w:space="0" w:color="auto"/>
                    <w:bottom w:val="none" w:sz="0" w:space="0" w:color="auto"/>
                    <w:right w:val="none" w:sz="0" w:space="0" w:color="auto"/>
                  </w:divBdr>
                  <w:divsChild>
                    <w:div w:id="1591352970">
                      <w:marLeft w:val="0"/>
                      <w:marRight w:val="0"/>
                      <w:marTop w:val="0"/>
                      <w:marBottom w:val="0"/>
                      <w:divBdr>
                        <w:top w:val="none" w:sz="0" w:space="0" w:color="auto"/>
                        <w:left w:val="none" w:sz="0" w:space="0" w:color="auto"/>
                        <w:bottom w:val="none" w:sz="0" w:space="0" w:color="auto"/>
                        <w:right w:val="none" w:sz="0" w:space="0" w:color="auto"/>
                      </w:divBdr>
                    </w:div>
                  </w:divsChild>
                </w:div>
                <w:div w:id="869028853">
                  <w:marLeft w:val="0"/>
                  <w:marRight w:val="0"/>
                  <w:marTop w:val="0"/>
                  <w:marBottom w:val="0"/>
                  <w:divBdr>
                    <w:top w:val="none" w:sz="0" w:space="0" w:color="auto"/>
                    <w:left w:val="none" w:sz="0" w:space="0" w:color="auto"/>
                    <w:bottom w:val="none" w:sz="0" w:space="0" w:color="auto"/>
                    <w:right w:val="none" w:sz="0" w:space="0" w:color="auto"/>
                  </w:divBdr>
                  <w:divsChild>
                    <w:div w:id="1298804100">
                      <w:marLeft w:val="0"/>
                      <w:marRight w:val="0"/>
                      <w:marTop w:val="0"/>
                      <w:marBottom w:val="0"/>
                      <w:divBdr>
                        <w:top w:val="none" w:sz="0" w:space="0" w:color="auto"/>
                        <w:left w:val="none" w:sz="0" w:space="0" w:color="auto"/>
                        <w:bottom w:val="none" w:sz="0" w:space="0" w:color="auto"/>
                        <w:right w:val="none" w:sz="0" w:space="0" w:color="auto"/>
                      </w:divBdr>
                    </w:div>
                  </w:divsChild>
                </w:div>
                <w:div w:id="881794218">
                  <w:marLeft w:val="0"/>
                  <w:marRight w:val="0"/>
                  <w:marTop w:val="0"/>
                  <w:marBottom w:val="0"/>
                  <w:divBdr>
                    <w:top w:val="none" w:sz="0" w:space="0" w:color="auto"/>
                    <w:left w:val="none" w:sz="0" w:space="0" w:color="auto"/>
                    <w:bottom w:val="none" w:sz="0" w:space="0" w:color="auto"/>
                    <w:right w:val="none" w:sz="0" w:space="0" w:color="auto"/>
                  </w:divBdr>
                  <w:divsChild>
                    <w:div w:id="412817504">
                      <w:marLeft w:val="0"/>
                      <w:marRight w:val="0"/>
                      <w:marTop w:val="0"/>
                      <w:marBottom w:val="0"/>
                      <w:divBdr>
                        <w:top w:val="none" w:sz="0" w:space="0" w:color="auto"/>
                        <w:left w:val="none" w:sz="0" w:space="0" w:color="auto"/>
                        <w:bottom w:val="none" w:sz="0" w:space="0" w:color="auto"/>
                        <w:right w:val="none" w:sz="0" w:space="0" w:color="auto"/>
                      </w:divBdr>
                    </w:div>
                  </w:divsChild>
                </w:div>
                <w:div w:id="886406404">
                  <w:marLeft w:val="0"/>
                  <w:marRight w:val="0"/>
                  <w:marTop w:val="0"/>
                  <w:marBottom w:val="0"/>
                  <w:divBdr>
                    <w:top w:val="none" w:sz="0" w:space="0" w:color="auto"/>
                    <w:left w:val="none" w:sz="0" w:space="0" w:color="auto"/>
                    <w:bottom w:val="none" w:sz="0" w:space="0" w:color="auto"/>
                    <w:right w:val="none" w:sz="0" w:space="0" w:color="auto"/>
                  </w:divBdr>
                  <w:divsChild>
                    <w:div w:id="235211621">
                      <w:marLeft w:val="0"/>
                      <w:marRight w:val="0"/>
                      <w:marTop w:val="0"/>
                      <w:marBottom w:val="0"/>
                      <w:divBdr>
                        <w:top w:val="none" w:sz="0" w:space="0" w:color="auto"/>
                        <w:left w:val="none" w:sz="0" w:space="0" w:color="auto"/>
                        <w:bottom w:val="none" w:sz="0" w:space="0" w:color="auto"/>
                        <w:right w:val="none" w:sz="0" w:space="0" w:color="auto"/>
                      </w:divBdr>
                    </w:div>
                  </w:divsChild>
                </w:div>
                <w:div w:id="888078970">
                  <w:marLeft w:val="0"/>
                  <w:marRight w:val="0"/>
                  <w:marTop w:val="0"/>
                  <w:marBottom w:val="0"/>
                  <w:divBdr>
                    <w:top w:val="none" w:sz="0" w:space="0" w:color="auto"/>
                    <w:left w:val="none" w:sz="0" w:space="0" w:color="auto"/>
                    <w:bottom w:val="none" w:sz="0" w:space="0" w:color="auto"/>
                    <w:right w:val="none" w:sz="0" w:space="0" w:color="auto"/>
                  </w:divBdr>
                  <w:divsChild>
                    <w:div w:id="723212099">
                      <w:marLeft w:val="0"/>
                      <w:marRight w:val="0"/>
                      <w:marTop w:val="0"/>
                      <w:marBottom w:val="0"/>
                      <w:divBdr>
                        <w:top w:val="none" w:sz="0" w:space="0" w:color="auto"/>
                        <w:left w:val="none" w:sz="0" w:space="0" w:color="auto"/>
                        <w:bottom w:val="none" w:sz="0" w:space="0" w:color="auto"/>
                        <w:right w:val="none" w:sz="0" w:space="0" w:color="auto"/>
                      </w:divBdr>
                    </w:div>
                  </w:divsChild>
                </w:div>
                <w:div w:id="927421216">
                  <w:marLeft w:val="0"/>
                  <w:marRight w:val="0"/>
                  <w:marTop w:val="0"/>
                  <w:marBottom w:val="0"/>
                  <w:divBdr>
                    <w:top w:val="none" w:sz="0" w:space="0" w:color="auto"/>
                    <w:left w:val="none" w:sz="0" w:space="0" w:color="auto"/>
                    <w:bottom w:val="none" w:sz="0" w:space="0" w:color="auto"/>
                    <w:right w:val="none" w:sz="0" w:space="0" w:color="auto"/>
                  </w:divBdr>
                  <w:divsChild>
                    <w:div w:id="1364208441">
                      <w:marLeft w:val="0"/>
                      <w:marRight w:val="0"/>
                      <w:marTop w:val="0"/>
                      <w:marBottom w:val="0"/>
                      <w:divBdr>
                        <w:top w:val="none" w:sz="0" w:space="0" w:color="auto"/>
                        <w:left w:val="none" w:sz="0" w:space="0" w:color="auto"/>
                        <w:bottom w:val="none" w:sz="0" w:space="0" w:color="auto"/>
                        <w:right w:val="none" w:sz="0" w:space="0" w:color="auto"/>
                      </w:divBdr>
                    </w:div>
                  </w:divsChild>
                </w:div>
                <w:div w:id="995184103">
                  <w:marLeft w:val="0"/>
                  <w:marRight w:val="0"/>
                  <w:marTop w:val="0"/>
                  <w:marBottom w:val="0"/>
                  <w:divBdr>
                    <w:top w:val="none" w:sz="0" w:space="0" w:color="auto"/>
                    <w:left w:val="none" w:sz="0" w:space="0" w:color="auto"/>
                    <w:bottom w:val="none" w:sz="0" w:space="0" w:color="auto"/>
                    <w:right w:val="none" w:sz="0" w:space="0" w:color="auto"/>
                  </w:divBdr>
                  <w:divsChild>
                    <w:div w:id="301811542">
                      <w:marLeft w:val="0"/>
                      <w:marRight w:val="0"/>
                      <w:marTop w:val="0"/>
                      <w:marBottom w:val="0"/>
                      <w:divBdr>
                        <w:top w:val="none" w:sz="0" w:space="0" w:color="auto"/>
                        <w:left w:val="none" w:sz="0" w:space="0" w:color="auto"/>
                        <w:bottom w:val="none" w:sz="0" w:space="0" w:color="auto"/>
                        <w:right w:val="none" w:sz="0" w:space="0" w:color="auto"/>
                      </w:divBdr>
                    </w:div>
                  </w:divsChild>
                </w:div>
                <w:div w:id="1003699694">
                  <w:marLeft w:val="0"/>
                  <w:marRight w:val="0"/>
                  <w:marTop w:val="0"/>
                  <w:marBottom w:val="0"/>
                  <w:divBdr>
                    <w:top w:val="none" w:sz="0" w:space="0" w:color="auto"/>
                    <w:left w:val="none" w:sz="0" w:space="0" w:color="auto"/>
                    <w:bottom w:val="none" w:sz="0" w:space="0" w:color="auto"/>
                    <w:right w:val="none" w:sz="0" w:space="0" w:color="auto"/>
                  </w:divBdr>
                  <w:divsChild>
                    <w:div w:id="162665108">
                      <w:marLeft w:val="0"/>
                      <w:marRight w:val="0"/>
                      <w:marTop w:val="0"/>
                      <w:marBottom w:val="0"/>
                      <w:divBdr>
                        <w:top w:val="none" w:sz="0" w:space="0" w:color="auto"/>
                        <w:left w:val="none" w:sz="0" w:space="0" w:color="auto"/>
                        <w:bottom w:val="none" w:sz="0" w:space="0" w:color="auto"/>
                        <w:right w:val="none" w:sz="0" w:space="0" w:color="auto"/>
                      </w:divBdr>
                    </w:div>
                  </w:divsChild>
                </w:div>
                <w:div w:id="1016422247">
                  <w:marLeft w:val="0"/>
                  <w:marRight w:val="0"/>
                  <w:marTop w:val="0"/>
                  <w:marBottom w:val="0"/>
                  <w:divBdr>
                    <w:top w:val="none" w:sz="0" w:space="0" w:color="auto"/>
                    <w:left w:val="none" w:sz="0" w:space="0" w:color="auto"/>
                    <w:bottom w:val="none" w:sz="0" w:space="0" w:color="auto"/>
                    <w:right w:val="none" w:sz="0" w:space="0" w:color="auto"/>
                  </w:divBdr>
                  <w:divsChild>
                    <w:div w:id="808546774">
                      <w:marLeft w:val="0"/>
                      <w:marRight w:val="0"/>
                      <w:marTop w:val="0"/>
                      <w:marBottom w:val="0"/>
                      <w:divBdr>
                        <w:top w:val="none" w:sz="0" w:space="0" w:color="auto"/>
                        <w:left w:val="none" w:sz="0" w:space="0" w:color="auto"/>
                        <w:bottom w:val="none" w:sz="0" w:space="0" w:color="auto"/>
                        <w:right w:val="none" w:sz="0" w:space="0" w:color="auto"/>
                      </w:divBdr>
                    </w:div>
                  </w:divsChild>
                </w:div>
                <w:div w:id="1022122503">
                  <w:marLeft w:val="0"/>
                  <w:marRight w:val="0"/>
                  <w:marTop w:val="0"/>
                  <w:marBottom w:val="0"/>
                  <w:divBdr>
                    <w:top w:val="none" w:sz="0" w:space="0" w:color="auto"/>
                    <w:left w:val="none" w:sz="0" w:space="0" w:color="auto"/>
                    <w:bottom w:val="none" w:sz="0" w:space="0" w:color="auto"/>
                    <w:right w:val="none" w:sz="0" w:space="0" w:color="auto"/>
                  </w:divBdr>
                  <w:divsChild>
                    <w:div w:id="606813520">
                      <w:marLeft w:val="0"/>
                      <w:marRight w:val="0"/>
                      <w:marTop w:val="0"/>
                      <w:marBottom w:val="0"/>
                      <w:divBdr>
                        <w:top w:val="none" w:sz="0" w:space="0" w:color="auto"/>
                        <w:left w:val="none" w:sz="0" w:space="0" w:color="auto"/>
                        <w:bottom w:val="none" w:sz="0" w:space="0" w:color="auto"/>
                        <w:right w:val="none" w:sz="0" w:space="0" w:color="auto"/>
                      </w:divBdr>
                    </w:div>
                  </w:divsChild>
                </w:div>
                <w:div w:id="1038243836">
                  <w:marLeft w:val="0"/>
                  <w:marRight w:val="0"/>
                  <w:marTop w:val="0"/>
                  <w:marBottom w:val="0"/>
                  <w:divBdr>
                    <w:top w:val="none" w:sz="0" w:space="0" w:color="auto"/>
                    <w:left w:val="none" w:sz="0" w:space="0" w:color="auto"/>
                    <w:bottom w:val="none" w:sz="0" w:space="0" w:color="auto"/>
                    <w:right w:val="none" w:sz="0" w:space="0" w:color="auto"/>
                  </w:divBdr>
                  <w:divsChild>
                    <w:div w:id="161892085">
                      <w:marLeft w:val="0"/>
                      <w:marRight w:val="0"/>
                      <w:marTop w:val="0"/>
                      <w:marBottom w:val="0"/>
                      <w:divBdr>
                        <w:top w:val="none" w:sz="0" w:space="0" w:color="auto"/>
                        <w:left w:val="none" w:sz="0" w:space="0" w:color="auto"/>
                        <w:bottom w:val="none" w:sz="0" w:space="0" w:color="auto"/>
                        <w:right w:val="none" w:sz="0" w:space="0" w:color="auto"/>
                      </w:divBdr>
                    </w:div>
                  </w:divsChild>
                </w:div>
                <w:div w:id="1038354314">
                  <w:marLeft w:val="0"/>
                  <w:marRight w:val="0"/>
                  <w:marTop w:val="0"/>
                  <w:marBottom w:val="0"/>
                  <w:divBdr>
                    <w:top w:val="none" w:sz="0" w:space="0" w:color="auto"/>
                    <w:left w:val="none" w:sz="0" w:space="0" w:color="auto"/>
                    <w:bottom w:val="none" w:sz="0" w:space="0" w:color="auto"/>
                    <w:right w:val="none" w:sz="0" w:space="0" w:color="auto"/>
                  </w:divBdr>
                  <w:divsChild>
                    <w:div w:id="2126657918">
                      <w:marLeft w:val="0"/>
                      <w:marRight w:val="0"/>
                      <w:marTop w:val="0"/>
                      <w:marBottom w:val="0"/>
                      <w:divBdr>
                        <w:top w:val="none" w:sz="0" w:space="0" w:color="auto"/>
                        <w:left w:val="none" w:sz="0" w:space="0" w:color="auto"/>
                        <w:bottom w:val="none" w:sz="0" w:space="0" w:color="auto"/>
                        <w:right w:val="none" w:sz="0" w:space="0" w:color="auto"/>
                      </w:divBdr>
                    </w:div>
                  </w:divsChild>
                </w:div>
                <w:div w:id="1057313228">
                  <w:marLeft w:val="0"/>
                  <w:marRight w:val="0"/>
                  <w:marTop w:val="0"/>
                  <w:marBottom w:val="0"/>
                  <w:divBdr>
                    <w:top w:val="none" w:sz="0" w:space="0" w:color="auto"/>
                    <w:left w:val="none" w:sz="0" w:space="0" w:color="auto"/>
                    <w:bottom w:val="none" w:sz="0" w:space="0" w:color="auto"/>
                    <w:right w:val="none" w:sz="0" w:space="0" w:color="auto"/>
                  </w:divBdr>
                  <w:divsChild>
                    <w:div w:id="346830480">
                      <w:marLeft w:val="0"/>
                      <w:marRight w:val="0"/>
                      <w:marTop w:val="0"/>
                      <w:marBottom w:val="0"/>
                      <w:divBdr>
                        <w:top w:val="none" w:sz="0" w:space="0" w:color="auto"/>
                        <w:left w:val="none" w:sz="0" w:space="0" w:color="auto"/>
                        <w:bottom w:val="none" w:sz="0" w:space="0" w:color="auto"/>
                        <w:right w:val="none" w:sz="0" w:space="0" w:color="auto"/>
                      </w:divBdr>
                    </w:div>
                  </w:divsChild>
                </w:div>
                <w:div w:id="1067075713">
                  <w:marLeft w:val="0"/>
                  <w:marRight w:val="0"/>
                  <w:marTop w:val="0"/>
                  <w:marBottom w:val="0"/>
                  <w:divBdr>
                    <w:top w:val="none" w:sz="0" w:space="0" w:color="auto"/>
                    <w:left w:val="none" w:sz="0" w:space="0" w:color="auto"/>
                    <w:bottom w:val="none" w:sz="0" w:space="0" w:color="auto"/>
                    <w:right w:val="none" w:sz="0" w:space="0" w:color="auto"/>
                  </w:divBdr>
                  <w:divsChild>
                    <w:div w:id="1778602862">
                      <w:marLeft w:val="0"/>
                      <w:marRight w:val="0"/>
                      <w:marTop w:val="0"/>
                      <w:marBottom w:val="0"/>
                      <w:divBdr>
                        <w:top w:val="none" w:sz="0" w:space="0" w:color="auto"/>
                        <w:left w:val="none" w:sz="0" w:space="0" w:color="auto"/>
                        <w:bottom w:val="none" w:sz="0" w:space="0" w:color="auto"/>
                        <w:right w:val="none" w:sz="0" w:space="0" w:color="auto"/>
                      </w:divBdr>
                    </w:div>
                  </w:divsChild>
                </w:div>
                <w:div w:id="1083841170">
                  <w:marLeft w:val="0"/>
                  <w:marRight w:val="0"/>
                  <w:marTop w:val="0"/>
                  <w:marBottom w:val="0"/>
                  <w:divBdr>
                    <w:top w:val="none" w:sz="0" w:space="0" w:color="auto"/>
                    <w:left w:val="none" w:sz="0" w:space="0" w:color="auto"/>
                    <w:bottom w:val="none" w:sz="0" w:space="0" w:color="auto"/>
                    <w:right w:val="none" w:sz="0" w:space="0" w:color="auto"/>
                  </w:divBdr>
                  <w:divsChild>
                    <w:div w:id="960182928">
                      <w:marLeft w:val="0"/>
                      <w:marRight w:val="0"/>
                      <w:marTop w:val="0"/>
                      <w:marBottom w:val="0"/>
                      <w:divBdr>
                        <w:top w:val="none" w:sz="0" w:space="0" w:color="auto"/>
                        <w:left w:val="none" w:sz="0" w:space="0" w:color="auto"/>
                        <w:bottom w:val="none" w:sz="0" w:space="0" w:color="auto"/>
                        <w:right w:val="none" w:sz="0" w:space="0" w:color="auto"/>
                      </w:divBdr>
                    </w:div>
                  </w:divsChild>
                </w:div>
                <w:div w:id="1116174382">
                  <w:marLeft w:val="0"/>
                  <w:marRight w:val="0"/>
                  <w:marTop w:val="0"/>
                  <w:marBottom w:val="0"/>
                  <w:divBdr>
                    <w:top w:val="none" w:sz="0" w:space="0" w:color="auto"/>
                    <w:left w:val="none" w:sz="0" w:space="0" w:color="auto"/>
                    <w:bottom w:val="none" w:sz="0" w:space="0" w:color="auto"/>
                    <w:right w:val="none" w:sz="0" w:space="0" w:color="auto"/>
                  </w:divBdr>
                  <w:divsChild>
                    <w:div w:id="704987492">
                      <w:marLeft w:val="0"/>
                      <w:marRight w:val="0"/>
                      <w:marTop w:val="0"/>
                      <w:marBottom w:val="0"/>
                      <w:divBdr>
                        <w:top w:val="none" w:sz="0" w:space="0" w:color="auto"/>
                        <w:left w:val="none" w:sz="0" w:space="0" w:color="auto"/>
                        <w:bottom w:val="none" w:sz="0" w:space="0" w:color="auto"/>
                        <w:right w:val="none" w:sz="0" w:space="0" w:color="auto"/>
                      </w:divBdr>
                    </w:div>
                  </w:divsChild>
                </w:div>
                <w:div w:id="1125657830">
                  <w:marLeft w:val="0"/>
                  <w:marRight w:val="0"/>
                  <w:marTop w:val="0"/>
                  <w:marBottom w:val="0"/>
                  <w:divBdr>
                    <w:top w:val="none" w:sz="0" w:space="0" w:color="auto"/>
                    <w:left w:val="none" w:sz="0" w:space="0" w:color="auto"/>
                    <w:bottom w:val="none" w:sz="0" w:space="0" w:color="auto"/>
                    <w:right w:val="none" w:sz="0" w:space="0" w:color="auto"/>
                  </w:divBdr>
                  <w:divsChild>
                    <w:div w:id="2117092832">
                      <w:marLeft w:val="0"/>
                      <w:marRight w:val="0"/>
                      <w:marTop w:val="0"/>
                      <w:marBottom w:val="0"/>
                      <w:divBdr>
                        <w:top w:val="none" w:sz="0" w:space="0" w:color="auto"/>
                        <w:left w:val="none" w:sz="0" w:space="0" w:color="auto"/>
                        <w:bottom w:val="none" w:sz="0" w:space="0" w:color="auto"/>
                        <w:right w:val="none" w:sz="0" w:space="0" w:color="auto"/>
                      </w:divBdr>
                    </w:div>
                  </w:divsChild>
                </w:div>
                <w:div w:id="1130435492">
                  <w:marLeft w:val="0"/>
                  <w:marRight w:val="0"/>
                  <w:marTop w:val="0"/>
                  <w:marBottom w:val="0"/>
                  <w:divBdr>
                    <w:top w:val="none" w:sz="0" w:space="0" w:color="auto"/>
                    <w:left w:val="none" w:sz="0" w:space="0" w:color="auto"/>
                    <w:bottom w:val="none" w:sz="0" w:space="0" w:color="auto"/>
                    <w:right w:val="none" w:sz="0" w:space="0" w:color="auto"/>
                  </w:divBdr>
                  <w:divsChild>
                    <w:div w:id="367607764">
                      <w:marLeft w:val="0"/>
                      <w:marRight w:val="0"/>
                      <w:marTop w:val="0"/>
                      <w:marBottom w:val="0"/>
                      <w:divBdr>
                        <w:top w:val="none" w:sz="0" w:space="0" w:color="auto"/>
                        <w:left w:val="none" w:sz="0" w:space="0" w:color="auto"/>
                        <w:bottom w:val="none" w:sz="0" w:space="0" w:color="auto"/>
                        <w:right w:val="none" w:sz="0" w:space="0" w:color="auto"/>
                      </w:divBdr>
                    </w:div>
                  </w:divsChild>
                </w:div>
                <w:div w:id="1143231585">
                  <w:marLeft w:val="0"/>
                  <w:marRight w:val="0"/>
                  <w:marTop w:val="0"/>
                  <w:marBottom w:val="0"/>
                  <w:divBdr>
                    <w:top w:val="none" w:sz="0" w:space="0" w:color="auto"/>
                    <w:left w:val="none" w:sz="0" w:space="0" w:color="auto"/>
                    <w:bottom w:val="none" w:sz="0" w:space="0" w:color="auto"/>
                    <w:right w:val="none" w:sz="0" w:space="0" w:color="auto"/>
                  </w:divBdr>
                  <w:divsChild>
                    <w:div w:id="986976339">
                      <w:marLeft w:val="0"/>
                      <w:marRight w:val="0"/>
                      <w:marTop w:val="0"/>
                      <w:marBottom w:val="0"/>
                      <w:divBdr>
                        <w:top w:val="none" w:sz="0" w:space="0" w:color="auto"/>
                        <w:left w:val="none" w:sz="0" w:space="0" w:color="auto"/>
                        <w:bottom w:val="none" w:sz="0" w:space="0" w:color="auto"/>
                        <w:right w:val="none" w:sz="0" w:space="0" w:color="auto"/>
                      </w:divBdr>
                    </w:div>
                  </w:divsChild>
                </w:div>
                <w:div w:id="1204093719">
                  <w:marLeft w:val="0"/>
                  <w:marRight w:val="0"/>
                  <w:marTop w:val="0"/>
                  <w:marBottom w:val="0"/>
                  <w:divBdr>
                    <w:top w:val="none" w:sz="0" w:space="0" w:color="auto"/>
                    <w:left w:val="none" w:sz="0" w:space="0" w:color="auto"/>
                    <w:bottom w:val="none" w:sz="0" w:space="0" w:color="auto"/>
                    <w:right w:val="none" w:sz="0" w:space="0" w:color="auto"/>
                  </w:divBdr>
                  <w:divsChild>
                    <w:div w:id="1909068439">
                      <w:marLeft w:val="0"/>
                      <w:marRight w:val="0"/>
                      <w:marTop w:val="0"/>
                      <w:marBottom w:val="0"/>
                      <w:divBdr>
                        <w:top w:val="none" w:sz="0" w:space="0" w:color="auto"/>
                        <w:left w:val="none" w:sz="0" w:space="0" w:color="auto"/>
                        <w:bottom w:val="none" w:sz="0" w:space="0" w:color="auto"/>
                        <w:right w:val="none" w:sz="0" w:space="0" w:color="auto"/>
                      </w:divBdr>
                    </w:div>
                  </w:divsChild>
                </w:div>
                <w:div w:id="1231187497">
                  <w:marLeft w:val="0"/>
                  <w:marRight w:val="0"/>
                  <w:marTop w:val="0"/>
                  <w:marBottom w:val="0"/>
                  <w:divBdr>
                    <w:top w:val="none" w:sz="0" w:space="0" w:color="auto"/>
                    <w:left w:val="none" w:sz="0" w:space="0" w:color="auto"/>
                    <w:bottom w:val="none" w:sz="0" w:space="0" w:color="auto"/>
                    <w:right w:val="none" w:sz="0" w:space="0" w:color="auto"/>
                  </w:divBdr>
                  <w:divsChild>
                    <w:div w:id="1495560956">
                      <w:marLeft w:val="0"/>
                      <w:marRight w:val="0"/>
                      <w:marTop w:val="0"/>
                      <w:marBottom w:val="0"/>
                      <w:divBdr>
                        <w:top w:val="none" w:sz="0" w:space="0" w:color="auto"/>
                        <w:left w:val="none" w:sz="0" w:space="0" w:color="auto"/>
                        <w:bottom w:val="none" w:sz="0" w:space="0" w:color="auto"/>
                        <w:right w:val="none" w:sz="0" w:space="0" w:color="auto"/>
                      </w:divBdr>
                    </w:div>
                  </w:divsChild>
                </w:div>
                <w:div w:id="1275750013">
                  <w:marLeft w:val="0"/>
                  <w:marRight w:val="0"/>
                  <w:marTop w:val="0"/>
                  <w:marBottom w:val="0"/>
                  <w:divBdr>
                    <w:top w:val="none" w:sz="0" w:space="0" w:color="auto"/>
                    <w:left w:val="none" w:sz="0" w:space="0" w:color="auto"/>
                    <w:bottom w:val="none" w:sz="0" w:space="0" w:color="auto"/>
                    <w:right w:val="none" w:sz="0" w:space="0" w:color="auto"/>
                  </w:divBdr>
                  <w:divsChild>
                    <w:div w:id="1944917335">
                      <w:marLeft w:val="0"/>
                      <w:marRight w:val="0"/>
                      <w:marTop w:val="0"/>
                      <w:marBottom w:val="0"/>
                      <w:divBdr>
                        <w:top w:val="none" w:sz="0" w:space="0" w:color="auto"/>
                        <w:left w:val="none" w:sz="0" w:space="0" w:color="auto"/>
                        <w:bottom w:val="none" w:sz="0" w:space="0" w:color="auto"/>
                        <w:right w:val="none" w:sz="0" w:space="0" w:color="auto"/>
                      </w:divBdr>
                    </w:div>
                  </w:divsChild>
                </w:div>
                <w:div w:id="1313214706">
                  <w:marLeft w:val="0"/>
                  <w:marRight w:val="0"/>
                  <w:marTop w:val="0"/>
                  <w:marBottom w:val="0"/>
                  <w:divBdr>
                    <w:top w:val="none" w:sz="0" w:space="0" w:color="auto"/>
                    <w:left w:val="none" w:sz="0" w:space="0" w:color="auto"/>
                    <w:bottom w:val="none" w:sz="0" w:space="0" w:color="auto"/>
                    <w:right w:val="none" w:sz="0" w:space="0" w:color="auto"/>
                  </w:divBdr>
                  <w:divsChild>
                    <w:div w:id="1350449838">
                      <w:marLeft w:val="0"/>
                      <w:marRight w:val="0"/>
                      <w:marTop w:val="0"/>
                      <w:marBottom w:val="0"/>
                      <w:divBdr>
                        <w:top w:val="none" w:sz="0" w:space="0" w:color="auto"/>
                        <w:left w:val="none" w:sz="0" w:space="0" w:color="auto"/>
                        <w:bottom w:val="none" w:sz="0" w:space="0" w:color="auto"/>
                        <w:right w:val="none" w:sz="0" w:space="0" w:color="auto"/>
                      </w:divBdr>
                    </w:div>
                  </w:divsChild>
                </w:div>
                <w:div w:id="1400439080">
                  <w:marLeft w:val="0"/>
                  <w:marRight w:val="0"/>
                  <w:marTop w:val="0"/>
                  <w:marBottom w:val="0"/>
                  <w:divBdr>
                    <w:top w:val="none" w:sz="0" w:space="0" w:color="auto"/>
                    <w:left w:val="none" w:sz="0" w:space="0" w:color="auto"/>
                    <w:bottom w:val="none" w:sz="0" w:space="0" w:color="auto"/>
                    <w:right w:val="none" w:sz="0" w:space="0" w:color="auto"/>
                  </w:divBdr>
                  <w:divsChild>
                    <w:div w:id="1816147086">
                      <w:marLeft w:val="0"/>
                      <w:marRight w:val="0"/>
                      <w:marTop w:val="0"/>
                      <w:marBottom w:val="0"/>
                      <w:divBdr>
                        <w:top w:val="none" w:sz="0" w:space="0" w:color="auto"/>
                        <w:left w:val="none" w:sz="0" w:space="0" w:color="auto"/>
                        <w:bottom w:val="none" w:sz="0" w:space="0" w:color="auto"/>
                        <w:right w:val="none" w:sz="0" w:space="0" w:color="auto"/>
                      </w:divBdr>
                    </w:div>
                  </w:divsChild>
                </w:div>
                <w:div w:id="1455634976">
                  <w:marLeft w:val="0"/>
                  <w:marRight w:val="0"/>
                  <w:marTop w:val="0"/>
                  <w:marBottom w:val="0"/>
                  <w:divBdr>
                    <w:top w:val="none" w:sz="0" w:space="0" w:color="auto"/>
                    <w:left w:val="none" w:sz="0" w:space="0" w:color="auto"/>
                    <w:bottom w:val="none" w:sz="0" w:space="0" w:color="auto"/>
                    <w:right w:val="none" w:sz="0" w:space="0" w:color="auto"/>
                  </w:divBdr>
                  <w:divsChild>
                    <w:div w:id="1390498520">
                      <w:marLeft w:val="0"/>
                      <w:marRight w:val="0"/>
                      <w:marTop w:val="0"/>
                      <w:marBottom w:val="0"/>
                      <w:divBdr>
                        <w:top w:val="none" w:sz="0" w:space="0" w:color="auto"/>
                        <w:left w:val="none" w:sz="0" w:space="0" w:color="auto"/>
                        <w:bottom w:val="none" w:sz="0" w:space="0" w:color="auto"/>
                        <w:right w:val="none" w:sz="0" w:space="0" w:color="auto"/>
                      </w:divBdr>
                    </w:div>
                  </w:divsChild>
                </w:div>
                <w:div w:id="1461263160">
                  <w:marLeft w:val="0"/>
                  <w:marRight w:val="0"/>
                  <w:marTop w:val="0"/>
                  <w:marBottom w:val="0"/>
                  <w:divBdr>
                    <w:top w:val="none" w:sz="0" w:space="0" w:color="auto"/>
                    <w:left w:val="none" w:sz="0" w:space="0" w:color="auto"/>
                    <w:bottom w:val="none" w:sz="0" w:space="0" w:color="auto"/>
                    <w:right w:val="none" w:sz="0" w:space="0" w:color="auto"/>
                  </w:divBdr>
                  <w:divsChild>
                    <w:div w:id="1956013709">
                      <w:marLeft w:val="0"/>
                      <w:marRight w:val="0"/>
                      <w:marTop w:val="0"/>
                      <w:marBottom w:val="0"/>
                      <w:divBdr>
                        <w:top w:val="none" w:sz="0" w:space="0" w:color="auto"/>
                        <w:left w:val="none" w:sz="0" w:space="0" w:color="auto"/>
                        <w:bottom w:val="none" w:sz="0" w:space="0" w:color="auto"/>
                        <w:right w:val="none" w:sz="0" w:space="0" w:color="auto"/>
                      </w:divBdr>
                    </w:div>
                  </w:divsChild>
                </w:div>
                <w:div w:id="1464347409">
                  <w:marLeft w:val="0"/>
                  <w:marRight w:val="0"/>
                  <w:marTop w:val="0"/>
                  <w:marBottom w:val="0"/>
                  <w:divBdr>
                    <w:top w:val="none" w:sz="0" w:space="0" w:color="auto"/>
                    <w:left w:val="none" w:sz="0" w:space="0" w:color="auto"/>
                    <w:bottom w:val="none" w:sz="0" w:space="0" w:color="auto"/>
                    <w:right w:val="none" w:sz="0" w:space="0" w:color="auto"/>
                  </w:divBdr>
                  <w:divsChild>
                    <w:div w:id="2029092698">
                      <w:marLeft w:val="0"/>
                      <w:marRight w:val="0"/>
                      <w:marTop w:val="0"/>
                      <w:marBottom w:val="0"/>
                      <w:divBdr>
                        <w:top w:val="none" w:sz="0" w:space="0" w:color="auto"/>
                        <w:left w:val="none" w:sz="0" w:space="0" w:color="auto"/>
                        <w:bottom w:val="none" w:sz="0" w:space="0" w:color="auto"/>
                        <w:right w:val="none" w:sz="0" w:space="0" w:color="auto"/>
                      </w:divBdr>
                    </w:div>
                  </w:divsChild>
                </w:div>
                <w:div w:id="1486782134">
                  <w:marLeft w:val="0"/>
                  <w:marRight w:val="0"/>
                  <w:marTop w:val="0"/>
                  <w:marBottom w:val="0"/>
                  <w:divBdr>
                    <w:top w:val="none" w:sz="0" w:space="0" w:color="auto"/>
                    <w:left w:val="none" w:sz="0" w:space="0" w:color="auto"/>
                    <w:bottom w:val="none" w:sz="0" w:space="0" w:color="auto"/>
                    <w:right w:val="none" w:sz="0" w:space="0" w:color="auto"/>
                  </w:divBdr>
                  <w:divsChild>
                    <w:div w:id="293564449">
                      <w:marLeft w:val="0"/>
                      <w:marRight w:val="0"/>
                      <w:marTop w:val="0"/>
                      <w:marBottom w:val="0"/>
                      <w:divBdr>
                        <w:top w:val="none" w:sz="0" w:space="0" w:color="auto"/>
                        <w:left w:val="none" w:sz="0" w:space="0" w:color="auto"/>
                        <w:bottom w:val="none" w:sz="0" w:space="0" w:color="auto"/>
                        <w:right w:val="none" w:sz="0" w:space="0" w:color="auto"/>
                      </w:divBdr>
                    </w:div>
                  </w:divsChild>
                </w:div>
                <w:div w:id="1542932867">
                  <w:marLeft w:val="0"/>
                  <w:marRight w:val="0"/>
                  <w:marTop w:val="0"/>
                  <w:marBottom w:val="0"/>
                  <w:divBdr>
                    <w:top w:val="none" w:sz="0" w:space="0" w:color="auto"/>
                    <w:left w:val="none" w:sz="0" w:space="0" w:color="auto"/>
                    <w:bottom w:val="none" w:sz="0" w:space="0" w:color="auto"/>
                    <w:right w:val="none" w:sz="0" w:space="0" w:color="auto"/>
                  </w:divBdr>
                  <w:divsChild>
                    <w:div w:id="453138961">
                      <w:marLeft w:val="0"/>
                      <w:marRight w:val="0"/>
                      <w:marTop w:val="0"/>
                      <w:marBottom w:val="0"/>
                      <w:divBdr>
                        <w:top w:val="none" w:sz="0" w:space="0" w:color="auto"/>
                        <w:left w:val="none" w:sz="0" w:space="0" w:color="auto"/>
                        <w:bottom w:val="none" w:sz="0" w:space="0" w:color="auto"/>
                        <w:right w:val="none" w:sz="0" w:space="0" w:color="auto"/>
                      </w:divBdr>
                    </w:div>
                  </w:divsChild>
                </w:div>
                <w:div w:id="1564367278">
                  <w:marLeft w:val="0"/>
                  <w:marRight w:val="0"/>
                  <w:marTop w:val="0"/>
                  <w:marBottom w:val="0"/>
                  <w:divBdr>
                    <w:top w:val="none" w:sz="0" w:space="0" w:color="auto"/>
                    <w:left w:val="none" w:sz="0" w:space="0" w:color="auto"/>
                    <w:bottom w:val="none" w:sz="0" w:space="0" w:color="auto"/>
                    <w:right w:val="none" w:sz="0" w:space="0" w:color="auto"/>
                  </w:divBdr>
                  <w:divsChild>
                    <w:div w:id="622737858">
                      <w:marLeft w:val="0"/>
                      <w:marRight w:val="0"/>
                      <w:marTop w:val="0"/>
                      <w:marBottom w:val="0"/>
                      <w:divBdr>
                        <w:top w:val="none" w:sz="0" w:space="0" w:color="auto"/>
                        <w:left w:val="none" w:sz="0" w:space="0" w:color="auto"/>
                        <w:bottom w:val="none" w:sz="0" w:space="0" w:color="auto"/>
                        <w:right w:val="none" w:sz="0" w:space="0" w:color="auto"/>
                      </w:divBdr>
                    </w:div>
                  </w:divsChild>
                </w:div>
                <w:div w:id="1574466278">
                  <w:marLeft w:val="0"/>
                  <w:marRight w:val="0"/>
                  <w:marTop w:val="0"/>
                  <w:marBottom w:val="0"/>
                  <w:divBdr>
                    <w:top w:val="none" w:sz="0" w:space="0" w:color="auto"/>
                    <w:left w:val="none" w:sz="0" w:space="0" w:color="auto"/>
                    <w:bottom w:val="none" w:sz="0" w:space="0" w:color="auto"/>
                    <w:right w:val="none" w:sz="0" w:space="0" w:color="auto"/>
                  </w:divBdr>
                  <w:divsChild>
                    <w:div w:id="727067950">
                      <w:marLeft w:val="0"/>
                      <w:marRight w:val="0"/>
                      <w:marTop w:val="0"/>
                      <w:marBottom w:val="0"/>
                      <w:divBdr>
                        <w:top w:val="none" w:sz="0" w:space="0" w:color="auto"/>
                        <w:left w:val="none" w:sz="0" w:space="0" w:color="auto"/>
                        <w:bottom w:val="none" w:sz="0" w:space="0" w:color="auto"/>
                        <w:right w:val="none" w:sz="0" w:space="0" w:color="auto"/>
                      </w:divBdr>
                    </w:div>
                  </w:divsChild>
                </w:div>
                <w:div w:id="1578856112">
                  <w:marLeft w:val="0"/>
                  <w:marRight w:val="0"/>
                  <w:marTop w:val="0"/>
                  <w:marBottom w:val="0"/>
                  <w:divBdr>
                    <w:top w:val="none" w:sz="0" w:space="0" w:color="auto"/>
                    <w:left w:val="none" w:sz="0" w:space="0" w:color="auto"/>
                    <w:bottom w:val="none" w:sz="0" w:space="0" w:color="auto"/>
                    <w:right w:val="none" w:sz="0" w:space="0" w:color="auto"/>
                  </w:divBdr>
                  <w:divsChild>
                    <w:div w:id="1385956451">
                      <w:marLeft w:val="0"/>
                      <w:marRight w:val="0"/>
                      <w:marTop w:val="0"/>
                      <w:marBottom w:val="0"/>
                      <w:divBdr>
                        <w:top w:val="none" w:sz="0" w:space="0" w:color="auto"/>
                        <w:left w:val="none" w:sz="0" w:space="0" w:color="auto"/>
                        <w:bottom w:val="none" w:sz="0" w:space="0" w:color="auto"/>
                        <w:right w:val="none" w:sz="0" w:space="0" w:color="auto"/>
                      </w:divBdr>
                    </w:div>
                  </w:divsChild>
                </w:div>
                <w:div w:id="1580552522">
                  <w:marLeft w:val="0"/>
                  <w:marRight w:val="0"/>
                  <w:marTop w:val="0"/>
                  <w:marBottom w:val="0"/>
                  <w:divBdr>
                    <w:top w:val="none" w:sz="0" w:space="0" w:color="auto"/>
                    <w:left w:val="none" w:sz="0" w:space="0" w:color="auto"/>
                    <w:bottom w:val="none" w:sz="0" w:space="0" w:color="auto"/>
                    <w:right w:val="none" w:sz="0" w:space="0" w:color="auto"/>
                  </w:divBdr>
                  <w:divsChild>
                    <w:div w:id="1081608669">
                      <w:marLeft w:val="0"/>
                      <w:marRight w:val="0"/>
                      <w:marTop w:val="0"/>
                      <w:marBottom w:val="0"/>
                      <w:divBdr>
                        <w:top w:val="none" w:sz="0" w:space="0" w:color="auto"/>
                        <w:left w:val="none" w:sz="0" w:space="0" w:color="auto"/>
                        <w:bottom w:val="none" w:sz="0" w:space="0" w:color="auto"/>
                        <w:right w:val="none" w:sz="0" w:space="0" w:color="auto"/>
                      </w:divBdr>
                    </w:div>
                  </w:divsChild>
                </w:div>
                <w:div w:id="1584097988">
                  <w:marLeft w:val="0"/>
                  <w:marRight w:val="0"/>
                  <w:marTop w:val="0"/>
                  <w:marBottom w:val="0"/>
                  <w:divBdr>
                    <w:top w:val="none" w:sz="0" w:space="0" w:color="auto"/>
                    <w:left w:val="none" w:sz="0" w:space="0" w:color="auto"/>
                    <w:bottom w:val="none" w:sz="0" w:space="0" w:color="auto"/>
                    <w:right w:val="none" w:sz="0" w:space="0" w:color="auto"/>
                  </w:divBdr>
                  <w:divsChild>
                    <w:div w:id="642274135">
                      <w:marLeft w:val="0"/>
                      <w:marRight w:val="0"/>
                      <w:marTop w:val="0"/>
                      <w:marBottom w:val="0"/>
                      <w:divBdr>
                        <w:top w:val="none" w:sz="0" w:space="0" w:color="auto"/>
                        <w:left w:val="none" w:sz="0" w:space="0" w:color="auto"/>
                        <w:bottom w:val="none" w:sz="0" w:space="0" w:color="auto"/>
                        <w:right w:val="none" w:sz="0" w:space="0" w:color="auto"/>
                      </w:divBdr>
                    </w:div>
                  </w:divsChild>
                </w:div>
                <w:div w:id="1597706865">
                  <w:marLeft w:val="0"/>
                  <w:marRight w:val="0"/>
                  <w:marTop w:val="0"/>
                  <w:marBottom w:val="0"/>
                  <w:divBdr>
                    <w:top w:val="none" w:sz="0" w:space="0" w:color="auto"/>
                    <w:left w:val="none" w:sz="0" w:space="0" w:color="auto"/>
                    <w:bottom w:val="none" w:sz="0" w:space="0" w:color="auto"/>
                    <w:right w:val="none" w:sz="0" w:space="0" w:color="auto"/>
                  </w:divBdr>
                  <w:divsChild>
                    <w:div w:id="1514758734">
                      <w:marLeft w:val="0"/>
                      <w:marRight w:val="0"/>
                      <w:marTop w:val="0"/>
                      <w:marBottom w:val="0"/>
                      <w:divBdr>
                        <w:top w:val="none" w:sz="0" w:space="0" w:color="auto"/>
                        <w:left w:val="none" w:sz="0" w:space="0" w:color="auto"/>
                        <w:bottom w:val="none" w:sz="0" w:space="0" w:color="auto"/>
                        <w:right w:val="none" w:sz="0" w:space="0" w:color="auto"/>
                      </w:divBdr>
                    </w:div>
                  </w:divsChild>
                </w:div>
                <w:div w:id="1670449131">
                  <w:marLeft w:val="0"/>
                  <w:marRight w:val="0"/>
                  <w:marTop w:val="0"/>
                  <w:marBottom w:val="0"/>
                  <w:divBdr>
                    <w:top w:val="none" w:sz="0" w:space="0" w:color="auto"/>
                    <w:left w:val="none" w:sz="0" w:space="0" w:color="auto"/>
                    <w:bottom w:val="none" w:sz="0" w:space="0" w:color="auto"/>
                    <w:right w:val="none" w:sz="0" w:space="0" w:color="auto"/>
                  </w:divBdr>
                  <w:divsChild>
                    <w:div w:id="1885753285">
                      <w:marLeft w:val="0"/>
                      <w:marRight w:val="0"/>
                      <w:marTop w:val="0"/>
                      <w:marBottom w:val="0"/>
                      <w:divBdr>
                        <w:top w:val="none" w:sz="0" w:space="0" w:color="auto"/>
                        <w:left w:val="none" w:sz="0" w:space="0" w:color="auto"/>
                        <w:bottom w:val="none" w:sz="0" w:space="0" w:color="auto"/>
                        <w:right w:val="none" w:sz="0" w:space="0" w:color="auto"/>
                      </w:divBdr>
                    </w:div>
                  </w:divsChild>
                </w:div>
                <w:div w:id="1675958846">
                  <w:marLeft w:val="0"/>
                  <w:marRight w:val="0"/>
                  <w:marTop w:val="0"/>
                  <w:marBottom w:val="0"/>
                  <w:divBdr>
                    <w:top w:val="none" w:sz="0" w:space="0" w:color="auto"/>
                    <w:left w:val="none" w:sz="0" w:space="0" w:color="auto"/>
                    <w:bottom w:val="none" w:sz="0" w:space="0" w:color="auto"/>
                    <w:right w:val="none" w:sz="0" w:space="0" w:color="auto"/>
                  </w:divBdr>
                  <w:divsChild>
                    <w:div w:id="213662083">
                      <w:marLeft w:val="0"/>
                      <w:marRight w:val="0"/>
                      <w:marTop w:val="0"/>
                      <w:marBottom w:val="0"/>
                      <w:divBdr>
                        <w:top w:val="none" w:sz="0" w:space="0" w:color="auto"/>
                        <w:left w:val="none" w:sz="0" w:space="0" w:color="auto"/>
                        <w:bottom w:val="none" w:sz="0" w:space="0" w:color="auto"/>
                        <w:right w:val="none" w:sz="0" w:space="0" w:color="auto"/>
                      </w:divBdr>
                    </w:div>
                  </w:divsChild>
                </w:div>
                <w:div w:id="1678381234">
                  <w:marLeft w:val="0"/>
                  <w:marRight w:val="0"/>
                  <w:marTop w:val="0"/>
                  <w:marBottom w:val="0"/>
                  <w:divBdr>
                    <w:top w:val="none" w:sz="0" w:space="0" w:color="auto"/>
                    <w:left w:val="none" w:sz="0" w:space="0" w:color="auto"/>
                    <w:bottom w:val="none" w:sz="0" w:space="0" w:color="auto"/>
                    <w:right w:val="none" w:sz="0" w:space="0" w:color="auto"/>
                  </w:divBdr>
                  <w:divsChild>
                    <w:div w:id="1719546255">
                      <w:marLeft w:val="0"/>
                      <w:marRight w:val="0"/>
                      <w:marTop w:val="0"/>
                      <w:marBottom w:val="0"/>
                      <w:divBdr>
                        <w:top w:val="none" w:sz="0" w:space="0" w:color="auto"/>
                        <w:left w:val="none" w:sz="0" w:space="0" w:color="auto"/>
                        <w:bottom w:val="none" w:sz="0" w:space="0" w:color="auto"/>
                        <w:right w:val="none" w:sz="0" w:space="0" w:color="auto"/>
                      </w:divBdr>
                    </w:div>
                  </w:divsChild>
                </w:div>
                <w:div w:id="1688091533">
                  <w:marLeft w:val="0"/>
                  <w:marRight w:val="0"/>
                  <w:marTop w:val="0"/>
                  <w:marBottom w:val="0"/>
                  <w:divBdr>
                    <w:top w:val="none" w:sz="0" w:space="0" w:color="auto"/>
                    <w:left w:val="none" w:sz="0" w:space="0" w:color="auto"/>
                    <w:bottom w:val="none" w:sz="0" w:space="0" w:color="auto"/>
                    <w:right w:val="none" w:sz="0" w:space="0" w:color="auto"/>
                  </w:divBdr>
                  <w:divsChild>
                    <w:div w:id="1894540064">
                      <w:marLeft w:val="0"/>
                      <w:marRight w:val="0"/>
                      <w:marTop w:val="0"/>
                      <w:marBottom w:val="0"/>
                      <w:divBdr>
                        <w:top w:val="none" w:sz="0" w:space="0" w:color="auto"/>
                        <w:left w:val="none" w:sz="0" w:space="0" w:color="auto"/>
                        <w:bottom w:val="none" w:sz="0" w:space="0" w:color="auto"/>
                        <w:right w:val="none" w:sz="0" w:space="0" w:color="auto"/>
                      </w:divBdr>
                    </w:div>
                  </w:divsChild>
                </w:div>
                <w:div w:id="1698579304">
                  <w:marLeft w:val="0"/>
                  <w:marRight w:val="0"/>
                  <w:marTop w:val="0"/>
                  <w:marBottom w:val="0"/>
                  <w:divBdr>
                    <w:top w:val="none" w:sz="0" w:space="0" w:color="auto"/>
                    <w:left w:val="none" w:sz="0" w:space="0" w:color="auto"/>
                    <w:bottom w:val="none" w:sz="0" w:space="0" w:color="auto"/>
                    <w:right w:val="none" w:sz="0" w:space="0" w:color="auto"/>
                  </w:divBdr>
                  <w:divsChild>
                    <w:div w:id="2052996740">
                      <w:marLeft w:val="0"/>
                      <w:marRight w:val="0"/>
                      <w:marTop w:val="0"/>
                      <w:marBottom w:val="0"/>
                      <w:divBdr>
                        <w:top w:val="none" w:sz="0" w:space="0" w:color="auto"/>
                        <w:left w:val="none" w:sz="0" w:space="0" w:color="auto"/>
                        <w:bottom w:val="none" w:sz="0" w:space="0" w:color="auto"/>
                        <w:right w:val="none" w:sz="0" w:space="0" w:color="auto"/>
                      </w:divBdr>
                    </w:div>
                  </w:divsChild>
                </w:div>
                <w:div w:id="1705209046">
                  <w:marLeft w:val="0"/>
                  <w:marRight w:val="0"/>
                  <w:marTop w:val="0"/>
                  <w:marBottom w:val="0"/>
                  <w:divBdr>
                    <w:top w:val="none" w:sz="0" w:space="0" w:color="auto"/>
                    <w:left w:val="none" w:sz="0" w:space="0" w:color="auto"/>
                    <w:bottom w:val="none" w:sz="0" w:space="0" w:color="auto"/>
                    <w:right w:val="none" w:sz="0" w:space="0" w:color="auto"/>
                  </w:divBdr>
                  <w:divsChild>
                    <w:div w:id="274992779">
                      <w:marLeft w:val="0"/>
                      <w:marRight w:val="0"/>
                      <w:marTop w:val="0"/>
                      <w:marBottom w:val="0"/>
                      <w:divBdr>
                        <w:top w:val="none" w:sz="0" w:space="0" w:color="auto"/>
                        <w:left w:val="none" w:sz="0" w:space="0" w:color="auto"/>
                        <w:bottom w:val="none" w:sz="0" w:space="0" w:color="auto"/>
                        <w:right w:val="none" w:sz="0" w:space="0" w:color="auto"/>
                      </w:divBdr>
                    </w:div>
                  </w:divsChild>
                </w:div>
                <w:div w:id="1757240813">
                  <w:marLeft w:val="0"/>
                  <w:marRight w:val="0"/>
                  <w:marTop w:val="0"/>
                  <w:marBottom w:val="0"/>
                  <w:divBdr>
                    <w:top w:val="none" w:sz="0" w:space="0" w:color="auto"/>
                    <w:left w:val="none" w:sz="0" w:space="0" w:color="auto"/>
                    <w:bottom w:val="none" w:sz="0" w:space="0" w:color="auto"/>
                    <w:right w:val="none" w:sz="0" w:space="0" w:color="auto"/>
                  </w:divBdr>
                  <w:divsChild>
                    <w:div w:id="1607082109">
                      <w:marLeft w:val="0"/>
                      <w:marRight w:val="0"/>
                      <w:marTop w:val="0"/>
                      <w:marBottom w:val="0"/>
                      <w:divBdr>
                        <w:top w:val="none" w:sz="0" w:space="0" w:color="auto"/>
                        <w:left w:val="none" w:sz="0" w:space="0" w:color="auto"/>
                        <w:bottom w:val="none" w:sz="0" w:space="0" w:color="auto"/>
                        <w:right w:val="none" w:sz="0" w:space="0" w:color="auto"/>
                      </w:divBdr>
                    </w:div>
                  </w:divsChild>
                </w:div>
                <w:div w:id="1776634917">
                  <w:marLeft w:val="0"/>
                  <w:marRight w:val="0"/>
                  <w:marTop w:val="0"/>
                  <w:marBottom w:val="0"/>
                  <w:divBdr>
                    <w:top w:val="none" w:sz="0" w:space="0" w:color="auto"/>
                    <w:left w:val="none" w:sz="0" w:space="0" w:color="auto"/>
                    <w:bottom w:val="none" w:sz="0" w:space="0" w:color="auto"/>
                    <w:right w:val="none" w:sz="0" w:space="0" w:color="auto"/>
                  </w:divBdr>
                  <w:divsChild>
                    <w:div w:id="278925092">
                      <w:marLeft w:val="0"/>
                      <w:marRight w:val="0"/>
                      <w:marTop w:val="0"/>
                      <w:marBottom w:val="0"/>
                      <w:divBdr>
                        <w:top w:val="none" w:sz="0" w:space="0" w:color="auto"/>
                        <w:left w:val="none" w:sz="0" w:space="0" w:color="auto"/>
                        <w:bottom w:val="none" w:sz="0" w:space="0" w:color="auto"/>
                        <w:right w:val="none" w:sz="0" w:space="0" w:color="auto"/>
                      </w:divBdr>
                    </w:div>
                  </w:divsChild>
                </w:div>
                <w:div w:id="1818836979">
                  <w:marLeft w:val="0"/>
                  <w:marRight w:val="0"/>
                  <w:marTop w:val="0"/>
                  <w:marBottom w:val="0"/>
                  <w:divBdr>
                    <w:top w:val="none" w:sz="0" w:space="0" w:color="auto"/>
                    <w:left w:val="none" w:sz="0" w:space="0" w:color="auto"/>
                    <w:bottom w:val="none" w:sz="0" w:space="0" w:color="auto"/>
                    <w:right w:val="none" w:sz="0" w:space="0" w:color="auto"/>
                  </w:divBdr>
                  <w:divsChild>
                    <w:div w:id="1519271706">
                      <w:marLeft w:val="0"/>
                      <w:marRight w:val="0"/>
                      <w:marTop w:val="0"/>
                      <w:marBottom w:val="0"/>
                      <w:divBdr>
                        <w:top w:val="none" w:sz="0" w:space="0" w:color="auto"/>
                        <w:left w:val="none" w:sz="0" w:space="0" w:color="auto"/>
                        <w:bottom w:val="none" w:sz="0" w:space="0" w:color="auto"/>
                        <w:right w:val="none" w:sz="0" w:space="0" w:color="auto"/>
                      </w:divBdr>
                    </w:div>
                  </w:divsChild>
                </w:div>
                <w:div w:id="1865047616">
                  <w:marLeft w:val="0"/>
                  <w:marRight w:val="0"/>
                  <w:marTop w:val="0"/>
                  <w:marBottom w:val="0"/>
                  <w:divBdr>
                    <w:top w:val="none" w:sz="0" w:space="0" w:color="auto"/>
                    <w:left w:val="none" w:sz="0" w:space="0" w:color="auto"/>
                    <w:bottom w:val="none" w:sz="0" w:space="0" w:color="auto"/>
                    <w:right w:val="none" w:sz="0" w:space="0" w:color="auto"/>
                  </w:divBdr>
                  <w:divsChild>
                    <w:div w:id="683046286">
                      <w:marLeft w:val="0"/>
                      <w:marRight w:val="0"/>
                      <w:marTop w:val="0"/>
                      <w:marBottom w:val="0"/>
                      <w:divBdr>
                        <w:top w:val="none" w:sz="0" w:space="0" w:color="auto"/>
                        <w:left w:val="none" w:sz="0" w:space="0" w:color="auto"/>
                        <w:bottom w:val="none" w:sz="0" w:space="0" w:color="auto"/>
                        <w:right w:val="none" w:sz="0" w:space="0" w:color="auto"/>
                      </w:divBdr>
                    </w:div>
                  </w:divsChild>
                </w:div>
                <w:div w:id="1926185998">
                  <w:marLeft w:val="0"/>
                  <w:marRight w:val="0"/>
                  <w:marTop w:val="0"/>
                  <w:marBottom w:val="0"/>
                  <w:divBdr>
                    <w:top w:val="none" w:sz="0" w:space="0" w:color="auto"/>
                    <w:left w:val="none" w:sz="0" w:space="0" w:color="auto"/>
                    <w:bottom w:val="none" w:sz="0" w:space="0" w:color="auto"/>
                    <w:right w:val="none" w:sz="0" w:space="0" w:color="auto"/>
                  </w:divBdr>
                  <w:divsChild>
                    <w:div w:id="618949903">
                      <w:marLeft w:val="0"/>
                      <w:marRight w:val="0"/>
                      <w:marTop w:val="0"/>
                      <w:marBottom w:val="0"/>
                      <w:divBdr>
                        <w:top w:val="none" w:sz="0" w:space="0" w:color="auto"/>
                        <w:left w:val="none" w:sz="0" w:space="0" w:color="auto"/>
                        <w:bottom w:val="none" w:sz="0" w:space="0" w:color="auto"/>
                        <w:right w:val="none" w:sz="0" w:space="0" w:color="auto"/>
                      </w:divBdr>
                    </w:div>
                  </w:divsChild>
                </w:div>
                <w:div w:id="1929918990">
                  <w:marLeft w:val="0"/>
                  <w:marRight w:val="0"/>
                  <w:marTop w:val="0"/>
                  <w:marBottom w:val="0"/>
                  <w:divBdr>
                    <w:top w:val="none" w:sz="0" w:space="0" w:color="auto"/>
                    <w:left w:val="none" w:sz="0" w:space="0" w:color="auto"/>
                    <w:bottom w:val="none" w:sz="0" w:space="0" w:color="auto"/>
                    <w:right w:val="none" w:sz="0" w:space="0" w:color="auto"/>
                  </w:divBdr>
                  <w:divsChild>
                    <w:div w:id="196504329">
                      <w:marLeft w:val="0"/>
                      <w:marRight w:val="0"/>
                      <w:marTop w:val="0"/>
                      <w:marBottom w:val="0"/>
                      <w:divBdr>
                        <w:top w:val="none" w:sz="0" w:space="0" w:color="auto"/>
                        <w:left w:val="none" w:sz="0" w:space="0" w:color="auto"/>
                        <w:bottom w:val="none" w:sz="0" w:space="0" w:color="auto"/>
                        <w:right w:val="none" w:sz="0" w:space="0" w:color="auto"/>
                      </w:divBdr>
                    </w:div>
                  </w:divsChild>
                </w:div>
                <w:div w:id="2043626048">
                  <w:marLeft w:val="0"/>
                  <w:marRight w:val="0"/>
                  <w:marTop w:val="0"/>
                  <w:marBottom w:val="0"/>
                  <w:divBdr>
                    <w:top w:val="none" w:sz="0" w:space="0" w:color="auto"/>
                    <w:left w:val="none" w:sz="0" w:space="0" w:color="auto"/>
                    <w:bottom w:val="none" w:sz="0" w:space="0" w:color="auto"/>
                    <w:right w:val="none" w:sz="0" w:space="0" w:color="auto"/>
                  </w:divBdr>
                  <w:divsChild>
                    <w:div w:id="1459448906">
                      <w:marLeft w:val="0"/>
                      <w:marRight w:val="0"/>
                      <w:marTop w:val="0"/>
                      <w:marBottom w:val="0"/>
                      <w:divBdr>
                        <w:top w:val="none" w:sz="0" w:space="0" w:color="auto"/>
                        <w:left w:val="none" w:sz="0" w:space="0" w:color="auto"/>
                        <w:bottom w:val="none" w:sz="0" w:space="0" w:color="auto"/>
                        <w:right w:val="none" w:sz="0" w:space="0" w:color="auto"/>
                      </w:divBdr>
                    </w:div>
                  </w:divsChild>
                </w:div>
                <w:div w:id="2053843901">
                  <w:marLeft w:val="0"/>
                  <w:marRight w:val="0"/>
                  <w:marTop w:val="0"/>
                  <w:marBottom w:val="0"/>
                  <w:divBdr>
                    <w:top w:val="none" w:sz="0" w:space="0" w:color="auto"/>
                    <w:left w:val="none" w:sz="0" w:space="0" w:color="auto"/>
                    <w:bottom w:val="none" w:sz="0" w:space="0" w:color="auto"/>
                    <w:right w:val="none" w:sz="0" w:space="0" w:color="auto"/>
                  </w:divBdr>
                  <w:divsChild>
                    <w:div w:id="194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9315">
      <w:bodyDiv w:val="1"/>
      <w:marLeft w:val="0"/>
      <w:marRight w:val="0"/>
      <w:marTop w:val="0"/>
      <w:marBottom w:val="0"/>
      <w:divBdr>
        <w:top w:val="none" w:sz="0" w:space="0" w:color="auto"/>
        <w:left w:val="none" w:sz="0" w:space="0" w:color="auto"/>
        <w:bottom w:val="none" w:sz="0" w:space="0" w:color="auto"/>
        <w:right w:val="none" w:sz="0" w:space="0" w:color="auto"/>
      </w:divBdr>
    </w:div>
    <w:div w:id="762066781">
      <w:bodyDiv w:val="1"/>
      <w:marLeft w:val="0"/>
      <w:marRight w:val="0"/>
      <w:marTop w:val="0"/>
      <w:marBottom w:val="0"/>
      <w:divBdr>
        <w:top w:val="none" w:sz="0" w:space="0" w:color="auto"/>
        <w:left w:val="none" w:sz="0" w:space="0" w:color="auto"/>
        <w:bottom w:val="none" w:sz="0" w:space="0" w:color="auto"/>
        <w:right w:val="none" w:sz="0" w:space="0" w:color="auto"/>
      </w:divBdr>
    </w:div>
    <w:div w:id="803078799">
      <w:bodyDiv w:val="1"/>
      <w:marLeft w:val="0"/>
      <w:marRight w:val="0"/>
      <w:marTop w:val="0"/>
      <w:marBottom w:val="0"/>
      <w:divBdr>
        <w:top w:val="none" w:sz="0" w:space="0" w:color="auto"/>
        <w:left w:val="none" w:sz="0" w:space="0" w:color="auto"/>
        <w:bottom w:val="none" w:sz="0" w:space="0" w:color="auto"/>
        <w:right w:val="none" w:sz="0" w:space="0" w:color="auto"/>
      </w:divBdr>
    </w:div>
    <w:div w:id="819004786">
      <w:bodyDiv w:val="1"/>
      <w:marLeft w:val="0"/>
      <w:marRight w:val="0"/>
      <w:marTop w:val="0"/>
      <w:marBottom w:val="0"/>
      <w:divBdr>
        <w:top w:val="none" w:sz="0" w:space="0" w:color="auto"/>
        <w:left w:val="none" w:sz="0" w:space="0" w:color="auto"/>
        <w:bottom w:val="none" w:sz="0" w:space="0" w:color="auto"/>
        <w:right w:val="none" w:sz="0" w:space="0" w:color="auto"/>
      </w:divBdr>
    </w:div>
    <w:div w:id="843711908">
      <w:bodyDiv w:val="1"/>
      <w:marLeft w:val="0"/>
      <w:marRight w:val="0"/>
      <w:marTop w:val="0"/>
      <w:marBottom w:val="0"/>
      <w:divBdr>
        <w:top w:val="none" w:sz="0" w:space="0" w:color="auto"/>
        <w:left w:val="none" w:sz="0" w:space="0" w:color="auto"/>
        <w:bottom w:val="none" w:sz="0" w:space="0" w:color="auto"/>
        <w:right w:val="none" w:sz="0" w:space="0" w:color="auto"/>
      </w:divBdr>
    </w:div>
    <w:div w:id="866480301">
      <w:bodyDiv w:val="1"/>
      <w:marLeft w:val="0"/>
      <w:marRight w:val="0"/>
      <w:marTop w:val="0"/>
      <w:marBottom w:val="0"/>
      <w:divBdr>
        <w:top w:val="none" w:sz="0" w:space="0" w:color="auto"/>
        <w:left w:val="none" w:sz="0" w:space="0" w:color="auto"/>
        <w:bottom w:val="none" w:sz="0" w:space="0" w:color="auto"/>
        <w:right w:val="none" w:sz="0" w:space="0" w:color="auto"/>
      </w:divBdr>
      <w:divsChild>
        <w:div w:id="2830458">
          <w:marLeft w:val="0"/>
          <w:marRight w:val="0"/>
          <w:marTop w:val="0"/>
          <w:marBottom w:val="0"/>
          <w:divBdr>
            <w:top w:val="none" w:sz="0" w:space="0" w:color="auto"/>
            <w:left w:val="none" w:sz="0" w:space="0" w:color="auto"/>
            <w:bottom w:val="none" w:sz="0" w:space="0" w:color="auto"/>
            <w:right w:val="none" w:sz="0" w:space="0" w:color="auto"/>
          </w:divBdr>
          <w:divsChild>
            <w:div w:id="1435132424">
              <w:marLeft w:val="0"/>
              <w:marRight w:val="0"/>
              <w:marTop w:val="0"/>
              <w:marBottom w:val="0"/>
              <w:divBdr>
                <w:top w:val="none" w:sz="0" w:space="0" w:color="auto"/>
                <w:left w:val="none" w:sz="0" w:space="0" w:color="auto"/>
                <w:bottom w:val="none" w:sz="0" w:space="0" w:color="auto"/>
                <w:right w:val="none" w:sz="0" w:space="0" w:color="auto"/>
              </w:divBdr>
            </w:div>
          </w:divsChild>
        </w:div>
        <w:div w:id="10255869">
          <w:marLeft w:val="0"/>
          <w:marRight w:val="0"/>
          <w:marTop w:val="0"/>
          <w:marBottom w:val="0"/>
          <w:divBdr>
            <w:top w:val="none" w:sz="0" w:space="0" w:color="auto"/>
            <w:left w:val="none" w:sz="0" w:space="0" w:color="auto"/>
            <w:bottom w:val="none" w:sz="0" w:space="0" w:color="auto"/>
            <w:right w:val="none" w:sz="0" w:space="0" w:color="auto"/>
          </w:divBdr>
          <w:divsChild>
            <w:div w:id="49693884">
              <w:marLeft w:val="0"/>
              <w:marRight w:val="0"/>
              <w:marTop w:val="0"/>
              <w:marBottom w:val="0"/>
              <w:divBdr>
                <w:top w:val="none" w:sz="0" w:space="0" w:color="auto"/>
                <w:left w:val="none" w:sz="0" w:space="0" w:color="auto"/>
                <w:bottom w:val="none" w:sz="0" w:space="0" w:color="auto"/>
                <w:right w:val="none" w:sz="0" w:space="0" w:color="auto"/>
              </w:divBdr>
            </w:div>
          </w:divsChild>
        </w:div>
        <w:div w:id="50738438">
          <w:marLeft w:val="0"/>
          <w:marRight w:val="0"/>
          <w:marTop w:val="0"/>
          <w:marBottom w:val="0"/>
          <w:divBdr>
            <w:top w:val="none" w:sz="0" w:space="0" w:color="auto"/>
            <w:left w:val="none" w:sz="0" w:space="0" w:color="auto"/>
            <w:bottom w:val="none" w:sz="0" w:space="0" w:color="auto"/>
            <w:right w:val="none" w:sz="0" w:space="0" w:color="auto"/>
          </w:divBdr>
          <w:divsChild>
            <w:div w:id="1695613442">
              <w:marLeft w:val="0"/>
              <w:marRight w:val="0"/>
              <w:marTop w:val="0"/>
              <w:marBottom w:val="0"/>
              <w:divBdr>
                <w:top w:val="none" w:sz="0" w:space="0" w:color="auto"/>
                <w:left w:val="none" w:sz="0" w:space="0" w:color="auto"/>
                <w:bottom w:val="none" w:sz="0" w:space="0" w:color="auto"/>
                <w:right w:val="none" w:sz="0" w:space="0" w:color="auto"/>
              </w:divBdr>
            </w:div>
          </w:divsChild>
        </w:div>
        <w:div w:id="62801139">
          <w:marLeft w:val="0"/>
          <w:marRight w:val="0"/>
          <w:marTop w:val="0"/>
          <w:marBottom w:val="0"/>
          <w:divBdr>
            <w:top w:val="none" w:sz="0" w:space="0" w:color="auto"/>
            <w:left w:val="none" w:sz="0" w:space="0" w:color="auto"/>
            <w:bottom w:val="none" w:sz="0" w:space="0" w:color="auto"/>
            <w:right w:val="none" w:sz="0" w:space="0" w:color="auto"/>
          </w:divBdr>
          <w:divsChild>
            <w:div w:id="1901018223">
              <w:marLeft w:val="0"/>
              <w:marRight w:val="0"/>
              <w:marTop w:val="0"/>
              <w:marBottom w:val="0"/>
              <w:divBdr>
                <w:top w:val="none" w:sz="0" w:space="0" w:color="auto"/>
                <w:left w:val="none" w:sz="0" w:space="0" w:color="auto"/>
                <w:bottom w:val="none" w:sz="0" w:space="0" w:color="auto"/>
                <w:right w:val="none" w:sz="0" w:space="0" w:color="auto"/>
              </w:divBdr>
            </w:div>
          </w:divsChild>
        </w:div>
        <w:div w:id="65567065">
          <w:marLeft w:val="0"/>
          <w:marRight w:val="0"/>
          <w:marTop w:val="0"/>
          <w:marBottom w:val="0"/>
          <w:divBdr>
            <w:top w:val="none" w:sz="0" w:space="0" w:color="auto"/>
            <w:left w:val="none" w:sz="0" w:space="0" w:color="auto"/>
            <w:bottom w:val="none" w:sz="0" w:space="0" w:color="auto"/>
            <w:right w:val="none" w:sz="0" w:space="0" w:color="auto"/>
          </w:divBdr>
          <w:divsChild>
            <w:div w:id="1228690821">
              <w:marLeft w:val="0"/>
              <w:marRight w:val="0"/>
              <w:marTop w:val="0"/>
              <w:marBottom w:val="0"/>
              <w:divBdr>
                <w:top w:val="none" w:sz="0" w:space="0" w:color="auto"/>
                <w:left w:val="none" w:sz="0" w:space="0" w:color="auto"/>
                <w:bottom w:val="none" w:sz="0" w:space="0" w:color="auto"/>
                <w:right w:val="none" w:sz="0" w:space="0" w:color="auto"/>
              </w:divBdr>
            </w:div>
          </w:divsChild>
        </w:div>
        <w:div w:id="96029560">
          <w:marLeft w:val="0"/>
          <w:marRight w:val="0"/>
          <w:marTop w:val="0"/>
          <w:marBottom w:val="0"/>
          <w:divBdr>
            <w:top w:val="none" w:sz="0" w:space="0" w:color="auto"/>
            <w:left w:val="none" w:sz="0" w:space="0" w:color="auto"/>
            <w:bottom w:val="none" w:sz="0" w:space="0" w:color="auto"/>
            <w:right w:val="none" w:sz="0" w:space="0" w:color="auto"/>
          </w:divBdr>
          <w:divsChild>
            <w:div w:id="1746490537">
              <w:marLeft w:val="0"/>
              <w:marRight w:val="0"/>
              <w:marTop w:val="0"/>
              <w:marBottom w:val="0"/>
              <w:divBdr>
                <w:top w:val="none" w:sz="0" w:space="0" w:color="auto"/>
                <w:left w:val="none" w:sz="0" w:space="0" w:color="auto"/>
                <w:bottom w:val="none" w:sz="0" w:space="0" w:color="auto"/>
                <w:right w:val="none" w:sz="0" w:space="0" w:color="auto"/>
              </w:divBdr>
            </w:div>
          </w:divsChild>
        </w:div>
        <w:div w:id="104006424">
          <w:marLeft w:val="0"/>
          <w:marRight w:val="0"/>
          <w:marTop w:val="0"/>
          <w:marBottom w:val="0"/>
          <w:divBdr>
            <w:top w:val="none" w:sz="0" w:space="0" w:color="auto"/>
            <w:left w:val="none" w:sz="0" w:space="0" w:color="auto"/>
            <w:bottom w:val="none" w:sz="0" w:space="0" w:color="auto"/>
            <w:right w:val="none" w:sz="0" w:space="0" w:color="auto"/>
          </w:divBdr>
          <w:divsChild>
            <w:div w:id="1927954076">
              <w:marLeft w:val="0"/>
              <w:marRight w:val="0"/>
              <w:marTop w:val="0"/>
              <w:marBottom w:val="0"/>
              <w:divBdr>
                <w:top w:val="none" w:sz="0" w:space="0" w:color="auto"/>
                <w:left w:val="none" w:sz="0" w:space="0" w:color="auto"/>
                <w:bottom w:val="none" w:sz="0" w:space="0" w:color="auto"/>
                <w:right w:val="none" w:sz="0" w:space="0" w:color="auto"/>
              </w:divBdr>
            </w:div>
            <w:div w:id="2056805042">
              <w:marLeft w:val="0"/>
              <w:marRight w:val="0"/>
              <w:marTop w:val="0"/>
              <w:marBottom w:val="0"/>
              <w:divBdr>
                <w:top w:val="none" w:sz="0" w:space="0" w:color="auto"/>
                <w:left w:val="none" w:sz="0" w:space="0" w:color="auto"/>
                <w:bottom w:val="none" w:sz="0" w:space="0" w:color="auto"/>
                <w:right w:val="none" w:sz="0" w:space="0" w:color="auto"/>
              </w:divBdr>
            </w:div>
          </w:divsChild>
        </w:div>
        <w:div w:id="121307746">
          <w:marLeft w:val="0"/>
          <w:marRight w:val="0"/>
          <w:marTop w:val="0"/>
          <w:marBottom w:val="0"/>
          <w:divBdr>
            <w:top w:val="none" w:sz="0" w:space="0" w:color="auto"/>
            <w:left w:val="none" w:sz="0" w:space="0" w:color="auto"/>
            <w:bottom w:val="none" w:sz="0" w:space="0" w:color="auto"/>
            <w:right w:val="none" w:sz="0" w:space="0" w:color="auto"/>
          </w:divBdr>
          <w:divsChild>
            <w:div w:id="1333875031">
              <w:marLeft w:val="0"/>
              <w:marRight w:val="0"/>
              <w:marTop w:val="0"/>
              <w:marBottom w:val="0"/>
              <w:divBdr>
                <w:top w:val="none" w:sz="0" w:space="0" w:color="auto"/>
                <w:left w:val="none" w:sz="0" w:space="0" w:color="auto"/>
                <w:bottom w:val="none" w:sz="0" w:space="0" w:color="auto"/>
                <w:right w:val="none" w:sz="0" w:space="0" w:color="auto"/>
              </w:divBdr>
            </w:div>
          </w:divsChild>
        </w:div>
        <w:div w:id="325785020">
          <w:marLeft w:val="0"/>
          <w:marRight w:val="0"/>
          <w:marTop w:val="0"/>
          <w:marBottom w:val="0"/>
          <w:divBdr>
            <w:top w:val="none" w:sz="0" w:space="0" w:color="auto"/>
            <w:left w:val="none" w:sz="0" w:space="0" w:color="auto"/>
            <w:bottom w:val="none" w:sz="0" w:space="0" w:color="auto"/>
            <w:right w:val="none" w:sz="0" w:space="0" w:color="auto"/>
          </w:divBdr>
          <w:divsChild>
            <w:div w:id="804278431">
              <w:marLeft w:val="0"/>
              <w:marRight w:val="0"/>
              <w:marTop w:val="0"/>
              <w:marBottom w:val="0"/>
              <w:divBdr>
                <w:top w:val="none" w:sz="0" w:space="0" w:color="auto"/>
                <w:left w:val="none" w:sz="0" w:space="0" w:color="auto"/>
                <w:bottom w:val="none" w:sz="0" w:space="0" w:color="auto"/>
                <w:right w:val="none" w:sz="0" w:space="0" w:color="auto"/>
              </w:divBdr>
            </w:div>
          </w:divsChild>
        </w:div>
        <w:div w:id="328363503">
          <w:marLeft w:val="0"/>
          <w:marRight w:val="0"/>
          <w:marTop w:val="0"/>
          <w:marBottom w:val="0"/>
          <w:divBdr>
            <w:top w:val="none" w:sz="0" w:space="0" w:color="auto"/>
            <w:left w:val="none" w:sz="0" w:space="0" w:color="auto"/>
            <w:bottom w:val="none" w:sz="0" w:space="0" w:color="auto"/>
            <w:right w:val="none" w:sz="0" w:space="0" w:color="auto"/>
          </w:divBdr>
          <w:divsChild>
            <w:div w:id="371612435">
              <w:marLeft w:val="0"/>
              <w:marRight w:val="0"/>
              <w:marTop w:val="0"/>
              <w:marBottom w:val="0"/>
              <w:divBdr>
                <w:top w:val="none" w:sz="0" w:space="0" w:color="auto"/>
                <w:left w:val="none" w:sz="0" w:space="0" w:color="auto"/>
                <w:bottom w:val="none" w:sz="0" w:space="0" w:color="auto"/>
                <w:right w:val="none" w:sz="0" w:space="0" w:color="auto"/>
              </w:divBdr>
            </w:div>
          </w:divsChild>
        </w:div>
        <w:div w:id="352847512">
          <w:marLeft w:val="0"/>
          <w:marRight w:val="0"/>
          <w:marTop w:val="0"/>
          <w:marBottom w:val="0"/>
          <w:divBdr>
            <w:top w:val="none" w:sz="0" w:space="0" w:color="auto"/>
            <w:left w:val="none" w:sz="0" w:space="0" w:color="auto"/>
            <w:bottom w:val="none" w:sz="0" w:space="0" w:color="auto"/>
            <w:right w:val="none" w:sz="0" w:space="0" w:color="auto"/>
          </w:divBdr>
          <w:divsChild>
            <w:div w:id="170872644">
              <w:marLeft w:val="0"/>
              <w:marRight w:val="0"/>
              <w:marTop w:val="0"/>
              <w:marBottom w:val="0"/>
              <w:divBdr>
                <w:top w:val="none" w:sz="0" w:space="0" w:color="auto"/>
                <w:left w:val="none" w:sz="0" w:space="0" w:color="auto"/>
                <w:bottom w:val="none" w:sz="0" w:space="0" w:color="auto"/>
                <w:right w:val="none" w:sz="0" w:space="0" w:color="auto"/>
              </w:divBdr>
            </w:div>
            <w:div w:id="920406532">
              <w:marLeft w:val="0"/>
              <w:marRight w:val="0"/>
              <w:marTop w:val="0"/>
              <w:marBottom w:val="0"/>
              <w:divBdr>
                <w:top w:val="none" w:sz="0" w:space="0" w:color="auto"/>
                <w:left w:val="none" w:sz="0" w:space="0" w:color="auto"/>
                <w:bottom w:val="none" w:sz="0" w:space="0" w:color="auto"/>
                <w:right w:val="none" w:sz="0" w:space="0" w:color="auto"/>
              </w:divBdr>
            </w:div>
          </w:divsChild>
        </w:div>
        <w:div w:id="406347046">
          <w:marLeft w:val="0"/>
          <w:marRight w:val="0"/>
          <w:marTop w:val="0"/>
          <w:marBottom w:val="0"/>
          <w:divBdr>
            <w:top w:val="none" w:sz="0" w:space="0" w:color="auto"/>
            <w:left w:val="none" w:sz="0" w:space="0" w:color="auto"/>
            <w:bottom w:val="none" w:sz="0" w:space="0" w:color="auto"/>
            <w:right w:val="none" w:sz="0" w:space="0" w:color="auto"/>
          </w:divBdr>
          <w:divsChild>
            <w:div w:id="1425224128">
              <w:marLeft w:val="0"/>
              <w:marRight w:val="0"/>
              <w:marTop w:val="0"/>
              <w:marBottom w:val="0"/>
              <w:divBdr>
                <w:top w:val="none" w:sz="0" w:space="0" w:color="auto"/>
                <w:left w:val="none" w:sz="0" w:space="0" w:color="auto"/>
                <w:bottom w:val="none" w:sz="0" w:space="0" w:color="auto"/>
                <w:right w:val="none" w:sz="0" w:space="0" w:color="auto"/>
              </w:divBdr>
            </w:div>
          </w:divsChild>
        </w:div>
        <w:div w:id="554465377">
          <w:marLeft w:val="0"/>
          <w:marRight w:val="0"/>
          <w:marTop w:val="0"/>
          <w:marBottom w:val="0"/>
          <w:divBdr>
            <w:top w:val="none" w:sz="0" w:space="0" w:color="auto"/>
            <w:left w:val="none" w:sz="0" w:space="0" w:color="auto"/>
            <w:bottom w:val="none" w:sz="0" w:space="0" w:color="auto"/>
            <w:right w:val="none" w:sz="0" w:space="0" w:color="auto"/>
          </w:divBdr>
          <w:divsChild>
            <w:div w:id="258686364">
              <w:marLeft w:val="0"/>
              <w:marRight w:val="0"/>
              <w:marTop w:val="0"/>
              <w:marBottom w:val="0"/>
              <w:divBdr>
                <w:top w:val="none" w:sz="0" w:space="0" w:color="auto"/>
                <w:left w:val="none" w:sz="0" w:space="0" w:color="auto"/>
                <w:bottom w:val="none" w:sz="0" w:space="0" w:color="auto"/>
                <w:right w:val="none" w:sz="0" w:space="0" w:color="auto"/>
              </w:divBdr>
            </w:div>
          </w:divsChild>
        </w:div>
        <w:div w:id="647171089">
          <w:marLeft w:val="0"/>
          <w:marRight w:val="0"/>
          <w:marTop w:val="0"/>
          <w:marBottom w:val="0"/>
          <w:divBdr>
            <w:top w:val="none" w:sz="0" w:space="0" w:color="auto"/>
            <w:left w:val="none" w:sz="0" w:space="0" w:color="auto"/>
            <w:bottom w:val="none" w:sz="0" w:space="0" w:color="auto"/>
            <w:right w:val="none" w:sz="0" w:space="0" w:color="auto"/>
          </w:divBdr>
          <w:divsChild>
            <w:div w:id="1264265426">
              <w:marLeft w:val="0"/>
              <w:marRight w:val="0"/>
              <w:marTop w:val="0"/>
              <w:marBottom w:val="0"/>
              <w:divBdr>
                <w:top w:val="none" w:sz="0" w:space="0" w:color="auto"/>
                <w:left w:val="none" w:sz="0" w:space="0" w:color="auto"/>
                <w:bottom w:val="none" w:sz="0" w:space="0" w:color="auto"/>
                <w:right w:val="none" w:sz="0" w:space="0" w:color="auto"/>
              </w:divBdr>
            </w:div>
          </w:divsChild>
        </w:div>
        <w:div w:id="664163982">
          <w:marLeft w:val="0"/>
          <w:marRight w:val="0"/>
          <w:marTop w:val="0"/>
          <w:marBottom w:val="0"/>
          <w:divBdr>
            <w:top w:val="none" w:sz="0" w:space="0" w:color="auto"/>
            <w:left w:val="none" w:sz="0" w:space="0" w:color="auto"/>
            <w:bottom w:val="none" w:sz="0" w:space="0" w:color="auto"/>
            <w:right w:val="none" w:sz="0" w:space="0" w:color="auto"/>
          </w:divBdr>
          <w:divsChild>
            <w:div w:id="1190097215">
              <w:marLeft w:val="0"/>
              <w:marRight w:val="0"/>
              <w:marTop w:val="0"/>
              <w:marBottom w:val="0"/>
              <w:divBdr>
                <w:top w:val="none" w:sz="0" w:space="0" w:color="auto"/>
                <w:left w:val="none" w:sz="0" w:space="0" w:color="auto"/>
                <w:bottom w:val="none" w:sz="0" w:space="0" w:color="auto"/>
                <w:right w:val="none" w:sz="0" w:space="0" w:color="auto"/>
              </w:divBdr>
            </w:div>
          </w:divsChild>
        </w:div>
        <w:div w:id="679041639">
          <w:marLeft w:val="0"/>
          <w:marRight w:val="0"/>
          <w:marTop w:val="0"/>
          <w:marBottom w:val="0"/>
          <w:divBdr>
            <w:top w:val="none" w:sz="0" w:space="0" w:color="auto"/>
            <w:left w:val="none" w:sz="0" w:space="0" w:color="auto"/>
            <w:bottom w:val="none" w:sz="0" w:space="0" w:color="auto"/>
            <w:right w:val="none" w:sz="0" w:space="0" w:color="auto"/>
          </w:divBdr>
          <w:divsChild>
            <w:div w:id="1545868013">
              <w:marLeft w:val="0"/>
              <w:marRight w:val="0"/>
              <w:marTop w:val="0"/>
              <w:marBottom w:val="0"/>
              <w:divBdr>
                <w:top w:val="none" w:sz="0" w:space="0" w:color="auto"/>
                <w:left w:val="none" w:sz="0" w:space="0" w:color="auto"/>
                <w:bottom w:val="none" w:sz="0" w:space="0" w:color="auto"/>
                <w:right w:val="none" w:sz="0" w:space="0" w:color="auto"/>
              </w:divBdr>
            </w:div>
          </w:divsChild>
        </w:div>
        <w:div w:id="702025851">
          <w:marLeft w:val="0"/>
          <w:marRight w:val="0"/>
          <w:marTop w:val="0"/>
          <w:marBottom w:val="0"/>
          <w:divBdr>
            <w:top w:val="none" w:sz="0" w:space="0" w:color="auto"/>
            <w:left w:val="none" w:sz="0" w:space="0" w:color="auto"/>
            <w:bottom w:val="none" w:sz="0" w:space="0" w:color="auto"/>
            <w:right w:val="none" w:sz="0" w:space="0" w:color="auto"/>
          </w:divBdr>
          <w:divsChild>
            <w:div w:id="119031587">
              <w:marLeft w:val="0"/>
              <w:marRight w:val="0"/>
              <w:marTop w:val="0"/>
              <w:marBottom w:val="0"/>
              <w:divBdr>
                <w:top w:val="none" w:sz="0" w:space="0" w:color="auto"/>
                <w:left w:val="none" w:sz="0" w:space="0" w:color="auto"/>
                <w:bottom w:val="none" w:sz="0" w:space="0" w:color="auto"/>
                <w:right w:val="none" w:sz="0" w:space="0" w:color="auto"/>
              </w:divBdr>
            </w:div>
          </w:divsChild>
        </w:div>
        <w:div w:id="750927705">
          <w:marLeft w:val="0"/>
          <w:marRight w:val="0"/>
          <w:marTop w:val="0"/>
          <w:marBottom w:val="0"/>
          <w:divBdr>
            <w:top w:val="none" w:sz="0" w:space="0" w:color="auto"/>
            <w:left w:val="none" w:sz="0" w:space="0" w:color="auto"/>
            <w:bottom w:val="none" w:sz="0" w:space="0" w:color="auto"/>
            <w:right w:val="none" w:sz="0" w:space="0" w:color="auto"/>
          </w:divBdr>
          <w:divsChild>
            <w:div w:id="854926239">
              <w:marLeft w:val="0"/>
              <w:marRight w:val="0"/>
              <w:marTop w:val="0"/>
              <w:marBottom w:val="0"/>
              <w:divBdr>
                <w:top w:val="none" w:sz="0" w:space="0" w:color="auto"/>
                <w:left w:val="none" w:sz="0" w:space="0" w:color="auto"/>
                <w:bottom w:val="none" w:sz="0" w:space="0" w:color="auto"/>
                <w:right w:val="none" w:sz="0" w:space="0" w:color="auto"/>
              </w:divBdr>
            </w:div>
          </w:divsChild>
        </w:div>
        <w:div w:id="843976416">
          <w:marLeft w:val="0"/>
          <w:marRight w:val="0"/>
          <w:marTop w:val="0"/>
          <w:marBottom w:val="0"/>
          <w:divBdr>
            <w:top w:val="none" w:sz="0" w:space="0" w:color="auto"/>
            <w:left w:val="none" w:sz="0" w:space="0" w:color="auto"/>
            <w:bottom w:val="none" w:sz="0" w:space="0" w:color="auto"/>
            <w:right w:val="none" w:sz="0" w:space="0" w:color="auto"/>
          </w:divBdr>
          <w:divsChild>
            <w:div w:id="1079601207">
              <w:marLeft w:val="0"/>
              <w:marRight w:val="0"/>
              <w:marTop w:val="0"/>
              <w:marBottom w:val="0"/>
              <w:divBdr>
                <w:top w:val="none" w:sz="0" w:space="0" w:color="auto"/>
                <w:left w:val="none" w:sz="0" w:space="0" w:color="auto"/>
                <w:bottom w:val="none" w:sz="0" w:space="0" w:color="auto"/>
                <w:right w:val="none" w:sz="0" w:space="0" w:color="auto"/>
              </w:divBdr>
            </w:div>
          </w:divsChild>
        </w:div>
        <w:div w:id="846987953">
          <w:marLeft w:val="0"/>
          <w:marRight w:val="0"/>
          <w:marTop w:val="0"/>
          <w:marBottom w:val="0"/>
          <w:divBdr>
            <w:top w:val="none" w:sz="0" w:space="0" w:color="auto"/>
            <w:left w:val="none" w:sz="0" w:space="0" w:color="auto"/>
            <w:bottom w:val="none" w:sz="0" w:space="0" w:color="auto"/>
            <w:right w:val="none" w:sz="0" w:space="0" w:color="auto"/>
          </w:divBdr>
          <w:divsChild>
            <w:div w:id="213004913">
              <w:marLeft w:val="0"/>
              <w:marRight w:val="0"/>
              <w:marTop w:val="0"/>
              <w:marBottom w:val="0"/>
              <w:divBdr>
                <w:top w:val="none" w:sz="0" w:space="0" w:color="auto"/>
                <w:left w:val="none" w:sz="0" w:space="0" w:color="auto"/>
                <w:bottom w:val="none" w:sz="0" w:space="0" w:color="auto"/>
                <w:right w:val="none" w:sz="0" w:space="0" w:color="auto"/>
              </w:divBdr>
            </w:div>
          </w:divsChild>
        </w:div>
        <w:div w:id="899899245">
          <w:marLeft w:val="0"/>
          <w:marRight w:val="0"/>
          <w:marTop w:val="0"/>
          <w:marBottom w:val="0"/>
          <w:divBdr>
            <w:top w:val="none" w:sz="0" w:space="0" w:color="auto"/>
            <w:left w:val="none" w:sz="0" w:space="0" w:color="auto"/>
            <w:bottom w:val="none" w:sz="0" w:space="0" w:color="auto"/>
            <w:right w:val="none" w:sz="0" w:space="0" w:color="auto"/>
          </w:divBdr>
          <w:divsChild>
            <w:div w:id="1167867696">
              <w:marLeft w:val="0"/>
              <w:marRight w:val="0"/>
              <w:marTop w:val="0"/>
              <w:marBottom w:val="0"/>
              <w:divBdr>
                <w:top w:val="none" w:sz="0" w:space="0" w:color="auto"/>
                <w:left w:val="none" w:sz="0" w:space="0" w:color="auto"/>
                <w:bottom w:val="none" w:sz="0" w:space="0" w:color="auto"/>
                <w:right w:val="none" w:sz="0" w:space="0" w:color="auto"/>
              </w:divBdr>
            </w:div>
          </w:divsChild>
        </w:div>
        <w:div w:id="919753037">
          <w:marLeft w:val="0"/>
          <w:marRight w:val="0"/>
          <w:marTop w:val="0"/>
          <w:marBottom w:val="0"/>
          <w:divBdr>
            <w:top w:val="none" w:sz="0" w:space="0" w:color="auto"/>
            <w:left w:val="none" w:sz="0" w:space="0" w:color="auto"/>
            <w:bottom w:val="none" w:sz="0" w:space="0" w:color="auto"/>
            <w:right w:val="none" w:sz="0" w:space="0" w:color="auto"/>
          </w:divBdr>
          <w:divsChild>
            <w:div w:id="795101461">
              <w:marLeft w:val="0"/>
              <w:marRight w:val="0"/>
              <w:marTop w:val="0"/>
              <w:marBottom w:val="0"/>
              <w:divBdr>
                <w:top w:val="none" w:sz="0" w:space="0" w:color="auto"/>
                <w:left w:val="none" w:sz="0" w:space="0" w:color="auto"/>
                <w:bottom w:val="none" w:sz="0" w:space="0" w:color="auto"/>
                <w:right w:val="none" w:sz="0" w:space="0" w:color="auto"/>
              </w:divBdr>
            </w:div>
          </w:divsChild>
        </w:div>
        <w:div w:id="940456457">
          <w:marLeft w:val="0"/>
          <w:marRight w:val="0"/>
          <w:marTop w:val="0"/>
          <w:marBottom w:val="0"/>
          <w:divBdr>
            <w:top w:val="none" w:sz="0" w:space="0" w:color="auto"/>
            <w:left w:val="none" w:sz="0" w:space="0" w:color="auto"/>
            <w:bottom w:val="none" w:sz="0" w:space="0" w:color="auto"/>
            <w:right w:val="none" w:sz="0" w:space="0" w:color="auto"/>
          </w:divBdr>
          <w:divsChild>
            <w:div w:id="902636778">
              <w:marLeft w:val="0"/>
              <w:marRight w:val="0"/>
              <w:marTop w:val="0"/>
              <w:marBottom w:val="0"/>
              <w:divBdr>
                <w:top w:val="none" w:sz="0" w:space="0" w:color="auto"/>
                <w:left w:val="none" w:sz="0" w:space="0" w:color="auto"/>
                <w:bottom w:val="none" w:sz="0" w:space="0" w:color="auto"/>
                <w:right w:val="none" w:sz="0" w:space="0" w:color="auto"/>
              </w:divBdr>
            </w:div>
          </w:divsChild>
        </w:div>
        <w:div w:id="963198695">
          <w:marLeft w:val="0"/>
          <w:marRight w:val="0"/>
          <w:marTop w:val="0"/>
          <w:marBottom w:val="0"/>
          <w:divBdr>
            <w:top w:val="none" w:sz="0" w:space="0" w:color="auto"/>
            <w:left w:val="none" w:sz="0" w:space="0" w:color="auto"/>
            <w:bottom w:val="none" w:sz="0" w:space="0" w:color="auto"/>
            <w:right w:val="none" w:sz="0" w:space="0" w:color="auto"/>
          </w:divBdr>
          <w:divsChild>
            <w:div w:id="138231387">
              <w:marLeft w:val="0"/>
              <w:marRight w:val="0"/>
              <w:marTop w:val="0"/>
              <w:marBottom w:val="0"/>
              <w:divBdr>
                <w:top w:val="none" w:sz="0" w:space="0" w:color="auto"/>
                <w:left w:val="none" w:sz="0" w:space="0" w:color="auto"/>
                <w:bottom w:val="none" w:sz="0" w:space="0" w:color="auto"/>
                <w:right w:val="none" w:sz="0" w:space="0" w:color="auto"/>
              </w:divBdr>
            </w:div>
          </w:divsChild>
        </w:div>
        <w:div w:id="990256315">
          <w:marLeft w:val="0"/>
          <w:marRight w:val="0"/>
          <w:marTop w:val="0"/>
          <w:marBottom w:val="0"/>
          <w:divBdr>
            <w:top w:val="none" w:sz="0" w:space="0" w:color="auto"/>
            <w:left w:val="none" w:sz="0" w:space="0" w:color="auto"/>
            <w:bottom w:val="none" w:sz="0" w:space="0" w:color="auto"/>
            <w:right w:val="none" w:sz="0" w:space="0" w:color="auto"/>
          </w:divBdr>
          <w:divsChild>
            <w:div w:id="1461025242">
              <w:marLeft w:val="0"/>
              <w:marRight w:val="0"/>
              <w:marTop w:val="0"/>
              <w:marBottom w:val="0"/>
              <w:divBdr>
                <w:top w:val="none" w:sz="0" w:space="0" w:color="auto"/>
                <w:left w:val="none" w:sz="0" w:space="0" w:color="auto"/>
                <w:bottom w:val="none" w:sz="0" w:space="0" w:color="auto"/>
                <w:right w:val="none" w:sz="0" w:space="0" w:color="auto"/>
              </w:divBdr>
            </w:div>
          </w:divsChild>
        </w:div>
        <w:div w:id="1067919615">
          <w:marLeft w:val="0"/>
          <w:marRight w:val="0"/>
          <w:marTop w:val="0"/>
          <w:marBottom w:val="0"/>
          <w:divBdr>
            <w:top w:val="none" w:sz="0" w:space="0" w:color="auto"/>
            <w:left w:val="none" w:sz="0" w:space="0" w:color="auto"/>
            <w:bottom w:val="none" w:sz="0" w:space="0" w:color="auto"/>
            <w:right w:val="none" w:sz="0" w:space="0" w:color="auto"/>
          </w:divBdr>
          <w:divsChild>
            <w:div w:id="934627331">
              <w:marLeft w:val="0"/>
              <w:marRight w:val="0"/>
              <w:marTop w:val="0"/>
              <w:marBottom w:val="0"/>
              <w:divBdr>
                <w:top w:val="none" w:sz="0" w:space="0" w:color="auto"/>
                <w:left w:val="none" w:sz="0" w:space="0" w:color="auto"/>
                <w:bottom w:val="none" w:sz="0" w:space="0" w:color="auto"/>
                <w:right w:val="none" w:sz="0" w:space="0" w:color="auto"/>
              </w:divBdr>
            </w:div>
          </w:divsChild>
        </w:div>
        <w:div w:id="1114401436">
          <w:marLeft w:val="0"/>
          <w:marRight w:val="0"/>
          <w:marTop w:val="0"/>
          <w:marBottom w:val="0"/>
          <w:divBdr>
            <w:top w:val="none" w:sz="0" w:space="0" w:color="auto"/>
            <w:left w:val="none" w:sz="0" w:space="0" w:color="auto"/>
            <w:bottom w:val="none" w:sz="0" w:space="0" w:color="auto"/>
            <w:right w:val="none" w:sz="0" w:space="0" w:color="auto"/>
          </w:divBdr>
          <w:divsChild>
            <w:div w:id="557280555">
              <w:marLeft w:val="0"/>
              <w:marRight w:val="0"/>
              <w:marTop w:val="0"/>
              <w:marBottom w:val="0"/>
              <w:divBdr>
                <w:top w:val="none" w:sz="0" w:space="0" w:color="auto"/>
                <w:left w:val="none" w:sz="0" w:space="0" w:color="auto"/>
                <w:bottom w:val="none" w:sz="0" w:space="0" w:color="auto"/>
                <w:right w:val="none" w:sz="0" w:space="0" w:color="auto"/>
              </w:divBdr>
            </w:div>
          </w:divsChild>
        </w:div>
        <w:div w:id="1129321648">
          <w:marLeft w:val="0"/>
          <w:marRight w:val="0"/>
          <w:marTop w:val="0"/>
          <w:marBottom w:val="0"/>
          <w:divBdr>
            <w:top w:val="none" w:sz="0" w:space="0" w:color="auto"/>
            <w:left w:val="none" w:sz="0" w:space="0" w:color="auto"/>
            <w:bottom w:val="none" w:sz="0" w:space="0" w:color="auto"/>
            <w:right w:val="none" w:sz="0" w:space="0" w:color="auto"/>
          </w:divBdr>
          <w:divsChild>
            <w:div w:id="645738975">
              <w:marLeft w:val="0"/>
              <w:marRight w:val="0"/>
              <w:marTop w:val="0"/>
              <w:marBottom w:val="0"/>
              <w:divBdr>
                <w:top w:val="none" w:sz="0" w:space="0" w:color="auto"/>
                <w:left w:val="none" w:sz="0" w:space="0" w:color="auto"/>
                <w:bottom w:val="none" w:sz="0" w:space="0" w:color="auto"/>
                <w:right w:val="none" w:sz="0" w:space="0" w:color="auto"/>
              </w:divBdr>
            </w:div>
          </w:divsChild>
        </w:div>
        <w:div w:id="1143348218">
          <w:marLeft w:val="0"/>
          <w:marRight w:val="0"/>
          <w:marTop w:val="0"/>
          <w:marBottom w:val="0"/>
          <w:divBdr>
            <w:top w:val="none" w:sz="0" w:space="0" w:color="auto"/>
            <w:left w:val="none" w:sz="0" w:space="0" w:color="auto"/>
            <w:bottom w:val="none" w:sz="0" w:space="0" w:color="auto"/>
            <w:right w:val="none" w:sz="0" w:space="0" w:color="auto"/>
          </w:divBdr>
          <w:divsChild>
            <w:div w:id="1465007877">
              <w:marLeft w:val="0"/>
              <w:marRight w:val="0"/>
              <w:marTop w:val="0"/>
              <w:marBottom w:val="0"/>
              <w:divBdr>
                <w:top w:val="none" w:sz="0" w:space="0" w:color="auto"/>
                <w:left w:val="none" w:sz="0" w:space="0" w:color="auto"/>
                <w:bottom w:val="none" w:sz="0" w:space="0" w:color="auto"/>
                <w:right w:val="none" w:sz="0" w:space="0" w:color="auto"/>
              </w:divBdr>
            </w:div>
          </w:divsChild>
        </w:div>
        <w:div w:id="1225751918">
          <w:marLeft w:val="0"/>
          <w:marRight w:val="0"/>
          <w:marTop w:val="0"/>
          <w:marBottom w:val="0"/>
          <w:divBdr>
            <w:top w:val="none" w:sz="0" w:space="0" w:color="auto"/>
            <w:left w:val="none" w:sz="0" w:space="0" w:color="auto"/>
            <w:bottom w:val="none" w:sz="0" w:space="0" w:color="auto"/>
            <w:right w:val="none" w:sz="0" w:space="0" w:color="auto"/>
          </w:divBdr>
          <w:divsChild>
            <w:div w:id="1142507583">
              <w:marLeft w:val="0"/>
              <w:marRight w:val="0"/>
              <w:marTop w:val="0"/>
              <w:marBottom w:val="0"/>
              <w:divBdr>
                <w:top w:val="none" w:sz="0" w:space="0" w:color="auto"/>
                <w:left w:val="none" w:sz="0" w:space="0" w:color="auto"/>
                <w:bottom w:val="none" w:sz="0" w:space="0" w:color="auto"/>
                <w:right w:val="none" w:sz="0" w:space="0" w:color="auto"/>
              </w:divBdr>
            </w:div>
          </w:divsChild>
        </w:div>
        <w:div w:id="1238127607">
          <w:marLeft w:val="0"/>
          <w:marRight w:val="0"/>
          <w:marTop w:val="0"/>
          <w:marBottom w:val="0"/>
          <w:divBdr>
            <w:top w:val="none" w:sz="0" w:space="0" w:color="auto"/>
            <w:left w:val="none" w:sz="0" w:space="0" w:color="auto"/>
            <w:bottom w:val="none" w:sz="0" w:space="0" w:color="auto"/>
            <w:right w:val="none" w:sz="0" w:space="0" w:color="auto"/>
          </w:divBdr>
          <w:divsChild>
            <w:div w:id="2069377736">
              <w:marLeft w:val="0"/>
              <w:marRight w:val="0"/>
              <w:marTop w:val="0"/>
              <w:marBottom w:val="0"/>
              <w:divBdr>
                <w:top w:val="none" w:sz="0" w:space="0" w:color="auto"/>
                <w:left w:val="none" w:sz="0" w:space="0" w:color="auto"/>
                <w:bottom w:val="none" w:sz="0" w:space="0" w:color="auto"/>
                <w:right w:val="none" w:sz="0" w:space="0" w:color="auto"/>
              </w:divBdr>
            </w:div>
          </w:divsChild>
        </w:div>
        <w:div w:id="1259559738">
          <w:marLeft w:val="0"/>
          <w:marRight w:val="0"/>
          <w:marTop w:val="0"/>
          <w:marBottom w:val="0"/>
          <w:divBdr>
            <w:top w:val="none" w:sz="0" w:space="0" w:color="auto"/>
            <w:left w:val="none" w:sz="0" w:space="0" w:color="auto"/>
            <w:bottom w:val="none" w:sz="0" w:space="0" w:color="auto"/>
            <w:right w:val="none" w:sz="0" w:space="0" w:color="auto"/>
          </w:divBdr>
          <w:divsChild>
            <w:div w:id="1097604550">
              <w:marLeft w:val="0"/>
              <w:marRight w:val="0"/>
              <w:marTop w:val="0"/>
              <w:marBottom w:val="0"/>
              <w:divBdr>
                <w:top w:val="none" w:sz="0" w:space="0" w:color="auto"/>
                <w:left w:val="none" w:sz="0" w:space="0" w:color="auto"/>
                <w:bottom w:val="none" w:sz="0" w:space="0" w:color="auto"/>
                <w:right w:val="none" w:sz="0" w:space="0" w:color="auto"/>
              </w:divBdr>
            </w:div>
          </w:divsChild>
        </w:div>
        <w:div w:id="1405689651">
          <w:marLeft w:val="0"/>
          <w:marRight w:val="0"/>
          <w:marTop w:val="0"/>
          <w:marBottom w:val="0"/>
          <w:divBdr>
            <w:top w:val="none" w:sz="0" w:space="0" w:color="auto"/>
            <w:left w:val="none" w:sz="0" w:space="0" w:color="auto"/>
            <w:bottom w:val="none" w:sz="0" w:space="0" w:color="auto"/>
            <w:right w:val="none" w:sz="0" w:space="0" w:color="auto"/>
          </w:divBdr>
          <w:divsChild>
            <w:div w:id="1027412602">
              <w:marLeft w:val="0"/>
              <w:marRight w:val="0"/>
              <w:marTop w:val="0"/>
              <w:marBottom w:val="0"/>
              <w:divBdr>
                <w:top w:val="none" w:sz="0" w:space="0" w:color="auto"/>
                <w:left w:val="none" w:sz="0" w:space="0" w:color="auto"/>
                <w:bottom w:val="none" w:sz="0" w:space="0" w:color="auto"/>
                <w:right w:val="none" w:sz="0" w:space="0" w:color="auto"/>
              </w:divBdr>
            </w:div>
          </w:divsChild>
        </w:div>
        <w:div w:id="1518041322">
          <w:marLeft w:val="0"/>
          <w:marRight w:val="0"/>
          <w:marTop w:val="0"/>
          <w:marBottom w:val="0"/>
          <w:divBdr>
            <w:top w:val="none" w:sz="0" w:space="0" w:color="auto"/>
            <w:left w:val="none" w:sz="0" w:space="0" w:color="auto"/>
            <w:bottom w:val="none" w:sz="0" w:space="0" w:color="auto"/>
            <w:right w:val="none" w:sz="0" w:space="0" w:color="auto"/>
          </w:divBdr>
          <w:divsChild>
            <w:div w:id="328102105">
              <w:marLeft w:val="0"/>
              <w:marRight w:val="0"/>
              <w:marTop w:val="0"/>
              <w:marBottom w:val="0"/>
              <w:divBdr>
                <w:top w:val="none" w:sz="0" w:space="0" w:color="auto"/>
                <w:left w:val="none" w:sz="0" w:space="0" w:color="auto"/>
                <w:bottom w:val="none" w:sz="0" w:space="0" w:color="auto"/>
                <w:right w:val="none" w:sz="0" w:space="0" w:color="auto"/>
              </w:divBdr>
            </w:div>
          </w:divsChild>
        </w:div>
        <w:div w:id="1632007392">
          <w:marLeft w:val="0"/>
          <w:marRight w:val="0"/>
          <w:marTop w:val="0"/>
          <w:marBottom w:val="0"/>
          <w:divBdr>
            <w:top w:val="none" w:sz="0" w:space="0" w:color="auto"/>
            <w:left w:val="none" w:sz="0" w:space="0" w:color="auto"/>
            <w:bottom w:val="none" w:sz="0" w:space="0" w:color="auto"/>
            <w:right w:val="none" w:sz="0" w:space="0" w:color="auto"/>
          </w:divBdr>
          <w:divsChild>
            <w:div w:id="1510021114">
              <w:marLeft w:val="0"/>
              <w:marRight w:val="0"/>
              <w:marTop w:val="0"/>
              <w:marBottom w:val="0"/>
              <w:divBdr>
                <w:top w:val="none" w:sz="0" w:space="0" w:color="auto"/>
                <w:left w:val="none" w:sz="0" w:space="0" w:color="auto"/>
                <w:bottom w:val="none" w:sz="0" w:space="0" w:color="auto"/>
                <w:right w:val="none" w:sz="0" w:space="0" w:color="auto"/>
              </w:divBdr>
            </w:div>
          </w:divsChild>
        </w:div>
        <w:div w:id="1642074888">
          <w:marLeft w:val="0"/>
          <w:marRight w:val="0"/>
          <w:marTop w:val="0"/>
          <w:marBottom w:val="0"/>
          <w:divBdr>
            <w:top w:val="none" w:sz="0" w:space="0" w:color="auto"/>
            <w:left w:val="none" w:sz="0" w:space="0" w:color="auto"/>
            <w:bottom w:val="none" w:sz="0" w:space="0" w:color="auto"/>
            <w:right w:val="none" w:sz="0" w:space="0" w:color="auto"/>
          </w:divBdr>
          <w:divsChild>
            <w:div w:id="845049966">
              <w:marLeft w:val="0"/>
              <w:marRight w:val="0"/>
              <w:marTop w:val="0"/>
              <w:marBottom w:val="0"/>
              <w:divBdr>
                <w:top w:val="none" w:sz="0" w:space="0" w:color="auto"/>
                <w:left w:val="none" w:sz="0" w:space="0" w:color="auto"/>
                <w:bottom w:val="none" w:sz="0" w:space="0" w:color="auto"/>
                <w:right w:val="none" w:sz="0" w:space="0" w:color="auto"/>
              </w:divBdr>
            </w:div>
          </w:divsChild>
        </w:div>
        <w:div w:id="1657413019">
          <w:marLeft w:val="0"/>
          <w:marRight w:val="0"/>
          <w:marTop w:val="0"/>
          <w:marBottom w:val="0"/>
          <w:divBdr>
            <w:top w:val="none" w:sz="0" w:space="0" w:color="auto"/>
            <w:left w:val="none" w:sz="0" w:space="0" w:color="auto"/>
            <w:bottom w:val="none" w:sz="0" w:space="0" w:color="auto"/>
            <w:right w:val="none" w:sz="0" w:space="0" w:color="auto"/>
          </w:divBdr>
          <w:divsChild>
            <w:div w:id="156385007">
              <w:marLeft w:val="0"/>
              <w:marRight w:val="0"/>
              <w:marTop w:val="0"/>
              <w:marBottom w:val="0"/>
              <w:divBdr>
                <w:top w:val="none" w:sz="0" w:space="0" w:color="auto"/>
                <w:left w:val="none" w:sz="0" w:space="0" w:color="auto"/>
                <w:bottom w:val="none" w:sz="0" w:space="0" w:color="auto"/>
                <w:right w:val="none" w:sz="0" w:space="0" w:color="auto"/>
              </w:divBdr>
            </w:div>
          </w:divsChild>
        </w:div>
        <w:div w:id="1664241263">
          <w:marLeft w:val="0"/>
          <w:marRight w:val="0"/>
          <w:marTop w:val="0"/>
          <w:marBottom w:val="0"/>
          <w:divBdr>
            <w:top w:val="none" w:sz="0" w:space="0" w:color="auto"/>
            <w:left w:val="none" w:sz="0" w:space="0" w:color="auto"/>
            <w:bottom w:val="none" w:sz="0" w:space="0" w:color="auto"/>
            <w:right w:val="none" w:sz="0" w:space="0" w:color="auto"/>
          </w:divBdr>
          <w:divsChild>
            <w:div w:id="793594414">
              <w:marLeft w:val="0"/>
              <w:marRight w:val="0"/>
              <w:marTop w:val="0"/>
              <w:marBottom w:val="0"/>
              <w:divBdr>
                <w:top w:val="none" w:sz="0" w:space="0" w:color="auto"/>
                <w:left w:val="none" w:sz="0" w:space="0" w:color="auto"/>
                <w:bottom w:val="none" w:sz="0" w:space="0" w:color="auto"/>
                <w:right w:val="none" w:sz="0" w:space="0" w:color="auto"/>
              </w:divBdr>
            </w:div>
          </w:divsChild>
        </w:div>
        <w:div w:id="1674868505">
          <w:marLeft w:val="0"/>
          <w:marRight w:val="0"/>
          <w:marTop w:val="0"/>
          <w:marBottom w:val="0"/>
          <w:divBdr>
            <w:top w:val="none" w:sz="0" w:space="0" w:color="auto"/>
            <w:left w:val="none" w:sz="0" w:space="0" w:color="auto"/>
            <w:bottom w:val="none" w:sz="0" w:space="0" w:color="auto"/>
            <w:right w:val="none" w:sz="0" w:space="0" w:color="auto"/>
          </w:divBdr>
          <w:divsChild>
            <w:div w:id="315188033">
              <w:marLeft w:val="0"/>
              <w:marRight w:val="0"/>
              <w:marTop w:val="0"/>
              <w:marBottom w:val="0"/>
              <w:divBdr>
                <w:top w:val="none" w:sz="0" w:space="0" w:color="auto"/>
                <w:left w:val="none" w:sz="0" w:space="0" w:color="auto"/>
                <w:bottom w:val="none" w:sz="0" w:space="0" w:color="auto"/>
                <w:right w:val="none" w:sz="0" w:space="0" w:color="auto"/>
              </w:divBdr>
            </w:div>
          </w:divsChild>
        </w:div>
        <w:div w:id="1688553776">
          <w:marLeft w:val="0"/>
          <w:marRight w:val="0"/>
          <w:marTop w:val="0"/>
          <w:marBottom w:val="0"/>
          <w:divBdr>
            <w:top w:val="none" w:sz="0" w:space="0" w:color="auto"/>
            <w:left w:val="none" w:sz="0" w:space="0" w:color="auto"/>
            <w:bottom w:val="none" w:sz="0" w:space="0" w:color="auto"/>
            <w:right w:val="none" w:sz="0" w:space="0" w:color="auto"/>
          </w:divBdr>
          <w:divsChild>
            <w:div w:id="988173651">
              <w:marLeft w:val="0"/>
              <w:marRight w:val="0"/>
              <w:marTop w:val="0"/>
              <w:marBottom w:val="0"/>
              <w:divBdr>
                <w:top w:val="none" w:sz="0" w:space="0" w:color="auto"/>
                <w:left w:val="none" w:sz="0" w:space="0" w:color="auto"/>
                <w:bottom w:val="none" w:sz="0" w:space="0" w:color="auto"/>
                <w:right w:val="none" w:sz="0" w:space="0" w:color="auto"/>
              </w:divBdr>
            </w:div>
          </w:divsChild>
        </w:div>
        <w:div w:id="1712801916">
          <w:marLeft w:val="0"/>
          <w:marRight w:val="0"/>
          <w:marTop w:val="0"/>
          <w:marBottom w:val="0"/>
          <w:divBdr>
            <w:top w:val="none" w:sz="0" w:space="0" w:color="auto"/>
            <w:left w:val="none" w:sz="0" w:space="0" w:color="auto"/>
            <w:bottom w:val="none" w:sz="0" w:space="0" w:color="auto"/>
            <w:right w:val="none" w:sz="0" w:space="0" w:color="auto"/>
          </w:divBdr>
          <w:divsChild>
            <w:div w:id="697857141">
              <w:marLeft w:val="0"/>
              <w:marRight w:val="0"/>
              <w:marTop w:val="0"/>
              <w:marBottom w:val="0"/>
              <w:divBdr>
                <w:top w:val="none" w:sz="0" w:space="0" w:color="auto"/>
                <w:left w:val="none" w:sz="0" w:space="0" w:color="auto"/>
                <w:bottom w:val="none" w:sz="0" w:space="0" w:color="auto"/>
                <w:right w:val="none" w:sz="0" w:space="0" w:color="auto"/>
              </w:divBdr>
            </w:div>
          </w:divsChild>
        </w:div>
        <w:div w:id="1713576069">
          <w:marLeft w:val="0"/>
          <w:marRight w:val="0"/>
          <w:marTop w:val="0"/>
          <w:marBottom w:val="0"/>
          <w:divBdr>
            <w:top w:val="none" w:sz="0" w:space="0" w:color="auto"/>
            <w:left w:val="none" w:sz="0" w:space="0" w:color="auto"/>
            <w:bottom w:val="none" w:sz="0" w:space="0" w:color="auto"/>
            <w:right w:val="none" w:sz="0" w:space="0" w:color="auto"/>
          </w:divBdr>
          <w:divsChild>
            <w:div w:id="1254165854">
              <w:marLeft w:val="0"/>
              <w:marRight w:val="0"/>
              <w:marTop w:val="0"/>
              <w:marBottom w:val="0"/>
              <w:divBdr>
                <w:top w:val="none" w:sz="0" w:space="0" w:color="auto"/>
                <w:left w:val="none" w:sz="0" w:space="0" w:color="auto"/>
                <w:bottom w:val="none" w:sz="0" w:space="0" w:color="auto"/>
                <w:right w:val="none" w:sz="0" w:space="0" w:color="auto"/>
              </w:divBdr>
            </w:div>
          </w:divsChild>
        </w:div>
        <w:div w:id="1723821322">
          <w:marLeft w:val="0"/>
          <w:marRight w:val="0"/>
          <w:marTop w:val="0"/>
          <w:marBottom w:val="0"/>
          <w:divBdr>
            <w:top w:val="none" w:sz="0" w:space="0" w:color="auto"/>
            <w:left w:val="none" w:sz="0" w:space="0" w:color="auto"/>
            <w:bottom w:val="none" w:sz="0" w:space="0" w:color="auto"/>
            <w:right w:val="none" w:sz="0" w:space="0" w:color="auto"/>
          </w:divBdr>
          <w:divsChild>
            <w:div w:id="1459295933">
              <w:marLeft w:val="0"/>
              <w:marRight w:val="0"/>
              <w:marTop w:val="0"/>
              <w:marBottom w:val="0"/>
              <w:divBdr>
                <w:top w:val="none" w:sz="0" w:space="0" w:color="auto"/>
                <w:left w:val="none" w:sz="0" w:space="0" w:color="auto"/>
                <w:bottom w:val="none" w:sz="0" w:space="0" w:color="auto"/>
                <w:right w:val="none" w:sz="0" w:space="0" w:color="auto"/>
              </w:divBdr>
            </w:div>
          </w:divsChild>
        </w:div>
        <w:div w:id="1728920087">
          <w:marLeft w:val="0"/>
          <w:marRight w:val="0"/>
          <w:marTop w:val="0"/>
          <w:marBottom w:val="0"/>
          <w:divBdr>
            <w:top w:val="none" w:sz="0" w:space="0" w:color="auto"/>
            <w:left w:val="none" w:sz="0" w:space="0" w:color="auto"/>
            <w:bottom w:val="none" w:sz="0" w:space="0" w:color="auto"/>
            <w:right w:val="none" w:sz="0" w:space="0" w:color="auto"/>
          </w:divBdr>
          <w:divsChild>
            <w:div w:id="479494085">
              <w:marLeft w:val="0"/>
              <w:marRight w:val="0"/>
              <w:marTop w:val="0"/>
              <w:marBottom w:val="0"/>
              <w:divBdr>
                <w:top w:val="none" w:sz="0" w:space="0" w:color="auto"/>
                <w:left w:val="none" w:sz="0" w:space="0" w:color="auto"/>
                <w:bottom w:val="none" w:sz="0" w:space="0" w:color="auto"/>
                <w:right w:val="none" w:sz="0" w:space="0" w:color="auto"/>
              </w:divBdr>
            </w:div>
          </w:divsChild>
        </w:div>
        <w:div w:id="1732272580">
          <w:marLeft w:val="0"/>
          <w:marRight w:val="0"/>
          <w:marTop w:val="0"/>
          <w:marBottom w:val="0"/>
          <w:divBdr>
            <w:top w:val="none" w:sz="0" w:space="0" w:color="auto"/>
            <w:left w:val="none" w:sz="0" w:space="0" w:color="auto"/>
            <w:bottom w:val="none" w:sz="0" w:space="0" w:color="auto"/>
            <w:right w:val="none" w:sz="0" w:space="0" w:color="auto"/>
          </w:divBdr>
          <w:divsChild>
            <w:div w:id="1294365210">
              <w:marLeft w:val="0"/>
              <w:marRight w:val="0"/>
              <w:marTop w:val="0"/>
              <w:marBottom w:val="0"/>
              <w:divBdr>
                <w:top w:val="none" w:sz="0" w:space="0" w:color="auto"/>
                <w:left w:val="none" w:sz="0" w:space="0" w:color="auto"/>
                <w:bottom w:val="none" w:sz="0" w:space="0" w:color="auto"/>
                <w:right w:val="none" w:sz="0" w:space="0" w:color="auto"/>
              </w:divBdr>
            </w:div>
          </w:divsChild>
        </w:div>
        <w:div w:id="1767530564">
          <w:marLeft w:val="0"/>
          <w:marRight w:val="0"/>
          <w:marTop w:val="0"/>
          <w:marBottom w:val="0"/>
          <w:divBdr>
            <w:top w:val="none" w:sz="0" w:space="0" w:color="auto"/>
            <w:left w:val="none" w:sz="0" w:space="0" w:color="auto"/>
            <w:bottom w:val="none" w:sz="0" w:space="0" w:color="auto"/>
            <w:right w:val="none" w:sz="0" w:space="0" w:color="auto"/>
          </w:divBdr>
          <w:divsChild>
            <w:div w:id="765927455">
              <w:marLeft w:val="0"/>
              <w:marRight w:val="0"/>
              <w:marTop w:val="0"/>
              <w:marBottom w:val="0"/>
              <w:divBdr>
                <w:top w:val="none" w:sz="0" w:space="0" w:color="auto"/>
                <w:left w:val="none" w:sz="0" w:space="0" w:color="auto"/>
                <w:bottom w:val="none" w:sz="0" w:space="0" w:color="auto"/>
                <w:right w:val="none" w:sz="0" w:space="0" w:color="auto"/>
              </w:divBdr>
            </w:div>
          </w:divsChild>
        </w:div>
        <w:div w:id="1858501381">
          <w:marLeft w:val="0"/>
          <w:marRight w:val="0"/>
          <w:marTop w:val="0"/>
          <w:marBottom w:val="0"/>
          <w:divBdr>
            <w:top w:val="none" w:sz="0" w:space="0" w:color="auto"/>
            <w:left w:val="none" w:sz="0" w:space="0" w:color="auto"/>
            <w:bottom w:val="none" w:sz="0" w:space="0" w:color="auto"/>
            <w:right w:val="none" w:sz="0" w:space="0" w:color="auto"/>
          </w:divBdr>
          <w:divsChild>
            <w:div w:id="1339502178">
              <w:marLeft w:val="0"/>
              <w:marRight w:val="0"/>
              <w:marTop w:val="0"/>
              <w:marBottom w:val="0"/>
              <w:divBdr>
                <w:top w:val="none" w:sz="0" w:space="0" w:color="auto"/>
                <w:left w:val="none" w:sz="0" w:space="0" w:color="auto"/>
                <w:bottom w:val="none" w:sz="0" w:space="0" w:color="auto"/>
                <w:right w:val="none" w:sz="0" w:space="0" w:color="auto"/>
              </w:divBdr>
            </w:div>
          </w:divsChild>
        </w:div>
        <w:div w:id="1893031443">
          <w:marLeft w:val="0"/>
          <w:marRight w:val="0"/>
          <w:marTop w:val="0"/>
          <w:marBottom w:val="0"/>
          <w:divBdr>
            <w:top w:val="none" w:sz="0" w:space="0" w:color="auto"/>
            <w:left w:val="none" w:sz="0" w:space="0" w:color="auto"/>
            <w:bottom w:val="none" w:sz="0" w:space="0" w:color="auto"/>
            <w:right w:val="none" w:sz="0" w:space="0" w:color="auto"/>
          </w:divBdr>
          <w:divsChild>
            <w:div w:id="1763992946">
              <w:marLeft w:val="0"/>
              <w:marRight w:val="0"/>
              <w:marTop w:val="0"/>
              <w:marBottom w:val="0"/>
              <w:divBdr>
                <w:top w:val="none" w:sz="0" w:space="0" w:color="auto"/>
                <w:left w:val="none" w:sz="0" w:space="0" w:color="auto"/>
                <w:bottom w:val="none" w:sz="0" w:space="0" w:color="auto"/>
                <w:right w:val="none" w:sz="0" w:space="0" w:color="auto"/>
              </w:divBdr>
            </w:div>
          </w:divsChild>
        </w:div>
        <w:div w:id="2028672877">
          <w:marLeft w:val="0"/>
          <w:marRight w:val="0"/>
          <w:marTop w:val="0"/>
          <w:marBottom w:val="0"/>
          <w:divBdr>
            <w:top w:val="none" w:sz="0" w:space="0" w:color="auto"/>
            <w:left w:val="none" w:sz="0" w:space="0" w:color="auto"/>
            <w:bottom w:val="none" w:sz="0" w:space="0" w:color="auto"/>
            <w:right w:val="none" w:sz="0" w:space="0" w:color="auto"/>
          </w:divBdr>
          <w:divsChild>
            <w:div w:id="1706054385">
              <w:marLeft w:val="0"/>
              <w:marRight w:val="0"/>
              <w:marTop w:val="0"/>
              <w:marBottom w:val="0"/>
              <w:divBdr>
                <w:top w:val="none" w:sz="0" w:space="0" w:color="auto"/>
                <w:left w:val="none" w:sz="0" w:space="0" w:color="auto"/>
                <w:bottom w:val="none" w:sz="0" w:space="0" w:color="auto"/>
                <w:right w:val="none" w:sz="0" w:space="0" w:color="auto"/>
              </w:divBdr>
            </w:div>
          </w:divsChild>
        </w:div>
        <w:div w:id="2041320984">
          <w:marLeft w:val="0"/>
          <w:marRight w:val="0"/>
          <w:marTop w:val="0"/>
          <w:marBottom w:val="0"/>
          <w:divBdr>
            <w:top w:val="none" w:sz="0" w:space="0" w:color="auto"/>
            <w:left w:val="none" w:sz="0" w:space="0" w:color="auto"/>
            <w:bottom w:val="none" w:sz="0" w:space="0" w:color="auto"/>
            <w:right w:val="none" w:sz="0" w:space="0" w:color="auto"/>
          </w:divBdr>
          <w:divsChild>
            <w:div w:id="1710059684">
              <w:marLeft w:val="0"/>
              <w:marRight w:val="0"/>
              <w:marTop w:val="0"/>
              <w:marBottom w:val="0"/>
              <w:divBdr>
                <w:top w:val="none" w:sz="0" w:space="0" w:color="auto"/>
                <w:left w:val="none" w:sz="0" w:space="0" w:color="auto"/>
                <w:bottom w:val="none" w:sz="0" w:space="0" w:color="auto"/>
                <w:right w:val="none" w:sz="0" w:space="0" w:color="auto"/>
              </w:divBdr>
            </w:div>
          </w:divsChild>
        </w:div>
        <w:div w:id="2108646713">
          <w:marLeft w:val="0"/>
          <w:marRight w:val="0"/>
          <w:marTop w:val="0"/>
          <w:marBottom w:val="0"/>
          <w:divBdr>
            <w:top w:val="none" w:sz="0" w:space="0" w:color="auto"/>
            <w:left w:val="none" w:sz="0" w:space="0" w:color="auto"/>
            <w:bottom w:val="none" w:sz="0" w:space="0" w:color="auto"/>
            <w:right w:val="none" w:sz="0" w:space="0" w:color="auto"/>
          </w:divBdr>
          <w:divsChild>
            <w:div w:id="2065252473">
              <w:marLeft w:val="0"/>
              <w:marRight w:val="0"/>
              <w:marTop w:val="0"/>
              <w:marBottom w:val="0"/>
              <w:divBdr>
                <w:top w:val="none" w:sz="0" w:space="0" w:color="auto"/>
                <w:left w:val="none" w:sz="0" w:space="0" w:color="auto"/>
                <w:bottom w:val="none" w:sz="0" w:space="0" w:color="auto"/>
                <w:right w:val="none" w:sz="0" w:space="0" w:color="auto"/>
              </w:divBdr>
            </w:div>
          </w:divsChild>
        </w:div>
        <w:div w:id="2125537824">
          <w:marLeft w:val="0"/>
          <w:marRight w:val="0"/>
          <w:marTop w:val="0"/>
          <w:marBottom w:val="0"/>
          <w:divBdr>
            <w:top w:val="none" w:sz="0" w:space="0" w:color="auto"/>
            <w:left w:val="none" w:sz="0" w:space="0" w:color="auto"/>
            <w:bottom w:val="none" w:sz="0" w:space="0" w:color="auto"/>
            <w:right w:val="none" w:sz="0" w:space="0" w:color="auto"/>
          </w:divBdr>
          <w:divsChild>
            <w:div w:id="11478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2998">
      <w:bodyDiv w:val="1"/>
      <w:marLeft w:val="0"/>
      <w:marRight w:val="0"/>
      <w:marTop w:val="0"/>
      <w:marBottom w:val="0"/>
      <w:divBdr>
        <w:top w:val="none" w:sz="0" w:space="0" w:color="auto"/>
        <w:left w:val="none" w:sz="0" w:space="0" w:color="auto"/>
        <w:bottom w:val="none" w:sz="0" w:space="0" w:color="auto"/>
        <w:right w:val="none" w:sz="0" w:space="0" w:color="auto"/>
      </w:divBdr>
    </w:div>
    <w:div w:id="891385988">
      <w:bodyDiv w:val="1"/>
      <w:marLeft w:val="0"/>
      <w:marRight w:val="0"/>
      <w:marTop w:val="0"/>
      <w:marBottom w:val="0"/>
      <w:divBdr>
        <w:top w:val="none" w:sz="0" w:space="0" w:color="auto"/>
        <w:left w:val="none" w:sz="0" w:space="0" w:color="auto"/>
        <w:bottom w:val="none" w:sz="0" w:space="0" w:color="auto"/>
        <w:right w:val="none" w:sz="0" w:space="0" w:color="auto"/>
      </w:divBdr>
    </w:div>
    <w:div w:id="911045957">
      <w:bodyDiv w:val="1"/>
      <w:marLeft w:val="0"/>
      <w:marRight w:val="0"/>
      <w:marTop w:val="0"/>
      <w:marBottom w:val="0"/>
      <w:divBdr>
        <w:top w:val="none" w:sz="0" w:space="0" w:color="auto"/>
        <w:left w:val="none" w:sz="0" w:space="0" w:color="auto"/>
        <w:bottom w:val="none" w:sz="0" w:space="0" w:color="auto"/>
        <w:right w:val="none" w:sz="0" w:space="0" w:color="auto"/>
      </w:divBdr>
      <w:divsChild>
        <w:div w:id="381835280">
          <w:marLeft w:val="0"/>
          <w:marRight w:val="0"/>
          <w:marTop w:val="0"/>
          <w:marBottom w:val="0"/>
          <w:divBdr>
            <w:top w:val="none" w:sz="0" w:space="0" w:color="auto"/>
            <w:left w:val="none" w:sz="0" w:space="0" w:color="auto"/>
            <w:bottom w:val="none" w:sz="0" w:space="0" w:color="auto"/>
            <w:right w:val="none" w:sz="0" w:space="0" w:color="auto"/>
          </w:divBdr>
          <w:divsChild>
            <w:div w:id="532773060">
              <w:marLeft w:val="0"/>
              <w:marRight w:val="0"/>
              <w:marTop w:val="0"/>
              <w:marBottom w:val="0"/>
              <w:divBdr>
                <w:top w:val="none" w:sz="0" w:space="0" w:color="auto"/>
                <w:left w:val="none" w:sz="0" w:space="0" w:color="auto"/>
                <w:bottom w:val="none" w:sz="0" w:space="0" w:color="auto"/>
                <w:right w:val="none" w:sz="0" w:space="0" w:color="auto"/>
              </w:divBdr>
            </w:div>
          </w:divsChild>
        </w:div>
        <w:div w:id="386338396">
          <w:marLeft w:val="0"/>
          <w:marRight w:val="0"/>
          <w:marTop w:val="0"/>
          <w:marBottom w:val="0"/>
          <w:divBdr>
            <w:top w:val="none" w:sz="0" w:space="0" w:color="auto"/>
            <w:left w:val="none" w:sz="0" w:space="0" w:color="auto"/>
            <w:bottom w:val="none" w:sz="0" w:space="0" w:color="auto"/>
            <w:right w:val="none" w:sz="0" w:space="0" w:color="auto"/>
          </w:divBdr>
          <w:divsChild>
            <w:div w:id="600652671">
              <w:marLeft w:val="0"/>
              <w:marRight w:val="0"/>
              <w:marTop w:val="0"/>
              <w:marBottom w:val="0"/>
              <w:divBdr>
                <w:top w:val="none" w:sz="0" w:space="0" w:color="auto"/>
                <w:left w:val="none" w:sz="0" w:space="0" w:color="auto"/>
                <w:bottom w:val="none" w:sz="0" w:space="0" w:color="auto"/>
                <w:right w:val="none" w:sz="0" w:space="0" w:color="auto"/>
              </w:divBdr>
            </w:div>
          </w:divsChild>
        </w:div>
        <w:div w:id="503135346">
          <w:marLeft w:val="0"/>
          <w:marRight w:val="0"/>
          <w:marTop w:val="0"/>
          <w:marBottom w:val="0"/>
          <w:divBdr>
            <w:top w:val="none" w:sz="0" w:space="0" w:color="auto"/>
            <w:left w:val="none" w:sz="0" w:space="0" w:color="auto"/>
            <w:bottom w:val="none" w:sz="0" w:space="0" w:color="auto"/>
            <w:right w:val="none" w:sz="0" w:space="0" w:color="auto"/>
          </w:divBdr>
          <w:divsChild>
            <w:div w:id="921916906">
              <w:marLeft w:val="0"/>
              <w:marRight w:val="0"/>
              <w:marTop w:val="0"/>
              <w:marBottom w:val="0"/>
              <w:divBdr>
                <w:top w:val="none" w:sz="0" w:space="0" w:color="auto"/>
                <w:left w:val="none" w:sz="0" w:space="0" w:color="auto"/>
                <w:bottom w:val="none" w:sz="0" w:space="0" w:color="auto"/>
                <w:right w:val="none" w:sz="0" w:space="0" w:color="auto"/>
              </w:divBdr>
            </w:div>
          </w:divsChild>
        </w:div>
        <w:div w:id="505945674">
          <w:marLeft w:val="0"/>
          <w:marRight w:val="0"/>
          <w:marTop w:val="0"/>
          <w:marBottom w:val="0"/>
          <w:divBdr>
            <w:top w:val="none" w:sz="0" w:space="0" w:color="auto"/>
            <w:left w:val="none" w:sz="0" w:space="0" w:color="auto"/>
            <w:bottom w:val="none" w:sz="0" w:space="0" w:color="auto"/>
            <w:right w:val="none" w:sz="0" w:space="0" w:color="auto"/>
          </w:divBdr>
          <w:divsChild>
            <w:div w:id="1006438822">
              <w:marLeft w:val="0"/>
              <w:marRight w:val="0"/>
              <w:marTop w:val="0"/>
              <w:marBottom w:val="0"/>
              <w:divBdr>
                <w:top w:val="none" w:sz="0" w:space="0" w:color="auto"/>
                <w:left w:val="none" w:sz="0" w:space="0" w:color="auto"/>
                <w:bottom w:val="none" w:sz="0" w:space="0" w:color="auto"/>
                <w:right w:val="none" w:sz="0" w:space="0" w:color="auto"/>
              </w:divBdr>
            </w:div>
          </w:divsChild>
        </w:div>
        <w:div w:id="506991389">
          <w:marLeft w:val="0"/>
          <w:marRight w:val="0"/>
          <w:marTop w:val="0"/>
          <w:marBottom w:val="0"/>
          <w:divBdr>
            <w:top w:val="none" w:sz="0" w:space="0" w:color="auto"/>
            <w:left w:val="none" w:sz="0" w:space="0" w:color="auto"/>
            <w:bottom w:val="none" w:sz="0" w:space="0" w:color="auto"/>
            <w:right w:val="none" w:sz="0" w:space="0" w:color="auto"/>
          </w:divBdr>
          <w:divsChild>
            <w:div w:id="1883980895">
              <w:marLeft w:val="0"/>
              <w:marRight w:val="0"/>
              <w:marTop w:val="0"/>
              <w:marBottom w:val="0"/>
              <w:divBdr>
                <w:top w:val="none" w:sz="0" w:space="0" w:color="auto"/>
                <w:left w:val="none" w:sz="0" w:space="0" w:color="auto"/>
                <w:bottom w:val="none" w:sz="0" w:space="0" w:color="auto"/>
                <w:right w:val="none" w:sz="0" w:space="0" w:color="auto"/>
              </w:divBdr>
            </w:div>
          </w:divsChild>
        </w:div>
        <w:div w:id="906571676">
          <w:marLeft w:val="0"/>
          <w:marRight w:val="0"/>
          <w:marTop w:val="0"/>
          <w:marBottom w:val="0"/>
          <w:divBdr>
            <w:top w:val="none" w:sz="0" w:space="0" w:color="auto"/>
            <w:left w:val="none" w:sz="0" w:space="0" w:color="auto"/>
            <w:bottom w:val="none" w:sz="0" w:space="0" w:color="auto"/>
            <w:right w:val="none" w:sz="0" w:space="0" w:color="auto"/>
          </w:divBdr>
          <w:divsChild>
            <w:div w:id="225796331">
              <w:marLeft w:val="0"/>
              <w:marRight w:val="0"/>
              <w:marTop w:val="0"/>
              <w:marBottom w:val="0"/>
              <w:divBdr>
                <w:top w:val="none" w:sz="0" w:space="0" w:color="auto"/>
                <w:left w:val="none" w:sz="0" w:space="0" w:color="auto"/>
                <w:bottom w:val="none" w:sz="0" w:space="0" w:color="auto"/>
                <w:right w:val="none" w:sz="0" w:space="0" w:color="auto"/>
              </w:divBdr>
            </w:div>
          </w:divsChild>
        </w:div>
        <w:div w:id="963121534">
          <w:marLeft w:val="0"/>
          <w:marRight w:val="0"/>
          <w:marTop w:val="0"/>
          <w:marBottom w:val="0"/>
          <w:divBdr>
            <w:top w:val="none" w:sz="0" w:space="0" w:color="auto"/>
            <w:left w:val="none" w:sz="0" w:space="0" w:color="auto"/>
            <w:bottom w:val="none" w:sz="0" w:space="0" w:color="auto"/>
            <w:right w:val="none" w:sz="0" w:space="0" w:color="auto"/>
          </w:divBdr>
          <w:divsChild>
            <w:div w:id="1155801158">
              <w:marLeft w:val="0"/>
              <w:marRight w:val="0"/>
              <w:marTop w:val="0"/>
              <w:marBottom w:val="0"/>
              <w:divBdr>
                <w:top w:val="none" w:sz="0" w:space="0" w:color="auto"/>
                <w:left w:val="none" w:sz="0" w:space="0" w:color="auto"/>
                <w:bottom w:val="none" w:sz="0" w:space="0" w:color="auto"/>
                <w:right w:val="none" w:sz="0" w:space="0" w:color="auto"/>
              </w:divBdr>
            </w:div>
          </w:divsChild>
        </w:div>
        <w:div w:id="1053623541">
          <w:marLeft w:val="0"/>
          <w:marRight w:val="0"/>
          <w:marTop w:val="0"/>
          <w:marBottom w:val="0"/>
          <w:divBdr>
            <w:top w:val="none" w:sz="0" w:space="0" w:color="auto"/>
            <w:left w:val="none" w:sz="0" w:space="0" w:color="auto"/>
            <w:bottom w:val="none" w:sz="0" w:space="0" w:color="auto"/>
            <w:right w:val="none" w:sz="0" w:space="0" w:color="auto"/>
          </w:divBdr>
          <w:divsChild>
            <w:div w:id="2101097591">
              <w:marLeft w:val="0"/>
              <w:marRight w:val="0"/>
              <w:marTop w:val="0"/>
              <w:marBottom w:val="0"/>
              <w:divBdr>
                <w:top w:val="none" w:sz="0" w:space="0" w:color="auto"/>
                <w:left w:val="none" w:sz="0" w:space="0" w:color="auto"/>
                <w:bottom w:val="none" w:sz="0" w:space="0" w:color="auto"/>
                <w:right w:val="none" w:sz="0" w:space="0" w:color="auto"/>
              </w:divBdr>
            </w:div>
          </w:divsChild>
        </w:div>
        <w:div w:id="1150943764">
          <w:marLeft w:val="0"/>
          <w:marRight w:val="0"/>
          <w:marTop w:val="0"/>
          <w:marBottom w:val="0"/>
          <w:divBdr>
            <w:top w:val="none" w:sz="0" w:space="0" w:color="auto"/>
            <w:left w:val="none" w:sz="0" w:space="0" w:color="auto"/>
            <w:bottom w:val="none" w:sz="0" w:space="0" w:color="auto"/>
            <w:right w:val="none" w:sz="0" w:space="0" w:color="auto"/>
          </w:divBdr>
          <w:divsChild>
            <w:div w:id="758065854">
              <w:marLeft w:val="0"/>
              <w:marRight w:val="0"/>
              <w:marTop w:val="0"/>
              <w:marBottom w:val="0"/>
              <w:divBdr>
                <w:top w:val="none" w:sz="0" w:space="0" w:color="auto"/>
                <w:left w:val="none" w:sz="0" w:space="0" w:color="auto"/>
                <w:bottom w:val="none" w:sz="0" w:space="0" w:color="auto"/>
                <w:right w:val="none" w:sz="0" w:space="0" w:color="auto"/>
              </w:divBdr>
            </w:div>
          </w:divsChild>
        </w:div>
        <w:div w:id="1228762111">
          <w:marLeft w:val="0"/>
          <w:marRight w:val="0"/>
          <w:marTop w:val="0"/>
          <w:marBottom w:val="0"/>
          <w:divBdr>
            <w:top w:val="none" w:sz="0" w:space="0" w:color="auto"/>
            <w:left w:val="none" w:sz="0" w:space="0" w:color="auto"/>
            <w:bottom w:val="none" w:sz="0" w:space="0" w:color="auto"/>
            <w:right w:val="none" w:sz="0" w:space="0" w:color="auto"/>
          </w:divBdr>
          <w:divsChild>
            <w:div w:id="1151678196">
              <w:marLeft w:val="0"/>
              <w:marRight w:val="0"/>
              <w:marTop w:val="0"/>
              <w:marBottom w:val="0"/>
              <w:divBdr>
                <w:top w:val="none" w:sz="0" w:space="0" w:color="auto"/>
                <w:left w:val="none" w:sz="0" w:space="0" w:color="auto"/>
                <w:bottom w:val="none" w:sz="0" w:space="0" w:color="auto"/>
                <w:right w:val="none" w:sz="0" w:space="0" w:color="auto"/>
              </w:divBdr>
            </w:div>
          </w:divsChild>
        </w:div>
        <w:div w:id="1409305173">
          <w:marLeft w:val="0"/>
          <w:marRight w:val="0"/>
          <w:marTop w:val="0"/>
          <w:marBottom w:val="0"/>
          <w:divBdr>
            <w:top w:val="none" w:sz="0" w:space="0" w:color="auto"/>
            <w:left w:val="none" w:sz="0" w:space="0" w:color="auto"/>
            <w:bottom w:val="none" w:sz="0" w:space="0" w:color="auto"/>
            <w:right w:val="none" w:sz="0" w:space="0" w:color="auto"/>
          </w:divBdr>
          <w:divsChild>
            <w:div w:id="2061202579">
              <w:marLeft w:val="0"/>
              <w:marRight w:val="0"/>
              <w:marTop w:val="0"/>
              <w:marBottom w:val="0"/>
              <w:divBdr>
                <w:top w:val="none" w:sz="0" w:space="0" w:color="auto"/>
                <w:left w:val="none" w:sz="0" w:space="0" w:color="auto"/>
                <w:bottom w:val="none" w:sz="0" w:space="0" w:color="auto"/>
                <w:right w:val="none" w:sz="0" w:space="0" w:color="auto"/>
              </w:divBdr>
            </w:div>
          </w:divsChild>
        </w:div>
        <w:div w:id="1423257056">
          <w:marLeft w:val="0"/>
          <w:marRight w:val="0"/>
          <w:marTop w:val="0"/>
          <w:marBottom w:val="0"/>
          <w:divBdr>
            <w:top w:val="none" w:sz="0" w:space="0" w:color="auto"/>
            <w:left w:val="none" w:sz="0" w:space="0" w:color="auto"/>
            <w:bottom w:val="none" w:sz="0" w:space="0" w:color="auto"/>
            <w:right w:val="none" w:sz="0" w:space="0" w:color="auto"/>
          </w:divBdr>
          <w:divsChild>
            <w:div w:id="1589345534">
              <w:marLeft w:val="0"/>
              <w:marRight w:val="0"/>
              <w:marTop w:val="0"/>
              <w:marBottom w:val="0"/>
              <w:divBdr>
                <w:top w:val="none" w:sz="0" w:space="0" w:color="auto"/>
                <w:left w:val="none" w:sz="0" w:space="0" w:color="auto"/>
                <w:bottom w:val="none" w:sz="0" w:space="0" w:color="auto"/>
                <w:right w:val="none" w:sz="0" w:space="0" w:color="auto"/>
              </w:divBdr>
            </w:div>
          </w:divsChild>
        </w:div>
        <w:div w:id="1620261485">
          <w:marLeft w:val="0"/>
          <w:marRight w:val="0"/>
          <w:marTop w:val="0"/>
          <w:marBottom w:val="0"/>
          <w:divBdr>
            <w:top w:val="none" w:sz="0" w:space="0" w:color="auto"/>
            <w:left w:val="none" w:sz="0" w:space="0" w:color="auto"/>
            <w:bottom w:val="none" w:sz="0" w:space="0" w:color="auto"/>
            <w:right w:val="none" w:sz="0" w:space="0" w:color="auto"/>
          </w:divBdr>
          <w:divsChild>
            <w:div w:id="1077480985">
              <w:marLeft w:val="0"/>
              <w:marRight w:val="0"/>
              <w:marTop w:val="0"/>
              <w:marBottom w:val="0"/>
              <w:divBdr>
                <w:top w:val="none" w:sz="0" w:space="0" w:color="auto"/>
                <w:left w:val="none" w:sz="0" w:space="0" w:color="auto"/>
                <w:bottom w:val="none" w:sz="0" w:space="0" w:color="auto"/>
                <w:right w:val="none" w:sz="0" w:space="0" w:color="auto"/>
              </w:divBdr>
            </w:div>
          </w:divsChild>
        </w:div>
        <w:div w:id="1641230521">
          <w:marLeft w:val="0"/>
          <w:marRight w:val="0"/>
          <w:marTop w:val="0"/>
          <w:marBottom w:val="0"/>
          <w:divBdr>
            <w:top w:val="none" w:sz="0" w:space="0" w:color="auto"/>
            <w:left w:val="none" w:sz="0" w:space="0" w:color="auto"/>
            <w:bottom w:val="none" w:sz="0" w:space="0" w:color="auto"/>
            <w:right w:val="none" w:sz="0" w:space="0" w:color="auto"/>
          </w:divBdr>
          <w:divsChild>
            <w:div w:id="793711830">
              <w:marLeft w:val="0"/>
              <w:marRight w:val="0"/>
              <w:marTop w:val="0"/>
              <w:marBottom w:val="0"/>
              <w:divBdr>
                <w:top w:val="none" w:sz="0" w:space="0" w:color="auto"/>
                <w:left w:val="none" w:sz="0" w:space="0" w:color="auto"/>
                <w:bottom w:val="none" w:sz="0" w:space="0" w:color="auto"/>
                <w:right w:val="none" w:sz="0" w:space="0" w:color="auto"/>
              </w:divBdr>
            </w:div>
          </w:divsChild>
        </w:div>
        <w:div w:id="1769614688">
          <w:marLeft w:val="0"/>
          <w:marRight w:val="0"/>
          <w:marTop w:val="0"/>
          <w:marBottom w:val="0"/>
          <w:divBdr>
            <w:top w:val="none" w:sz="0" w:space="0" w:color="auto"/>
            <w:left w:val="none" w:sz="0" w:space="0" w:color="auto"/>
            <w:bottom w:val="none" w:sz="0" w:space="0" w:color="auto"/>
            <w:right w:val="none" w:sz="0" w:space="0" w:color="auto"/>
          </w:divBdr>
          <w:divsChild>
            <w:div w:id="1815640399">
              <w:marLeft w:val="0"/>
              <w:marRight w:val="0"/>
              <w:marTop w:val="0"/>
              <w:marBottom w:val="0"/>
              <w:divBdr>
                <w:top w:val="none" w:sz="0" w:space="0" w:color="auto"/>
                <w:left w:val="none" w:sz="0" w:space="0" w:color="auto"/>
                <w:bottom w:val="none" w:sz="0" w:space="0" w:color="auto"/>
                <w:right w:val="none" w:sz="0" w:space="0" w:color="auto"/>
              </w:divBdr>
            </w:div>
          </w:divsChild>
        </w:div>
        <w:div w:id="1912353613">
          <w:marLeft w:val="0"/>
          <w:marRight w:val="0"/>
          <w:marTop w:val="0"/>
          <w:marBottom w:val="0"/>
          <w:divBdr>
            <w:top w:val="none" w:sz="0" w:space="0" w:color="auto"/>
            <w:left w:val="none" w:sz="0" w:space="0" w:color="auto"/>
            <w:bottom w:val="none" w:sz="0" w:space="0" w:color="auto"/>
            <w:right w:val="none" w:sz="0" w:space="0" w:color="auto"/>
          </w:divBdr>
          <w:divsChild>
            <w:div w:id="2022703344">
              <w:marLeft w:val="0"/>
              <w:marRight w:val="0"/>
              <w:marTop w:val="0"/>
              <w:marBottom w:val="0"/>
              <w:divBdr>
                <w:top w:val="none" w:sz="0" w:space="0" w:color="auto"/>
                <w:left w:val="none" w:sz="0" w:space="0" w:color="auto"/>
                <w:bottom w:val="none" w:sz="0" w:space="0" w:color="auto"/>
                <w:right w:val="none" w:sz="0" w:space="0" w:color="auto"/>
              </w:divBdr>
            </w:div>
          </w:divsChild>
        </w:div>
        <w:div w:id="2125070901">
          <w:marLeft w:val="0"/>
          <w:marRight w:val="0"/>
          <w:marTop w:val="0"/>
          <w:marBottom w:val="0"/>
          <w:divBdr>
            <w:top w:val="none" w:sz="0" w:space="0" w:color="auto"/>
            <w:left w:val="none" w:sz="0" w:space="0" w:color="auto"/>
            <w:bottom w:val="none" w:sz="0" w:space="0" w:color="auto"/>
            <w:right w:val="none" w:sz="0" w:space="0" w:color="auto"/>
          </w:divBdr>
          <w:divsChild>
            <w:div w:id="2858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1896">
      <w:bodyDiv w:val="1"/>
      <w:marLeft w:val="0"/>
      <w:marRight w:val="0"/>
      <w:marTop w:val="0"/>
      <w:marBottom w:val="0"/>
      <w:divBdr>
        <w:top w:val="none" w:sz="0" w:space="0" w:color="auto"/>
        <w:left w:val="none" w:sz="0" w:space="0" w:color="auto"/>
        <w:bottom w:val="none" w:sz="0" w:space="0" w:color="auto"/>
        <w:right w:val="none" w:sz="0" w:space="0" w:color="auto"/>
      </w:divBdr>
      <w:divsChild>
        <w:div w:id="16201489">
          <w:marLeft w:val="0"/>
          <w:marRight w:val="0"/>
          <w:marTop w:val="0"/>
          <w:marBottom w:val="0"/>
          <w:divBdr>
            <w:top w:val="none" w:sz="0" w:space="0" w:color="auto"/>
            <w:left w:val="none" w:sz="0" w:space="0" w:color="auto"/>
            <w:bottom w:val="none" w:sz="0" w:space="0" w:color="auto"/>
            <w:right w:val="none" w:sz="0" w:space="0" w:color="auto"/>
          </w:divBdr>
          <w:divsChild>
            <w:div w:id="939604606">
              <w:marLeft w:val="0"/>
              <w:marRight w:val="0"/>
              <w:marTop w:val="0"/>
              <w:marBottom w:val="0"/>
              <w:divBdr>
                <w:top w:val="none" w:sz="0" w:space="0" w:color="auto"/>
                <w:left w:val="none" w:sz="0" w:space="0" w:color="auto"/>
                <w:bottom w:val="none" w:sz="0" w:space="0" w:color="auto"/>
                <w:right w:val="none" w:sz="0" w:space="0" w:color="auto"/>
              </w:divBdr>
            </w:div>
          </w:divsChild>
        </w:div>
        <w:div w:id="60056214">
          <w:marLeft w:val="0"/>
          <w:marRight w:val="0"/>
          <w:marTop w:val="0"/>
          <w:marBottom w:val="0"/>
          <w:divBdr>
            <w:top w:val="none" w:sz="0" w:space="0" w:color="auto"/>
            <w:left w:val="none" w:sz="0" w:space="0" w:color="auto"/>
            <w:bottom w:val="none" w:sz="0" w:space="0" w:color="auto"/>
            <w:right w:val="none" w:sz="0" w:space="0" w:color="auto"/>
          </w:divBdr>
          <w:divsChild>
            <w:div w:id="1092552133">
              <w:marLeft w:val="0"/>
              <w:marRight w:val="0"/>
              <w:marTop w:val="0"/>
              <w:marBottom w:val="0"/>
              <w:divBdr>
                <w:top w:val="none" w:sz="0" w:space="0" w:color="auto"/>
                <w:left w:val="none" w:sz="0" w:space="0" w:color="auto"/>
                <w:bottom w:val="none" w:sz="0" w:space="0" w:color="auto"/>
                <w:right w:val="none" w:sz="0" w:space="0" w:color="auto"/>
              </w:divBdr>
            </w:div>
            <w:div w:id="1780446416">
              <w:marLeft w:val="0"/>
              <w:marRight w:val="0"/>
              <w:marTop w:val="0"/>
              <w:marBottom w:val="0"/>
              <w:divBdr>
                <w:top w:val="none" w:sz="0" w:space="0" w:color="auto"/>
                <w:left w:val="none" w:sz="0" w:space="0" w:color="auto"/>
                <w:bottom w:val="none" w:sz="0" w:space="0" w:color="auto"/>
                <w:right w:val="none" w:sz="0" w:space="0" w:color="auto"/>
              </w:divBdr>
            </w:div>
          </w:divsChild>
        </w:div>
        <w:div w:id="223414850">
          <w:marLeft w:val="0"/>
          <w:marRight w:val="0"/>
          <w:marTop w:val="0"/>
          <w:marBottom w:val="0"/>
          <w:divBdr>
            <w:top w:val="none" w:sz="0" w:space="0" w:color="auto"/>
            <w:left w:val="none" w:sz="0" w:space="0" w:color="auto"/>
            <w:bottom w:val="none" w:sz="0" w:space="0" w:color="auto"/>
            <w:right w:val="none" w:sz="0" w:space="0" w:color="auto"/>
          </w:divBdr>
          <w:divsChild>
            <w:div w:id="445467997">
              <w:marLeft w:val="0"/>
              <w:marRight w:val="0"/>
              <w:marTop w:val="0"/>
              <w:marBottom w:val="0"/>
              <w:divBdr>
                <w:top w:val="none" w:sz="0" w:space="0" w:color="auto"/>
                <w:left w:val="none" w:sz="0" w:space="0" w:color="auto"/>
                <w:bottom w:val="none" w:sz="0" w:space="0" w:color="auto"/>
                <w:right w:val="none" w:sz="0" w:space="0" w:color="auto"/>
              </w:divBdr>
            </w:div>
          </w:divsChild>
        </w:div>
        <w:div w:id="228808759">
          <w:marLeft w:val="0"/>
          <w:marRight w:val="0"/>
          <w:marTop w:val="0"/>
          <w:marBottom w:val="0"/>
          <w:divBdr>
            <w:top w:val="none" w:sz="0" w:space="0" w:color="auto"/>
            <w:left w:val="none" w:sz="0" w:space="0" w:color="auto"/>
            <w:bottom w:val="none" w:sz="0" w:space="0" w:color="auto"/>
            <w:right w:val="none" w:sz="0" w:space="0" w:color="auto"/>
          </w:divBdr>
          <w:divsChild>
            <w:div w:id="177158695">
              <w:marLeft w:val="0"/>
              <w:marRight w:val="0"/>
              <w:marTop w:val="0"/>
              <w:marBottom w:val="0"/>
              <w:divBdr>
                <w:top w:val="none" w:sz="0" w:space="0" w:color="auto"/>
                <w:left w:val="none" w:sz="0" w:space="0" w:color="auto"/>
                <w:bottom w:val="none" w:sz="0" w:space="0" w:color="auto"/>
                <w:right w:val="none" w:sz="0" w:space="0" w:color="auto"/>
              </w:divBdr>
            </w:div>
          </w:divsChild>
        </w:div>
        <w:div w:id="273296084">
          <w:marLeft w:val="0"/>
          <w:marRight w:val="0"/>
          <w:marTop w:val="0"/>
          <w:marBottom w:val="0"/>
          <w:divBdr>
            <w:top w:val="none" w:sz="0" w:space="0" w:color="auto"/>
            <w:left w:val="none" w:sz="0" w:space="0" w:color="auto"/>
            <w:bottom w:val="none" w:sz="0" w:space="0" w:color="auto"/>
            <w:right w:val="none" w:sz="0" w:space="0" w:color="auto"/>
          </w:divBdr>
          <w:divsChild>
            <w:div w:id="942495700">
              <w:marLeft w:val="0"/>
              <w:marRight w:val="0"/>
              <w:marTop w:val="0"/>
              <w:marBottom w:val="0"/>
              <w:divBdr>
                <w:top w:val="none" w:sz="0" w:space="0" w:color="auto"/>
                <w:left w:val="none" w:sz="0" w:space="0" w:color="auto"/>
                <w:bottom w:val="none" w:sz="0" w:space="0" w:color="auto"/>
                <w:right w:val="none" w:sz="0" w:space="0" w:color="auto"/>
              </w:divBdr>
            </w:div>
          </w:divsChild>
        </w:div>
        <w:div w:id="319967896">
          <w:marLeft w:val="0"/>
          <w:marRight w:val="0"/>
          <w:marTop w:val="0"/>
          <w:marBottom w:val="0"/>
          <w:divBdr>
            <w:top w:val="none" w:sz="0" w:space="0" w:color="auto"/>
            <w:left w:val="none" w:sz="0" w:space="0" w:color="auto"/>
            <w:bottom w:val="none" w:sz="0" w:space="0" w:color="auto"/>
            <w:right w:val="none" w:sz="0" w:space="0" w:color="auto"/>
          </w:divBdr>
          <w:divsChild>
            <w:div w:id="109014107">
              <w:marLeft w:val="0"/>
              <w:marRight w:val="0"/>
              <w:marTop w:val="0"/>
              <w:marBottom w:val="0"/>
              <w:divBdr>
                <w:top w:val="none" w:sz="0" w:space="0" w:color="auto"/>
                <w:left w:val="none" w:sz="0" w:space="0" w:color="auto"/>
                <w:bottom w:val="none" w:sz="0" w:space="0" w:color="auto"/>
                <w:right w:val="none" w:sz="0" w:space="0" w:color="auto"/>
              </w:divBdr>
            </w:div>
            <w:div w:id="1711997365">
              <w:marLeft w:val="0"/>
              <w:marRight w:val="0"/>
              <w:marTop w:val="0"/>
              <w:marBottom w:val="0"/>
              <w:divBdr>
                <w:top w:val="none" w:sz="0" w:space="0" w:color="auto"/>
                <w:left w:val="none" w:sz="0" w:space="0" w:color="auto"/>
                <w:bottom w:val="none" w:sz="0" w:space="0" w:color="auto"/>
                <w:right w:val="none" w:sz="0" w:space="0" w:color="auto"/>
              </w:divBdr>
            </w:div>
          </w:divsChild>
        </w:div>
        <w:div w:id="366873507">
          <w:marLeft w:val="0"/>
          <w:marRight w:val="0"/>
          <w:marTop w:val="0"/>
          <w:marBottom w:val="0"/>
          <w:divBdr>
            <w:top w:val="none" w:sz="0" w:space="0" w:color="auto"/>
            <w:left w:val="none" w:sz="0" w:space="0" w:color="auto"/>
            <w:bottom w:val="none" w:sz="0" w:space="0" w:color="auto"/>
            <w:right w:val="none" w:sz="0" w:space="0" w:color="auto"/>
          </w:divBdr>
          <w:divsChild>
            <w:div w:id="317850209">
              <w:marLeft w:val="0"/>
              <w:marRight w:val="0"/>
              <w:marTop w:val="0"/>
              <w:marBottom w:val="0"/>
              <w:divBdr>
                <w:top w:val="none" w:sz="0" w:space="0" w:color="auto"/>
                <w:left w:val="none" w:sz="0" w:space="0" w:color="auto"/>
                <w:bottom w:val="none" w:sz="0" w:space="0" w:color="auto"/>
                <w:right w:val="none" w:sz="0" w:space="0" w:color="auto"/>
              </w:divBdr>
            </w:div>
            <w:div w:id="1329559321">
              <w:marLeft w:val="0"/>
              <w:marRight w:val="0"/>
              <w:marTop w:val="0"/>
              <w:marBottom w:val="0"/>
              <w:divBdr>
                <w:top w:val="none" w:sz="0" w:space="0" w:color="auto"/>
                <w:left w:val="none" w:sz="0" w:space="0" w:color="auto"/>
                <w:bottom w:val="none" w:sz="0" w:space="0" w:color="auto"/>
                <w:right w:val="none" w:sz="0" w:space="0" w:color="auto"/>
              </w:divBdr>
            </w:div>
          </w:divsChild>
        </w:div>
        <w:div w:id="486357873">
          <w:marLeft w:val="0"/>
          <w:marRight w:val="0"/>
          <w:marTop w:val="0"/>
          <w:marBottom w:val="0"/>
          <w:divBdr>
            <w:top w:val="none" w:sz="0" w:space="0" w:color="auto"/>
            <w:left w:val="none" w:sz="0" w:space="0" w:color="auto"/>
            <w:bottom w:val="none" w:sz="0" w:space="0" w:color="auto"/>
            <w:right w:val="none" w:sz="0" w:space="0" w:color="auto"/>
          </w:divBdr>
          <w:divsChild>
            <w:div w:id="1676954476">
              <w:marLeft w:val="0"/>
              <w:marRight w:val="0"/>
              <w:marTop w:val="0"/>
              <w:marBottom w:val="0"/>
              <w:divBdr>
                <w:top w:val="none" w:sz="0" w:space="0" w:color="auto"/>
                <w:left w:val="none" w:sz="0" w:space="0" w:color="auto"/>
                <w:bottom w:val="none" w:sz="0" w:space="0" w:color="auto"/>
                <w:right w:val="none" w:sz="0" w:space="0" w:color="auto"/>
              </w:divBdr>
            </w:div>
          </w:divsChild>
        </w:div>
        <w:div w:id="554588295">
          <w:marLeft w:val="0"/>
          <w:marRight w:val="0"/>
          <w:marTop w:val="0"/>
          <w:marBottom w:val="0"/>
          <w:divBdr>
            <w:top w:val="none" w:sz="0" w:space="0" w:color="auto"/>
            <w:left w:val="none" w:sz="0" w:space="0" w:color="auto"/>
            <w:bottom w:val="none" w:sz="0" w:space="0" w:color="auto"/>
            <w:right w:val="none" w:sz="0" w:space="0" w:color="auto"/>
          </w:divBdr>
          <w:divsChild>
            <w:div w:id="125705699">
              <w:marLeft w:val="0"/>
              <w:marRight w:val="0"/>
              <w:marTop w:val="0"/>
              <w:marBottom w:val="0"/>
              <w:divBdr>
                <w:top w:val="none" w:sz="0" w:space="0" w:color="auto"/>
                <w:left w:val="none" w:sz="0" w:space="0" w:color="auto"/>
                <w:bottom w:val="none" w:sz="0" w:space="0" w:color="auto"/>
                <w:right w:val="none" w:sz="0" w:space="0" w:color="auto"/>
              </w:divBdr>
            </w:div>
          </w:divsChild>
        </w:div>
        <w:div w:id="693533441">
          <w:marLeft w:val="0"/>
          <w:marRight w:val="0"/>
          <w:marTop w:val="0"/>
          <w:marBottom w:val="0"/>
          <w:divBdr>
            <w:top w:val="none" w:sz="0" w:space="0" w:color="auto"/>
            <w:left w:val="none" w:sz="0" w:space="0" w:color="auto"/>
            <w:bottom w:val="none" w:sz="0" w:space="0" w:color="auto"/>
            <w:right w:val="none" w:sz="0" w:space="0" w:color="auto"/>
          </w:divBdr>
          <w:divsChild>
            <w:div w:id="1707019393">
              <w:marLeft w:val="0"/>
              <w:marRight w:val="0"/>
              <w:marTop w:val="0"/>
              <w:marBottom w:val="0"/>
              <w:divBdr>
                <w:top w:val="none" w:sz="0" w:space="0" w:color="auto"/>
                <w:left w:val="none" w:sz="0" w:space="0" w:color="auto"/>
                <w:bottom w:val="none" w:sz="0" w:space="0" w:color="auto"/>
                <w:right w:val="none" w:sz="0" w:space="0" w:color="auto"/>
              </w:divBdr>
            </w:div>
          </w:divsChild>
        </w:div>
        <w:div w:id="827552960">
          <w:marLeft w:val="0"/>
          <w:marRight w:val="0"/>
          <w:marTop w:val="0"/>
          <w:marBottom w:val="0"/>
          <w:divBdr>
            <w:top w:val="none" w:sz="0" w:space="0" w:color="auto"/>
            <w:left w:val="none" w:sz="0" w:space="0" w:color="auto"/>
            <w:bottom w:val="none" w:sz="0" w:space="0" w:color="auto"/>
            <w:right w:val="none" w:sz="0" w:space="0" w:color="auto"/>
          </w:divBdr>
          <w:divsChild>
            <w:div w:id="106894769">
              <w:marLeft w:val="0"/>
              <w:marRight w:val="0"/>
              <w:marTop w:val="0"/>
              <w:marBottom w:val="0"/>
              <w:divBdr>
                <w:top w:val="none" w:sz="0" w:space="0" w:color="auto"/>
                <w:left w:val="none" w:sz="0" w:space="0" w:color="auto"/>
                <w:bottom w:val="none" w:sz="0" w:space="0" w:color="auto"/>
                <w:right w:val="none" w:sz="0" w:space="0" w:color="auto"/>
              </w:divBdr>
            </w:div>
          </w:divsChild>
        </w:div>
        <w:div w:id="893855445">
          <w:marLeft w:val="0"/>
          <w:marRight w:val="0"/>
          <w:marTop w:val="0"/>
          <w:marBottom w:val="0"/>
          <w:divBdr>
            <w:top w:val="none" w:sz="0" w:space="0" w:color="auto"/>
            <w:left w:val="none" w:sz="0" w:space="0" w:color="auto"/>
            <w:bottom w:val="none" w:sz="0" w:space="0" w:color="auto"/>
            <w:right w:val="none" w:sz="0" w:space="0" w:color="auto"/>
          </w:divBdr>
          <w:divsChild>
            <w:div w:id="1444493294">
              <w:marLeft w:val="0"/>
              <w:marRight w:val="0"/>
              <w:marTop w:val="0"/>
              <w:marBottom w:val="0"/>
              <w:divBdr>
                <w:top w:val="none" w:sz="0" w:space="0" w:color="auto"/>
                <w:left w:val="none" w:sz="0" w:space="0" w:color="auto"/>
                <w:bottom w:val="none" w:sz="0" w:space="0" w:color="auto"/>
                <w:right w:val="none" w:sz="0" w:space="0" w:color="auto"/>
              </w:divBdr>
            </w:div>
          </w:divsChild>
        </w:div>
        <w:div w:id="1032263108">
          <w:marLeft w:val="0"/>
          <w:marRight w:val="0"/>
          <w:marTop w:val="0"/>
          <w:marBottom w:val="0"/>
          <w:divBdr>
            <w:top w:val="none" w:sz="0" w:space="0" w:color="auto"/>
            <w:left w:val="none" w:sz="0" w:space="0" w:color="auto"/>
            <w:bottom w:val="none" w:sz="0" w:space="0" w:color="auto"/>
            <w:right w:val="none" w:sz="0" w:space="0" w:color="auto"/>
          </w:divBdr>
          <w:divsChild>
            <w:div w:id="491215092">
              <w:marLeft w:val="0"/>
              <w:marRight w:val="0"/>
              <w:marTop w:val="0"/>
              <w:marBottom w:val="0"/>
              <w:divBdr>
                <w:top w:val="none" w:sz="0" w:space="0" w:color="auto"/>
                <w:left w:val="none" w:sz="0" w:space="0" w:color="auto"/>
                <w:bottom w:val="none" w:sz="0" w:space="0" w:color="auto"/>
                <w:right w:val="none" w:sz="0" w:space="0" w:color="auto"/>
              </w:divBdr>
            </w:div>
          </w:divsChild>
        </w:div>
        <w:div w:id="1095050193">
          <w:marLeft w:val="0"/>
          <w:marRight w:val="0"/>
          <w:marTop w:val="0"/>
          <w:marBottom w:val="0"/>
          <w:divBdr>
            <w:top w:val="none" w:sz="0" w:space="0" w:color="auto"/>
            <w:left w:val="none" w:sz="0" w:space="0" w:color="auto"/>
            <w:bottom w:val="none" w:sz="0" w:space="0" w:color="auto"/>
            <w:right w:val="none" w:sz="0" w:space="0" w:color="auto"/>
          </w:divBdr>
          <w:divsChild>
            <w:div w:id="574827401">
              <w:marLeft w:val="0"/>
              <w:marRight w:val="0"/>
              <w:marTop w:val="0"/>
              <w:marBottom w:val="0"/>
              <w:divBdr>
                <w:top w:val="none" w:sz="0" w:space="0" w:color="auto"/>
                <w:left w:val="none" w:sz="0" w:space="0" w:color="auto"/>
                <w:bottom w:val="none" w:sz="0" w:space="0" w:color="auto"/>
                <w:right w:val="none" w:sz="0" w:space="0" w:color="auto"/>
              </w:divBdr>
            </w:div>
          </w:divsChild>
        </w:div>
        <w:div w:id="1201891919">
          <w:marLeft w:val="0"/>
          <w:marRight w:val="0"/>
          <w:marTop w:val="0"/>
          <w:marBottom w:val="0"/>
          <w:divBdr>
            <w:top w:val="none" w:sz="0" w:space="0" w:color="auto"/>
            <w:left w:val="none" w:sz="0" w:space="0" w:color="auto"/>
            <w:bottom w:val="none" w:sz="0" w:space="0" w:color="auto"/>
            <w:right w:val="none" w:sz="0" w:space="0" w:color="auto"/>
          </w:divBdr>
          <w:divsChild>
            <w:div w:id="567763203">
              <w:marLeft w:val="0"/>
              <w:marRight w:val="0"/>
              <w:marTop w:val="0"/>
              <w:marBottom w:val="0"/>
              <w:divBdr>
                <w:top w:val="none" w:sz="0" w:space="0" w:color="auto"/>
                <w:left w:val="none" w:sz="0" w:space="0" w:color="auto"/>
                <w:bottom w:val="none" w:sz="0" w:space="0" w:color="auto"/>
                <w:right w:val="none" w:sz="0" w:space="0" w:color="auto"/>
              </w:divBdr>
            </w:div>
            <w:div w:id="1136873522">
              <w:marLeft w:val="0"/>
              <w:marRight w:val="0"/>
              <w:marTop w:val="0"/>
              <w:marBottom w:val="0"/>
              <w:divBdr>
                <w:top w:val="none" w:sz="0" w:space="0" w:color="auto"/>
                <w:left w:val="none" w:sz="0" w:space="0" w:color="auto"/>
                <w:bottom w:val="none" w:sz="0" w:space="0" w:color="auto"/>
                <w:right w:val="none" w:sz="0" w:space="0" w:color="auto"/>
              </w:divBdr>
            </w:div>
          </w:divsChild>
        </w:div>
        <w:div w:id="1273392138">
          <w:marLeft w:val="0"/>
          <w:marRight w:val="0"/>
          <w:marTop w:val="0"/>
          <w:marBottom w:val="0"/>
          <w:divBdr>
            <w:top w:val="none" w:sz="0" w:space="0" w:color="auto"/>
            <w:left w:val="none" w:sz="0" w:space="0" w:color="auto"/>
            <w:bottom w:val="none" w:sz="0" w:space="0" w:color="auto"/>
            <w:right w:val="none" w:sz="0" w:space="0" w:color="auto"/>
          </w:divBdr>
          <w:divsChild>
            <w:div w:id="452753008">
              <w:marLeft w:val="0"/>
              <w:marRight w:val="0"/>
              <w:marTop w:val="0"/>
              <w:marBottom w:val="0"/>
              <w:divBdr>
                <w:top w:val="none" w:sz="0" w:space="0" w:color="auto"/>
                <w:left w:val="none" w:sz="0" w:space="0" w:color="auto"/>
                <w:bottom w:val="none" w:sz="0" w:space="0" w:color="auto"/>
                <w:right w:val="none" w:sz="0" w:space="0" w:color="auto"/>
              </w:divBdr>
            </w:div>
          </w:divsChild>
        </w:div>
        <w:div w:id="1476527996">
          <w:marLeft w:val="0"/>
          <w:marRight w:val="0"/>
          <w:marTop w:val="0"/>
          <w:marBottom w:val="0"/>
          <w:divBdr>
            <w:top w:val="none" w:sz="0" w:space="0" w:color="auto"/>
            <w:left w:val="none" w:sz="0" w:space="0" w:color="auto"/>
            <w:bottom w:val="none" w:sz="0" w:space="0" w:color="auto"/>
            <w:right w:val="none" w:sz="0" w:space="0" w:color="auto"/>
          </w:divBdr>
          <w:divsChild>
            <w:div w:id="1889758284">
              <w:marLeft w:val="0"/>
              <w:marRight w:val="0"/>
              <w:marTop w:val="0"/>
              <w:marBottom w:val="0"/>
              <w:divBdr>
                <w:top w:val="none" w:sz="0" w:space="0" w:color="auto"/>
                <w:left w:val="none" w:sz="0" w:space="0" w:color="auto"/>
                <w:bottom w:val="none" w:sz="0" w:space="0" w:color="auto"/>
                <w:right w:val="none" w:sz="0" w:space="0" w:color="auto"/>
              </w:divBdr>
            </w:div>
          </w:divsChild>
        </w:div>
        <w:div w:id="1615213768">
          <w:marLeft w:val="0"/>
          <w:marRight w:val="0"/>
          <w:marTop w:val="0"/>
          <w:marBottom w:val="0"/>
          <w:divBdr>
            <w:top w:val="none" w:sz="0" w:space="0" w:color="auto"/>
            <w:left w:val="none" w:sz="0" w:space="0" w:color="auto"/>
            <w:bottom w:val="none" w:sz="0" w:space="0" w:color="auto"/>
            <w:right w:val="none" w:sz="0" w:space="0" w:color="auto"/>
          </w:divBdr>
          <w:divsChild>
            <w:div w:id="1381898688">
              <w:marLeft w:val="0"/>
              <w:marRight w:val="0"/>
              <w:marTop w:val="0"/>
              <w:marBottom w:val="0"/>
              <w:divBdr>
                <w:top w:val="none" w:sz="0" w:space="0" w:color="auto"/>
                <w:left w:val="none" w:sz="0" w:space="0" w:color="auto"/>
                <w:bottom w:val="none" w:sz="0" w:space="0" w:color="auto"/>
                <w:right w:val="none" w:sz="0" w:space="0" w:color="auto"/>
              </w:divBdr>
            </w:div>
          </w:divsChild>
        </w:div>
        <w:div w:id="1757751341">
          <w:marLeft w:val="0"/>
          <w:marRight w:val="0"/>
          <w:marTop w:val="0"/>
          <w:marBottom w:val="0"/>
          <w:divBdr>
            <w:top w:val="none" w:sz="0" w:space="0" w:color="auto"/>
            <w:left w:val="none" w:sz="0" w:space="0" w:color="auto"/>
            <w:bottom w:val="none" w:sz="0" w:space="0" w:color="auto"/>
            <w:right w:val="none" w:sz="0" w:space="0" w:color="auto"/>
          </w:divBdr>
          <w:divsChild>
            <w:div w:id="312026287">
              <w:marLeft w:val="0"/>
              <w:marRight w:val="0"/>
              <w:marTop w:val="0"/>
              <w:marBottom w:val="0"/>
              <w:divBdr>
                <w:top w:val="none" w:sz="0" w:space="0" w:color="auto"/>
                <w:left w:val="none" w:sz="0" w:space="0" w:color="auto"/>
                <w:bottom w:val="none" w:sz="0" w:space="0" w:color="auto"/>
                <w:right w:val="none" w:sz="0" w:space="0" w:color="auto"/>
              </w:divBdr>
            </w:div>
          </w:divsChild>
        </w:div>
        <w:div w:id="1826773720">
          <w:marLeft w:val="0"/>
          <w:marRight w:val="0"/>
          <w:marTop w:val="0"/>
          <w:marBottom w:val="0"/>
          <w:divBdr>
            <w:top w:val="none" w:sz="0" w:space="0" w:color="auto"/>
            <w:left w:val="none" w:sz="0" w:space="0" w:color="auto"/>
            <w:bottom w:val="none" w:sz="0" w:space="0" w:color="auto"/>
            <w:right w:val="none" w:sz="0" w:space="0" w:color="auto"/>
          </w:divBdr>
          <w:divsChild>
            <w:div w:id="894316577">
              <w:marLeft w:val="0"/>
              <w:marRight w:val="0"/>
              <w:marTop w:val="0"/>
              <w:marBottom w:val="0"/>
              <w:divBdr>
                <w:top w:val="none" w:sz="0" w:space="0" w:color="auto"/>
                <w:left w:val="none" w:sz="0" w:space="0" w:color="auto"/>
                <w:bottom w:val="none" w:sz="0" w:space="0" w:color="auto"/>
                <w:right w:val="none" w:sz="0" w:space="0" w:color="auto"/>
              </w:divBdr>
            </w:div>
          </w:divsChild>
        </w:div>
        <w:div w:id="2123261503">
          <w:marLeft w:val="0"/>
          <w:marRight w:val="0"/>
          <w:marTop w:val="0"/>
          <w:marBottom w:val="0"/>
          <w:divBdr>
            <w:top w:val="none" w:sz="0" w:space="0" w:color="auto"/>
            <w:left w:val="none" w:sz="0" w:space="0" w:color="auto"/>
            <w:bottom w:val="none" w:sz="0" w:space="0" w:color="auto"/>
            <w:right w:val="none" w:sz="0" w:space="0" w:color="auto"/>
          </w:divBdr>
          <w:divsChild>
            <w:div w:id="15642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860">
      <w:bodyDiv w:val="1"/>
      <w:marLeft w:val="0"/>
      <w:marRight w:val="0"/>
      <w:marTop w:val="0"/>
      <w:marBottom w:val="0"/>
      <w:divBdr>
        <w:top w:val="none" w:sz="0" w:space="0" w:color="auto"/>
        <w:left w:val="none" w:sz="0" w:space="0" w:color="auto"/>
        <w:bottom w:val="none" w:sz="0" w:space="0" w:color="auto"/>
        <w:right w:val="none" w:sz="0" w:space="0" w:color="auto"/>
      </w:divBdr>
      <w:divsChild>
        <w:div w:id="189298085">
          <w:marLeft w:val="0"/>
          <w:marRight w:val="0"/>
          <w:marTop w:val="0"/>
          <w:marBottom w:val="0"/>
          <w:divBdr>
            <w:top w:val="none" w:sz="0" w:space="0" w:color="auto"/>
            <w:left w:val="none" w:sz="0" w:space="0" w:color="auto"/>
            <w:bottom w:val="none" w:sz="0" w:space="0" w:color="auto"/>
            <w:right w:val="none" w:sz="0" w:space="0" w:color="auto"/>
          </w:divBdr>
          <w:divsChild>
            <w:div w:id="872226938">
              <w:marLeft w:val="0"/>
              <w:marRight w:val="0"/>
              <w:marTop w:val="0"/>
              <w:marBottom w:val="0"/>
              <w:divBdr>
                <w:top w:val="none" w:sz="0" w:space="0" w:color="auto"/>
                <w:left w:val="none" w:sz="0" w:space="0" w:color="auto"/>
                <w:bottom w:val="none" w:sz="0" w:space="0" w:color="auto"/>
                <w:right w:val="none" w:sz="0" w:space="0" w:color="auto"/>
              </w:divBdr>
            </w:div>
          </w:divsChild>
        </w:div>
        <w:div w:id="322202028">
          <w:marLeft w:val="0"/>
          <w:marRight w:val="0"/>
          <w:marTop w:val="0"/>
          <w:marBottom w:val="0"/>
          <w:divBdr>
            <w:top w:val="none" w:sz="0" w:space="0" w:color="auto"/>
            <w:left w:val="none" w:sz="0" w:space="0" w:color="auto"/>
            <w:bottom w:val="none" w:sz="0" w:space="0" w:color="auto"/>
            <w:right w:val="none" w:sz="0" w:space="0" w:color="auto"/>
          </w:divBdr>
          <w:divsChild>
            <w:div w:id="1534613003">
              <w:marLeft w:val="0"/>
              <w:marRight w:val="0"/>
              <w:marTop w:val="0"/>
              <w:marBottom w:val="0"/>
              <w:divBdr>
                <w:top w:val="none" w:sz="0" w:space="0" w:color="auto"/>
                <w:left w:val="none" w:sz="0" w:space="0" w:color="auto"/>
                <w:bottom w:val="none" w:sz="0" w:space="0" w:color="auto"/>
                <w:right w:val="none" w:sz="0" w:space="0" w:color="auto"/>
              </w:divBdr>
            </w:div>
          </w:divsChild>
        </w:div>
        <w:div w:id="442185737">
          <w:marLeft w:val="0"/>
          <w:marRight w:val="0"/>
          <w:marTop w:val="0"/>
          <w:marBottom w:val="0"/>
          <w:divBdr>
            <w:top w:val="none" w:sz="0" w:space="0" w:color="auto"/>
            <w:left w:val="none" w:sz="0" w:space="0" w:color="auto"/>
            <w:bottom w:val="none" w:sz="0" w:space="0" w:color="auto"/>
            <w:right w:val="none" w:sz="0" w:space="0" w:color="auto"/>
          </w:divBdr>
          <w:divsChild>
            <w:div w:id="891574272">
              <w:marLeft w:val="0"/>
              <w:marRight w:val="0"/>
              <w:marTop w:val="0"/>
              <w:marBottom w:val="0"/>
              <w:divBdr>
                <w:top w:val="none" w:sz="0" w:space="0" w:color="auto"/>
                <w:left w:val="none" w:sz="0" w:space="0" w:color="auto"/>
                <w:bottom w:val="none" w:sz="0" w:space="0" w:color="auto"/>
                <w:right w:val="none" w:sz="0" w:space="0" w:color="auto"/>
              </w:divBdr>
            </w:div>
          </w:divsChild>
        </w:div>
        <w:div w:id="563562265">
          <w:marLeft w:val="0"/>
          <w:marRight w:val="0"/>
          <w:marTop w:val="0"/>
          <w:marBottom w:val="0"/>
          <w:divBdr>
            <w:top w:val="none" w:sz="0" w:space="0" w:color="auto"/>
            <w:left w:val="none" w:sz="0" w:space="0" w:color="auto"/>
            <w:bottom w:val="none" w:sz="0" w:space="0" w:color="auto"/>
            <w:right w:val="none" w:sz="0" w:space="0" w:color="auto"/>
          </w:divBdr>
          <w:divsChild>
            <w:div w:id="1908490696">
              <w:marLeft w:val="0"/>
              <w:marRight w:val="0"/>
              <w:marTop w:val="0"/>
              <w:marBottom w:val="0"/>
              <w:divBdr>
                <w:top w:val="none" w:sz="0" w:space="0" w:color="auto"/>
                <w:left w:val="none" w:sz="0" w:space="0" w:color="auto"/>
                <w:bottom w:val="none" w:sz="0" w:space="0" w:color="auto"/>
                <w:right w:val="none" w:sz="0" w:space="0" w:color="auto"/>
              </w:divBdr>
            </w:div>
          </w:divsChild>
        </w:div>
        <w:div w:id="602955368">
          <w:marLeft w:val="0"/>
          <w:marRight w:val="0"/>
          <w:marTop w:val="0"/>
          <w:marBottom w:val="0"/>
          <w:divBdr>
            <w:top w:val="none" w:sz="0" w:space="0" w:color="auto"/>
            <w:left w:val="none" w:sz="0" w:space="0" w:color="auto"/>
            <w:bottom w:val="none" w:sz="0" w:space="0" w:color="auto"/>
            <w:right w:val="none" w:sz="0" w:space="0" w:color="auto"/>
          </w:divBdr>
          <w:divsChild>
            <w:div w:id="954869623">
              <w:marLeft w:val="0"/>
              <w:marRight w:val="0"/>
              <w:marTop w:val="0"/>
              <w:marBottom w:val="0"/>
              <w:divBdr>
                <w:top w:val="none" w:sz="0" w:space="0" w:color="auto"/>
                <w:left w:val="none" w:sz="0" w:space="0" w:color="auto"/>
                <w:bottom w:val="none" w:sz="0" w:space="0" w:color="auto"/>
                <w:right w:val="none" w:sz="0" w:space="0" w:color="auto"/>
              </w:divBdr>
            </w:div>
          </w:divsChild>
        </w:div>
        <w:div w:id="637295550">
          <w:marLeft w:val="0"/>
          <w:marRight w:val="0"/>
          <w:marTop w:val="0"/>
          <w:marBottom w:val="0"/>
          <w:divBdr>
            <w:top w:val="none" w:sz="0" w:space="0" w:color="auto"/>
            <w:left w:val="none" w:sz="0" w:space="0" w:color="auto"/>
            <w:bottom w:val="none" w:sz="0" w:space="0" w:color="auto"/>
            <w:right w:val="none" w:sz="0" w:space="0" w:color="auto"/>
          </w:divBdr>
          <w:divsChild>
            <w:div w:id="273942486">
              <w:marLeft w:val="0"/>
              <w:marRight w:val="0"/>
              <w:marTop w:val="0"/>
              <w:marBottom w:val="0"/>
              <w:divBdr>
                <w:top w:val="none" w:sz="0" w:space="0" w:color="auto"/>
                <w:left w:val="none" w:sz="0" w:space="0" w:color="auto"/>
                <w:bottom w:val="none" w:sz="0" w:space="0" w:color="auto"/>
                <w:right w:val="none" w:sz="0" w:space="0" w:color="auto"/>
              </w:divBdr>
            </w:div>
          </w:divsChild>
        </w:div>
        <w:div w:id="957420119">
          <w:marLeft w:val="0"/>
          <w:marRight w:val="0"/>
          <w:marTop w:val="0"/>
          <w:marBottom w:val="0"/>
          <w:divBdr>
            <w:top w:val="none" w:sz="0" w:space="0" w:color="auto"/>
            <w:left w:val="none" w:sz="0" w:space="0" w:color="auto"/>
            <w:bottom w:val="none" w:sz="0" w:space="0" w:color="auto"/>
            <w:right w:val="none" w:sz="0" w:space="0" w:color="auto"/>
          </w:divBdr>
          <w:divsChild>
            <w:div w:id="671495470">
              <w:marLeft w:val="0"/>
              <w:marRight w:val="0"/>
              <w:marTop w:val="0"/>
              <w:marBottom w:val="0"/>
              <w:divBdr>
                <w:top w:val="none" w:sz="0" w:space="0" w:color="auto"/>
                <w:left w:val="none" w:sz="0" w:space="0" w:color="auto"/>
                <w:bottom w:val="none" w:sz="0" w:space="0" w:color="auto"/>
                <w:right w:val="none" w:sz="0" w:space="0" w:color="auto"/>
              </w:divBdr>
            </w:div>
          </w:divsChild>
        </w:div>
        <w:div w:id="1048187881">
          <w:marLeft w:val="0"/>
          <w:marRight w:val="0"/>
          <w:marTop w:val="0"/>
          <w:marBottom w:val="0"/>
          <w:divBdr>
            <w:top w:val="none" w:sz="0" w:space="0" w:color="auto"/>
            <w:left w:val="none" w:sz="0" w:space="0" w:color="auto"/>
            <w:bottom w:val="none" w:sz="0" w:space="0" w:color="auto"/>
            <w:right w:val="none" w:sz="0" w:space="0" w:color="auto"/>
          </w:divBdr>
          <w:divsChild>
            <w:div w:id="38475389">
              <w:marLeft w:val="0"/>
              <w:marRight w:val="0"/>
              <w:marTop w:val="0"/>
              <w:marBottom w:val="0"/>
              <w:divBdr>
                <w:top w:val="none" w:sz="0" w:space="0" w:color="auto"/>
                <w:left w:val="none" w:sz="0" w:space="0" w:color="auto"/>
                <w:bottom w:val="none" w:sz="0" w:space="0" w:color="auto"/>
                <w:right w:val="none" w:sz="0" w:space="0" w:color="auto"/>
              </w:divBdr>
            </w:div>
          </w:divsChild>
        </w:div>
        <w:div w:id="1136874648">
          <w:marLeft w:val="0"/>
          <w:marRight w:val="0"/>
          <w:marTop w:val="0"/>
          <w:marBottom w:val="0"/>
          <w:divBdr>
            <w:top w:val="none" w:sz="0" w:space="0" w:color="auto"/>
            <w:left w:val="none" w:sz="0" w:space="0" w:color="auto"/>
            <w:bottom w:val="none" w:sz="0" w:space="0" w:color="auto"/>
            <w:right w:val="none" w:sz="0" w:space="0" w:color="auto"/>
          </w:divBdr>
          <w:divsChild>
            <w:div w:id="1402673462">
              <w:marLeft w:val="0"/>
              <w:marRight w:val="0"/>
              <w:marTop w:val="0"/>
              <w:marBottom w:val="0"/>
              <w:divBdr>
                <w:top w:val="none" w:sz="0" w:space="0" w:color="auto"/>
                <w:left w:val="none" w:sz="0" w:space="0" w:color="auto"/>
                <w:bottom w:val="none" w:sz="0" w:space="0" w:color="auto"/>
                <w:right w:val="none" w:sz="0" w:space="0" w:color="auto"/>
              </w:divBdr>
            </w:div>
          </w:divsChild>
        </w:div>
        <w:div w:id="1160654546">
          <w:marLeft w:val="0"/>
          <w:marRight w:val="0"/>
          <w:marTop w:val="0"/>
          <w:marBottom w:val="0"/>
          <w:divBdr>
            <w:top w:val="none" w:sz="0" w:space="0" w:color="auto"/>
            <w:left w:val="none" w:sz="0" w:space="0" w:color="auto"/>
            <w:bottom w:val="none" w:sz="0" w:space="0" w:color="auto"/>
            <w:right w:val="none" w:sz="0" w:space="0" w:color="auto"/>
          </w:divBdr>
          <w:divsChild>
            <w:div w:id="821313559">
              <w:marLeft w:val="0"/>
              <w:marRight w:val="0"/>
              <w:marTop w:val="0"/>
              <w:marBottom w:val="0"/>
              <w:divBdr>
                <w:top w:val="none" w:sz="0" w:space="0" w:color="auto"/>
                <w:left w:val="none" w:sz="0" w:space="0" w:color="auto"/>
                <w:bottom w:val="none" w:sz="0" w:space="0" w:color="auto"/>
                <w:right w:val="none" w:sz="0" w:space="0" w:color="auto"/>
              </w:divBdr>
            </w:div>
          </w:divsChild>
        </w:div>
        <w:div w:id="1253706966">
          <w:marLeft w:val="0"/>
          <w:marRight w:val="0"/>
          <w:marTop w:val="0"/>
          <w:marBottom w:val="0"/>
          <w:divBdr>
            <w:top w:val="none" w:sz="0" w:space="0" w:color="auto"/>
            <w:left w:val="none" w:sz="0" w:space="0" w:color="auto"/>
            <w:bottom w:val="none" w:sz="0" w:space="0" w:color="auto"/>
            <w:right w:val="none" w:sz="0" w:space="0" w:color="auto"/>
          </w:divBdr>
          <w:divsChild>
            <w:div w:id="983511219">
              <w:marLeft w:val="0"/>
              <w:marRight w:val="0"/>
              <w:marTop w:val="0"/>
              <w:marBottom w:val="0"/>
              <w:divBdr>
                <w:top w:val="none" w:sz="0" w:space="0" w:color="auto"/>
                <w:left w:val="none" w:sz="0" w:space="0" w:color="auto"/>
                <w:bottom w:val="none" w:sz="0" w:space="0" w:color="auto"/>
                <w:right w:val="none" w:sz="0" w:space="0" w:color="auto"/>
              </w:divBdr>
            </w:div>
          </w:divsChild>
        </w:div>
        <w:div w:id="1408722079">
          <w:marLeft w:val="0"/>
          <w:marRight w:val="0"/>
          <w:marTop w:val="0"/>
          <w:marBottom w:val="0"/>
          <w:divBdr>
            <w:top w:val="none" w:sz="0" w:space="0" w:color="auto"/>
            <w:left w:val="none" w:sz="0" w:space="0" w:color="auto"/>
            <w:bottom w:val="none" w:sz="0" w:space="0" w:color="auto"/>
            <w:right w:val="none" w:sz="0" w:space="0" w:color="auto"/>
          </w:divBdr>
          <w:divsChild>
            <w:div w:id="1604653917">
              <w:marLeft w:val="0"/>
              <w:marRight w:val="0"/>
              <w:marTop w:val="0"/>
              <w:marBottom w:val="0"/>
              <w:divBdr>
                <w:top w:val="none" w:sz="0" w:space="0" w:color="auto"/>
                <w:left w:val="none" w:sz="0" w:space="0" w:color="auto"/>
                <w:bottom w:val="none" w:sz="0" w:space="0" w:color="auto"/>
                <w:right w:val="none" w:sz="0" w:space="0" w:color="auto"/>
              </w:divBdr>
            </w:div>
          </w:divsChild>
        </w:div>
        <w:div w:id="1415593059">
          <w:marLeft w:val="0"/>
          <w:marRight w:val="0"/>
          <w:marTop w:val="0"/>
          <w:marBottom w:val="0"/>
          <w:divBdr>
            <w:top w:val="none" w:sz="0" w:space="0" w:color="auto"/>
            <w:left w:val="none" w:sz="0" w:space="0" w:color="auto"/>
            <w:bottom w:val="none" w:sz="0" w:space="0" w:color="auto"/>
            <w:right w:val="none" w:sz="0" w:space="0" w:color="auto"/>
          </w:divBdr>
          <w:divsChild>
            <w:div w:id="828323949">
              <w:marLeft w:val="0"/>
              <w:marRight w:val="0"/>
              <w:marTop w:val="0"/>
              <w:marBottom w:val="0"/>
              <w:divBdr>
                <w:top w:val="none" w:sz="0" w:space="0" w:color="auto"/>
                <w:left w:val="none" w:sz="0" w:space="0" w:color="auto"/>
                <w:bottom w:val="none" w:sz="0" w:space="0" w:color="auto"/>
                <w:right w:val="none" w:sz="0" w:space="0" w:color="auto"/>
              </w:divBdr>
            </w:div>
          </w:divsChild>
        </w:div>
        <w:div w:id="1578980489">
          <w:marLeft w:val="0"/>
          <w:marRight w:val="0"/>
          <w:marTop w:val="0"/>
          <w:marBottom w:val="0"/>
          <w:divBdr>
            <w:top w:val="none" w:sz="0" w:space="0" w:color="auto"/>
            <w:left w:val="none" w:sz="0" w:space="0" w:color="auto"/>
            <w:bottom w:val="none" w:sz="0" w:space="0" w:color="auto"/>
            <w:right w:val="none" w:sz="0" w:space="0" w:color="auto"/>
          </w:divBdr>
          <w:divsChild>
            <w:div w:id="1704793335">
              <w:marLeft w:val="0"/>
              <w:marRight w:val="0"/>
              <w:marTop w:val="0"/>
              <w:marBottom w:val="0"/>
              <w:divBdr>
                <w:top w:val="none" w:sz="0" w:space="0" w:color="auto"/>
                <w:left w:val="none" w:sz="0" w:space="0" w:color="auto"/>
                <w:bottom w:val="none" w:sz="0" w:space="0" w:color="auto"/>
                <w:right w:val="none" w:sz="0" w:space="0" w:color="auto"/>
              </w:divBdr>
            </w:div>
          </w:divsChild>
        </w:div>
        <w:div w:id="1873566503">
          <w:marLeft w:val="0"/>
          <w:marRight w:val="0"/>
          <w:marTop w:val="0"/>
          <w:marBottom w:val="0"/>
          <w:divBdr>
            <w:top w:val="none" w:sz="0" w:space="0" w:color="auto"/>
            <w:left w:val="none" w:sz="0" w:space="0" w:color="auto"/>
            <w:bottom w:val="none" w:sz="0" w:space="0" w:color="auto"/>
            <w:right w:val="none" w:sz="0" w:space="0" w:color="auto"/>
          </w:divBdr>
          <w:divsChild>
            <w:div w:id="389159991">
              <w:marLeft w:val="0"/>
              <w:marRight w:val="0"/>
              <w:marTop w:val="0"/>
              <w:marBottom w:val="0"/>
              <w:divBdr>
                <w:top w:val="none" w:sz="0" w:space="0" w:color="auto"/>
                <w:left w:val="none" w:sz="0" w:space="0" w:color="auto"/>
                <w:bottom w:val="none" w:sz="0" w:space="0" w:color="auto"/>
                <w:right w:val="none" w:sz="0" w:space="0" w:color="auto"/>
              </w:divBdr>
            </w:div>
          </w:divsChild>
        </w:div>
        <w:div w:id="1916090356">
          <w:marLeft w:val="0"/>
          <w:marRight w:val="0"/>
          <w:marTop w:val="0"/>
          <w:marBottom w:val="0"/>
          <w:divBdr>
            <w:top w:val="none" w:sz="0" w:space="0" w:color="auto"/>
            <w:left w:val="none" w:sz="0" w:space="0" w:color="auto"/>
            <w:bottom w:val="none" w:sz="0" w:space="0" w:color="auto"/>
            <w:right w:val="none" w:sz="0" w:space="0" w:color="auto"/>
          </w:divBdr>
          <w:divsChild>
            <w:div w:id="832914406">
              <w:marLeft w:val="0"/>
              <w:marRight w:val="0"/>
              <w:marTop w:val="0"/>
              <w:marBottom w:val="0"/>
              <w:divBdr>
                <w:top w:val="none" w:sz="0" w:space="0" w:color="auto"/>
                <w:left w:val="none" w:sz="0" w:space="0" w:color="auto"/>
                <w:bottom w:val="none" w:sz="0" w:space="0" w:color="auto"/>
                <w:right w:val="none" w:sz="0" w:space="0" w:color="auto"/>
              </w:divBdr>
            </w:div>
          </w:divsChild>
        </w:div>
        <w:div w:id="2096395062">
          <w:marLeft w:val="0"/>
          <w:marRight w:val="0"/>
          <w:marTop w:val="0"/>
          <w:marBottom w:val="0"/>
          <w:divBdr>
            <w:top w:val="none" w:sz="0" w:space="0" w:color="auto"/>
            <w:left w:val="none" w:sz="0" w:space="0" w:color="auto"/>
            <w:bottom w:val="none" w:sz="0" w:space="0" w:color="auto"/>
            <w:right w:val="none" w:sz="0" w:space="0" w:color="auto"/>
          </w:divBdr>
          <w:divsChild>
            <w:div w:id="1202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8539">
      <w:bodyDiv w:val="1"/>
      <w:marLeft w:val="0"/>
      <w:marRight w:val="0"/>
      <w:marTop w:val="0"/>
      <w:marBottom w:val="0"/>
      <w:divBdr>
        <w:top w:val="none" w:sz="0" w:space="0" w:color="auto"/>
        <w:left w:val="none" w:sz="0" w:space="0" w:color="auto"/>
        <w:bottom w:val="none" w:sz="0" w:space="0" w:color="auto"/>
        <w:right w:val="none" w:sz="0" w:space="0" w:color="auto"/>
      </w:divBdr>
    </w:div>
    <w:div w:id="998727252">
      <w:bodyDiv w:val="1"/>
      <w:marLeft w:val="0"/>
      <w:marRight w:val="0"/>
      <w:marTop w:val="0"/>
      <w:marBottom w:val="0"/>
      <w:divBdr>
        <w:top w:val="none" w:sz="0" w:space="0" w:color="auto"/>
        <w:left w:val="none" w:sz="0" w:space="0" w:color="auto"/>
        <w:bottom w:val="none" w:sz="0" w:space="0" w:color="auto"/>
        <w:right w:val="none" w:sz="0" w:space="0" w:color="auto"/>
      </w:divBdr>
    </w:div>
    <w:div w:id="1015305595">
      <w:bodyDiv w:val="1"/>
      <w:marLeft w:val="0"/>
      <w:marRight w:val="0"/>
      <w:marTop w:val="0"/>
      <w:marBottom w:val="0"/>
      <w:divBdr>
        <w:top w:val="none" w:sz="0" w:space="0" w:color="auto"/>
        <w:left w:val="none" w:sz="0" w:space="0" w:color="auto"/>
        <w:bottom w:val="none" w:sz="0" w:space="0" w:color="auto"/>
        <w:right w:val="none" w:sz="0" w:space="0" w:color="auto"/>
      </w:divBdr>
      <w:divsChild>
        <w:div w:id="317341917">
          <w:marLeft w:val="0"/>
          <w:marRight w:val="0"/>
          <w:marTop w:val="0"/>
          <w:marBottom w:val="0"/>
          <w:divBdr>
            <w:top w:val="none" w:sz="0" w:space="0" w:color="auto"/>
            <w:left w:val="none" w:sz="0" w:space="0" w:color="auto"/>
            <w:bottom w:val="none" w:sz="0" w:space="0" w:color="auto"/>
            <w:right w:val="none" w:sz="0" w:space="0" w:color="auto"/>
          </w:divBdr>
        </w:div>
        <w:div w:id="1936934178">
          <w:marLeft w:val="0"/>
          <w:marRight w:val="0"/>
          <w:marTop w:val="0"/>
          <w:marBottom w:val="0"/>
          <w:divBdr>
            <w:top w:val="none" w:sz="0" w:space="0" w:color="auto"/>
            <w:left w:val="none" w:sz="0" w:space="0" w:color="auto"/>
            <w:bottom w:val="none" w:sz="0" w:space="0" w:color="auto"/>
            <w:right w:val="none" w:sz="0" w:space="0" w:color="auto"/>
          </w:divBdr>
        </w:div>
      </w:divsChild>
    </w:div>
    <w:div w:id="1025180089">
      <w:bodyDiv w:val="1"/>
      <w:marLeft w:val="0"/>
      <w:marRight w:val="0"/>
      <w:marTop w:val="0"/>
      <w:marBottom w:val="0"/>
      <w:divBdr>
        <w:top w:val="none" w:sz="0" w:space="0" w:color="auto"/>
        <w:left w:val="none" w:sz="0" w:space="0" w:color="auto"/>
        <w:bottom w:val="none" w:sz="0" w:space="0" w:color="auto"/>
        <w:right w:val="none" w:sz="0" w:space="0" w:color="auto"/>
      </w:divBdr>
    </w:div>
    <w:div w:id="1043598888">
      <w:bodyDiv w:val="1"/>
      <w:marLeft w:val="0"/>
      <w:marRight w:val="0"/>
      <w:marTop w:val="0"/>
      <w:marBottom w:val="0"/>
      <w:divBdr>
        <w:top w:val="none" w:sz="0" w:space="0" w:color="auto"/>
        <w:left w:val="none" w:sz="0" w:space="0" w:color="auto"/>
        <w:bottom w:val="none" w:sz="0" w:space="0" w:color="auto"/>
        <w:right w:val="none" w:sz="0" w:space="0" w:color="auto"/>
      </w:divBdr>
      <w:divsChild>
        <w:div w:id="147719447">
          <w:marLeft w:val="0"/>
          <w:marRight w:val="0"/>
          <w:marTop w:val="0"/>
          <w:marBottom w:val="0"/>
          <w:divBdr>
            <w:top w:val="none" w:sz="0" w:space="0" w:color="auto"/>
            <w:left w:val="none" w:sz="0" w:space="0" w:color="auto"/>
            <w:bottom w:val="none" w:sz="0" w:space="0" w:color="auto"/>
            <w:right w:val="none" w:sz="0" w:space="0" w:color="auto"/>
          </w:divBdr>
        </w:div>
        <w:div w:id="469984781">
          <w:marLeft w:val="0"/>
          <w:marRight w:val="0"/>
          <w:marTop w:val="0"/>
          <w:marBottom w:val="0"/>
          <w:divBdr>
            <w:top w:val="none" w:sz="0" w:space="0" w:color="auto"/>
            <w:left w:val="none" w:sz="0" w:space="0" w:color="auto"/>
            <w:bottom w:val="none" w:sz="0" w:space="0" w:color="auto"/>
            <w:right w:val="none" w:sz="0" w:space="0" w:color="auto"/>
          </w:divBdr>
        </w:div>
        <w:div w:id="472018950">
          <w:marLeft w:val="0"/>
          <w:marRight w:val="0"/>
          <w:marTop w:val="0"/>
          <w:marBottom w:val="0"/>
          <w:divBdr>
            <w:top w:val="none" w:sz="0" w:space="0" w:color="auto"/>
            <w:left w:val="none" w:sz="0" w:space="0" w:color="auto"/>
            <w:bottom w:val="none" w:sz="0" w:space="0" w:color="auto"/>
            <w:right w:val="none" w:sz="0" w:space="0" w:color="auto"/>
          </w:divBdr>
        </w:div>
        <w:div w:id="1114521639">
          <w:marLeft w:val="0"/>
          <w:marRight w:val="0"/>
          <w:marTop w:val="0"/>
          <w:marBottom w:val="0"/>
          <w:divBdr>
            <w:top w:val="none" w:sz="0" w:space="0" w:color="auto"/>
            <w:left w:val="none" w:sz="0" w:space="0" w:color="auto"/>
            <w:bottom w:val="none" w:sz="0" w:space="0" w:color="auto"/>
            <w:right w:val="none" w:sz="0" w:space="0" w:color="auto"/>
          </w:divBdr>
        </w:div>
        <w:div w:id="1405251352">
          <w:marLeft w:val="0"/>
          <w:marRight w:val="0"/>
          <w:marTop w:val="0"/>
          <w:marBottom w:val="0"/>
          <w:divBdr>
            <w:top w:val="none" w:sz="0" w:space="0" w:color="auto"/>
            <w:left w:val="none" w:sz="0" w:space="0" w:color="auto"/>
            <w:bottom w:val="none" w:sz="0" w:space="0" w:color="auto"/>
            <w:right w:val="none" w:sz="0" w:space="0" w:color="auto"/>
          </w:divBdr>
          <w:divsChild>
            <w:div w:id="52429946">
              <w:marLeft w:val="-75"/>
              <w:marRight w:val="0"/>
              <w:marTop w:val="30"/>
              <w:marBottom w:val="30"/>
              <w:divBdr>
                <w:top w:val="none" w:sz="0" w:space="0" w:color="auto"/>
                <w:left w:val="none" w:sz="0" w:space="0" w:color="auto"/>
                <w:bottom w:val="none" w:sz="0" w:space="0" w:color="auto"/>
                <w:right w:val="none" w:sz="0" w:space="0" w:color="auto"/>
              </w:divBdr>
              <w:divsChild>
                <w:div w:id="31535738">
                  <w:marLeft w:val="0"/>
                  <w:marRight w:val="0"/>
                  <w:marTop w:val="0"/>
                  <w:marBottom w:val="0"/>
                  <w:divBdr>
                    <w:top w:val="none" w:sz="0" w:space="0" w:color="auto"/>
                    <w:left w:val="none" w:sz="0" w:space="0" w:color="auto"/>
                    <w:bottom w:val="none" w:sz="0" w:space="0" w:color="auto"/>
                    <w:right w:val="none" w:sz="0" w:space="0" w:color="auto"/>
                  </w:divBdr>
                  <w:divsChild>
                    <w:div w:id="1158574451">
                      <w:marLeft w:val="0"/>
                      <w:marRight w:val="0"/>
                      <w:marTop w:val="0"/>
                      <w:marBottom w:val="0"/>
                      <w:divBdr>
                        <w:top w:val="none" w:sz="0" w:space="0" w:color="auto"/>
                        <w:left w:val="none" w:sz="0" w:space="0" w:color="auto"/>
                        <w:bottom w:val="none" w:sz="0" w:space="0" w:color="auto"/>
                        <w:right w:val="none" w:sz="0" w:space="0" w:color="auto"/>
                      </w:divBdr>
                    </w:div>
                  </w:divsChild>
                </w:div>
                <w:div w:id="59712271">
                  <w:marLeft w:val="0"/>
                  <w:marRight w:val="0"/>
                  <w:marTop w:val="0"/>
                  <w:marBottom w:val="0"/>
                  <w:divBdr>
                    <w:top w:val="none" w:sz="0" w:space="0" w:color="auto"/>
                    <w:left w:val="none" w:sz="0" w:space="0" w:color="auto"/>
                    <w:bottom w:val="none" w:sz="0" w:space="0" w:color="auto"/>
                    <w:right w:val="none" w:sz="0" w:space="0" w:color="auto"/>
                  </w:divBdr>
                  <w:divsChild>
                    <w:div w:id="1031223557">
                      <w:marLeft w:val="0"/>
                      <w:marRight w:val="0"/>
                      <w:marTop w:val="0"/>
                      <w:marBottom w:val="0"/>
                      <w:divBdr>
                        <w:top w:val="none" w:sz="0" w:space="0" w:color="auto"/>
                        <w:left w:val="none" w:sz="0" w:space="0" w:color="auto"/>
                        <w:bottom w:val="none" w:sz="0" w:space="0" w:color="auto"/>
                        <w:right w:val="none" w:sz="0" w:space="0" w:color="auto"/>
                      </w:divBdr>
                    </w:div>
                  </w:divsChild>
                </w:div>
                <w:div w:id="67847300">
                  <w:marLeft w:val="0"/>
                  <w:marRight w:val="0"/>
                  <w:marTop w:val="0"/>
                  <w:marBottom w:val="0"/>
                  <w:divBdr>
                    <w:top w:val="none" w:sz="0" w:space="0" w:color="auto"/>
                    <w:left w:val="none" w:sz="0" w:space="0" w:color="auto"/>
                    <w:bottom w:val="none" w:sz="0" w:space="0" w:color="auto"/>
                    <w:right w:val="none" w:sz="0" w:space="0" w:color="auto"/>
                  </w:divBdr>
                  <w:divsChild>
                    <w:div w:id="777799185">
                      <w:marLeft w:val="0"/>
                      <w:marRight w:val="0"/>
                      <w:marTop w:val="0"/>
                      <w:marBottom w:val="0"/>
                      <w:divBdr>
                        <w:top w:val="none" w:sz="0" w:space="0" w:color="auto"/>
                        <w:left w:val="none" w:sz="0" w:space="0" w:color="auto"/>
                        <w:bottom w:val="none" w:sz="0" w:space="0" w:color="auto"/>
                        <w:right w:val="none" w:sz="0" w:space="0" w:color="auto"/>
                      </w:divBdr>
                    </w:div>
                  </w:divsChild>
                </w:div>
                <w:div w:id="80837556">
                  <w:marLeft w:val="0"/>
                  <w:marRight w:val="0"/>
                  <w:marTop w:val="0"/>
                  <w:marBottom w:val="0"/>
                  <w:divBdr>
                    <w:top w:val="none" w:sz="0" w:space="0" w:color="auto"/>
                    <w:left w:val="none" w:sz="0" w:space="0" w:color="auto"/>
                    <w:bottom w:val="none" w:sz="0" w:space="0" w:color="auto"/>
                    <w:right w:val="none" w:sz="0" w:space="0" w:color="auto"/>
                  </w:divBdr>
                  <w:divsChild>
                    <w:div w:id="170145469">
                      <w:marLeft w:val="0"/>
                      <w:marRight w:val="0"/>
                      <w:marTop w:val="0"/>
                      <w:marBottom w:val="0"/>
                      <w:divBdr>
                        <w:top w:val="none" w:sz="0" w:space="0" w:color="auto"/>
                        <w:left w:val="none" w:sz="0" w:space="0" w:color="auto"/>
                        <w:bottom w:val="none" w:sz="0" w:space="0" w:color="auto"/>
                        <w:right w:val="none" w:sz="0" w:space="0" w:color="auto"/>
                      </w:divBdr>
                    </w:div>
                  </w:divsChild>
                </w:div>
                <w:div w:id="116728878">
                  <w:marLeft w:val="0"/>
                  <w:marRight w:val="0"/>
                  <w:marTop w:val="0"/>
                  <w:marBottom w:val="0"/>
                  <w:divBdr>
                    <w:top w:val="none" w:sz="0" w:space="0" w:color="auto"/>
                    <w:left w:val="none" w:sz="0" w:space="0" w:color="auto"/>
                    <w:bottom w:val="none" w:sz="0" w:space="0" w:color="auto"/>
                    <w:right w:val="none" w:sz="0" w:space="0" w:color="auto"/>
                  </w:divBdr>
                  <w:divsChild>
                    <w:div w:id="1587693573">
                      <w:marLeft w:val="0"/>
                      <w:marRight w:val="0"/>
                      <w:marTop w:val="0"/>
                      <w:marBottom w:val="0"/>
                      <w:divBdr>
                        <w:top w:val="none" w:sz="0" w:space="0" w:color="auto"/>
                        <w:left w:val="none" w:sz="0" w:space="0" w:color="auto"/>
                        <w:bottom w:val="none" w:sz="0" w:space="0" w:color="auto"/>
                        <w:right w:val="none" w:sz="0" w:space="0" w:color="auto"/>
                      </w:divBdr>
                    </w:div>
                  </w:divsChild>
                </w:div>
                <w:div w:id="141972104">
                  <w:marLeft w:val="0"/>
                  <w:marRight w:val="0"/>
                  <w:marTop w:val="0"/>
                  <w:marBottom w:val="0"/>
                  <w:divBdr>
                    <w:top w:val="none" w:sz="0" w:space="0" w:color="auto"/>
                    <w:left w:val="none" w:sz="0" w:space="0" w:color="auto"/>
                    <w:bottom w:val="none" w:sz="0" w:space="0" w:color="auto"/>
                    <w:right w:val="none" w:sz="0" w:space="0" w:color="auto"/>
                  </w:divBdr>
                  <w:divsChild>
                    <w:div w:id="1735661817">
                      <w:marLeft w:val="0"/>
                      <w:marRight w:val="0"/>
                      <w:marTop w:val="0"/>
                      <w:marBottom w:val="0"/>
                      <w:divBdr>
                        <w:top w:val="none" w:sz="0" w:space="0" w:color="auto"/>
                        <w:left w:val="none" w:sz="0" w:space="0" w:color="auto"/>
                        <w:bottom w:val="none" w:sz="0" w:space="0" w:color="auto"/>
                        <w:right w:val="none" w:sz="0" w:space="0" w:color="auto"/>
                      </w:divBdr>
                    </w:div>
                  </w:divsChild>
                </w:div>
                <w:div w:id="148982251">
                  <w:marLeft w:val="0"/>
                  <w:marRight w:val="0"/>
                  <w:marTop w:val="0"/>
                  <w:marBottom w:val="0"/>
                  <w:divBdr>
                    <w:top w:val="none" w:sz="0" w:space="0" w:color="auto"/>
                    <w:left w:val="none" w:sz="0" w:space="0" w:color="auto"/>
                    <w:bottom w:val="none" w:sz="0" w:space="0" w:color="auto"/>
                    <w:right w:val="none" w:sz="0" w:space="0" w:color="auto"/>
                  </w:divBdr>
                  <w:divsChild>
                    <w:div w:id="1222139120">
                      <w:marLeft w:val="0"/>
                      <w:marRight w:val="0"/>
                      <w:marTop w:val="0"/>
                      <w:marBottom w:val="0"/>
                      <w:divBdr>
                        <w:top w:val="none" w:sz="0" w:space="0" w:color="auto"/>
                        <w:left w:val="none" w:sz="0" w:space="0" w:color="auto"/>
                        <w:bottom w:val="none" w:sz="0" w:space="0" w:color="auto"/>
                        <w:right w:val="none" w:sz="0" w:space="0" w:color="auto"/>
                      </w:divBdr>
                    </w:div>
                  </w:divsChild>
                </w:div>
                <w:div w:id="196164684">
                  <w:marLeft w:val="0"/>
                  <w:marRight w:val="0"/>
                  <w:marTop w:val="0"/>
                  <w:marBottom w:val="0"/>
                  <w:divBdr>
                    <w:top w:val="none" w:sz="0" w:space="0" w:color="auto"/>
                    <w:left w:val="none" w:sz="0" w:space="0" w:color="auto"/>
                    <w:bottom w:val="none" w:sz="0" w:space="0" w:color="auto"/>
                    <w:right w:val="none" w:sz="0" w:space="0" w:color="auto"/>
                  </w:divBdr>
                  <w:divsChild>
                    <w:div w:id="174999874">
                      <w:marLeft w:val="0"/>
                      <w:marRight w:val="0"/>
                      <w:marTop w:val="0"/>
                      <w:marBottom w:val="0"/>
                      <w:divBdr>
                        <w:top w:val="none" w:sz="0" w:space="0" w:color="auto"/>
                        <w:left w:val="none" w:sz="0" w:space="0" w:color="auto"/>
                        <w:bottom w:val="none" w:sz="0" w:space="0" w:color="auto"/>
                        <w:right w:val="none" w:sz="0" w:space="0" w:color="auto"/>
                      </w:divBdr>
                    </w:div>
                  </w:divsChild>
                </w:div>
                <w:div w:id="233391369">
                  <w:marLeft w:val="0"/>
                  <w:marRight w:val="0"/>
                  <w:marTop w:val="0"/>
                  <w:marBottom w:val="0"/>
                  <w:divBdr>
                    <w:top w:val="none" w:sz="0" w:space="0" w:color="auto"/>
                    <w:left w:val="none" w:sz="0" w:space="0" w:color="auto"/>
                    <w:bottom w:val="none" w:sz="0" w:space="0" w:color="auto"/>
                    <w:right w:val="none" w:sz="0" w:space="0" w:color="auto"/>
                  </w:divBdr>
                  <w:divsChild>
                    <w:div w:id="896208747">
                      <w:marLeft w:val="0"/>
                      <w:marRight w:val="0"/>
                      <w:marTop w:val="0"/>
                      <w:marBottom w:val="0"/>
                      <w:divBdr>
                        <w:top w:val="none" w:sz="0" w:space="0" w:color="auto"/>
                        <w:left w:val="none" w:sz="0" w:space="0" w:color="auto"/>
                        <w:bottom w:val="none" w:sz="0" w:space="0" w:color="auto"/>
                        <w:right w:val="none" w:sz="0" w:space="0" w:color="auto"/>
                      </w:divBdr>
                    </w:div>
                  </w:divsChild>
                </w:div>
                <w:div w:id="239337540">
                  <w:marLeft w:val="0"/>
                  <w:marRight w:val="0"/>
                  <w:marTop w:val="0"/>
                  <w:marBottom w:val="0"/>
                  <w:divBdr>
                    <w:top w:val="none" w:sz="0" w:space="0" w:color="auto"/>
                    <w:left w:val="none" w:sz="0" w:space="0" w:color="auto"/>
                    <w:bottom w:val="none" w:sz="0" w:space="0" w:color="auto"/>
                    <w:right w:val="none" w:sz="0" w:space="0" w:color="auto"/>
                  </w:divBdr>
                  <w:divsChild>
                    <w:div w:id="2005622050">
                      <w:marLeft w:val="0"/>
                      <w:marRight w:val="0"/>
                      <w:marTop w:val="0"/>
                      <w:marBottom w:val="0"/>
                      <w:divBdr>
                        <w:top w:val="none" w:sz="0" w:space="0" w:color="auto"/>
                        <w:left w:val="none" w:sz="0" w:space="0" w:color="auto"/>
                        <w:bottom w:val="none" w:sz="0" w:space="0" w:color="auto"/>
                        <w:right w:val="none" w:sz="0" w:space="0" w:color="auto"/>
                      </w:divBdr>
                    </w:div>
                  </w:divsChild>
                </w:div>
                <w:div w:id="267157357">
                  <w:marLeft w:val="0"/>
                  <w:marRight w:val="0"/>
                  <w:marTop w:val="0"/>
                  <w:marBottom w:val="0"/>
                  <w:divBdr>
                    <w:top w:val="none" w:sz="0" w:space="0" w:color="auto"/>
                    <w:left w:val="none" w:sz="0" w:space="0" w:color="auto"/>
                    <w:bottom w:val="none" w:sz="0" w:space="0" w:color="auto"/>
                    <w:right w:val="none" w:sz="0" w:space="0" w:color="auto"/>
                  </w:divBdr>
                  <w:divsChild>
                    <w:div w:id="2069448129">
                      <w:marLeft w:val="0"/>
                      <w:marRight w:val="0"/>
                      <w:marTop w:val="0"/>
                      <w:marBottom w:val="0"/>
                      <w:divBdr>
                        <w:top w:val="none" w:sz="0" w:space="0" w:color="auto"/>
                        <w:left w:val="none" w:sz="0" w:space="0" w:color="auto"/>
                        <w:bottom w:val="none" w:sz="0" w:space="0" w:color="auto"/>
                        <w:right w:val="none" w:sz="0" w:space="0" w:color="auto"/>
                      </w:divBdr>
                    </w:div>
                  </w:divsChild>
                </w:div>
                <w:div w:id="301424433">
                  <w:marLeft w:val="0"/>
                  <w:marRight w:val="0"/>
                  <w:marTop w:val="0"/>
                  <w:marBottom w:val="0"/>
                  <w:divBdr>
                    <w:top w:val="none" w:sz="0" w:space="0" w:color="auto"/>
                    <w:left w:val="none" w:sz="0" w:space="0" w:color="auto"/>
                    <w:bottom w:val="none" w:sz="0" w:space="0" w:color="auto"/>
                    <w:right w:val="none" w:sz="0" w:space="0" w:color="auto"/>
                  </w:divBdr>
                  <w:divsChild>
                    <w:div w:id="408649414">
                      <w:marLeft w:val="0"/>
                      <w:marRight w:val="0"/>
                      <w:marTop w:val="0"/>
                      <w:marBottom w:val="0"/>
                      <w:divBdr>
                        <w:top w:val="none" w:sz="0" w:space="0" w:color="auto"/>
                        <w:left w:val="none" w:sz="0" w:space="0" w:color="auto"/>
                        <w:bottom w:val="none" w:sz="0" w:space="0" w:color="auto"/>
                        <w:right w:val="none" w:sz="0" w:space="0" w:color="auto"/>
                      </w:divBdr>
                    </w:div>
                  </w:divsChild>
                </w:div>
                <w:div w:id="340551126">
                  <w:marLeft w:val="0"/>
                  <w:marRight w:val="0"/>
                  <w:marTop w:val="0"/>
                  <w:marBottom w:val="0"/>
                  <w:divBdr>
                    <w:top w:val="none" w:sz="0" w:space="0" w:color="auto"/>
                    <w:left w:val="none" w:sz="0" w:space="0" w:color="auto"/>
                    <w:bottom w:val="none" w:sz="0" w:space="0" w:color="auto"/>
                    <w:right w:val="none" w:sz="0" w:space="0" w:color="auto"/>
                  </w:divBdr>
                  <w:divsChild>
                    <w:div w:id="1913812997">
                      <w:marLeft w:val="0"/>
                      <w:marRight w:val="0"/>
                      <w:marTop w:val="0"/>
                      <w:marBottom w:val="0"/>
                      <w:divBdr>
                        <w:top w:val="none" w:sz="0" w:space="0" w:color="auto"/>
                        <w:left w:val="none" w:sz="0" w:space="0" w:color="auto"/>
                        <w:bottom w:val="none" w:sz="0" w:space="0" w:color="auto"/>
                        <w:right w:val="none" w:sz="0" w:space="0" w:color="auto"/>
                      </w:divBdr>
                    </w:div>
                  </w:divsChild>
                </w:div>
                <w:div w:id="403719431">
                  <w:marLeft w:val="0"/>
                  <w:marRight w:val="0"/>
                  <w:marTop w:val="0"/>
                  <w:marBottom w:val="0"/>
                  <w:divBdr>
                    <w:top w:val="none" w:sz="0" w:space="0" w:color="auto"/>
                    <w:left w:val="none" w:sz="0" w:space="0" w:color="auto"/>
                    <w:bottom w:val="none" w:sz="0" w:space="0" w:color="auto"/>
                    <w:right w:val="none" w:sz="0" w:space="0" w:color="auto"/>
                  </w:divBdr>
                  <w:divsChild>
                    <w:div w:id="1893421322">
                      <w:marLeft w:val="0"/>
                      <w:marRight w:val="0"/>
                      <w:marTop w:val="0"/>
                      <w:marBottom w:val="0"/>
                      <w:divBdr>
                        <w:top w:val="none" w:sz="0" w:space="0" w:color="auto"/>
                        <w:left w:val="none" w:sz="0" w:space="0" w:color="auto"/>
                        <w:bottom w:val="none" w:sz="0" w:space="0" w:color="auto"/>
                        <w:right w:val="none" w:sz="0" w:space="0" w:color="auto"/>
                      </w:divBdr>
                    </w:div>
                  </w:divsChild>
                </w:div>
                <w:div w:id="413866433">
                  <w:marLeft w:val="0"/>
                  <w:marRight w:val="0"/>
                  <w:marTop w:val="0"/>
                  <w:marBottom w:val="0"/>
                  <w:divBdr>
                    <w:top w:val="none" w:sz="0" w:space="0" w:color="auto"/>
                    <w:left w:val="none" w:sz="0" w:space="0" w:color="auto"/>
                    <w:bottom w:val="none" w:sz="0" w:space="0" w:color="auto"/>
                    <w:right w:val="none" w:sz="0" w:space="0" w:color="auto"/>
                  </w:divBdr>
                  <w:divsChild>
                    <w:div w:id="1972006490">
                      <w:marLeft w:val="0"/>
                      <w:marRight w:val="0"/>
                      <w:marTop w:val="0"/>
                      <w:marBottom w:val="0"/>
                      <w:divBdr>
                        <w:top w:val="none" w:sz="0" w:space="0" w:color="auto"/>
                        <w:left w:val="none" w:sz="0" w:space="0" w:color="auto"/>
                        <w:bottom w:val="none" w:sz="0" w:space="0" w:color="auto"/>
                        <w:right w:val="none" w:sz="0" w:space="0" w:color="auto"/>
                      </w:divBdr>
                    </w:div>
                  </w:divsChild>
                </w:div>
                <w:div w:id="492456931">
                  <w:marLeft w:val="0"/>
                  <w:marRight w:val="0"/>
                  <w:marTop w:val="0"/>
                  <w:marBottom w:val="0"/>
                  <w:divBdr>
                    <w:top w:val="none" w:sz="0" w:space="0" w:color="auto"/>
                    <w:left w:val="none" w:sz="0" w:space="0" w:color="auto"/>
                    <w:bottom w:val="none" w:sz="0" w:space="0" w:color="auto"/>
                    <w:right w:val="none" w:sz="0" w:space="0" w:color="auto"/>
                  </w:divBdr>
                  <w:divsChild>
                    <w:div w:id="136798899">
                      <w:marLeft w:val="0"/>
                      <w:marRight w:val="0"/>
                      <w:marTop w:val="0"/>
                      <w:marBottom w:val="0"/>
                      <w:divBdr>
                        <w:top w:val="none" w:sz="0" w:space="0" w:color="auto"/>
                        <w:left w:val="none" w:sz="0" w:space="0" w:color="auto"/>
                        <w:bottom w:val="none" w:sz="0" w:space="0" w:color="auto"/>
                        <w:right w:val="none" w:sz="0" w:space="0" w:color="auto"/>
                      </w:divBdr>
                    </w:div>
                  </w:divsChild>
                </w:div>
                <w:div w:id="562914547">
                  <w:marLeft w:val="0"/>
                  <w:marRight w:val="0"/>
                  <w:marTop w:val="0"/>
                  <w:marBottom w:val="0"/>
                  <w:divBdr>
                    <w:top w:val="none" w:sz="0" w:space="0" w:color="auto"/>
                    <w:left w:val="none" w:sz="0" w:space="0" w:color="auto"/>
                    <w:bottom w:val="none" w:sz="0" w:space="0" w:color="auto"/>
                    <w:right w:val="none" w:sz="0" w:space="0" w:color="auto"/>
                  </w:divBdr>
                  <w:divsChild>
                    <w:div w:id="468936252">
                      <w:marLeft w:val="0"/>
                      <w:marRight w:val="0"/>
                      <w:marTop w:val="0"/>
                      <w:marBottom w:val="0"/>
                      <w:divBdr>
                        <w:top w:val="none" w:sz="0" w:space="0" w:color="auto"/>
                        <w:left w:val="none" w:sz="0" w:space="0" w:color="auto"/>
                        <w:bottom w:val="none" w:sz="0" w:space="0" w:color="auto"/>
                        <w:right w:val="none" w:sz="0" w:space="0" w:color="auto"/>
                      </w:divBdr>
                    </w:div>
                  </w:divsChild>
                </w:div>
                <w:div w:id="627665406">
                  <w:marLeft w:val="0"/>
                  <w:marRight w:val="0"/>
                  <w:marTop w:val="0"/>
                  <w:marBottom w:val="0"/>
                  <w:divBdr>
                    <w:top w:val="none" w:sz="0" w:space="0" w:color="auto"/>
                    <w:left w:val="none" w:sz="0" w:space="0" w:color="auto"/>
                    <w:bottom w:val="none" w:sz="0" w:space="0" w:color="auto"/>
                    <w:right w:val="none" w:sz="0" w:space="0" w:color="auto"/>
                  </w:divBdr>
                  <w:divsChild>
                    <w:div w:id="686175587">
                      <w:marLeft w:val="0"/>
                      <w:marRight w:val="0"/>
                      <w:marTop w:val="0"/>
                      <w:marBottom w:val="0"/>
                      <w:divBdr>
                        <w:top w:val="none" w:sz="0" w:space="0" w:color="auto"/>
                        <w:left w:val="none" w:sz="0" w:space="0" w:color="auto"/>
                        <w:bottom w:val="none" w:sz="0" w:space="0" w:color="auto"/>
                        <w:right w:val="none" w:sz="0" w:space="0" w:color="auto"/>
                      </w:divBdr>
                    </w:div>
                  </w:divsChild>
                </w:div>
                <w:div w:id="642584897">
                  <w:marLeft w:val="0"/>
                  <w:marRight w:val="0"/>
                  <w:marTop w:val="0"/>
                  <w:marBottom w:val="0"/>
                  <w:divBdr>
                    <w:top w:val="none" w:sz="0" w:space="0" w:color="auto"/>
                    <w:left w:val="none" w:sz="0" w:space="0" w:color="auto"/>
                    <w:bottom w:val="none" w:sz="0" w:space="0" w:color="auto"/>
                    <w:right w:val="none" w:sz="0" w:space="0" w:color="auto"/>
                  </w:divBdr>
                  <w:divsChild>
                    <w:div w:id="2045596815">
                      <w:marLeft w:val="0"/>
                      <w:marRight w:val="0"/>
                      <w:marTop w:val="0"/>
                      <w:marBottom w:val="0"/>
                      <w:divBdr>
                        <w:top w:val="none" w:sz="0" w:space="0" w:color="auto"/>
                        <w:left w:val="none" w:sz="0" w:space="0" w:color="auto"/>
                        <w:bottom w:val="none" w:sz="0" w:space="0" w:color="auto"/>
                        <w:right w:val="none" w:sz="0" w:space="0" w:color="auto"/>
                      </w:divBdr>
                    </w:div>
                  </w:divsChild>
                </w:div>
                <w:div w:id="762921363">
                  <w:marLeft w:val="0"/>
                  <w:marRight w:val="0"/>
                  <w:marTop w:val="0"/>
                  <w:marBottom w:val="0"/>
                  <w:divBdr>
                    <w:top w:val="none" w:sz="0" w:space="0" w:color="auto"/>
                    <w:left w:val="none" w:sz="0" w:space="0" w:color="auto"/>
                    <w:bottom w:val="none" w:sz="0" w:space="0" w:color="auto"/>
                    <w:right w:val="none" w:sz="0" w:space="0" w:color="auto"/>
                  </w:divBdr>
                  <w:divsChild>
                    <w:div w:id="1480924223">
                      <w:marLeft w:val="0"/>
                      <w:marRight w:val="0"/>
                      <w:marTop w:val="0"/>
                      <w:marBottom w:val="0"/>
                      <w:divBdr>
                        <w:top w:val="none" w:sz="0" w:space="0" w:color="auto"/>
                        <w:left w:val="none" w:sz="0" w:space="0" w:color="auto"/>
                        <w:bottom w:val="none" w:sz="0" w:space="0" w:color="auto"/>
                        <w:right w:val="none" w:sz="0" w:space="0" w:color="auto"/>
                      </w:divBdr>
                    </w:div>
                  </w:divsChild>
                </w:div>
                <w:div w:id="821192786">
                  <w:marLeft w:val="0"/>
                  <w:marRight w:val="0"/>
                  <w:marTop w:val="0"/>
                  <w:marBottom w:val="0"/>
                  <w:divBdr>
                    <w:top w:val="none" w:sz="0" w:space="0" w:color="auto"/>
                    <w:left w:val="none" w:sz="0" w:space="0" w:color="auto"/>
                    <w:bottom w:val="none" w:sz="0" w:space="0" w:color="auto"/>
                    <w:right w:val="none" w:sz="0" w:space="0" w:color="auto"/>
                  </w:divBdr>
                  <w:divsChild>
                    <w:div w:id="1677079093">
                      <w:marLeft w:val="0"/>
                      <w:marRight w:val="0"/>
                      <w:marTop w:val="0"/>
                      <w:marBottom w:val="0"/>
                      <w:divBdr>
                        <w:top w:val="none" w:sz="0" w:space="0" w:color="auto"/>
                        <w:left w:val="none" w:sz="0" w:space="0" w:color="auto"/>
                        <w:bottom w:val="none" w:sz="0" w:space="0" w:color="auto"/>
                        <w:right w:val="none" w:sz="0" w:space="0" w:color="auto"/>
                      </w:divBdr>
                    </w:div>
                  </w:divsChild>
                </w:div>
                <w:div w:id="874465966">
                  <w:marLeft w:val="0"/>
                  <w:marRight w:val="0"/>
                  <w:marTop w:val="0"/>
                  <w:marBottom w:val="0"/>
                  <w:divBdr>
                    <w:top w:val="none" w:sz="0" w:space="0" w:color="auto"/>
                    <w:left w:val="none" w:sz="0" w:space="0" w:color="auto"/>
                    <w:bottom w:val="none" w:sz="0" w:space="0" w:color="auto"/>
                    <w:right w:val="none" w:sz="0" w:space="0" w:color="auto"/>
                  </w:divBdr>
                  <w:divsChild>
                    <w:div w:id="270286357">
                      <w:marLeft w:val="0"/>
                      <w:marRight w:val="0"/>
                      <w:marTop w:val="0"/>
                      <w:marBottom w:val="0"/>
                      <w:divBdr>
                        <w:top w:val="none" w:sz="0" w:space="0" w:color="auto"/>
                        <w:left w:val="none" w:sz="0" w:space="0" w:color="auto"/>
                        <w:bottom w:val="none" w:sz="0" w:space="0" w:color="auto"/>
                        <w:right w:val="none" w:sz="0" w:space="0" w:color="auto"/>
                      </w:divBdr>
                    </w:div>
                  </w:divsChild>
                </w:div>
                <w:div w:id="882402654">
                  <w:marLeft w:val="0"/>
                  <w:marRight w:val="0"/>
                  <w:marTop w:val="0"/>
                  <w:marBottom w:val="0"/>
                  <w:divBdr>
                    <w:top w:val="none" w:sz="0" w:space="0" w:color="auto"/>
                    <w:left w:val="none" w:sz="0" w:space="0" w:color="auto"/>
                    <w:bottom w:val="none" w:sz="0" w:space="0" w:color="auto"/>
                    <w:right w:val="none" w:sz="0" w:space="0" w:color="auto"/>
                  </w:divBdr>
                  <w:divsChild>
                    <w:div w:id="1919437610">
                      <w:marLeft w:val="0"/>
                      <w:marRight w:val="0"/>
                      <w:marTop w:val="0"/>
                      <w:marBottom w:val="0"/>
                      <w:divBdr>
                        <w:top w:val="none" w:sz="0" w:space="0" w:color="auto"/>
                        <w:left w:val="none" w:sz="0" w:space="0" w:color="auto"/>
                        <w:bottom w:val="none" w:sz="0" w:space="0" w:color="auto"/>
                        <w:right w:val="none" w:sz="0" w:space="0" w:color="auto"/>
                      </w:divBdr>
                    </w:div>
                  </w:divsChild>
                </w:div>
                <w:div w:id="894202990">
                  <w:marLeft w:val="0"/>
                  <w:marRight w:val="0"/>
                  <w:marTop w:val="0"/>
                  <w:marBottom w:val="0"/>
                  <w:divBdr>
                    <w:top w:val="none" w:sz="0" w:space="0" w:color="auto"/>
                    <w:left w:val="none" w:sz="0" w:space="0" w:color="auto"/>
                    <w:bottom w:val="none" w:sz="0" w:space="0" w:color="auto"/>
                    <w:right w:val="none" w:sz="0" w:space="0" w:color="auto"/>
                  </w:divBdr>
                  <w:divsChild>
                    <w:div w:id="1930966061">
                      <w:marLeft w:val="0"/>
                      <w:marRight w:val="0"/>
                      <w:marTop w:val="0"/>
                      <w:marBottom w:val="0"/>
                      <w:divBdr>
                        <w:top w:val="none" w:sz="0" w:space="0" w:color="auto"/>
                        <w:left w:val="none" w:sz="0" w:space="0" w:color="auto"/>
                        <w:bottom w:val="none" w:sz="0" w:space="0" w:color="auto"/>
                        <w:right w:val="none" w:sz="0" w:space="0" w:color="auto"/>
                      </w:divBdr>
                    </w:div>
                  </w:divsChild>
                </w:div>
                <w:div w:id="908343653">
                  <w:marLeft w:val="0"/>
                  <w:marRight w:val="0"/>
                  <w:marTop w:val="0"/>
                  <w:marBottom w:val="0"/>
                  <w:divBdr>
                    <w:top w:val="none" w:sz="0" w:space="0" w:color="auto"/>
                    <w:left w:val="none" w:sz="0" w:space="0" w:color="auto"/>
                    <w:bottom w:val="none" w:sz="0" w:space="0" w:color="auto"/>
                    <w:right w:val="none" w:sz="0" w:space="0" w:color="auto"/>
                  </w:divBdr>
                  <w:divsChild>
                    <w:div w:id="702441604">
                      <w:marLeft w:val="0"/>
                      <w:marRight w:val="0"/>
                      <w:marTop w:val="0"/>
                      <w:marBottom w:val="0"/>
                      <w:divBdr>
                        <w:top w:val="none" w:sz="0" w:space="0" w:color="auto"/>
                        <w:left w:val="none" w:sz="0" w:space="0" w:color="auto"/>
                        <w:bottom w:val="none" w:sz="0" w:space="0" w:color="auto"/>
                        <w:right w:val="none" w:sz="0" w:space="0" w:color="auto"/>
                      </w:divBdr>
                    </w:div>
                  </w:divsChild>
                </w:div>
                <w:div w:id="943534089">
                  <w:marLeft w:val="0"/>
                  <w:marRight w:val="0"/>
                  <w:marTop w:val="0"/>
                  <w:marBottom w:val="0"/>
                  <w:divBdr>
                    <w:top w:val="none" w:sz="0" w:space="0" w:color="auto"/>
                    <w:left w:val="none" w:sz="0" w:space="0" w:color="auto"/>
                    <w:bottom w:val="none" w:sz="0" w:space="0" w:color="auto"/>
                    <w:right w:val="none" w:sz="0" w:space="0" w:color="auto"/>
                  </w:divBdr>
                  <w:divsChild>
                    <w:div w:id="503134660">
                      <w:marLeft w:val="0"/>
                      <w:marRight w:val="0"/>
                      <w:marTop w:val="0"/>
                      <w:marBottom w:val="0"/>
                      <w:divBdr>
                        <w:top w:val="none" w:sz="0" w:space="0" w:color="auto"/>
                        <w:left w:val="none" w:sz="0" w:space="0" w:color="auto"/>
                        <w:bottom w:val="none" w:sz="0" w:space="0" w:color="auto"/>
                        <w:right w:val="none" w:sz="0" w:space="0" w:color="auto"/>
                      </w:divBdr>
                    </w:div>
                  </w:divsChild>
                </w:div>
                <w:div w:id="986320660">
                  <w:marLeft w:val="0"/>
                  <w:marRight w:val="0"/>
                  <w:marTop w:val="0"/>
                  <w:marBottom w:val="0"/>
                  <w:divBdr>
                    <w:top w:val="none" w:sz="0" w:space="0" w:color="auto"/>
                    <w:left w:val="none" w:sz="0" w:space="0" w:color="auto"/>
                    <w:bottom w:val="none" w:sz="0" w:space="0" w:color="auto"/>
                    <w:right w:val="none" w:sz="0" w:space="0" w:color="auto"/>
                  </w:divBdr>
                  <w:divsChild>
                    <w:div w:id="1423070686">
                      <w:marLeft w:val="0"/>
                      <w:marRight w:val="0"/>
                      <w:marTop w:val="0"/>
                      <w:marBottom w:val="0"/>
                      <w:divBdr>
                        <w:top w:val="none" w:sz="0" w:space="0" w:color="auto"/>
                        <w:left w:val="none" w:sz="0" w:space="0" w:color="auto"/>
                        <w:bottom w:val="none" w:sz="0" w:space="0" w:color="auto"/>
                        <w:right w:val="none" w:sz="0" w:space="0" w:color="auto"/>
                      </w:divBdr>
                    </w:div>
                  </w:divsChild>
                </w:div>
                <w:div w:id="1034773935">
                  <w:marLeft w:val="0"/>
                  <w:marRight w:val="0"/>
                  <w:marTop w:val="0"/>
                  <w:marBottom w:val="0"/>
                  <w:divBdr>
                    <w:top w:val="none" w:sz="0" w:space="0" w:color="auto"/>
                    <w:left w:val="none" w:sz="0" w:space="0" w:color="auto"/>
                    <w:bottom w:val="none" w:sz="0" w:space="0" w:color="auto"/>
                    <w:right w:val="none" w:sz="0" w:space="0" w:color="auto"/>
                  </w:divBdr>
                  <w:divsChild>
                    <w:div w:id="1743793667">
                      <w:marLeft w:val="0"/>
                      <w:marRight w:val="0"/>
                      <w:marTop w:val="0"/>
                      <w:marBottom w:val="0"/>
                      <w:divBdr>
                        <w:top w:val="none" w:sz="0" w:space="0" w:color="auto"/>
                        <w:left w:val="none" w:sz="0" w:space="0" w:color="auto"/>
                        <w:bottom w:val="none" w:sz="0" w:space="0" w:color="auto"/>
                        <w:right w:val="none" w:sz="0" w:space="0" w:color="auto"/>
                      </w:divBdr>
                    </w:div>
                  </w:divsChild>
                </w:div>
                <w:div w:id="1042049151">
                  <w:marLeft w:val="0"/>
                  <w:marRight w:val="0"/>
                  <w:marTop w:val="0"/>
                  <w:marBottom w:val="0"/>
                  <w:divBdr>
                    <w:top w:val="none" w:sz="0" w:space="0" w:color="auto"/>
                    <w:left w:val="none" w:sz="0" w:space="0" w:color="auto"/>
                    <w:bottom w:val="none" w:sz="0" w:space="0" w:color="auto"/>
                    <w:right w:val="none" w:sz="0" w:space="0" w:color="auto"/>
                  </w:divBdr>
                  <w:divsChild>
                    <w:div w:id="1446004559">
                      <w:marLeft w:val="0"/>
                      <w:marRight w:val="0"/>
                      <w:marTop w:val="0"/>
                      <w:marBottom w:val="0"/>
                      <w:divBdr>
                        <w:top w:val="none" w:sz="0" w:space="0" w:color="auto"/>
                        <w:left w:val="none" w:sz="0" w:space="0" w:color="auto"/>
                        <w:bottom w:val="none" w:sz="0" w:space="0" w:color="auto"/>
                        <w:right w:val="none" w:sz="0" w:space="0" w:color="auto"/>
                      </w:divBdr>
                    </w:div>
                  </w:divsChild>
                </w:div>
                <w:div w:id="1046224021">
                  <w:marLeft w:val="0"/>
                  <w:marRight w:val="0"/>
                  <w:marTop w:val="0"/>
                  <w:marBottom w:val="0"/>
                  <w:divBdr>
                    <w:top w:val="none" w:sz="0" w:space="0" w:color="auto"/>
                    <w:left w:val="none" w:sz="0" w:space="0" w:color="auto"/>
                    <w:bottom w:val="none" w:sz="0" w:space="0" w:color="auto"/>
                    <w:right w:val="none" w:sz="0" w:space="0" w:color="auto"/>
                  </w:divBdr>
                  <w:divsChild>
                    <w:div w:id="1098254455">
                      <w:marLeft w:val="0"/>
                      <w:marRight w:val="0"/>
                      <w:marTop w:val="0"/>
                      <w:marBottom w:val="0"/>
                      <w:divBdr>
                        <w:top w:val="none" w:sz="0" w:space="0" w:color="auto"/>
                        <w:left w:val="none" w:sz="0" w:space="0" w:color="auto"/>
                        <w:bottom w:val="none" w:sz="0" w:space="0" w:color="auto"/>
                        <w:right w:val="none" w:sz="0" w:space="0" w:color="auto"/>
                      </w:divBdr>
                    </w:div>
                  </w:divsChild>
                </w:div>
                <w:div w:id="1060254162">
                  <w:marLeft w:val="0"/>
                  <w:marRight w:val="0"/>
                  <w:marTop w:val="0"/>
                  <w:marBottom w:val="0"/>
                  <w:divBdr>
                    <w:top w:val="none" w:sz="0" w:space="0" w:color="auto"/>
                    <w:left w:val="none" w:sz="0" w:space="0" w:color="auto"/>
                    <w:bottom w:val="none" w:sz="0" w:space="0" w:color="auto"/>
                    <w:right w:val="none" w:sz="0" w:space="0" w:color="auto"/>
                  </w:divBdr>
                  <w:divsChild>
                    <w:div w:id="2072851788">
                      <w:marLeft w:val="0"/>
                      <w:marRight w:val="0"/>
                      <w:marTop w:val="0"/>
                      <w:marBottom w:val="0"/>
                      <w:divBdr>
                        <w:top w:val="none" w:sz="0" w:space="0" w:color="auto"/>
                        <w:left w:val="none" w:sz="0" w:space="0" w:color="auto"/>
                        <w:bottom w:val="none" w:sz="0" w:space="0" w:color="auto"/>
                        <w:right w:val="none" w:sz="0" w:space="0" w:color="auto"/>
                      </w:divBdr>
                    </w:div>
                  </w:divsChild>
                </w:div>
                <w:div w:id="1077895972">
                  <w:marLeft w:val="0"/>
                  <w:marRight w:val="0"/>
                  <w:marTop w:val="0"/>
                  <w:marBottom w:val="0"/>
                  <w:divBdr>
                    <w:top w:val="none" w:sz="0" w:space="0" w:color="auto"/>
                    <w:left w:val="none" w:sz="0" w:space="0" w:color="auto"/>
                    <w:bottom w:val="none" w:sz="0" w:space="0" w:color="auto"/>
                    <w:right w:val="none" w:sz="0" w:space="0" w:color="auto"/>
                  </w:divBdr>
                  <w:divsChild>
                    <w:div w:id="1044718556">
                      <w:marLeft w:val="0"/>
                      <w:marRight w:val="0"/>
                      <w:marTop w:val="0"/>
                      <w:marBottom w:val="0"/>
                      <w:divBdr>
                        <w:top w:val="none" w:sz="0" w:space="0" w:color="auto"/>
                        <w:left w:val="none" w:sz="0" w:space="0" w:color="auto"/>
                        <w:bottom w:val="none" w:sz="0" w:space="0" w:color="auto"/>
                        <w:right w:val="none" w:sz="0" w:space="0" w:color="auto"/>
                      </w:divBdr>
                    </w:div>
                  </w:divsChild>
                </w:div>
                <w:div w:id="1082531550">
                  <w:marLeft w:val="0"/>
                  <w:marRight w:val="0"/>
                  <w:marTop w:val="0"/>
                  <w:marBottom w:val="0"/>
                  <w:divBdr>
                    <w:top w:val="none" w:sz="0" w:space="0" w:color="auto"/>
                    <w:left w:val="none" w:sz="0" w:space="0" w:color="auto"/>
                    <w:bottom w:val="none" w:sz="0" w:space="0" w:color="auto"/>
                    <w:right w:val="none" w:sz="0" w:space="0" w:color="auto"/>
                  </w:divBdr>
                  <w:divsChild>
                    <w:div w:id="407192752">
                      <w:marLeft w:val="0"/>
                      <w:marRight w:val="0"/>
                      <w:marTop w:val="0"/>
                      <w:marBottom w:val="0"/>
                      <w:divBdr>
                        <w:top w:val="none" w:sz="0" w:space="0" w:color="auto"/>
                        <w:left w:val="none" w:sz="0" w:space="0" w:color="auto"/>
                        <w:bottom w:val="none" w:sz="0" w:space="0" w:color="auto"/>
                        <w:right w:val="none" w:sz="0" w:space="0" w:color="auto"/>
                      </w:divBdr>
                    </w:div>
                  </w:divsChild>
                </w:div>
                <w:div w:id="1093091067">
                  <w:marLeft w:val="0"/>
                  <w:marRight w:val="0"/>
                  <w:marTop w:val="0"/>
                  <w:marBottom w:val="0"/>
                  <w:divBdr>
                    <w:top w:val="none" w:sz="0" w:space="0" w:color="auto"/>
                    <w:left w:val="none" w:sz="0" w:space="0" w:color="auto"/>
                    <w:bottom w:val="none" w:sz="0" w:space="0" w:color="auto"/>
                    <w:right w:val="none" w:sz="0" w:space="0" w:color="auto"/>
                  </w:divBdr>
                  <w:divsChild>
                    <w:div w:id="897982124">
                      <w:marLeft w:val="0"/>
                      <w:marRight w:val="0"/>
                      <w:marTop w:val="0"/>
                      <w:marBottom w:val="0"/>
                      <w:divBdr>
                        <w:top w:val="none" w:sz="0" w:space="0" w:color="auto"/>
                        <w:left w:val="none" w:sz="0" w:space="0" w:color="auto"/>
                        <w:bottom w:val="none" w:sz="0" w:space="0" w:color="auto"/>
                        <w:right w:val="none" w:sz="0" w:space="0" w:color="auto"/>
                      </w:divBdr>
                    </w:div>
                  </w:divsChild>
                </w:div>
                <w:div w:id="1095133178">
                  <w:marLeft w:val="0"/>
                  <w:marRight w:val="0"/>
                  <w:marTop w:val="0"/>
                  <w:marBottom w:val="0"/>
                  <w:divBdr>
                    <w:top w:val="none" w:sz="0" w:space="0" w:color="auto"/>
                    <w:left w:val="none" w:sz="0" w:space="0" w:color="auto"/>
                    <w:bottom w:val="none" w:sz="0" w:space="0" w:color="auto"/>
                    <w:right w:val="none" w:sz="0" w:space="0" w:color="auto"/>
                  </w:divBdr>
                  <w:divsChild>
                    <w:div w:id="1011445045">
                      <w:marLeft w:val="0"/>
                      <w:marRight w:val="0"/>
                      <w:marTop w:val="0"/>
                      <w:marBottom w:val="0"/>
                      <w:divBdr>
                        <w:top w:val="none" w:sz="0" w:space="0" w:color="auto"/>
                        <w:left w:val="none" w:sz="0" w:space="0" w:color="auto"/>
                        <w:bottom w:val="none" w:sz="0" w:space="0" w:color="auto"/>
                        <w:right w:val="none" w:sz="0" w:space="0" w:color="auto"/>
                      </w:divBdr>
                    </w:div>
                  </w:divsChild>
                </w:div>
                <w:div w:id="1132865774">
                  <w:marLeft w:val="0"/>
                  <w:marRight w:val="0"/>
                  <w:marTop w:val="0"/>
                  <w:marBottom w:val="0"/>
                  <w:divBdr>
                    <w:top w:val="none" w:sz="0" w:space="0" w:color="auto"/>
                    <w:left w:val="none" w:sz="0" w:space="0" w:color="auto"/>
                    <w:bottom w:val="none" w:sz="0" w:space="0" w:color="auto"/>
                    <w:right w:val="none" w:sz="0" w:space="0" w:color="auto"/>
                  </w:divBdr>
                  <w:divsChild>
                    <w:div w:id="1281499043">
                      <w:marLeft w:val="0"/>
                      <w:marRight w:val="0"/>
                      <w:marTop w:val="0"/>
                      <w:marBottom w:val="0"/>
                      <w:divBdr>
                        <w:top w:val="none" w:sz="0" w:space="0" w:color="auto"/>
                        <w:left w:val="none" w:sz="0" w:space="0" w:color="auto"/>
                        <w:bottom w:val="none" w:sz="0" w:space="0" w:color="auto"/>
                        <w:right w:val="none" w:sz="0" w:space="0" w:color="auto"/>
                      </w:divBdr>
                    </w:div>
                  </w:divsChild>
                </w:div>
                <w:div w:id="1190605591">
                  <w:marLeft w:val="0"/>
                  <w:marRight w:val="0"/>
                  <w:marTop w:val="0"/>
                  <w:marBottom w:val="0"/>
                  <w:divBdr>
                    <w:top w:val="none" w:sz="0" w:space="0" w:color="auto"/>
                    <w:left w:val="none" w:sz="0" w:space="0" w:color="auto"/>
                    <w:bottom w:val="none" w:sz="0" w:space="0" w:color="auto"/>
                    <w:right w:val="none" w:sz="0" w:space="0" w:color="auto"/>
                  </w:divBdr>
                  <w:divsChild>
                    <w:div w:id="967971997">
                      <w:marLeft w:val="0"/>
                      <w:marRight w:val="0"/>
                      <w:marTop w:val="0"/>
                      <w:marBottom w:val="0"/>
                      <w:divBdr>
                        <w:top w:val="none" w:sz="0" w:space="0" w:color="auto"/>
                        <w:left w:val="none" w:sz="0" w:space="0" w:color="auto"/>
                        <w:bottom w:val="none" w:sz="0" w:space="0" w:color="auto"/>
                        <w:right w:val="none" w:sz="0" w:space="0" w:color="auto"/>
                      </w:divBdr>
                    </w:div>
                  </w:divsChild>
                </w:div>
                <w:div w:id="1202864258">
                  <w:marLeft w:val="0"/>
                  <w:marRight w:val="0"/>
                  <w:marTop w:val="0"/>
                  <w:marBottom w:val="0"/>
                  <w:divBdr>
                    <w:top w:val="none" w:sz="0" w:space="0" w:color="auto"/>
                    <w:left w:val="none" w:sz="0" w:space="0" w:color="auto"/>
                    <w:bottom w:val="none" w:sz="0" w:space="0" w:color="auto"/>
                    <w:right w:val="none" w:sz="0" w:space="0" w:color="auto"/>
                  </w:divBdr>
                  <w:divsChild>
                    <w:div w:id="1537081763">
                      <w:marLeft w:val="0"/>
                      <w:marRight w:val="0"/>
                      <w:marTop w:val="0"/>
                      <w:marBottom w:val="0"/>
                      <w:divBdr>
                        <w:top w:val="none" w:sz="0" w:space="0" w:color="auto"/>
                        <w:left w:val="none" w:sz="0" w:space="0" w:color="auto"/>
                        <w:bottom w:val="none" w:sz="0" w:space="0" w:color="auto"/>
                        <w:right w:val="none" w:sz="0" w:space="0" w:color="auto"/>
                      </w:divBdr>
                    </w:div>
                  </w:divsChild>
                </w:div>
                <w:div w:id="1269316226">
                  <w:marLeft w:val="0"/>
                  <w:marRight w:val="0"/>
                  <w:marTop w:val="0"/>
                  <w:marBottom w:val="0"/>
                  <w:divBdr>
                    <w:top w:val="none" w:sz="0" w:space="0" w:color="auto"/>
                    <w:left w:val="none" w:sz="0" w:space="0" w:color="auto"/>
                    <w:bottom w:val="none" w:sz="0" w:space="0" w:color="auto"/>
                    <w:right w:val="none" w:sz="0" w:space="0" w:color="auto"/>
                  </w:divBdr>
                  <w:divsChild>
                    <w:div w:id="1579289139">
                      <w:marLeft w:val="0"/>
                      <w:marRight w:val="0"/>
                      <w:marTop w:val="0"/>
                      <w:marBottom w:val="0"/>
                      <w:divBdr>
                        <w:top w:val="none" w:sz="0" w:space="0" w:color="auto"/>
                        <w:left w:val="none" w:sz="0" w:space="0" w:color="auto"/>
                        <w:bottom w:val="none" w:sz="0" w:space="0" w:color="auto"/>
                        <w:right w:val="none" w:sz="0" w:space="0" w:color="auto"/>
                      </w:divBdr>
                    </w:div>
                  </w:divsChild>
                </w:div>
                <w:div w:id="1302230113">
                  <w:marLeft w:val="0"/>
                  <w:marRight w:val="0"/>
                  <w:marTop w:val="0"/>
                  <w:marBottom w:val="0"/>
                  <w:divBdr>
                    <w:top w:val="none" w:sz="0" w:space="0" w:color="auto"/>
                    <w:left w:val="none" w:sz="0" w:space="0" w:color="auto"/>
                    <w:bottom w:val="none" w:sz="0" w:space="0" w:color="auto"/>
                    <w:right w:val="none" w:sz="0" w:space="0" w:color="auto"/>
                  </w:divBdr>
                  <w:divsChild>
                    <w:div w:id="2015498109">
                      <w:marLeft w:val="0"/>
                      <w:marRight w:val="0"/>
                      <w:marTop w:val="0"/>
                      <w:marBottom w:val="0"/>
                      <w:divBdr>
                        <w:top w:val="none" w:sz="0" w:space="0" w:color="auto"/>
                        <w:left w:val="none" w:sz="0" w:space="0" w:color="auto"/>
                        <w:bottom w:val="none" w:sz="0" w:space="0" w:color="auto"/>
                        <w:right w:val="none" w:sz="0" w:space="0" w:color="auto"/>
                      </w:divBdr>
                    </w:div>
                  </w:divsChild>
                </w:div>
                <w:div w:id="1341590030">
                  <w:marLeft w:val="0"/>
                  <w:marRight w:val="0"/>
                  <w:marTop w:val="0"/>
                  <w:marBottom w:val="0"/>
                  <w:divBdr>
                    <w:top w:val="none" w:sz="0" w:space="0" w:color="auto"/>
                    <w:left w:val="none" w:sz="0" w:space="0" w:color="auto"/>
                    <w:bottom w:val="none" w:sz="0" w:space="0" w:color="auto"/>
                    <w:right w:val="none" w:sz="0" w:space="0" w:color="auto"/>
                  </w:divBdr>
                  <w:divsChild>
                    <w:div w:id="1763531641">
                      <w:marLeft w:val="0"/>
                      <w:marRight w:val="0"/>
                      <w:marTop w:val="0"/>
                      <w:marBottom w:val="0"/>
                      <w:divBdr>
                        <w:top w:val="none" w:sz="0" w:space="0" w:color="auto"/>
                        <w:left w:val="none" w:sz="0" w:space="0" w:color="auto"/>
                        <w:bottom w:val="none" w:sz="0" w:space="0" w:color="auto"/>
                        <w:right w:val="none" w:sz="0" w:space="0" w:color="auto"/>
                      </w:divBdr>
                    </w:div>
                  </w:divsChild>
                </w:div>
                <w:div w:id="1453746593">
                  <w:marLeft w:val="0"/>
                  <w:marRight w:val="0"/>
                  <w:marTop w:val="0"/>
                  <w:marBottom w:val="0"/>
                  <w:divBdr>
                    <w:top w:val="none" w:sz="0" w:space="0" w:color="auto"/>
                    <w:left w:val="none" w:sz="0" w:space="0" w:color="auto"/>
                    <w:bottom w:val="none" w:sz="0" w:space="0" w:color="auto"/>
                    <w:right w:val="none" w:sz="0" w:space="0" w:color="auto"/>
                  </w:divBdr>
                  <w:divsChild>
                    <w:div w:id="65736030">
                      <w:marLeft w:val="0"/>
                      <w:marRight w:val="0"/>
                      <w:marTop w:val="0"/>
                      <w:marBottom w:val="0"/>
                      <w:divBdr>
                        <w:top w:val="none" w:sz="0" w:space="0" w:color="auto"/>
                        <w:left w:val="none" w:sz="0" w:space="0" w:color="auto"/>
                        <w:bottom w:val="none" w:sz="0" w:space="0" w:color="auto"/>
                        <w:right w:val="none" w:sz="0" w:space="0" w:color="auto"/>
                      </w:divBdr>
                    </w:div>
                  </w:divsChild>
                </w:div>
                <w:div w:id="1499225104">
                  <w:marLeft w:val="0"/>
                  <w:marRight w:val="0"/>
                  <w:marTop w:val="0"/>
                  <w:marBottom w:val="0"/>
                  <w:divBdr>
                    <w:top w:val="none" w:sz="0" w:space="0" w:color="auto"/>
                    <w:left w:val="none" w:sz="0" w:space="0" w:color="auto"/>
                    <w:bottom w:val="none" w:sz="0" w:space="0" w:color="auto"/>
                    <w:right w:val="none" w:sz="0" w:space="0" w:color="auto"/>
                  </w:divBdr>
                  <w:divsChild>
                    <w:div w:id="1871258849">
                      <w:marLeft w:val="0"/>
                      <w:marRight w:val="0"/>
                      <w:marTop w:val="0"/>
                      <w:marBottom w:val="0"/>
                      <w:divBdr>
                        <w:top w:val="none" w:sz="0" w:space="0" w:color="auto"/>
                        <w:left w:val="none" w:sz="0" w:space="0" w:color="auto"/>
                        <w:bottom w:val="none" w:sz="0" w:space="0" w:color="auto"/>
                        <w:right w:val="none" w:sz="0" w:space="0" w:color="auto"/>
                      </w:divBdr>
                    </w:div>
                  </w:divsChild>
                </w:div>
                <w:div w:id="1526405427">
                  <w:marLeft w:val="0"/>
                  <w:marRight w:val="0"/>
                  <w:marTop w:val="0"/>
                  <w:marBottom w:val="0"/>
                  <w:divBdr>
                    <w:top w:val="none" w:sz="0" w:space="0" w:color="auto"/>
                    <w:left w:val="none" w:sz="0" w:space="0" w:color="auto"/>
                    <w:bottom w:val="none" w:sz="0" w:space="0" w:color="auto"/>
                    <w:right w:val="none" w:sz="0" w:space="0" w:color="auto"/>
                  </w:divBdr>
                  <w:divsChild>
                    <w:div w:id="1570113896">
                      <w:marLeft w:val="0"/>
                      <w:marRight w:val="0"/>
                      <w:marTop w:val="0"/>
                      <w:marBottom w:val="0"/>
                      <w:divBdr>
                        <w:top w:val="none" w:sz="0" w:space="0" w:color="auto"/>
                        <w:left w:val="none" w:sz="0" w:space="0" w:color="auto"/>
                        <w:bottom w:val="none" w:sz="0" w:space="0" w:color="auto"/>
                        <w:right w:val="none" w:sz="0" w:space="0" w:color="auto"/>
                      </w:divBdr>
                    </w:div>
                  </w:divsChild>
                </w:div>
                <w:div w:id="1569421564">
                  <w:marLeft w:val="0"/>
                  <w:marRight w:val="0"/>
                  <w:marTop w:val="0"/>
                  <w:marBottom w:val="0"/>
                  <w:divBdr>
                    <w:top w:val="none" w:sz="0" w:space="0" w:color="auto"/>
                    <w:left w:val="none" w:sz="0" w:space="0" w:color="auto"/>
                    <w:bottom w:val="none" w:sz="0" w:space="0" w:color="auto"/>
                    <w:right w:val="none" w:sz="0" w:space="0" w:color="auto"/>
                  </w:divBdr>
                  <w:divsChild>
                    <w:div w:id="1089236248">
                      <w:marLeft w:val="0"/>
                      <w:marRight w:val="0"/>
                      <w:marTop w:val="0"/>
                      <w:marBottom w:val="0"/>
                      <w:divBdr>
                        <w:top w:val="none" w:sz="0" w:space="0" w:color="auto"/>
                        <w:left w:val="none" w:sz="0" w:space="0" w:color="auto"/>
                        <w:bottom w:val="none" w:sz="0" w:space="0" w:color="auto"/>
                        <w:right w:val="none" w:sz="0" w:space="0" w:color="auto"/>
                      </w:divBdr>
                    </w:div>
                  </w:divsChild>
                </w:div>
                <w:div w:id="1657224770">
                  <w:marLeft w:val="0"/>
                  <w:marRight w:val="0"/>
                  <w:marTop w:val="0"/>
                  <w:marBottom w:val="0"/>
                  <w:divBdr>
                    <w:top w:val="none" w:sz="0" w:space="0" w:color="auto"/>
                    <w:left w:val="none" w:sz="0" w:space="0" w:color="auto"/>
                    <w:bottom w:val="none" w:sz="0" w:space="0" w:color="auto"/>
                    <w:right w:val="none" w:sz="0" w:space="0" w:color="auto"/>
                  </w:divBdr>
                  <w:divsChild>
                    <w:div w:id="2089646014">
                      <w:marLeft w:val="0"/>
                      <w:marRight w:val="0"/>
                      <w:marTop w:val="0"/>
                      <w:marBottom w:val="0"/>
                      <w:divBdr>
                        <w:top w:val="none" w:sz="0" w:space="0" w:color="auto"/>
                        <w:left w:val="none" w:sz="0" w:space="0" w:color="auto"/>
                        <w:bottom w:val="none" w:sz="0" w:space="0" w:color="auto"/>
                        <w:right w:val="none" w:sz="0" w:space="0" w:color="auto"/>
                      </w:divBdr>
                    </w:div>
                  </w:divsChild>
                </w:div>
                <w:div w:id="1670055942">
                  <w:marLeft w:val="0"/>
                  <w:marRight w:val="0"/>
                  <w:marTop w:val="0"/>
                  <w:marBottom w:val="0"/>
                  <w:divBdr>
                    <w:top w:val="none" w:sz="0" w:space="0" w:color="auto"/>
                    <w:left w:val="none" w:sz="0" w:space="0" w:color="auto"/>
                    <w:bottom w:val="none" w:sz="0" w:space="0" w:color="auto"/>
                    <w:right w:val="none" w:sz="0" w:space="0" w:color="auto"/>
                  </w:divBdr>
                  <w:divsChild>
                    <w:div w:id="5136183">
                      <w:marLeft w:val="0"/>
                      <w:marRight w:val="0"/>
                      <w:marTop w:val="0"/>
                      <w:marBottom w:val="0"/>
                      <w:divBdr>
                        <w:top w:val="none" w:sz="0" w:space="0" w:color="auto"/>
                        <w:left w:val="none" w:sz="0" w:space="0" w:color="auto"/>
                        <w:bottom w:val="none" w:sz="0" w:space="0" w:color="auto"/>
                        <w:right w:val="none" w:sz="0" w:space="0" w:color="auto"/>
                      </w:divBdr>
                    </w:div>
                  </w:divsChild>
                </w:div>
                <w:div w:id="1735852888">
                  <w:marLeft w:val="0"/>
                  <w:marRight w:val="0"/>
                  <w:marTop w:val="0"/>
                  <w:marBottom w:val="0"/>
                  <w:divBdr>
                    <w:top w:val="none" w:sz="0" w:space="0" w:color="auto"/>
                    <w:left w:val="none" w:sz="0" w:space="0" w:color="auto"/>
                    <w:bottom w:val="none" w:sz="0" w:space="0" w:color="auto"/>
                    <w:right w:val="none" w:sz="0" w:space="0" w:color="auto"/>
                  </w:divBdr>
                  <w:divsChild>
                    <w:div w:id="1430733931">
                      <w:marLeft w:val="0"/>
                      <w:marRight w:val="0"/>
                      <w:marTop w:val="0"/>
                      <w:marBottom w:val="0"/>
                      <w:divBdr>
                        <w:top w:val="none" w:sz="0" w:space="0" w:color="auto"/>
                        <w:left w:val="none" w:sz="0" w:space="0" w:color="auto"/>
                        <w:bottom w:val="none" w:sz="0" w:space="0" w:color="auto"/>
                        <w:right w:val="none" w:sz="0" w:space="0" w:color="auto"/>
                      </w:divBdr>
                    </w:div>
                  </w:divsChild>
                </w:div>
                <w:div w:id="1755972623">
                  <w:marLeft w:val="0"/>
                  <w:marRight w:val="0"/>
                  <w:marTop w:val="0"/>
                  <w:marBottom w:val="0"/>
                  <w:divBdr>
                    <w:top w:val="none" w:sz="0" w:space="0" w:color="auto"/>
                    <w:left w:val="none" w:sz="0" w:space="0" w:color="auto"/>
                    <w:bottom w:val="none" w:sz="0" w:space="0" w:color="auto"/>
                    <w:right w:val="none" w:sz="0" w:space="0" w:color="auto"/>
                  </w:divBdr>
                  <w:divsChild>
                    <w:div w:id="2052991869">
                      <w:marLeft w:val="0"/>
                      <w:marRight w:val="0"/>
                      <w:marTop w:val="0"/>
                      <w:marBottom w:val="0"/>
                      <w:divBdr>
                        <w:top w:val="none" w:sz="0" w:space="0" w:color="auto"/>
                        <w:left w:val="none" w:sz="0" w:space="0" w:color="auto"/>
                        <w:bottom w:val="none" w:sz="0" w:space="0" w:color="auto"/>
                        <w:right w:val="none" w:sz="0" w:space="0" w:color="auto"/>
                      </w:divBdr>
                    </w:div>
                  </w:divsChild>
                </w:div>
                <w:div w:id="1764955736">
                  <w:marLeft w:val="0"/>
                  <w:marRight w:val="0"/>
                  <w:marTop w:val="0"/>
                  <w:marBottom w:val="0"/>
                  <w:divBdr>
                    <w:top w:val="none" w:sz="0" w:space="0" w:color="auto"/>
                    <w:left w:val="none" w:sz="0" w:space="0" w:color="auto"/>
                    <w:bottom w:val="none" w:sz="0" w:space="0" w:color="auto"/>
                    <w:right w:val="none" w:sz="0" w:space="0" w:color="auto"/>
                  </w:divBdr>
                  <w:divsChild>
                    <w:div w:id="2109428481">
                      <w:marLeft w:val="0"/>
                      <w:marRight w:val="0"/>
                      <w:marTop w:val="0"/>
                      <w:marBottom w:val="0"/>
                      <w:divBdr>
                        <w:top w:val="none" w:sz="0" w:space="0" w:color="auto"/>
                        <w:left w:val="none" w:sz="0" w:space="0" w:color="auto"/>
                        <w:bottom w:val="none" w:sz="0" w:space="0" w:color="auto"/>
                        <w:right w:val="none" w:sz="0" w:space="0" w:color="auto"/>
                      </w:divBdr>
                    </w:div>
                  </w:divsChild>
                </w:div>
                <w:div w:id="1776173325">
                  <w:marLeft w:val="0"/>
                  <w:marRight w:val="0"/>
                  <w:marTop w:val="0"/>
                  <w:marBottom w:val="0"/>
                  <w:divBdr>
                    <w:top w:val="none" w:sz="0" w:space="0" w:color="auto"/>
                    <w:left w:val="none" w:sz="0" w:space="0" w:color="auto"/>
                    <w:bottom w:val="none" w:sz="0" w:space="0" w:color="auto"/>
                    <w:right w:val="none" w:sz="0" w:space="0" w:color="auto"/>
                  </w:divBdr>
                  <w:divsChild>
                    <w:div w:id="113257521">
                      <w:marLeft w:val="0"/>
                      <w:marRight w:val="0"/>
                      <w:marTop w:val="0"/>
                      <w:marBottom w:val="0"/>
                      <w:divBdr>
                        <w:top w:val="none" w:sz="0" w:space="0" w:color="auto"/>
                        <w:left w:val="none" w:sz="0" w:space="0" w:color="auto"/>
                        <w:bottom w:val="none" w:sz="0" w:space="0" w:color="auto"/>
                        <w:right w:val="none" w:sz="0" w:space="0" w:color="auto"/>
                      </w:divBdr>
                    </w:div>
                  </w:divsChild>
                </w:div>
                <w:div w:id="1786079115">
                  <w:marLeft w:val="0"/>
                  <w:marRight w:val="0"/>
                  <w:marTop w:val="0"/>
                  <w:marBottom w:val="0"/>
                  <w:divBdr>
                    <w:top w:val="none" w:sz="0" w:space="0" w:color="auto"/>
                    <w:left w:val="none" w:sz="0" w:space="0" w:color="auto"/>
                    <w:bottom w:val="none" w:sz="0" w:space="0" w:color="auto"/>
                    <w:right w:val="none" w:sz="0" w:space="0" w:color="auto"/>
                  </w:divBdr>
                  <w:divsChild>
                    <w:div w:id="1138063902">
                      <w:marLeft w:val="0"/>
                      <w:marRight w:val="0"/>
                      <w:marTop w:val="0"/>
                      <w:marBottom w:val="0"/>
                      <w:divBdr>
                        <w:top w:val="none" w:sz="0" w:space="0" w:color="auto"/>
                        <w:left w:val="none" w:sz="0" w:space="0" w:color="auto"/>
                        <w:bottom w:val="none" w:sz="0" w:space="0" w:color="auto"/>
                        <w:right w:val="none" w:sz="0" w:space="0" w:color="auto"/>
                      </w:divBdr>
                    </w:div>
                  </w:divsChild>
                </w:div>
                <w:div w:id="1825731274">
                  <w:marLeft w:val="0"/>
                  <w:marRight w:val="0"/>
                  <w:marTop w:val="0"/>
                  <w:marBottom w:val="0"/>
                  <w:divBdr>
                    <w:top w:val="none" w:sz="0" w:space="0" w:color="auto"/>
                    <w:left w:val="none" w:sz="0" w:space="0" w:color="auto"/>
                    <w:bottom w:val="none" w:sz="0" w:space="0" w:color="auto"/>
                    <w:right w:val="none" w:sz="0" w:space="0" w:color="auto"/>
                  </w:divBdr>
                  <w:divsChild>
                    <w:div w:id="60953304">
                      <w:marLeft w:val="0"/>
                      <w:marRight w:val="0"/>
                      <w:marTop w:val="0"/>
                      <w:marBottom w:val="0"/>
                      <w:divBdr>
                        <w:top w:val="none" w:sz="0" w:space="0" w:color="auto"/>
                        <w:left w:val="none" w:sz="0" w:space="0" w:color="auto"/>
                        <w:bottom w:val="none" w:sz="0" w:space="0" w:color="auto"/>
                        <w:right w:val="none" w:sz="0" w:space="0" w:color="auto"/>
                      </w:divBdr>
                    </w:div>
                  </w:divsChild>
                </w:div>
                <w:div w:id="1849130693">
                  <w:marLeft w:val="0"/>
                  <w:marRight w:val="0"/>
                  <w:marTop w:val="0"/>
                  <w:marBottom w:val="0"/>
                  <w:divBdr>
                    <w:top w:val="none" w:sz="0" w:space="0" w:color="auto"/>
                    <w:left w:val="none" w:sz="0" w:space="0" w:color="auto"/>
                    <w:bottom w:val="none" w:sz="0" w:space="0" w:color="auto"/>
                    <w:right w:val="none" w:sz="0" w:space="0" w:color="auto"/>
                  </w:divBdr>
                  <w:divsChild>
                    <w:div w:id="1147282164">
                      <w:marLeft w:val="0"/>
                      <w:marRight w:val="0"/>
                      <w:marTop w:val="0"/>
                      <w:marBottom w:val="0"/>
                      <w:divBdr>
                        <w:top w:val="none" w:sz="0" w:space="0" w:color="auto"/>
                        <w:left w:val="none" w:sz="0" w:space="0" w:color="auto"/>
                        <w:bottom w:val="none" w:sz="0" w:space="0" w:color="auto"/>
                        <w:right w:val="none" w:sz="0" w:space="0" w:color="auto"/>
                      </w:divBdr>
                    </w:div>
                  </w:divsChild>
                </w:div>
                <w:div w:id="1849634021">
                  <w:marLeft w:val="0"/>
                  <w:marRight w:val="0"/>
                  <w:marTop w:val="0"/>
                  <w:marBottom w:val="0"/>
                  <w:divBdr>
                    <w:top w:val="none" w:sz="0" w:space="0" w:color="auto"/>
                    <w:left w:val="none" w:sz="0" w:space="0" w:color="auto"/>
                    <w:bottom w:val="none" w:sz="0" w:space="0" w:color="auto"/>
                    <w:right w:val="none" w:sz="0" w:space="0" w:color="auto"/>
                  </w:divBdr>
                  <w:divsChild>
                    <w:div w:id="1531843388">
                      <w:marLeft w:val="0"/>
                      <w:marRight w:val="0"/>
                      <w:marTop w:val="0"/>
                      <w:marBottom w:val="0"/>
                      <w:divBdr>
                        <w:top w:val="none" w:sz="0" w:space="0" w:color="auto"/>
                        <w:left w:val="none" w:sz="0" w:space="0" w:color="auto"/>
                        <w:bottom w:val="none" w:sz="0" w:space="0" w:color="auto"/>
                        <w:right w:val="none" w:sz="0" w:space="0" w:color="auto"/>
                      </w:divBdr>
                    </w:div>
                  </w:divsChild>
                </w:div>
                <w:div w:id="1917011102">
                  <w:marLeft w:val="0"/>
                  <w:marRight w:val="0"/>
                  <w:marTop w:val="0"/>
                  <w:marBottom w:val="0"/>
                  <w:divBdr>
                    <w:top w:val="none" w:sz="0" w:space="0" w:color="auto"/>
                    <w:left w:val="none" w:sz="0" w:space="0" w:color="auto"/>
                    <w:bottom w:val="none" w:sz="0" w:space="0" w:color="auto"/>
                    <w:right w:val="none" w:sz="0" w:space="0" w:color="auto"/>
                  </w:divBdr>
                  <w:divsChild>
                    <w:div w:id="188377705">
                      <w:marLeft w:val="0"/>
                      <w:marRight w:val="0"/>
                      <w:marTop w:val="0"/>
                      <w:marBottom w:val="0"/>
                      <w:divBdr>
                        <w:top w:val="none" w:sz="0" w:space="0" w:color="auto"/>
                        <w:left w:val="none" w:sz="0" w:space="0" w:color="auto"/>
                        <w:bottom w:val="none" w:sz="0" w:space="0" w:color="auto"/>
                        <w:right w:val="none" w:sz="0" w:space="0" w:color="auto"/>
                      </w:divBdr>
                    </w:div>
                  </w:divsChild>
                </w:div>
                <w:div w:id="1937326656">
                  <w:marLeft w:val="0"/>
                  <w:marRight w:val="0"/>
                  <w:marTop w:val="0"/>
                  <w:marBottom w:val="0"/>
                  <w:divBdr>
                    <w:top w:val="none" w:sz="0" w:space="0" w:color="auto"/>
                    <w:left w:val="none" w:sz="0" w:space="0" w:color="auto"/>
                    <w:bottom w:val="none" w:sz="0" w:space="0" w:color="auto"/>
                    <w:right w:val="none" w:sz="0" w:space="0" w:color="auto"/>
                  </w:divBdr>
                  <w:divsChild>
                    <w:div w:id="1118723542">
                      <w:marLeft w:val="0"/>
                      <w:marRight w:val="0"/>
                      <w:marTop w:val="0"/>
                      <w:marBottom w:val="0"/>
                      <w:divBdr>
                        <w:top w:val="none" w:sz="0" w:space="0" w:color="auto"/>
                        <w:left w:val="none" w:sz="0" w:space="0" w:color="auto"/>
                        <w:bottom w:val="none" w:sz="0" w:space="0" w:color="auto"/>
                        <w:right w:val="none" w:sz="0" w:space="0" w:color="auto"/>
                      </w:divBdr>
                    </w:div>
                  </w:divsChild>
                </w:div>
                <w:div w:id="1965770566">
                  <w:marLeft w:val="0"/>
                  <w:marRight w:val="0"/>
                  <w:marTop w:val="0"/>
                  <w:marBottom w:val="0"/>
                  <w:divBdr>
                    <w:top w:val="none" w:sz="0" w:space="0" w:color="auto"/>
                    <w:left w:val="none" w:sz="0" w:space="0" w:color="auto"/>
                    <w:bottom w:val="none" w:sz="0" w:space="0" w:color="auto"/>
                    <w:right w:val="none" w:sz="0" w:space="0" w:color="auto"/>
                  </w:divBdr>
                  <w:divsChild>
                    <w:div w:id="6905849">
                      <w:marLeft w:val="0"/>
                      <w:marRight w:val="0"/>
                      <w:marTop w:val="0"/>
                      <w:marBottom w:val="0"/>
                      <w:divBdr>
                        <w:top w:val="none" w:sz="0" w:space="0" w:color="auto"/>
                        <w:left w:val="none" w:sz="0" w:space="0" w:color="auto"/>
                        <w:bottom w:val="none" w:sz="0" w:space="0" w:color="auto"/>
                        <w:right w:val="none" w:sz="0" w:space="0" w:color="auto"/>
                      </w:divBdr>
                    </w:div>
                  </w:divsChild>
                </w:div>
                <w:div w:id="2037075750">
                  <w:marLeft w:val="0"/>
                  <w:marRight w:val="0"/>
                  <w:marTop w:val="0"/>
                  <w:marBottom w:val="0"/>
                  <w:divBdr>
                    <w:top w:val="none" w:sz="0" w:space="0" w:color="auto"/>
                    <w:left w:val="none" w:sz="0" w:space="0" w:color="auto"/>
                    <w:bottom w:val="none" w:sz="0" w:space="0" w:color="auto"/>
                    <w:right w:val="none" w:sz="0" w:space="0" w:color="auto"/>
                  </w:divBdr>
                  <w:divsChild>
                    <w:div w:id="1061170279">
                      <w:marLeft w:val="0"/>
                      <w:marRight w:val="0"/>
                      <w:marTop w:val="0"/>
                      <w:marBottom w:val="0"/>
                      <w:divBdr>
                        <w:top w:val="none" w:sz="0" w:space="0" w:color="auto"/>
                        <w:left w:val="none" w:sz="0" w:space="0" w:color="auto"/>
                        <w:bottom w:val="none" w:sz="0" w:space="0" w:color="auto"/>
                        <w:right w:val="none" w:sz="0" w:space="0" w:color="auto"/>
                      </w:divBdr>
                    </w:div>
                  </w:divsChild>
                </w:div>
                <w:div w:id="2143844703">
                  <w:marLeft w:val="0"/>
                  <w:marRight w:val="0"/>
                  <w:marTop w:val="0"/>
                  <w:marBottom w:val="0"/>
                  <w:divBdr>
                    <w:top w:val="none" w:sz="0" w:space="0" w:color="auto"/>
                    <w:left w:val="none" w:sz="0" w:space="0" w:color="auto"/>
                    <w:bottom w:val="none" w:sz="0" w:space="0" w:color="auto"/>
                    <w:right w:val="none" w:sz="0" w:space="0" w:color="auto"/>
                  </w:divBdr>
                  <w:divsChild>
                    <w:div w:id="14108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3447">
      <w:bodyDiv w:val="1"/>
      <w:marLeft w:val="0"/>
      <w:marRight w:val="0"/>
      <w:marTop w:val="0"/>
      <w:marBottom w:val="0"/>
      <w:divBdr>
        <w:top w:val="none" w:sz="0" w:space="0" w:color="auto"/>
        <w:left w:val="none" w:sz="0" w:space="0" w:color="auto"/>
        <w:bottom w:val="none" w:sz="0" w:space="0" w:color="auto"/>
        <w:right w:val="none" w:sz="0" w:space="0" w:color="auto"/>
      </w:divBdr>
      <w:divsChild>
        <w:div w:id="704328443">
          <w:marLeft w:val="0"/>
          <w:marRight w:val="0"/>
          <w:marTop w:val="0"/>
          <w:marBottom w:val="0"/>
          <w:divBdr>
            <w:top w:val="none" w:sz="0" w:space="0" w:color="auto"/>
            <w:left w:val="none" w:sz="0" w:space="0" w:color="auto"/>
            <w:bottom w:val="none" w:sz="0" w:space="0" w:color="auto"/>
            <w:right w:val="none" w:sz="0" w:space="0" w:color="auto"/>
          </w:divBdr>
          <w:divsChild>
            <w:div w:id="1302033994">
              <w:marLeft w:val="-75"/>
              <w:marRight w:val="0"/>
              <w:marTop w:val="30"/>
              <w:marBottom w:val="30"/>
              <w:divBdr>
                <w:top w:val="none" w:sz="0" w:space="0" w:color="auto"/>
                <w:left w:val="none" w:sz="0" w:space="0" w:color="auto"/>
                <w:bottom w:val="none" w:sz="0" w:space="0" w:color="auto"/>
                <w:right w:val="none" w:sz="0" w:space="0" w:color="auto"/>
              </w:divBdr>
              <w:divsChild>
                <w:div w:id="15544788">
                  <w:marLeft w:val="0"/>
                  <w:marRight w:val="0"/>
                  <w:marTop w:val="0"/>
                  <w:marBottom w:val="0"/>
                  <w:divBdr>
                    <w:top w:val="none" w:sz="0" w:space="0" w:color="auto"/>
                    <w:left w:val="none" w:sz="0" w:space="0" w:color="auto"/>
                    <w:bottom w:val="none" w:sz="0" w:space="0" w:color="auto"/>
                    <w:right w:val="none" w:sz="0" w:space="0" w:color="auto"/>
                  </w:divBdr>
                  <w:divsChild>
                    <w:div w:id="1555582081">
                      <w:marLeft w:val="0"/>
                      <w:marRight w:val="0"/>
                      <w:marTop w:val="0"/>
                      <w:marBottom w:val="0"/>
                      <w:divBdr>
                        <w:top w:val="none" w:sz="0" w:space="0" w:color="auto"/>
                        <w:left w:val="none" w:sz="0" w:space="0" w:color="auto"/>
                        <w:bottom w:val="none" w:sz="0" w:space="0" w:color="auto"/>
                        <w:right w:val="none" w:sz="0" w:space="0" w:color="auto"/>
                      </w:divBdr>
                    </w:div>
                  </w:divsChild>
                </w:div>
                <w:div w:id="39480804">
                  <w:marLeft w:val="0"/>
                  <w:marRight w:val="0"/>
                  <w:marTop w:val="0"/>
                  <w:marBottom w:val="0"/>
                  <w:divBdr>
                    <w:top w:val="none" w:sz="0" w:space="0" w:color="auto"/>
                    <w:left w:val="none" w:sz="0" w:space="0" w:color="auto"/>
                    <w:bottom w:val="none" w:sz="0" w:space="0" w:color="auto"/>
                    <w:right w:val="none" w:sz="0" w:space="0" w:color="auto"/>
                  </w:divBdr>
                  <w:divsChild>
                    <w:div w:id="998774399">
                      <w:marLeft w:val="0"/>
                      <w:marRight w:val="0"/>
                      <w:marTop w:val="0"/>
                      <w:marBottom w:val="0"/>
                      <w:divBdr>
                        <w:top w:val="none" w:sz="0" w:space="0" w:color="auto"/>
                        <w:left w:val="none" w:sz="0" w:space="0" w:color="auto"/>
                        <w:bottom w:val="none" w:sz="0" w:space="0" w:color="auto"/>
                        <w:right w:val="none" w:sz="0" w:space="0" w:color="auto"/>
                      </w:divBdr>
                    </w:div>
                  </w:divsChild>
                </w:div>
                <w:div w:id="103155825">
                  <w:marLeft w:val="0"/>
                  <w:marRight w:val="0"/>
                  <w:marTop w:val="0"/>
                  <w:marBottom w:val="0"/>
                  <w:divBdr>
                    <w:top w:val="none" w:sz="0" w:space="0" w:color="auto"/>
                    <w:left w:val="none" w:sz="0" w:space="0" w:color="auto"/>
                    <w:bottom w:val="none" w:sz="0" w:space="0" w:color="auto"/>
                    <w:right w:val="none" w:sz="0" w:space="0" w:color="auto"/>
                  </w:divBdr>
                  <w:divsChild>
                    <w:div w:id="538130589">
                      <w:marLeft w:val="0"/>
                      <w:marRight w:val="0"/>
                      <w:marTop w:val="0"/>
                      <w:marBottom w:val="0"/>
                      <w:divBdr>
                        <w:top w:val="none" w:sz="0" w:space="0" w:color="auto"/>
                        <w:left w:val="none" w:sz="0" w:space="0" w:color="auto"/>
                        <w:bottom w:val="none" w:sz="0" w:space="0" w:color="auto"/>
                        <w:right w:val="none" w:sz="0" w:space="0" w:color="auto"/>
                      </w:divBdr>
                    </w:div>
                  </w:divsChild>
                </w:div>
                <w:div w:id="170224364">
                  <w:marLeft w:val="0"/>
                  <w:marRight w:val="0"/>
                  <w:marTop w:val="0"/>
                  <w:marBottom w:val="0"/>
                  <w:divBdr>
                    <w:top w:val="none" w:sz="0" w:space="0" w:color="auto"/>
                    <w:left w:val="none" w:sz="0" w:space="0" w:color="auto"/>
                    <w:bottom w:val="none" w:sz="0" w:space="0" w:color="auto"/>
                    <w:right w:val="none" w:sz="0" w:space="0" w:color="auto"/>
                  </w:divBdr>
                  <w:divsChild>
                    <w:div w:id="216820010">
                      <w:marLeft w:val="0"/>
                      <w:marRight w:val="0"/>
                      <w:marTop w:val="0"/>
                      <w:marBottom w:val="0"/>
                      <w:divBdr>
                        <w:top w:val="none" w:sz="0" w:space="0" w:color="auto"/>
                        <w:left w:val="none" w:sz="0" w:space="0" w:color="auto"/>
                        <w:bottom w:val="none" w:sz="0" w:space="0" w:color="auto"/>
                        <w:right w:val="none" w:sz="0" w:space="0" w:color="auto"/>
                      </w:divBdr>
                    </w:div>
                  </w:divsChild>
                </w:div>
                <w:div w:id="231307675">
                  <w:marLeft w:val="0"/>
                  <w:marRight w:val="0"/>
                  <w:marTop w:val="0"/>
                  <w:marBottom w:val="0"/>
                  <w:divBdr>
                    <w:top w:val="none" w:sz="0" w:space="0" w:color="auto"/>
                    <w:left w:val="none" w:sz="0" w:space="0" w:color="auto"/>
                    <w:bottom w:val="none" w:sz="0" w:space="0" w:color="auto"/>
                    <w:right w:val="none" w:sz="0" w:space="0" w:color="auto"/>
                  </w:divBdr>
                  <w:divsChild>
                    <w:div w:id="1246766870">
                      <w:marLeft w:val="0"/>
                      <w:marRight w:val="0"/>
                      <w:marTop w:val="0"/>
                      <w:marBottom w:val="0"/>
                      <w:divBdr>
                        <w:top w:val="none" w:sz="0" w:space="0" w:color="auto"/>
                        <w:left w:val="none" w:sz="0" w:space="0" w:color="auto"/>
                        <w:bottom w:val="none" w:sz="0" w:space="0" w:color="auto"/>
                        <w:right w:val="none" w:sz="0" w:space="0" w:color="auto"/>
                      </w:divBdr>
                    </w:div>
                  </w:divsChild>
                </w:div>
                <w:div w:id="326522663">
                  <w:marLeft w:val="0"/>
                  <w:marRight w:val="0"/>
                  <w:marTop w:val="0"/>
                  <w:marBottom w:val="0"/>
                  <w:divBdr>
                    <w:top w:val="none" w:sz="0" w:space="0" w:color="auto"/>
                    <w:left w:val="none" w:sz="0" w:space="0" w:color="auto"/>
                    <w:bottom w:val="none" w:sz="0" w:space="0" w:color="auto"/>
                    <w:right w:val="none" w:sz="0" w:space="0" w:color="auto"/>
                  </w:divBdr>
                  <w:divsChild>
                    <w:div w:id="161242276">
                      <w:marLeft w:val="0"/>
                      <w:marRight w:val="0"/>
                      <w:marTop w:val="0"/>
                      <w:marBottom w:val="0"/>
                      <w:divBdr>
                        <w:top w:val="none" w:sz="0" w:space="0" w:color="auto"/>
                        <w:left w:val="none" w:sz="0" w:space="0" w:color="auto"/>
                        <w:bottom w:val="none" w:sz="0" w:space="0" w:color="auto"/>
                        <w:right w:val="none" w:sz="0" w:space="0" w:color="auto"/>
                      </w:divBdr>
                    </w:div>
                  </w:divsChild>
                </w:div>
                <w:div w:id="336084315">
                  <w:marLeft w:val="0"/>
                  <w:marRight w:val="0"/>
                  <w:marTop w:val="0"/>
                  <w:marBottom w:val="0"/>
                  <w:divBdr>
                    <w:top w:val="none" w:sz="0" w:space="0" w:color="auto"/>
                    <w:left w:val="none" w:sz="0" w:space="0" w:color="auto"/>
                    <w:bottom w:val="none" w:sz="0" w:space="0" w:color="auto"/>
                    <w:right w:val="none" w:sz="0" w:space="0" w:color="auto"/>
                  </w:divBdr>
                  <w:divsChild>
                    <w:div w:id="1650862357">
                      <w:marLeft w:val="0"/>
                      <w:marRight w:val="0"/>
                      <w:marTop w:val="0"/>
                      <w:marBottom w:val="0"/>
                      <w:divBdr>
                        <w:top w:val="none" w:sz="0" w:space="0" w:color="auto"/>
                        <w:left w:val="none" w:sz="0" w:space="0" w:color="auto"/>
                        <w:bottom w:val="none" w:sz="0" w:space="0" w:color="auto"/>
                        <w:right w:val="none" w:sz="0" w:space="0" w:color="auto"/>
                      </w:divBdr>
                    </w:div>
                  </w:divsChild>
                </w:div>
                <w:div w:id="385492169">
                  <w:marLeft w:val="0"/>
                  <w:marRight w:val="0"/>
                  <w:marTop w:val="0"/>
                  <w:marBottom w:val="0"/>
                  <w:divBdr>
                    <w:top w:val="none" w:sz="0" w:space="0" w:color="auto"/>
                    <w:left w:val="none" w:sz="0" w:space="0" w:color="auto"/>
                    <w:bottom w:val="none" w:sz="0" w:space="0" w:color="auto"/>
                    <w:right w:val="none" w:sz="0" w:space="0" w:color="auto"/>
                  </w:divBdr>
                  <w:divsChild>
                    <w:div w:id="2079667271">
                      <w:marLeft w:val="0"/>
                      <w:marRight w:val="0"/>
                      <w:marTop w:val="0"/>
                      <w:marBottom w:val="0"/>
                      <w:divBdr>
                        <w:top w:val="none" w:sz="0" w:space="0" w:color="auto"/>
                        <w:left w:val="none" w:sz="0" w:space="0" w:color="auto"/>
                        <w:bottom w:val="none" w:sz="0" w:space="0" w:color="auto"/>
                        <w:right w:val="none" w:sz="0" w:space="0" w:color="auto"/>
                      </w:divBdr>
                    </w:div>
                  </w:divsChild>
                </w:div>
                <w:div w:id="438647569">
                  <w:marLeft w:val="0"/>
                  <w:marRight w:val="0"/>
                  <w:marTop w:val="0"/>
                  <w:marBottom w:val="0"/>
                  <w:divBdr>
                    <w:top w:val="none" w:sz="0" w:space="0" w:color="auto"/>
                    <w:left w:val="none" w:sz="0" w:space="0" w:color="auto"/>
                    <w:bottom w:val="none" w:sz="0" w:space="0" w:color="auto"/>
                    <w:right w:val="none" w:sz="0" w:space="0" w:color="auto"/>
                  </w:divBdr>
                  <w:divsChild>
                    <w:div w:id="717704658">
                      <w:marLeft w:val="0"/>
                      <w:marRight w:val="0"/>
                      <w:marTop w:val="0"/>
                      <w:marBottom w:val="0"/>
                      <w:divBdr>
                        <w:top w:val="none" w:sz="0" w:space="0" w:color="auto"/>
                        <w:left w:val="none" w:sz="0" w:space="0" w:color="auto"/>
                        <w:bottom w:val="none" w:sz="0" w:space="0" w:color="auto"/>
                        <w:right w:val="none" w:sz="0" w:space="0" w:color="auto"/>
                      </w:divBdr>
                    </w:div>
                  </w:divsChild>
                </w:div>
                <w:div w:id="484398576">
                  <w:marLeft w:val="0"/>
                  <w:marRight w:val="0"/>
                  <w:marTop w:val="0"/>
                  <w:marBottom w:val="0"/>
                  <w:divBdr>
                    <w:top w:val="none" w:sz="0" w:space="0" w:color="auto"/>
                    <w:left w:val="none" w:sz="0" w:space="0" w:color="auto"/>
                    <w:bottom w:val="none" w:sz="0" w:space="0" w:color="auto"/>
                    <w:right w:val="none" w:sz="0" w:space="0" w:color="auto"/>
                  </w:divBdr>
                  <w:divsChild>
                    <w:div w:id="1753816647">
                      <w:marLeft w:val="0"/>
                      <w:marRight w:val="0"/>
                      <w:marTop w:val="0"/>
                      <w:marBottom w:val="0"/>
                      <w:divBdr>
                        <w:top w:val="none" w:sz="0" w:space="0" w:color="auto"/>
                        <w:left w:val="none" w:sz="0" w:space="0" w:color="auto"/>
                        <w:bottom w:val="none" w:sz="0" w:space="0" w:color="auto"/>
                        <w:right w:val="none" w:sz="0" w:space="0" w:color="auto"/>
                      </w:divBdr>
                    </w:div>
                  </w:divsChild>
                </w:div>
                <w:div w:id="492062291">
                  <w:marLeft w:val="0"/>
                  <w:marRight w:val="0"/>
                  <w:marTop w:val="0"/>
                  <w:marBottom w:val="0"/>
                  <w:divBdr>
                    <w:top w:val="none" w:sz="0" w:space="0" w:color="auto"/>
                    <w:left w:val="none" w:sz="0" w:space="0" w:color="auto"/>
                    <w:bottom w:val="none" w:sz="0" w:space="0" w:color="auto"/>
                    <w:right w:val="none" w:sz="0" w:space="0" w:color="auto"/>
                  </w:divBdr>
                  <w:divsChild>
                    <w:div w:id="327247800">
                      <w:marLeft w:val="0"/>
                      <w:marRight w:val="0"/>
                      <w:marTop w:val="0"/>
                      <w:marBottom w:val="0"/>
                      <w:divBdr>
                        <w:top w:val="none" w:sz="0" w:space="0" w:color="auto"/>
                        <w:left w:val="none" w:sz="0" w:space="0" w:color="auto"/>
                        <w:bottom w:val="none" w:sz="0" w:space="0" w:color="auto"/>
                        <w:right w:val="none" w:sz="0" w:space="0" w:color="auto"/>
                      </w:divBdr>
                    </w:div>
                  </w:divsChild>
                </w:div>
                <w:div w:id="507209127">
                  <w:marLeft w:val="0"/>
                  <w:marRight w:val="0"/>
                  <w:marTop w:val="0"/>
                  <w:marBottom w:val="0"/>
                  <w:divBdr>
                    <w:top w:val="none" w:sz="0" w:space="0" w:color="auto"/>
                    <w:left w:val="none" w:sz="0" w:space="0" w:color="auto"/>
                    <w:bottom w:val="none" w:sz="0" w:space="0" w:color="auto"/>
                    <w:right w:val="none" w:sz="0" w:space="0" w:color="auto"/>
                  </w:divBdr>
                  <w:divsChild>
                    <w:div w:id="1162895824">
                      <w:marLeft w:val="0"/>
                      <w:marRight w:val="0"/>
                      <w:marTop w:val="0"/>
                      <w:marBottom w:val="0"/>
                      <w:divBdr>
                        <w:top w:val="none" w:sz="0" w:space="0" w:color="auto"/>
                        <w:left w:val="none" w:sz="0" w:space="0" w:color="auto"/>
                        <w:bottom w:val="none" w:sz="0" w:space="0" w:color="auto"/>
                        <w:right w:val="none" w:sz="0" w:space="0" w:color="auto"/>
                      </w:divBdr>
                    </w:div>
                  </w:divsChild>
                </w:div>
                <w:div w:id="509175179">
                  <w:marLeft w:val="0"/>
                  <w:marRight w:val="0"/>
                  <w:marTop w:val="0"/>
                  <w:marBottom w:val="0"/>
                  <w:divBdr>
                    <w:top w:val="none" w:sz="0" w:space="0" w:color="auto"/>
                    <w:left w:val="none" w:sz="0" w:space="0" w:color="auto"/>
                    <w:bottom w:val="none" w:sz="0" w:space="0" w:color="auto"/>
                    <w:right w:val="none" w:sz="0" w:space="0" w:color="auto"/>
                  </w:divBdr>
                  <w:divsChild>
                    <w:div w:id="1834177062">
                      <w:marLeft w:val="0"/>
                      <w:marRight w:val="0"/>
                      <w:marTop w:val="0"/>
                      <w:marBottom w:val="0"/>
                      <w:divBdr>
                        <w:top w:val="none" w:sz="0" w:space="0" w:color="auto"/>
                        <w:left w:val="none" w:sz="0" w:space="0" w:color="auto"/>
                        <w:bottom w:val="none" w:sz="0" w:space="0" w:color="auto"/>
                        <w:right w:val="none" w:sz="0" w:space="0" w:color="auto"/>
                      </w:divBdr>
                    </w:div>
                  </w:divsChild>
                </w:div>
                <w:div w:id="536042869">
                  <w:marLeft w:val="0"/>
                  <w:marRight w:val="0"/>
                  <w:marTop w:val="0"/>
                  <w:marBottom w:val="0"/>
                  <w:divBdr>
                    <w:top w:val="none" w:sz="0" w:space="0" w:color="auto"/>
                    <w:left w:val="none" w:sz="0" w:space="0" w:color="auto"/>
                    <w:bottom w:val="none" w:sz="0" w:space="0" w:color="auto"/>
                    <w:right w:val="none" w:sz="0" w:space="0" w:color="auto"/>
                  </w:divBdr>
                  <w:divsChild>
                    <w:div w:id="1520898994">
                      <w:marLeft w:val="0"/>
                      <w:marRight w:val="0"/>
                      <w:marTop w:val="0"/>
                      <w:marBottom w:val="0"/>
                      <w:divBdr>
                        <w:top w:val="none" w:sz="0" w:space="0" w:color="auto"/>
                        <w:left w:val="none" w:sz="0" w:space="0" w:color="auto"/>
                        <w:bottom w:val="none" w:sz="0" w:space="0" w:color="auto"/>
                        <w:right w:val="none" w:sz="0" w:space="0" w:color="auto"/>
                      </w:divBdr>
                    </w:div>
                  </w:divsChild>
                </w:div>
                <w:div w:id="597719439">
                  <w:marLeft w:val="0"/>
                  <w:marRight w:val="0"/>
                  <w:marTop w:val="0"/>
                  <w:marBottom w:val="0"/>
                  <w:divBdr>
                    <w:top w:val="none" w:sz="0" w:space="0" w:color="auto"/>
                    <w:left w:val="none" w:sz="0" w:space="0" w:color="auto"/>
                    <w:bottom w:val="none" w:sz="0" w:space="0" w:color="auto"/>
                    <w:right w:val="none" w:sz="0" w:space="0" w:color="auto"/>
                  </w:divBdr>
                  <w:divsChild>
                    <w:div w:id="432556819">
                      <w:marLeft w:val="0"/>
                      <w:marRight w:val="0"/>
                      <w:marTop w:val="0"/>
                      <w:marBottom w:val="0"/>
                      <w:divBdr>
                        <w:top w:val="none" w:sz="0" w:space="0" w:color="auto"/>
                        <w:left w:val="none" w:sz="0" w:space="0" w:color="auto"/>
                        <w:bottom w:val="none" w:sz="0" w:space="0" w:color="auto"/>
                        <w:right w:val="none" w:sz="0" w:space="0" w:color="auto"/>
                      </w:divBdr>
                    </w:div>
                  </w:divsChild>
                </w:div>
                <w:div w:id="622346558">
                  <w:marLeft w:val="0"/>
                  <w:marRight w:val="0"/>
                  <w:marTop w:val="0"/>
                  <w:marBottom w:val="0"/>
                  <w:divBdr>
                    <w:top w:val="none" w:sz="0" w:space="0" w:color="auto"/>
                    <w:left w:val="none" w:sz="0" w:space="0" w:color="auto"/>
                    <w:bottom w:val="none" w:sz="0" w:space="0" w:color="auto"/>
                    <w:right w:val="none" w:sz="0" w:space="0" w:color="auto"/>
                  </w:divBdr>
                  <w:divsChild>
                    <w:div w:id="141193732">
                      <w:marLeft w:val="0"/>
                      <w:marRight w:val="0"/>
                      <w:marTop w:val="0"/>
                      <w:marBottom w:val="0"/>
                      <w:divBdr>
                        <w:top w:val="none" w:sz="0" w:space="0" w:color="auto"/>
                        <w:left w:val="none" w:sz="0" w:space="0" w:color="auto"/>
                        <w:bottom w:val="none" w:sz="0" w:space="0" w:color="auto"/>
                        <w:right w:val="none" w:sz="0" w:space="0" w:color="auto"/>
                      </w:divBdr>
                    </w:div>
                  </w:divsChild>
                </w:div>
                <w:div w:id="628895969">
                  <w:marLeft w:val="0"/>
                  <w:marRight w:val="0"/>
                  <w:marTop w:val="0"/>
                  <w:marBottom w:val="0"/>
                  <w:divBdr>
                    <w:top w:val="none" w:sz="0" w:space="0" w:color="auto"/>
                    <w:left w:val="none" w:sz="0" w:space="0" w:color="auto"/>
                    <w:bottom w:val="none" w:sz="0" w:space="0" w:color="auto"/>
                    <w:right w:val="none" w:sz="0" w:space="0" w:color="auto"/>
                  </w:divBdr>
                  <w:divsChild>
                    <w:div w:id="833842058">
                      <w:marLeft w:val="0"/>
                      <w:marRight w:val="0"/>
                      <w:marTop w:val="0"/>
                      <w:marBottom w:val="0"/>
                      <w:divBdr>
                        <w:top w:val="none" w:sz="0" w:space="0" w:color="auto"/>
                        <w:left w:val="none" w:sz="0" w:space="0" w:color="auto"/>
                        <w:bottom w:val="none" w:sz="0" w:space="0" w:color="auto"/>
                        <w:right w:val="none" w:sz="0" w:space="0" w:color="auto"/>
                      </w:divBdr>
                    </w:div>
                  </w:divsChild>
                </w:div>
                <w:div w:id="667636708">
                  <w:marLeft w:val="0"/>
                  <w:marRight w:val="0"/>
                  <w:marTop w:val="0"/>
                  <w:marBottom w:val="0"/>
                  <w:divBdr>
                    <w:top w:val="none" w:sz="0" w:space="0" w:color="auto"/>
                    <w:left w:val="none" w:sz="0" w:space="0" w:color="auto"/>
                    <w:bottom w:val="none" w:sz="0" w:space="0" w:color="auto"/>
                    <w:right w:val="none" w:sz="0" w:space="0" w:color="auto"/>
                  </w:divBdr>
                  <w:divsChild>
                    <w:div w:id="1681084529">
                      <w:marLeft w:val="0"/>
                      <w:marRight w:val="0"/>
                      <w:marTop w:val="0"/>
                      <w:marBottom w:val="0"/>
                      <w:divBdr>
                        <w:top w:val="none" w:sz="0" w:space="0" w:color="auto"/>
                        <w:left w:val="none" w:sz="0" w:space="0" w:color="auto"/>
                        <w:bottom w:val="none" w:sz="0" w:space="0" w:color="auto"/>
                        <w:right w:val="none" w:sz="0" w:space="0" w:color="auto"/>
                      </w:divBdr>
                    </w:div>
                  </w:divsChild>
                </w:div>
                <w:div w:id="673146517">
                  <w:marLeft w:val="0"/>
                  <w:marRight w:val="0"/>
                  <w:marTop w:val="0"/>
                  <w:marBottom w:val="0"/>
                  <w:divBdr>
                    <w:top w:val="none" w:sz="0" w:space="0" w:color="auto"/>
                    <w:left w:val="none" w:sz="0" w:space="0" w:color="auto"/>
                    <w:bottom w:val="none" w:sz="0" w:space="0" w:color="auto"/>
                    <w:right w:val="none" w:sz="0" w:space="0" w:color="auto"/>
                  </w:divBdr>
                  <w:divsChild>
                    <w:div w:id="1008410557">
                      <w:marLeft w:val="0"/>
                      <w:marRight w:val="0"/>
                      <w:marTop w:val="0"/>
                      <w:marBottom w:val="0"/>
                      <w:divBdr>
                        <w:top w:val="none" w:sz="0" w:space="0" w:color="auto"/>
                        <w:left w:val="none" w:sz="0" w:space="0" w:color="auto"/>
                        <w:bottom w:val="none" w:sz="0" w:space="0" w:color="auto"/>
                        <w:right w:val="none" w:sz="0" w:space="0" w:color="auto"/>
                      </w:divBdr>
                    </w:div>
                  </w:divsChild>
                </w:div>
                <w:div w:id="677736259">
                  <w:marLeft w:val="0"/>
                  <w:marRight w:val="0"/>
                  <w:marTop w:val="0"/>
                  <w:marBottom w:val="0"/>
                  <w:divBdr>
                    <w:top w:val="none" w:sz="0" w:space="0" w:color="auto"/>
                    <w:left w:val="none" w:sz="0" w:space="0" w:color="auto"/>
                    <w:bottom w:val="none" w:sz="0" w:space="0" w:color="auto"/>
                    <w:right w:val="none" w:sz="0" w:space="0" w:color="auto"/>
                  </w:divBdr>
                  <w:divsChild>
                    <w:div w:id="991953661">
                      <w:marLeft w:val="0"/>
                      <w:marRight w:val="0"/>
                      <w:marTop w:val="0"/>
                      <w:marBottom w:val="0"/>
                      <w:divBdr>
                        <w:top w:val="none" w:sz="0" w:space="0" w:color="auto"/>
                        <w:left w:val="none" w:sz="0" w:space="0" w:color="auto"/>
                        <w:bottom w:val="none" w:sz="0" w:space="0" w:color="auto"/>
                        <w:right w:val="none" w:sz="0" w:space="0" w:color="auto"/>
                      </w:divBdr>
                    </w:div>
                  </w:divsChild>
                </w:div>
                <w:div w:id="687099023">
                  <w:marLeft w:val="0"/>
                  <w:marRight w:val="0"/>
                  <w:marTop w:val="0"/>
                  <w:marBottom w:val="0"/>
                  <w:divBdr>
                    <w:top w:val="none" w:sz="0" w:space="0" w:color="auto"/>
                    <w:left w:val="none" w:sz="0" w:space="0" w:color="auto"/>
                    <w:bottom w:val="none" w:sz="0" w:space="0" w:color="auto"/>
                    <w:right w:val="none" w:sz="0" w:space="0" w:color="auto"/>
                  </w:divBdr>
                  <w:divsChild>
                    <w:div w:id="826291268">
                      <w:marLeft w:val="0"/>
                      <w:marRight w:val="0"/>
                      <w:marTop w:val="0"/>
                      <w:marBottom w:val="0"/>
                      <w:divBdr>
                        <w:top w:val="none" w:sz="0" w:space="0" w:color="auto"/>
                        <w:left w:val="none" w:sz="0" w:space="0" w:color="auto"/>
                        <w:bottom w:val="none" w:sz="0" w:space="0" w:color="auto"/>
                        <w:right w:val="none" w:sz="0" w:space="0" w:color="auto"/>
                      </w:divBdr>
                    </w:div>
                  </w:divsChild>
                </w:div>
                <w:div w:id="706105128">
                  <w:marLeft w:val="0"/>
                  <w:marRight w:val="0"/>
                  <w:marTop w:val="0"/>
                  <w:marBottom w:val="0"/>
                  <w:divBdr>
                    <w:top w:val="none" w:sz="0" w:space="0" w:color="auto"/>
                    <w:left w:val="none" w:sz="0" w:space="0" w:color="auto"/>
                    <w:bottom w:val="none" w:sz="0" w:space="0" w:color="auto"/>
                    <w:right w:val="none" w:sz="0" w:space="0" w:color="auto"/>
                  </w:divBdr>
                  <w:divsChild>
                    <w:div w:id="259682339">
                      <w:marLeft w:val="0"/>
                      <w:marRight w:val="0"/>
                      <w:marTop w:val="0"/>
                      <w:marBottom w:val="0"/>
                      <w:divBdr>
                        <w:top w:val="none" w:sz="0" w:space="0" w:color="auto"/>
                        <w:left w:val="none" w:sz="0" w:space="0" w:color="auto"/>
                        <w:bottom w:val="none" w:sz="0" w:space="0" w:color="auto"/>
                        <w:right w:val="none" w:sz="0" w:space="0" w:color="auto"/>
                      </w:divBdr>
                    </w:div>
                  </w:divsChild>
                </w:div>
                <w:div w:id="778182077">
                  <w:marLeft w:val="0"/>
                  <w:marRight w:val="0"/>
                  <w:marTop w:val="0"/>
                  <w:marBottom w:val="0"/>
                  <w:divBdr>
                    <w:top w:val="none" w:sz="0" w:space="0" w:color="auto"/>
                    <w:left w:val="none" w:sz="0" w:space="0" w:color="auto"/>
                    <w:bottom w:val="none" w:sz="0" w:space="0" w:color="auto"/>
                    <w:right w:val="none" w:sz="0" w:space="0" w:color="auto"/>
                  </w:divBdr>
                  <w:divsChild>
                    <w:div w:id="107823553">
                      <w:marLeft w:val="0"/>
                      <w:marRight w:val="0"/>
                      <w:marTop w:val="0"/>
                      <w:marBottom w:val="0"/>
                      <w:divBdr>
                        <w:top w:val="none" w:sz="0" w:space="0" w:color="auto"/>
                        <w:left w:val="none" w:sz="0" w:space="0" w:color="auto"/>
                        <w:bottom w:val="none" w:sz="0" w:space="0" w:color="auto"/>
                        <w:right w:val="none" w:sz="0" w:space="0" w:color="auto"/>
                      </w:divBdr>
                    </w:div>
                  </w:divsChild>
                </w:div>
                <w:div w:id="834611505">
                  <w:marLeft w:val="0"/>
                  <w:marRight w:val="0"/>
                  <w:marTop w:val="0"/>
                  <w:marBottom w:val="0"/>
                  <w:divBdr>
                    <w:top w:val="none" w:sz="0" w:space="0" w:color="auto"/>
                    <w:left w:val="none" w:sz="0" w:space="0" w:color="auto"/>
                    <w:bottom w:val="none" w:sz="0" w:space="0" w:color="auto"/>
                    <w:right w:val="none" w:sz="0" w:space="0" w:color="auto"/>
                  </w:divBdr>
                  <w:divsChild>
                    <w:div w:id="1263144192">
                      <w:marLeft w:val="0"/>
                      <w:marRight w:val="0"/>
                      <w:marTop w:val="0"/>
                      <w:marBottom w:val="0"/>
                      <w:divBdr>
                        <w:top w:val="none" w:sz="0" w:space="0" w:color="auto"/>
                        <w:left w:val="none" w:sz="0" w:space="0" w:color="auto"/>
                        <w:bottom w:val="none" w:sz="0" w:space="0" w:color="auto"/>
                        <w:right w:val="none" w:sz="0" w:space="0" w:color="auto"/>
                      </w:divBdr>
                    </w:div>
                  </w:divsChild>
                </w:div>
                <w:div w:id="900672127">
                  <w:marLeft w:val="0"/>
                  <w:marRight w:val="0"/>
                  <w:marTop w:val="0"/>
                  <w:marBottom w:val="0"/>
                  <w:divBdr>
                    <w:top w:val="none" w:sz="0" w:space="0" w:color="auto"/>
                    <w:left w:val="none" w:sz="0" w:space="0" w:color="auto"/>
                    <w:bottom w:val="none" w:sz="0" w:space="0" w:color="auto"/>
                    <w:right w:val="none" w:sz="0" w:space="0" w:color="auto"/>
                  </w:divBdr>
                  <w:divsChild>
                    <w:div w:id="97798891">
                      <w:marLeft w:val="0"/>
                      <w:marRight w:val="0"/>
                      <w:marTop w:val="0"/>
                      <w:marBottom w:val="0"/>
                      <w:divBdr>
                        <w:top w:val="none" w:sz="0" w:space="0" w:color="auto"/>
                        <w:left w:val="none" w:sz="0" w:space="0" w:color="auto"/>
                        <w:bottom w:val="none" w:sz="0" w:space="0" w:color="auto"/>
                        <w:right w:val="none" w:sz="0" w:space="0" w:color="auto"/>
                      </w:divBdr>
                    </w:div>
                  </w:divsChild>
                </w:div>
                <w:div w:id="922647380">
                  <w:marLeft w:val="0"/>
                  <w:marRight w:val="0"/>
                  <w:marTop w:val="0"/>
                  <w:marBottom w:val="0"/>
                  <w:divBdr>
                    <w:top w:val="none" w:sz="0" w:space="0" w:color="auto"/>
                    <w:left w:val="none" w:sz="0" w:space="0" w:color="auto"/>
                    <w:bottom w:val="none" w:sz="0" w:space="0" w:color="auto"/>
                    <w:right w:val="none" w:sz="0" w:space="0" w:color="auto"/>
                  </w:divBdr>
                  <w:divsChild>
                    <w:div w:id="2007973587">
                      <w:marLeft w:val="0"/>
                      <w:marRight w:val="0"/>
                      <w:marTop w:val="0"/>
                      <w:marBottom w:val="0"/>
                      <w:divBdr>
                        <w:top w:val="none" w:sz="0" w:space="0" w:color="auto"/>
                        <w:left w:val="none" w:sz="0" w:space="0" w:color="auto"/>
                        <w:bottom w:val="none" w:sz="0" w:space="0" w:color="auto"/>
                        <w:right w:val="none" w:sz="0" w:space="0" w:color="auto"/>
                      </w:divBdr>
                    </w:div>
                  </w:divsChild>
                </w:div>
                <w:div w:id="942687899">
                  <w:marLeft w:val="0"/>
                  <w:marRight w:val="0"/>
                  <w:marTop w:val="0"/>
                  <w:marBottom w:val="0"/>
                  <w:divBdr>
                    <w:top w:val="none" w:sz="0" w:space="0" w:color="auto"/>
                    <w:left w:val="none" w:sz="0" w:space="0" w:color="auto"/>
                    <w:bottom w:val="none" w:sz="0" w:space="0" w:color="auto"/>
                    <w:right w:val="none" w:sz="0" w:space="0" w:color="auto"/>
                  </w:divBdr>
                  <w:divsChild>
                    <w:div w:id="1051342566">
                      <w:marLeft w:val="0"/>
                      <w:marRight w:val="0"/>
                      <w:marTop w:val="0"/>
                      <w:marBottom w:val="0"/>
                      <w:divBdr>
                        <w:top w:val="none" w:sz="0" w:space="0" w:color="auto"/>
                        <w:left w:val="none" w:sz="0" w:space="0" w:color="auto"/>
                        <w:bottom w:val="none" w:sz="0" w:space="0" w:color="auto"/>
                        <w:right w:val="none" w:sz="0" w:space="0" w:color="auto"/>
                      </w:divBdr>
                    </w:div>
                  </w:divsChild>
                </w:div>
                <w:div w:id="997420487">
                  <w:marLeft w:val="0"/>
                  <w:marRight w:val="0"/>
                  <w:marTop w:val="0"/>
                  <w:marBottom w:val="0"/>
                  <w:divBdr>
                    <w:top w:val="none" w:sz="0" w:space="0" w:color="auto"/>
                    <w:left w:val="none" w:sz="0" w:space="0" w:color="auto"/>
                    <w:bottom w:val="none" w:sz="0" w:space="0" w:color="auto"/>
                    <w:right w:val="none" w:sz="0" w:space="0" w:color="auto"/>
                  </w:divBdr>
                  <w:divsChild>
                    <w:div w:id="1373917955">
                      <w:marLeft w:val="0"/>
                      <w:marRight w:val="0"/>
                      <w:marTop w:val="0"/>
                      <w:marBottom w:val="0"/>
                      <w:divBdr>
                        <w:top w:val="none" w:sz="0" w:space="0" w:color="auto"/>
                        <w:left w:val="none" w:sz="0" w:space="0" w:color="auto"/>
                        <w:bottom w:val="none" w:sz="0" w:space="0" w:color="auto"/>
                        <w:right w:val="none" w:sz="0" w:space="0" w:color="auto"/>
                      </w:divBdr>
                    </w:div>
                  </w:divsChild>
                </w:div>
                <w:div w:id="1031538542">
                  <w:marLeft w:val="0"/>
                  <w:marRight w:val="0"/>
                  <w:marTop w:val="0"/>
                  <w:marBottom w:val="0"/>
                  <w:divBdr>
                    <w:top w:val="none" w:sz="0" w:space="0" w:color="auto"/>
                    <w:left w:val="none" w:sz="0" w:space="0" w:color="auto"/>
                    <w:bottom w:val="none" w:sz="0" w:space="0" w:color="auto"/>
                    <w:right w:val="none" w:sz="0" w:space="0" w:color="auto"/>
                  </w:divBdr>
                  <w:divsChild>
                    <w:div w:id="538396418">
                      <w:marLeft w:val="0"/>
                      <w:marRight w:val="0"/>
                      <w:marTop w:val="0"/>
                      <w:marBottom w:val="0"/>
                      <w:divBdr>
                        <w:top w:val="none" w:sz="0" w:space="0" w:color="auto"/>
                        <w:left w:val="none" w:sz="0" w:space="0" w:color="auto"/>
                        <w:bottom w:val="none" w:sz="0" w:space="0" w:color="auto"/>
                        <w:right w:val="none" w:sz="0" w:space="0" w:color="auto"/>
                      </w:divBdr>
                    </w:div>
                  </w:divsChild>
                </w:div>
                <w:div w:id="1101100071">
                  <w:marLeft w:val="0"/>
                  <w:marRight w:val="0"/>
                  <w:marTop w:val="0"/>
                  <w:marBottom w:val="0"/>
                  <w:divBdr>
                    <w:top w:val="none" w:sz="0" w:space="0" w:color="auto"/>
                    <w:left w:val="none" w:sz="0" w:space="0" w:color="auto"/>
                    <w:bottom w:val="none" w:sz="0" w:space="0" w:color="auto"/>
                    <w:right w:val="none" w:sz="0" w:space="0" w:color="auto"/>
                  </w:divBdr>
                  <w:divsChild>
                    <w:div w:id="1594507894">
                      <w:marLeft w:val="0"/>
                      <w:marRight w:val="0"/>
                      <w:marTop w:val="0"/>
                      <w:marBottom w:val="0"/>
                      <w:divBdr>
                        <w:top w:val="none" w:sz="0" w:space="0" w:color="auto"/>
                        <w:left w:val="none" w:sz="0" w:space="0" w:color="auto"/>
                        <w:bottom w:val="none" w:sz="0" w:space="0" w:color="auto"/>
                        <w:right w:val="none" w:sz="0" w:space="0" w:color="auto"/>
                      </w:divBdr>
                    </w:div>
                  </w:divsChild>
                </w:div>
                <w:div w:id="1121607171">
                  <w:marLeft w:val="0"/>
                  <w:marRight w:val="0"/>
                  <w:marTop w:val="0"/>
                  <w:marBottom w:val="0"/>
                  <w:divBdr>
                    <w:top w:val="none" w:sz="0" w:space="0" w:color="auto"/>
                    <w:left w:val="none" w:sz="0" w:space="0" w:color="auto"/>
                    <w:bottom w:val="none" w:sz="0" w:space="0" w:color="auto"/>
                    <w:right w:val="none" w:sz="0" w:space="0" w:color="auto"/>
                  </w:divBdr>
                  <w:divsChild>
                    <w:div w:id="1552812828">
                      <w:marLeft w:val="0"/>
                      <w:marRight w:val="0"/>
                      <w:marTop w:val="0"/>
                      <w:marBottom w:val="0"/>
                      <w:divBdr>
                        <w:top w:val="none" w:sz="0" w:space="0" w:color="auto"/>
                        <w:left w:val="none" w:sz="0" w:space="0" w:color="auto"/>
                        <w:bottom w:val="none" w:sz="0" w:space="0" w:color="auto"/>
                        <w:right w:val="none" w:sz="0" w:space="0" w:color="auto"/>
                      </w:divBdr>
                    </w:div>
                  </w:divsChild>
                </w:div>
                <w:div w:id="1126436716">
                  <w:marLeft w:val="0"/>
                  <w:marRight w:val="0"/>
                  <w:marTop w:val="0"/>
                  <w:marBottom w:val="0"/>
                  <w:divBdr>
                    <w:top w:val="none" w:sz="0" w:space="0" w:color="auto"/>
                    <w:left w:val="none" w:sz="0" w:space="0" w:color="auto"/>
                    <w:bottom w:val="none" w:sz="0" w:space="0" w:color="auto"/>
                    <w:right w:val="none" w:sz="0" w:space="0" w:color="auto"/>
                  </w:divBdr>
                  <w:divsChild>
                    <w:div w:id="562065961">
                      <w:marLeft w:val="0"/>
                      <w:marRight w:val="0"/>
                      <w:marTop w:val="0"/>
                      <w:marBottom w:val="0"/>
                      <w:divBdr>
                        <w:top w:val="none" w:sz="0" w:space="0" w:color="auto"/>
                        <w:left w:val="none" w:sz="0" w:space="0" w:color="auto"/>
                        <w:bottom w:val="none" w:sz="0" w:space="0" w:color="auto"/>
                        <w:right w:val="none" w:sz="0" w:space="0" w:color="auto"/>
                      </w:divBdr>
                    </w:div>
                  </w:divsChild>
                </w:div>
                <w:div w:id="1138912696">
                  <w:marLeft w:val="0"/>
                  <w:marRight w:val="0"/>
                  <w:marTop w:val="0"/>
                  <w:marBottom w:val="0"/>
                  <w:divBdr>
                    <w:top w:val="none" w:sz="0" w:space="0" w:color="auto"/>
                    <w:left w:val="none" w:sz="0" w:space="0" w:color="auto"/>
                    <w:bottom w:val="none" w:sz="0" w:space="0" w:color="auto"/>
                    <w:right w:val="none" w:sz="0" w:space="0" w:color="auto"/>
                  </w:divBdr>
                  <w:divsChild>
                    <w:div w:id="1702247987">
                      <w:marLeft w:val="0"/>
                      <w:marRight w:val="0"/>
                      <w:marTop w:val="0"/>
                      <w:marBottom w:val="0"/>
                      <w:divBdr>
                        <w:top w:val="none" w:sz="0" w:space="0" w:color="auto"/>
                        <w:left w:val="none" w:sz="0" w:space="0" w:color="auto"/>
                        <w:bottom w:val="none" w:sz="0" w:space="0" w:color="auto"/>
                        <w:right w:val="none" w:sz="0" w:space="0" w:color="auto"/>
                      </w:divBdr>
                    </w:div>
                  </w:divsChild>
                </w:div>
                <w:div w:id="1209880134">
                  <w:marLeft w:val="0"/>
                  <w:marRight w:val="0"/>
                  <w:marTop w:val="0"/>
                  <w:marBottom w:val="0"/>
                  <w:divBdr>
                    <w:top w:val="none" w:sz="0" w:space="0" w:color="auto"/>
                    <w:left w:val="none" w:sz="0" w:space="0" w:color="auto"/>
                    <w:bottom w:val="none" w:sz="0" w:space="0" w:color="auto"/>
                    <w:right w:val="none" w:sz="0" w:space="0" w:color="auto"/>
                  </w:divBdr>
                  <w:divsChild>
                    <w:div w:id="1814256204">
                      <w:marLeft w:val="0"/>
                      <w:marRight w:val="0"/>
                      <w:marTop w:val="0"/>
                      <w:marBottom w:val="0"/>
                      <w:divBdr>
                        <w:top w:val="none" w:sz="0" w:space="0" w:color="auto"/>
                        <w:left w:val="none" w:sz="0" w:space="0" w:color="auto"/>
                        <w:bottom w:val="none" w:sz="0" w:space="0" w:color="auto"/>
                        <w:right w:val="none" w:sz="0" w:space="0" w:color="auto"/>
                      </w:divBdr>
                    </w:div>
                  </w:divsChild>
                </w:div>
                <w:div w:id="1238319882">
                  <w:marLeft w:val="0"/>
                  <w:marRight w:val="0"/>
                  <w:marTop w:val="0"/>
                  <w:marBottom w:val="0"/>
                  <w:divBdr>
                    <w:top w:val="none" w:sz="0" w:space="0" w:color="auto"/>
                    <w:left w:val="none" w:sz="0" w:space="0" w:color="auto"/>
                    <w:bottom w:val="none" w:sz="0" w:space="0" w:color="auto"/>
                    <w:right w:val="none" w:sz="0" w:space="0" w:color="auto"/>
                  </w:divBdr>
                  <w:divsChild>
                    <w:div w:id="1586302108">
                      <w:marLeft w:val="0"/>
                      <w:marRight w:val="0"/>
                      <w:marTop w:val="0"/>
                      <w:marBottom w:val="0"/>
                      <w:divBdr>
                        <w:top w:val="none" w:sz="0" w:space="0" w:color="auto"/>
                        <w:left w:val="none" w:sz="0" w:space="0" w:color="auto"/>
                        <w:bottom w:val="none" w:sz="0" w:space="0" w:color="auto"/>
                        <w:right w:val="none" w:sz="0" w:space="0" w:color="auto"/>
                      </w:divBdr>
                    </w:div>
                  </w:divsChild>
                </w:div>
                <w:div w:id="1285232804">
                  <w:marLeft w:val="0"/>
                  <w:marRight w:val="0"/>
                  <w:marTop w:val="0"/>
                  <w:marBottom w:val="0"/>
                  <w:divBdr>
                    <w:top w:val="none" w:sz="0" w:space="0" w:color="auto"/>
                    <w:left w:val="none" w:sz="0" w:space="0" w:color="auto"/>
                    <w:bottom w:val="none" w:sz="0" w:space="0" w:color="auto"/>
                    <w:right w:val="none" w:sz="0" w:space="0" w:color="auto"/>
                  </w:divBdr>
                  <w:divsChild>
                    <w:div w:id="1780181175">
                      <w:marLeft w:val="0"/>
                      <w:marRight w:val="0"/>
                      <w:marTop w:val="0"/>
                      <w:marBottom w:val="0"/>
                      <w:divBdr>
                        <w:top w:val="none" w:sz="0" w:space="0" w:color="auto"/>
                        <w:left w:val="none" w:sz="0" w:space="0" w:color="auto"/>
                        <w:bottom w:val="none" w:sz="0" w:space="0" w:color="auto"/>
                        <w:right w:val="none" w:sz="0" w:space="0" w:color="auto"/>
                      </w:divBdr>
                    </w:div>
                  </w:divsChild>
                </w:div>
                <w:div w:id="1285427915">
                  <w:marLeft w:val="0"/>
                  <w:marRight w:val="0"/>
                  <w:marTop w:val="0"/>
                  <w:marBottom w:val="0"/>
                  <w:divBdr>
                    <w:top w:val="none" w:sz="0" w:space="0" w:color="auto"/>
                    <w:left w:val="none" w:sz="0" w:space="0" w:color="auto"/>
                    <w:bottom w:val="none" w:sz="0" w:space="0" w:color="auto"/>
                    <w:right w:val="none" w:sz="0" w:space="0" w:color="auto"/>
                  </w:divBdr>
                  <w:divsChild>
                    <w:div w:id="311760552">
                      <w:marLeft w:val="0"/>
                      <w:marRight w:val="0"/>
                      <w:marTop w:val="0"/>
                      <w:marBottom w:val="0"/>
                      <w:divBdr>
                        <w:top w:val="none" w:sz="0" w:space="0" w:color="auto"/>
                        <w:left w:val="none" w:sz="0" w:space="0" w:color="auto"/>
                        <w:bottom w:val="none" w:sz="0" w:space="0" w:color="auto"/>
                        <w:right w:val="none" w:sz="0" w:space="0" w:color="auto"/>
                      </w:divBdr>
                    </w:div>
                  </w:divsChild>
                </w:div>
                <w:div w:id="1383476704">
                  <w:marLeft w:val="0"/>
                  <w:marRight w:val="0"/>
                  <w:marTop w:val="0"/>
                  <w:marBottom w:val="0"/>
                  <w:divBdr>
                    <w:top w:val="none" w:sz="0" w:space="0" w:color="auto"/>
                    <w:left w:val="none" w:sz="0" w:space="0" w:color="auto"/>
                    <w:bottom w:val="none" w:sz="0" w:space="0" w:color="auto"/>
                    <w:right w:val="none" w:sz="0" w:space="0" w:color="auto"/>
                  </w:divBdr>
                  <w:divsChild>
                    <w:div w:id="663360992">
                      <w:marLeft w:val="0"/>
                      <w:marRight w:val="0"/>
                      <w:marTop w:val="0"/>
                      <w:marBottom w:val="0"/>
                      <w:divBdr>
                        <w:top w:val="none" w:sz="0" w:space="0" w:color="auto"/>
                        <w:left w:val="none" w:sz="0" w:space="0" w:color="auto"/>
                        <w:bottom w:val="none" w:sz="0" w:space="0" w:color="auto"/>
                        <w:right w:val="none" w:sz="0" w:space="0" w:color="auto"/>
                      </w:divBdr>
                    </w:div>
                  </w:divsChild>
                </w:div>
                <w:div w:id="1412653222">
                  <w:marLeft w:val="0"/>
                  <w:marRight w:val="0"/>
                  <w:marTop w:val="0"/>
                  <w:marBottom w:val="0"/>
                  <w:divBdr>
                    <w:top w:val="none" w:sz="0" w:space="0" w:color="auto"/>
                    <w:left w:val="none" w:sz="0" w:space="0" w:color="auto"/>
                    <w:bottom w:val="none" w:sz="0" w:space="0" w:color="auto"/>
                    <w:right w:val="none" w:sz="0" w:space="0" w:color="auto"/>
                  </w:divBdr>
                  <w:divsChild>
                    <w:div w:id="231351861">
                      <w:marLeft w:val="0"/>
                      <w:marRight w:val="0"/>
                      <w:marTop w:val="0"/>
                      <w:marBottom w:val="0"/>
                      <w:divBdr>
                        <w:top w:val="none" w:sz="0" w:space="0" w:color="auto"/>
                        <w:left w:val="none" w:sz="0" w:space="0" w:color="auto"/>
                        <w:bottom w:val="none" w:sz="0" w:space="0" w:color="auto"/>
                        <w:right w:val="none" w:sz="0" w:space="0" w:color="auto"/>
                      </w:divBdr>
                    </w:div>
                  </w:divsChild>
                </w:div>
                <w:div w:id="1423602880">
                  <w:marLeft w:val="0"/>
                  <w:marRight w:val="0"/>
                  <w:marTop w:val="0"/>
                  <w:marBottom w:val="0"/>
                  <w:divBdr>
                    <w:top w:val="none" w:sz="0" w:space="0" w:color="auto"/>
                    <w:left w:val="none" w:sz="0" w:space="0" w:color="auto"/>
                    <w:bottom w:val="none" w:sz="0" w:space="0" w:color="auto"/>
                    <w:right w:val="none" w:sz="0" w:space="0" w:color="auto"/>
                  </w:divBdr>
                  <w:divsChild>
                    <w:div w:id="1426658594">
                      <w:marLeft w:val="0"/>
                      <w:marRight w:val="0"/>
                      <w:marTop w:val="0"/>
                      <w:marBottom w:val="0"/>
                      <w:divBdr>
                        <w:top w:val="none" w:sz="0" w:space="0" w:color="auto"/>
                        <w:left w:val="none" w:sz="0" w:space="0" w:color="auto"/>
                        <w:bottom w:val="none" w:sz="0" w:space="0" w:color="auto"/>
                        <w:right w:val="none" w:sz="0" w:space="0" w:color="auto"/>
                      </w:divBdr>
                    </w:div>
                  </w:divsChild>
                </w:div>
                <w:div w:id="1438986751">
                  <w:marLeft w:val="0"/>
                  <w:marRight w:val="0"/>
                  <w:marTop w:val="0"/>
                  <w:marBottom w:val="0"/>
                  <w:divBdr>
                    <w:top w:val="none" w:sz="0" w:space="0" w:color="auto"/>
                    <w:left w:val="none" w:sz="0" w:space="0" w:color="auto"/>
                    <w:bottom w:val="none" w:sz="0" w:space="0" w:color="auto"/>
                    <w:right w:val="none" w:sz="0" w:space="0" w:color="auto"/>
                  </w:divBdr>
                  <w:divsChild>
                    <w:div w:id="1685934124">
                      <w:marLeft w:val="0"/>
                      <w:marRight w:val="0"/>
                      <w:marTop w:val="0"/>
                      <w:marBottom w:val="0"/>
                      <w:divBdr>
                        <w:top w:val="none" w:sz="0" w:space="0" w:color="auto"/>
                        <w:left w:val="none" w:sz="0" w:space="0" w:color="auto"/>
                        <w:bottom w:val="none" w:sz="0" w:space="0" w:color="auto"/>
                        <w:right w:val="none" w:sz="0" w:space="0" w:color="auto"/>
                      </w:divBdr>
                    </w:div>
                  </w:divsChild>
                </w:div>
                <w:div w:id="1477142240">
                  <w:marLeft w:val="0"/>
                  <w:marRight w:val="0"/>
                  <w:marTop w:val="0"/>
                  <w:marBottom w:val="0"/>
                  <w:divBdr>
                    <w:top w:val="none" w:sz="0" w:space="0" w:color="auto"/>
                    <w:left w:val="none" w:sz="0" w:space="0" w:color="auto"/>
                    <w:bottom w:val="none" w:sz="0" w:space="0" w:color="auto"/>
                    <w:right w:val="none" w:sz="0" w:space="0" w:color="auto"/>
                  </w:divBdr>
                  <w:divsChild>
                    <w:div w:id="1965229589">
                      <w:marLeft w:val="0"/>
                      <w:marRight w:val="0"/>
                      <w:marTop w:val="0"/>
                      <w:marBottom w:val="0"/>
                      <w:divBdr>
                        <w:top w:val="none" w:sz="0" w:space="0" w:color="auto"/>
                        <w:left w:val="none" w:sz="0" w:space="0" w:color="auto"/>
                        <w:bottom w:val="none" w:sz="0" w:space="0" w:color="auto"/>
                        <w:right w:val="none" w:sz="0" w:space="0" w:color="auto"/>
                      </w:divBdr>
                    </w:div>
                  </w:divsChild>
                </w:div>
                <w:div w:id="1544053799">
                  <w:marLeft w:val="0"/>
                  <w:marRight w:val="0"/>
                  <w:marTop w:val="0"/>
                  <w:marBottom w:val="0"/>
                  <w:divBdr>
                    <w:top w:val="none" w:sz="0" w:space="0" w:color="auto"/>
                    <w:left w:val="none" w:sz="0" w:space="0" w:color="auto"/>
                    <w:bottom w:val="none" w:sz="0" w:space="0" w:color="auto"/>
                    <w:right w:val="none" w:sz="0" w:space="0" w:color="auto"/>
                  </w:divBdr>
                  <w:divsChild>
                    <w:div w:id="1856266052">
                      <w:marLeft w:val="0"/>
                      <w:marRight w:val="0"/>
                      <w:marTop w:val="0"/>
                      <w:marBottom w:val="0"/>
                      <w:divBdr>
                        <w:top w:val="none" w:sz="0" w:space="0" w:color="auto"/>
                        <w:left w:val="none" w:sz="0" w:space="0" w:color="auto"/>
                        <w:bottom w:val="none" w:sz="0" w:space="0" w:color="auto"/>
                        <w:right w:val="none" w:sz="0" w:space="0" w:color="auto"/>
                      </w:divBdr>
                    </w:div>
                  </w:divsChild>
                </w:div>
                <w:div w:id="1603757697">
                  <w:marLeft w:val="0"/>
                  <w:marRight w:val="0"/>
                  <w:marTop w:val="0"/>
                  <w:marBottom w:val="0"/>
                  <w:divBdr>
                    <w:top w:val="none" w:sz="0" w:space="0" w:color="auto"/>
                    <w:left w:val="none" w:sz="0" w:space="0" w:color="auto"/>
                    <w:bottom w:val="none" w:sz="0" w:space="0" w:color="auto"/>
                    <w:right w:val="none" w:sz="0" w:space="0" w:color="auto"/>
                  </w:divBdr>
                  <w:divsChild>
                    <w:div w:id="1146124816">
                      <w:marLeft w:val="0"/>
                      <w:marRight w:val="0"/>
                      <w:marTop w:val="0"/>
                      <w:marBottom w:val="0"/>
                      <w:divBdr>
                        <w:top w:val="none" w:sz="0" w:space="0" w:color="auto"/>
                        <w:left w:val="none" w:sz="0" w:space="0" w:color="auto"/>
                        <w:bottom w:val="none" w:sz="0" w:space="0" w:color="auto"/>
                        <w:right w:val="none" w:sz="0" w:space="0" w:color="auto"/>
                      </w:divBdr>
                    </w:div>
                  </w:divsChild>
                </w:div>
                <w:div w:id="1611669731">
                  <w:marLeft w:val="0"/>
                  <w:marRight w:val="0"/>
                  <w:marTop w:val="0"/>
                  <w:marBottom w:val="0"/>
                  <w:divBdr>
                    <w:top w:val="none" w:sz="0" w:space="0" w:color="auto"/>
                    <w:left w:val="none" w:sz="0" w:space="0" w:color="auto"/>
                    <w:bottom w:val="none" w:sz="0" w:space="0" w:color="auto"/>
                    <w:right w:val="none" w:sz="0" w:space="0" w:color="auto"/>
                  </w:divBdr>
                  <w:divsChild>
                    <w:div w:id="249192627">
                      <w:marLeft w:val="0"/>
                      <w:marRight w:val="0"/>
                      <w:marTop w:val="0"/>
                      <w:marBottom w:val="0"/>
                      <w:divBdr>
                        <w:top w:val="none" w:sz="0" w:space="0" w:color="auto"/>
                        <w:left w:val="none" w:sz="0" w:space="0" w:color="auto"/>
                        <w:bottom w:val="none" w:sz="0" w:space="0" w:color="auto"/>
                        <w:right w:val="none" w:sz="0" w:space="0" w:color="auto"/>
                      </w:divBdr>
                    </w:div>
                  </w:divsChild>
                </w:div>
                <w:div w:id="1622608409">
                  <w:marLeft w:val="0"/>
                  <w:marRight w:val="0"/>
                  <w:marTop w:val="0"/>
                  <w:marBottom w:val="0"/>
                  <w:divBdr>
                    <w:top w:val="none" w:sz="0" w:space="0" w:color="auto"/>
                    <w:left w:val="none" w:sz="0" w:space="0" w:color="auto"/>
                    <w:bottom w:val="none" w:sz="0" w:space="0" w:color="auto"/>
                    <w:right w:val="none" w:sz="0" w:space="0" w:color="auto"/>
                  </w:divBdr>
                  <w:divsChild>
                    <w:div w:id="417947063">
                      <w:marLeft w:val="0"/>
                      <w:marRight w:val="0"/>
                      <w:marTop w:val="0"/>
                      <w:marBottom w:val="0"/>
                      <w:divBdr>
                        <w:top w:val="none" w:sz="0" w:space="0" w:color="auto"/>
                        <w:left w:val="none" w:sz="0" w:space="0" w:color="auto"/>
                        <w:bottom w:val="none" w:sz="0" w:space="0" w:color="auto"/>
                        <w:right w:val="none" w:sz="0" w:space="0" w:color="auto"/>
                      </w:divBdr>
                    </w:div>
                  </w:divsChild>
                </w:div>
                <w:div w:id="1627199375">
                  <w:marLeft w:val="0"/>
                  <w:marRight w:val="0"/>
                  <w:marTop w:val="0"/>
                  <w:marBottom w:val="0"/>
                  <w:divBdr>
                    <w:top w:val="none" w:sz="0" w:space="0" w:color="auto"/>
                    <w:left w:val="none" w:sz="0" w:space="0" w:color="auto"/>
                    <w:bottom w:val="none" w:sz="0" w:space="0" w:color="auto"/>
                    <w:right w:val="none" w:sz="0" w:space="0" w:color="auto"/>
                  </w:divBdr>
                  <w:divsChild>
                    <w:div w:id="883102203">
                      <w:marLeft w:val="0"/>
                      <w:marRight w:val="0"/>
                      <w:marTop w:val="0"/>
                      <w:marBottom w:val="0"/>
                      <w:divBdr>
                        <w:top w:val="none" w:sz="0" w:space="0" w:color="auto"/>
                        <w:left w:val="none" w:sz="0" w:space="0" w:color="auto"/>
                        <w:bottom w:val="none" w:sz="0" w:space="0" w:color="auto"/>
                        <w:right w:val="none" w:sz="0" w:space="0" w:color="auto"/>
                      </w:divBdr>
                    </w:div>
                  </w:divsChild>
                </w:div>
                <w:div w:id="1669668501">
                  <w:marLeft w:val="0"/>
                  <w:marRight w:val="0"/>
                  <w:marTop w:val="0"/>
                  <w:marBottom w:val="0"/>
                  <w:divBdr>
                    <w:top w:val="none" w:sz="0" w:space="0" w:color="auto"/>
                    <w:left w:val="none" w:sz="0" w:space="0" w:color="auto"/>
                    <w:bottom w:val="none" w:sz="0" w:space="0" w:color="auto"/>
                    <w:right w:val="none" w:sz="0" w:space="0" w:color="auto"/>
                  </w:divBdr>
                  <w:divsChild>
                    <w:div w:id="753745553">
                      <w:marLeft w:val="0"/>
                      <w:marRight w:val="0"/>
                      <w:marTop w:val="0"/>
                      <w:marBottom w:val="0"/>
                      <w:divBdr>
                        <w:top w:val="none" w:sz="0" w:space="0" w:color="auto"/>
                        <w:left w:val="none" w:sz="0" w:space="0" w:color="auto"/>
                        <w:bottom w:val="none" w:sz="0" w:space="0" w:color="auto"/>
                        <w:right w:val="none" w:sz="0" w:space="0" w:color="auto"/>
                      </w:divBdr>
                    </w:div>
                  </w:divsChild>
                </w:div>
                <w:div w:id="1670792096">
                  <w:marLeft w:val="0"/>
                  <w:marRight w:val="0"/>
                  <w:marTop w:val="0"/>
                  <w:marBottom w:val="0"/>
                  <w:divBdr>
                    <w:top w:val="none" w:sz="0" w:space="0" w:color="auto"/>
                    <w:left w:val="none" w:sz="0" w:space="0" w:color="auto"/>
                    <w:bottom w:val="none" w:sz="0" w:space="0" w:color="auto"/>
                    <w:right w:val="none" w:sz="0" w:space="0" w:color="auto"/>
                  </w:divBdr>
                  <w:divsChild>
                    <w:div w:id="241718137">
                      <w:marLeft w:val="0"/>
                      <w:marRight w:val="0"/>
                      <w:marTop w:val="0"/>
                      <w:marBottom w:val="0"/>
                      <w:divBdr>
                        <w:top w:val="none" w:sz="0" w:space="0" w:color="auto"/>
                        <w:left w:val="none" w:sz="0" w:space="0" w:color="auto"/>
                        <w:bottom w:val="none" w:sz="0" w:space="0" w:color="auto"/>
                        <w:right w:val="none" w:sz="0" w:space="0" w:color="auto"/>
                      </w:divBdr>
                    </w:div>
                  </w:divsChild>
                </w:div>
                <w:div w:id="1796675855">
                  <w:marLeft w:val="0"/>
                  <w:marRight w:val="0"/>
                  <w:marTop w:val="0"/>
                  <w:marBottom w:val="0"/>
                  <w:divBdr>
                    <w:top w:val="none" w:sz="0" w:space="0" w:color="auto"/>
                    <w:left w:val="none" w:sz="0" w:space="0" w:color="auto"/>
                    <w:bottom w:val="none" w:sz="0" w:space="0" w:color="auto"/>
                    <w:right w:val="none" w:sz="0" w:space="0" w:color="auto"/>
                  </w:divBdr>
                  <w:divsChild>
                    <w:div w:id="2060661846">
                      <w:marLeft w:val="0"/>
                      <w:marRight w:val="0"/>
                      <w:marTop w:val="0"/>
                      <w:marBottom w:val="0"/>
                      <w:divBdr>
                        <w:top w:val="none" w:sz="0" w:space="0" w:color="auto"/>
                        <w:left w:val="none" w:sz="0" w:space="0" w:color="auto"/>
                        <w:bottom w:val="none" w:sz="0" w:space="0" w:color="auto"/>
                        <w:right w:val="none" w:sz="0" w:space="0" w:color="auto"/>
                      </w:divBdr>
                    </w:div>
                  </w:divsChild>
                </w:div>
                <w:div w:id="1901600029">
                  <w:marLeft w:val="0"/>
                  <w:marRight w:val="0"/>
                  <w:marTop w:val="0"/>
                  <w:marBottom w:val="0"/>
                  <w:divBdr>
                    <w:top w:val="none" w:sz="0" w:space="0" w:color="auto"/>
                    <w:left w:val="none" w:sz="0" w:space="0" w:color="auto"/>
                    <w:bottom w:val="none" w:sz="0" w:space="0" w:color="auto"/>
                    <w:right w:val="none" w:sz="0" w:space="0" w:color="auto"/>
                  </w:divBdr>
                  <w:divsChild>
                    <w:div w:id="1825508873">
                      <w:marLeft w:val="0"/>
                      <w:marRight w:val="0"/>
                      <w:marTop w:val="0"/>
                      <w:marBottom w:val="0"/>
                      <w:divBdr>
                        <w:top w:val="none" w:sz="0" w:space="0" w:color="auto"/>
                        <w:left w:val="none" w:sz="0" w:space="0" w:color="auto"/>
                        <w:bottom w:val="none" w:sz="0" w:space="0" w:color="auto"/>
                        <w:right w:val="none" w:sz="0" w:space="0" w:color="auto"/>
                      </w:divBdr>
                    </w:div>
                  </w:divsChild>
                </w:div>
                <w:div w:id="1904215709">
                  <w:marLeft w:val="0"/>
                  <w:marRight w:val="0"/>
                  <w:marTop w:val="0"/>
                  <w:marBottom w:val="0"/>
                  <w:divBdr>
                    <w:top w:val="none" w:sz="0" w:space="0" w:color="auto"/>
                    <w:left w:val="none" w:sz="0" w:space="0" w:color="auto"/>
                    <w:bottom w:val="none" w:sz="0" w:space="0" w:color="auto"/>
                    <w:right w:val="none" w:sz="0" w:space="0" w:color="auto"/>
                  </w:divBdr>
                  <w:divsChild>
                    <w:div w:id="1635597836">
                      <w:marLeft w:val="0"/>
                      <w:marRight w:val="0"/>
                      <w:marTop w:val="0"/>
                      <w:marBottom w:val="0"/>
                      <w:divBdr>
                        <w:top w:val="none" w:sz="0" w:space="0" w:color="auto"/>
                        <w:left w:val="none" w:sz="0" w:space="0" w:color="auto"/>
                        <w:bottom w:val="none" w:sz="0" w:space="0" w:color="auto"/>
                        <w:right w:val="none" w:sz="0" w:space="0" w:color="auto"/>
                      </w:divBdr>
                    </w:div>
                  </w:divsChild>
                </w:div>
                <w:div w:id="1920210729">
                  <w:marLeft w:val="0"/>
                  <w:marRight w:val="0"/>
                  <w:marTop w:val="0"/>
                  <w:marBottom w:val="0"/>
                  <w:divBdr>
                    <w:top w:val="none" w:sz="0" w:space="0" w:color="auto"/>
                    <w:left w:val="none" w:sz="0" w:space="0" w:color="auto"/>
                    <w:bottom w:val="none" w:sz="0" w:space="0" w:color="auto"/>
                    <w:right w:val="none" w:sz="0" w:space="0" w:color="auto"/>
                  </w:divBdr>
                  <w:divsChild>
                    <w:div w:id="1155222419">
                      <w:marLeft w:val="0"/>
                      <w:marRight w:val="0"/>
                      <w:marTop w:val="0"/>
                      <w:marBottom w:val="0"/>
                      <w:divBdr>
                        <w:top w:val="none" w:sz="0" w:space="0" w:color="auto"/>
                        <w:left w:val="none" w:sz="0" w:space="0" w:color="auto"/>
                        <w:bottom w:val="none" w:sz="0" w:space="0" w:color="auto"/>
                        <w:right w:val="none" w:sz="0" w:space="0" w:color="auto"/>
                      </w:divBdr>
                    </w:div>
                  </w:divsChild>
                </w:div>
                <w:div w:id="1954744815">
                  <w:marLeft w:val="0"/>
                  <w:marRight w:val="0"/>
                  <w:marTop w:val="0"/>
                  <w:marBottom w:val="0"/>
                  <w:divBdr>
                    <w:top w:val="none" w:sz="0" w:space="0" w:color="auto"/>
                    <w:left w:val="none" w:sz="0" w:space="0" w:color="auto"/>
                    <w:bottom w:val="none" w:sz="0" w:space="0" w:color="auto"/>
                    <w:right w:val="none" w:sz="0" w:space="0" w:color="auto"/>
                  </w:divBdr>
                  <w:divsChild>
                    <w:div w:id="540433584">
                      <w:marLeft w:val="0"/>
                      <w:marRight w:val="0"/>
                      <w:marTop w:val="0"/>
                      <w:marBottom w:val="0"/>
                      <w:divBdr>
                        <w:top w:val="none" w:sz="0" w:space="0" w:color="auto"/>
                        <w:left w:val="none" w:sz="0" w:space="0" w:color="auto"/>
                        <w:bottom w:val="none" w:sz="0" w:space="0" w:color="auto"/>
                        <w:right w:val="none" w:sz="0" w:space="0" w:color="auto"/>
                      </w:divBdr>
                    </w:div>
                  </w:divsChild>
                </w:div>
                <w:div w:id="1955558222">
                  <w:marLeft w:val="0"/>
                  <w:marRight w:val="0"/>
                  <w:marTop w:val="0"/>
                  <w:marBottom w:val="0"/>
                  <w:divBdr>
                    <w:top w:val="none" w:sz="0" w:space="0" w:color="auto"/>
                    <w:left w:val="none" w:sz="0" w:space="0" w:color="auto"/>
                    <w:bottom w:val="none" w:sz="0" w:space="0" w:color="auto"/>
                    <w:right w:val="none" w:sz="0" w:space="0" w:color="auto"/>
                  </w:divBdr>
                  <w:divsChild>
                    <w:div w:id="1573656237">
                      <w:marLeft w:val="0"/>
                      <w:marRight w:val="0"/>
                      <w:marTop w:val="0"/>
                      <w:marBottom w:val="0"/>
                      <w:divBdr>
                        <w:top w:val="none" w:sz="0" w:space="0" w:color="auto"/>
                        <w:left w:val="none" w:sz="0" w:space="0" w:color="auto"/>
                        <w:bottom w:val="none" w:sz="0" w:space="0" w:color="auto"/>
                        <w:right w:val="none" w:sz="0" w:space="0" w:color="auto"/>
                      </w:divBdr>
                    </w:div>
                  </w:divsChild>
                </w:div>
                <w:div w:id="1976401689">
                  <w:marLeft w:val="0"/>
                  <w:marRight w:val="0"/>
                  <w:marTop w:val="0"/>
                  <w:marBottom w:val="0"/>
                  <w:divBdr>
                    <w:top w:val="none" w:sz="0" w:space="0" w:color="auto"/>
                    <w:left w:val="none" w:sz="0" w:space="0" w:color="auto"/>
                    <w:bottom w:val="none" w:sz="0" w:space="0" w:color="auto"/>
                    <w:right w:val="none" w:sz="0" w:space="0" w:color="auto"/>
                  </w:divBdr>
                  <w:divsChild>
                    <w:div w:id="158614859">
                      <w:marLeft w:val="0"/>
                      <w:marRight w:val="0"/>
                      <w:marTop w:val="0"/>
                      <w:marBottom w:val="0"/>
                      <w:divBdr>
                        <w:top w:val="none" w:sz="0" w:space="0" w:color="auto"/>
                        <w:left w:val="none" w:sz="0" w:space="0" w:color="auto"/>
                        <w:bottom w:val="none" w:sz="0" w:space="0" w:color="auto"/>
                        <w:right w:val="none" w:sz="0" w:space="0" w:color="auto"/>
                      </w:divBdr>
                    </w:div>
                  </w:divsChild>
                </w:div>
                <w:div w:id="1978031045">
                  <w:marLeft w:val="0"/>
                  <w:marRight w:val="0"/>
                  <w:marTop w:val="0"/>
                  <w:marBottom w:val="0"/>
                  <w:divBdr>
                    <w:top w:val="none" w:sz="0" w:space="0" w:color="auto"/>
                    <w:left w:val="none" w:sz="0" w:space="0" w:color="auto"/>
                    <w:bottom w:val="none" w:sz="0" w:space="0" w:color="auto"/>
                    <w:right w:val="none" w:sz="0" w:space="0" w:color="auto"/>
                  </w:divBdr>
                  <w:divsChild>
                    <w:div w:id="153029209">
                      <w:marLeft w:val="0"/>
                      <w:marRight w:val="0"/>
                      <w:marTop w:val="0"/>
                      <w:marBottom w:val="0"/>
                      <w:divBdr>
                        <w:top w:val="none" w:sz="0" w:space="0" w:color="auto"/>
                        <w:left w:val="none" w:sz="0" w:space="0" w:color="auto"/>
                        <w:bottom w:val="none" w:sz="0" w:space="0" w:color="auto"/>
                        <w:right w:val="none" w:sz="0" w:space="0" w:color="auto"/>
                      </w:divBdr>
                    </w:div>
                  </w:divsChild>
                </w:div>
                <w:div w:id="2103524480">
                  <w:marLeft w:val="0"/>
                  <w:marRight w:val="0"/>
                  <w:marTop w:val="0"/>
                  <w:marBottom w:val="0"/>
                  <w:divBdr>
                    <w:top w:val="none" w:sz="0" w:space="0" w:color="auto"/>
                    <w:left w:val="none" w:sz="0" w:space="0" w:color="auto"/>
                    <w:bottom w:val="none" w:sz="0" w:space="0" w:color="auto"/>
                    <w:right w:val="none" w:sz="0" w:space="0" w:color="auto"/>
                  </w:divBdr>
                  <w:divsChild>
                    <w:div w:id="10450755">
                      <w:marLeft w:val="0"/>
                      <w:marRight w:val="0"/>
                      <w:marTop w:val="0"/>
                      <w:marBottom w:val="0"/>
                      <w:divBdr>
                        <w:top w:val="none" w:sz="0" w:space="0" w:color="auto"/>
                        <w:left w:val="none" w:sz="0" w:space="0" w:color="auto"/>
                        <w:bottom w:val="none" w:sz="0" w:space="0" w:color="auto"/>
                        <w:right w:val="none" w:sz="0" w:space="0" w:color="auto"/>
                      </w:divBdr>
                    </w:div>
                  </w:divsChild>
                </w:div>
                <w:div w:id="2105833759">
                  <w:marLeft w:val="0"/>
                  <w:marRight w:val="0"/>
                  <w:marTop w:val="0"/>
                  <w:marBottom w:val="0"/>
                  <w:divBdr>
                    <w:top w:val="none" w:sz="0" w:space="0" w:color="auto"/>
                    <w:left w:val="none" w:sz="0" w:space="0" w:color="auto"/>
                    <w:bottom w:val="none" w:sz="0" w:space="0" w:color="auto"/>
                    <w:right w:val="none" w:sz="0" w:space="0" w:color="auto"/>
                  </w:divBdr>
                  <w:divsChild>
                    <w:div w:id="254287977">
                      <w:marLeft w:val="0"/>
                      <w:marRight w:val="0"/>
                      <w:marTop w:val="0"/>
                      <w:marBottom w:val="0"/>
                      <w:divBdr>
                        <w:top w:val="none" w:sz="0" w:space="0" w:color="auto"/>
                        <w:left w:val="none" w:sz="0" w:space="0" w:color="auto"/>
                        <w:bottom w:val="none" w:sz="0" w:space="0" w:color="auto"/>
                        <w:right w:val="none" w:sz="0" w:space="0" w:color="auto"/>
                      </w:divBdr>
                    </w:div>
                  </w:divsChild>
                </w:div>
                <w:div w:id="2106532916">
                  <w:marLeft w:val="0"/>
                  <w:marRight w:val="0"/>
                  <w:marTop w:val="0"/>
                  <w:marBottom w:val="0"/>
                  <w:divBdr>
                    <w:top w:val="none" w:sz="0" w:space="0" w:color="auto"/>
                    <w:left w:val="none" w:sz="0" w:space="0" w:color="auto"/>
                    <w:bottom w:val="none" w:sz="0" w:space="0" w:color="auto"/>
                    <w:right w:val="none" w:sz="0" w:space="0" w:color="auto"/>
                  </w:divBdr>
                  <w:divsChild>
                    <w:div w:id="12659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0961">
          <w:marLeft w:val="0"/>
          <w:marRight w:val="0"/>
          <w:marTop w:val="0"/>
          <w:marBottom w:val="0"/>
          <w:divBdr>
            <w:top w:val="none" w:sz="0" w:space="0" w:color="auto"/>
            <w:left w:val="none" w:sz="0" w:space="0" w:color="auto"/>
            <w:bottom w:val="none" w:sz="0" w:space="0" w:color="auto"/>
            <w:right w:val="none" w:sz="0" w:space="0" w:color="auto"/>
          </w:divBdr>
        </w:div>
        <w:div w:id="1576933377">
          <w:marLeft w:val="0"/>
          <w:marRight w:val="0"/>
          <w:marTop w:val="0"/>
          <w:marBottom w:val="0"/>
          <w:divBdr>
            <w:top w:val="none" w:sz="0" w:space="0" w:color="auto"/>
            <w:left w:val="none" w:sz="0" w:space="0" w:color="auto"/>
            <w:bottom w:val="none" w:sz="0" w:space="0" w:color="auto"/>
            <w:right w:val="none" w:sz="0" w:space="0" w:color="auto"/>
          </w:divBdr>
        </w:div>
        <w:div w:id="1750955575">
          <w:marLeft w:val="0"/>
          <w:marRight w:val="0"/>
          <w:marTop w:val="0"/>
          <w:marBottom w:val="0"/>
          <w:divBdr>
            <w:top w:val="none" w:sz="0" w:space="0" w:color="auto"/>
            <w:left w:val="none" w:sz="0" w:space="0" w:color="auto"/>
            <w:bottom w:val="none" w:sz="0" w:space="0" w:color="auto"/>
            <w:right w:val="none" w:sz="0" w:space="0" w:color="auto"/>
          </w:divBdr>
        </w:div>
        <w:div w:id="2124372901">
          <w:marLeft w:val="0"/>
          <w:marRight w:val="0"/>
          <w:marTop w:val="0"/>
          <w:marBottom w:val="0"/>
          <w:divBdr>
            <w:top w:val="none" w:sz="0" w:space="0" w:color="auto"/>
            <w:left w:val="none" w:sz="0" w:space="0" w:color="auto"/>
            <w:bottom w:val="none" w:sz="0" w:space="0" w:color="auto"/>
            <w:right w:val="none" w:sz="0" w:space="0" w:color="auto"/>
          </w:divBdr>
        </w:div>
      </w:divsChild>
    </w:div>
    <w:div w:id="1054426790">
      <w:bodyDiv w:val="1"/>
      <w:marLeft w:val="0"/>
      <w:marRight w:val="0"/>
      <w:marTop w:val="0"/>
      <w:marBottom w:val="0"/>
      <w:divBdr>
        <w:top w:val="none" w:sz="0" w:space="0" w:color="auto"/>
        <w:left w:val="none" w:sz="0" w:space="0" w:color="auto"/>
        <w:bottom w:val="none" w:sz="0" w:space="0" w:color="auto"/>
        <w:right w:val="none" w:sz="0" w:space="0" w:color="auto"/>
      </w:divBdr>
      <w:divsChild>
        <w:div w:id="481849867">
          <w:marLeft w:val="0"/>
          <w:marRight w:val="0"/>
          <w:marTop w:val="0"/>
          <w:marBottom w:val="0"/>
          <w:divBdr>
            <w:top w:val="none" w:sz="0" w:space="0" w:color="auto"/>
            <w:left w:val="none" w:sz="0" w:space="0" w:color="auto"/>
            <w:bottom w:val="none" w:sz="0" w:space="0" w:color="auto"/>
            <w:right w:val="none" w:sz="0" w:space="0" w:color="auto"/>
          </w:divBdr>
          <w:divsChild>
            <w:div w:id="508787918">
              <w:marLeft w:val="-75"/>
              <w:marRight w:val="0"/>
              <w:marTop w:val="30"/>
              <w:marBottom w:val="30"/>
              <w:divBdr>
                <w:top w:val="none" w:sz="0" w:space="0" w:color="auto"/>
                <w:left w:val="none" w:sz="0" w:space="0" w:color="auto"/>
                <w:bottom w:val="none" w:sz="0" w:space="0" w:color="auto"/>
                <w:right w:val="none" w:sz="0" w:space="0" w:color="auto"/>
              </w:divBdr>
              <w:divsChild>
                <w:div w:id="3634232">
                  <w:marLeft w:val="0"/>
                  <w:marRight w:val="0"/>
                  <w:marTop w:val="0"/>
                  <w:marBottom w:val="0"/>
                  <w:divBdr>
                    <w:top w:val="none" w:sz="0" w:space="0" w:color="auto"/>
                    <w:left w:val="none" w:sz="0" w:space="0" w:color="auto"/>
                    <w:bottom w:val="none" w:sz="0" w:space="0" w:color="auto"/>
                    <w:right w:val="none" w:sz="0" w:space="0" w:color="auto"/>
                  </w:divBdr>
                  <w:divsChild>
                    <w:div w:id="872301829">
                      <w:marLeft w:val="0"/>
                      <w:marRight w:val="0"/>
                      <w:marTop w:val="0"/>
                      <w:marBottom w:val="0"/>
                      <w:divBdr>
                        <w:top w:val="none" w:sz="0" w:space="0" w:color="auto"/>
                        <w:left w:val="none" w:sz="0" w:space="0" w:color="auto"/>
                        <w:bottom w:val="none" w:sz="0" w:space="0" w:color="auto"/>
                        <w:right w:val="none" w:sz="0" w:space="0" w:color="auto"/>
                      </w:divBdr>
                    </w:div>
                  </w:divsChild>
                </w:div>
                <w:div w:id="97993335">
                  <w:marLeft w:val="0"/>
                  <w:marRight w:val="0"/>
                  <w:marTop w:val="0"/>
                  <w:marBottom w:val="0"/>
                  <w:divBdr>
                    <w:top w:val="none" w:sz="0" w:space="0" w:color="auto"/>
                    <w:left w:val="none" w:sz="0" w:space="0" w:color="auto"/>
                    <w:bottom w:val="none" w:sz="0" w:space="0" w:color="auto"/>
                    <w:right w:val="none" w:sz="0" w:space="0" w:color="auto"/>
                  </w:divBdr>
                  <w:divsChild>
                    <w:div w:id="1002052990">
                      <w:marLeft w:val="0"/>
                      <w:marRight w:val="0"/>
                      <w:marTop w:val="0"/>
                      <w:marBottom w:val="0"/>
                      <w:divBdr>
                        <w:top w:val="none" w:sz="0" w:space="0" w:color="auto"/>
                        <w:left w:val="none" w:sz="0" w:space="0" w:color="auto"/>
                        <w:bottom w:val="none" w:sz="0" w:space="0" w:color="auto"/>
                        <w:right w:val="none" w:sz="0" w:space="0" w:color="auto"/>
                      </w:divBdr>
                    </w:div>
                  </w:divsChild>
                </w:div>
                <w:div w:id="101342201">
                  <w:marLeft w:val="0"/>
                  <w:marRight w:val="0"/>
                  <w:marTop w:val="0"/>
                  <w:marBottom w:val="0"/>
                  <w:divBdr>
                    <w:top w:val="none" w:sz="0" w:space="0" w:color="auto"/>
                    <w:left w:val="none" w:sz="0" w:space="0" w:color="auto"/>
                    <w:bottom w:val="none" w:sz="0" w:space="0" w:color="auto"/>
                    <w:right w:val="none" w:sz="0" w:space="0" w:color="auto"/>
                  </w:divBdr>
                  <w:divsChild>
                    <w:div w:id="1661690663">
                      <w:marLeft w:val="0"/>
                      <w:marRight w:val="0"/>
                      <w:marTop w:val="0"/>
                      <w:marBottom w:val="0"/>
                      <w:divBdr>
                        <w:top w:val="none" w:sz="0" w:space="0" w:color="auto"/>
                        <w:left w:val="none" w:sz="0" w:space="0" w:color="auto"/>
                        <w:bottom w:val="none" w:sz="0" w:space="0" w:color="auto"/>
                        <w:right w:val="none" w:sz="0" w:space="0" w:color="auto"/>
                      </w:divBdr>
                    </w:div>
                  </w:divsChild>
                </w:div>
                <w:div w:id="131558127">
                  <w:marLeft w:val="0"/>
                  <w:marRight w:val="0"/>
                  <w:marTop w:val="0"/>
                  <w:marBottom w:val="0"/>
                  <w:divBdr>
                    <w:top w:val="none" w:sz="0" w:space="0" w:color="auto"/>
                    <w:left w:val="none" w:sz="0" w:space="0" w:color="auto"/>
                    <w:bottom w:val="none" w:sz="0" w:space="0" w:color="auto"/>
                    <w:right w:val="none" w:sz="0" w:space="0" w:color="auto"/>
                  </w:divBdr>
                  <w:divsChild>
                    <w:div w:id="25831534">
                      <w:marLeft w:val="0"/>
                      <w:marRight w:val="0"/>
                      <w:marTop w:val="0"/>
                      <w:marBottom w:val="0"/>
                      <w:divBdr>
                        <w:top w:val="none" w:sz="0" w:space="0" w:color="auto"/>
                        <w:left w:val="none" w:sz="0" w:space="0" w:color="auto"/>
                        <w:bottom w:val="none" w:sz="0" w:space="0" w:color="auto"/>
                        <w:right w:val="none" w:sz="0" w:space="0" w:color="auto"/>
                      </w:divBdr>
                    </w:div>
                  </w:divsChild>
                </w:div>
                <w:div w:id="134761563">
                  <w:marLeft w:val="0"/>
                  <w:marRight w:val="0"/>
                  <w:marTop w:val="0"/>
                  <w:marBottom w:val="0"/>
                  <w:divBdr>
                    <w:top w:val="none" w:sz="0" w:space="0" w:color="auto"/>
                    <w:left w:val="none" w:sz="0" w:space="0" w:color="auto"/>
                    <w:bottom w:val="none" w:sz="0" w:space="0" w:color="auto"/>
                    <w:right w:val="none" w:sz="0" w:space="0" w:color="auto"/>
                  </w:divBdr>
                  <w:divsChild>
                    <w:div w:id="1714115577">
                      <w:marLeft w:val="0"/>
                      <w:marRight w:val="0"/>
                      <w:marTop w:val="0"/>
                      <w:marBottom w:val="0"/>
                      <w:divBdr>
                        <w:top w:val="none" w:sz="0" w:space="0" w:color="auto"/>
                        <w:left w:val="none" w:sz="0" w:space="0" w:color="auto"/>
                        <w:bottom w:val="none" w:sz="0" w:space="0" w:color="auto"/>
                        <w:right w:val="none" w:sz="0" w:space="0" w:color="auto"/>
                      </w:divBdr>
                    </w:div>
                  </w:divsChild>
                </w:div>
                <w:div w:id="186218428">
                  <w:marLeft w:val="0"/>
                  <w:marRight w:val="0"/>
                  <w:marTop w:val="0"/>
                  <w:marBottom w:val="0"/>
                  <w:divBdr>
                    <w:top w:val="none" w:sz="0" w:space="0" w:color="auto"/>
                    <w:left w:val="none" w:sz="0" w:space="0" w:color="auto"/>
                    <w:bottom w:val="none" w:sz="0" w:space="0" w:color="auto"/>
                    <w:right w:val="none" w:sz="0" w:space="0" w:color="auto"/>
                  </w:divBdr>
                  <w:divsChild>
                    <w:div w:id="524055200">
                      <w:marLeft w:val="0"/>
                      <w:marRight w:val="0"/>
                      <w:marTop w:val="0"/>
                      <w:marBottom w:val="0"/>
                      <w:divBdr>
                        <w:top w:val="none" w:sz="0" w:space="0" w:color="auto"/>
                        <w:left w:val="none" w:sz="0" w:space="0" w:color="auto"/>
                        <w:bottom w:val="none" w:sz="0" w:space="0" w:color="auto"/>
                        <w:right w:val="none" w:sz="0" w:space="0" w:color="auto"/>
                      </w:divBdr>
                    </w:div>
                  </w:divsChild>
                </w:div>
                <w:div w:id="192307166">
                  <w:marLeft w:val="0"/>
                  <w:marRight w:val="0"/>
                  <w:marTop w:val="0"/>
                  <w:marBottom w:val="0"/>
                  <w:divBdr>
                    <w:top w:val="none" w:sz="0" w:space="0" w:color="auto"/>
                    <w:left w:val="none" w:sz="0" w:space="0" w:color="auto"/>
                    <w:bottom w:val="none" w:sz="0" w:space="0" w:color="auto"/>
                    <w:right w:val="none" w:sz="0" w:space="0" w:color="auto"/>
                  </w:divBdr>
                  <w:divsChild>
                    <w:div w:id="1869021247">
                      <w:marLeft w:val="0"/>
                      <w:marRight w:val="0"/>
                      <w:marTop w:val="0"/>
                      <w:marBottom w:val="0"/>
                      <w:divBdr>
                        <w:top w:val="none" w:sz="0" w:space="0" w:color="auto"/>
                        <w:left w:val="none" w:sz="0" w:space="0" w:color="auto"/>
                        <w:bottom w:val="none" w:sz="0" w:space="0" w:color="auto"/>
                        <w:right w:val="none" w:sz="0" w:space="0" w:color="auto"/>
                      </w:divBdr>
                    </w:div>
                  </w:divsChild>
                </w:div>
                <w:div w:id="204299371">
                  <w:marLeft w:val="0"/>
                  <w:marRight w:val="0"/>
                  <w:marTop w:val="0"/>
                  <w:marBottom w:val="0"/>
                  <w:divBdr>
                    <w:top w:val="none" w:sz="0" w:space="0" w:color="auto"/>
                    <w:left w:val="none" w:sz="0" w:space="0" w:color="auto"/>
                    <w:bottom w:val="none" w:sz="0" w:space="0" w:color="auto"/>
                    <w:right w:val="none" w:sz="0" w:space="0" w:color="auto"/>
                  </w:divBdr>
                  <w:divsChild>
                    <w:div w:id="1477605375">
                      <w:marLeft w:val="0"/>
                      <w:marRight w:val="0"/>
                      <w:marTop w:val="0"/>
                      <w:marBottom w:val="0"/>
                      <w:divBdr>
                        <w:top w:val="none" w:sz="0" w:space="0" w:color="auto"/>
                        <w:left w:val="none" w:sz="0" w:space="0" w:color="auto"/>
                        <w:bottom w:val="none" w:sz="0" w:space="0" w:color="auto"/>
                        <w:right w:val="none" w:sz="0" w:space="0" w:color="auto"/>
                      </w:divBdr>
                    </w:div>
                  </w:divsChild>
                </w:div>
                <w:div w:id="205873213">
                  <w:marLeft w:val="0"/>
                  <w:marRight w:val="0"/>
                  <w:marTop w:val="0"/>
                  <w:marBottom w:val="0"/>
                  <w:divBdr>
                    <w:top w:val="none" w:sz="0" w:space="0" w:color="auto"/>
                    <w:left w:val="none" w:sz="0" w:space="0" w:color="auto"/>
                    <w:bottom w:val="none" w:sz="0" w:space="0" w:color="auto"/>
                    <w:right w:val="none" w:sz="0" w:space="0" w:color="auto"/>
                  </w:divBdr>
                  <w:divsChild>
                    <w:div w:id="520238731">
                      <w:marLeft w:val="0"/>
                      <w:marRight w:val="0"/>
                      <w:marTop w:val="0"/>
                      <w:marBottom w:val="0"/>
                      <w:divBdr>
                        <w:top w:val="none" w:sz="0" w:space="0" w:color="auto"/>
                        <w:left w:val="none" w:sz="0" w:space="0" w:color="auto"/>
                        <w:bottom w:val="none" w:sz="0" w:space="0" w:color="auto"/>
                        <w:right w:val="none" w:sz="0" w:space="0" w:color="auto"/>
                      </w:divBdr>
                    </w:div>
                  </w:divsChild>
                </w:div>
                <w:div w:id="212814185">
                  <w:marLeft w:val="0"/>
                  <w:marRight w:val="0"/>
                  <w:marTop w:val="0"/>
                  <w:marBottom w:val="0"/>
                  <w:divBdr>
                    <w:top w:val="none" w:sz="0" w:space="0" w:color="auto"/>
                    <w:left w:val="none" w:sz="0" w:space="0" w:color="auto"/>
                    <w:bottom w:val="none" w:sz="0" w:space="0" w:color="auto"/>
                    <w:right w:val="none" w:sz="0" w:space="0" w:color="auto"/>
                  </w:divBdr>
                  <w:divsChild>
                    <w:div w:id="875239446">
                      <w:marLeft w:val="0"/>
                      <w:marRight w:val="0"/>
                      <w:marTop w:val="0"/>
                      <w:marBottom w:val="0"/>
                      <w:divBdr>
                        <w:top w:val="none" w:sz="0" w:space="0" w:color="auto"/>
                        <w:left w:val="none" w:sz="0" w:space="0" w:color="auto"/>
                        <w:bottom w:val="none" w:sz="0" w:space="0" w:color="auto"/>
                        <w:right w:val="none" w:sz="0" w:space="0" w:color="auto"/>
                      </w:divBdr>
                    </w:div>
                  </w:divsChild>
                </w:div>
                <w:div w:id="219094850">
                  <w:marLeft w:val="0"/>
                  <w:marRight w:val="0"/>
                  <w:marTop w:val="0"/>
                  <w:marBottom w:val="0"/>
                  <w:divBdr>
                    <w:top w:val="none" w:sz="0" w:space="0" w:color="auto"/>
                    <w:left w:val="none" w:sz="0" w:space="0" w:color="auto"/>
                    <w:bottom w:val="none" w:sz="0" w:space="0" w:color="auto"/>
                    <w:right w:val="none" w:sz="0" w:space="0" w:color="auto"/>
                  </w:divBdr>
                  <w:divsChild>
                    <w:div w:id="2087024555">
                      <w:marLeft w:val="0"/>
                      <w:marRight w:val="0"/>
                      <w:marTop w:val="0"/>
                      <w:marBottom w:val="0"/>
                      <w:divBdr>
                        <w:top w:val="none" w:sz="0" w:space="0" w:color="auto"/>
                        <w:left w:val="none" w:sz="0" w:space="0" w:color="auto"/>
                        <w:bottom w:val="none" w:sz="0" w:space="0" w:color="auto"/>
                        <w:right w:val="none" w:sz="0" w:space="0" w:color="auto"/>
                      </w:divBdr>
                    </w:div>
                  </w:divsChild>
                </w:div>
                <w:div w:id="249702317">
                  <w:marLeft w:val="0"/>
                  <w:marRight w:val="0"/>
                  <w:marTop w:val="0"/>
                  <w:marBottom w:val="0"/>
                  <w:divBdr>
                    <w:top w:val="none" w:sz="0" w:space="0" w:color="auto"/>
                    <w:left w:val="none" w:sz="0" w:space="0" w:color="auto"/>
                    <w:bottom w:val="none" w:sz="0" w:space="0" w:color="auto"/>
                    <w:right w:val="none" w:sz="0" w:space="0" w:color="auto"/>
                  </w:divBdr>
                  <w:divsChild>
                    <w:div w:id="636498911">
                      <w:marLeft w:val="0"/>
                      <w:marRight w:val="0"/>
                      <w:marTop w:val="0"/>
                      <w:marBottom w:val="0"/>
                      <w:divBdr>
                        <w:top w:val="none" w:sz="0" w:space="0" w:color="auto"/>
                        <w:left w:val="none" w:sz="0" w:space="0" w:color="auto"/>
                        <w:bottom w:val="none" w:sz="0" w:space="0" w:color="auto"/>
                        <w:right w:val="none" w:sz="0" w:space="0" w:color="auto"/>
                      </w:divBdr>
                    </w:div>
                  </w:divsChild>
                </w:div>
                <w:div w:id="252206216">
                  <w:marLeft w:val="0"/>
                  <w:marRight w:val="0"/>
                  <w:marTop w:val="0"/>
                  <w:marBottom w:val="0"/>
                  <w:divBdr>
                    <w:top w:val="none" w:sz="0" w:space="0" w:color="auto"/>
                    <w:left w:val="none" w:sz="0" w:space="0" w:color="auto"/>
                    <w:bottom w:val="none" w:sz="0" w:space="0" w:color="auto"/>
                    <w:right w:val="none" w:sz="0" w:space="0" w:color="auto"/>
                  </w:divBdr>
                  <w:divsChild>
                    <w:div w:id="1497961627">
                      <w:marLeft w:val="0"/>
                      <w:marRight w:val="0"/>
                      <w:marTop w:val="0"/>
                      <w:marBottom w:val="0"/>
                      <w:divBdr>
                        <w:top w:val="none" w:sz="0" w:space="0" w:color="auto"/>
                        <w:left w:val="none" w:sz="0" w:space="0" w:color="auto"/>
                        <w:bottom w:val="none" w:sz="0" w:space="0" w:color="auto"/>
                        <w:right w:val="none" w:sz="0" w:space="0" w:color="auto"/>
                      </w:divBdr>
                    </w:div>
                  </w:divsChild>
                </w:div>
                <w:div w:id="288828932">
                  <w:marLeft w:val="0"/>
                  <w:marRight w:val="0"/>
                  <w:marTop w:val="0"/>
                  <w:marBottom w:val="0"/>
                  <w:divBdr>
                    <w:top w:val="none" w:sz="0" w:space="0" w:color="auto"/>
                    <w:left w:val="none" w:sz="0" w:space="0" w:color="auto"/>
                    <w:bottom w:val="none" w:sz="0" w:space="0" w:color="auto"/>
                    <w:right w:val="none" w:sz="0" w:space="0" w:color="auto"/>
                  </w:divBdr>
                  <w:divsChild>
                    <w:div w:id="2045328048">
                      <w:marLeft w:val="0"/>
                      <w:marRight w:val="0"/>
                      <w:marTop w:val="0"/>
                      <w:marBottom w:val="0"/>
                      <w:divBdr>
                        <w:top w:val="none" w:sz="0" w:space="0" w:color="auto"/>
                        <w:left w:val="none" w:sz="0" w:space="0" w:color="auto"/>
                        <w:bottom w:val="none" w:sz="0" w:space="0" w:color="auto"/>
                        <w:right w:val="none" w:sz="0" w:space="0" w:color="auto"/>
                      </w:divBdr>
                    </w:div>
                  </w:divsChild>
                </w:div>
                <w:div w:id="466045069">
                  <w:marLeft w:val="0"/>
                  <w:marRight w:val="0"/>
                  <w:marTop w:val="0"/>
                  <w:marBottom w:val="0"/>
                  <w:divBdr>
                    <w:top w:val="none" w:sz="0" w:space="0" w:color="auto"/>
                    <w:left w:val="none" w:sz="0" w:space="0" w:color="auto"/>
                    <w:bottom w:val="none" w:sz="0" w:space="0" w:color="auto"/>
                    <w:right w:val="none" w:sz="0" w:space="0" w:color="auto"/>
                  </w:divBdr>
                  <w:divsChild>
                    <w:div w:id="1753509996">
                      <w:marLeft w:val="0"/>
                      <w:marRight w:val="0"/>
                      <w:marTop w:val="0"/>
                      <w:marBottom w:val="0"/>
                      <w:divBdr>
                        <w:top w:val="none" w:sz="0" w:space="0" w:color="auto"/>
                        <w:left w:val="none" w:sz="0" w:space="0" w:color="auto"/>
                        <w:bottom w:val="none" w:sz="0" w:space="0" w:color="auto"/>
                        <w:right w:val="none" w:sz="0" w:space="0" w:color="auto"/>
                      </w:divBdr>
                    </w:div>
                  </w:divsChild>
                </w:div>
                <w:div w:id="466433418">
                  <w:marLeft w:val="0"/>
                  <w:marRight w:val="0"/>
                  <w:marTop w:val="0"/>
                  <w:marBottom w:val="0"/>
                  <w:divBdr>
                    <w:top w:val="none" w:sz="0" w:space="0" w:color="auto"/>
                    <w:left w:val="none" w:sz="0" w:space="0" w:color="auto"/>
                    <w:bottom w:val="none" w:sz="0" w:space="0" w:color="auto"/>
                    <w:right w:val="none" w:sz="0" w:space="0" w:color="auto"/>
                  </w:divBdr>
                  <w:divsChild>
                    <w:div w:id="274751806">
                      <w:marLeft w:val="0"/>
                      <w:marRight w:val="0"/>
                      <w:marTop w:val="0"/>
                      <w:marBottom w:val="0"/>
                      <w:divBdr>
                        <w:top w:val="none" w:sz="0" w:space="0" w:color="auto"/>
                        <w:left w:val="none" w:sz="0" w:space="0" w:color="auto"/>
                        <w:bottom w:val="none" w:sz="0" w:space="0" w:color="auto"/>
                        <w:right w:val="none" w:sz="0" w:space="0" w:color="auto"/>
                      </w:divBdr>
                    </w:div>
                  </w:divsChild>
                </w:div>
                <w:div w:id="542327647">
                  <w:marLeft w:val="0"/>
                  <w:marRight w:val="0"/>
                  <w:marTop w:val="0"/>
                  <w:marBottom w:val="0"/>
                  <w:divBdr>
                    <w:top w:val="none" w:sz="0" w:space="0" w:color="auto"/>
                    <w:left w:val="none" w:sz="0" w:space="0" w:color="auto"/>
                    <w:bottom w:val="none" w:sz="0" w:space="0" w:color="auto"/>
                    <w:right w:val="none" w:sz="0" w:space="0" w:color="auto"/>
                  </w:divBdr>
                  <w:divsChild>
                    <w:div w:id="1569684483">
                      <w:marLeft w:val="0"/>
                      <w:marRight w:val="0"/>
                      <w:marTop w:val="0"/>
                      <w:marBottom w:val="0"/>
                      <w:divBdr>
                        <w:top w:val="none" w:sz="0" w:space="0" w:color="auto"/>
                        <w:left w:val="none" w:sz="0" w:space="0" w:color="auto"/>
                        <w:bottom w:val="none" w:sz="0" w:space="0" w:color="auto"/>
                        <w:right w:val="none" w:sz="0" w:space="0" w:color="auto"/>
                      </w:divBdr>
                    </w:div>
                  </w:divsChild>
                </w:div>
                <w:div w:id="546917634">
                  <w:marLeft w:val="0"/>
                  <w:marRight w:val="0"/>
                  <w:marTop w:val="0"/>
                  <w:marBottom w:val="0"/>
                  <w:divBdr>
                    <w:top w:val="none" w:sz="0" w:space="0" w:color="auto"/>
                    <w:left w:val="none" w:sz="0" w:space="0" w:color="auto"/>
                    <w:bottom w:val="none" w:sz="0" w:space="0" w:color="auto"/>
                    <w:right w:val="none" w:sz="0" w:space="0" w:color="auto"/>
                  </w:divBdr>
                  <w:divsChild>
                    <w:div w:id="417413148">
                      <w:marLeft w:val="0"/>
                      <w:marRight w:val="0"/>
                      <w:marTop w:val="0"/>
                      <w:marBottom w:val="0"/>
                      <w:divBdr>
                        <w:top w:val="none" w:sz="0" w:space="0" w:color="auto"/>
                        <w:left w:val="none" w:sz="0" w:space="0" w:color="auto"/>
                        <w:bottom w:val="none" w:sz="0" w:space="0" w:color="auto"/>
                        <w:right w:val="none" w:sz="0" w:space="0" w:color="auto"/>
                      </w:divBdr>
                    </w:div>
                  </w:divsChild>
                </w:div>
                <w:div w:id="604114826">
                  <w:marLeft w:val="0"/>
                  <w:marRight w:val="0"/>
                  <w:marTop w:val="0"/>
                  <w:marBottom w:val="0"/>
                  <w:divBdr>
                    <w:top w:val="none" w:sz="0" w:space="0" w:color="auto"/>
                    <w:left w:val="none" w:sz="0" w:space="0" w:color="auto"/>
                    <w:bottom w:val="none" w:sz="0" w:space="0" w:color="auto"/>
                    <w:right w:val="none" w:sz="0" w:space="0" w:color="auto"/>
                  </w:divBdr>
                  <w:divsChild>
                    <w:div w:id="969940231">
                      <w:marLeft w:val="0"/>
                      <w:marRight w:val="0"/>
                      <w:marTop w:val="0"/>
                      <w:marBottom w:val="0"/>
                      <w:divBdr>
                        <w:top w:val="none" w:sz="0" w:space="0" w:color="auto"/>
                        <w:left w:val="none" w:sz="0" w:space="0" w:color="auto"/>
                        <w:bottom w:val="none" w:sz="0" w:space="0" w:color="auto"/>
                        <w:right w:val="none" w:sz="0" w:space="0" w:color="auto"/>
                      </w:divBdr>
                    </w:div>
                  </w:divsChild>
                </w:div>
                <w:div w:id="639111396">
                  <w:marLeft w:val="0"/>
                  <w:marRight w:val="0"/>
                  <w:marTop w:val="0"/>
                  <w:marBottom w:val="0"/>
                  <w:divBdr>
                    <w:top w:val="none" w:sz="0" w:space="0" w:color="auto"/>
                    <w:left w:val="none" w:sz="0" w:space="0" w:color="auto"/>
                    <w:bottom w:val="none" w:sz="0" w:space="0" w:color="auto"/>
                    <w:right w:val="none" w:sz="0" w:space="0" w:color="auto"/>
                  </w:divBdr>
                  <w:divsChild>
                    <w:div w:id="1341203012">
                      <w:marLeft w:val="0"/>
                      <w:marRight w:val="0"/>
                      <w:marTop w:val="0"/>
                      <w:marBottom w:val="0"/>
                      <w:divBdr>
                        <w:top w:val="none" w:sz="0" w:space="0" w:color="auto"/>
                        <w:left w:val="none" w:sz="0" w:space="0" w:color="auto"/>
                        <w:bottom w:val="none" w:sz="0" w:space="0" w:color="auto"/>
                        <w:right w:val="none" w:sz="0" w:space="0" w:color="auto"/>
                      </w:divBdr>
                    </w:div>
                  </w:divsChild>
                </w:div>
                <w:div w:id="677385507">
                  <w:marLeft w:val="0"/>
                  <w:marRight w:val="0"/>
                  <w:marTop w:val="0"/>
                  <w:marBottom w:val="0"/>
                  <w:divBdr>
                    <w:top w:val="none" w:sz="0" w:space="0" w:color="auto"/>
                    <w:left w:val="none" w:sz="0" w:space="0" w:color="auto"/>
                    <w:bottom w:val="none" w:sz="0" w:space="0" w:color="auto"/>
                    <w:right w:val="none" w:sz="0" w:space="0" w:color="auto"/>
                  </w:divBdr>
                  <w:divsChild>
                    <w:div w:id="1824270937">
                      <w:marLeft w:val="0"/>
                      <w:marRight w:val="0"/>
                      <w:marTop w:val="0"/>
                      <w:marBottom w:val="0"/>
                      <w:divBdr>
                        <w:top w:val="none" w:sz="0" w:space="0" w:color="auto"/>
                        <w:left w:val="none" w:sz="0" w:space="0" w:color="auto"/>
                        <w:bottom w:val="none" w:sz="0" w:space="0" w:color="auto"/>
                        <w:right w:val="none" w:sz="0" w:space="0" w:color="auto"/>
                      </w:divBdr>
                    </w:div>
                  </w:divsChild>
                </w:div>
                <w:div w:id="685401749">
                  <w:marLeft w:val="0"/>
                  <w:marRight w:val="0"/>
                  <w:marTop w:val="0"/>
                  <w:marBottom w:val="0"/>
                  <w:divBdr>
                    <w:top w:val="none" w:sz="0" w:space="0" w:color="auto"/>
                    <w:left w:val="none" w:sz="0" w:space="0" w:color="auto"/>
                    <w:bottom w:val="none" w:sz="0" w:space="0" w:color="auto"/>
                    <w:right w:val="none" w:sz="0" w:space="0" w:color="auto"/>
                  </w:divBdr>
                  <w:divsChild>
                    <w:div w:id="1287003913">
                      <w:marLeft w:val="0"/>
                      <w:marRight w:val="0"/>
                      <w:marTop w:val="0"/>
                      <w:marBottom w:val="0"/>
                      <w:divBdr>
                        <w:top w:val="none" w:sz="0" w:space="0" w:color="auto"/>
                        <w:left w:val="none" w:sz="0" w:space="0" w:color="auto"/>
                        <w:bottom w:val="none" w:sz="0" w:space="0" w:color="auto"/>
                        <w:right w:val="none" w:sz="0" w:space="0" w:color="auto"/>
                      </w:divBdr>
                    </w:div>
                  </w:divsChild>
                </w:div>
                <w:div w:id="795561613">
                  <w:marLeft w:val="0"/>
                  <w:marRight w:val="0"/>
                  <w:marTop w:val="0"/>
                  <w:marBottom w:val="0"/>
                  <w:divBdr>
                    <w:top w:val="none" w:sz="0" w:space="0" w:color="auto"/>
                    <w:left w:val="none" w:sz="0" w:space="0" w:color="auto"/>
                    <w:bottom w:val="none" w:sz="0" w:space="0" w:color="auto"/>
                    <w:right w:val="none" w:sz="0" w:space="0" w:color="auto"/>
                  </w:divBdr>
                  <w:divsChild>
                    <w:div w:id="1261449494">
                      <w:marLeft w:val="0"/>
                      <w:marRight w:val="0"/>
                      <w:marTop w:val="0"/>
                      <w:marBottom w:val="0"/>
                      <w:divBdr>
                        <w:top w:val="none" w:sz="0" w:space="0" w:color="auto"/>
                        <w:left w:val="none" w:sz="0" w:space="0" w:color="auto"/>
                        <w:bottom w:val="none" w:sz="0" w:space="0" w:color="auto"/>
                        <w:right w:val="none" w:sz="0" w:space="0" w:color="auto"/>
                      </w:divBdr>
                    </w:div>
                  </w:divsChild>
                </w:div>
                <w:div w:id="837382810">
                  <w:marLeft w:val="0"/>
                  <w:marRight w:val="0"/>
                  <w:marTop w:val="0"/>
                  <w:marBottom w:val="0"/>
                  <w:divBdr>
                    <w:top w:val="none" w:sz="0" w:space="0" w:color="auto"/>
                    <w:left w:val="none" w:sz="0" w:space="0" w:color="auto"/>
                    <w:bottom w:val="none" w:sz="0" w:space="0" w:color="auto"/>
                    <w:right w:val="none" w:sz="0" w:space="0" w:color="auto"/>
                  </w:divBdr>
                  <w:divsChild>
                    <w:div w:id="1254168609">
                      <w:marLeft w:val="0"/>
                      <w:marRight w:val="0"/>
                      <w:marTop w:val="0"/>
                      <w:marBottom w:val="0"/>
                      <w:divBdr>
                        <w:top w:val="none" w:sz="0" w:space="0" w:color="auto"/>
                        <w:left w:val="none" w:sz="0" w:space="0" w:color="auto"/>
                        <w:bottom w:val="none" w:sz="0" w:space="0" w:color="auto"/>
                        <w:right w:val="none" w:sz="0" w:space="0" w:color="auto"/>
                      </w:divBdr>
                    </w:div>
                  </w:divsChild>
                </w:div>
                <w:div w:id="852762675">
                  <w:marLeft w:val="0"/>
                  <w:marRight w:val="0"/>
                  <w:marTop w:val="0"/>
                  <w:marBottom w:val="0"/>
                  <w:divBdr>
                    <w:top w:val="none" w:sz="0" w:space="0" w:color="auto"/>
                    <w:left w:val="none" w:sz="0" w:space="0" w:color="auto"/>
                    <w:bottom w:val="none" w:sz="0" w:space="0" w:color="auto"/>
                    <w:right w:val="none" w:sz="0" w:space="0" w:color="auto"/>
                  </w:divBdr>
                  <w:divsChild>
                    <w:div w:id="1042513373">
                      <w:marLeft w:val="0"/>
                      <w:marRight w:val="0"/>
                      <w:marTop w:val="0"/>
                      <w:marBottom w:val="0"/>
                      <w:divBdr>
                        <w:top w:val="none" w:sz="0" w:space="0" w:color="auto"/>
                        <w:left w:val="none" w:sz="0" w:space="0" w:color="auto"/>
                        <w:bottom w:val="none" w:sz="0" w:space="0" w:color="auto"/>
                        <w:right w:val="none" w:sz="0" w:space="0" w:color="auto"/>
                      </w:divBdr>
                    </w:div>
                  </w:divsChild>
                </w:div>
                <w:div w:id="863254437">
                  <w:marLeft w:val="0"/>
                  <w:marRight w:val="0"/>
                  <w:marTop w:val="0"/>
                  <w:marBottom w:val="0"/>
                  <w:divBdr>
                    <w:top w:val="none" w:sz="0" w:space="0" w:color="auto"/>
                    <w:left w:val="none" w:sz="0" w:space="0" w:color="auto"/>
                    <w:bottom w:val="none" w:sz="0" w:space="0" w:color="auto"/>
                    <w:right w:val="none" w:sz="0" w:space="0" w:color="auto"/>
                  </w:divBdr>
                  <w:divsChild>
                    <w:div w:id="559823597">
                      <w:marLeft w:val="0"/>
                      <w:marRight w:val="0"/>
                      <w:marTop w:val="0"/>
                      <w:marBottom w:val="0"/>
                      <w:divBdr>
                        <w:top w:val="none" w:sz="0" w:space="0" w:color="auto"/>
                        <w:left w:val="none" w:sz="0" w:space="0" w:color="auto"/>
                        <w:bottom w:val="none" w:sz="0" w:space="0" w:color="auto"/>
                        <w:right w:val="none" w:sz="0" w:space="0" w:color="auto"/>
                      </w:divBdr>
                    </w:div>
                  </w:divsChild>
                </w:div>
                <w:div w:id="916593742">
                  <w:marLeft w:val="0"/>
                  <w:marRight w:val="0"/>
                  <w:marTop w:val="0"/>
                  <w:marBottom w:val="0"/>
                  <w:divBdr>
                    <w:top w:val="none" w:sz="0" w:space="0" w:color="auto"/>
                    <w:left w:val="none" w:sz="0" w:space="0" w:color="auto"/>
                    <w:bottom w:val="none" w:sz="0" w:space="0" w:color="auto"/>
                    <w:right w:val="none" w:sz="0" w:space="0" w:color="auto"/>
                  </w:divBdr>
                  <w:divsChild>
                    <w:div w:id="1339961996">
                      <w:marLeft w:val="0"/>
                      <w:marRight w:val="0"/>
                      <w:marTop w:val="0"/>
                      <w:marBottom w:val="0"/>
                      <w:divBdr>
                        <w:top w:val="none" w:sz="0" w:space="0" w:color="auto"/>
                        <w:left w:val="none" w:sz="0" w:space="0" w:color="auto"/>
                        <w:bottom w:val="none" w:sz="0" w:space="0" w:color="auto"/>
                        <w:right w:val="none" w:sz="0" w:space="0" w:color="auto"/>
                      </w:divBdr>
                    </w:div>
                  </w:divsChild>
                </w:div>
                <w:div w:id="929121902">
                  <w:marLeft w:val="0"/>
                  <w:marRight w:val="0"/>
                  <w:marTop w:val="0"/>
                  <w:marBottom w:val="0"/>
                  <w:divBdr>
                    <w:top w:val="none" w:sz="0" w:space="0" w:color="auto"/>
                    <w:left w:val="none" w:sz="0" w:space="0" w:color="auto"/>
                    <w:bottom w:val="none" w:sz="0" w:space="0" w:color="auto"/>
                    <w:right w:val="none" w:sz="0" w:space="0" w:color="auto"/>
                  </w:divBdr>
                  <w:divsChild>
                    <w:div w:id="238491638">
                      <w:marLeft w:val="0"/>
                      <w:marRight w:val="0"/>
                      <w:marTop w:val="0"/>
                      <w:marBottom w:val="0"/>
                      <w:divBdr>
                        <w:top w:val="none" w:sz="0" w:space="0" w:color="auto"/>
                        <w:left w:val="none" w:sz="0" w:space="0" w:color="auto"/>
                        <w:bottom w:val="none" w:sz="0" w:space="0" w:color="auto"/>
                        <w:right w:val="none" w:sz="0" w:space="0" w:color="auto"/>
                      </w:divBdr>
                    </w:div>
                  </w:divsChild>
                </w:div>
                <w:div w:id="985008664">
                  <w:marLeft w:val="0"/>
                  <w:marRight w:val="0"/>
                  <w:marTop w:val="0"/>
                  <w:marBottom w:val="0"/>
                  <w:divBdr>
                    <w:top w:val="none" w:sz="0" w:space="0" w:color="auto"/>
                    <w:left w:val="none" w:sz="0" w:space="0" w:color="auto"/>
                    <w:bottom w:val="none" w:sz="0" w:space="0" w:color="auto"/>
                    <w:right w:val="none" w:sz="0" w:space="0" w:color="auto"/>
                  </w:divBdr>
                  <w:divsChild>
                    <w:div w:id="711810873">
                      <w:marLeft w:val="0"/>
                      <w:marRight w:val="0"/>
                      <w:marTop w:val="0"/>
                      <w:marBottom w:val="0"/>
                      <w:divBdr>
                        <w:top w:val="none" w:sz="0" w:space="0" w:color="auto"/>
                        <w:left w:val="none" w:sz="0" w:space="0" w:color="auto"/>
                        <w:bottom w:val="none" w:sz="0" w:space="0" w:color="auto"/>
                        <w:right w:val="none" w:sz="0" w:space="0" w:color="auto"/>
                      </w:divBdr>
                    </w:div>
                  </w:divsChild>
                </w:div>
                <w:div w:id="1005788924">
                  <w:marLeft w:val="0"/>
                  <w:marRight w:val="0"/>
                  <w:marTop w:val="0"/>
                  <w:marBottom w:val="0"/>
                  <w:divBdr>
                    <w:top w:val="none" w:sz="0" w:space="0" w:color="auto"/>
                    <w:left w:val="none" w:sz="0" w:space="0" w:color="auto"/>
                    <w:bottom w:val="none" w:sz="0" w:space="0" w:color="auto"/>
                    <w:right w:val="none" w:sz="0" w:space="0" w:color="auto"/>
                  </w:divBdr>
                  <w:divsChild>
                    <w:div w:id="1013340188">
                      <w:marLeft w:val="0"/>
                      <w:marRight w:val="0"/>
                      <w:marTop w:val="0"/>
                      <w:marBottom w:val="0"/>
                      <w:divBdr>
                        <w:top w:val="none" w:sz="0" w:space="0" w:color="auto"/>
                        <w:left w:val="none" w:sz="0" w:space="0" w:color="auto"/>
                        <w:bottom w:val="none" w:sz="0" w:space="0" w:color="auto"/>
                        <w:right w:val="none" w:sz="0" w:space="0" w:color="auto"/>
                      </w:divBdr>
                    </w:div>
                  </w:divsChild>
                </w:div>
                <w:div w:id="1018434084">
                  <w:marLeft w:val="0"/>
                  <w:marRight w:val="0"/>
                  <w:marTop w:val="0"/>
                  <w:marBottom w:val="0"/>
                  <w:divBdr>
                    <w:top w:val="none" w:sz="0" w:space="0" w:color="auto"/>
                    <w:left w:val="none" w:sz="0" w:space="0" w:color="auto"/>
                    <w:bottom w:val="none" w:sz="0" w:space="0" w:color="auto"/>
                    <w:right w:val="none" w:sz="0" w:space="0" w:color="auto"/>
                  </w:divBdr>
                  <w:divsChild>
                    <w:div w:id="725953187">
                      <w:marLeft w:val="0"/>
                      <w:marRight w:val="0"/>
                      <w:marTop w:val="0"/>
                      <w:marBottom w:val="0"/>
                      <w:divBdr>
                        <w:top w:val="none" w:sz="0" w:space="0" w:color="auto"/>
                        <w:left w:val="none" w:sz="0" w:space="0" w:color="auto"/>
                        <w:bottom w:val="none" w:sz="0" w:space="0" w:color="auto"/>
                        <w:right w:val="none" w:sz="0" w:space="0" w:color="auto"/>
                      </w:divBdr>
                    </w:div>
                  </w:divsChild>
                </w:div>
                <w:div w:id="1024163302">
                  <w:marLeft w:val="0"/>
                  <w:marRight w:val="0"/>
                  <w:marTop w:val="0"/>
                  <w:marBottom w:val="0"/>
                  <w:divBdr>
                    <w:top w:val="none" w:sz="0" w:space="0" w:color="auto"/>
                    <w:left w:val="none" w:sz="0" w:space="0" w:color="auto"/>
                    <w:bottom w:val="none" w:sz="0" w:space="0" w:color="auto"/>
                    <w:right w:val="none" w:sz="0" w:space="0" w:color="auto"/>
                  </w:divBdr>
                  <w:divsChild>
                    <w:div w:id="1939213628">
                      <w:marLeft w:val="0"/>
                      <w:marRight w:val="0"/>
                      <w:marTop w:val="0"/>
                      <w:marBottom w:val="0"/>
                      <w:divBdr>
                        <w:top w:val="none" w:sz="0" w:space="0" w:color="auto"/>
                        <w:left w:val="none" w:sz="0" w:space="0" w:color="auto"/>
                        <w:bottom w:val="none" w:sz="0" w:space="0" w:color="auto"/>
                        <w:right w:val="none" w:sz="0" w:space="0" w:color="auto"/>
                      </w:divBdr>
                    </w:div>
                  </w:divsChild>
                </w:div>
                <w:div w:id="1026559201">
                  <w:marLeft w:val="0"/>
                  <w:marRight w:val="0"/>
                  <w:marTop w:val="0"/>
                  <w:marBottom w:val="0"/>
                  <w:divBdr>
                    <w:top w:val="none" w:sz="0" w:space="0" w:color="auto"/>
                    <w:left w:val="none" w:sz="0" w:space="0" w:color="auto"/>
                    <w:bottom w:val="none" w:sz="0" w:space="0" w:color="auto"/>
                    <w:right w:val="none" w:sz="0" w:space="0" w:color="auto"/>
                  </w:divBdr>
                  <w:divsChild>
                    <w:div w:id="1495343688">
                      <w:marLeft w:val="0"/>
                      <w:marRight w:val="0"/>
                      <w:marTop w:val="0"/>
                      <w:marBottom w:val="0"/>
                      <w:divBdr>
                        <w:top w:val="none" w:sz="0" w:space="0" w:color="auto"/>
                        <w:left w:val="none" w:sz="0" w:space="0" w:color="auto"/>
                        <w:bottom w:val="none" w:sz="0" w:space="0" w:color="auto"/>
                        <w:right w:val="none" w:sz="0" w:space="0" w:color="auto"/>
                      </w:divBdr>
                    </w:div>
                  </w:divsChild>
                </w:div>
                <w:div w:id="1029797429">
                  <w:marLeft w:val="0"/>
                  <w:marRight w:val="0"/>
                  <w:marTop w:val="0"/>
                  <w:marBottom w:val="0"/>
                  <w:divBdr>
                    <w:top w:val="none" w:sz="0" w:space="0" w:color="auto"/>
                    <w:left w:val="none" w:sz="0" w:space="0" w:color="auto"/>
                    <w:bottom w:val="none" w:sz="0" w:space="0" w:color="auto"/>
                    <w:right w:val="none" w:sz="0" w:space="0" w:color="auto"/>
                  </w:divBdr>
                  <w:divsChild>
                    <w:div w:id="1802917405">
                      <w:marLeft w:val="0"/>
                      <w:marRight w:val="0"/>
                      <w:marTop w:val="0"/>
                      <w:marBottom w:val="0"/>
                      <w:divBdr>
                        <w:top w:val="none" w:sz="0" w:space="0" w:color="auto"/>
                        <w:left w:val="none" w:sz="0" w:space="0" w:color="auto"/>
                        <w:bottom w:val="none" w:sz="0" w:space="0" w:color="auto"/>
                        <w:right w:val="none" w:sz="0" w:space="0" w:color="auto"/>
                      </w:divBdr>
                    </w:div>
                  </w:divsChild>
                </w:div>
                <w:div w:id="1060978702">
                  <w:marLeft w:val="0"/>
                  <w:marRight w:val="0"/>
                  <w:marTop w:val="0"/>
                  <w:marBottom w:val="0"/>
                  <w:divBdr>
                    <w:top w:val="none" w:sz="0" w:space="0" w:color="auto"/>
                    <w:left w:val="none" w:sz="0" w:space="0" w:color="auto"/>
                    <w:bottom w:val="none" w:sz="0" w:space="0" w:color="auto"/>
                    <w:right w:val="none" w:sz="0" w:space="0" w:color="auto"/>
                  </w:divBdr>
                  <w:divsChild>
                    <w:div w:id="164898947">
                      <w:marLeft w:val="0"/>
                      <w:marRight w:val="0"/>
                      <w:marTop w:val="0"/>
                      <w:marBottom w:val="0"/>
                      <w:divBdr>
                        <w:top w:val="none" w:sz="0" w:space="0" w:color="auto"/>
                        <w:left w:val="none" w:sz="0" w:space="0" w:color="auto"/>
                        <w:bottom w:val="none" w:sz="0" w:space="0" w:color="auto"/>
                        <w:right w:val="none" w:sz="0" w:space="0" w:color="auto"/>
                      </w:divBdr>
                    </w:div>
                  </w:divsChild>
                </w:div>
                <w:div w:id="1063025886">
                  <w:marLeft w:val="0"/>
                  <w:marRight w:val="0"/>
                  <w:marTop w:val="0"/>
                  <w:marBottom w:val="0"/>
                  <w:divBdr>
                    <w:top w:val="none" w:sz="0" w:space="0" w:color="auto"/>
                    <w:left w:val="none" w:sz="0" w:space="0" w:color="auto"/>
                    <w:bottom w:val="none" w:sz="0" w:space="0" w:color="auto"/>
                    <w:right w:val="none" w:sz="0" w:space="0" w:color="auto"/>
                  </w:divBdr>
                  <w:divsChild>
                    <w:div w:id="731536856">
                      <w:marLeft w:val="0"/>
                      <w:marRight w:val="0"/>
                      <w:marTop w:val="0"/>
                      <w:marBottom w:val="0"/>
                      <w:divBdr>
                        <w:top w:val="none" w:sz="0" w:space="0" w:color="auto"/>
                        <w:left w:val="none" w:sz="0" w:space="0" w:color="auto"/>
                        <w:bottom w:val="none" w:sz="0" w:space="0" w:color="auto"/>
                        <w:right w:val="none" w:sz="0" w:space="0" w:color="auto"/>
                      </w:divBdr>
                    </w:div>
                  </w:divsChild>
                </w:div>
                <w:div w:id="1064370574">
                  <w:marLeft w:val="0"/>
                  <w:marRight w:val="0"/>
                  <w:marTop w:val="0"/>
                  <w:marBottom w:val="0"/>
                  <w:divBdr>
                    <w:top w:val="none" w:sz="0" w:space="0" w:color="auto"/>
                    <w:left w:val="none" w:sz="0" w:space="0" w:color="auto"/>
                    <w:bottom w:val="none" w:sz="0" w:space="0" w:color="auto"/>
                    <w:right w:val="none" w:sz="0" w:space="0" w:color="auto"/>
                  </w:divBdr>
                  <w:divsChild>
                    <w:div w:id="1601065454">
                      <w:marLeft w:val="0"/>
                      <w:marRight w:val="0"/>
                      <w:marTop w:val="0"/>
                      <w:marBottom w:val="0"/>
                      <w:divBdr>
                        <w:top w:val="none" w:sz="0" w:space="0" w:color="auto"/>
                        <w:left w:val="none" w:sz="0" w:space="0" w:color="auto"/>
                        <w:bottom w:val="none" w:sz="0" w:space="0" w:color="auto"/>
                        <w:right w:val="none" w:sz="0" w:space="0" w:color="auto"/>
                      </w:divBdr>
                    </w:div>
                  </w:divsChild>
                </w:div>
                <w:div w:id="1119253254">
                  <w:marLeft w:val="0"/>
                  <w:marRight w:val="0"/>
                  <w:marTop w:val="0"/>
                  <w:marBottom w:val="0"/>
                  <w:divBdr>
                    <w:top w:val="none" w:sz="0" w:space="0" w:color="auto"/>
                    <w:left w:val="none" w:sz="0" w:space="0" w:color="auto"/>
                    <w:bottom w:val="none" w:sz="0" w:space="0" w:color="auto"/>
                    <w:right w:val="none" w:sz="0" w:space="0" w:color="auto"/>
                  </w:divBdr>
                  <w:divsChild>
                    <w:div w:id="1971474196">
                      <w:marLeft w:val="0"/>
                      <w:marRight w:val="0"/>
                      <w:marTop w:val="0"/>
                      <w:marBottom w:val="0"/>
                      <w:divBdr>
                        <w:top w:val="none" w:sz="0" w:space="0" w:color="auto"/>
                        <w:left w:val="none" w:sz="0" w:space="0" w:color="auto"/>
                        <w:bottom w:val="none" w:sz="0" w:space="0" w:color="auto"/>
                        <w:right w:val="none" w:sz="0" w:space="0" w:color="auto"/>
                      </w:divBdr>
                    </w:div>
                  </w:divsChild>
                </w:div>
                <w:div w:id="1130319760">
                  <w:marLeft w:val="0"/>
                  <w:marRight w:val="0"/>
                  <w:marTop w:val="0"/>
                  <w:marBottom w:val="0"/>
                  <w:divBdr>
                    <w:top w:val="none" w:sz="0" w:space="0" w:color="auto"/>
                    <w:left w:val="none" w:sz="0" w:space="0" w:color="auto"/>
                    <w:bottom w:val="none" w:sz="0" w:space="0" w:color="auto"/>
                    <w:right w:val="none" w:sz="0" w:space="0" w:color="auto"/>
                  </w:divBdr>
                  <w:divsChild>
                    <w:div w:id="469520221">
                      <w:marLeft w:val="0"/>
                      <w:marRight w:val="0"/>
                      <w:marTop w:val="0"/>
                      <w:marBottom w:val="0"/>
                      <w:divBdr>
                        <w:top w:val="none" w:sz="0" w:space="0" w:color="auto"/>
                        <w:left w:val="none" w:sz="0" w:space="0" w:color="auto"/>
                        <w:bottom w:val="none" w:sz="0" w:space="0" w:color="auto"/>
                        <w:right w:val="none" w:sz="0" w:space="0" w:color="auto"/>
                      </w:divBdr>
                    </w:div>
                  </w:divsChild>
                </w:div>
                <w:div w:id="1175461533">
                  <w:marLeft w:val="0"/>
                  <w:marRight w:val="0"/>
                  <w:marTop w:val="0"/>
                  <w:marBottom w:val="0"/>
                  <w:divBdr>
                    <w:top w:val="none" w:sz="0" w:space="0" w:color="auto"/>
                    <w:left w:val="none" w:sz="0" w:space="0" w:color="auto"/>
                    <w:bottom w:val="none" w:sz="0" w:space="0" w:color="auto"/>
                    <w:right w:val="none" w:sz="0" w:space="0" w:color="auto"/>
                  </w:divBdr>
                  <w:divsChild>
                    <w:div w:id="1230186414">
                      <w:marLeft w:val="0"/>
                      <w:marRight w:val="0"/>
                      <w:marTop w:val="0"/>
                      <w:marBottom w:val="0"/>
                      <w:divBdr>
                        <w:top w:val="none" w:sz="0" w:space="0" w:color="auto"/>
                        <w:left w:val="none" w:sz="0" w:space="0" w:color="auto"/>
                        <w:bottom w:val="none" w:sz="0" w:space="0" w:color="auto"/>
                        <w:right w:val="none" w:sz="0" w:space="0" w:color="auto"/>
                      </w:divBdr>
                    </w:div>
                  </w:divsChild>
                </w:div>
                <w:div w:id="1203858955">
                  <w:marLeft w:val="0"/>
                  <w:marRight w:val="0"/>
                  <w:marTop w:val="0"/>
                  <w:marBottom w:val="0"/>
                  <w:divBdr>
                    <w:top w:val="none" w:sz="0" w:space="0" w:color="auto"/>
                    <w:left w:val="none" w:sz="0" w:space="0" w:color="auto"/>
                    <w:bottom w:val="none" w:sz="0" w:space="0" w:color="auto"/>
                    <w:right w:val="none" w:sz="0" w:space="0" w:color="auto"/>
                  </w:divBdr>
                  <w:divsChild>
                    <w:div w:id="854343409">
                      <w:marLeft w:val="0"/>
                      <w:marRight w:val="0"/>
                      <w:marTop w:val="0"/>
                      <w:marBottom w:val="0"/>
                      <w:divBdr>
                        <w:top w:val="none" w:sz="0" w:space="0" w:color="auto"/>
                        <w:left w:val="none" w:sz="0" w:space="0" w:color="auto"/>
                        <w:bottom w:val="none" w:sz="0" w:space="0" w:color="auto"/>
                        <w:right w:val="none" w:sz="0" w:space="0" w:color="auto"/>
                      </w:divBdr>
                    </w:div>
                  </w:divsChild>
                </w:div>
                <w:div w:id="1216234766">
                  <w:marLeft w:val="0"/>
                  <w:marRight w:val="0"/>
                  <w:marTop w:val="0"/>
                  <w:marBottom w:val="0"/>
                  <w:divBdr>
                    <w:top w:val="none" w:sz="0" w:space="0" w:color="auto"/>
                    <w:left w:val="none" w:sz="0" w:space="0" w:color="auto"/>
                    <w:bottom w:val="none" w:sz="0" w:space="0" w:color="auto"/>
                    <w:right w:val="none" w:sz="0" w:space="0" w:color="auto"/>
                  </w:divBdr>
                  <w:divsChild>
                    <w:div w:id="1138916436">
                      <w:marLeft w:val="0"/>
                      <w:marRight w:val="0"/>
                      <w:marTop w:val="0"/>
                      <w:marBottom w:val="0"/>
                      <w:divBdr>
                        <w:top w:val="none" w:sz="0" w:space="0" w:color="auto"/>
                        <w:left w:val="none" w:sz="0" w:space="0" w:color="auto"/>
                        <w:bottom w:val="none" w:sz="0" w:space="0" w:color="auto"/>
                        <w:right w:val="none" w:sz="0" w:space="0" w:color="auto"/>
                      </w:divBdr>
                    </w:div>
                  </w:divsChild>
                </w:div>
                <w:div w:id="1267347577">
                  <w:marLeft w:val="0"/>
                  <w:marRight w:val="0"/>
                  <w:marTop w:val="0"/>
                  <w:marBottom w:val="0"/>
                  <w:divBdr>
                    <w:top w:val="none" w:sz="0" w:space="0" w:color="auto"/>
                    <w:left w:val="none" w:sz="0" w:space="0" w:color="auto"/>
                    <w:bottom w:val="none" w:sz="0" w:space="0" w:color="auto"/>
                    <w:right w:val="none" w:sz="0" w:space="0" w:color="auto"/>
                  </w:divBdr>
                  <w:divsChild>
                    <w:div w:id="121116392">
                      <w:marLeft w:val="0"/>
                      <w:marRight w:val="0"/>
                      <w:marTop w:val="0"/>
                      <w:marBottom w:val="0"/>
                      <w:divBdr>
                        <w:top w:val="none" w:sz="0" w:space="0" w:color="auto"/>
                        <w:left w:val="none" w:sz="0" w:space="0" w:color="auto"/>
                        <w:bottom w:val="none" w:sz="0" w:space="0" w:color="auto"/>
                        <w:right w:val="none" w:sz="0" w:space="0" w:color="auto"/>
                      </w:divBdr>
                    </w:div>
                  </w:divsChild>
                </w:div>
                <w:div w:id="1317224163">
                  <w:marLeft w:val="0"/>
                  <w:marRight w:val="0"/>
                  <w:marTop w:val="0"/>
                  <w:marBottom w:val="0"/>
                  <w:divBdr>
                    <w:top w:val="none" w:sz="0" w:space="0" w:color="auto"/>
                    <w:left w:val="none" w:sz="0" w:space="0" w:color="auto"/>
                    <w:bottom w:val="none" w:sz="0" w:space="0" w:color="auto"/>
                    <w:right w:val="none" w:sz="0" w:space="0" w:color="auto"/>
                  </w:divBdr>
                  <w:divsChild>
                    <w:div w:id="1418550701">
                      <w:marLeft w:val="0"/>
                      <w:marRight w:val="0"/>
                      <w:marTop w:val="0"/>
                      <w:marBottom w:val="0"/>
                      <w:divBdr>
                        <w:top w:val="none" w:sz="0" w:space="0" w:color="auto"/>
                        <w:left w:val="none" w:sz="0" w:space="0" w:color="auto"/>
                        <w:bottom w:val="none" w:sz="0" w:space="0" w:color="auto"/>
                        <w:right w:val="none" w:sz="0" w:space="0" w:color="auto"/>
                      </w:divBdr>
                    </w:div>
                  </w:divsChild>
                </w:div>
                <w:div w:id="1334647104">
                  <w:marLeft w:val="0"/>
                  <w:marRight w:val="0"/>
                  <w:marTop w:val="0"/>
                  <w:marBottom w:val="0"/>
                  <w:divBdr>
                    <w:top w:val="none" w:sz="0" w:space="0" w:color="auto"/>
                    <w:left w:val="none" w:sz="0" w:space="0" w:color="auto"/>
                    <w:bottom w:val="none" w:sz="0" w:space="0" w:color="auto"/>
                    <w:right w:val="none" w:sz="0" w:space="0" w:color="auto"/>
                  </w:divBdr>
                  <w:divsChild>
                    <w:div w:id="119151827">
                      <w:marLeft w:val="0"/>
                      <w:marRight w:val="0"/>
                      <w:marTop w:val="0"/>
                      <w:marBottom w:val="0"/>
                      <w:divBdr>
                        <w:top w:val="none" w:sz="0" w:space="0" w:color="auto"/>
                        <w:left w:val="none" w:sz="0" w:space="0" w:color="auto"/>
                        <w:bottom w:val="none" w:sz="0" w:space="0" w:color="auto"/>
                        <w:right w:val="none" w:sz="0" w:space="0" w:color="auto"/>
                      </w:divBdr>
                    </w:div>
                  </w:divsChild>
                </w:div>
                <w:div w:id="1359039781">
                  <w:marLeft w:val="0"/>
                  <w:marRight w:val="0"/>
                  <w:marTop w:val="0"/>
                  <w:marBottom w:val="0"/>
                  <w:divBdr>
                    <w:top w:val="none" w:sz="0" w:space="0" w:color="auto"/>
                    <w:left w:val="none" w:sz="0" w:space="0" w:color="auto"/>
                    <w:bottom w:val="none" w:sz="0" w:space="0" w:color="auto"/>
                    <w:right w:val="none" w:sz="0" w:space="0" w:color="auto"/>
                  </w:divBdr>
                  <w:divsChild>
                    <w:div w:id="2074965743">
                      <w:marLeft w:val="0"/>
                      <w:marRight w:val="0"/>
                      <w:marTop w:val="0"/>
                      <w:marBottom w:val="0"/>
                      <w:divBdr>
                        <w:top w:val="none" w:sz="0" w:space="0" w:color="auto"/>
                        <w:left w:val="none" w:sz="0" w:space="0" w:color="auto"/>
                        <w:bottom w:val="none" w:sz="0" w:space="0" w:color="auto"/>
                        <w:right w:val="none" w:sz="0" w:space="0" w:color="auto"/>
                      </w:divBdr>
                    </w:div>
                  </w:divsChild>
                </w:div>
                <w:div w:id="1404526861">
                  <w:marLeft w:val="0"/>
                  <w:marRight w:val="0"/>
                  <w:marTop w:val="0"/>
                  <w:marBottom w:val="0"/>
                  <w:divBdr>
                    <w:top w:val="none" w:sz="0" w:space="0" w:color="auto"/>
                    <w:left w:val="none" w:sz="0" w:space="0" w:color="auto"/>
                    <w:bottom w:val="none" w:sz="0" w:space="0" w:color="auto"/>
                    <w:right w:val="none" w:sz="0" w:space="0" w:color="auto"/>
                  </w:divBdr>
                  <w:divsChild>
                    <w:div w:id="1598439394">
                      <w:marLeft w:val="0"/>
                      <w:marRight w:val="0"/>
                      <w:marTop w:val="0"/>
                      <w:marBottom w:val="0"/>
                      <w:divBdr>
                        <w:top w:val="none" w:sz="0" w:space="0" w:color="auto"/>
                        <w:left w:val="none" w:sz="0" w:space="0" w:color="auto"/>
                        <w:bottom w:val="none" w:sz="0" w:space="0" w:color="auto"/>
                        <w:right w:val="none" w:sz="0" w:space="0" w:color="auto"/>
                      </w:divBdr>
                    </w:div>
                  </w:divsChild>
                </w:div>
                <w:div w:id="1482503497">
                  <w:marLeft w:val="0"/>
                  <w:marRight w:val="0"/>
                  <w:marTop w:val="0"/>
                  <w:marBottom w:val="0"/>
                  <w:divBdr>
                    <w:top w:val="none" w:sz="0" w:space="0" w:color="auto"/>
                    <w:left w:val="none" w:sz="0" w:space="0" w:color="auto"/>
                    <w:bottom w:val="none" w:sz="0" w:space="0" w:color="auto"/>
                    <w:right w:val="none" w:sz="0" w:space="0" w:color="auto"/>
                  </w:divBdr>
                  <w:divsChild>
                    <w:div w:id="1970013290">
                      <w:marLeft w:val="0"/>
                      <w:marRight w:val="0"/>
                      <w:marTop w:val="0"/>
                      <w:marBottom w:val="0"/>
                      <w:divBdr>
                        <w:top w:val="none" w:sz="0" w:space="0" w:color="auto"/>
                        <w:left w:val="none" w:sz="0" w:space="0" w:color="auto"/>
                        <w:bottom w:val="none" w:sz="0" w:space="0" w:color="auto"/>
                        <w:right w:val="none" w:sz="0" w:space="0" w:color="auto"/>
                      </w:divBdr>
                    </w:div>
                  </w:divsChild>
                </w:div>
                <w:div w:id="1484740725">
                  <w:marLeft w:val="0"/>
                  <w:marRight w:val="0"/>
                  <w:marTop w:val="0"/>
                  <w:marBottom w:val="0"/>
                  <w:divBdr>
                    <w:top w:val="none" w:sz="0" w:space="0" w:color="auto"/>
                    <w:left w:val="none" w:sz="0" w:space="0" w:color="auto"/>
                    <w:bottom w:val="none" w:sz="0" w:space="0" w:color="auto"/>
                    <w:right w:val="none" w:sz="0" w:space="0" w:color="auto"/>
                  </w:divBdr>
                  <w:divsChild>
                    <w:div w:id="870537495">
                      <w:marLeft w:val="0"/>
                      <w:marRight w:val="0"/>
                      <w:marTop w:val="0"/>
                      <w:marBottom w:val="0"/>
                      <w:divBdr>
                        <w:top w:val="none" w:sz="0" w:space="0" w:color="auto"/>
                        <w:left w:val="none" w:sz="0" w:space="0" w:color="auto"/>
                        <w:bottom w:val="none" w:sz="0" w:space="0" w:color="auto"/>
                        <w:right w:val="none" w:sz="0" w:space="0" w:color="auto"/>
                      </w:divBdr>
                    </w:div>
                  </w:divsChild>
                </w:div>
                <w:div w:id="1618179072">
                  <w:marLeft w:val="0"/>
                  <w:marRight w:val="0"/>
                  <w:marTop w:val="0"/>
                  <w:marBottom w:val="0"/>
                  <w:divBdr>
                    <w:top w:val="none" w:sz="0" w:space="0" w:color="auto"/>
                    <w:left w:val="none" w:sz="0" w:space="0" w:color="auto"/>
                    <w:bottom w:val="none" w:sz="0" w:space="0" w:color="auto"/>
                    <w:right w:val="none" w:sz="0" w:space="0" w:color="auto"/>
                  </w:divBdr>
                  <w:divsChild>
                    <w:div w:id="577640829">
                      <w:marLeft w:val="0"/>
                      <w:marRight w:val="0"/>
                      <w:marTop w:val="0"/>
                      <w:marBottom w:val="0"/>
                      <w:divBdr>
                        <w:top w:val="none" w:sz="0" w:space="0" w:color="auto"/>
                        <w:left w:val="none" w:sz="0" w:space="0" w:color="auto"/>
                        <w:bottom w:val="none" w:sz="0" w:space="0" w:color="auto"/>
                        <w:right w:val="none" w:sz="0" w:space="0" w:color="auto"/>
                      </w:divBdr>
                    </w:div>
                  </w:divsChild>
                </w:div>
                <w:div w:id="1629702560">
                  <w:marLeft w:val="0"/>
                  <w:marRight w:val="0"/>
                  <w:marTop w:val="0"/>
                  <w:marBottom w:val="0"/>
                  <w:divBdr>
                    <w:top w:val="none" w:sz="0" w:space="0" w:color="auto"/>
                    <w:left w:val="none" w:sz="0" w:space="0" w:color="auto"/>
                    <w:bottom w:val="none" w:sz="0" w:space="0" w:color="auto"/>
                    <w:right w:val="none" w:sz="0" w:space="0" w:color="auto"/>
                  </w:divBdr>
                  <w:divsChild>
                    <w:div w:id="1926843373">
                      <w:marLeft w:val="0"/>
                      <w:marRight w:val="0"/>
                      <w:marTop w:val="0"/>
                      <w:marBottom w:val="0"/>
                      <w:divBdr>
                        <w:top w:val="none" w:sz="0" w:space="0" w:color="auto"/>
                        <w:left w:val="none" w:sz="0" w:space="0" w:color="auto"/>
                        <w:bottom w:val="none" w:sz="0" w:space="0" w:color="auto"/>
                        <w:right w:val="none" w:sz="0" w:space="0" w:color="auto"/>
                      </w:divBdr>
                    </w:div>
                  </w:divsChild>
                </w:div>
                <w:div w:id="1650675134">
                  <w:marLeft w:val="0"/>
                  <w:marRight w:val="0"/>
                  <w:marTop w:val="0"/>
                  <w:marBottom w:val="0"/>
                  <w:divBdr>
                    <w:top w:val="none" w:sz="0" w:space="0" w:color="auto"/>
                    <w:left w:val="none" w:sz="0" w:space="0" w:color="auto"/>
                    <w:bottom w:val="none" w:sz="0" w:space="0" w:color="auto"/>
                    <w:right w:val="none" w:sz="0" w:space="0" w:color="auto"/>
                  </w:divBdr>
                  <w:divsChild>
                    <w:div w:id="420295499">
                      <w:marLeft w:val="0"/>
                      <w:marRight w:val="0"/>
                      <w:marTop w:val="0"/>
                      <w:marBottom w:val="0"/>
                      <w:divBdr>
                        <w:top w:val="none" w:sz="0" w:space="0" w:color="auto"/>
                        <w:left w:val="none" w:sz="0" w:space="0" w:color="auto"/>
                        <w:bottom w:val="none" w:sz="0" w:space="0" w:color="auto"/>
                        <w:right w:val="none" w:sz="0" w:space="0" w:color="auto"/>
                      </w:divBdr>
                    </w:div>
                  </w:divsChild>
                </w:div>
                <w:div w:id="1657805180">
                  <w:marLeft w:val="0"/>
                  <w:marRight w:val="0"/>
                  <w:marTop w:val="0"/>
                  <w:marBottom w:val="0"/>
                  <w:divBdr>
                    <w:top w:val="none" w:sz="0" w:space="0" w:color="auto"/>
                    <w:left w:val="none" w:sz="0" w:space="0" w:color="auto"/>
                    <w:bottom w:val="none" w:sz="0" w:space="0" w:color="auto"/>
                    <w:right w:val="none" w:sz="0" w:space="0" w:color="auto"/>
                  </w:divBdr>
                  <w:divsChild>
                    <w:div w:id="1329868636">
                      <w:marLeft w:val="0"/>
                      <w:marRight w:val="0"/>
                      <w:marTop w:val="0"/>
                      <w:marBottom w:val="0"/>
                      <w:divBdr>
                        <w:top w:val="none" w:sz="0" w:space="0" w:color="auto"/>
                        <w:left w:val="none" w:sz="0" w:space="0" w:color="auto"/>
                        <w:bottom w:val="none" w:sz="0" w:space="0" w:color="auto"/>
                        <w:right w:val="none" w:sz="0" w:space="0" w:color="auto"/>
                      </w:divBdr>
                    </w:div>
                  </w:divsChild>
                </w:div>
                <w:div w:id="1711883404">
                  <w:marLeft w:val="0"/>
                  <w:marRight w:val="0"/>
                  <w:marTop w:val="0"/>
                  <w:marBottom w:val="0"/>
                  <w:divBdr>
                    <w:top w:val="none" w:sz="0" w:space="0" w:color="auto"/>
                    <w:left w:val="none" w:sz="0" w:space="0" w:color="auto"/>
                    <w:bottom w:val="none" w:sz="0" w:space="0" w:color="auto"/>
                    <w:right w:val="none" w:sz="0" w:space="0" w:color="auto"/>
                  </w:divBdr>
                  <w:divsChild>
                    <w:div w:id="896401741">
                      <w:marLeft w:val="0"/>
                      <w:marRight w:val="0"/>
                      <w:marTop w:val="0"/>
                      <w:marBottom w:val="0"/>
                      <w:divBdr>
                        <w:top w:val="none" w:sz="0" w:space="0" w:color="auto"/>
                        <w:left w:val="none" w:sz="0" w:space="0" w:color="auto"/>
                        <w:bottom w:val="none" w:sz="0" w:space="0" w:color="auto"/>
                        <w:right w:val="none" w:sz="0" w:space="0" w:color="auto"/>
                      </w:divBdr>
                    </w:div>
                  </w:divsChild>
                </w:div>
                <w:div w:id="1793285641">
                  <w:marLeft w:val="0"/>
                  <w:marRight w:val="0"/>
                  <w:marTop w:val="0"/>
                  <w:marBottom w:val="0"/>
                  <w:divBdr>
                    <w:top w:val="none" w:sz="0" w:space="0" w:color="auto"/>
                    <w:left w:val="none" w:sz="0" w:space="0" w:color="auto"/>
                    <w:bottom w:val="none" w:sz="0" w:space="0" w:color="auto"/>
                    <w:right w:val="none" w:sz="0" w:space="0" w:color="auto"/>
                  </w:divBdr>
                  <w:divsChild>
                    <w:div w:id="1132019916">
                      <w:marLeft w:val="0"/>
                      <w:marRight w:val="0"/>
                      <w:marTop w:val="0"/>
                      <w:marBottom w:val="0"/>
                      <w:divBdr>
                        <w:top w:val="none" w:sz="0" w:space="0" w:color="auto"/>
                        <w:left w:val="none" w:sz="0" w:space="0" w:color="auto"/>
                        <w:bottom w:val="none" w:sz="0" w:space="0" w:color="auto"/>
                        <w:right w:val="none" w:sz="0" w:space="0" w:color="auto"/>
                      </w:divBdr>
                    </w:div>
                  </w:divsChild>
                </w:div>
                <w:div w:id="1909534088">
                  <w:marLeft w:val="0"/>
                  <w:marRight w:val="0"/>
                  <w:marTop w:val="0"/>
                  <w:marBottom w:val="0"/>
                  <w:divBdr>
                    <w:top w:val="none" w:sz="0" w:space="0" w:color="auto"/>
                    <w:left w:val="none" w:sz="0" w:space="0" w:color="auto"/>
                    <w:bottom w:val="none" w:sz="0" w:space="0" w:color="auto"/>
                    <w:right w:val="none" w:sz="0" w:space="0" w:color="auto"/>
                  </w:divBdr>
                  <w:divsChild>
                    <w:div w:id="1763915035">
                      <w:marLeft w:val="0"/>
                      <w:marRight w:val="0"/>
                      <w:marTop w:val="0"/>
                      <w:marBottom w:val="0"/>
                      <w:divBdr>
                        <w:top w:val="none" w:sz="0" w:space="0" w:color="auto"/>
                        <w:left w:val="none" w:sz="0" w:space="0" w:color="auto"/>
                        <w:bottom w:val="none" w:sz="0" w:space="0" w:color="auto"/>
                        <w:right w:val="none" w:sz="0" w:space="0" w:color="auto"/>
                      </w:divBdr>
                    </w:div>
                  </w:divsChild>
                </w:div>
                <w:div w:id="1956791702">
                  <w:marLeft w:val="0"/>
                  <w:marRight w:val="0"/>
                  <w:marTop w:val="0"/>
                  <w:marBottom w:val="0"/>
                  <w:divBdr>
                    <w:top w:val="none" w:sz="0" w:space="0" w:color="auto"/>
                    <w:left w:val="none" w:sz="0" w:space="0" w:color="auto"/>
                    <w:bottom w:val="none" w:sz="0" w:space="0" w:color="auto"/>
                    <w:right w:val="none" w:sz="0" w:space="0" w:color="auto"/>
                  </w:divBdr>
                  <w:divsChild>
                    <w:div w:id="1913542051">
                      <w:marLeft w:val="0"/>
                      <w:marRight w:val="0"/>
                      <w:marTop w:val="0"/>
                      <w:marBottom w:val="0"/>
                      <w:divBdr>
                        <w:top w:val="none" w:sz="0" w:space="0" w:color="auto"/>
                        <w:left w:val="none" w:sz="0" w:space="0" w:color="auto"/>
                        <w:bottom w:val="none" w:sz="0" w:space="0" w:color="auto"/>
                        <w:right w:val="none" w:sz="0" w:space="0" w:color="auto"/>
                      </w:divBdr>
                    </w:div>
                  </w:divsChild>
                </w:div>
                <w:div w:id="2087993244">
                  <w:marLeft w:val="0"/>
                  <w:marRight w:val="0"/>
                  <w:marTop w:val="0"/>
                  <w:marBottom w:val="0"/>
                  <w:divBdr>
                    <w:top w:val="none" w:sz="0" w:space="0" w:color="auto"/>
                    <w:left w:val="none" w:sz="0" w:space="0" w:color="auto"/>
                    <w:bottom w:val="none" w:sz="0" w:space="0" w:color="auto"/>
                    <w:right w:val="none" w:sz="0" w:space="0" w:color="auto"/>
                  </w:divBdr>
                  <w:divsChild>
                    <w:div w:id="608583971">
                      <w:marLeft w:val="0"/>
                      <w:marRight w:val="0"/>
                      <w:marTop w:val="0"/>
                      <w:marBottom w:val="0"/>
                      <w:divBdr>
                        <w:top w:val="none" w:sz="0" w:space="0" w:color="auto"/>
                        <w:left w:val="none" w:sz="0" w:space="0" w:color="auto"/>
                        <w:bottom w:val="none" w:sz="0" w:space="0" w:color="auto"/>
                        <w:right w:val="none" w:sz="0" w:space="0" w:color="auto"/>
                      </w:divBdr>
                    </w:div>
                  </w:divsChild>
                </w:div>
                <w:div w:id="2108305097">
                  <w:marLeft w:val="0"/>
                  <w:marRight w:val="0"/>
                  <w:marTop w:val="0"/>
                  <w:marBottom w:val="0"/>
                  <w:divBdr>
                    <w:top w:val="none" w:sz="0" w:space="0" w:color="auto"/>
                    <w:left w:val="none" w:sz="0" w:space="0" w:color="auto"/>
                    <w:bottom w:val="none" w:sz="0" w:space="0" w:color="auto"/>
                    <w:right w:val="none" w:sz="0" w:space="0" w:color="auto"/>
                  </w:divBdr>
                  <w:divsChild>
                    <w:div w:id="2097046044">
                      <w:marLeft w:val="0"/>
                      <w:marRight w:val="0"/>
                      <w:marTop w:val="0"/>
                      <w:marBottom w:val="0"/>
                      <w:divBdr>
                        <w:top w:val="none" w:sz="0" w:space="0" w:color="auto"/>
                        <w:left w:val="none" w:sz="0" w:space="0" w:color="auto"/>
                        <w:bottom w:val="none" w:sz="0" w:space="0" w:color="auto"/>
                        <w:right w:val="none" w:sz="0" w:space="0" w:color="auto"/>
                      </w:divBdr>
                    </w:div>
                  </w:divsChild>
                </w:div>
                <w:div w:id="2122920921">
                  <w:marLeft w:val="0"/>
                  <w:marRight w:val="0"/>
                  <w:marTop w:val="0"/>
                  <w:marBottom w:val="0"/>
                  <w:divBdr>
                    <w:top w:val="none" w:sz="0" w:space="0" w:color="auto"/>
                    <w:left w:val="none" w:sz="0" w:space="0" w:color="auto"/>
                    <w:bottom w:val="none" w:sz="0" w:space="0" w:color="auto"/>
                    <w:right w:val="none" w:sz="0" w:space="0" w:color="auto"/>
                  </w:divBdr>
                  <w:divsChild>
                    <w:div w:id="12753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2177">
          <w:marLeft w:val="0"/>
          <w:marRight w:val="0"/>
          <w:marTop w:val="0"/>
          <w:marBottom w:val="0"/>
          <w:divBdr>
            <w:top w:val="none" w:sz="0" w:space="0" w:color="auto"/>
            <w:left w:val="none" w:sz="0" w:space="0" w:color="auto"/>
            <w:bottom w:val="none" w:sz="0" w:space="0" w:color="auto"/>
            <w:right w:val="none" w:sz="0" w:space="0" w:color="auto"/>
          </w:divBdr>
        </w:div>
        <w:div w:id="938486612">
          <w:marLeft w:val="0"/>
          <w:marRight w:val="0"/>
          <w:marTop w:val="0"/>
          <w:marBottom w:val="0"/>
          <w:divBdr>
            <w:top w:val="none" w:sz="0" w:space="0" w:color="auto"/>
            <w:left w:val="none" w:sz="0" w:space="0" w:color="auto"/>
            <w:bottom w:val="none" w:sz="0" w:space="0" w:color="auto"/>
            <w:right w:val="none" w:sz="0" w:space="0" w:color="auto"/>
          </w:divBdr>
        </w:div>
        <w:div w:id="1185291479">
          <w:marLeft w:val="0"/>
          <w:marRight w:val="0"/>
          <w:marTop w:val="0"/>
          <w:marBottom w:val="0"/>
          <w:divBdr>
            <w:top w:val="none" w:sz="0" w:space="0" w:color="auto"/>
            <w:left w:val="none" w:sz="0" w:space="0" w:color="auto"/>
            <w:bottom w:val="none" w:sz="0" w:space="0" w:color="auto"/>
            <w:right w:val="none" w:sz="0" w:space="0" w:color="auto"/>
          </w:divBdr>
        </w:div>
        <w:div w:id="2007827808">
          <w:marLeft w:val="0"/>
          <w:marRight w:val="0"/>
          <w:marTop w:val="0"/>
          <w:marBottom w:val="0"/>
          <w:divBdr>
            <w:top w:val="none" w:sz="0" w:space="0" w:color="auto"/>
            <w:left w:val="none" w:sz="0" w:space="0" w:color="auto"/>
            <w:bottom w:val="none" w:sz="0" w:space="0" w:color="auto"/>
            <w:right w:val="none" w:sz="0" w:space="0" w:color="auto"/>
          </w:divBdr>
        </w:div>
      </w:divsChild>
    </w:div>
    <w:div w:id="1075594020">
      <w:bodyDiv w:val="1"/>
      <w:marLeft w:val="0"/>
      <w:marRight w:val="0"/>
      <w:marTop w:val="0"/>
      <w:marBottom w:val="0"/>
      <w:divBdr>
        <w:top w:val="none" w:sz="0" w:space="0" w:color="auto"/>
        <w:left w:val="none" w:sz="0" w:space="0" w:color="auto"/>
        <w:bottom w:val="none" w:sz="0" w:space="0" w:color="auto"/>
        <w:right w:val="none" w:sz="0" w:space="0" w:color="auto"/>
      </w:divBdr>
      <w:divsChild>
        <w:div w:id="201981969">
          <w:marLeft w:val="0"/>
          <w:marRight w:val="0"/>
          <w:marTop w:val="0"/>
          <w:marBottom w:val="0"/>
          <w:divBdr>
            <w:top w:val="none" w:sz="0" w:space="0" w:color="auto"/>
            <w:left w:val="none" w:sz="0" w:space="0" w:color="auto"/>
            <w:bottom w:val="none" w:sz="0" w:space="0" w:color="auto"/>
            <w:right w:val="none" w:sz="0" w:space="0" w:color="auto"/>
          </w:divBdr>
          <w:divsChild>
            <w:div w:id="1200165262">
              <w:marLeft w:val="0"/>
              <w:marRight w:val="0"/>
              <w:marTop w:val="0"/>
              <w:marBottom w:val="0"/>
              <w:divBdr>
                <w:top w:val="none" w:sz="0" w:space="0" w:color="auto"/>
                <w:left w:val="none" w:sz="0" w:space="0" w:color="auto"/>
                <w:bottom w:val="none" w:sz="0" w:space="0" w:color="auto"/>
                <w:right w:val="none" w:sz="0" w:space="0" w:color="auto"/>
              </w:divBdr>
            </w:div>
          </w:divsChild>
        </w:div>
        <w:div w:id="217673034">
          <w:marLeft w:val="0"/>
          <w:marRight w:val="0"/>
          <w:marTop w:val="0"/>
          <w:marBottom w:val="0"/>
          <w:divBdr>
            <w:top w:val="none" w:sz="0" w:space="0" w:color="auto"/>
            <w:left w:val="none" w:sz="0" w:space="0" w:color="auto"/>
            <w:bottom w:val="none" w:sz="0" w:space="0" w:color="auto"/>
            <w:right w:val="none" w:sz="0" w:space="0" w:color="auto"/>
          </w:divBdr>
          <w:divsChild>
            <w:div w:id="182787084">
              <w:marLeft w:val="0"/>
              <w:marRight w:val="0"/>
              <w:marTop w:val="0"/>
              <w:marBottom w:val="0"/>
              <w:divBdr>
                <w:top w:val="none" w:sz="0" w:space="0" w:color="auto"/>
                <w:left w:val="none" w:sz="0" w:space="0" w:color="auto"/>
                <w:bottom w:val="none" w:sz="0" w:space="0" w:color="auto"/>
                <w:right w:val="none" w:sz="0" w:space="0" w:color="auto"/>
              </w:divBdr>
            </w:div>
          </w:divsChild>
        </w:div>
        <w:div w:id="218784538">
          <w:marLeft w:val="0"/>
          <w:marRight w:val="0"/>
          <w:marTop w:val="0"/>
          <w:marBottom w:val="0"/>
          <w:divBdr>
            <w:top w:val="none" w:sz="0" w:space="0" w:color="auto"/>
            <w:left w:val="none" w:sz="0" w:space="0" w:color="auto"/>
            <w:bottom w:val="none" w:sz="0" w:space="0" w:color="auto"/>
            <w:right w:val="none" w:sz="0" w:space="0" w:color="auto"/>
          </w:divBdr>
          <w:divsChild>
            <w:div w:id="1357081117">
              <w:marLeft w:val="0"/>
              <w:marRight w:val="0"/>
              <w:marTop w:val="0"/>
              <w:marBottom w:val="0"/>
              <w:divBdr>
                <w:top w:val="none" w:sz="0" w:space="0" w:color="auto"/>
                <w:left w:val="none" w:sz="0" w:space="0" w:color="auto"/>
                <w:bottom w:val="none" w:sz="0" w:space="0" w:color="auto"/>
                <w:right w:val="none" w:sz="0" w:space="0" w:color="auto"/>
              </w:divBdr>
            </w:div>
          </w:divsChild>
        </w:div>
        <w:div w:id="226839634">
          <w:marLeft w:val="0"/>
          <w:marRight w:val="0"/>
          <w:marTop w:val="0"/>
          <w:marBottom w:val="0"/>
          <w:divBdr>
            <w:top w:val="none" w:sz="0" w:space="0" w:color="auto"/>
            <w:left w:val="none" w:sz="0" w:space="0" w:color="auto"/>
            <w:bottom w:val="none" w:sz="0" w:space="0" w:color="auto"/>
            <w:right w:val="none" w:sz="0" w:space="0" w:color="auto"/>
          </w:divBdr>
          <w:divsChild>
            <w:div w:id="1577981060">
              <w:marLeft w:val="0"/>
              <w:marRight w:val="0"/>
              <w:marTop w:val="0"/>
              <w:marBottom w:val="0"/>
              <w:divBdr>
                <w:top w:val="none" w:sz="0" w:space="0" w:color="auto"/>
                <w:left w:val="none" w:sz="0" w:space="0" w:color="auto"/>
                <w:bottom w:val="none" w:sz="0" w:space="0" w:color="auto"/>
                <w:right w:val="none" w:sz="0" w:space="0" w:color="auto"/>
              </w:divBdr>
            </w:div>
          </w:divsChild>
        </w:div>
        <w:div w:id="385884553">
          <w:marLeft w:val="0"/>
          <w:marRight w:val="0"/>
          <w:marTop w:val="0"/>
          <w:marBottom w:val="0"/>
          <w:divBdr>
            <w:top w:val="none" w:sz="0" w:space="0" w:color="auto"/>
            <w:left w:val="none" w:sz="0" w:space="0" w:color="auto"/>
            <w:bottom w:val="none" w:sz="0" w:space="0" w:color="auto"/>
            <w:right w:val="none" w:sz="0" w:space="0" w:color="auto"/>
          </w:divBdr>
          <w:divsChild>
            <w:div w:id="1830176493">
              <w:marLeft w:val="0"/>
              <w:marRight w:val="0"/>
              <w:marTop w:val="0"/>
              <w:marBottom w:val="0"/>
              <w:divBdr>
                <w:top w:val="none" w:sz="0" w:space="0" w:color="auto"/>
                <w:left w:val="none" w:sz="0" w:space="0" w:color="auto"/>
                <w:bottom w:val="none" w:sz="0" w:space="0" w:color="auto"/>
                <w:right w:val="none" w:sz="0" w:space="0" w:color="auto"/>
              </w:divBdr>
            </w:div>
          </w:divsChild>
        </w:div>
        <w:div w:id="459803148">
          <w:marLeft w:val="0"/>
          <w:marRight w:val="0"/>
          <w:marTop w:val="0"/>
          <w:marBottom w:val="0"/>
          <w:divBdr>
            <w:top w:val="none" w:sz="0" w:space="0" w:color="auto"/>
            <w:left w:val="none" w:sz="0" w:space="0" w:color="auto"/>
            <w:bottom w:val="none" w:sz="0" w:space="0" w:color="auto"/>
            <w:right w:val="none" w:sz="0" w:space="0" w:color="auto"/>
          </w:divBdr>
          <w:divsChild>
            <w:div w:id="36782459">
              <w:marLeft w:val="0"/>
              <w:marRight w:val="0"/>
              <w:marTop w:val="0"/>
              <w:marBottom w:val="0"/>
              <w:divBdr>
                <w:top w:val="none" w:sz="0" w:space="0" w:color="auto"/>
                <w:left w:val="none" w:sz="0" w:space="0" w:color="auto"/>
                <w:bottom w:val="none" w:sz="0" w:space="0" w:color="auto"/>
                <w:right w:val="none" w:sz="0" w:space="0" w:color="auto"/>
              </w:divBdr>
            </w:div>
          </w:divsChild>
        </w:div>
        <w:div w:id="991520247">
          <w:marLeft w:val="0"/>
          <w:marRight w:val="0"/>
          <w:marTop w:val="0"/>
          <w:marBottom w:val="0"/>
          <w:divBdr>
            <w:top w:val="none" w:sz="0" w:space="0" w:color="auto"/>
            <w:left w:val="none" w:sz="0" w:space="0" w:color="auto"/>
            <w:bottom w:val="none" w:sz="0" w:space="0" w:color="auto"/>
            <w:right w:val="none" w:sz="0" w:space="0" w:color="auto"/>
          </w:divBdr>
          <w:divsChild>
            <w:div w:id="156580162">
              <w:marLeft w:val="0"/>
              <w:marRight w:val="0"/>
              <w:marTop w:val="0"/>
              <w:marBottom w:val="0"/>
              <w:divBdr>
                <w:top w:val="none" w:sz="0" w:space="0" w:color="auto"/>
                <w:left w:val="none" w:sz="0" w:space="0" w:color="auto"/>
                <w:bottom w:val="none" w:sz="0" w:space="0" w:color="auto"/>
                <w:right w:val="none" w:sz="0" w:space="0" w:color="auto"/>
              </w:divBdr>
            </w:div>
            <w:div w:id="522791522">
              <w:marLeft w:val="0"/>
              <w:marRight w:val="0"/>
              <w:marTop w:val="0"/>
              <w:marBottom w:val="0"/>
              <w:divBdr>
                <w:top w:val="none" w:sz="0" w:space="0" w:color="auto"/>
                <w:left w:val="none" w:sz="0" w:space="0" w:color="auto"/>
                <w:bottom w:val="none" w:sz="0" w:space="0" w:color="auto"/>
                <w:right w:val="none" w:sz="0" w:space="0" w:color="auto"/>
              </w:divBdr>
            </w:div>
          </w:divsChild>
        </w:div>
        <w:div w:id="1046686166">
          <w:marLeft w:val="0"/>
          <w:marRight w:val="0"/>
          <w:marTop w:val="0"/>
          <w:marBottom w:val="0"/>
          <w:divBdr>
            <w:top w:val="none" w:sz="0" w:space="0" w:color="auto"/>
            <w:left w:val="none" w:sz="0" w:space="0" w:color="auto"/>
            <w:bottom w:val="none" w:sz="0" w:space="0" w:color="auto"/>
            <w:right w:val="none" w:sz="0" w:space="0" w:color="auto"/>
          </w:divBdr>
          <w:divsChild>
            <w:div w:id="2113083222">
              <w:marLeft w:val="0"/>
              <w:marRight w:val="0"/>
              <w:marTop w:val="0"/>
              <w:marBottom w:val="0"/>
              <w:divBdr>
                <w:top w:val="none" w:sz="0" w:space="0" w:color="auto"/>
                <w:left w:val="none" w:sz="0" w:space="0" w:color="auto"/>
                <w:bottom w:val="none" w:sz="0" w:space="0" w:color="auto"/>
                <w:right w:val="none" w:sz="0" w:space="0" w:color="auto"/>
              </w:divBdr>
            </w:div>
          </w:divsChild>
        </w:div>
        <w:div w:id="1205413417">
          <w:marLeft w:val="0"/>
          <w:marRight w:val="0"/>
          <w:marTop w:val="0"/>
          <w:marBottom w:val="0"/>
          <w:divBdr>
            <w:top w:val="none" w:sz="0" w:space="0" w:color="auto"/>
            <w:left w:val="none" w:sz="0" w:space="0" w:color="auto"/>
            <w:bottom w:val="none" w:sz="0" w:space="0" w:color="auto"/>
            <w:right w:val="none" w:sz="0" w:space="0" w:color="auto"/>
          </w:divBdr>
          <w:divsChild>
            <w:div w:id="550266749">
              <w:marLeft w:val="0"/>
              <w:marRight w:val="0"/>
              <w:marTop w:val="0"/>
              <w:marBottom w:val="0"/>
              <w:divBdr>
                <w:top w:val="none" w:sz="0" w:space="0" w:color="auto"/>
                <w:left w:val="none" w:sz="0" w:space="0" w:color="auto"/>
                <w:bottom w:val="none" w:sz="0" w:space="0" w:color="auto"/>
                <w:right w:val="none" w:sz="0" w:space="0" w:color="auto"/>
              </w:divBdr>
            </w:div>
          </w:divsChild>
        </w:div>
        <w:div w:id="1238395860">
          <w:marLeft w:val="0"/>
          <w:marRight w:val="0"/>
          <w:marTop w:val="0"/>
          <w:marBottom w:val="0"/>
          <w:divBdr>
            <w:top w:val="none" w:sz="0" w:space="0" w:color="auto"/>
            <w:left w:val="none" w:sz="0" w:space="0" w:color="auto"/>
            <w:bottom w:val="none" w:sz="0" w:space="0" w:color="auto"/>
            <w:right w:val="none" w:sz="0" w:space="0" w:color="auto"/>
          </w:divBdr>
          <w:divsChild>
            <w:div w:id="80377029">
              <w:marLeft w:val="0"/>
              <w:marRight w:val="0"/>
              <w:marTop w:val="0"/>
              <w:marBottom w:val="0"/>
              <w:divBdr>
                <w:top w:val="none" w:sz="0" w:space="0" w:color="auto"/>
                <w:left w:val="none" w:sz="0" w:space="0" w:color="auto"/>
                <w:bottom w:val="none" w:sz="0" w:space="0" w:color="auto"/>
                <w:right w:val="none" w:sz="0" w:space="0" w:color="auto"/>
              </w:divBdr>
            </w:div>
          </w:divsChild>
        </w:div>
        <w:div w:id="1431009084">
          <w:marLeft w:val="0"/>
          <w:marRight w:val="0"/>
          <w:marTop w:val="0"/>
          <w:marBottom w:val="0"/>
          <w:divBdr>
            <w:top w:val="none" w:sz="0" w:space="0" w:color="auto"/>
            <w:left w:val="none" w:sz="0" w:space="0" w:color="auto"/>
            <w:bottom w:val="none" w:sz="0" w:space="0" w:color="auto"/>
            <w:right w:val="none" w:sz="0" w:space="0" w:color="auto"/>
          </w:divBdr>
          <w:divsChild>
            <w:div w:id="1725830448">
              <w:marLeft w:val="0"/>
              <w:marRight w:val="0"/>
              <w:marTop w:val="0"/>
              <w:marBottom w:val="0"/>
              <w:divBdr>
                <w:top w:val="none" w:sz="0" w:space="0" w:color="auto"/>
                <w:left w:val="none" w:sz="0" w:space="0" w:color="auto"/>
                <w:bottom w:val="none" w:sz="0" w:space="0" w:color="auto"/>
                <w:right w:val="none" w:sz="0" w:space="0" w:color="auto"/>
              </w:divBdr>
            </w:div>
          </w:divsChild>
        </w:div>
        <w:div w:id="1532453541">
          <w:marLeft w:val="0"/>
          <w:marRight w:val="0"/>
          <w:marTop w:val="0"/>
          <w:marBottom w:val="0"/>
          <w:divBdr>
            <w:top w:val="none" w:sz="0" w:space="0" w:color="auto"/>
            <w:left w:val="none" w:sz="0" w:space="0" w:color="auto"/>
            <w:bottom w:val="none" w:sz="0" w:space="0" w:color="auto"/>
            <w:right w:val="none" w:sz="0" w:space="0" w:color="auto"/>
          </w:divBdr>
          <w:divsChild>
            <w:div w:id="338392665">
              <w:marLeft w:val="0"/>
              <w:marRight w:val="0"/>
              <w:marTop w:val="0"/>
              <w:marBottom w:val="0"/>
              <w:divBdr>
                <w:top w:val="none" w:sz="0" w:space="0" w:color="auto"/>
                <w:left w:val="none" w:sz="0" w:space="0" w:color="auto"/>
                <w:bottom w:val="none" w:sz="0" w:space="0" w:color="auto"/>
                <w:right w:val="none" w:sz="0" w:space="0" w:color="auto"/>
              </w:divBdr>
            </w:div>
          </w:divsChild>
        </w:div>
        <w:div w:id="1583224185">
          <w:marLeft w:val="0"/>
          <w:marRight w:val="0"/>
          <w:marTop w:val="0"/>
          <w:marBottom w:val="0"/>
          <w:divBdr>
            <w:top w:val="none" w:sz="0" w:space="0" w:color="auto"/>
            <w:left w:val="none" w:sz="0" w:space="0" w:color="auto"/>
            <w:bottom w:val="none" w:sz="0" w:space="0" w:color="auto"/>
            <w:right w:val="none" w:sz="0" w:space="0" w:color="auto"/>
          </w:divBdr>
          <w:divsChild>
            <w:div w:id="1957832719">
              <w:marLeft w:val="0"/>
              <w:marRight w:val="0"/>
              <w:marTop w:val="0"/>
              <w:marBottom w:val="0"/>
              <w:divBdr>
                <w:top w:val="none" w:sz="0" w:space="0" w:color="auto"/>
                <w:left w:val="none" w:sz="0" w:space="0" w:color="auto"/>
                <w:bottom w:val="none" w:sz="0" w:space="0" w:color="auto"/>
                <w:right w:val="none" w:sz="0" w:space="0" w:color="auto"/>
              </w:divBdr>
            </w:div>
          </w:divsChild>
        </w:div>
        <w:div w:id="2021932844">
          <w:marLeft w:val="0"/>
          <w:marRight w:val="0"/>
          <w:marTop w:val="0"/>
          <w:marBottom w:val="0"/>
          <w:divBdr>
            <w:top w:val="none" w:sz="0" w:space="0" w:color="auto"/>
            <w:left w:val="none" w:sz="0" w:space="0" w:color="auto"/>
            <w:bottom w:val="none" w:sz="0" w:space="0" w:color="auto"/>
            <w:right w:val="none" w:sz="0" w:space="0" w:color="auto"/>
          </w:divBdr>
          <w:divsChild>
            <w:div w:id="19680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4328">
      <w:bodyDiv w:val="1"/>
      <w:marLeft w:val="0"/>
      <w:marRight w:val="0"/>
      <w:marTop w:val="0"/>
      <w:marBottom w:val="0"/>
      <w:divBdr>
        <w:top w:val="none" w:sz="0" w:space="0" w:color="auto"/>
        <w:left w:val="none" w:sz="0" w:space="0" w:color="auto"/>
        <w:bottom w:val="none" w:sz="0" w:space="0" w:color="auto"/>
        <w:right w:val="none" w:sz="0" w:space="0" w:color="auto"/>
      </w:divBdr>
      <w:divsChild>
        <w:div w:id="308437692">
          <w:marLeft w:val="0"/>
          <w:marRight w:val="0"/>
          <w:marTop w:val="0"/>
          <w:marBottom w:val="0"/>
          <w:divBdr>
            <w:top w:val="none" w:sz="0" w:space="0" w:color="auto"/>
            <w:left w:val="none" w:sz="0" w:space="0" w:color="auto"/>
            <w:bottom w:val="none" w:sz="0" w:space="0" w:color="auto"/>
            <w:right w:val="none" w:sz="0" w:space="0" w:color="auto"/>
          </w:divBdr>
        </w:div>
        <w:div w:id="1536389403">
          <w:marLeft w:val="0"/>
          <w:marRight w:val="0"/>
          <w:marTop w:val="0"/>
          <w:marBottom w:val="0"/>
          <w:divBdr>
            <w:top w:val="none" w:sz="0" w:space="0" w:color="auto"/>
            <w:left w:val="none" w:sz="0" w:space="0" w:color="auto"/>
            <w:bottom w:val="none" w:sz="0" w:space="0" w:color="auto"/>
            <w:right w:val="none" w:sz="0" w:space="0" w:color="auto"/>
          </w:divBdr>
        </w:div>
      </w:divsChild>
    </w:div>
    <w:div w:id="1151827637">
      <w:bodyDiv w:val="1"/>
      <w:marLeft w:val="0"/>
      <w:marRight w:val="0"/>
      <w:marTop w:val="0"/>
      <w:marBottom w:val="0"/>
      <w:divBdr>
        <w:top w:val="none" w:sz="0" w:space="0" w:color="auto"/>
        <w:left w:val="none" w:sz="0" w:space="0" w:color="auto"/>
        <w:bottom w:val="none" w:sz="0" w:space="0" w:color="auto"/>
        <w:right w:val="none" w:sz="0" w:space="0" w:color="auto"/>
      </w:divBdr>
      <w:divsChild>
        <w:div w:id="110756235">
          <w:marLeft w:val="0"/>
          <w:marRight w:val="0"/>
          <w:marTop w:val="0"/>
          <w:marBottom w:val="0"/>
          <w:divBdr>
            <w:top w:val="none" w:sz="0" w:space="0" w:color="auto"/>
            <w:left w:val="none" w:sz="0" w:space="0" w:color="auto"/>
            <w:bottom w:val="none" w:sz="0" w:space="0" w:color="auto"/>
            <w:right w:val="none" w:sz="0" w:space="0" w:color="auto"/>
          </w:divBdr>
          <w:divsChild>
            <w:div w:id="593131111">
              <w:marLeft w:val="0"/>
              <w:marRight w:val="0"/>
              <w:marTop w:val="0"/>
              <w:marBottom w:val="0"/>
              <w:divBdr>
                <w:top w:val="none" w:sz="0" w:space="0" w:color="auto"/>
                <w:left w:val="none" w:sz="0" w:space="0" w:color="auto"/>
                <w:bottom w:val="none" w:sz="0" w:space="0" w:color="auto"/>
                <w:right w:val="none" w:sz="0" w:space="0" w:color="auto"/>
              </w:divBdr>
            </w:div>
          </w:divsChild>
        </w:div>
        <w:div w:id="313609628">
          <w:marLeft w:val="0"/>
          <w:marRight w:val="0"/>
          <w:marTop w:val="0"/>
          <w:marBottom w:val="0"/>
          <w:divBdr>
            <w:top w:val="none" w:sz="0" w:space="0" w:color="auto"/>
            <w:left w:val="none" w:sz="0" w:space="0" w:color="auto"/>
            <w:bottom w:val="none" w:sz="0" w:space="0" w:color="auto"/>
            <w:right w:val="none" w:sz="0" w:space="0" w:color="auto"/>
          </w:divBdr>
          <w:divsChild>
            <w:div w:id="665940230">
              <w:marLeft w:val="0"/>
              <w:marRight w:val="0"/>
              <w:marTop w:val="0"/>
              <w:marBottom w:val="0"/>
              <w:divBdr>
                <w:top w:val="none" w:sz="0" w:space="0" w:color="auto"/>
                <w:left w:val="none" w:sz="0" w:space="0" w:color="auto"/>
                <w:bottom w:val="none" w:sz="0" w:space="0" w:color="auto"/>
                <w:right w:val="none" w:sz="0" w:space="0" w:color="auto"/>
              </w:divBdr>
            </w:div>
          </w:divsChild>
        </w:div>
        <w:div w:id="328992004">
          <w:marLeft w:val="0"/>
          <w:marRight w:val="0"/>
          <w:marTop w:val="0"/>
          <w:marBottom w:val="0"/>
          <w:divBdr>
            <w:top w:val="none" w:sz="0" w:space="0" w:color="auto"/>
            <w:left w:val="none" w:sz="0" w:space="0" w:color="auto"/>
            <w:bottom w:val="none" w:sz="0" w:space="0" w:color="auto"/>
            <w:right w:val="none" w:sz="0" w:space="0" w:color="auto"/>
          </w:divBdr>
          <w:divsChild>
            <w:div w:id="1628122496">
              <w:marLeft w:val="0"/>
              <w:marRight w:val="0"/>
              <w:marTop w:val="0"/>
              <w:marBottom w:val="0"/>
              <w:divBdr>
                <w:top w:val="none" w:sz="0" w:space="0" w:color="auto"/>
                <w:left w:val="none" w:sz="0" w:space="0" w:color="auto"/>
                <w:bottom w:val="none" w:sz="0" w:space="0" w:color="auto"/>
                <w:right w:val="none" w:sz="0" w:space="0" w:color="auto"/>
              </w:divBdr>
            </w:div>
          </w:divsChild>
        </w:div>
        <w:div w:id="640496518">
          <w:marLeft w:val="0"/>
          <w:marRight w:val="0"/>
          <w:marTop w:val="0"/>
          <w:marBottom w:val="0"/>
          <w:divBdr>
            <w:top w:val="none" w:sz="0" w:space="0" w:color="auto"/>
            <w:left w:val="none" w:sz="0" w:space="0" w:color="auto"/>
            <w:bottom w:val="none" w:sz="0" w:space="0" w:color="auto"/>
            <w:right w:val="none" w:sz="0" w:space="0" w:color="auto"/>
          </w:divBdr>
          <w:divsChild>
            <w:div w:id="1646541439">
              <w:marLeft w:val="0"/>
              <w:marRight w:val="0"/>
              <w:marTop w:val="0"/>
              <w:marBottom w:val="0"/>
              <w:divBdr>
                <w:top w:val="none" w:sz="0" w:space="0" w:color="auto"/>
                <w:left w:val="none" w:sz="0" w:space="0" w:color="auto"/>
                <w:bottom w:val="none" w:sz="0" w:space="0" w:color="auto"/>
                <w:right w:val="none" w:sz="0" w:space="0" w:color="auto"/>
              </w:divBdr>
            </w:div>
          </w:divsChild>
        </w:div>
        <w:div w:id="1188444682">
          <w:marLeft w:val="0"/>
          <w:marRight w:val="0"/>
          <w:marTop w:val="0"/>
          <w:marBottom w:val="0"/>
          <w:divBdr>
            <w:top w:val="none" w:sz="0" w:space="0" w:color="auto"/>
            <w:left w:val="none" w:sz="0" w:space="0" w:color="auto"/>
            <w:bottom w:val="none" w:sz="0" w:space="0" w:color="auto"/>
            <w:right w:val="none" w:sz="0" w:space="0" w:color="auto"/>
          </w:divBdr>
          <w:divsChild>
            <w:div w:id="812064655">
              <w:marLeft w:val="0"/>
              <w:marRight w:val="0"/>
              <w:marTop w:val="0"/>
              <w:marBottom w:val="0"/>
              <w:divBdr>
                <w:top w:val="none" w:sz="0" w:space="0" w:color="auto"/>
                <w:left w:val="none" w:sz="0" w:space="0" w:color="auto"/>
                <w:bottom w:val="none" w:sz="0" w:space="0" w:color="auto"/>
                <w:right w:val="none" w:sz="0" w:space="0" w:color="auto"/>
              </w:divBdr>
            </w:div>
          </w:divsChild>
        </w:div>
        <w:div w:id="1244486032">
          <w:marLeft w:val="0"/>
          <w:marRight w:val="0"/>
          <w:marTop w:val="0"/>
          <w:marBottom w:val="0"/>
          <w:divBdr>
            <w:top w:val="none" w:sz="0" w:space="0" w:color="auto"/>
            <w:left w:val="none" w:sz="0" w:space="0" w:color="auto"/>
            <w:bottom w:val="none" w:sz="0" w:space="0" w:color="auto"/>
            <w:right w:val="none" w:sz="0" w:space="0" w:color="auto"/>
          </w:divBdr>
          <w:divsChild>
            <w:div w:id="800654969">
              <w:marLeft w:val="0"/>
              <w:marRight w:val="0"/>
              <w:marTop w:val="0"/>
              <w:marBottom w:val="0"/>
              <w:divBdr>
                <w:top w:val="none" w:sz="0" w:space="0" w:color="auto"/>
                <w:left w:val="none" w:sz="0" w:space="0" w:color="auto"/>
                <w:bottom w:val="none" w:sz="0" w:space="0" w:color="auto"/>
                <w:right w:val="none" w:sz="0" w:space="0" w:color="auto"/>
              </w:divBdr>
            </w:div>
          </w:divsChild>
        </w:div>
        <w:div w:id="1591348224">
          <w:marLeft w:val="0"/>
          <w:marRight w:val="0"/>
          <w:marTop w:val="0"/>
          <w:marBottom w:val="0"/>
          <w:divBdr>
            <w:top w:val="none" w:sz="0" w:space="0" w:color="auto"/>
            <w:left w:val="none" w:sz="0" w:space="0" w:color="auto"/>
            <w:bottom w:val="none" w:sz="0" w:space="0" w:color="auto"/>
            <w:right w:val="none" w:sz="0" w:space="0" w:color="auto"/>
          </w:divBdr>
          <w:divsChild>
            <w:div w:id="392657017">
              <w:marLeft w:val="0"/>
              <w:marRight w:val="0"/>
              <w:marTop w:val="0"/>
              <w:marBottom w:val="0"/>
              <w:divBdr>
                <w:top w:val="none" w:sz="0" w:space="0" w:color="auto"/>
                <w:left w:val="none" w:sz="0" w:space="0" w:color="auto"/>
                <w:bottom w:val="none" w:sz="0" w:space="0" w:color="auto"/>
                <w:right w:val="none" w:sz="0" w:space="0" w:color="auto"/>
              </w:divBdr>
            </w:div>
          </w:divsChild>
        </w:div>
        <w:div w:id="1800419199">
          <w:marLeft w:val="0"/>
          <w:marRight w:val="0"/>
          <w:marTop w:val="0"/>
          <w:marBottom w:val="0"/>
          <w:divBdr>
            <w:top w:val="none" w:sz="0" w:space="0" w:color="auto"/>
            <w:left w:val="none" w:sz="0" w:space="0" w:color="auto"/>
            <w:bottom w:val="none" w:sz="0" w:space="0" w:color="auto"/>
            <w:right w:val="none" w:sz="0" w:space="0" w:color="auto"/>
          </w:divBdr>
          <w:divsChild>
            <w:div w:id="1999768963">
              <w:marLeft w:val="0"/>
              <w:marRight w:val="0"/>
              <w:marTop w:val="0"/>
              <w:marBottom w:val="0"/>
              <w:divBdr>
                <w:top w:val="none" w:sz="0" w:space="0" w:color="auto"/>
                <w:left w:val="none" w:sz="0" w:space="0" w:color="auto"/>
                <w:bottom w:val="none" w:sz="0" w:space="0" w:color="auto"/>
                <w:right w:val="none" w:sz="0" w:space="0" w:color="auto"/>
              </w:divBdr>
            </w:div>
          </w:divsChild>
        </w:div>
        <w:div w:id="1842430289">
          <w:marLeft w:val="0"/>
          <w:marRight w:val="0"/>
          <w:marTop w:val="0"/>
          <w:marBottom w:val="0"/>
          <w:divBdr>
            <w:top w:val="none" w:sz="0" w:space="0" w:color="auto"/>
            <w:left w:val="none" w:sz="0" w:space="0" w:color="auto"/>
            <w:bottom w:val="none" w:sz="0" w:space="0" w:color="auto"/>
            <w:right w:val="none" w:sz="0" w:space="0" w:color="auto"/>
          </w:divBdr>
          <w:divsChild>
            <w:div w:id="152986370">
              <w:marLeft w:val="0"/>
              <w:marRight w:val="0"/>
              <w:marTop w:val="0"/>
              <w:marBottom w:val="0"/>
              <w:divBdr>
                <w:top w:val="none" w:sz="0" w:space="0" w:color="auto"/>
                <w:left w:val="none" w:sz="0" w:space="0" w:color="auto"/>
                <w:bottom w:val="none" w:sz="0" w:space="0" w:color="auto"/>
                <w:right w:val="none" w:sz="0" w:space="0" w:color="auto"/>
              </w:divBdr>
            </w:div>
          </w:divsChild>
        </w:div>
        <w:div w:id="1954480388">
          <w:marLeft w:val="0"/>
          <w:marRight w:val="0"/>
          <w:marTop w:val="0"/>
          <w:marBottom w:val="0"/>
          <w:divBdr>
            <w:top w:val="none" w:sz="0" w:space="0" w:color="auto"/>
            <w:left w:val="none" w:sz="0" w:space="0" w:color="auto"/>
            <w:bottom w:val="none" w:sz="0" w:space="0" w:color="auto"/>
            <w:right w:val="none" w:sz="0" w:space="0" w:color="auto"/>
          </w:divBdr>
          <w:divsChild>
            <w:div w:id="8528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465">
      <w:bodyDiv w:val="1"/>
      <w:marLeft w:val="0"/>
      <w:marRight w:val="0"/>
      <w:marTop w:val="0"/>
      <w:marBottom w:val="0"/>
      <w:divBdr>
        <w:top w:val="none" w:sz="0" w:space="0" w:color="auto"/>
        <w:left w:val="none" w:sz="0" w:space="0" w:color="auto"/>
        <w:bottom w:val="none" w:sz="0" w:space="0" w:color="auto"/>
        <w:right w:val="none" w:sz="0" w:space="0" w:color="auto"/>
      </w:divBdr>
      <w:divsChild>
        <w:div w:id="111632012">
          <w:marLeft w:val="0"/>
          <w:marRight w:val="0"/>
          <w:marTop w:val="0"/>
          <w:marBottom w:val="0"/>
          <w:divBdr>
            <w:top w:val="none" w:sz="0" w:space="0" w:color="auto"/>
            <w:left w:val="none" w:sz="0" w:space="0" w:color="auto"/>
            <w:bottom w:val="none" w:sz="0" w:space="0" w:color="auto"/>
            <w:right w:val="none" w:sz="0" w:space="0" w:color="auto"/>
          </w:divBdr>
          <w:divsChild>
            <w:div w:id="1982036187">
              <w:marLeft w:val="0"/>
              <w:marRight w:val="0"/>
              <w:marTop w:val="30"/>
              <w:marBottom w:val="30"/>
              <w:divBdr>
                <w:top w:val="none" w:sz="0" w:space="0" w:color="auto"/>
                <w:left w:val="none" w:sz="0" w:space="0" w:color="auto"/>
                <w:bottom w:val="none" w:sz="0" w:space="0" w:color="auto"/>
                <w:right w:val="none" w:sz="0" w:space="0" w:color="auto"/>
              </w:divBdr>
              <w:divsChild>
                <w:div w:id="157578236">
                  <w:marLeft w:val="0"/>
                  <w:marRight w:val="0"/>
                  <w:marTop w:val="0"/>
                  <w:marBottom w:val="0"/>
                  <w:divBdr>
                    <w:top w:val="none" w:sz="0" w:space="0" w:color="auto"/>
                    <w:left w:val="none" w:sz="0" w:space="0" w:color="auto"/>
                    <w:bottom w:val="none" w:sz="0" w:space="0" w:color="auto"/>
                    <w:right w:val="none" w:sz="0" w:space="0" w:color="auto"/>
                  </w:divBdr>
                  <w:divsChild>
                    <w:div w:id="904805480">
                      <w:marLeft w:val="0"/>
                      <w:marRight w:val="0"/>
                      <w:marTop w:val="0"/>
                      <w:marBottom w:val="0"/>
                      <w:divBdr>
                        <w:top w:val="none" w:sz="0" w:space="0" w:color="auto"/>
                        <w:left w:val="none" w:sz="0" w:space="0" w:color="auto"/>
                        <w:bottom w:val="none" w:sz="0" w:space="0" w:color="auto"/>
                        <w:right w:val="none" w:sz="0" w:space="0" w:color="auto"/>
                      </w:divBdr>
                    </w:div>
                  </w:divsChild>
                </w:div>
                <w:div w:id="198205187">
                  <w:marLeft w:val="0"/>
                  <w:marRight w:val="0"/>
                  <w:marTop w:val="0"/>
                  <w:marBottom w:val="0"/>
                  <w:divBdr>
                    <w:top w:val="none" w:sz="0" w:space="0" w:color="auto"/>
                    <w:left w:val="none" w:sz="0" w:space="0" w:color="auto"/>
                    <w:bottom w:val="none" w:sz="0" w:space="0" w:color="auto"/>
                    <w:right w:val="none" w:sz="0" w:space="0" w:color="auto"/>
                  </w:divBdr>
                  <w:divsChild>
                    <w:div w:id="128324339">
                      <w:marLeft w:val="0"/>
                      <w:marRight w:val="0"/>
                      <w:marTop w:val="0"/>
                      <w:marBottom w:val="0"/>
                      <w:divBdr>
                        <w:top w:val="none" w:sz="0" w:space="0" w:color="auto"/>
                        <w:left w:val="none" w:sz="0" w:space="0" w:color="auto"/>
                        <w:bottom w:val="none" w:sz="0" w:space="0" w:color="auto"/>
                        <w:right w:val="none" w:sz="0" w:space="0" w:color="auto"/>
                      </w:divBdr>
                    </w:div>
                  </w:divsChild>
                </w:div>
                <w:div w:id="437481003">
                  <w:marLeft w:val="0"/>
                  <w:marRight w:val="0"/>
                  <w:marTop w:val="0"/>
                  <w:marBottom w:val="0"/>
                  <w:divBdr>
                    <w:top w:val="none" w:sz="0" w:space="0" w:color="auto"/>
                    <w:left w:val="none" w:sz="0" w:space="0" w:color="auto"/>
                    <w:bottom w:val="none" w:sz="0" w:space="0" w:color="auto"/>
                    <w:right w:val="none" w:sz="0" w:space="0" w:color="auto"/>
                  </w:divBdr>
                  <w:divsChild>
                    <w:div w:id="1097869529">
                      <w:marLeft w:val="0"/>
                      <w:marRight w:val="0"/>
                      <w:marTop w:val="0"/>
                      <w:marBottom w:val="0"/>
                      <w:divBdr>
                        <w:top w:val="none" w:sz="0" w:space="0" w:color="auto"/>
                        <w:left w:val="none" w:sz="0" w:space="0" w:color="auto"/>
                        <w:bottom w:val="none" w:sz="0" w:space="0" w:color="auto"/>
                        <w:right w:val="none" w:sz="0" w:space="0" w:color="auto"/>
                      </w:divBdr>
                    </w:div>
                  </w:divsChild>
                </w:div>
                <w:div w:id="1084842143">
                  <w:marLeft w:val="0"/>
                  <w:marRight w:val="0"/>
                  <w:marTop w:val="0"/>
                  <w:marBottom w:val="0"/>
                  <w:divBdr>
                    <w:top w:val="none" w:sz="0" w:space="0" w:color="auto"/>
                    <w:left w:val="none" w:sz="0" w:space="0" w:color="auto"/>
                    <w:bottom w:val="none" w:sz="0" w:space="0" w:color="auto"/>
                    <w:right w:val="none" w:sz="0" w:space="0" w:color="auto"/>
                  </w:divBdr>
                  <w:divsChild>
                    <w:div w:id="534970483">
                      <w:marLeft w:val="0"/>
                      <w:marRight w:val="0"/>
                      <w:marTop w:val="0"/>
                      <w:marBottom w:val="0"/>
                      <w:divBdr>
                        <w:top w:val="none" w:sz="0" w:space="0" w:color="auto"/>
                        <w:left w:val="none" w:sz="0" w:space="0" w:color="auto"/>
                        <w:bottom w:val="none" w:sz="0" w:space="0" w:color="auto"/>
                        <w:right w:val="none" w:sz="0" w:space="0" w:color="auto"/>
                      </w:divBdr>
                    </w:div>
                  </w:divsChild>
                </w:div>
                <w:div w:id="1088963455">
                  <w:marLeft w:val="0"/>
                  <w:marRight w:val="0"/>
                  <w:marTop w:val="0"/>
                  <w:marBottom w:val="0"/>
                  <w:divBdr>
                    <w:top w:val="none" w:sz="0" w:space="0" w:color="auto"/>
                    <w:left w:val="none" w:sz="0" w:space="0" w:color="auto"/>
                    <w:bottom w:val="none" w:sz="0" w:space="0" w:color="auto"/>
                    <w:right w:val="none" w:sz="0" w:space="0" w:color="auto"/>
                  </w:divBdr>
                  <w:divsChild>
                    <w:div w:id="1527063639">
                      <w:marLeft w:val="0"/>
                      <w:marRight w:val="0"/>
                      <w:marTop w:val="0"/>
                      <w:marBottom w:val="0"/>
                      <w:divBdr>
                        <w:top w:val="none" w:sz="0" w:space="0" w:color="auto"/>
                        <w:left w:val="none" w:sz="0" w:space="0" w:color="auto"/>
                        <w:bottom w:val="none" w:sz="0" w:space="0" w:color="auto"/>
                        <w:right w:val="none" w:sz="0" w:space="0" w:color="auto"/>
                      </w:divBdr>
                    </w:div>
                  </w:divsChild>
                </w:div>
                <w:div w:id="1556316012">
                  <w:marLeft w:val="0"/>
                  <w:marRight w:val="0"/>
                  <w:marTop w:val="0"/>
                  <w:marBottom w:val="0"/>
                  <w:divBdr>
                    <w:top w:val="none" w:sz="0" w:space="0" w:color="auto"/>
                    <w:left w:val="none" w:sz="0" w:space="0" w:color="auto"/>
                    <w:bottom w:val="none" w:sz="0" w:space="0" w:color="auto"/>
                    <w:right w:val="none" w:sz="0" w:space="0" w:color="auto"/>
                  </w:divBdr>
                  <w:divsChild>
                    <w:div w:id="281765971">
                      <w:marLeft w:val="0"/>
                      <w:marRight w:val="0"/>
                      <w:marTop w:val="0"/>
                      <w:marBottom w:val="0"/>
                      <w:divBdr>
                        <w:top w:val="none" w:sz="0" w:space="0" w:color="auto"/>
                        <w:left w:val="none" w:sz="0" w:space="0" w:color="auto"/>
                        <w:bottom w:val="none" w:sz="0" w:space="0" w:color="auto"/>
                        <w:right w:val="none" w:sz="0" w:space="0" w:color="auto"/>
                      </w:divBdr>
                    </w:div>
                    <w:div w:id="1597209945">
                      <w:marLeft w:val="0"/>
                      <w:marRight w:val="0"/>
                      <w:marTop w:val="0"/>
                      <w:marBottom w:val="0"/>
                      <w:divBdr>
                        <w:top w:val="none" w:sz="0" w:space="0" w:color="auto"/>
                        <w:left w:val="none" w:sz="0" w:space="0" w:color="auto"/>
                        <w:bottom w:val="none" w:sz="0" w:space="0" w:color="auto"/>
                        <w:right w:val="none" w:sz="0" w:space="0" w:color="auto"/>
                      </w:divBdr>
                    </w:div>
                  </w:divsChild>
                </w:div>
                <w:div w:id="1862671130">
                  <w:marLeft w:val="0"/>
                  <w:marRight w:val="0"/>
                  <w:marTop w:val="0"/>
                  <w:marBottom w:val="0"/>
                  <w:divBdr>
                    <w:top w:val="none" w:sz="0" w:space="0" w:color="auto"/>
                    <w:left w:val="none" w:sz="0" w:space="0" w:color="auto"/>
                    <w:bottom w:val="none" w:sz="0" w:space="0" w:color="auto"/>
                    <w:right w:val="none" w:sz="0" w:space="0" w:color="auto"/>
                  </w:divBdr>
                  <w:divsChild>
                    <w:div w:id="1762019493">
                      <w:marLeft w:val="0"/>
                      <w:marRight w:val="0"/>
                      <w:marTop w:val="0"/>
                      <w:marBottom w:val="0"/>
                      <w:divBdr>
                        <w:top w:val="none" w:sz="0" w:space="0" w:color="auto"/>
                        <w:left w:val="none" w:sz="0" w:space="0" w:color="auto"/>
                        <w:bottom w:val="none" w:sz="0" w:space="0" w:color="auto"/>
                        <w:right w:val="none" w:sz="0" w:space="0" w:color="auto"/>
                      </w:divBdr>
                    </w:div>
                  </w:divsChild>
                </w:div>
                <w:div w:id="2037147184">
                  <w:marLeft w:val="0"/>
                  <w:marRight w:val="0"/>
                  <w:marTop w:val="0"/>
                  <w:marBottom w:val="0"/>
                  <w:divBdr>
                    <w:top w:val="none" w:sz="0" w:space="0" w:color="auto"/>
                    <w:left w:val="none" w:sz="0" w:space="0" w:color="auto"/>
                    <w:bottom w:val="none" w:sz="0" w:space="0" w:color="auto"/>
                    <w:right w:val="none" w:sz="0" w:space="0" w:color="auto"/>
                  </w:divBdr>
                  <w:divsChild>
                    <w:div w:id="1832407809">
                      <w:marLeft w:val="0"/>
                      <w:marRight w:val="0"/>
                      <w:marTop w:val="0"/>
                      <w:marBottom w:val="0"/>
                      <w:divBdr>
                        <w:top w:val="none" w:sz="0" w:space="0" w:color="auto"/>
                        <w:left w:val="none" w:sz="0" w:space="0" w:color="auto"/>
                        <w:bottom w:val="none" w:sz="0" w:space="0" w:color="auto"/>
                        <w:right w:val="none" w:sz="0" w:space="0" w:color="auto"/>
                      </w:divBdr>
                    </w:div>
                  </w:divsChild>
                </w:div>
                <w:div w:id="2071146979">
                  <w:marLeft w:val="0"/>
                  <w:marRight w:val="0"/>
                  <w:marTop w:val="0"/>
                  <w:marBottom w:val="0"/>
                  <w:divBdr>
                    <w:top w:val="none" w:sz="0" w:space="0" w:color="auto"/>
                    <w:left w:val="none" w:sz="0" w:space="0" w:color="auto"/>
                    <w:bottom w:val="none" w:sz="0" w:space="0" w:color="auto"/>
                    <w:right w:val="none" w:sz="0" w:space="0" w:color="auto"/>
                  </w:divBdr>
                  <w:divsChild>
                    <w:div w:id="1324699156">
                      <w:marLeft w:val="0"/>
                      <w:marRight w:val="0"/>
                      <w:marTop w:val="0"/>
                      <w:marBottom w:val="0"/>
                      <w:divBdr>
                        <w:top w:val="none" w:sz="0" w:space="0" w:color="auto"/>
                        <w:left w:val="none" w:sz="0" w:space="0" w:color="auto"/>
                        <w:bottom w:val="none" w:sz="0" w:space="0" w:color="auto"/>
                        <w:right w:val="none" w:sz="0" w:space="0" w:color="auto"/>
                      </w:divBdr>
                    </w:div>
                  </w:divsChild>
                </w:div>
                <w:div w:id="2108113366">
                  <w:marLeft w:val="0"/>
                  <w:marRight w:val="0"/>
                  <w:marTop w:val="0"/>
                  <w:marBottom w:val="0"/>
                  <w:divBdr>
                    <w:top w:val="none" w:sz="0" w:space="0" w:color="auto"/>
                    <w:left w:val="none" w:sz="0" w:space="0" w:color="auto"/>
                    <w:bottom w:val="none" w:sz="0" w:space="0" w:color="auto"/>
                    <w:right w:val="none" w:sz="0" w:space="0" w:color="auto"/>
                  </w:divBdr>
                  <w:divsChild>
                    <w:div w:id="20072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862">
          <w:marLeft w:val="0"/>
          <w:marRight w:val="0"/>
          <w:marTop w:val="0"/>
          <w:marBottom w:val="0"/>
          <w:divBdr>
            <w:top w:val="none" w:sz="0" w:space="0" w:color="auto"/>
            <w:left w:val="none" w:sz="0" w:space="0" w:color="auto"/>
            <w:bottom w:val="none" w:sz="0" w:space="0" w:color="auto"/>
            <w:right w:val="none" w:sz="0" w:space="0" w:color="auto"/>
          </w:divBdr>
        </w:div>
        <w:div w:id="1150292394">
          <w:marLeft w:val="0"/>
          <w:marRight w:val="0"/>
          <w:marTop w:val="0"/>
          <w:marBottom w:val="0"/>
          <w:divBdr>
            <w:top w:val="none" w:sz="0" w:space="0" w:color="auto"/>
            <w:left w:val="none" w:sz="0" w:space="0" w:color="auto"/>
            <w:bottom w:val="none" w:sz="0" w:space="0" w:color="auto"/>
            <w:right w:val="none" w:sz="0" w:space="0" w:color="auto"/>
          </w:divBdr>
        </w:div>
      </w:divsChild>
    </w:div>
    <w:div w:id="1176118014">
      <w:bodyDiv w:val="1"/>
      <w:marLeft w:val="0"/>
      <w:marRight w:val="0"/>
      <w:marTop w:val="0"/>
      <w:marBottom w:val="0"/>
      <w:divBdr>
        <w:top w:val="none" w:sz="0" w:space="0" w:color="auto"/>
        <w:left w:val="none" w:sz="0" w:space="0" w:color="auto"/>
        <w:bottom w:val="none" w:sz="0" w:space="0" w:color="auto"/>
        <w:right w:val="none" w:sz="0" w:space="0" w:color="auto"/>
      </w:divBdr>
    </w:div>
    <w:div w:id="1184902848">
      <w:bodyDiv w:val="1"/>
      <w:marLeft w:val="0"/>
      <w:marRight w:val="0"/>
      <w:marTop w:val="0"/>
      <w:marBottom w:val="0"/>
      <w:divBdr>
        <w:top w:val="none" w:sz="0" w:space="0" w:color="auto"/>
        <w:left w:val="none" w:sz="0" w:space="0" w:color="auto"/>
        <w:bottom w:val="none" w:sz="0" w:space="0" w:color="auto"/>
        <w:right w:val="none" w:sz="0" w:space="0" w:color="auto"/>
      </w:divBdr>
    </w:div>
    <w:div w:id="1191723637">
      <w:bodyDiv w:val="1"/>
      <w:marLeft w:val="0"/>
      <w:marRight w:val="0"/>
      <w:marTop w:val="0"/>
      <w:marBottom w:val="0"/>
      <w:divBdr>
        <w:top w:val="none" w:sz="0" w:space="0" w:color="auto"/>
        <w:left w:val="none" w:sz="0" w:space="0" w:color="auto"/>
        <w:bottom w:val="none" w:sz="0" w:space="0" w:color="auto"/>
        <w:right w:val="none" w:sz="0" w:space="0" w:color="auto"/>
      </w:divBdr>
    </w:div>
    <w:div w:id="1202478792">
      <w:bodyDiv w:val="1"/>
      <w:marLeft w:val="0"/>
      <w:marRight w:val="0"/>
      <w:marTop w:val="0"/>
      <w:marBottom w:val="0"/>
      <w:divBdr>
        <w:top w:val="none" w:sz="0" w:space="0" w:color="auto"/>
        <w:left w:val="none" w:sz="0" w:space="0" w:color="auto"/>
        <w:bottom w:val="none" w:sz="0" w:space="0" w:color="auto"/>
        <w:right w:val="none" w:sz="0" w:space="0" w:color="auto"/>
      </w:divBdr>
    </w:div>
    <w:div w:id="1279868606">
      <w:bodyDiv w:val="1"/>
      <w:marLeft w:val="0"/>
      <w:marRight w:val="0"/>
      <w:marTop w:val="0"/>
      <w:marBottom w:val="0"/>
      <w:divBdr>
        <w:top w:val="none" w:sz="0" w:space="0" w:color="auto"/>
        <w:left w:val="none" w:sz="0" w:space="0" w:color="auto"/>
        <w:bottom w:val="none" w:sz="0" w:space="0" w:color="auto"/>
        <w:right w:val="none" w:sz="0" w:space="0" w:color="auto"/>
      </w:divBdr>
    </w:div>
    <w:div w:id="1297490062">
      <w:bodyDiv w:val="1"/>
      <w:marLeft w:val="0"/>
      <w:marRight w:val="0"/>
      <w:marTop w:val="0"/>
      <w:marBottom w:val="0"/>
      <w:divBdr>
        <w:top w:val="none" w:sz="0" w:space="0" w:color="auto"/>
        <w:left w:val="none" w:sz="0" w:space="0" w:color="auto"/>
        <w:bottom w:val="none" w:sz="0" w:space="0" w:color="auto"/>
        <w:right w:val="none" w:sz="0" w:space="0" w:color="auto"/>
      </w:divBdr>
    </w:div>
    <w:div w:id="1303314644">
      <w:bodyDiv w:val="1"/>
      <w:marLeft w:val="0"/>
      <w:marRight w:val="0"/>
      <w:marTop w:val="0"/>
      <w:marBottom w:val="0"/>
      <w:divBdr>
        <w:top w:val="none" w:sz="0" w:space="0" w:color="auto"/>
        <w:left w:val="none" w:sz="0" w:space="0" w:color="auto"/>
        <w:bottom w:val="none" w:sz="0" w:space="0" w:color="auto"/>
        <w:right w:val="none" w:sz="0" w:space="0" w:color="auto"/>
      </w:divBdr>
    </w:div>
    <w:div w:id="1331326061">
      <w:bodyDiv w:val="1"/>
      <w:marLeft w:val="0"/>
      <w:marRight w:val="0"/>
      <w:marTop w:val="0"/>
      <w:marBottom w:val="0"/>
      <w:divBdr>
        <w:top w:val="none" w:sz="0" w:space="0" w:color="auto"/>
        <w:left w:val="none" w:sz="0" w:space="0" w:color="auto"/>
        <w:bottom w:val="none" w:sz="0" w:space="0" w:color="auto"/>
        <w:right w:val="none" w:sz="0" w:space="0" w:color="auto"/>
      </w:divBdr>
    </w:div>
    <w:div w:id="1346250609">
      <w:bodyDiv w:val="1"/>
      <w:marLeft w:val="0"/>
      <w:marRight w:val="0"/>
      <w:marTop w:val="0"/>
      <w:marBottom w:val="0"/>
      <w:divBdr>
        <w:top w:val="none" w:sz="0" w:space="0" w:color="auto"/>
        <w:left w:val="none" w:sz="0" w:space="0" w:color="auto"/>
        <w:bottom w:val="none" w:sz="0" w:space="0" w:color="auto"/>
        <w:right w:val="none" w:sz="0" w:space="0" w:color="auto"/>
      </w:divBdr>
    </w:div>
    <w:div w:id="1385372757">
      <w:bodyDiv w:val="1"/>
      <w:marLeft w:val="0"/>
      <w:marRight w:val="0"/>
      <w:marTop w:val="0"/>
      <w:marBottom w:val="0"/>
      <w:divBdr>
        <w:top w:val="none" w:sz="0" w:space="0" w:color="auto"/>
        <w:left w:val="none" w:sz="0" w:space="0" w:color="auto"/>
        <w:bottom w:val="none" w:sz="0" w:space="0" w:color="auto"/>
        <w:right w:val="none" w:sz="0" w:space="0" w:color="auto"/>
      </w:divBdr>
    </w:div>
    <w:div w:id="1397361146">
      <w:bodyDiv w:val="1"/>
      <w:marLeft w:val="0"/>
      <w:marRight w:val="0"/>
      <w:marTop w:val="0"/>
      <w:marBottom w:val="0"/>
      <w:divBdr>
        <w:top w:val="none" w:sz="0" w:space="0" w:color="auto"/>
        <w:left w:val="none" w:sz="0" w:space="0" w:color="auto"/>
        <w:bottom w:val="none" w:sz="0" w:space="0" w:color="auto"/>
        <w:right w:val="none" w:sz="0" w:space="0" w:color="auto"/>
      </w:divBdr>
    </w:div>
    <w:div w:id="1451974442">
      <w:bodyDiv w:val="1"/>
      <w:marLeft w:val="0"/>
      <w:marRight w:val="0"/>
      <w:marTop w:val="0"/>
      <w:marBottom w:val="0"/>
      <w:divBdr>
        <w:top w:val="none" w:sz="0" w:space="0" w:color="auto"/>
        <w:left w:val="none" w:sz="0" w:space="0" w:color="auto"/>
        <w:bottom w:val="none" w:sz="0" w:space="0" w:color="auto"/>
        <w:right w:val="none" w:sz="0" w:space="0" w:color="auto"/>
      </w:divBdr>
    </w:div>
    <w:div w:id="1456096155">
      <w:bodyDiv w:val="1"/>
      <w:marLeft w:val="0"/>
      <w:marRight w:val="0"/>
      <w:marTop w:val="0"/>
      <w:marBottom w:val="0"/>
      <w:divBdr>
        <w:top w:val="none" w:sz="0" w:space="0" w:color="auto"/>
        <w:left w:val="none" w:sz="0" w:space="0" w:color="auto"/>
        <w:bottom w:val="none" w:sz="0" w:space="0" w:color="auto"/>
        <w:right w:val="none" w:sz="0" w:space="0" w:color="auto"/>
      </w:divBdr>
    </w:div>
    <w:div w:id="1459185559">
      <w:bodyDiv w:val="1"/>
      <w:marLeft w:val="0"/>
      <w:marRight w:val="0"/>
      <w:marTop w:val="0"/>
      <w:marBottom w:val="0"/>
      <w:divBdr>
        <w:top w:val="none" w:sz="0" w:space="0" w:color="auto"/>
        <w:left w:val="none" w:sz="0" w:space="0" w:color="auto"/>
        <w:bottom w:val="none" w:sz="0" w:space="0" w:color="auto"/>
        <w:right w:val="none" w:sz="0" w:space="0" w:color="auto"/>
      </w:divBdr>
      <w:divsChild>
        <w:div w:id="230426456">
          <w:marLeft w:val="0"/>
          <w:marRight w:val="0"/>
          <w:marTop w:val="0"/>
          <w:marBottom w:val="0"/>
          <w:divBdr>
            <w:top w:val="none" w:sz="0" w:space="0" w:color="auto"/>
            <w:left w:val="none" w:sz="0" w:space="0" w:color="auto"/>
            <w:bottom w:val="none" w:sz="0" w:space="0" w:color="auto"/>
            <w:right w:val="none" w:sz="0" w:space="0" w:color="auto"/>
          </w:divBdr>
        </w:div>
        <w:div w:id="288165779">
          <w:marLeft w:val="0"/>
          <w:marRight w:val="0"/>
          <w:marTop w:val="0"/>
          <w:marBottom w:val="0"/>
          <w:divBdr>
            <w:top w:val="none" w:sz="0" w:space="0" w:color="auto"/>
            <w:left w:val="none" w:sz="0" w:space="0" w:color="auto"/>
            <w:bottom w:val="none" w:sz="0" w:space="0" w:color="auto"/>
            <w:right w:val="none" w:sz="0" w:space="0" w:color="auto"/>
          </w:divBdr>
        </w:div>
        <w:div w:id="511574043">
          <w:marLeft w:val="0"/>
          <w:marRight w:val="0"/>
          <w:marTop w:val="0"/>
          <w:marBottom w:val="0"/>
          <w:divBdr>
            <w:top w:val="none" w:sz="0" w:space="0" w:color="auto"/>
            <w:left w:val="none" w:sz="0" w:space="0" w:color="auto"/>
            <w:bottom w:val="none" w:sz="0" w:space="0" w:color="auto"/>
            <w:right w:val="none" w:sz="0" w:space="0" w:color="auto"/>
          </w:divBdr>
        </w:div>
        <w:div w:id="1003124428">
          <w:marLeft w:val="0"/>
          <w:marRight w:val="0"/>
          <w:marTop w:val="0"/>
          <w:marBottom w:val="0"/>
          <w:divBdr>
            <w:top w:val="none" w:sz="0" w:space="0" w:color="auto"/>
            <w:left w:val="none" w:sz="0" w:space="0" w:color="auto"/>
            <w:bottom w:val="none" w:sz="0" w:space="0" w:color="auto"/>
            <w:right w:val="none" w:sz="0" w:space="0" w:color="auto"/>
          </w:divBdr>
          <w:divsChild>
            <w:div w:id="1480461187">
              <w:marLeft w:val="-75"/>
              <w:marRight w:val="0"/>
              <w:marTop w:val="30"/>
              <w:marBottom w:val="30"/>
              <w:divBdr>
                <w:top w:val="none" w:sz="0" w:space="0" w:color="auto"/>
                <w:left w:val="none" w:sz="0" w:space="0" w:color="auto"/>
                <w:bottom w:val="none" w:sz="0" w:space="0" w:color="auto"/>
                <w:right w:val="none" w:sz="0" w:space="0" w:color="auto"/>
              </w:divBdr>
              <w:divsChild>
                <w:div w:id="22098859">
                  <w:marLeft w:val="0"/>
                  <w:marRight w:val="0"/>
                  <w:marTop w:val="0"/>
                  <w:marBottom w:val="0"/>
                  <w:divBdr>
                    <w:top w:val="none" w:sz="0" w:space="0" w:color="auto"/>
                    <w:left w:val="none" w:sz="0" w:space="0" w:color="auto"/>
                    <w:bottom w:val="none" w:sz="0" w:space="0" w:color="auto"/>
                    <w:right w:val="none" w:sz="0" w:space="0" w:color="auto"/>
                  </w:divBdr>
                  <w:divsChild>
                    <w:div w:id="1085417858">
                      <w:marLeft w:val="0"/>
                      <w:marRight w:val="0"/>
                      <w:marTop w:val="0"/>
                      <w:marBottom w:val="0"/>
                      <w:divBdr>
                        <w:top w:val="none" w:sz="0" w:space="0" w:color="auto"/>
                        <w:left w:val="none" w:sz="0" w:space="0" w:color="auto"/>
                        <w:bottom w:val="none" w:sz="0" w:space="0" w:color="auto"/>
                        <w:right w:val="none" w:sz="0" w:space="0" w:color="auto"/>
                      </w:divBdr>
                    </w:div>
                  </w:divsChild>
                </w:div>
                <w:div w:id="83034822">
                  <w:marLeft w:val="0"/>
                  <w:marRight w:val="0"/>
                  <w:marTop w:val="0"/>
                  <w:marBottom w:val="0"/>
                  <w:divBdr>
                    <w:top w:val="none" w:sz="0" w:space="0" w:color="auto"/>
                    <w:left w:val="none" w:sz="0" w:space="0" w:color="auto"/>
                    <w:bottom w:val="none" w:sz="0" w:space="0" w:color="auto"/>
                    <w:right w:val="none" w:sz="0" w:space="0" w:color="auto"/>
                  </w:divBdr>
                  <w:divsChild>
                    <w:div w:id="1098908168">
                      <w:marLeft w:val="0"/>
                      <w:marRight w:val="0"/>
                      <w:marTop w:val="0"/>
                      <w:marBottom w:val="0"/>
                      <w:divBdr>
                        <w:top w:val="none" w:sz="0" w:space="0" w:color="auto"/>
                        <w:left w:val="none" w:sz="0" w:space="0" w:color="auto"/>
                        <w:bottom w:val="none" w:sz="0" w:space="0" w:color="auto"/>
                        <w:right w:val="none" w:sz="0" w:space="0" w:color="auto"/>
                      </w:divBdr>
                    </w:div>
                  </w:divsChild>
                </w:div>
                <w:div w:id="179439582">
                  <w:marLeft w:val="0"/>
                  <w:marRight w:val="0"/>
                  <w:marTop w:val="0"/>
                  <w:marBottom w:val="0"/>
                  <w:divBdr>
                    <w:top w:val="none" w:sz="0" w:space="0" w:color="auto"/>
                    <w:left w:val="none" w:sz="0" w:space="0" w:color="auto"/>
                    <w:bottom w:val="none" w:sz="0" w:space="0" w:color="auto"/>
                    <w:right w:val="none" w:sz="0" w:space="0" w:color="auto"/>
                  </w:divBdr>
                  <w:divsChild>
                    <w:div w:id="1952394066">
                      <w:marLeft w:val="0"/>
                      <w:marRight w:val="0"/>
                      <w:marTop w:val="0"/>
                      <w:marBottom w:val="0"/>
                      <w:divBdr>
                        <w:top w:val="none" w:sz="0" w:space="0" w:color="auto"/>
                        <w:left w:val="none" w:sz="0" w:space="0" w:color="auto"/>
                        <w:bottom w:val="none" w:sz="0" w:space="0" w:color="auto"/>
                        <w:right w:val="none" w:sz="0" w:space="0" w:color="auto"/>
                      </w:divBdr>
                    </w:div>
                  </w:divsChild>
                </w:div>
                <w:div w:id="180123525">
                  <w:marLeft w:val="0"/>
                  <w:marRight w:val="0"/>
                  <w:marTop w:val="0"/>
                  <w:marBottom w:val="0"/>
                  <w:divBdr>
                    <w:top w:val="none" w:sz="0" w:space="0" w:color="auto"/>
                    <w:left w:val="none" w:sz="0" w:space="0" w:color="auto"/>
                    <w:bottom w:val="none" w:sz="0" w:space="0" w:color="auto"/>
                    <w:right w:val="none" w:sz="0" w:space="0" w:color="auto"/>
                  </w:divBdr>
                  <w:divsChild>
                    <w:div w:id="2107073573">
                      <w:marLeft w:val="0"/>
                      <w:marRight w:val="0"/>
                      <w:marTop w:val="0"/>
                      <w:marBottom w:val="0"/>
                      <w:divBdr>
                        <w:top w:val="none" w:sz="0" w:space="0" w:color="auto"/>
                        <w:left w:val="none" w:sz="0" w:space="0" w:color="auto"/>
                        <w:bottom w:val="none" w:sz="0" w:space="0" w:color="auto"/>
                        <w:right w:val="none" w:sz="0" w:space="0" w:color="auto"/>
                      </w:divBdr>
                    </w:div>
                  </w:divsChild>
                </w:div>
                <w:div w:id="232860920">
                  <w:marLeft w:val="0"/>
                  <w:marRight w:val="0"/>
                  <w:marTop w:val="0"/>
                  <w:marBottom w:val="0"/>
                  <w:divBdr>
                    <w:top w:val="none" w:sz="0" w:space="0" w:color="auto"/>
                    <w:left w:val="none" w:sz="0" w:space="0" w:color="auto"/>
                    <w:bottom w:val="none" w:sz="0" w:space="0" w:color="auto"/>
                    <w:right w:val="none" w:sz="0" w:space="0" w:color="auto"/>
                  </w:divBdr>
                  <w:divsChild>
                    <w:div w:id="1651862856">
                      <w:marLeft w:val="0"/>
                      <w:marRight w:val="0"/>
                      <w:marTop w:val="0"/>
                      <w:marBottom w:val="0"/>
                      <w:divBdr>
                        <w:top w:val="none" w:sz="0" w:space="0" w:color="auto"/>
                        <w:left w:val="none" w:sz="0" w:space="0" w:color="auto"/>
                        <w:bottom w:val="none" w:sz="0" w:space="0" w:color="auto"/>
                        <w:right w:val="none" w:sz="0" w:space="0" w:color="auto"/>
                      </w:divBdr>
                    </w:div>
                  </w:divsChild>
                </w:div>
                <w:div w:id="304815208">
                  <w:marLeft w:val="0"/>
                  <w:marRight w:val="0"/>
                  <w:marTop w:val="0"/>
                  <w:marBottom w:val="0"/>
                  <w:divBdr>
                    <w:top w:val="none" w:sz="0" w:space="0" w:color="auto"/>
                    <w:left w:val="none" w:sz="0" w:space="0" w:color="auto"/>
                    <w:bottom w:val="none" w:sz="0" w:space="0" w:color="auto"/>
                    <w:right w:val="none" w:sz="0" w:space="0" w:color="auto"/>
                  </w:divBdr>
                  <w:divsChild>
                    <w:div w:id="1233153082">
                      <w:marLeft w:val="0"/>
                      <w:marRight w:val="0"/>
                      <w:marTop w:val="0"/>
                      <w:marBottom w:val="0"/>
                      <w:divBdr>
                        <w:top w:val="none" w:sz="0" w:space="0" w:color="auto"/>
                        <w:left w:val="none" w:sz="0" w:space="0" w:color="auto"/>
                        <w:bottom w:val="none" w:sz="0" w:space="0" w:color="auto"/>
                        <w:right w:val="none" w:sz="0" w:space="0" w:color="auto"/>
                      </w:divBdr>
                    </w:div>
                  </w:divsChild>
                </w:div>
                <w:div w:id="329724291">
                  <w:marLeft w:val="0"/>
                  <w:marRight w:val="0"/>
                  <w:marTop w:val="0"/>
                  <w:marBottom w:val="0"/>
                  <w:divBdr>
                    <w:top w:val="none" w:sz="0" w:space="0" w:color="auto"/>
                    <w:left w:val="none" w:sz="0" w:space="0" w:color="auto"/>
                    <w:bottom w:val="none" w:sz="0" w:space="0" w:color="auto"/>
                    <w:right w:val="none" w:sz="0" w:space="0" w:color="auto"/>
                  </w:divBdr>
                  <w:divsChild>
                    <w:div w:id="640309948">
                      <w:marLeft w:val="0"/>
                      <w:marRight w:val="0"/>
                      <w:marTop w:val="0"/>
                      <w:marBottom w:val="0"/>
                      <w:divBdr>
                        <w:top w:val="none" w:sz="0" w:space="0" w:color="auto"/>
                        <w:left w:val="none" w:sz="0" w:space="0" w:color="auto"/>
                        <w:bottom w:val="none" w:sz="0" w:space="0" w:color="auto"/>
                        <w:right w:val="none" w:sz="0" w:space="0" w:color="auto"/>
                      </w:divBdr>
                    </w:div>
                  </w:divsChild>
                </w:div>
                <w:div w:id="372774389">
                  <w:marLeft w:val="0"/>
                  <w:marRight w:val="0"/>
                  <w:marTop w:val="0"/>
                  <w:marBottom w:val="0"/>
                  <w:divBdr>
                    <w:top w:val="none" w:sz="0" w:space="0" w:color="auto"/>
                    <w:left w:val="none" w:sz="0" w:space="0" w:color="auto"/>
                    <w:bottom w:val="none" w:sz="0" w:space="0" w:color="auto"/>
                    <w:right w:val="none" w:sz="0" w:space="0" w:color="auto"/>
                  </w:divBdr>
                  <w:divsChild>
                    <w:div w:id="1140001329">
                      <w:marLeft w:val="0"/>
                      <w:marRight w:val="0"/>
                      <w:marTop w:val="0"/>
                      <w:marBottom w:val="0"/>
                      <w:divBdr>
                        <w:top w:val="none" w:sz="0" w:space="0" w:color="auto"/>
                        <w:left w:val="none" w:sz="0" w:space="0" w:color="auto"/>
                        <w:bottom w:val="none" w:sz="0" w:space="0" w:color="auto"/>
                        <w:right w:val="none" w:sz="0" w:space="0" w:color="auto"/>
                      </w:divBdr>
                    </w:div>
                  </w:divsChild>
                </w:div>
                <w:div w:id="381248205">
                  <w:marLeft w:val="0"/>
                  <w:marRight w:val="0"/>
                  <w:marTop w:val="0"/>
                  <w:marBottom w:val="0"/>
                  <w:divBdr>
                    <w:top w:val="none" w:sz="0" w:space="0" w:color="auto"/>
                    <w:left w:val="none" w:sz="0" w:space="0" w:color="auto"/>
                    <w:bottom w:val="none" w:sz="0" w:space="0" w:color="auto"/>
                    <w:right w:val="none" w:sz="0" w:space="0" w:color="auto"/>
                  </w:divBdr>
                  <w:divsChild>
                    <w:div w:id="1769616044">
                      <w:marLeft w:val="0"/>
                      <w:marRight w:val="0"/>
                      <w:marTop w:val="0"/>
                      <w:marBottom w:val="0"/>
                      <w:divBdr>
                        <w:top w:val="none" w:sz="0" w:space="0" w:color="auto"/>
                        <w:left w:val="none" w:sz="0" w:space="0" w:color="auto"/>
                        <w:bottom w:val="none" w:sz="0" w:space="0" w:color="auto"/>
                        <w:right w:val="none" w:sz="0" w:space="0" w:color="auto"/>
                      </w:divBdr>
                    </w:div>
                  </w:divsChild>
                </w:div>
                <w:div w:id="400566680">
                  <w:marLeft w:val="0"/>
                  <w:marRight w:val="0"/>
                  <w:marTop w:val="0"/>
                  <w:marBottom w:val="0"/>
                  <w:divBdr>
                    <w:top w:val="none" w:sz="0" w:space="0" w:color="auto"/>
                    <w:left w:val="none" w:sz="0" w:space="0" w:color="auto"/>
                    <w:bottom w:val="none" w:sz="0" w:space="0" w:color="auto"/>
                    <w:right w:val="none" w:sz="0" w:space="0" w:color="auto"/>
                  </w:divBdr>
                  <w:divsChild>
                    <w:div w:id="2100906523">
                      <w:marLeft w:val="0"/>
                      <w:marRight w:val="0"/>
                      <w:marTop w:val="0"/>
                      <w:marBottom w:val="0"/>
                      <w:divBdr>
                        <w:top w:val="none" w:sz="0" w:space="0" w:color="auto"/>
                        <w:left w:val="none" w:sz="0" w:space="0" w:color="auto"/>
                        <w:bottom w:val="none" w:sz="0" w:space="0" w:color="auto"/>
                        <w:right w:val="none" w:sz="0" w:space="0" w:color="auto"/>
                      </w:divBdr>
                    </w:div>
                  </w:divsChild>
                </w:div>
                <w:div w:id="408238128">
                  <w:marLeft w:val="0"/>
                  <w:marRight w:val="0"/>
                  <w:marTop w:val="0"/>
                  <w:marBottom w:val="0"/>
                  <w:divBdr>
                    <w:top w:val="none" w:sz="0" w:space="0" w:color="auto"/>
                    <w:left w:val="none" w:sz="0" w:space="0" w:color="auto"/>
                    <w:bottom w:val="none" w:sz="0" w:space="0" w:color="auto"/>
                    <w:right w:val="none" w:sz="0" w:space="0" w:color="auto"/>
                  </w:divBdr>
                  <w:divsChild>
                    <w:div w:id="1612274297">
                      <w:marLeft w:val="0"/>
                      <w:marRight w:val="0"/>
                      <w:marTop w:val="0"/>
                      <w:marBottom w:val="0"/>
                      <w:divBdr>
                        <w:top w:val="none" w:sz="0" w:space="0" w:color="auto"/>
                        <w:left w:val="none" w:sz="0" w:space="0" w:color="auto"/>
                        <w:bottom w:val="none" w:sz="0" w:space="0" w:color="auto"/>
                        <w:right w:val="none" w:sz="0" w:space="0" w:color="auto"/>
                      </w:divBdr>
                    </w:div>
                    <w:div w:id="1846237498">
                      <w:marLeft w:val="0"/>
                      <w:marRight w:val="0"/>
                      <w:marTop w:val="0"/>
                      <w:marBottom w:val="0"/>
                      <w:divBdr>
                        <w:top w:val="none" w:sz="0" w:space="0" w:color="auto"/>
                        <w:left w:val="none" w:sz="0" w:space="0" w:color="auto"/>
                        <w:bottom w:val="none" w:sz="0" w:space="0" w:color="auto"/>
                        <w:right w:val="none" w:sz="0" w:space="0" w:color="auto"/>
                      </w:divBdr>
                    </w:div>
                  </w:divsChild>
                </w:div>
                <w:div w:id="425812672">
                  <w:marLeft w:val="0"/>
                  <w:marRight w:val="0"/>
                  <w:marTop w:val="0"/>
                  <w:marBottom w:val="0"/>
                  <w:divBdr>
                    <w:top w:val="none" w:sz="0" w:space="0" w:color="auto"/>
                    <w:left w:val="none" w:sz="0" w:space="0" w:color="auto"/>
                    <w:bottom w:val="none" w:sz="0" w:space="0" w:color="auto"/>
                    <w:right w:val="none" w:sz="0" w:space="0" w:color="auto"/>
                  </w:divBdr>
                  <w:divsChild>
                    <w:div w:id="563181327">
                      <w:marLeft w:val="0"/>
                      <w:marRight w:val="0"/>
                      <w:marTop w:val="0"/>
                      <w:marBottom w:val="0"/>
                      <w:divBdr>
                        <w:top w:val="none" w:sz="0" w:space="0" w:color="auto"/>
                        <w:left w:val="none" w:sz="0" w:space="0" w:color="auto"/>
                        <w:bottom w:val="none" w:sz="0" w:space="0" w:color="auto"/>
                        <w:right w:val="none" w:sz="0" w:space="0" w:color="auto"/>
                      </w:divBdr>
                    </w:div>
                  </w:divsChild>
                </w:div>
                <w:div w:id="427851404">
                  <w:marLeft w:val="0"/>
                  <w:marRight w:val="0"/>
                  <w:marTop w:val="0"/>
                  <w:marBottom w:val="0"/>
                  <w:divBdr>
                    <w:top w:val="none" w:sz="0" w:space="0" w:color="auto"/>
                    <w:left w:val="none" w:sz="0" w:space="0" w:color="auto"/>
                    <w:bottom w:val="none" w:sz="0" w:space="0" w:color="auto"/>
                    <w:right w:val="none" w:sz="0" w:space="0" w:color="auto"/>
                  </w:divBdr>
                  <w:divsChild>
                    <w:div w:id="846142038">
                      <w:marLeft w:val="0"/>
                      <w:marRight w:val="0"/>
                      <w:marTop w:val="0"/>
                      <w:marBottom w:val="0"/>
                      <w:divBdr>
                        <w:top w:val="none" w:sz="0" w:space="0" w:color="auto"/>
                        <w:left w:val="none" w:sz="0" w:space="0" w:color="auto"/>
                        <w:bottom w:val="none" w:sz="0" w:space="0" w:color="auto"/>
                        <w:right w:val="none" w:sz="0" w:space="0" w:color="auto"/>
                      </w:divBdr>
                    </w:div>
                    <w:div w:id="1895308137">
                      <w:marLeft w:val="0"/>
                      <w:marRight w:val="0"/>
                      <w:marTop w:val="0"/>
                      <w:marBottom w:val="0"/>
                      <w:divBdr>
                        <w:top w:val="none" w:sz="0" w:space="0" w:color="auto"/>
                        <w:left w:val="none" w:sz="0" w:space="0" w:color="auto"/>
                        <w:bottom w:val="none" w:sz="0" w:space="0" w:color="auto"/>
                        <w:right w:val="none" w:sz="0" w:space="0" w:color="auto"/>
                      </w:divBdr>
                    </w:div>
                  </w:divsChild>
                </w:div>
                <w:div w:id="474569401">
                  <w:marLeft w:val="0"/>
                  <w:marRight w:val="0"/>
                  <w:marTop w:val="0"/>
                  <w:marBottom w:val="0"/>
                  <w:divBdr>
                    <w:top w:val="none" w:sz="0" w:space="0" w:color="auto"/>
                    <w:left w:val="none" w:sz="0" w:space="0" w:color="auto"/>
                    <w:bottom w:val="none" w:sz="0" w:space="0" w:color="auto"/>
                    <w:right w:val="none" w:sz="0" w:space="0" w:color="auto"/>
                  </w:divBdr>
                  <w:divsChild>
                    <w:div w:id="1261641714">
                      <w:marLeft w:val="0"/>
                      <w:marRight w:val="0"/>
                      <w:marTop w:val="0"/>
                      <w:marBottom w:val="0"/>
                      <w:divBdr>
                        <w:top w:val="none" w:sz="0" w:space="0" w:color="auto"/>
                        <w:left w:val="none" w:sz="0" w:space="0" w:color="auto"/>
                        <w:bottom w:val="none" w:sz="0" w:space="0" w:color="auto"/>
                        <w:right w:val="none" w:sz="0" w:space="0" w:color="auto"/>
                      </w:divBdr>
                    </w:div>
                  </w:divsChild>
                </w:div>
                <w:div w:id="500241305">
                  <w:marLeft w:val="0"/>
                  <w:marRight w:val="0"/>
                  <w:marTop w:val="0"/>
                  <w:marBottom w:val="0"/>
                  <w:divBdr>
                    <w:top w:val="none" w:sz="0" w:space="0" w:color="auto"/>
                    <w:left w:val="none" w:sz="0" w:space="0" w:color="auto"/>
                    <w:bottom w:val="none" w:sz="0" w:space="0" w:color="auto"/>
                    <w:right w:val="none" w:sz="0" w:space="0" w:color="auto"/>
                  </w:divBdr>
                  <w:divsChild>
                    <w:div w:id="705643345">
                      <w:marLeft w:val="0"/>
                      <w:marRight w:val="0"/>
                      <w:marTop w:val="0"/>
                      <w:marBottom w:val="0"/>
                      <w:divBdr>
                        <w:top w:val="none" w:sz="0" w:space="0" w:color="auto"/>
                        <w:left w:val="none" w:sz="0" w:space="0" w:color="auto"/>
                        <w:bottom w:val="none" w:sz="0" w:space="0" w:color="auto"/>
                        <w:right w:val="none" w:sz="0" w:space="0" w:color="auto"/>
                      </w:divBdr>
                    </w:div>
                  </w:divsChild>
                </w:div>
                <w:div w:id="584069327">
                  <w:marLeft w:val="0"/>
                  <w:marRight w:val="0"/>
                  <w:marTop w:val="0"/>
                  <w:marBottom w:val="0"/>
                  <w:divBdr>
                    <w:top w:val="none" w:sz="0" w:space="0" w:color="auto"/>
                    <w:left w:val="none" w:sz="0" w:space="0" w:color="auto"/>
                    <w:bottom w:val="none" w:sz="0" w:space="0" w:color="auto"/>
                    <w:right w:val="none" w:sz="0" w:space="0" w:color="auto"/>
                  </w:divBdr>
                  <w:divsChild>
                    <w:div w:id="987629543">
                      <w:marLeft w:val="0"/>
                      <w:marRight w:val="0"/>
                      <w:marTop w:val="0"/>
                      <w:marBottom w:val="0"/>
                      <w:divBdr>
                        <w:top w:val="none" w:sz="0" w:space="0" w:color="auto"/>
                        <w:left w:val="none" w:sz="0" w:space="0" w:color="auto"/>
                        <w:bottom w:val="none" w:sz="0" w:space="0" w:color="auto"/>
                        <w:right w:val="none" w:sz="0" w:space="0" w:color="auto"/>
                      </w:divBdr>
                    </w:div>
                  </w:divsChild>
                </w:div>
                <w:div w:id="622426335">
                  <w:marLeft w:val="0"/>
                  <w:marRight w:val="0"/>
                  <w:marTop w:val="0"/>
                  <w:marBottom w:val="0"/>
                  <w:divBdr>
                    <w:top w:val="none" w:sz="0" w:space="0" w:color="auto"/>
                    <w:left w:val="none" w:sz="0" w:space="0" w:color="auto"/>
                    <w:bottom w:val="none" w:sz="0" w:space="0" w:color="auto"/>
                    <w:right w:val="none" w:sz="0" w:space="0" w:color="auto"/>
                  </w:divBdr>
                  <w:divsChild>
                    <w:div w:id="2047178327">
                      <w:marLeft w:val="0"/>
                      <w:marRight w:val="0"/>
                      <w:marTop w:val="0"/>
                      <w:marBottom w:val="0"/>
                      <w:divBdr>
                        <w:top w:val="none" w:sz="0" w:space="0" w:color="auto"/>
                        <w:left w:val="none" w:sz="0" w:space="0" w:color="auto"/>
                        <w:bottom w:val="none" w:sz="0" w:space="0" w:color="auto"/>
                        <w:right w:val="none" w:sz="0" w:space="0" w:color="auto"/>
                      </w:divBdr>
                    </w:div>
                  </w:divsChild>
                </w:div>
                <w:div w:id="703991799">
                  <w:marLeft w:val="0"/>
                  <w:marRight w:val="0"/>
                  <w:marTop w:val="0"/>
                  <w:marBottom w:val="0"/>
                  <w:divBdr>
                    <w:top w:val="none" w:sz="0" w:space="0" w:color="auto"/>
                    <w:left w:val="none" w:sz="0" w:space="0" w:color="auto"/>
                    <w:bottom w:val="none" w:sz="0" w:space="0" w:color="auto"/>
                    <w:right w:val="none" w:sz="0" w:space="0" w:color="auto"/>
                  </w:divBdr>
                  <w:divsChild>
                    <w:div w:id="1752503996">
                      <w:marLeft w:val="0"/>
                      <w:marRight w:val="0"/>
                      <w:marTop w:val="0"/>
                      <w:marBottom w:val="0"/>
                      <w:divBdr>
                        <w:top w:val="none" w:sz="0" w:space="0" w:color="auto"/>
                        <w:left w:val="none" w:sz="0" w:space="0" w:color="auto"/>
                        <w:bottom w:val="none" w:sz="0" w:space="0" w:color="auto"/>
                        <w:right w:val="none" w:sz="0" w:space="0" w:color="auto"/>
                      </w:divBdr>
                    </w:div>
                  </w:divsChild>
                </w:div>
                <w:div w:id="819660825">
                  <w:marLeft w:val="0"/>
                  <w:marRight w:val="0"/>
                  <w:marTop w:val="0"/>
                  <w:marBottom w:val="0"/>
                  <w:divBdr>
                    <w:top w:val="none" w:sz="0" w:space="0" w:color="auto"/>
                    <w:left w:val="none" w:sz="0" w:space="0" w:color="auto"/>
                    <w:bottom w:val="none" w:sz="0" w:space="0" w:color="auto"/>
                    <w:right w:val="none" w:sz="0" w:space="0" w:color="auto"/>
                  </w:divBdr>
                  <w:divsChild>
                    <w:div w:id="367724829">
                      <w:marLeft w:val="0"/>
                      <w:marRight w:val="0"/>
                      <w:marTop w:val="0"/>
                      <w:marBottom w:val="0"/>
                      <w:divBdr>
                        <w:top w:val="none" w:sz="0" w:space="0" w:color="auto"/>
                        <w:left w:val="none" w:sz="0" w:space="0" w:color="auto"/>
                        <w:bottom w:val="none" w:sz="0" w:space="0" w:color="auto"/>
                        <w:right w:val="none" w:sz="0" w:space="0" w:color="auto"/>
                      </w:divBdr>
                    </w:div>
                  </w:divsChild>
                </w:div>
                <w:div w:id="824972941">
                  <w:marLeft w:val="0"/>
                  <w:marRight w:val="0"/>
                  <w:marTop w:val="0"/>
                  <w:marBottom w:val="0"/>
                  <w:divBdr>
                    <w:top w:val="none" w:sz="0" w:space="0" w:color="auto"/>
                    <w:left w:val="none" w:sz="0" w:space="0" w:color="auto"/>
                    <w:bottom w:val="none" w:sz="0" w:space="0" w:color="auto"/>
                    <w:right w:val="none" w:sz="0" w:space="0" w:color="auto"/>
                  </w:divBdr>
                  <w:divsChild>
                    <w:div w:id="901404886">
                      <w:marLeft w:val="0"/>
                      <w:marRight w:val="0"/>
                      <w:marTop w:val="0"/>
                      <w:marBottom w:val="0"/>
                      <w:divBdr>
                        <w:top w:val="none" w:sz="0" w:space="0" w:color="auto"/>
                        <w:left w:val="none" w:sz="0" w:space="0" w:color="auto"/>
                        <w:bottom w:val="none" w:sz="0" w:space="0" w:color="auto"/>
                        <w:right w:val="none" w:sz="0" w:space="0" w:color="auto"/>
                      </w:divBdr>
                    </w:div>
                  </w:divsChild>
                </w:div>
                <w:div w:id="851647872">
                  <w:marLeft w:val="0"/>
                  <w:marRight w:val="0"/>
                  <w:marTop w:val="0"/>
                  <w:marBottom w:val="0"/>
                  <w:divBdr>
                    <w:top w:val="none" w:sz="0" w:space="0" w:color="auto"/>
                    <w:left w:val="none" w:sz="0" w:space="0" w:color="auto"/>
                    <w:bottom w:val="none" w:sz="0" w:space="0" w:color="auto"/>
                    <w:right w:val="none" w:sz="0" w:space="0" w:color="auto"/>
                  </w:divBdr>
                  <w:divsChild>
                    <w:div w:id="987973752">
                      <w:marLeft w:val="0"/>
                      <w:marRight w:val="0"/>
                      <w:marTop w:val="0"/>
                      <w:marBottom w:val="0"/>
                      <w:divBdr>
                        <w:top w:val="none" w:sz="0" w:space="0" w:color="auto"/>
                        <w:left w:val="none" w:sz="0" w:space="0" w:color="auto"/>
                        <w:bottom w:val="none" w:sz="0" w:space="0" w:color="auto"/>
                        <w:right w:val="none" w:sz="0" w:space="0" w:color="auto"/>
                      </w:divBdr>
                    </w:div>
                  </w:divsChild>
                </w:div>
                <w:div w:id="893392871">
                  <w:marLeft w:val="0"/>
                  <w:marRight w:val="0"/>
                  <w:marTop w:val="0"/>
                  <w:marBottom w:val="0"/>
                  <w:divBdr>
                    <w:top w:val="none" w:sz="0" w:space="0" w:color="auto"/>
                    <w:left w:val="none" w:sz="0" w:space="0" w:color="auto"/>
                    <w:bottom w:val="none" w:sz="0" w:space="0" w:color="auto"/>
                    <w:right w:val="none" w:sz="0" w:space="0" w:color="auto"/>
                  </w:divBdr>
                  <w:divsChild>
                    <w:div w:id="1079907477">
                      <w:marLeft w:val="0"/>
                      <w:marRight w:val="0"/>
                      <w:marTop w:val="0"/>
                      <w:marBottom w:val="0"/>
                      <w:divBdr>
                        <w:top w:val="none" w:sz="0" w:space="0" w:color="auto"/>
                        <w:left w:val="none" w:sz="0" w:space="0" w:color="auto"/>
                        <w:bottom w:val="none" w:sz="0" w:space="0" w:color="auto"/>
                        <w:right w:val="none" w:sz="0" w:space="0" w:color="auto"/>
                      </w:divBdr>
                    </w:div>
                  </w:divsChild>
                </w:div>
                <w:div w:id="939340730">
                  <w:marLeft w:val="0"/>
                  <w:marRight w:val="0"/>
                  <w:marTop w:val="0"/>
                  <w:marBottom w:val="0"/>
                  <w:divBdr>
                    <w:top w:val="none" w:sz="0" w:space="0" w:color="auto"/>
                    <w:left w:val="none" w:sz="0" w:space="0" w:color="auto"/>
                    <w:bottom w:val="none" w:sz="0" w:space="0" w:color="auto"/>
                    <w:right w:val="none" w:sz="0" w:space="0" w:color="auto"/>
                  </w:divBdr>
                  <w:divsChild>
                    <w:div w:id="809324895">
                      <w:marLeft w:val="0"/>
                      <w:marRight w:val="0"/>
                      <w:marTop w:val="0"/>
                      <w:marBottom w:val="0"/>
                      <w:divBdr>
                        <w:top w:val="none" w:sz="0" w:space="0" w:color="auto"/>
                        <w:left w:val="none" w:sz="0" w:space="0" w:color="auto"/>
                        <w:bottom w:val="none" w:sz="0" w:space="0" w:color="auto"/>
                        <w:right w:val="none" w:sz="0" w:space="0" w:color="auto"/>
                      </w:divBdr>
                    </w:div>
                  </w:divsChild>
                </w:div>
                <w:div w:id="984116828">
                  <w:marLeft w:val="0"/>
                  <w:marRight w:val="0"/>
                  <w:marTop w:val="0"/>
                  <w:marBottom w:val="0"/>
                  <w:divBdr>
                    <w:top w:val="none" w:sz="0" w:space="0" w:color="auto"/>
                    <w:left w:val="none" w:sz="0" w:space="0" w:color="auto"/>
                    <w:bottom w:val="none" w:sz="0" w:space="0" w:color="auto"/>
                    <w:right w:val="none" w:sz="0" w:space="0" w:color="auto"/>
                  </w:divBdr>
                  <w:divsChild>
                    <w:div w:id="1574852836">
                      <w:marLeft w:val="0"/>
                      <w:marRight w:val="0"/>
                      <w:marTop w:val="0"/>
                      <w:marBottom w:val="0"/>
                      <w:divBdr>
                        <w:top w:val="none" w:sz="0" w:space="0" w:color="auto"/>
                        <w:left w:val="none" w:sz="0" w:space="0" w:color="auto"/>
                        <w:bottom w:val="none" w:sz="0" w:space="0" w:color="auto"/>
                        <w:right w:val="none" w:sz="0" w:space="0" w:color="auto"/>
                      </w:divBdr>
                    </w:div>
                  </w:divsChild>
                </w:div>
                <w:div w:id="989285944">
                  <w:marLeft w:val="0"/>
                  <w:marRight w:val="0"/>
                  <w:marTop w:val="0"/>
                  <w:marBottom w:val="0"/>
                  <w:divBdr>
                    <w:top w:val="none" w:sz="0" w:space="0" w:color="auto"/>
                    <w:left w:val="none" w:sz="0" w:space="0" w:color="auto"/>
                    <w:bottom w:val="none" w:sz="0" w:space="0" w:color="auto"/>
                    <w:right w:val="none" w:sz="0" w:space="0" w:color="auto"/>
                  </w:divBdr>
                  <w:divsChild>
                    <w:div w:id="517887344">
                      <w:marLeft w:val="0"/>
                      <w:marRight w:val="0"/>
                      <w:marTop w:val="0"/>
                      <w:marBottom w:val="0"/>
                      <w:divBdr>
                        <w:top w:val="none" w:sz="0" w:space="0" w:color="auto"/>
                        <w:left w:val="none" w:sz="0" w:space="0" w:color="auto"/>
                        <w:bottom w:val="none" w:sz="0" w:space="0" w:color="auto"/>
                        <w:right w:val="none" w:sz="0" w:space="0" w:color="auto"/>
                      </w:divBdr>
                    </w:div>
                  </w:divsChild>
                </w:div>
                <w:div w:id="993876723">
                  <w:marLeft w:val="0"/>
                  <w:marRight w:val="0"/>
                  <w:marTop w:val="0"/>
                  <w:marBottom w:val="0"/>
                  <w:divBdr>
                    <w:top w:val="none" w:sz="0" w:space="0" w:color="auto"/>
                    <w:left w:val="none" w:sz="0" w:space="0" w:color="auto"/>
                    <w:bottom w:val="none" w:sz="0" w:space="0" w:color="auto"/>
                    <w:right w:val="none" w:sz="0" w:space="0" w:color="auto"/>
                  </w:divBdr>
                  <w:divsChild>
                    <w:div w:id="498155486">
                      <w:marLeft w:val="0"/>
                      <w:marRight w:val="0"/>
                      <w:marTop w:val="0"/>
                      <w:marBottom w:val="0"/>
                      <w:divBdr>
                        <w:top w:val="none" w:sz="0" w:space="0" w:color="auto"/>
                        <w:left w:val="none" w:sz="0" w:space="0" w:color="auto"/>
                        <w:bottom w:val="none" w:sz="0" w:space="0" w:color="auto"/>
                        <w:right w:val="none" w:sz="0" w:space="0" w:color="auto"/>
                      </w:divBdr>
                    </w:div>
                  </w:divsChild>
                </w:div>
                <w:div w:id="1021081895">
                  <w:marLeft w:val="0"/>
                  <w:marRight w:val="0"/>
                  <w:marTop w:val="0"/>
                  <w:marBottom w:val="0"/>
                  <w:divBdr>
                    <w:top w:val="none" w:sz="0" w:space="0" w:color="auto"/>
                    <w:left w:val="none" w:sz="0" w:space="0" w:color="auto"/>
                    <w:bottom w:val="none" w:sz="0" w:space="0" w:color="auto"/>
                    <w:right w:val="none" w:sz="0" w:space="0" w:color="auto"/>
                  </w:divBdr>
                  <w:divsChild>
                    <w:div w:id="2114548729">
                      <w:marLeft w:val="0"/>
                      <w:marRight w:val="0"/>
                      <w:marTop w:val="0"/>
                      <w:marBottom w:val="0"/>
                      <w:divBdr>
                        <w:top w:val="none" w:sz="0" w:space="0" w:color="auto"/>
                        <w:left w:val="none" w:sz="0" w:space="0" w:color="auto"/>
                        <w:bottom w:val="none" w:sz="0" w:space="0" w:color="auto"/>
                        <w:right w:val="none" w:sz="0" w:space="0" w:color="auto"/>
                      </w:divBdr>
                    </w:div>
                  </w:divsChild>
                </w:div>
                <w:div w:id="1042443437">
                  <w:marLeft w:val="0"/>
                  <w:marRight w:val="0"/>
                  <w:marTop w:val="0"/>
                  <w:marBottom w:val="0"/>
                  <w:divBdr>
                    <w:top w:val="none" w:sz="0" w:space="0" w:color="auto"/>
                    <w:left w:val="none" w:sz="0" w:space="0" w:color="auto"/>
                    <w:bottom w:val="none" w:sz="0" w:space="0" w:color="auto"/>
                    <w:right w:val="none" w:sz="0" w:space="0" w:color="auto"/>
                  </w:divBdr>
                  <w:divsChild>
                    <w:div w:id="625235599">
                      <w:marLeft w:val="0"/>
                      <w:marRight w:val="0"/>
                      <w:marTop w:val="0"/>
                      <w:marBottom w:val="0"/>
                      <w:divBdr>
                        <w:top w:val="none" w:sz="0" w:space="0" w:color="auto"/>
                        <w:left w:val="none" w:sz="0" w:space="0" w:color="auto"/>
                        <w:bottom w:val="none" w:sz="0" w:space="0" w:color="auto"/>
                        <w:right w:val="none" w:sz="0" w:space="0" w:color="auto"/>
                      </w:divBdr>
                    </w:div>
                  </w:divsChild>
                </w:div>
                <w:div w:id="1057126173">
                  <w:marLeft w:val="0"/>
                  <w:marRight w:val="0"/>
                  <w:marTop w:val="0"/>
                  <w:marBottom w:val="0"/>
                  <w:divBdr>
                    <w:top w:val="none" w:sz="0" w:space="0" w:color="auto"/>
                    <w:left w:val="none" w:sz="0" w:space="0" w:color="auto"/>
                    <w:bottom w:val="none" w:sz="0" w:space="0" w:color="auto"/>
                    <w:right w:val="none" w:sz="0" w:space="0" w:color="auto"/>
                  </w:divBdr>
                  <w:divsChild>
                    <w:div w:id="1197501443">
                      <w:marLeft w:val="0"/>
                      <w:marRight w:val="0"/>
                      <w:marTop w:val="0"/>
                      <w:marBottom w:val="0"/>
                      <w:divBdr>
                        <w:top w:val="none" w:sz="0" w:space="0" w:color="auto"/>
                        <w:left w:val="none" w:sz="0" w:space="0" w:color="auto"/>
                        <w:bottom w:val="none" w:sz="0" w:space="0" w:color="auto"/>
                        <w:right w:val="none" w:sz="0" w:space="0" w:color="auto"/>
                      </w:divBdr>
                    </w:div>
                    <w:div w:id="1760903508">
                      <w:marLeft w:val="0"/>
                      <w:marRight w:val="0"/>
                      <w:marTop w:val="0"/>
                      <w:marBottom w:val="0"/>
                      <w:divBdr>
                        <w:top w:val="none" w:sz="0" w:space="0" w:color="auto"/>
                        <w:left w:val="none" w:sz="0" w:space="0" w:color="auto"/>
                        <w:bottom w:val="none" w:sz="0" w:space="0" w:color="auto"/>
                        <w:right w:val="none" w:sz="0" w:space="0" w:color="auto"/>
                      </w:divBdr>
                    </w:div>
                  </w:divsChild>
                </w:div>
                <w:div w:id="1170561705">
                  <w:marLeft w:val="0"/>
                  <w:marRight w:val="0"/>
                  <w:marTop w:val="0"/>
                  <w:marBottom w:val="0"/>
                  <w:divBdr>
                    <w:top w:val="none" w:sz="0" w:space="0" w:color="auto"/>
                    <w:left w:val="none" w:sz="0" w:space="0" w:color="auto"/>
                    <w:bottom w:val="none" w:sz="0" w:space="0" w:color="auto"/>
                    <w:right w:val="none" w:sz="0" w:space="0" w:color="auto"/>
                  </w:divBdr>
                  <w:divsChild>
                    <w:div w:id="848521552">
                      <w:marLeft w:val="0"/>
                      <w:marRight w:val="0"/>
                      <w:marTop w:val="0"/>
                      <w:marBottom w:val="0"/>
                      <w:divBdr>
                        <w:top w:val="none" w:sz="0" w:space="0" w:color="auto"/>
                        <w:left w:val="none" w:sz="0" w:space="0" w:color="auto"/>
                        <w:bottom w:val="none" w:sz="0" w:space="0" w:color="auto"/>
                        <w:right w:val="none" w:sz="0" w:space="0" w:color="auto"/>
                      </w:divBdr>
                    </w:div>
                  </w:divsChild>
                </w:div>
                <w:div w:id="1179345537">
                  <w:marLeft w:val="0"/>
                  <w:marRight w:val="0"/>
                  <w:marTop w:val="0"/>
                  <w:marBottom w:val="0"/>
                  <w:divBdr>
                    <w:top w:val="none" w:sz="0" w:space="0" w:color="auto"/>
                    <w:left w:val="none" w:sz="0" w:space="0" w:color="auto"/>
                    <w:bottom w:val="none" w:sz="0" w:space="0" w:color="auto"/>
                    <w:right w:val="none" w:sz="0" w:space="0" w:color="auto"/>
                  </w:divBdr>
                  <w:divsChild>
                    <w:div w:id="599065585">
                      <w:marLeft w:val="0"/>
                      <w:marRight w:val="0"/>
                      <w:marTop w:val="0"/>
                      <w:marBottom w:val="0"/>
                      <w:divBdr>
                        <w:top w:val="none" w:sz="0" w:space="0" w:color="auto"/>
                        <w:left w:val="none" w:sz="0" w:space="0" w:color="auto"/>
                        <w:bottom w:val="none" w:sz="0" w:space="0" w:color="auto"/>
                        <w:right w:val="none" w:sz="0" w:space="0" w:color="auto"/>
                      </w:divBdr>
                    </w:div>
                  </w:divsChild>
                </w:div>
                <w:div w:id="1200780585">
                  <w:marLeft w:val="0"/>
                  <w:marRight w:val="0"/>
                  <w:marTop w:val="0"/>
                  <w:marBottom w:val="0"/>
                  <w:divBdr>
                    <w:top w:val="none" w:sz="0" w:space="0" w:color="auto"/>
                    <w:left w:val="none" w:sz="0" w:space="0" w:color="auto"/>
                    <w:bottom w:val="none" w:sz="0" w:space="0" w:color="auto"/>
                    <w:right w:val="none" w:sz="0" w:space="0" w:color="auto"/>
                  </w:divBdr>
                  <w:divsChild>
                    <w:div w:id="621304496">
                      <w:marLeft w:val="0"/>
                      <w:marRight w:val="0"/>
                      <w:marTop w:val="0"/>
                      <w:marBottom w:val="0"/>
                      <w:divBdr>
                        <w:top w:val="none" w:sz="0" w:space="0" w:color="auto"/>
                        <w:left w:val="none" w:sz="0" w:space="0" w:color="auto"/>
                        <w:bottom w:val="none" w:sz="0" w:space="0" w:color="auto"/>
                        <w:right w:val="none" w:sz="0" w:space="0" w:color="auto"/>
                      </w:divBdr>
                    </w:div>
                  </w:divsChild>
                </w:div>
                <w:div w:id="1241480322">
                  <w:marLeft w:val="0"/>
                  <w:marRight w:val="0"/>
                  <w:marTop w:val="0"/>
                  <w:marBottom w:val="0"/>
                  <w:divBdr>
                    <w:top w:val="none" w:sz="0" w:space="0" w:color="auto"/>
                    <w:left w:val="none" w:sz="0" w:space="0" w:color="auto"/>
                    <w:bottom w:val="none" w:sz="0" w:space="0" w:color="auto"/>
                    <w:right w:val="none" w:sz="0" w:space="0" w:color="auto"/>
                  </w:divBdr>
                  <w:divsChild>
                    <w:div w:id="325282965">
                      <w:marLeft w:val="0"/>
                      <w:marRight w:val="0"/>
                      <w:marTop w:val="0"/>
                      <w:marBottom w:val="0"/>
                      <w:divBdr>
                        <w:top w:val="none" w:sz="0" w:space="0" w:color="auto"/>
                        <w:left w:val="none" w:sz="0" w:space="0" w:color="auto"/>
                        <w:bottom w:val="none" w:sz="0" w:space="0" w:color="auto"/>
                        <w:right w:val="none" w:sz="0" w:space="0" w:color="auto"/>
                      </w:divBdr>
                    </w:div>
                  </w:divsChild>
                </w:div>
                <w:div w:id="1254970773">
                  <w:marLeft w:val="0"/>
                  <w:marRight w:val="0"/>
                  <w:marTop w:val="0"/>
                  <w:marBottom w:val="0"/>
                  <w:divBdr>
                    <w:top w:val="none" w:sz="0" w:space="0" w:color="auto"/>
                    <w:left w:val="none" w:sz="0" w:space="0" w:color="auto"/>
                    <w:bottom w:val="none" w:sz="0" w:space="0" w:color="auto"/>
                    <w:right w:val="none" w:sz="0" w:space="0" w:color="auto"/>
                  </w:divBdr>
                  <w:divsChild>
                    <w:div w:id="1650941300">
                      <w:marLeft w:val="0"/>
                      <w:marRight w:val="0"/>
                      <w:marTop w:val="0"/>
                      <w:marBottom w:val="0"/>
                      <w:divBdr>
                        <w:top w:val="none" w:sz="0" w:space="0" w:color="auto"/>
                        <w:left w:val="none" w:sz="0" w:space="0" w:color="auto"/>
                        <w:bottom w:val="none" w:sz="0" w:space="0" w:color="auto"/>
                        <w:right w:val="none" w:sz="0" w:space="0" w:color="auto"/>
                      </w:divBdr>
                    </w:div>
                  </w:divsChild>
                </w:div>
                <w:div w:id="1400981867">
                  <w:marLeft w:val="0"/>
                  <w:marRight w:val="0"/>
                  <w:marTop w:val="0"/>
                  <w:marBottom w:val="0"/>
                  <w:divBdr>
                    <w:top w:val="none" w:sz="0" w:space="0" w:color="auto"/>
                    <w:left w:val="none" w:sz="0" w:space="0" w:color="auto"/>
                    <w:bottom w:val="none" w:sz="0" w:space="0" w:color="auto"/>
                    <w:right w:val="none" w:sz="0" w:space="0" w:color="auto"/>
                  </w:divBdr>
                  <w:divsChild>
                    <w:div w:id="799493325">
                      <w:marLeft w:val="0"/>
                      <w:marRight w:val="0"/>
                      <w:marTop w:val="0"/>
                      <w:marBottom w:val="0"/>
                      <w:divBdr>
                        <w:top w:val="none" w:sz="0" w:space="0" w:color="auto"/>
                        <w:left w:val="none" w:sz="0" w:space="0" w:color="auto"/>
                        <w:bottom w:val="none" w:sz="0" w:space="0" w:color="auto"/>
                        <w:right w:val="none" w:sz="0" w:space="0" w:color="auto"/>
                      </w:divBdr>
                    </w:div>
                    <w:div w:id="2118598859">
                      <w:marLeft w:val="0"/>
                      <w:marRight w:val="0"/>
                      <w:marTop w:val="0"/>
                      <w:marBottom w:val="0"/>
                      <w:divBdr>
                        <w:top w:val="none" w:sz="0" w:space="0" w:color="auto"/>
                        <w:left w:val="none" w:sz="0" w:space="0" w:color="auto"/>
                        <w:bottom w:val="none" w:sz="0" w:space="0" w:color="auto"/>
                        <w:right w:val="none" w:sz="0" w:space="0" w:color="auto"/>
                      </w:divBdr>
                    </w:div>
                  </w:divsChild>
                </w:div>
                <w:div w:id="1422799383">
                  <w:marLeft w:val="0"/>
                  <w:marRight w:val="0"/>
                  <w:marTop w:val="0"/>
                  <w:marBottom w:val="0"/>
                  <w:divBdr>
                    <w:top w:val="none" w:sz="0" w:space="0" w:color="auto"/>
                    <w:left w:val="none" w:sz="0" w:space="0" w:color="auto"/>
                    <w:bottom w:val="none" w:sz="0" w:space="0" w:color="auto"/>
                    <w:right w:val="none" w:sz="0" w:space="0" w:color="auto"/>
                  </w:divBdr>
                  <w:divsChild>
                    <w:div w:id="1499417734">
                      <w:marLeft w:val="0"/>
                      <w:marRight w:val="0"/>
                      <w:marTop w:val="0"/>
                      <w:marBottom w:val="0"/>
                      <w:divBdr>
                        <w:top w:val="none" w:sz="0" w:space="0" w:color="auto"/>
                        <w:left w:val="none" w:sz="0" w:space="0" w:color="auto"/>
                        <w:bottom w:val="none" w:sz="0" w:space="0" w:color="auto"/>
                        <w:right w:val="none" w:sz="0" w:space="0" w:color="auto"/>
                      </w:divBdr>
                    </w:div>
                  </w:divsChild>
                </w:div>
                <w:div w:id="1457338135">
                  <w:marLeft w:val="0"/>
                  <w:marRight w:val="0"/>
                  <w:marTop w:val="0"/>
                  <w:marBottom w:val="0"/>
                  <w:divBdr>
                    <w:top w:val="none" w:sz="0" w:space="0" w:color="auto"/>
                    <w:left w:val="none" w:sz="0" w:space="0" w:color="auto"/>
                    <w:bottom w:val="none" w:sz="0" w:space="0" w:color="auto"/>
                    <w:right w:val="none" w:sz="0" w:space="0" w:color="auto"/>
                  </w:divBdr>
                  <w:divsChild>
                    <w:div w:id="1509439511">
                      <w:marLeft w:val="0"/>
                      <w:marRight w:val="0"/>
                      <w:marTop w:val="0"/>
                      <w:marBottom w:val="0"/>
                      <w:divBdr>
                        <w:top w:val="none" w:sz="0" w:space="0" w:color="auto"/>
                        <w:left w:val="none" w:sz="0" w:space="0" w:color="auto"/>
                        <w:bottom w:val="none" w:sz="0" w:space="0" w:color="auto"/>
                        <w:right w:val="none" w:sz="0" w:space="0" w:color="auto"/>
                      </w:divBdr>
                    </w:div>
                  </w:divsChild>
                </w:div>
                <w:div w:id="1524830134">
                  <w:marLeft w:val="0"/>
                  <w:marRight w:val="0"/>
                  <w:marTop w:val="0"/>
                  <w:marBottom w:val="0"/>
                  <w:divBdr>
                    <w:top w:val="none" w:sz="0" w:space="0" w:color="auto"/>
                    <w:left w:val="none" w:sz="0" w:space="0" w:color="auto"/>
                    <w:bottom w:val="none" w:sz="0" w:space="0" w:color="auto"/>
                    <w:right w:val="none" w:sz="0" w:space="0" w:color="auto"/>
                  </w:divBdr>
                  <w:divsChild>
                    <w:div w:id="2093811725">
                      <w:marLeft w:val="0"/>
                      <w:marRight w:val="0"/>
                      <w:marTop w:val="0"/>
                      <w:marBottom w:val="0"/>
                      <w:divBdr>
                        <w:top w:val="none" w:sz="0" w:space="0" w:color="auto"/>
                        <w:left w:val="none" w:sz="0" w:space="0" w:color="auto"/>
                        <w:bottom w:val="none" w:sz="0" w:space="0" w:color="auto"/>
                        <w:right w:val="none" w:sz="0" w:space="0" w:color="auto"/>
                      </w:divBdr>
                    </w:div>
                  </w:divsChild>
                </w:div>
                <w:div w:id="1525290180">
                  <w:marLeft w:val="0"/>
                  <w:marRight w:val="0"/>
                  <w:marTop w:val="0"/>
                  <w:marBottom w:val="0"/>
                  <w:divBdr>
                    <w:top w:val="none" w:sz="0" w:space="0" w:color="auto"/>
                    <w:left w:val="none" w:sz="0" w:space="0" w:color="auto"/>
                    <w:bottom w:val="none" w:sz="0" w:space="0" w:color="auto"/>
                    <w:right w:val="none" w:sz="0" w:space="0" w:color="auto"/>
                  </w:divBdr>
                  <w:divsChild>
                    <w:div w:id="1653218188">
                      <w:marLeft w:val="0"/>
                      <w:marRight w:val="0"/>
                      <w:marTop w:val="0"/>
                      <w:marBottom w:val="0"/>
                      <w:divBdr>
                        <w:top w:val="none" w:sz="0" w:space="0" w:color="auto"/>
                        <w:left w:val="none" w:sz="0" w:space="0" w:color="auto"/>
                        <w:bottom w:val="none" w:sz="0" w:space="0" w:color="auto"/>
                        <w:right w:val="none" w:sz="0" w:space="0" w:color="auto"/>
                      </w:divBdr>
                    </w:div>
                  </w:divsChild>
                </w:div>
                <w:div w:id="1540127643">
                  <w:marLeft w:val="0"/>
                  <w:marRight w:val="0"/>
                  <w:marTop w:val="0"/>
                  <w:marBottom w:val="0"/>
                  <w:divBdr>
                    <w:top w:val="none" w:sz="0" w:space="0" w:color="auto"/>
                    <w:left w:val="none" w:sz="0" w:space="0" w:color="auto"/>
                    <w:bottom w:val="none" w:sz="0" w:space="0" w:color="auto"/>
                    <w:right w:val="none" w:sz="0" w:space="0" w:color="auto"/>
                  </w:divBdr>
                  <w:divsChild>
                    <w:div w:id="1583880489">
                      <w:marLeft w:val="0"/>
                      <w:marRight w:val="0"/>
                      <w:marTop w:val="0"/>
                      <w:marBottom w:val="0"/>
                      <w:divBdr>
                        <w:top w:val="none" w:sz="0" w:space="0" w:color="auto"/>
                        <w:left w:val="none" w:sz="0" w:space="0" w:color="auto"/>
                        <w:bottom w:val="none" w:sz="0" w:space="0" w:color="auto"/>
                        <w:right w:val="none" w:sz="0" w:space="0" w:color="auto"/>
                      </w:divBdr>
                    </w:div>
                  </w:divsChild>
                </w:div>
                <w:div w:id="1558972564">
                  <w:marLeft w:val="0"/>
                  <w:marRight w:val="0"/>
                  <w:marTop w:val="0"/>
                  <w:marBottom w:val="0"/>
                  <w:divBdr>
                    <w:top w:val="none" w:sz="0" w:space="0" w:color="auto"/>
                    <w:left w:val="none" w:sz="0" w:space="0" w:color="auto"/>
                    <w:bottom w:val="none" w:sz="0" w:space="0" w:color="auto"/>
                    <w:right w:val="none" w:sz="0" w:space="0" w:color="auto"/>
                  </w:divBdr>
                  <w:divsChild>
                    <w:div w:id="1010721034">
                      <w:marLeft w:val="0"/>
                      <w:marRight w:val="0"/>
                      <w:marTop w:val="0"/>
                      <w:marBottom w:val="0"/>
                      <w:divBdr>
                        <w:top w:val="none" w:sz="0" w:space="0" w:color="auto"/>
                        <w:left w:val="none" w:sz="0" w:space="0" w:color="auto"/>
                        <w:bottom w:val="none" w:sz="0" w:space="0" w:color="auto"/>
                        <w:right w:val="none" w:sz="0" w:space="0" w:color="auto"/>
                      </w:divBdr>
                    </w:div>
                  </w:divsChild>
                </w:div>
                <w:div w:id="1602449281">
                  <w:marLeft w:val="0"/>
                  <w:marRight w:val="0"/>
                  <w:marTop w:val="0"/>
                  <w:marBottom w:val="0"/>
                  <w:divBdr>
                    <w:top w:val="none" w:sz="0" w:space="0" w:color="auto"/>
                    <w:left w:val="none" w:sz="0" w:space="0" w:color="auto"/>
                    <w:bottom w:val="none" w:sz="0" w:space="0" w:color="auto"/>
                    <w:right w:val="none" w:sz="0" w:space="0" w:color="auto"/>
                  </w:divBdr>
                  <w:divsChild>
                    <w:div w:id="1502575260">
                      <w:marLeft w:val="0"/>
                      <w:marRight w:val="0"/>
                      <w:marTop w:val="0"/>
                      <w:marBottom w:val="0"/>
                      <w:divBdr>
                        <w:top w:val="none" w:sz="0" w:space="0" w:color="auto"/>
                        <w:left w:val="none" w:sz="0" w:space="0" w:color="auto"/>
                        <w:bottom w:val="none" w:sz="0" w:space="0" w:color="auto"/>
                        <w:right w:val="none" w:sz="0" w:space="0" w:color="auto"/>
                      </w:divBdr>
                    </w:div>
                  </w:divsChild>
                </w:div>
                <w:div w:id="1738430428">
                  <w:marLeft w:val="0"/>
                  <w:marRight w:val="0"/>
                  <w:marTop w:val="0"/>
                  <w:marBottom w:val="0"/>
                  <w:divBdr>
                    <w:top w:val="none" w:sz="0" w:space="0" w:color="auto"/>
                    <w:left w:val="none" w:sz="0" w:space="0" w:color="auto"/>
                    <w:bottom w:val="none" w:sz="0" w:space="0" w:color="auto"/>
                    <w:right w:val="none" w:sz="0" w:space="0" w:color="auto"/>
                  </w:divBdr>
                  <w:divsChild>
                    <w:div w:id="334310929">
                      <w:marLeft w:val="0"/>
                      <w:marRight w:val="0"/>
                      <w:marTop w:val="0"/>
                      <w:marBottom w:val="0"/>
                      <w:divBdr>
                        <w:top w:val="none" w:sz="0" w:space="0" w:color="auto"/>
                        <w:left w:val="none" w:sz="0" w:space="0" w:color="auto"/>
                        <w:bottom w:val="none" w:sz="0" w:space="0" w:color="auto"/>
                        <w:right w:val="none" w:sz="0" w:space="0" w:color="auto"/>
                      </w:divBdr>
                    </w:div>
                  </w:divsChild>
                </w:div>
                <w:div w:id="1814712147">
                  <w:marLeft w:val="0"/>
                  <w:marRight w:val="0"/>
                  <w:marTop w:val="0"/>
                  <w:marBottom w:val="0"/>
                  <w:divBdr>
                    <w:top w:val="none" w:sz="0" w:space="0" w:color="auto"/>
                    <w:left w:val="none" w:sz="0" w:space="0" w:color="auto"/>
                    <w:bottom w:val="none" w:sz="0" w:space="0" w:color="auto"/>
                    <w:right w:val="none" w:sz="0" w:space="0" w:color="auto"/>
                  </w:divBdr>
                  <w:divsChild>
                    <w:div w:id="33118060">
                      <w:marLeft w:val="0"/>
                      <w:marRight w:val="0"/>
                      <w:marTop w:val="0"/>
                      <w:marBottom w:val="0"/>
                      <w:divBdr>
                        <w:top w:val="none" w:sz="0" w:space="0" w:color="auto"/>
                        <w:left w:val="none" w:sz="0" w:space="0" w:color="auto"/>
                        <w:bottom w:val="none" w:sz="0" w:space="0" w:color="auto"/>
                        <w:right w:val="none" w:sz="0" w:space="0" w:color="auto"/>
                      </w:divBdr>
                    </w:div>
                    <w:div w:id="1503426698">
                      <w:marLeft w:val="0"/>
                      <w:marRight w:val="0"/>
                      <w:marTop w:val="0"/>
                      <w:marBottom w:val="0"/>
                      <w:divBdr>
                        <w:top w:val="none" w:sz="0" w:space="0" w:color="auto"/>
                        <w:left w:val="none" w:sz="0" w:space="0" w:color="auto"/>
                        <w:bottom w:val="none" w:sz="0" w:space="0" w:color="auto"/>
                        <w:right w:val="none" w:sz="0" w:space="0" w:color="auto"/>
                      </w:divBdr>
                    </w:div>
                  </w:divsChild>
                </w:div>
                <w:div w:id="1836990554">
                  <w:marLeft w:val="0"/>
                  <w:marRight w:val="0"/>
                  <w:marTop w:val="0"/>
                  <w:marBottom w:val="0"/>
                  <w:divBdr>
                    <w:top w:val="none" w:sz="0" w:space="0" w:color="auto"/>
                    <w:left w:val="none" w:sz="0" w:space="0" w:color="auto"/>
                    <w:bottom w:val="none" w:sz="0" w:space="0" w:color="auto"/>
                    <w:right w:val="none" w:sz="0" w:space="0" w:color="auto"/>
                  </w:divBdr>
                  <w:divsChild>
                    <w:div w:id="479269141">
                      <w:marLeft w:val="0"/>
                      <w:marRight w:val="0"/>
                      <w:marTop w:val="0"/>
                      <w:marBottom w:val="0"/>
                      <w:divBdr>
                        <w:top w:val="none" w:sz="0" w:space="0" w:color="auto"/>
                        <w:left w:val="none" w:sz="0" w:space="0" w:color="auto"/>
                        <w:bottom w:val="none" w:sz="0" w:space="0" w:color="auto"/>
                        <w:right w:val="none" w:sz="0" w:space="0" w:color="auto"/>
                      </w:divBdr>
                    </w:div>
                  </w:divsChild>
                </w:div>
                <w:div w:id="1840851903">
                  <w:marLeft w:val="0"/>
                  <w:marRight w:val="0"/>
                  <w:marTop w:val="0"/>
                  <w:marBottom w:val="0"/>
                  <w:divBdr>
                    <w:top w:val="none" w:sz="0" w:space="0" w:color="auto"/>
                    <w:left w:val="none" w:sz="0" w:space="0" w:color="auto"/>
                    <w:bottom w:val="none" w:sz="0" w:space="0" w:color="auto"/>
                    <w:right w:val="none" w:sz="0" w:space="0" w:color="auto"/>
                  </w:divBdr>
                  <w:divsChild>
                    <w:div w:id="1287127800">
                      <w:marLeft w:val="0"/>
                      <w:marRight w:val="0"/>
                      <w:marTop w:val="0"/>
                      <w:marBottom w:val="0"/>
                      <w:divBdr>
                        <w:top w:val="none" w:sz="0" w:space="0" w:color="auto"/>
                        <w:left w:val="none" w:sz="0" w:space="0" w:color="auto"/>
                        <w:bottom w:val="none" w:sz="0" w:space="0" w:color="auto"/>
                        <w:right w:val="none" w:sz="0" w:space="0" w:color="auto"/>
                      </w:divBdr>
                    </w:div>
                  </w:divsChild>
                </w:div>
                <w:div w:id="1877963058">
                  <w:marLeft w:val="0"/>
                  <w:marRight w:val="0"/>
                  <w:marTop w:val="0"/>
                  <w:marBottom w:val="0"/>
                  <w:divBdr>
                    <w:top w:val="none" w:sz="0" w:space="0" w:color="auto"/>
                    <w:left w:val="none" w:sz="0" w:space="0" w:color="auto"/>
                    <w:bottom w:val="none" w:sz="0" w:space="0" w:color="auto"/>
                    <w:right w:val="none" w:sz="0" w:space="0" w:color="auto"/>
                  </w:divBdr>
                  <w:divsChild>
                    <w:div w:id="357857838">
                      <w:marLeft w:val="0"/>
                      <w:marRight w:val="0"/>
                      <w:marTop w:val="0"/>
                      <w:marBottom w:val="0"/>
                      <w:divBdr>
                        <w:top w:val="none" w:sz="0" w:space="0" w:color="auto"/>
                        <w:left w:val="none" w:sz="0" w:space="0" w:color="auto"/>
                        <w:bottom w:val="none" w:sz="0" w:space="0" w:color="auto"/>
                        <w:right w:val="none" w:sz="0" w:space="0" w:color="auto"/>
                      </w:divBdr>
                    </w:div>
                  </w:divsChild>
                </w:div>
                <w:div w:id="1882284502">
                  <w:marLeft w:val="0"/>
                  <w:marRight w:val="0"/>
                  <w:marTop w:val="0"/>
                  <w:marBottom w:val="0"/>
                  <w:divBdr>
                    <w:top w:val="none" w:sz="0" w:space="0" w:color="auto"/>
                    <w:left w:val="none" w:sz="0" w:space="0" w:color="auto"/>
                    <w:bottom w:val="none" w:sz="0" w:space="0" w:color="auto"/>
                    <w:right w:val="none" w:sz="0" w:space="0" w:color="auto"/>
                  </w:divBdr>
                  <w:divsChild>
                    <w:div w:id="80220000">
                      <w:marLeft w:val="0"/>
                      <w:marRight w:val="0"/>
                      <w:marTop w:val="0"/>
                      <w:marBottom w:val="0"/>
                      <w:divBdr>
                        <w:top w:val="none" w:sz="0" w:space="0" w:color="auto"/>
                        <w:left w:val="none" w:sz="0" w:space="0" w:color="auto"/>
                        <w:bottom w:val="none" w:sz="0" w:space="0" w:color="auto"/>
                        <w:right w:val="none" w:sz="0" w:space="0" w:color="auto"/>
                      </w:divBdr>
                    </w:div>
                  </w:divsChild>
                </w:div>
                <w:div w:id="1952935641">
                  <w:marLeft w:val="0"/>
                  <w:marRight w:val="0"/>
                  <w:marTop w:val="0"/>
                  <w:marBottom w:val="0"/>
                  <w:divBdr>
                    <w:top w:val="none" w:sz="0" w:space="0" w:color="auto"/>
                    <w:left w:val="none" w:sz="0" w:space="0" w:color="auto"/>
                    <w:bottom w:val="none" w:sz="0" w:space="0" w:color="auto"/>
                    <w:right w:val="none" w:sz="0" w:space="0" w:color="auto"/>
                  </w:divBdr>
                  <w:divsChild>
                    <w:div w:id="475150249">
                      <w:marLeft w:val="0"/>
                      <w:marRight w:val="0"/>
                      <w:marTop w:val="0"/>
                      <w:marBottom w:val="0"/>
                      <w:divBdr>
                        <w:top w:val="none" w:sz="0" w:space="0" w:color="auto"/>
                        <w:left w:val="none" w:sz="0" w:space="0" w:color="auto"/>
                        <w:bottom w:val="none" w:sz="0" w:space="0" w:color="auto"/>
                        <w:right w:val="none" w:sz="0" w:space="0" w:color="auto"/>
                      </w:divBdr>
                    </w:div>
                  </w:divsChild>
                </w:div>
                <w:div w:id="1960603036">
                  <w:marLeft w:val="0"/>
                  <w:marRight w:val="0"/>
                  <w:marTop w:val="0"/>
                  <w:marBottom w:val="0"/>
                  <w:divBdr>
                    <w:top w:val="none" w:sz="0" w:space="0" w:color="auto"/>
                    <w:left w:val="none" w:sz="0" w:space="0" w:color="auto"/>
                    <w:bottom w:val="none" w:sz="0" w:space="0" w:color="auto"/>
                    <w:right w:val="none" w:sz="0" w:space="0" w:color="auto"/>
                  </w:divBdr>
                  <w:divsChild>
                    <w:div w:id="1663580477">
                      <w:marLeft w:val="0"/>
                      <w:marRight w:val="0"/>
                      <w:marTop w:val="0"/>
                      <w:marBottom w:val="0"/>
                      <w:divBdr>
                        <w:top w:val="none" w:sz="0" w:space="0" w:color="auto"/>
                        <w:left w:val="none" w:sz="0" w:space="0" w:color="auto"/>
                        <w:bottom w:val="none" w:sz="0" w:space="0" w:color="auto"/>
                        <w:right w:val="none" w:sz="0" w:space="0" w:color="auto"/>
                      </w:divBdr>
                    </w:div>
                  </w:divsChild>
                </w:div>
                <w:div w:id="2001696250">
                  <w:marLeft w:val="0"/>
                  <w:marRight w:val="0"/>
                  <w:marTop w:val="0"/>
                  <w:marBottom w:val="0"/>
                  <w:divBdr>
                    <w:top w:val="none" w:sz="0" w:space="0" w:color="auto"/>
                    <w:left w:val="none" w:sz="0" w:space="0" w:color="auto"/>
                    <w:bottom w:val="none" w:sz="0" w:space="0" w:color="auto"/>
                    <w:right w:val="none" w:sz="0" w:space="0" w:color="auto"/>
                  </w:divBdr>
                  <w:divsChild>
                    <w:div w:id="2040739253">
                      <w:marLeft w:val="0"/>
                      <w:marRight w:val="0"/>
                      <w:marTop w:val="0"/>
                      <w:marBottom w:val="0"/>
                      <w:divBdr>
                        <w:top w:val="none" w:sz="0" w:space="0" w:color="auto"/>
                        <w:left w:val="none" w:sz="0" w:space="0" w:color="auto"/>
                        <w:bottom w:val="none" w:sz="0" w:space="0" w:color="auto"/>
                        <w:right w:val="none" w:sz="0" w:space="0" w:color="auto"/>
                      </w:divBdr>
                    </w:div>
                  </w:divsChild>
                </w:div>
                <w:div w:id="2027902667">
                  <w:marLeft w:val="0"/>
                  <w:marRight w:val="0"/>
                  <w:marTop w:val="0"/>
                  <w:marBottom w:val="0"/>
                  <w:divBdr>
                    <w:top w:val="none" w:sz="0" w:space="0" w:color="auto"/>
                    <w:left w:val="none" w:sz="0" w:space="0" w:color="auto"/>
                    <w:bottom w:val="none" w:sz="0" w:space="0" w:color="auto"/>
                    <w:right w:val="none" w:sz="0" w:space="0" w:color="auto"/>
                  </w:divBdr>
                  <w:divsChild>
                    <w:div w:id="547768912">
                      <w:marLeft w:val="0"/>
                      <w:marRight w:val="0"/>
                      <w:marTop w:val="0"/>
                      <w:marBottom w:val="0"/>
                      <w:divBdr>
                        <w:top w:val="none" w:sz="0" w:space="0" w:color="auto"/>
                        <w:left w:val="none" w:sz="0" w:space="0" w:color="auto"/>
                        <w:bottom w:val="none" w:sz="0" w:space="0" w:color="auto"/>
                        <w:right w:val="none" w:sz="0" w:space="0" w:color="auto"/>
                      </w:divBdr>
                    </w:div>
                  </w:divsChild>
                </w:div>
                <w:div w:id="2045523418">
                  <w:marLeft w:val="0"/>
                  <w:marRight w:val="0"/>
                  <w:marTop w:val="0"/>
                  <w:marBottom w:val="0"/>
                  <w:divBdr>
                    <w:top w:val="none" w:sz="0" w:space="0" w:color="auto"/>
                    <w:left w:val="none" w:sz="0" w:space="0" w:color="auto"/>
                    <w:bottom w:val="none" w:sz="0" w:space="0" w:color="auto"/>
                    <w:right w:val="none" w:sz="0" w:space="0" w:color="auto"/>
                  </w:divBdr>
                  <w:divsChild>
                    <w:div w:id="599487015">
                      <w:marLeft w:val="0"/>
                      <w:marRight w:val="0"/>
                      <w:marTop w:val="0"/>
                      <w:marBottom w:val="0"/>
                      <w:divBdr>
                        <w:top w:val="none" w:sz="0" w:space="0" w:color="auto"/>
                        <w:left w:val="none" w:sz="0" w:space="0" w:color="auto"/>
                        <w:bottom w:val="none" w:sz="0" w:space="0" w:color="auto"/>
                        <w:right w:val="none" w:sz="0" w:space="0" w:color="auto"/>
                      </w:divBdr>
                    </w:div>
                  </w:divsChild>
                </w:div>
                <w:div w:id="2093239884">
                  <w:marLeft w:val="0"/>
                  <w:marRight w:val="0"/>
                  <w:marTop w:val="0"/>
                  <w:marBottom w:val="0"/>
                  <w:divBdr>
                    <w:top w:val="none" w:sz="0" w:space="0" w:color="auto"/>
                    <w:left w:val="none" w:sz="0" w:space="0" w:color="auto"/>
                    <w:bottom w:val="none" w:sz="0" w:space="0" w:color="auto"/>
                    <w:right w:val="none" w:sz="0" w:space="0" w:color="auto"/>
                  </w:divBdr>
                  <w:divsChild>
                    <w:div w:id="1296914815">
                      <w:marLeft w:val="0"/>
                      <w:marRight w:val="0"/>
                      <w:marTop w:val="0"/>
                      <w:marBottom w:val="0"/>
                      <w:divBdr>
                        <w:top w:val="none" w:sz="0" w:space="0" w:color="auto"/>
                        <w:left w:val="none" w:sz="0" w:space="0" w:color="auto"/>
                        <w:bottom w:val="none" w:sz="0" w:space="0" w:color="auto"/>
                        <w:right w:val="none" w:sz="0" w:space="0" w:color="auto"/>
                      </w:divBdr>
                    </w:div>
                  </w:divsChild>
                </w:div>
                <w:div w:id="2118793732">
                  <w:marLeft w:val="0"/>
                  <w:marRight w:val="0"/>
                  <w:marTop w:val="0"/>
                  <w:marBottom w:val="0"/>
                  <w:divBdr>
                    <w:top w:val="none" w:sz="0" w:space="0" w:color="auto"/>
                    <w:left w:val="none" w:sz="0" w:space="0" w:color="auto"/>
                    <w:bottom w:val="none" w:sz="0" w:space="0" w:color="auto"/>
                    <w:right w:val="none" w:sz="0" w:space="0" w:color="auto"/>
                  </w:divBdr>
                  <w:divsChild>
                    <w:div w:id="883102735">
                      <w:marLeft w:val="0"/>
                      <w:marRight w:val="0"/>
                      <w:marTop w:val="0"/>
                      <w:marBottom w:val="0"/>
                      <w:divBdr>
                        <w:top w:val="none" w:sz="0" w:space="0" w:color="auto"/>
                        <w:left w:val="none" w:sz="0" w:space="0" w:color="auto"/>
                        <w:bottom w:val="none" w:sz="0" w:space="0" w:color="auto"/>
                        <w:right w:val="none" w:sz="0" w:space="0" w:color="auto"/>
                      </w:divBdr>
                    </w:div>
                    <w:div w:id="1343162560">
                      <w:marLeft w:val="0"/>
                      <w:marRight w:val="0"/>
                      <w:marTop w:val="0"/>
                      <w:marBottom w:val="0"/>
                      <w:divBdr>
                        <w:top w:val="none" w:sz="0" w:space="0" w:color="auto"/>
                        <w:left w:val="none" w:sz="0" w:space="0" w:color="auto"/>
                        <w:bottom w:val="none" w:sz="0" w:space="0" w:color="auto"/>
                        <w:right w:val="none" w:sz="0" w:space="0" w:color="auto"/>
                      </w:divBdr>
                    </w:div>
                  </w:divsChild>
                </w:div>
                <w:div w:id="2122529296">
                  <w:marLeft w:val="0"/>
                  <w:marRight w:val="0"/>
                  <w:marTop w:val="0"/>
                  <w:marBottom w:val="0"/>
                  <w:divBdr>
                    <w:top w:val="none" w:sz="0" w:space="0" w:color="auto"/>
                    <w:left w:val="none" w:sz="0" w:space="0" w:color="auto"/>
                    <w:bottom w:val="none" w:sz="0" w:space="0" w:color="auto"/>
                    <w:right w:val="none" w:sz="0" w:space="0" w:color="auto"/>
                  </w:divBdr>
                  <w:divsChild>
                    <w:div w:id="1965426285">
                      <w:marLeft w:val="0"/>
                      <w:marRight w:val="0"/>
                      <w:marTop w:val="0"/>
                      <w:marBottom w:val="0"/>
                      <w:divBdr>
                        <w:top w:val="none" w:sz="0" w:space="0" w:color="auto"/>
                        <w:left w:val="none" w:sz="0" w:space="0" w:color="auto"/>
                        <w:bottom w:val="none" w:sz="0" w:space="0" w:color="auto"/>
                        <w:right w:val="none" w:sz="0" w:space="0" w:color="auto"/>
                      </w:divBdr>
                    </w:div>
                  </w:divsChild>
                </w:div>
                <w:div w:id="2146897023">
                  <w:marLeft w:val="0"/>
                  <w:marRight w:val="0"/>
                  <w:marTop w:val="0"/>
                  <w:marBottom w:val="0"/>
                  <w:divBdr>
                    <w:top w:val="none" w:sz="0" w:space="0" w:color="auto"/>
                    <w:left w:val="none" w:sz="0" w:space="0" w:color="auto"/>
                    <w:bottom w:val="none" w:sz="0" w:space="0" w:color="auto"/>
                    <w:right w:val="none" w:sz="0" w:space="0" w:color="auto"/>
                  </w:divBdr>
                  <w:divsChild>
                    <w:div w:id="21024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2386">
          <w:marLeft w:val="0"/>
          <w:marRight w:val="0"/>
          <w:marTop w:val="0"/>
          <w:marBottom w:val="0"/>
          <w:divBdr>
            <w:top w:val="none" w:sz="0" w:space="0" w:color="auto"/>
            <w:left w:val="none" w:sz="0" w:space="0" w:color="auto"/>
            <w:bottom w:val="none" w:sz="0" w:space="0" w:color="auto"/>
            <w:right w:val="none" w:sz="0" w:space="0" w:color="auto"/>
          </w:divBdr>
        </w:div>
        <w:div w:id="2044362253">
          <w:marLeft w:val="0"/>
          <w:marRight w:val="0"/>
          <w:marTop w:val="0"/>
          <w:marBottom w:val="0"/>
          <w:divBdr>
            <w:top w:val="none" w:sz="0" w:space="0" w:color="auto"/>
            <w:left w:val="none" w:sz="0" w:space="0" w:color="auto"/>
            <w:bottom w:val="none" w:sz="0" w:space="0" w:color="auto"/>
            <w:right w:val="none" w:sz="0" w:space="0" w:color="auto"/>
          </w:divBdr>
        </w:div>
      </w:divsChild>
    </w:div>
    <w:div w:id="1481919343">
      <w:bodyDiv w:val="1"/>
      <w:marLeft w:val="0"/>
      <w:marRight w:val="0"/>
      <w:marTop w:val="0"/>
      <w:marBottom w:val="0"/>
      <w:divBdr>
        <w:top w:val="none" w:sz="0" w:space="0" w:color="auto"/>
        <w:left w:val="none" w:sz="0" w:space="0" w:color="auto"/>
        <w:bottom w:val="none" w:sz="0" w:space="0" w:color="auto"/>
        <w:right w:val="none" w:sz="0" w:space="0" w:color="auto"/>
      </w:divBdr>
      <w:divsChild>
        <w:div w:id="249503981">
          <w:marLeft w:val="0"/>
          <w:marRight w:val="0"/>
          <w:marTop w:val="0"/>
          <w:marBottom w:val="0"/>
          <w:divBdr>
            <w:top w:val="none" w:sz="0" w:space="0" w:color="auto"/>
            <w:left w:val="none" w:sz="0" w:space="0" w:color="auto"/>
            <w:bottom w:val="none" w:sz="0" w:space="0" w:color="auto"/>
            <w:right w:val="none" w:sz="0" w:space="0" w:color="auto"/>
          </w:divBdr>
        </w:div>
        <w:div w:id="440730103">
          <w:marLeft w:val="0"/>
          <w:marRight w:val="0"/>
          <w:marTop w:val="0"/>
          <w:marBottom w:val="0"/>
          <w:divBdr>
            <w:top w:val="none" w:sz="0" w:space="0" w:color="auto"/>
            <w:left w:val="none" w:sz="0" w:space="0" w:color="auto"/>
            <w:bottom w:val="none" w:sz="0" w:space="0" w:color="auto"/>
            <w:right w:val="none" w:sz="0" w:space="0" w:color="auto"/>
          </w:divBdr>
        </w:div>
        <w:div w:id="1593851061">
          <w:marLeft w:val="0"/>
          <w:marRight w:val="0"/>
          <w:marTop w:val="0"/>
          <w:marBottom w:val="0"/>
          <w:divBdr>
            <w:top w:val="none" w:sz="0" w:space="0" w:color="auto"/>
            <w:left w:val="none" w:sz="0" w:space="0" w:color="auto"/>
            <w:bottom w:val="none" w:sz="0" w:space="0" w:color="auto"/>
            <w:right w:val="none" w:sz="0" w:space="0" w:color="auto"/>
          </w:divBdr>
          <w:divsChild>
            <w:div w:id="253323774">
              <w:marLeft w:val="-75"/>
              <w:marRight w:val="0"/>
              <w:marTop w:val="30"/>
              <w:marBottom w:val="30"/>
              <w:divBdr>
                <w:top w:val="none" w:sz="0" w:space="0" w:color="auto"/>
                <w:left w:val="none" w:sz="0" w:space="0" w:color="auto"/>
                <w:bottom w:val="none" w:sz="0" w:space="0" w:color="auto"/>
                <w:right w:val="none" w:sz="0" w:space="0" w:color="auto"/>
              </w:divBdr>
              <w:divsChild>
                <w:div w:id="16582439">
                  <w:marLeft w:val="0"/>
                  <w:marRight w:val="0"/>
                  <w:marTop w:val="0"/>
                  <w:marBottom w:val="0"/>
                  <w:divBdr>
                    <w:top w:val="none" w:sz="0" w:space="0" w:color="auto"/>
                    <w:left w:val="none" w:sz="0" w:space="0" w:color="auto"/>
                    <w:bottom w:val="none" w:sz="0" w:space="0" w:color="auto"/>
                    <w:right w:val="none" w:sz="0" w:space="0" w:color="auto"/>
                  </w:divBdr>
                  <w:divsChild>
                    <w:div w:id="1066801881">
                      <w:marLeft w:val="0"/>
                      <w:marRight w:val="0"/>
                      <w:marTop w:val="0"/>
                      <w:marBottom w:val="0"/>
                      <w:divBdr>
                        <w:top w:val="none" w:sz="0" w:space="0" w:color="auto"/>
                        <w:left w:val="none" w:sz="0" w:space="0" w:color="auto"/>
                        <w:bottom w:val="none" w:sz="0" w:space="0" w:color="auto"/>
                        <w:right w:val="none" w:sz="0" w:space="0" w:color="auto"/>
                      </w:divBdr>
                    </w:div>
                  </w:divsChild>
                </w:div>
                <w:div w:id="48457245">
                  <w:marLeft w:val="0"/>
                  <w:marRight w:val="0"/>
                  <w:marTop w:val="0"/>
                  <w:marBottom w:val="0"/>
                  <w:divBdr>
                    <w:top w:val="none" w:sz="0" w:space="0" w:color="auto"/>
                    <w:left w:val="none" w:sz="0" w:space="0" w:color="auto"/>
                    <w:bottom w:val="none" w:sz="0" w:space="0" w:color="auto"/>
                    <w:right w:val="none" w:sz="0" w:space="0" w:color="auto"/>
                  </w:divBdr>
                  <w:divsChild>
                    <w:div w:id="1872954048">
                      <w:marLeft w:val="0"/>
                      <w:marRight w:val="0"/>
                      <w:marTop w:val="0"/>
                      <w:marBottom w:val="0"/>
                      <w:divBdr>
                        <w:top w:val="none" w:sz="0" w:space="0" w:color="auto"/>
                        <w:left w:val="none" w:sz="0" w:space="0" w:color="auto"/>
                        <w:bottom w:val="none" w:sz="0" w:space="0" w:color="auto"/>
                        <w:right w:val="none" w:sz="0" w:space="0" w:color="auto"/>
                      </w:divBdr>
                    </w:div>
                  </w:divsChild>
                </w:div>
                <w:div w:id="106699463">
                  <w:marLeft w:val="0"/>
                  <w:marRight w:val="0"/>
                  <w:marTop w:val="0"/>
                  <w:marBottom w:val="0"/>
                  <w:divBdr>
                    <w:top w:val="none" w:sz="0" w:space="0" w:color="auto"/>
                    <w:left w:val="none" w:sz="0" w:space="0" w:color="auto"/>
                    <w:bottom w:val="none" w:sz="0" w:space="0" w:color="auto"/>
                    <w:right w:val="none" w:sz="0" w:space="0" w:color="auto"/>
                  </w:divBdr>
                  <w:divsChild>
                    <w:div w:id="938877487">
                      <w:marLeft w:val="0"/>
                      <w:marRight w:val="0"/>
                      <w:marTop w:val="0"/>
                      <w:marBottom w:val="0"/>
                      <w:divBdr>
                        <w:top w:val="none" w:sz="0" w:space="0" w:color="auto"/>
                        <w:left w:val="none" w:sz="0" w:space="0" w:color="auto"/>
                        <w:bottom w:val="none" w:sz="0" w:space="0" w:color="auto"/>
                        <w:right w:val="none" w:sz="0" w:space="0" w:color="auto"/>
                      </w:divBdr>
                    </w:div>
                  </w:divsChild>
                </w:div>
                <w:div w:id="126898433">
                  <w:marLeft w:val="0"/>
                  <w:marRight w:val="0"/>
                  <w:marTop w:val="0"/>
                  <w:marBottom w:val="0"/>
                  <w:divBdr>
                    <w:top w:val="none" w:sz="0" w:space="0" w:color="auto"/>
                    <w:left w:val="none" w:sz="0" w:space="0" w:color="auto"/>
                    <w:bottom w:val="none" w:sz="0" w:space="0" w:color="auto"/>
                    <w:right w:val="none" w:sz="0" w:space="0" w:color="auto"/>
                  </w:divBdr>
                  <w:divsChild>
                    <w:div w:id="1113859725">
                      <w:marLeft w:val="0"/>
                      <w:marRight w:val="0"/>
                      <w:marTop w:val="0"/>
                      <w:marBottom w:val="0"/>
                      <w:divBdr>
                        <w:top w:val="none" w:sz="0" w:space="0" w:color="auto"/>
                        <w:left w:val="none" w:sz="0" w:space="0" w:color="auto"/>
                        <w:bottom w:val="none" w:sz="0" w:space="0" w:color="auto"/>
                        <w:right w:val="none" w:sz="0" w:space="0" w:color="auto"/>
                      </w:divBdr>
                    </w:div>
                  </w:divsChild>
                </w:div>
                <w:div w:id="155533322">
                  <w:marLeft w:val="0"/>
                  <w:marRight w:val="0"/>
                  <w:marTop w:val="0"/>
                  <w:marBottom w:val="0"/>
                  <w:divBdr>
                    <w:top w:val="none" w:sz="0" w:space="0" w:color="auto"/>
                    <w:left w:val="none" w:sz="0" w:space="0" w:color="auto"/>
                    <w:bottom w:val="none" w:sz="0" w:space="0" w:color="auto"/>
                    <w:right w:val="none" w:sz="0" w:space="0" w:color="auto"/>
                  </w:divBdr>
                  <w:divsChild>
                    <w:div w:id="36469071">
                      <w:marLeft w:val="0"/>
                      <w:marRight w:val="0"/>
                      <w:marTop w:val="0"/>
                      <w:marBottom w:val="0"/>
                      <w:divBdr>
                        <w:top w:val="none" w:sz="0" w:space="0" w:color="auto"/>
                        <w:left w:val="none" w:sz="0" w:space="0" w:color="auto"/>
                        <w:bottom w:val="none" w:sz="0" w:space="0" w:color="auto"/>
                        <w:right w:val="none" w:sz="0" w:space="0" w:color="auto"/>
                      </w:divBdr>
                    </w:div>
                  </w:divsChild>
                </w:div>
                <w:div w:id="156463430">
                  <w:marLeft w:val="0"/>
                  <w:marRight w:val="0"/>
                  <w:marTop w:val="0"/>
                  <w:marBottom w:val="0"/>
                  <w:divBdr>
                    <w:top w:val="none" w:sz="0" w:space="0" w:color="auto"/>
                    <w:left w:val="none" w:sz="0" w:space="0" w:color="auto"/>
                    <w:bottom w:val="none" w:sz="0" w:space="0" w:color="auto"/>
                    <w:right w:val="none" w:sz="0" w:space="0" w:color="auto"/>
                  </w:divBdr>
                  <w:divsChild>
                    <w:div w:id="534856509">
                      <w:marLeft w:val="0"/>
                      <w:marRight w:val="0"/>
                      <w:marTop w:val="0"/>
                      <w:marBottom w:val="0"/>
                      <w:divBdr>
                        <w:top w:val="none" w:sz="0" w:space="0" w:color="auto"/>
                        <w:left w:val="none" w:sz="0" w:space="0" w:color="auto"/>
                        <w:bottom w:val="none" w:sz="0" w:space="0" w:color="auto"/>
                        <w:right w:val="none" w:sz="0" w:space="0" w:color="auto"/>
                      </w:divBdr>
                    </w:div>
                  </w:divsChild>
                </w:div>
                <w:div w:id="175582700">
                  <w:marLeft w:val="0"/>
                  <w:marRight w:val="0"/>
                  <w:marTop w:val="0"/>
                  <w:marBottom w:val="0"/>
                  <w:divBdr>
                    <w:top w:val="none" w:sz="0" w:space="0" w:color="auto"/>
                    <w:left w:val="none" w:sz="0" w:space="0" w:color="auto"/>
                    <w:bottom w:val="none" w:sz="0" w:space="0" w:color="auto"/>
                    <w:right w:val="none" w:sz="0" w:space="0" w:color="auto"/>
                  </w:divBdr>
                  <w:divsChild>
                    <w:div w:id="579755895">
                      <w:marLeft w:val="0"/>
                      <w:marRight w:val="0"/>
                      <w:marTop w:val="0"/>
                      <w:marBottom w:val="0"/>
                      <w:divBdr>
                        <w:top w:val="none" w:sz="0" w:space="0" w:color="auto"/>
                        <w:left w:val="none" w:sz="0" w:space="0" w:color="auto"/>
                        <w:bottom w:val="none" w:sz="0" w:space="0" w:color="auto"/>
                        <w:right w:val="none" w:sz="0" w:space="0" w:color="auto"/>
                      </w:divBdr>
                    </w:div>
                  </w:divsChild>
                </w:div>
                <w:div w:id="180436394">
                  <w:marLeft w:val="0"/>
                  <w:marRight w:val="0"/>
                  <w:marTop w:val="0"/>
                  <w:marBottom w:val="0"/>
                  <w:divBdr>
                    <w:top w:val="none" w:sz="0" w:space="0" w:color="auto"/>
                    <w:left w:val="none" w:sz="0" w:space="0" w:color="auto"/>
                    <w:bottom w:val="none" w:sz="0" w:space="0" w:color="auto"/>
                    <w:right w:val="none" w:sz="0" w:space="0" w:color="auto"/>
                  </w:divBdr>
                  <w:divsChild>
                    <w:div w:id="1335231355">
                      <w:marLeft w:val="0"/>
                      <w:marRight w:val="0"/>
                      <w:marTop w:val="0"/>
                      <w:marBottom w:val="0"/>
                      <w:divBdr>
                        <w:top w:val="none" w:sz="0" w:space="0" w:color="auto"/>
                        <w:left w:val="none" w:sz="0" w:space="0" w:color="auto"/>
                        <w:bottom w:val="none" w:sz="0" w:space="0" w:color="auto"/>
                        <w:right w:val="none" w:sz="0" w:space="0" w:color="auto"/>
                      </w:divBdr>
                    </w:div>
                  </w:divsChild>
                </w:div>
                <w:div w:id="203249061">
                  <w:marLeft w:val="0"/>
                  <w:marRight w:val="0"/>
                  <w:marTop w:val="0"/>
                  <w:marBottom w:val="0"/>
                  <w:divBdr>
                    <w:top w:val="none" w:sz="0" w:space="0" w:color="auto"/>
                    <w:left w:val="none" w:sz="0" w:space="0" w:color="auto"/>
                    <w:bottom w:val="none" w:sz="0" w:space="0" w:color="auto"/>
                    <w:right w:val="none" w:sz="0" w:space="0" w:color="auto"/>
                  </w:divBdr>
                  <w:divsChild>
                    <w:div w:id="34736249">
                      <w:marLeft w:val="0"/>
                      <w:marRight w:val="0"/>
                      <w:marTop w:val="0"/>
                      <w:marBottom w:val="0"/>
                      <w:divBdr>
                        <w:top w:val="none" w:sz="0" w:space="0" w:color="auto"/>
                        <w:left w:val="none" w:sz="0" w:space="0" w:color="auto"/>
                        <w:bottom w:val="none" w:sz="0" w:space="0" w:color="auto"/>
                        <w:right w:val="none" w:sz="0" w:space="0" w:color="auto"/>
                      </w:divBdr>
                    </w:div>
                  </w:divsChild>
                </w:div>
                <w:div w:id="250700414">
                  <w:marLeft w:val="0"/>
                  <w:marRight w:val="0"/>
                  <w:marTop w:val="0"/>
                  <w:marBottom w:val="0"/>
                  <w:divBdr>
                    <w:top w:val="none" w:sz="0" w:space="0" w:color="auto"/>
                    <w:left w:val="none" w:sz="0" w:space="0" w:color="auto"/>
                    <w:bottom w:val="none" w:sz="0" w:space="0" w:color="auto"/>
                    <w:right w:val="none" w:sz="0" w:space="0" w:color="auto"/>
                  </w:divBdr>
                  <w:divsChild>
                    <w:div w:id="1015112561">
                      <w:marLeft w:val="0"/>
                      <w:marRight w:val="0"/>
                      <w:marTop w:val="0"/>
                      <w:marBottom w:val="0"/>
                      <w:divBdr>
                        <w:top w:val="none" w:sz="0" w:space="0" w:color="auto"/>
                        <w:left w:val="none" w:sz="0" w:space="0" w:color="auto"/>
                        <w:bottom w:val="none" w:sz="0" w:space="0" w:color="auto"/>
                        <w:right w:val="none" w:sz="0" w:space="0" w:color="auto"/>
                      </w:divBdr>
                    </w:div>
                  </w:divsChild>
                </w:div>
                <w:div w:id="312954478">
                  <w:marLeft w:val="0"/>
                  <w:marRight w:val="0"/>
                  <w:marTop w:val="0"/>
                  <w:marBottom w:val="0"/>
                  <w:divBdr>
                    <w:top w:val="none" w:sz="0" w:space="0" w:color="auto"/>
                    <w:left w:val="none" w:sz="0" w:space="0" w:color="auto"/>
                    <w:bottom w:val="none" w:sz="0" w:space="0" w:color="auto"/>
                    <w:right w:val="none" w:sz="0" w:space="0" w:color="auto"/>
                  </w:divBdr>
                  <w:divsChild>
                    <w:div w:id="959913963">
                      <w:marLeft w:val="0"/>
                      <w:marRight w:val="0"/>
                      <w:marTop w:val="0"/>
                      <w:marBottom w:val="0"/>
                      <w:divBdr>
                        <w:top w:val="none" w:sz="0" w:space="0" w:color="auto"/>
                        <w:left w:val="none" w:sz="0" w:space="0" w:color="auto"/>
                        <w:bottom w:val="none" w:sz="0" w:space="0" w:color="auto"/>
                        <w:right w:val="none" w:sz="0" w:space="0" w:color="auto"/>
                      </w:divBdr>
                    </w:div>
                  </w:divsChild>
                </w:div>
                <w:div w:id="322783196">
                  <w:marLeft w:val="0"/>
                  <w:marRight w:val="0"/>
                  <w:marTop w:val="0"/>
                  <w:marBottom w:val="0"/>
                  <w:divBdr>
                    <w:top w:val="none" w:sz="0" w:space="0" w:color="auto"/>
                    <w:left w:val="none" w:sz="0" w:space="0" w:color="auto"/>
                    <w:bottom w:val="none" w:sz="0" w:space="0" w:color="auto"/>
                    <w:right w:val="none" w:sz="0" w:space="0" w:color="auto"/>
                  </w:divBdr>
                  <w:divsChild>
                    <w:div w:id="10575242">
                      <w:marLeft w:val="0"/>
                      <w:marRight w:val="0"/>
                      <w:marTop w:val="0"/>
                      <w:marBottom w:val="0"/>
                      <w:divBdr>
                        <w:top w:val="none" w:sz="0" w:space="0" w:color="auto"/>
                        <w:left w:val="none" w:sz="0" w:space="0" w:color="auto"/>
                        <w:bottom w:val="none" w:sz="0" w:space="0" w:color="auto"/>
                        <w:right w:val="none" w:sz="0" w:space="0" w:color="auto"/>
                      </w:divBdr>
                    </w:div>
                  </w:divsChild>
                </w:div>
                <w:div w:id="348802063">
                  <w:marLeft w:val="0"/>
                  <w:marRight w:val="0"/>
                  <w:marTop w:val="0"/>
                  <w:marBottom w:val="0"/>
                  <w:divBdr>
                    <w:top w:val="none" w:sz="0" w:space="0" w:color="auto"/>
                    <w:left w:val="none" w:sz="0" w:space="0" w:color="auto"/>
                    <w:bottom w:val="none" w:sz="0" w:space="0" w:color="auto"/>
                    <w:right w:val="none" w:sz="0" w:space="0" w:color="auto"/>
                  </w:divBdr>
                  <w:divsChild>
                    <w:div w:id="504975960">
                      <w:marLeft w:val="0"/>
                      <w:marRight w:val="0"/>
                      <w:marTop w:val="0"/>
                      <w:marBottom w:val="0"/>
                      <w:divBdr>
                        <w:top w:val="none" w:sz="0" w:space="0" w:color="auto"/>
                        <w:left w:val="none" w:sz="0" w:space="0" w:color="auto"/>
                        <w:bottom w:val="none" w:sz="0" w:space="0" w:color="auto"/>
                        <w:right w:val="none" w:sz="0" w:space="0" w:color="auto"/>
                      </w:divBdr>
                    </w:div>
                  </w:divsChild>
                </w:div>
                <w:div w:id="402992191">
                  <w:marLeft w:val="0"/>
                  <w:marRight w:val="0"/>
                  <w:marTop w:val="0"/>
                  <w:marBottom w:val="0"/>
                  <w:divBdr>
                    <w:top w:val="none" w:sz="0" w:space="0" w:color="auto"/>
                    <w:left w:val="none" w:sz="0" w:space="0" w:color="auto"/>
                    <w:bottom w:val="none" w:sz="0" w:space="0" w:color="auto"/>
                    <w:right w:val="none" w:sz="0" w:space="0" w:color="auto"/>
                  </w:divBdr>
                  <w:divsChild>
                    <w:div w:id="710423693">
                      <w:marLeft w:val="0"/>
                      <w:marRight w:val="0"/>
                      <w:marTop w:val="0"/>
                      <w:marBottom w:val="0"/>
                      <w:divBdr>
                        <w:top w:val="none" w:sz="0" w:space="0" w:color="auto"/>
                        <w:left w:val="none" w:sz="0" w:space="0" w:color="auto"/>
                        <w:bottom w:val="none" w:sz="0" w:space="0" w:color="auto"/>
                        <w:right w:val="none" w:sz="0" w:space="0" w:color="auto"/>
                      </w:divBdr>
                    </w:div>
                  </w:divsChild>
                </w:div>
                <w:div w:id="437988562">
                  <w:marLeft w:val="0"/>
                  <w:marRight w:val="0"/>
                  <w:marTop w:val="0"/>
                  <w:marBottom w:val="0"/>
                  <w:divBdr>
                    <w:top w:val="none" w:sz="0" w:space="0" w:color="auto"/>
                    <w:left w:val="none" w:sz="0" w:space="0" w:color="auto"/>
                    <w:bottom w:val="none" w:sz="0" w:space="0" w:color="auto"/>
                    <w:right w:val="none" w:sz="0" w:space="0" w:color="auto"/>
                  </w:divBdr>
                  <w:divsChild>
                    <w:div w:id="1821116918">
                      <w:marLeft w:val="0"/>
                      <w:marRight w:val="0"/>
                      <w:marTop w:val="0"/>
                      <w:marBottom w:val="0"/>
                      <w:divBdr>
                        <w:top w:val="none" w:sz="0" w:space="0" w:color="auto"/>
                        <w:left w:val="none" w:sz="0" w:space="0" w:color="auto"/>
                        <w:bottom w:val="none" w:sz="0" w:space="0" w:color="auto"/>
                        <w:right w:val="none" w:sz="0" w:space="0" w:color="auto"/>
                      </w:divBdr>
                    </w:div>
                  </w:divsChild>
                </w:div>
                <w:div w:id="454914179">
                  <w:marLeft w:val="0"/>
                  <w:marRight w:val="0"/>
                  <w:marTop w:val="0"/>
                  <w:marBottom w:val="0"/>
                  <w:divBdr>
                    <w:top w:val="none" w:sz="0" w:space="0" w:color="auto"/>
                    <w:left w:val="none" w:sz="0" w:space="0" w:color="auto"/>
                    <w:bottom w:val="none" w:sz="0" w:space="0" w:color="auto"/>
                    <w:right w:val="none" w:sz="0" w:space="0" w:color="auto"/>
                  </w:divBdr>
                  <w:divsChild>
                    <w:div w:id="28267977">
                      <w:marLeft w:val="0"/>
                      <w:marRight w:val="0"/>
                      <w:marTop w:val="0"/>
                      <w:marBottom w:val="0"/>
                      <w:divBdr>
                        <w:top w:val="none" w:sz="0" w:space="0" w:color="auto"/>
                        <w:left w:val="none" w:sz="0" w:space="0" w:color="auto"/>
                        <w:bottom w:val="none" w:sz="0" w:space="0" w:color="auto"/>
                        <w:right w:val="none" w:sz="0" w:space="0" w:color="auto"/>
                      </w:divBdr>
                    </w:div>
                  </w:divsChild>
                </w:div>
                <w:div w:id="499783583">
                  <w:marLeft w:val="0"/>
                  <w:marRight w:val="0"/>
                  <w:marTop w:val="0"/>
                  <w:marBottom w:val="0"/>
                  <w:divBdr>
                    <w:top w:val="none" w:sz="0" w:space="0" w:color="auto"/>
                    <w:left w:val="none" w:sz="0" w:space="0" w:color="auto"/>
                    <w:bottom w:val="none" w:sz="0" w:space="0" w:color="auto"/>
                    <w:right w:val="none" w:sz="0" w:space="0" w:color="auto"/>
                  </w:divBdr>
                  <w:divsChild>
                    <w:div w:id="1336805050">
                      <w:marLeft w:val="0"/>
                      <w:marRight w:val="0"/>
                      <w:marTop w:val="0"/>
                      <w:marBottom w:val="0"/>
                      <w:divBdr>
                        <w:top w:val="none" w:sz="0" w:space="0" w:color="auto"/>
                        <w:left w:val="none" w:sz="0" w:space="0" w:color="auto"/>
                        <w:bottom w:val="none" w:sz="0" w:space="0" w:color="auto"/>
                        <w:right w:val="none" w:sz="0" w:space="0" w:color="auto"/>
                      </w:divBdr>
                    </w:div>
                  </w:divsChild>
                </w:div>
                <w:div w:id="510032222">
                  <w:marLeft w:val="0"/>
                  <w:marRight w:val="0"/>
                  <w:marTop w:val="0"/>
                  <w:marBottom w:val="0"/>
                  <w:divBdr>
                    <w:top w:val="none" w:sz="0" w:space="0" w:color="auto"/>
                    <w:left w:val="none" w:sz="0" w:space="0" w:color="auto"/>
                    <w:bottom w:val="none" w:sz="0" w:space="0" w:color="auto"/>
                    <w:right w:val="none" w:sz="0" w:space="0" w:color="auto"/>
                  </w:divBdr>
                  <w:divsChild>
                    <w:div w:id="1235698123">
                      <w:marLeft w:val="0"/>
                      <w:marRight w:val="0"/>
                      <w:marTop w:val="0"/>
                      <w:marBottom w:val="0"/>
                      <w:divBdr>
                        <w:top w:val="none" w:sz="0" w:space="0" w:color="auto"/>
                        <w:left w:val="none" w:sz="0" w:space="0" w:color="auto"/>
                        <w:bottom w:val="none" w:sz="0" w:space="0" w:color="auto"/>
                        <w:right w:val="none" w:sz="0" w:space="0" w:color="auto"/>
                      </w:divBdr>
                    </w:div>
                  </w:divsChild>
                </w:div>
                <w:div w:id="511921473">
                  <w:marLeft w:val="0"/>
                  <w:marRight w:val="0"/>
                  <w:marTop w:val="0"/>
                  <w:marBottom w:val="0"/>
                  <w:divBdr>
                    <w:top w:val="none" w:sz="0" w:space="0" w:color="auto"/>
                    <w:left w:val="none" w:sz="0" w:space="0" w:color="auto"/>
                    <w:bottom w:val="none" w:sz="0" w:space="0" w:color="auto"/>
                    <w:right w:val="none" w:sz="0" w:space="0" w:color="auto"/>
                  </w:divBdr>
                  <w:divsChild>
                    <w:div w:id="1390880681">
                      <w:marLeft w:val="0"/>
                      <w:marRight w:val="0"/>
                      <w:marTop w:val="0"/>
                      <w:marBottom w:val="0"/>
                      <w:divBdr>
                        <w:top w:val="none" w:sz="0" w:space="0" w:color="auto"/>
                        <w:left w:val="none" w:sz="0" w:space="0" w:color="auto"/>
                        <w:bottom w:val="none" w:sz="0" w:space="0" w:color="auto"/>
                        <w:right w:val="none" w:sz="0" w:space="0" w:color="auto"/>
                      </w:divBdr>
                    </w:div>
                  </w:divsChild>
                </w:div>
                <w:div w:id="537937905">
                  <w:marLeft w:val="0"/>
                  <w:marRight w:val="0"/>
                  <w:marTop w:val="0"/>
                  <w:marBottom w:val="0"/>
                  <w:divBdr>
                    <w:top w:val="none" w:sz="0" w:space="0" w:color="auto"/>
                    <w:left w:val="none" w:sz="0" w:space="0" w:color="auto"/>
                    <w:bottom w:val="none" w:sz="0" w:space="0" w:color="auto"/>
                    <w:right w:val="none" w:sz="0" w:space="0" w:color="auto"/>
                  </w:divBdr>
                  <w:divsChild>
                    <w:div w:id="1604455619">
                      <w:marLeft w:val="0"/>
                      <w:marRight w:val="0"/>
                      <w:marTop w:val="0"/>
                      <w:marBottom w:val="0"/>
                      <w:divBdr>
                        <w:top w:val="none" w:sz="0" w:space="0" w:color="auto"/>
                        <w:left w:val="none" w:sz="0" w:space="0" w:color="auto"/>
                        <w:bottom w:val="none" w:sz="0" w:space="0" w:color="auto"/>
                        <w:right w:val="none" w:sz="0" w:space="0" w:color="auto"/>
                      </w:divBdr>
                    </w:div>
                  </w:divsChild>
                </w:div>
                <w:div w:id="538670357">
                  <w:marLeft w:val="0"/>
                  <w:marRight w:val="0"/>
                  <w:marTop w:val="0"/>
                  <w:marBottom w:val="0"/>
                  <w:divBdr>
                    <w:top w:val="none" w:sz="0" w:space="0" w:color="auto"/>
                    <w:left w:val="none" w:sz="0" w:space="0" w:color="auto"/>
                    <w:bottom w:val="none" w:sz="0" w:space="0" w:color="auto"/>
                    <w:right w:val="none" w:sz="0" w:space="0" w:color="auto"/>
                  </w:divBdr>
                  <w:divsChild>
                    <w:div w:id="745613446">
                      <w:marLeft w:val="0"/>
                      <w:marRight w:val="0"/>
                      <w:marTop w:val="0"/>
                      <w:marBottom w:val="0"/>
                      <w:divBdr>
                        <w:top w:val="none" w:sz="0" w:space="0" w:color="auto"/>
                        <w:left w:val="none" w:sz="0" w:space="0" w:color="auto"/>
                        <w:bottom w:val="none" w:sz="0" w:space="0" w:color="auto"/>
                        <w:right w:val="none" w:sz="0" w:space="0" w:color="auto"/>
                      </w:divBdr>
                    </w:div>
                  </w:divsChild>
                </w:div>
                <w:div w:id="545800223">
                  <w:marLeft w:val="0"/>
                  <w:marRight w:val="0"/>
                  <w:marTop w:val="0"/>
                  <w:marBottom w:val="0"/>
                  <w:divBdr>
                    <w:top w:val="none" w:sz="0" w:space="0" w:color="auto"/>
                    <w:left w:val="none" w:sz="0" w:space="0" w:color="auto"/>
                    <w:bottom w:val="none" w:sz="0" w:space="0" w:color="auto"/>
                    <w:right w:val="none" w:sz="0" w:space="0" w:color="auto"/>
                  </w:divBdr>
                  <w:divsChild>
                    <w:div w:id="1326278694">
                      <w:marLeft w:val="0"/>
                      <w:marRight w:val="0"/>
                      <w:marTop w:val="0"/>
                      <w:marBottom w:val="0"/>
                      <w:divBdr>
                        <w:top w:val="none" w:sz="0" w:space="0" w:color="auto"/>
                        <w:left w:val="none" w:sz="0" w:space="0" w:color="auto"/>
                        <w:bottom w:val="none" w:sz="0" w:space="0" w:color="auto"/>
                        <w:right w:val="none" w:sz="0" w:space="0" w:color="auto"/>
                      </w:divBdr>
                    </w:div>
                  </w:divsChild>
                </w:div>
                <w:div w:id="549145484">
                  <w:marLeft w:val="0"/>
                  <w:marRight w:val="0"/>
                  <w:marTop w:val="0"/>
                  <w:marBottom w:val="0"/>
                  <w:divBdr>
                    <w:top w:val="none" w:sz="0" w:space="0" w:color="auto"/>
                    <w:left w:val="none" w:sz="0" w:space="0" w:color="auto"/>
                    <w:bottom w:val="none" w:sz="0" w:space="0" w:color="auto"/>
                    <w:right w:val="none" w:sz="0" w:space="0" w:color="auto"/>
                  </w:divBdr>
                  <w:divsChild>
                    <w:div w:id="2081517243">
                      <w:marLeft w:val="0"/>
                      <w:marRight w:val="0"/>
                      <w:marTop w:val="0"/>
                      <w:marBottom w:val="0"/>
                      <w:divBdr>
                        <w:top w:val="none" w:sz="0" w:space="0" w:color="auto"/>
                        <w:left w:val="none" w:sz="0" w:space="0" w:color="auto"/>
                        <w:bottom w:val="none" w:sz="0" w:space="0" w:color="auto"/>
                        <w:right w:val="none" w:sz="0" w:space="0" w:color="auto"/>
                      </w:divBdr>
                    </w:div>
                  </w:divsChild>
                </w:div>
                <w:div w:id="566648358">
                  <w:marLeft w:val="0"/>
                  <w:marRight w:val="0"/>
                  <w:marTop w:val="0"/>
                  <w:marBottom w:val="0"/>
                  <w:divBdr>
                    <w:top w:val="none" w:sz="0" w:space="0" w:color="auto"/>
                    <w:left w:val="none" w:sz="0" w:space="0" w:color="auto"/>
                    <w:bottom w:val="none" w:sz="0" w:space="0" w:color="auto"/>
                    <w:right w:val="none" w:sz="0" w:space="0" w:color="auto"/>
                  </w:divBdr>
                  <w:divsChild>
                    <w:div w:id="637347363">
                      <w:marLeft w:val="0"/>
                      <w:marRight w:val="0"/>
                      <w:marTop w:val="0"/>
                      <w:marBottom w:val="0"/>
                      <w:divBdr>
                        <w:top w:val="none" w:sz="0" w:space="0" w:color="auto"/>
                        <w:left w:val="none" w:sz="0" w:space="0" w:color="auto"/>
                        <w:bottom w:val="none" w:sz="0" w:space="0" w:color="auto"/>
                        <w:right w:val="none" w:sz="0" w:space="0" w:color="auto"/>
                      </w:divBdr>
                    </w:div>
                  </w:divsChild>
                </w:div>
                <w:div w:id="576669746">
                  <w:marLeft w:val="0"/>
                  <w:marRight w:val="0"/>
                  <w:marTop w:val="0"/>
                  <w:marBottom w:val="0"/>
                  <w:divBdr>
                    <w:top w:val="none" w:sz="0" w:space="0" w:color="auto"/>
                    <w:left w:val="none" w:sz="0" w:space="0" w:color="auto"/>
                    <w:bottom w:val="none" w:sz="0" w:space="0" w:color="auto"/>
                    <w:right w:val="none" w:sz="0" w:space="0" w:color="auto"/>
                  </w:divBdr>
                  <w:divsChild>
                    <w:div w:id="1292249539">
                      <w:marLeft w:val="0"/>
                      <w:marRight w:val="0"/>
                      <w:marTop w:val="0"/>
                      <w:marBottom w:val="0"/>
                      <w:divBdr>
                        <w:top w:val="none" w:sz="0" w:space="0" w:color="auto"/>
                        <w:left w:val="none" w:sz="0" w:space="0" w:color="auto"/>
                        <w:bottom w:val="none" w:sz="0" w:space="0" w:color="auto"/>
                        <w:right w:val="none" w:sz="0" w:space="0" w:color="auto"/>
                      </w:divBdr>
                    </w:div>
                  </w:divsChild>
                </w:div>
                <w:div w:id="588346285">
                  <w:marLeft w:val="0"/>
                  <w:marRight w:val="0"/>
                  <w:marTop w:val="0"/>
                  <w:marBottom w:val="0"/>
                  <w:divBdr>
                    <w:top w:val="none" w:sz="0" w:space="0" w:color="auto"/>
                    <w:left w:val="none" w:sz="0" w:space="0" w:color="auto"/>
                    <w:bottom w:val="none" w:sz="0" w:space="0" w:color="auto"/>
                    <w:right w:val="none" w:sz="0" w:space="0" w:color="auto"/>
                  </w:divBdr>
                  <w:divsChild>
                    <w:div w:id="1581717296">
                      <w:marLeft w:val="0"/>
                      <w:marRight w:val="0"/>
                      <w:marTop w:val="0"/>
                      <w:marBottom w:val="0"/>
                      <w:divBdr>
                        <w:top w:val="none" w:sz="0" w:space="0" w:color="auto"/>
                        <w:left w:val="none" w:sz="0" w:space="0" w:color="auto"/>
                        <w:bottom w:val="none" w:sz="0" w:space="0" w:color="auto"/>
                        <w:right w:val="none" w:sz="0" w:space="0" w:color="auto"/>
                      </w:divBdr>
                    </w:div>
                  </w:divsChild>
                </w:div>
                <w:div w:id="646054105">
                  <w:marLeft w:val="0"/>
                  <w:marRight w:val="0"/>
                  <w:marTop w:val="0"/>
                  <w:marBottom w:val="0"/>
                  <w:divBdr>
                    <w:top w:val="none" w:sz="0" w:space="0" w:color="auto"/>
                    <w:left w:val="none" w:sz="0" w:space="0" w:color="auto"/>
                    <w:bottom w:val="none" w:sz="0" w:space="0" w:color="auto"/>
                    <w:right w:val="none" w:sz="0" w:space="0" w:color="auto"/>
                  </w:divBdr>
                  <w:divsChild>
                    <w:div w:id="1097747796">
                      <w:marLeft w:val="0"/>
                      <w:marRight w:val="0"/>
                      <w:marTop w:val="0"/>
                      <w:marBottom w:val="0"/>
                      <w:divBdr>
                        <w:top w:val="none" w:sz="0" w:space="0" w:color="auto"/>
                        <w:left w:val="none" w:sz="0" w:space="0" w:color="auto"/>
                        <w:bottom w:val="none" w:sz="0" w:space="0" w:color="auto"/>
                        <w:right w:val="none" w:sz="0" w:space="0" w:color="auto"/>
                      </w:divBdr>
                    </w:div>
                  </w:divsChild>
                </w:div>
                <w:div w:id="654604059">
                  <w:marLeft w:val="0"/>
                  <w:marRight w:val="0"/>
                  <w:marTop w:val="0"/>
                  <w:marBottom w:val="0"/>
                  <w:divBdr>
                    <w:top w:val="none" w:sz="0" w:space="0" w:color="auto"/>
                    <w:left w:val="none" w:sz="0" w:space="0" w:color="auto"/>
                    <w:bottom w:val="none" w:sz="0" w:space="0" w:color="auto"/>
                    <w:right w:val="none" w:sz="0" w:space="0" w:color="auto"/>
                  </w:divBdr>
                  <w:divsChild>
                    <w:div w:id="1726177945">
                      <w:marLeft w:val="0"/>
                      <w:marRight w:val="0"/>
                      <w:marTop w:val="0"/>
                      <w:marBottom w:val="0"/>
                      <w:divBdr>
                        <w:top w:val="none" w:sz="0" w:space="0" w:color="auto"/>
                        <w:left w:val="none" w:sz="0" w:space="0" w:color="auto"/>
                        <w:bottom w:val="none" w:sz="0" w:space="0" w:color="auto"/>
                        <w:right w:val="none" w:sz="0" w:space="0" w:color="auto"/>
                      </w:divBdr>
                    </w:div>
                  </w:divsChild>
                </w:div>
                <w:div w:id="696851473">
                  <w:marLeft w:val="0"/>
                  <w:marRight w:val="0"/>
                  <w:marTop w:val="0"/>
                  <w:marBottom w:val="0"/>
                  <w:divBdr>
                    <w:top w:val="none" w:sz="0" w:space="0" w:color="auto"/>
                    <w:left w:val="none" w:sz="0" w:space="0" w:color="auto"/>
                    <w:bottom w:val="none" w:sz="0" w:space="0" w:color="auto"/>
                    <w:right w:val="none" w:sz="0" w:space="0" w:color="auto"/>
                  </w:divBdr>
                  <w:divsChild>
                    <w:div w:id="1577939490">
                      <w:marLeft w:val="0"/>
                      <w:marRight w:val="0"/>
                      <w:marTop w:val="0"/>
                      <w:marBottom w:val="0"/>
                      <w:divBdr>
                        <w:top w:val="none" w:sz="0" w:space="0" w:color="auto"/>
                        <w:left w:val="none" w:sz="0" w:space="0" w:color="auto"/>
                        <w:bottom w:val="none" w:sz="0" w:space="0" w:color="auto"/>
                        <w:right w:val="none" w:sz="0" w:space="0" w:color="auto"/>
                      </w:divBdr>
                    </w:div>
                  </w:divsChild>
                </w:div>
                <w:div w:id="698623666">
                  <w:marLeft w:val="0"/>
                  <w:marRight w:val="0"/>
                  <w:marTop w:val="0"/>
                  <w:marBottom w:val="0"/>
                  <w:divBdr>
                    <w:top w:val="none" w:sz="0" w:space="0" w:color="auto"/>
                    <w:left w:val="none" w:sz="0" w:space="0" w:color="auto"/>
                    <w:bottom w:val="none" w:sz="0" w:space="0" w:color="auto"/>
                    <w:right w:val="none" w:sz="0" w:space="0" w:color="auto"/>
                  </w:divBdr>
                  <w:divsChild>
                    <w:div w:id="394085885">
                      <w:marLeft w:val="0"/>
                      <w:marRight w:val="0"/>
                      <w:marTop w:val="0"/>
                      <w:marBottom w:val="0"/>
                      <w:divBdr>
                        <w:top w:val="none" w:sz="0" w:space="0" w:color="auto"/>
                        <w:left w:val="none" w:sz="0" w:space="0" w:color="auto"/>
                        <w:bottom w:val="none" w:sz="0" w:space="0" w:color="auto"/>
                        <w:right w:val="none" w:sz="0" w:space="0" w:color="auto"/>
                      </w:divBdr>
                    </w:div>
                  </w:divsChild>
                </w:div>
                <w:div w:id="722145202">
                  <w:marLeft w:val="0"/>
                  <w:marRight w:val="0"/>
                  <w:marTop w:val="0"/>
                  <w:marBottom w:val="0"/>
                  <w:divBdr>
                    <w:top w:val="none" w:sz="0" w:space="0" w:color="auto"/>
                    <w:left w:val="none" w:sz="0" w:space="0" w:color="auto"/>
                    <w:bottom w:val="none" w:sz="0" w:space="0" w:color="auto"/>
                    <w:right w:val="none" w:sz="0" w:space="0" w:color="auto"/>
                  </w:divBdr>
                  <w:divsChild>
                    <w:div w:id="1768958093">
                      <w:marLeft w:val="0"/>
                      <w:marRight w:val="0"/>
                      <w:marTop w:val="0"/>
                      <w:marBottom w:val="0"/>
                      <w:divBdr>
                        <w:top w:val="none" w:sz="0" w:space="0" w:color="auto"/>
                        <w:left w:val="none" w:sz="0" w:space="0" w:color="auto"/>
                        <w:bottom w:val="none" w:sz="0" w:space="0" w:color="auto"/>
                        <w:right w:val="none" w:sz="0" w:space="0" w:color="auto"/>
                      </w:divBdr>
                    </w:div>
                  </w:divsChild>
                </w:div>
                <w:div w:id="743799193">
                  <w:marLeft w:val="0"/>
                  <w:marRight w:val="0"/>
                  <w:marTop w:val="0"/>
                  <w:marBottom w:val="0"/>
                  <w:divBdr>
                    <w:top w:val="none" w:sz="0" w:space="0" w:color="auto"/>
                    <w:left w:val="none" w:sz="0" w:space="0" w:color="auto"/>
                    <w:bottom w:val="none" w:sz="0" w:space="0" w:color="auto"/>
                    <w:right w:val="none" w:sz="0" w:space="0" w:color="auto"/>
                  </w:divBdr>
                  <w:divsChild>
                    <w:div w:id="487013655">
                      <w:marLeft w:val="0"/>
                      <w:marRight w:val="0"/>
                      <w:marTop w:val="0"/>
                      <w:marBottom w:val="0"/>
                      <w:divBdr>
                        <w:top w:val="none" w:sz="0" w:space="0" w:color="auto"/>
                        <w:left w:val="none" w:sz="0" w:space="0" w:color="auto"/>
                        <w:bottom w:val="none" w:sz="0" w:space="0" w:color="auto"/>
                        <w:right w:val="none" w:sz="0" w:space="0" w:color="auto"/>
                      </w:divBdr>
                    </w:div>
                  </w:divsChild>
                </w:div>
                <w:div w:id="773402143">
                  <w:marLeft w:val="0"/>
                  <w:marRight w:val="0"/>
                  <w:marTop w:val="0"/>
                  <w:marBottom w:val="0"/>
                  <w:divBdr>
                    <w:top w:val="none" w:sz="0" w:space="0" w:color="auto"/>
                    <w:left w:val="none" w:sz="0" w:space="0" w:color="auto"/>
                    <w:bottom w:val="none" w:sz="0" w:space="0" w:color="auto"/>
                    <w:right w:val="none" w:sz="0" w:space="0" w:color="auto"/>
                  </w:divBdr>
                  <w:divsChild>
                    <w:div w:id="1209340500">
                      <w:marLeft w:val="0"/>
                      <w:marRight w:val="0"/>
                      <w:marTop w:val="0"/>
                      <w:marBottom w:val="0"/>
                      <w:divBdr>
                        <w:top w:val="none" w:sz="0" w:space="0" w:color="auto"/>
                        <w:left w:val="none" w:sz="0" w:space="0" w:color="auto"/>
                        <w:bottom w:val="none" w:sz="0" w:space="0" w:color="auto"/>
                        <w:right w:val="none" w:sz="0" w:space="0" w:color="auto"/>
                      </w:divBdr>
                    </w:div>
                  </w:divsChild>
                </w:div>
                <w:div w:id="788010268">
                  <w:marLeft w:val="0"/>
                  <w:marRight w:val="0"/>
                  <w:marTop w:val="0"/>
                  <w:marBottom w:val="0"/>
                  <w:divBdr>
                    <w:top w:val="none" w:sz="0" w:space="0" w:color="auto"/>
                    <w:left w:val="none" w:sz="0" w:space="0" w:color="auto"/>
                    <w:bottom w:val="none" w:sz="0" w:space="0" w:color="auto"/>
                    <w:right w:val="none" w:sz="0" w:space="0" w:color="auto"/>
                  </w:divBdr>
                  <w:divsChild>
                    <w:div w:id="1303538303">
                      <w:marLeft w:val="0"/>
                      <w:marRight w:val="0"/>
                      <w:marTop w:val="0"/>
                      <w:marBottom w:val="0"/>
                      <w:divBdr>
                        <w:top w:val="none" w:sz="0" w:space="0" w:color="auto"/>
                        <w:left w:val="none" w:sz="0" w:space="0" w:color="auto"/>
                        <w:bottom w:val="none" w:sz="0" w:space="0" w:color="auto"/>
                        <w:right w:val="none" w:sz="0" w:space="0" w:color="auto"/>
                      </w:divBdr>
                    </w:div>
                  </w:divsChild>
                </w:div>
                <w:div w:id="795293312">
                  <w:marLeft w:val="0"/>
                  <w:marRight w:val="0"/>
                  <w:marTop w:val="0"/>
                  <w:marBottom w:val="0"/>
                  <w:divBdr>
                    <w:top w:val="none" w:sz="0" w:space="0" w:color="auto"/>
                    <w:left w:val="none" w:sz="0" w:space="0" w:color="auto"/>
                    <w:bottom w:val="none" w:sz="0" w:space="0" w:color="auto"/>
                    <w:right w:val="none" w:sz="0" w:space="0" w:color="auto"/>
                  </w:divBdr>
                  <w:divsChild>
                    <w:div w:id="1917007183">
                      <w:marLeft w:val="0"/>
                      <w:marRight w:val="0"/>
                      <w:marTop w:val="0"/>
                      <w:marBottom w:val="0"/>
                      <w:divBdr>
                        <w:top w:val="none" w:sz="0" w:space="0" w:color="auto"/>
                        <w:left w:val="none" w:sz="0" w:space="0" w:color="auto"/>
                        <w:bottom w:val="none" w:sz="0" w:space="0" w:color="auto"/>
                        <w:right w:val="none" w:sz="0" w:space="0" w:color="auto"/>
                      </w:divBdr>
                    </w:div>
                  </w:divsChild>
                </w:div>
                <w:div w:id="841815044">
                  <w:marLeft w:val="0"/>
                  <w:marRight w:val="0"/>
                  <w:marTop w:val="0"/>
                  <w:marBottom w:val="0"/>
                  <w:divBdr>
                    <w:top w:val="none" w:sz="0" w:space="0" w:color="auto"/>
                    <w:left w:val="none" w:sz="0" w:space="0" w:color="auto"/>
                    <w:bottom w:val="none" w:sz="0" w:space="0" w:color="auto"/>
                    <w:right w:val="none" w:sz="0" w:space="0" w:color="auto"/>
                  </w:divBdr>
                  <w:divsChild>
                    <w:div w:id="140196846">
                      <w:marLeft w:val="0"/>
                      <w:marRight w:val="0"/>
                      <w:marTop w:val="0"/>
                      <w:marBottom w:val="0"/>
                      <w:divBdr>
                        <w:top w:val="none" w:sz="0" w:space="0" w:color="auto"/>
                        <w:left w:val="none" w:sz="0" w:space="0" w:color="auto"/>
                        <w:bottom w:val="none" w:sz="0" w:space="0" w:color="auto"/>
                        <w:right w:val="none" w:sz="0" w:space="0" w:color="auto"/>
                      </w:divBdr>
                    </w:div>
                  </w:divsChild>
                </w:div>
                <w:div w:id="842278431">
                  <w:marLeft w:val="0"/>
                  <w:marRight w:val="0"/>
                  <w:marTop w:val="0"/>
                  <w:marBottom w:val="0"/>
                  <w:divBdr>
                    <w:top w:val="none" w:sz="0" w:space="0" w:color="auto"/>
                    <w:left w:val="none" w:sz="0" w:space="0" w:color="auto"/>
                    <w:bottom w:val="none" w:sz="0" w:space="0" w:color="auto"/>
                    <w:right w:val="none" w:sz="0" w:space="0" w:color="auto"/>
                  </w:divBdr>
                  <w:divsChild>
                    <w:div w:id="1315794996">
                      <w:marLeft w:val="0"/>
                      <w:marRight w:val="0"/>
                      <w:marTop w:val="0"/>
                      <w:marBottom w:val="0"/>
                      <w:divBdr>
                        <w:top w:val="none" w:sz="0" w:space="0" w:color="auto"/>
                        <w:left w:val="none" w:sz="0" w:space="0" w:color="auto"/>
                        <w:bottom w:val="none" w:sz="0" w:space="0" w:color="auto"/>
                        <w:right w:val="none" w:sz="0" w:space="0" w:color="auto"/>
                      </w:divBdr>
                    </w:div>
                  </w:divsChild>
                </w:div>
                <w:div w:id="880442021">
                  <w:marLeft w:val="0"/>
                  <w:marRight w:val="0"/>
                  <w:marTop w:val="0"/>
                  <w:marBottom w:val="0"/>
                  <w:divBdr>
                    <w:top w:val="none" w:sz="0" w:space="0" w:color="auto"/>
                    <w:left w:val="none" w:sz="0" w:space="0" w:color="auto"/>
                    <w:bottom w:val="none" w:sz="0" w:space="0" w:color="auto"/>
                    <w:right w:val="none" w:sz="0" w:space="0" w:color="auto"/>
                  </w:divBdr>
                  <w:divsChild>
                    <w:div w:id="729419722">
                      <w:marLeft w:val="0"/>
                      <w:marRight w:val="0"/>
                      <w:marTop w:val="0"/>
                      <w:marBottom w:val="0"/>
                      <w:divBdr>
                        <w:top w:val="none" w:sz="0" w:space="0" w:color="auto"/>
                        <w:left w:val="none" w:sz="0" w:space="0" w:color="auto"/>
                        <w:bottom w:val="none" w:sz="0" w:space="0" w:color="auto"/>
                        <w:right w:val="none" w:sz="0" w:space="0" w:color="auto"/>
                      </w:divBdr>
                    </w:div>
                  </w:divsChild>
                </w:div>
                <w:div w:id="947541491">
                  <w:marLeft w:val="0"/>
                  <w:marRight w:val="0"/>
                  <w:marTop w:val="0"/>
                  <w:marBottom w:val="0"/>
                  <w:divBdr>
                    <w:top w:val="none" w:sz="0" w:space="0" w:color="auto"/>
                    <w:left w:val="none" w:sz="0" w:space="0" w:color="auto"/>
                    <w:bottom w:val="none" w:sz="0" w:space="0" w:color="auto"/>
                    <w:right w:val="none" w:sz="0" w:space="0" w:color="auto"/>
                  </w:divBdr>
                  <w:divsChild>
                    <w:div w:id="681783084">
                      <w:marLeft w:val="0"/>
                      <w:marRight w:val="0"/>
                      <w:marTop w:val="0"/>
                      <w:marBottom w:val="0"/>
                      <w:divBdr>
                        <w:top w:val="none" w:sz="0" w:space="0" w:color="auto"/>
                        <w:left w:val="none" w:sz="0" w:space="0" w:color="auto"/>
                        <w:bottom w:val="none" w:sz="0" w:space="0" w:color="auto"/>
                        <w:right w:val="none" w:sz="0" w:space="0" w:color="auto"/>
                      </w:divBdr>
                    </w:div>
                  </w:divsChild>
                </w:div>
                <w:div w:id="973218362">
                  <w:marLeft w:val="0"/>
                  <w:marRight w:val="0"/>
                  <w:marTop w:val="0"/>
                  <w:marBottom w:val="0"/>
                  <w:divBdr>
                    <w:top w:val="none" w:sz="0" w:space="0" w:color="auto"/>
                    <w:left w:val="none" w:sz="0" w:space="0" w:color="auto"/>
                    <w:bottom w:val="none" w:sz="0" w:space="0" w:color="auto"/>
                    <w:right w:val="none" w:sz="0" w:space="0" w:color="auto"/>
                  </w:divBdr>
                  <w:divsChild>
                    <w:div w:id="1082987436">
                      <w:marLeft w:val="0"/>
                      <w:marRight w:val="0"/>
                      <w:marTop w:val="0"/>
                      <w:marBottom w:val="0"/>
                      <w:divBdr>
                        <w:top w:val="none" w:sz="0" w:space="0" w:color="auto"/>
                        <w:left w:val="none" w:sz="0" w:space="0" w:color="auto"/>
                        <w:bottom w:val="none" w:sz="0" w:space="0" w:color="auto"/>
                        <w:right w:val="none" w:sz="0" w:space="0" w:color="auto"/>
                      </w:divBdr>
                    </w:div>
                  </w:divsChild>
                </w:div>
                <w:div w:id="994840224">
                  <w:marLeft w:val="0"/>
                  <w:marRight w:val="0"/>
                  <w:marTop w:val="0"/>
                  <w:marBottom w:val="0"/>
                  <w:divBdr>
                    <w:top w:val="none" w:sz="0" w:space="0" w:color="auto"/>
                    <w:left w:val="none" w:sz="0" w:space="0" w:color="auto"/>
                    <w:bottom w:val="none" w:sz="0" w:space="0" w:color="auto"/>
                    <w:right w:val="none" w:sz="0" w:space="0" w:color="auto"/>
                  </w:divBdr>
                  <w:divsChild>
                    <w:div w:id="715350131">
                      <w:marLeft w:val="0"/>
                      <w:marRight w:val="0"/>
                      <w:marTop w:val="0"/>
                      <w:marBottom w:val="0"/>
                      <w:divBdr>
                        <w:top w:val="none" w:sz="0" w:space="0" w:color="auto"/>
                        <w:left w:val="none" w:sz="0" w:space="0" w:color="auto"/>
                        <w:bottom w:val="none" w:sz="0" w:space="0" w:color="auto"/>
                        <w:right w:val="none" w:sz="0" w:space="0" w:color="auto"/>
                      </w:divBdr>
                    </w:div>
                  </w:divsChild>
                </w:div>
                <w:div w:id="1019162419">
                  <w:marLeft w:val="0"/>
                  <w:marRight w:val="0"/>
                  <w:marTop w:val="0"/>
                  <w:marBottom w:val="0"/>
                  <w:divBdr>
                    <w:top w:val="none" w:sz="0" w:space="0" w:color="auto"/>
                    <w:left w:val="none" w:sz="0" w:space="0" w:color="auto"/>
                    <w:bottom w:val="none" w:sz="0" w:space="0" w:color="auto"/>
                    <w:right w:val="none" w:sz="0" w:space="0" w:color="auto"/>
                  </w:divBdr>
                  <w:divsChild>
                    <w:div w:id="27148220">
                      <w:marLeft w:val="0"/>
                      <w:marRight w:val="0"/>
                      <w:marTop w:val="0"/>
                      <w:marBottom w:val="0"/>
                      <w:divBdr>
                        <w:top w:val="none" w:sz="0" w:space="0" w:color="auto"/>
                        <w:left w:val="none" w:sz="0" w:space="0" w:color="auto"/>
                        <w:bottom w:val="none" w:sz="0" w:space="0" w:color="auto"/>
                        <w:right w:val="none" w:sz="0" w:space="0" w:color="auto"/>
                      </w:divBdr>
                    </w:div>
                  </w:divsChild>
                </w:div>
                <w:div w:id="1027174186">
                  <w:marLeft w:val="0"/>
                  <w:marRight w:val="0"/>
                  <w:marTop w:val="0"/>
                  <w:marBottom w:val="0"/>
                  <w:divBdr>
                    <w:top w:val="none" w:sz="0" w:space="0" w:color="auto"/>
                    <w:left w:val="none" w:sz="0" w:space="0" w:color="auto"/>
                    <w:bottom w:val="none" w:sz="0" w:space="0" w:color="auto"/>
                    <w:right w:val="none" w:sz="0" w:space="0" w:color="auto"/>
                  </w:divBdr>
                  <w:divsChild>
                    <w:div w:id="1383168771">
                      <w:marLeft w:val="0"/>
                      <w:marRight w:val="0"/>
                      <w:marTop w:val="0"/>
                      <w:marBottom w:val="0"/>
                      <w:divBdr>
                        <w:top w:val="none" w:sz="0" w:space="0" w:color="auto"/>
                        <w:left w:val="none" w:sz="0" w:space="0" w:color="auto"/>
                        <w:bottom w:val="none" w:sz="0" w:space="0" w:color="auto"/>
                        <w:right w:val="none" w:sz="0" w:space="0" w:color="auto"/>
                      </w:divBdr>
                    </w:div>
                  </w:divsChild>
                </w:div>
                <w:div w:id="1049063681">
                  <w:marLeft w:val="0"/>
                  <w:marRight w:val="0"/>
                  <w:marTop w:val="0"/>
                  <w:marBottom w:val="0"/>
                  <w:divBdr>
                    <w:top w:val="none" w:sz="0" w:space="0" w:color="auto"/>
                    <w:left w:val="none" w:sz="0" w:space="0" w:color="auto"/>
                    <w:bottom w:val="none" w:sz="0" w:space="0" w:color="auto"/>
                    <w:right w:val="none" w:sz="0" w:space="0" w:color="auto"/>
                  </w:divBdr>
                  <w:divsChild>
                    <w:div w:id="2002074349">
                      <w:marLeft w:val="0"/>
                      <w:marRight w:val="0"/>
                      <w:marTop w:val="0"/>
                      <w:marBottom w:val="0"/>
                      <w:divBdr>
                        <w:top w:val="none" w:sz="0" w:space="0" w:color="auto"/>
                        <w:left w:val="none" w:sz="0" w:space="0" w:color="auto"/>
                        <w:bottom w:val="none" w:sz="0" w:space="0" w:color="auto"/>
                        <w:right w:val="none" w:sz="0" w:space="0" w:color="auto"/>
                      </w:divBdr>
                    </w:div>
                  </w:divsChild>
                </w:div>
                <w:div w:id="1068503343">
                  <w:marLeft w:val="0"/>
                  <w:marRight w:val="0"/>
                  <w:marTop w:val="0"/>
                  <w:marBottom w:val="0"/>
                  <w:divBdr>
                    <w:top w:val="none" w:sz="0" w:space="0" w:color="auto"/>
                    <w:left w:val="none" w:sz="0" w:space="0" w:color="auto"/>
                    <w:bottom w:val="none" w:sz="0" w:space="0" w:color="auto"/>
                    <w:right w:val="none" w:sz="0" w:space="0" w:color="auto"/>
                  </w:divBdr>
                  <w:divsChild>
                    <w:div w:id="1521436028">
                      <w:marLeft w:val="0"/>
                      <w:marRight w:val="0"/>
                      <w:marTop w:val="0"/>
                      <w:marBottom w:val="0"/>
                      <w:divBdr>
                        <w:top w:val="none" w:sz="0" w:space="0" w:color="auto"/>
                        <w:left w:val="none" w:sz="0" w:space="0" w:color="auto"/>
                        <w:bottom w:val="none" w:sz="0" w:space="0" w:color="auto"/>
                        <w:right w:val="none" w:sz="0" w:space="0" w:color="auto"/>
                      </w:divBdr>
                    </w:div>
                  </w:divsChild>
                </w:div>
                <w:div w:id="1167591770">
                  <w:marLeft w:val="0"/>
                  <w:marRight w:val="0"/>
                  <w:marTop w:val="0"/>
                  <w:marBottom w:val="0"/>
                  <w:divBdr>
                    <w:top w:val="none" w:sz="0" w:space="0" w:color="auto"/>
                    <w:left w:val="none" w:sz="0" w:space="0" w:color="auto"/>
                    <w:bottom w:val="none" w:sz="0" w:space="0" w:color="auto"/>
                    <w:right w:val="none" w:sz="0" w:space="0" w:color="auto"/>
                  </w:divBdr>
                  <w:divsChild>
                    <w:div w:id="2090998834">
                      <w:marLeft w:val="0"/>
                      <w:marRight w:val="0"/>
                      <w:marTop w:val="0"/>
                      <w:marBottom w:val="0"/>
                      <w:divBdr>
                        <w:top w:val="none" w:sz="0" w:space="0" w:color="auto"/>
                        <w:left w:val="none" w:sz="0" w:space="0" w:color="auto"/>
                        <w:bottom w:val="none" w:sz="0" w:space="0" w:color="auto"/>
                        <w:right w:val="none" w:sz="0" w:space="0" w:color="auto"/>
                      </w:divBdr>
                    </w:div>
                  </w:divsChild>
                </w:div>
                <w:div w:id="1218584985">
                  <w:marLeft w:val="0"/>
                  <w:marRight w:val="0"/>
                  <w:marTop w:val="0"/>
                  <w:marBottom w:val="0"/>
                  <w:divBdr>
                    <w:top w:val="none" w:sz="0" w:space="0" w:color="auto"/>
                    <w:left w:val="none" w:sz="0" w:space="0" w:color="auto"/>
                    <w:bottom w:val="none" w:sz="0" w:space="0" w:color="auto"/>
                    <w:right w:val="none" w:sz="0" w:space="0" w:color="auto"/>
                  </w:divBdr>
                  <w:divsChild>
                    <w:div w:id="461924448">
                      <w:marLeft w:val="0"/>
                      <w:marRight w:val="0"/>
                      <w:marTop w:val="0"/>
                      <w:marBottom w:val="0"/>
                      <w:divBdr>
                        <w:top w:val="none" w:sz="0" w:space="0" w:color="auto"/>
                        <w:left w:val="none" w:sz="0" w:space="0" w:color="auto"/>
                        <w:bottom w:val="none" w:sz="0" w:space="0" w:color="auto"/>
                        <w:right w:val="none" w:sz="0" w:space="0" w:color="auto"/>
                      </w:divBdr>
                    </w:div>
                  </w:divsChild>
                </w:div>
                <w:div w:id="1221475307">
                  <w:marLeft w:val="0"/>
                  <w:marRight w:val="0"/>
                  <w:marTop w:val="0"/>
                  <w:marBottom w:val="0"/>
                  <w:divBdr>
                    <w:top w:val="none" w:sz="0" w:space="0" w:color="auto"/>
                    <w:left w:val="none" w:sz="0" w:space="0" w:color="auto"/>
                    <w:bottom w:val="none" w:sz="0" w:space="0" w:color="auto"/>
                    <w:right w:val="none" w:sz="0" w:space="0" w:color="auto"/>
                  </w:divBdr>
                  <w:divsChild>
                    <w:div w:id="1087725880">
                      <w:marLeft w:val="0"/>
                      <w:marRight w:val="0"/>
                      <w:marTop w:val="0"/>
                      <w:marBottom w:val="0"/>
                      <w:divBdr>
                        <w:top w:val="none" w:sz="0" w:space="0" w:color="auto"/>
                        <w:left w:val="none" w:sz="0" w:space="0" w:color="auto"/>
                        <w:bottom w:val="none" w:sz="0" w:space="0" w:color="auto"/>
                        <w:right w:val="none" w:sz="0" w:space="0" w:color="auto"/>
                      </w:divBdr>
                    </w:div>
                  </w:divsChild>
                </w:div>
                <w:div w:id="1228497411">
                  <w:marLeft w:val="0"/>
                  <w:marRight w:val="0"/>
                  <w:marTop w:val="0"/>
                  <w:marBottom w:val="0"/>
                  <w:divBdr>
                    <w:top w:val="none" w:sz="0" w:space="0" w:color="auto"/>
                    <w:left w:val="none" w:sz="0" w:space="0" w:color="auto"/>
                    <w:bottom w:val="none" w:sz="0" w:space="0" w:color="auto"/>
                    <w:right w:val="none" w:sz="0" w:space="0" w:color="auto"/>
                  </w:divBdr>
                  <w:divsChild>
                    <w:div w:id="439565428">
                      <w:marLeft w:val="0"/>
                      <w:marRight w:val="0"/>
                      <w:marTop w:val="0"/>
                      <w:marBottom w:val="0"/>
                      <w:divBdr>
                        <w:top w:val="none" w:sz="0" w:space="0" w:color="auto"/>
                        <w:left w:val="none" w:sz="0" w:space="0" w:color="auto"/>
                        <w:bottom w:val="none" w:sz="0" w:space="0" w:color="auto"/>
                        <w:right w:val="none" w:sz="0" w:space="0" w:color="auto"/>
                      </w:divBdr>
                    </w:div>
                  </w:divsChild>
                </w:div>
                <w:div w:id="1231576365">
                  <w:marLeft w:val="0"/>
                  <w:marRight w:val="0"/>
                  <w:marTop w:val="0"/>
                  <w:marBottom w:val="0"/>
                  <w:divBdr>
                    <w:top w:val="none" w:sz="0" w:space="0" w:color="auto"/>
                    <w:left w:val="none" w:sz="0" w:space="0" w:color="auto"/>
                    <w:bottom w:val="none" w:sz="0" w:space="0" w:color="auto"/>
                    <w:right w:val="none" w:sz="0" w:space="0" w:color="auto"/>
                  </w:divBdr>
                  <w:divsChild>
                    <w:div w:id="698510212">
                      <w:marLeft w:val="0"/>
                      <w:marRight w:val="0"/>
                      <w:marTop w:val="0"/>
                      <w:marBottom w:val="0"/>
                      <w:divBdr>
                        <w:top w:val="none" w:sz="0" w:space="0" w:color="auto"/>
                        <w:left w:val="none" w:sz="0" w:space="0" w:color="auto"/>
                        <w:bottom w:val="none" w:sz="0" w:space="0" w:color="auto"/>
                        <w:right w:val="none" w:sz="0" w:space="0" w:color="auto"/>
                      </w:divBdr>
                    </w:div>
                  </w:divsChild>
                </w:div>
                <w:div w:id="1276525610">
                  <w:marLeft w:val="0"/>
                  <w:marRight w:val="0"/>
                  <w:marTop w:val="0"/>
                  <w:marBottom w:val="0"/>
                  <w:divBdr>
                    <w:top w:val="none" w:sz="0" w:space="0" w:color="auto"/>
                    <w:left w:val="none" w:sz="0" w:space="0" w:color="auto"/>
                    <w:bottom w:val="none" w:sz="0" w:space="0" w:color="auto"/>
                    <w:right w:val="none" w:sz="0" w:space="0" w:color="auto"/>
                  </w:divBdr>
                  <w:divsChild>
                    <w:div w:id="1218936402">
                      <w:marLeft w:val="0"/>
                      <w:marRight w:val="0"/>
                      <w:marTop w:val="0"/>
                      <w:marBottom w:val="0"/>
                      <w:divBdr>
                        <w:top w:val="none" w:sz="0" w:space="0" w:color="auto"/>
                        <w:left w:val="none" w:sz="0" w:space="0" w:color="auto"/>
                        <w:bottom w:val="none" w:sz="0" w:space="0" w:color="auto"/>
                        <w:right w:val="none" w:sz="0" w:space="0" w:color="auto"/>
                      </w:divBdr>
                    </w:div>
                  </w:divsChild>
                </w:div>
                <w:div w:id="1281834616">
                  <w:marLeft w:val="0"/>
                  <w:marRight w:val="0"/>
                  <w:marTop w:val="0"/>
                  <w:marBottom w:val="0"/>
                  <w:divBdr>
                    <w:top w:val="none" w:sz="0" w:space="0" w:color="auto"/>
                    <w:left w:val="none" w:sz="0" w:space="0" w:color="auto"/>
                    <w:bottom w:val="none" w:sz="0" w:space="0" w:color="auto"/>
                    <w:right w:val="none" w:sz="0" w:space="0" w:color="auto"/>
                  </w:divBdr>
                  <w:divsChild>
                    <w:div w:id="1802459067">
                      <w:marLeft w:val="0"/>
                      <w:marRight w:val="0"/>
                      <w:marTop w:val="0"/>
                      <w:marBottom w:val="0"/>
                      <w:divBdr>
                        <w:top w:val="none" w:sz="0" w:space="0" w:color="auto"/>
                        <w:left w:val="none" w:sz="0" w:space="0" w:color="auto"/>
                        <w:bottom w:val="none" w:sz="0" w:space="0" w:color="auto"/>
                        <w:right w:val="none" w:sz="0" w:space="0" w:color="auto"/>
                      </w:divBdr>
                    </w:div>
                  </w:divsChild>
                </w:div>
                <w:div w:id="1290817510">
                  <w:marLeft w:val="0"/>
                  <w:marRight w:val="0"/>
                  <w:marTop w:val="0"/>
                  <w:marBottom w:val="0"/>
                  <w:divBdr>
                    <w:top w:val="none" w:sz="0" w:space="0" w:color="auto"/>
                    <w:left w:val="none" w:sz="0" w:space="0" w:color="auto"/>
                    <w:bottom w:val="none" w:sz="0" w:space="0" w:color="auto"/>
                    <w:right w:val="none" w:sz="0" w:space="0" w:color="auto"/>
                  </w:divBdr>
                  <w:divsChild>
                    <w:div w:id="1267300823">
                      <w:marLeft w:val="0"/>
                      <w:marRight w:val="0"/>
                      <w:marTop w:val="0"/>
                      <w:marBottom w:val="0"/>
                      <w:divBdr>
                        <w:top w:val="none" w:sz="0" w:space="0" w:color="auto"/>
                        <w:left w:val="none" w:sz="0" w:space="0" w:color="auto"/>
                        <w:bottom w:val="none" w:sz="0" w:space="0" w:color="auto"/>
                        <w:right w:val="none" w:sz="0" w:space="0" w:color="auto"/>
                      </w:divBdr>
                    </w:div>
                  </w:divsChild>
                </w:div>
                <w:div w:id="1360476099">
                  <w:marLeft w:val="0"/>
                  <w:marRight w:val="0"/>
                  <w:marTop w:val="0"/>
                  <w:marBottom w:val="0"/>
                  <w:divBdr>
                    <w:top w:val="none" w:sz="0" w:space="0" w:color="auto"/>
                    <w:left w:val="none" w:sz="0" w:space="0" w:color="auto"/>
                    <w:bottom w:val="none" w:sz="0" w:space="0" w:color="auto"/>
                    <w:right w:val="none" w:sz="0" w:space="0" w:color="auto"/>
                  </w:divBdr>
                  <w:divsChild>
                    <w:div w:id="634605899">
                      <w:marLeft w:val="0"/>
                      <w:marRight w:val="0"/>
                      <w:marTop w:val="0"/>
                      <w:marBottom w:val="0"/>
                      <w:divBdr>
                        <w:top w:val="none" w:sz="0" w:space="0" w:color="auto"/>
                        <w:left w:val="none" w:sz="0" w:space="0" w:color="auto"/>
                        <w:bottom w:val="none" w:sz="0" w:space="0" w:color="auto"/>
                        <w:right w:val="none" w:sz="0" w:space="0" w:color="auto"/>
                      </w:divBdr>
                    </w:div>
                  </w:divsChild>
                </w:div>
                <w:div w:id="1365016044">
                  <w:marLeft w:val="0"/>
                  <w:marRight w:val="0"/>
                  <w:marTop w:val="0"/>
                  <w:marBottom w:val="0"/>
                  <w:divBdr>
                    <w:top w:val="none" w:sz="0" w:space="0" w:color="auto"/>
                    <w:left w:val="none" w:sz="0" w:space="0" w:color="auto"/>
                    <w:bottom w:val="none" w:sz="0" w:space="0" w:color="auto"/>
                    <w:right w:val="none" w:sz="0" w:space="0" w:color="auto"/>
                  </w:divBdr>
                  <w:divsChild>
                    <w:div w:id="369573571">
                      <w:marLeft w:val="0"/>
                      <w:marRight w:val="0"/>
                      <w:marTop w:val="0"/>
                      <w:marBottom w:val="0"/>
                      <w:divBdr>
                        <w:top w:val="none" w:sz="0" w:space="0" w:color="auto"/>
                        <w:left w:val="none" w:sz="0" w:space="0" w:color="auto"/>
                        <w:bottom w:val="none" w:sz="0" w:space="0" w:color="auto"/>
                        <w:right w:val="none" w:sz="0" w:space="0" w:color="auto"/>
                      </w:divBdr>
                    </w:div>
                  </w:divsChild>
                </w:div>
                <w:div w:id="1412510685">
                  <w:marLeft w:val="0"/>
                  <w:marRight w:val="0"/>
                  <w:marTop w:val="0"/>
                  <w:marBottom w:val="0"/>
                  <w:divBdr>
                    <w:top w:val="none" w:sz="0" w:space="0" w:color="auto"/>
                    <w:left w:val="none" w:sz="0" w:space="0" w:color="auto"/>
                    <w:bottom w:val="none" w:sz="0" w:space="0" w:color="auto"/>
                    <w:right w:val="none" w:sz="0" w:space="0" w:color="auto"/>
                  </w:divBdr>
                  <w:divsChild>
                    <w:div w:id="1545753688">
                      <w:marLeft w:val="0"/>
                      <w:marRight w:val="0"/>
                      <w:marTop w:val="0"/>
                      <w:marBottom w:val="0"/>
                      <w:divBdr>
                        <w:top w:val="none" w:sz="0" w:space="0" w:color="auto"/>
                        <w:left w:val="none" w:sz="0" w:space="0" w:color="auto"/>
                        <w:bottom w:val="none" w:sz="0" w:space="0" w:color="auto"/>
                        <w:right w:val="none" w:sz="0" w:space="0" w:color="auto"/>
                      </w:divBdr>
                    </w:div>
                  </w:divsChild>
                </w:div>
                <w:div w:id="1440022883">
                  <w:marLeft w:val="0"/>
                  <w:marRight w:val="0"/>
                  <w:marTop w:val="0"/>
                  <w:marBottom w:val="0"/>
                  <w:divBdr>
                    <w:top w:val="none" w:sz="0" w:space="0" w:color="auto"/>
                    <w:left w:val="none" w:sz="0" w:space="0" w:color="auto"/>
                    <w:bottom w:val="none" w:sz="0" w:space="0" w:color="auto"/>
                    <w:right w:val="none" w:sz="0" w:space="0" w:color="auto"/>
                  </w:divBdr>
                  <w:divsChild>
                    <w:div w:id="1758600900">
                      <w:marLeft w:val="0"/>
                      <w:marRight w:val="0"/>
                      <w:marTop w:val="0"/>
                      <w:marBottom w:val="0"/>
                      <w:divBdr>
                        <w:top w:val="none" w:sz="0" w:space="0" w:color="auto"/>
                        <w:left w:val="none" w:sz="0" w:space="0" w:color="auto"/>
                        <w:bottom w:val="none" w:sz="0" w:space="0" w:color="auto"/>
                        <w:right w:val="none" w:sz="0" w:space="0" w:color="auto"/>
                      </w:divBdr>
                    </w:div>
                  </w:divsChild>
                </w:div>
                <w:div w:id="1440567956">
                  <w:marLeft w:val="0"/>
                  <w:marRight w:val="0"/>
                  <w:marTop w:val="0"/>
                  <w:marBottom w:val="0"/>
                  <w:divBdr>
                    <w:top w:val="none" w:sz="0" w:space="0" w:color="auto"/>
                    <w:left w:val="none" w:sz="0" w:space="0" w:color="auto"/>
                    <w:bottom w:val="none" w:sz="0" w:space="0" w:color="auto"/>
                    <w:right w:val="none" w:sz="0" w:space="0" w:color="auto"/>
                  </w:divBdr>
                  <w:divsChild>
                    <w:div w:id="1180045889">
                      <w:marLeft w:val="0"/>
                      <w:marRight w:val="0"/>
                      <w:marTop w:val="0"/>
                      <w:marBottom w:val="0"/>
                      <w:divBdr>
                        <w:top w:val="none" w:sz="0" w:space="0" w:color="auto"/>
                        <w:left w:val="none" w:sz="0" w:space="0" w:color="auto"/>
                        <w:bottom w:val="none" w:sz="0" w:space="0" w:color="auto"/>
                        <w:right w:val="none" w:sz="0" w:space="0" w:color="auto"/>
                      </w:divBdr>
                    </w:div>
                  </w:divsChild>
                </w:div>
                <w:div w:id="1463040963">
                  <w:marLeft w:val="0"/>
                  <w:marRight w:val="0"/>
                  <w:marTop w:val="0"/>
                  <w:marBottom w:val="0"/>
                  <w:divBdr>
                    <w:top w:val="none" w:sz="0" w:space="0" w:color="auto"/>
                    <w:left w:val="none" w:sz="0" w:space="0" w:color="auto"/>
                    <w:bottom w:val="none" w:sz="0" w:space="0" w:color="auto"/>
                    <w:right w:val="none" w:sz="0" w:space="0" w:color="auto"/>
                  </w:divBdr>
                  <w:divsChild>
                    <w:div w:id="149449928">
                      <w:marLeft w:val="0"/>
                      <w:marRight w:val="0"/>
                      <w:marTop w:val="0"/>
                      <w:marBottom w:val="0"/>
                      <w:divBdr>
                        <w:top w:val="none" w:sz="0" w:space="0" w:color="auto"/>
                        <w:left w:val="none" w:sz="0" w:space="0" w:color="auto"/>
                        <w:bottom w:val="none" w:sz="0" w:space="0" w:color="auto"/>
                        <w:right w:val="none" w:sz="0" w:space="0" w:color="auto"/>
                      </w:divBdr>
                    </w:div>
                  </w:divsChild>
                </w:div>
                <w:div w:id="1480069638">
                  <w:marLeft w:val="0"/>
                  <w:marRight w:val="0"/>
                  <w:marTop w:val="0"/>
                  <w:marBottom w:val="0"/>
                  <w:divBdr>
                    <w:top w:val="none" w:sz="0" w:space="0" w:color="auto"/>
                    <w:left w:val="none" w:sz="0" w:space="0" w:color="auto"/>
                    <w:bottom w:val="none" w:sz="0" w:space="0" w:color="auto"/>
                    <w:right w:val="none" w:sz="0" w:space="0" w:color="auto"/>
                  </w:divBdr>
                  <w:divsChild>
                    <w:div w:id="614167949">
                      <w:marLeft w:val="0"/>
                      <w:marRight w:val="0"/>
                      <w:marTop w:val="0"/>
                      <w:marBottom w:val="0"/>
                      <w:divBdr>
                        <w:top w:val="none" w:sz="0" w:space="0" w:color="auto"/>
                        <w:left w:val="none" w:sz="0" w:space="0" w:color="auto"/>
                        <w:bottom w:val="none" w:sz="0" w:space="0" w:color="auto"/>
                        <w:right w:val="none" w:sz="0" w:space="0" w:color="auto"/>
                      </w:divBdr>
                    </w:div>
                  </w:divsChild>
                </w:div>
                <w:div w:id="1498375504">
                  <w:marLeft w:val="0"/>
                  <w:marRight w:val="0"/>
                  <w:marTop w:val="0"/>
                  <w:marBottom w:val="0"/>
                  <w:divBdr>
                    <w:top w:val="none" w:sz="0" w:space="0" w:color="auto"/>
                    <w:left w:val="none" w:sz="0" w:space="0" w:color="auto"/>
                    <w:bottom w:val="none" w:sz="0" w:space="0" w:color="auto"/>
                    <w:right w:val="none" w:sz="0" w:space="0" w:color="auto"/>
                  </w:divBdr>
                  <w:divsChild>
                    <w:div w:id="1161702552">
                      <w:marLeft w:val="0"/>
                      <w:marRight w:val="0"/>
                      <w:marTop w:val="0"/>
                      <w:marBottom w:val="0"/>
                      <w:divBdr>
                        <w:top w:val="none" w:sz="0" w:space="0" w:color="auto"/>
                        <w:left w:val="none" w:sz="0" w:space="0" w:color="auto"/>
                        <w:bottom w:val="none" w:sz="0" w:space="0" w:color="auto"/>
                        <w:right w:val="none" w:sz="0" w:space="0" w:color="auto"/>
                      </w:divBdr>
                    </w:div>
                  </w:divsChild>
                </w:div>
                <w:div w:id="1525099023">
                  <w:marLeft w:val="0"/>
                  <w:marRight w:val="0"/>
                  <w:marTop w:val="0"/>
                  <w:marBottom w:val="0"/>
                  <w:divBdr>
                    <w:top w:val="none" w:sz="0" w:space="0" w:color="auto"/>
                    <w:left w:val="none" w:sz="0" w:space="0" w:color="auto"/>
                    <w:bottom w:val="none" w:sz="0" w:space="0" w:color="auto"/>
                    <w:right w:val="none" w:sz="0" w:space="0" w:color="auto"/>
                  </w:divBdr>
                  <w:divsChild>
                    <w:div w:id="1630041842">
                      <w:marLeft w:val="0"/>
                      <w:marRight w:val="0"/>
                      <w:marTop w:val="0"/>
                      <w:marBottom w:val="0"/>
                      <w:divBdr>
                        <w:top w:val="none" w:sz="0" w:space="0" w:color="auto"/>
                        <w:left w:val="none" w:sz="0" w:space="0" w:color="auto"/>
                        <w:bottom w:val="none" w:sz="0" w:space="0" w:color="auto"/>
                        <w:right w:val="none" w:sz="0" w:space="0" w:color="auto"/>
                      </w:divBdr>
                    </w:div>
                  </w:divsChild>
                </w:div>
                <w:div w:id="1546454478">
                  <w:marLeft w:val="0"/>
                  <w:marRight w:val="0"/>
                  <w:marTop w:val="0"/>
                  <w:marBottom w:val="0"/>
                  <w:divBdr>
                    <w:top w:val="none" w:sz="0" w:space="0" w:color="auto"/>
                    <w:left w:val="none" w:sz="0" w:space="0" w:color="auto"/>
                    <w:bottom w:val="none" w:sz="0" w:space="0" w:color="auto"/>
                    <w:right w:val="none" w:sz="0" w:space="0" w:color="auto"/>
                  </w:divBdr>
                  <w:divsChild>
                    <w:div w:id="168915061">
                      <w:marLeft w:val="0"/>
                      <w:marRight w:val="0"/>
                      <w:marTop w:val="0"/>
                      <w:marBottom w:val="0"/>
                      <w:divBdr>
                        <w:top w:val="none" w:sz="0" w:space="0" w:color="auto"/>
                        <w:left w:val="none" w:sz="0" w:space="0" w:color="auto"/>
                        <w:bottom w:val="none" w:sz="0" w:space="0" w:color="auto"/>
                        <w:right w:val="none" w:sz="0" w:space="0" w:color="auto"/>
                      </w:divBdr>
                    </w:div>
                  </w:divsChild>
                </w:div>
                <w:div w:id="1554582466">
                  <w:marLeft w:val="0"/>
                  <w:marRight w:val="0"/>
                  <w:marTop w:val="0"/>
                  <w:marBottom w:val="0"/>
                  <w:divBdr>
                    <w:top w:val="none" w:sz="0" w:space="0" w:color="auto"/>
                    <w:left w:val="none" w:sz="0" w:space="0" w:color="auto"/>
                    <w:bottom w:val="none" w:sz="0" w:space="0" w:color="auto"/>
                    <w:right w:val="none" w:sz="0" w:space="0" w:color="auto"/>
                  </w:divBdr>
                  <w:divsChild>
                    <w:div w:id="449398051">
                      <w:marLeft w:val="0"/>
                      <w:marRight w:val="0"/>
                      <w:marTop w:val="0"/>
                      <w:marBottom w:val="0"/>
                      <w:divBdr>
                        <w:top w:val="none" w:sz="0" w:space="0" w:color="auto"/>
                        <w:left w:val="none" w:sz="0" w:space="0" w:color="auto"/>
                        <w:bottom w:val="none" w:sz="0" w:space="0" w:color="auto"/>
                        <w:right w:val="none" w:sz="0" w:space="0" w:color="auto"/>
                      </w:divBdr>
                    </w:div>
                  </w:divsChild>
                </w:div>
                <w:div w:id="1556769244">
                  <w:marLeft w:val="0"/>
                  <w:marRight w:val="0"/>
                  <w:marTop w:val="0"/>
                  <w:marBottom w:val="0"/>
                  <w:divBdr>
                    <w:top w:val="none" w:sz="0" w:space="0" w:color="auto"/>
                    <w:left w:val="none" w:sz="0" w:space="0" w:color="auto"/>
                    <w:bottom w:val="none" w:sz="0" w:space="0" w:color="auto"/>
                    <w:right w:val="none" w:sz="0" w:space="0" w:color="auto"/>
                  </w:divBdr>
                  <w:divsChild>
                    <w:div w:id="1307279074">
                      <w:marLeft w:val="0"/>
                      <w:marRight w:val="0"/>
                      <w:marTop w:val="0"/>
                      <w:marBottom w:val="0"/>
                      <w:divBdr>
                        <w:top w:val="none" w:sz="0" w:space="0" w:color="auto"/>
                        <w:left w:val="none" w:sz="0" w:space="0" w:color="auto"/>
                        <w:bottom w:val="none" w:sz="0" w:space="0" w:color="auto"/>
                        <w:right w:val="none" w:sz="0" w:space="0" w:color="auto"/>
                      </w:divBdr>
                    </w:div>
                  </w:divsChild>
                </w:div>
                <w:div w:id="1557086792">
                  <w:marLeft w:val="0"/>
                  <w:marRight w:val="0"/>
                  <w:marTop w:val="0"/>
                  <w:marBottom w:val="0"/>
                  <w:divBdr>
                    <w:top w:val="none" w:sz="0" w:space="0" w:color="auto"/>
                    <w:left w:val="none" w:sz="0" w:space="0" w:color="auto"/>
                    <w:bottom w:val="none" w:sz="0" w:space="0" w:color="auto"/>
                    <w:right w:val="none" w:sz="0" w:space="0" w:color="auto"/>
                  </w:divBdr>
                  <w:divsChild>
                    <w:div w:id="782963696">
                      <w:marLeft w:val="0"/>
                      <w:marRight w:val="0"/>
                      <w:marTop w:val="0"/>
                      <w:marBottom w:val="0"/>
                      <w:divBdr>
                        <w:top w:val="none" w:sz="0" w:space="0" w:color="auto"/>
                        <w:left w:val="none" w:sz="0" w:space="0" w:color="auto"/>
                        <w:bottom w:val="none" w:sz="0" w:space="0" w:color="auto"/>
                        <w:right w:val="none" w:sz="0" w:space="0" w:color="auto"/>
                      </w:divBdr>
                    </w:div>
                  </w:divsChild>
                </w:div>
                <w:div w:id="1558055837">
                  <w:marLeft w:val="0"/>
                  <w:marRight w:val="0"/>
                  <w:marTop w:val="0"/>
                  <w:marBottom w:val="0"/>
                  <w:divBdr>
                    <w:top w:val="none" w:sz="0" w:space="0" w:color="auto"/>
                    <w:left w:val="none" w:sz="0" w:space="0" w:color="auto"/>
                    <w:bottom w:val="none" w:sz="0" w:space="0" w:color="auto"/>
                    <w:right w:val="none" w:sz="0" w:space="0" w:color="auto"/>
                  </w:divBdr>
                  <w:divsChild>
                    <w:div w:id="1316035605">
                      <w:marLeft w:val="0"/>
                      <w:marRight w:val="0"/>
                      <w:marTop w:val="0"/>
                      <w:marBottom w:val="0"/>
                      <w:divBdr>
                        <w:top w:val="none" w:sz="0" w:space="0" w:color="auto"/>
                        <w:left w:val="none" w:sz="0" w:space="0" w:color="auto"/>
                        <w:bottom w:val="none" w:sz="0" w:space="0" w:color="auto"/>
                        <w:right w:val="none" w:sz="0" w:space="0" w:color="auto"/>
                      </w:divBdr>
                    </w:div>
                  </w:divsChild>
                </w:div>
                <w:div w:id="1560437899">
                  <w:marLeft w:val="0"/>
                  <w:marRight w:val="0"/>
                  <w:marTop w:val="0"/>
                  <w:marBottom w:val="0"/>
                  <w:divBdr>
                    <w:top w:val="none" w:sz="0" w:space="0" w:color="auto"/>
                    <w:left w:val="none" w:sz="0" w:space="0" w:color="auto"/>
                    <w:bottom w:val="none" w:sz="0" w:space="0" w:color="auto"/>
                    <w:right w:val="none" w:sz="0" w:space="0" w:color="auto"/>
                  </w:divBdr>
                  <w:divsChild>
                    <w:div w:id="26489839">
                      <w:marLeft w:val="0"/>
                      <w:marRight w:val="0"/>
                      <w:marTop w:val="0"/>
                      <w:marBottom w:val="0"/>
                      <w:divBdr>
                        <w:top w:val="none" w:sz="0" w:space="0" w:color="auto"/>
                        <w:left w:val="none" w:sz="0" w:space="0" w:color="auto"/>
                        <w:bottom w:val="none" w:sz="0" w:space="0" w:color="auto"/>
                        <w:right w:val="none" w:sz="0" w:space="0" w:color="auto"/>
                      </w:divBdr>
                    </w:div>
                  </w:divsChild>
                </w:div>
                <w:div w:id="1588072433">
                  <w:marLeft w:val="0"/>
                  <w:marRight w:val="0"/>
                  <w:marTop w:val="0"/>
                  <w:marBottom w:val="0"/>
                  <w:divBdr>
                    <w:top w:val="none" w:sz="0" w:space="0" w:color="auto"/>
                    <w:left w:val="none" w:sz="0" w:space="0" w:color="auto"/>
                    <w:bottom w:val="none" w:sz="0" w:space="0" w:color="auto"/>
                    <w:right w:val="none" w:sz="0" w:space="0" w:color="auto"/>
                  </w:divBdr>
                  <w:divsChild>
                    <w:div w:id="656418718">
                      <w:marLeft w:val="0"/>
                      <w:marRight w:val="0"/>
                      <w:marTop w:val="0"/>
                      <w:marBottom w:val="0"/>
                      <w:divBdr>
                        <w:top w:val="none" w:sz="0" w:space="0" w:color="auto"/>
                        <w:left w:val="none" w:sz="0" w:space="0" w:color="auto"/>
                        <w:bottom w:val="none" w:sz="0" w:space="0" w:color="auto"/>
                        <w:right w:val="none" w:sz="0" w:space="0" w:color="auto"/>
                      </w:divBdr>
                    </w:div>
                  </w:divsChild>
                </w:div>
                <w:div w:id="1625034960">
                  <w:marLeft w:val="0"/>
                  <w:marRight w:val="0"/>
                  <w:marTop w:val="0"/>
                  <w:marBottom w:val="0"/>
                  <w:divBdr>
                    <w:top w:val="none" w:sz="0" w:space="0" w:color="auto"/>
                    <w:left w:val="none" w:sz="0" w:space="0" w:color="auto"/>
                    <w:bottom w:val="none" w:sz="0" w:space="0" w:color="auto"/>
                    <w:right w:val="none" w:sz="0" w:space="0" w:color="auto"/>
                  </w:divBdr>
                  <w:divsChild>
                    <w:div w:id="1931041764">
                      <w:marLeft w:val="0"/>
                      <w:marRight w:val="0"/>
                      <w:marTop w:val="0"/>
                      <w:marBottom w:val="0"/>
                      <w:divBdr>
                        <w:top w:val="none" w:sz="0" w:space="0" w:color="auto"/>
                        <w:left w:val="none" w:sz="0" w:space="0" w:color="auto"/>
                        <w:bottom w:val="none" w:sz="0" w:space="0" w:color="auto"/>
                        <w:right w:val="none" w:sz="0" w:space="0" w:color="auto"/>
                      </w:divBdr>
                    </w:div>
                  </w:divsChild>
                </w:div>
                <w:div w:id="1633055133">
                  <w:marLeft w:val="0"/>
                  <w:marRight w:val="0"/>
                  <w:marTop w:val="0"/>
                  <w:marBottom w:val="0"/>
                  <w:divBdr>
                    <w:top w:val="none" w:sz="0" w:space="0" w:color="auto"/>
                    <w:left w:val="none" w:sz="0" w:space="0" w:color="auto"/>
                    <w:bottom w:val="none" w:sz="0" w:space="0" w:color="auto"/>
                    <w:right w:val="none" w:sz="0" w:space="0" w:color="auto"/>
                  </w:divBdr>
                  <w:divsChild>
                    <w:div w:id="1284923898">
                      <w:marLeft w:val="0"/>
                      <w:marRight w:val="0"/>
                      <w:marTop w:val="0"/>
                      <w:marBottom w:val="0"/>
                      <w:divBdr>
                        <w:top w:val="none" w:sz="0" w:space="0" w:color="auto"/>
                        <w:left w:val="none" w:sz="0" w:space="0" w:color="auto"/>
                        <w:bottom w:val="none" w:sz="0" w:space="0" w:color="auto"/>
                        <w:right w:val="none" w:sz="0" w:space="0" w:color="auto"/>
                      </w:divBdr>
                    </w:div>
                  </w:divsChild>
                </w:div>
                <w:div w:id="1692489405">
                  <w:marLeft w:val="0"/>
                  <w:marRight w:val="0"/>
                  <w:marTop w:val="0"/>
                  <w:marBottom w:val="0"/>
                  <w:divBdr>
                    <w:top w:val="none" w:sz="0" w:space="0" w:color="auto"/>
                    <w:left w:val="none" w:sz="0" w:space="0" w:color="auto"/>
                    <w:bottom w:val="none" w:sz="0" w:space="0" w:color="auto"/>
                    <w:right w:val="none" w:sz="0" w:space="0" w:color="auto"/>
                  </w:divBdr>
                  <w:divsChild>
                    <w:div w:id="903033058">
                      <w:marLeft w:val="0"/>
                      <w:marRight w:val="0"/>
                      <w:marTop w:val="0"/>
                      <w:marBottom w:val="0"/>
                      <w:divBdr>
                        <w:top w:val="none" w:sz="0" w:space="0" w:color="auto"/>
                        <w:left w:val="none" w:sz="0" w:space="0" w:color="auto"/>
                        <w:bottom w:val="none" w:sz="0" w:space="0" w:color="auto"/>
                        <w:right w:val="none" w:sz="0" w:space="0" w:color="auto"/>
                      </w:divBdr>
                    </w:div>
                  </w:divsChild>
                </w:div>
                <w:div w:id="1713262034">
                  <w:marLeft w:val="0"/>
                  <w:marRight w:val="0"/>
                  <w:marTop w:val="0"/>
                  <w:marBottom w:val="0"/>
                  <w:divBdr>
                    <w:top w:val="none" w:sz="0" w:space="0" w:color="auto"/>
                    <w:left w:val="none" w:sz="0" w:space="0" w:color="auto"/>
                    <w:bottom w:val="none" w:sz="0" w:space="0" w:color="auto"/>
                    <w:right w:val="none" w:sz="0" w:space="0" w:color="auto"/>
                  </w:divBdr>
                  <w:divsChild>
                    <w:div w:id="1200631720">
                      <w:marLeft w:val="0"/>
                      <w:marRight w:val="0"/>
                      <w:marTop w:val="0"/>
                      <w:marBottom w:val="0"/>
                      <w:divBdr>
                        <w:top w:val="none" w:sz="0" w:space="0" w:color="auto"/>
                        <w:left w:val="none" w:sz="0" w:space="0" w:color="auto"/>
                        <w:bottom w:val="none" w:sz="0" w:space="0" w:color="auto"/>
                        <w:right w:val="none" w:sz="0" w:space="0" w:color="auto"/>
                      </w:divBdr>
                    </w:div>
                  </w:divsChild>
                </w:div>
                <w:div w:id="1714231596">
                  <w:marLeft w:val="0"/>
                  <w:marRight w:val="0"/>
                  <w:marTop w:val="0"/>
                  <w:marBottom w:val="0"/>
                  <w:divBdr>
                    <w:top w:val="none" w:sz="0" w:space="0" w:color="auto"/>
                    <w:left w:val="none" w:sz="0" w:space="0" w:color="auto"/>
                    <w:bottom w:val="none" w:sz="0" w:space="0" w:color="auto"/>
                    <w:right w:val="none" w:sz="0" w:space="0" w:color="auto"/>
                  </w:divBdr>
                  <w:divsChild>
                    <w:div w:id="586039093">
                      <w:marLeft w:val="0"/>
                      <w:marRight w:val="0"/>
                      <w:marTop w:val="0"/>
                      <w:marBottom w:val="0"/>
                      <w:divBdr>
                        <w:top w:val="none" w:sz="0" w:space="0" w:color="auto"/>
                        <w:left w:val="none" w:sz="0" w:space="0" w:color="auto"/>
                        <w:bottom w:val="none" w:sz="0" w:space="0" w:color="auto"/>
                        <w:right w:val="none" w:sz="0" w:space="0" w:color="auto"/>
                      </w:divBdr>
                    </w:div>
                  </w:divsChild>
                </w:div>
                <w:div w:id="1791121826">
                  <w:marLeft w:val="0"/>
                  <w:marRight w:val="0"/>
                  <w:marTop w:val="0"/>
                  <w:marBottom w:val="0"/>
                  <w:divBdr>
                    <w:top w:val="none" w:sz="0" w:space="0" w:color="auto"/>
                    <w:left w:val="none" w:sz="0" w:space="0" w:color="auto"/>
                    <w:bottom w:val="none" w:sz="0" w:space="0" w:color="auto"/>
                    <w:right w:val="none" w:sz="0" w:space="0" w:color="auto"/>
                  </w:divBdr>
                  <w:divsChild>
                    <w:div w:id="1977367155">
                      <w:marLeft w:val="0"/>
                      <w:marRight w:val="0"/>
                      <w:marTop w:val="0"/>
                      <w:marBottom w:val="0"/>
                      <w:divBdr>
                        <w:top w:val="none" w:sz="0" w:space="0" w:color="auto"/>
                        <w:left w:val="none" w:sz="0" w:space="0" w:color="auto"/>
                        <w:bottom w:val="none" w:sz="0" w:space="0" w:color="auto"/>
                        <w:right w:val="none" w:sz="0" w:space="0" w:color="auto"/>
                      </w:divBdr>
                    </w:div>
                  </w:divsChild>
                </w:div>
                <w:div w:id="1801731010">
                  <w:marLeft w:val="0"/>
                  <w:marRight w:val="0"/>
                  <w:marTop w:val="0"/>
                  <w:marBottom w:val="0"/>
                  <w:divBdr>
                    <w:top w:val="none" w:sz="0" w:space="0" w:color="auto"/>
                    <w:left w:val="none" w:sz="0" w:space="0" w:color="auto"/>
                    <w:bottom w:val="none" w:sz="0" w:space="0" w:color="auto"/>
                    <w:right w:val="none" w:sz="0" w:space="0" w:color="auto"/>
                  </w:divBdr>
                  <w:divsChild>
                    <w:div w:id="2079664083">
                      <w:marLeft w:val="0"/>
                      <w:marRight w:val="0"/>
                      <w:marTop w:val="0"/>
                      <w:marBottom w:val="0"/>
                      <w:divBdr>
                        <w:top w:val="none" w:sz="0" w:space="0" w:color="auto"/>
                        <w:left w:val="none" w:sz="0" w:space="0" w:color="auto"/>
                        <w:bottom w:val="none" w:sz="0" w:space="0" w:color="auto"/>
                        <w:right w:val="none" w:sz="0" w:space="0" w:color="auto"/>
                      </w:divBdr>
                    </w:div>
                  </w:divsChild>
                </w:div>
                <w:div w:id="1811365009">
                  <w:marLeft w:val="0"/>
                  <w:marRight w:val="0"/>
                  <w:marTop w:val="0"/>
                  <w:marBottom w:val="0"/>
                  <w:divBdr>
                    <w:top w:val="none" w:sz="0" w:space="0" w:color="auto"/>
                    <w:left w:val="none" w:sz="0" w:space="0" w:color="auto"/>
                    <w:bottom w:val="none" w:sz="0" w:space="0" w:color="auto"/>
                    <w:right w:val="none" w:sz="0" w:space="0" w:color="auto"/>
                  </w:divBdr>
                  <w:divsChild>
                    <w:div w:id="84152958">
                      <w:marLeft w:val="0"/>
                      <w:marRight w:val="0"/>
                      <w:marTop w:val="0"/>
                      <w:marBottom w:val="0"/>
                      <w:divBdr>
                        <w:top w:val="none" w:sz="0" w:space="0" w:color="auto"/>
                        <w:left w:val="none" w:sz="0" w:space="0" w:color="auto"/>
                        <w:bottom w:val="none" w:sz="0" w:space="0" w:color="auto"/>
                        <w:right w:val="none" w:sz="0" w:space="0" w:color="auto"/>
                      </w:divBdr>
                    </w:div>
                  </w:divsChild>
                </w:div>
                <w:div w:id="1880822455">
                  <w:marLeft w:val="0"/>
                  <w:marRight w:val="0"/>
                  <w:marTop w:val="0"/>
                  <w:marBottom w:val="0"/>
                  <w:divBdr>
                    <w:top w:val="none" w:sz="0" w:space="0" w:color="auto"/>
                    <w:left w:val="none" w:sz="0" w:space="0" w:color="auto"/>
                    <w:bottom w:val="none" w:sz="0" w:space="0" w:color="auto"/>
                    <w:right w:val="none" w:sz="0" w:space="0" w:color="auto"/>
                  </w:divBdr>
                  <w:divsChild>
                    <w:div w:id="52197601">
                      <w:marLeft w:val="0"/>
                      <w:marRight w:val="0"/>
                      <w:marTop w:val="0"/>
                      <w:marBottom w:val="0"/>
                      <w:divBdr>
                        <w:top w:val="none" w:sz="0" w:space="0" w:color="auto"/>
                        <w:left w:val="none" w:sz="0" w:space="0" w:color="auto"/>
                        <w:bottom w:val="none" w:sz="0" w:space="0" w:color="auto"/>
                        <w:right w:val="none" w:sz="0" w:space="0" w:color="auto"/>
                      </w:divBdr>
                    </w:div>
                  </w:divsChild>
                </w:div>
                <w:div w:id="1890141562">
                  <w:marLeft w:val="0"/>
                  <w:marRight w:val="0"/>
                  <w:marTop w:val="0"/>
                  <w:marBottom w:val="0"/>
                  <w:divBdr>
                    <w:top w:val="none" w:sz="0" w:space="0" w:color="auto"/>
                    <w:left w:val="none" w:sz="0" w:space="0" w:color="auto"/>
                    <w:bottom w:val="none" w:sz="0" w:space="0" w:color="auto"/>
                    <w:right w:val="none" w:sz="0" w:space="0" w:color="auto"/>
                  </w:divBdr>
                  <w:divsChild>
                    <w:div w:id="43219032">
                      <w:marLeft w:val="0"/>
                      <w:marRight w:val="0"/>
                      <w:marTop w:val="0"/>
                      <w:marBottom w:val="0"/>
                      <w:divBdr>
                        <w:top w:val="none" w:sz="0" w:space="0" w:color="auto"/>
                        <w:left w:val="none" w:sz="0" w:space="0" w:color="auto"/>
                        <w:bottom w:val="none" w:sz="0" w:space="0" w:color="auto"/>
                        <w:right w:val="none" w:sz="0" w:space="0" w:color="auto"/>
                      </w:divBdr>
                    </w:div>
                  </w:divsChild>
                </w:div>
                <w:div w:id="1923104178">
                  <w:marLeft w:val="0"/>
                  <w:marRight w:val="0"/>
                  <w:marTop w:val="0"/>
                  <w:marBottom w:val="0"/>
                  <w:divBdr>
                    <w:top w:val="none" w:sz="0" w:space="0" w:color="auto"/>
                    <w:left w:val="none" w:sz="0" w:space="0" w:color="auto"/>
                    <w:bottom w:val="none" w:sz="0" w:space="0" w:color="auto"/>
                    <w:right w:val="none" w:sz="0" w:space="0" w:color="auto"/>
                  </w:divBdr>
                  <w:divsChild>
                    <w:div w:id="321273593">
                      <w:marLeft w:val="0"/>
                      <w:marRight w:val="0"/>
                      <w:marTop w:val="0"/>
                      <w:marBottom w:val="0"/>
                      <w:divBdr>
                        <w:top w:val="none" w:sz="0" w:space="0" w:color="auto"/>
                        <w:left w:val="none" w:sz="0" w:space="0" w:color="auto"/>
                        <w:bottom w:val="none" w:sz="0" w:space="0" w:color="auto"/>
                        <w:right w:val="none" w:sz="0" w:space="0" w:color="auto"/>
                      </w:divBdr>
                    </w:div>
                  </w:divsChild>
                </w:div>
                <w:div w:id="1929381181">
                  <w:marLeft w:val="0"/>
                  <w:marRight w:val="0"/>
                  <w:marTop w:val="0"/>
                  <w:marBottom w:val="0"/>
                  <w:divBdr>
                    <w:top w:val="none" w:sz="0" w:space="0" w:color="auto"/>
                    <w:left w:val="none" w:sz="0" w:space="0" w:color="auto"/>
                    <w:bottom w:val="none" w:sz="0" w:space="0" w:color="auto"/>
                    <w:right w:val="none" w:sz="0" w:space="0" w:color="auto"/>
                  </w:divBdr>
                  <w:divsChild>
                    <w:div w:id="817847312">
                      <w:marLeft w:val="0"/>
                      <w:marRight w:val="0"/>
                      <w:marTop w:val="0"/>
                      <w:marBottom w:val="0"/>
                      <w:divBdr>
                        <w:top w:val="none" w:sz="0" w:space="0" w:color="auto"/>
                        <w:left w:val="none" w:sz="0" w:space="0" w:color="auto"/>
                        <w:bottom w:val="none" w:sz="0" w:space="0" w:color="auto"/>
                        <w:right w:val="none" w:sz="0" w:space="0" w:color="auto"/>
                      </w:divBdr>
                    </w:div>
                    <w:div w:id="1070614811">
                      <w:marLeft w:val="0"/>
                      <w:marRight w:val="0"/>
                      <w:marTop w:val="0"/>
                      <w:marBottom w:val="0"/>
                      <w:divBdr>
                        <w:top w:val="none" w:sz="0" w:space="0" w:color="auto"/>
                        <w:left w:val="none" w:sz="0" w:space="0" w:color="auto"/>
                        <w:bottom w:val="none" w:sz="0" w:space="0" w:color="auto"/>
                        <w:right w:val="none" w:sz="0" w:space="0" w:color="auto"/>
                      </w:divBdr>
                    </w:div>
                  </w:divsChild>
                </w:div>
                <w:div w:id="1936591574">
                  <w:marLeft w:val="0"/>
                  <w:marRight w:val="0"/>
                  <w:marTop w:val="0"/>
                  <w:marBottom w:val="0"/>
                  <w:divBdr>
                    <w:top w:val="none" w:sz="0" w:space="0" w:color="auto"/>
                    <w:left w:val="none" w:sz="0" w:space="0" w:color="auto"/>
                    <w:bottom w:val="none" w:sz="0" w:space="0" w:color="auto"/>
                    <w:right w:val="none" w:sz="0" w:space="0" w:color="auto"/>
                  </w:divBdr>
                  <w:divsChild>
                    <w:div w:id="1719236386">
                      <w:marLeft w:val="0"/>
                      <w:marRight w:val="0"/>
                      <w:marTop w:val="0"/>
                      <w:marBottom w:val="0"/>
                      <w:divBdr>
                        <w:top w:val="none" w:sz="0" w:space="0" w:color="auto"/>
                        <w:left w:val="none" w:sz="0" w:space="0" w:color="auto"/>
                        <w:bottom w:val="none" w:sz="0" w:space="0" w:color="auto"/>
                        <w:right w:val="none" w:sz="0" w:space="0" w:color="auto"/>
                      </w:divBdr>
                    </w:div>
                  </w:divsChild>
                </w:div>
                <w:div w:id="1940260146">
                  <w:marLeft w:val="0"/>
                  <w:marRight w:val="0"/>
                  <w:marTop w:val="0"/>
                  <w:marBottom w:val="0"/>
                  <w:divBdr>
                    <w:top w:val="none" w:sz="0" w:space="0" w:color="auto"/>
                    <w:left w:val="none" w:sz="0" w:space="0" w:color="auto"/>
                    <w:bottom w:val="none" w:sz="0" w:space="0" w:color="auto"/>
                    <w:right w:val="none" w:sz="0" w:space="0" w:color="auto"/>
                  </w:divBdr>
                  <w:divsChild>
                    <w:div w:id="432167331">
                      <w:marLeft w:val="0"/>
                      <w:marRight w:val="0"/>
                      <w:marTop w:val="0"/>
                      <w:marBottom w:val="0"/>
                      <w:divBdr>
                        <w:top w:val="none" w:sz="0" w:space="0" w:color="auto"/>
                        <w:left w:val="none" w:sz="0" w:space="0" w:color="auto"/>
                        <w:bottom w:val="none" w:sz="0" w:space="0" w:color="auto"/>
                        <w:right w:val="none" w:sz="0" w:space="0" w:color="auto"/>
                      </w:divBdr>
                    </w:div>
                  </w:divsChild>
                </w:div>
                <w:div w:id="1946958201">
                  <w:marLeft w:val="0"/>
                  <w:marRight w:val="0"/>
                  <w:marTop w:val="0"/>
                  <w:marBottom w:val="0"/>
                  <w:divBdr>
                    <w:top w:val="none" w:sz="0" w:space="0" w:color="auto"/>
                    <w:left w:val="none" w:sz="0" w:space="0" w:color="auto"/>
                    <w:bottom w:val="none" w:sz="0" w:space="0" w:color="auto"/>
                    <w:right w:val="none" w:sz="0" w:space="0" w:color="auto"/>
                  </w:divBdr>
                  <w:divsChild>
                    <w:div w:id="234438650">
                      <w:marLeft w:val="0"/>
                      <w:marRight w:val="0"/>
                      <w:marTop w:val="0"/>
                      <w:marBottom w:val="0"/>
                      <w:divBdr>
                        <w:top w:val="none" w:sz="0" w:space="0" w:color="auto"/>
                        <w:left w:val="none" w:sz="0" w:space="0" w:color="auto"/>
                        <w:bottom w:val="none" w:sz="0" w:space="0" w:color="auto"/>
                        <w:right w:val="none" w:sz="0" w:space="0" w:color="auto"/>
                      </w:divBdr>
                    </w:div>
                  </w:divsChild>
                </w:div>
                <w:div w:id="1963687588">
                  <w:marLeft w:val="0"/>
                  <w:marRight w:val="0"/>
                  <w:marTop w:val="0"/>
                  <w:marBottom w:val="0"/>
                  <w:divBdr>
                    <w:top w:val="none" w:sz="0" w:space="0" w:color="auto"/>
                    <w:left w:val="none" w:sz="0" w:space="0" w:color="auto"/>
                    <w:bottom w:val="none" w:sz="0" w:space="0" w:color="auto"/>
                    <w:right w:val="none" w:sz="0" w:space="0" w:color="auto"/>
                  </w:divBdr>
                  <w:divsChild>
                    <w:div w:id="533231771">
                      <w:marLeft w:val="0"/>
                      <w:marRight w:val="0"/>
                      <w:marTop w:val="0"/>
                      <w:marBottom w:val="0"/>
                      <w:divBdr>
                        <w:top w:val="none" w:sz="0" w:space="0" w:color="auto"/>
                        <w:left w:val="none" w:sz="0" w:space="0" w:color="auto"/>
                        <w:bottom w:val="none" w:sz="0" w:space="0" w:color="auto"/>
                        <w:right w:val="none" w:sz="0" w:space="0" w:color="auto"/>
                      </w:divBdr>
                    </w:div>
                  </w:divsChild>
                </w:div>
                <w:div w:id="1970279476">
                  <w:marLeft w:val="0"/>
                  <w:marRight w:val="0"/>
                  <w:marTop w:val="0"/>
                  <w:marBottom w:val="0"/>
                  <w:divBdr>
                    <w:top w:val="none" w:sz="0" w:space="0" w:color="auto"/>
                    <w:left w:val="none" w:sz="0" w:space="0" w:color="auto"/>
                    <w:bottom w:val="none" w:sz="0" w:space="0" w:color="auto"/>
                    <w:right w:val="none" w:sz="0" w:space="0" w:color="auto"/>
                  </w:divBdr>
                  <w:divsChild>
                    <w:div w:id="1662005321">
                      <w:marLeft w:val="0"/>
                      <w:marRight w:val="0"/>
                      <w:marTop w:val="0"/>
                      <w:marBottom w:val="0"/>
                      <w:divBdr>
                        <w:top w:val="none" w:sz="0" w:space="0" w:color="auto"/>
                        <w:left w:val="none" w:sz="0" w:space="0" w:color="auto"/>
                        <w:bottom w:val="none" w:sz="0" w:space="0" w:color="auto"/>
                        <w:right w:val="none" w:sz="0" w:space="0" w:color="auto"/>
                      </w:divBdr>
                    </w:div>
                  </w:divsChild>
                </w:div>
                <w:div w:id="1988167820">
                  <w:marLeft w:val="0"/>
                  <w:marRight w:val="0"/>
                  <w:marTop w:val="0"/>
                  <w:marBottom w:val="0"/>
                  <w:divBdr>
                    <w:top w:val="none" w:sz="0" w:space="0" w:color="auto"/>
                    <w:left w:val="none" w:sz="0" w:space="0" w:color="auto"/>
                    <w:bottom w:val="none" w:sz="0" w:space="0" w:color="auto"/>
                    <w:right w:val="none" w:sz="0" w:space="0" w:color="auto"/>
                  </w:divBdr>
                  <w:divsChild>
                    <w:div w:id="571736641">
                      <w:marLeft w:val="0"/>
                      <w:marRight w:val="0"/>
                      <w:marTop w:val="0"/>
                      <w:marBottom w:val="0"/>
                      <w:divBdr>
                        <w:top w:val="none" w:sz="0" w:space="0" w:color="auto"/>
                        <w:left w:val="none" w:sz="0" w:space="0" w:color="auto"/>
                        <w:bottom w:val="none" w:sz="0" w:space="0" w:color="auto"/>
                        <w:right w:val="none" w:sz="0" w:space="0" w:color="auto"/>
                      </w:divBdr>
                    </w:div>
                  </w:divsChild>
                </w:div>
                <w:div w:id="2014450924">
                  <w:marLeft w:val="0"/>
                  <w:marRight w:val="0"/>
                  <w:marTop w:val="0"/>
                  <w:marBottom w:val="0"/>
                  <w:divBdr>
                    <w:top w:val="none" w:sz="0" w:space="0" w:color="auto"/>
                    <w:left w:val="none" w:sz="0" w:space="0" w:color="auto"/>
                    <w:bottom w:val="none" w:sz="0" w:space="0" w:color="auto"/>
                    <w:right w:val="none" w:sz="0" w:space="0" w:color="auto"/>
                  </w:divBdr>
                  <w:divsChild>
                    <w:div w:id="1503622499">
                      <w:marLeft w:val="0"/>
                      <w:marRight w:val="0"/>
                      <w:marTop w:val="0"/>
                      <w:marBottom w:val="0"/>
                      <w:divBdr>
                        <w:top w:val="none" w:sz="0" w:space="0" w:color="auto"/>
                        <w:left w:val="none" w:sz="0" w:space="0" w:color="auto"/>
                        <w:bottom w:val="none" w:sz="0" w:space="0" w:color="auto"/>
                        <w:right w:val="none" w:sz="0" w:space="0" w:color="auto"/>
                      </w:divBdr>
                    </w:div>
                  </w:divsChild>
                </w:div>
                <w:div w:id="2035032168">
                  <w:marLeft w:val="0"/>
                  <w:marRight w:val="0"/>
                  <w:marTop w:val="0"/>
                  <w:marBottom w:val="0"/>
                  <w:divBdr>
                    <w:top w:val="none" w:sz="0" w:space="0" w:color="auto"/>
                    <w:left w:val="none" w:sz="0" w:space="0" w:color="auto"/>
                    <w:bottom w:val="none" w:sz="0" w:space="0" w:color="auto"/>
                    <w:right w:val="none" w:sz="0" w:space="0" w:color="auto"/>
                  </w:divBdr>
                  <w:divsChild>
                    <w:div w:id="1148783510">
                      <w:marLeft w:val="0"/>
                      <w:marRight w:val="0"/>
                      <w:marTop w:val="0"/>
                      <w:marBottom w:val="0"/>
                      <w:divBdr>
                        <w:top w:val="none" w:sz="0" w:space="0" w:color="auto"/>
                        <w:left w:val="none" w:sz="0" w:space="0" w:color="auto"/>
                        <w:bottom w:val="none" w:sz="0" w:space="0" w:color="auto"/>
                        <w:right w:val="none" w:sz="0" w:space="0" w:color="auto"/>
                      </w:divBdr>
                    </w:div>
                  </w:divsChild>
                </w:div>
                <w:div w:id="2067531403">
                  <w:marLeft w:val="0"/>
                  <w:marRight w:val="0"/>
                  <w:marTop w:val="0"/>
                  <w:marBottom w:val="0"/>
                  <w:divBdr>
                    <w:top w:val="none" w:sz="0" w:space="0" w:color="auto"/>
                    <w:left w:val="none" w:sz="0" w:space="0" w:color="auto"/>
                    <w:bottom w:val="none" w:sz="0" w:space="0" w:color="auto"/>
                    <w:right w:val="none" w:sz="0" w:space="0" w:color="auto"/>
                  </w:divBdr>
                  <w:divsChild>
                    <w:div w:id="1309164008">
                      <w:marLeft w:val="0"/>
                      <w:marRight w:val="0"/>
                      <w:marTop w:val="0"/>
                      <w:marBottom w:val="0"/>
                      <w:divBdr>
                        <w:top w:val="none" w:sz="0" w:space="0" w:color="auto"/>
                        <w:left w:val="none" w:sz="0" w:space="0" w:color="auto"/>
                        <w:bottom w:val="none" w:sz="0" w:space="0" w:color="auto"/>
                        <w:right w:val="none" w:sz="0" w:space="0" w:color="auto"/>
                      </w:divBdr>
                    </w:div>
                  </w:divsChild>
                </w:div>
                <w:div w:id="2082675462">
                  <w:marLeft w:val="0"/>
                  <w:marRight w:val="0"/>
                  <w:marTop w:val="0"/>
                  <w:marBottom w:val="0"/>
                  <w:divBdr>
                    <w:top w:val="none" w:sz="0" w:space="0" w:color="auto"/>
                    <w:left w:val="none" w:sz="0" w:space="0" w:color="auto"/>
                    <w:bottom w:val="none" w:sz="0" w:space="0" w:color="auto"/>
                    <w:right w:val="none" w:sz="0" w:space="0" w:color="auto"/>
                  </w:divBdr>
                  <w:divsChild>
                    <w:div w:id="737558385">
                      <w:marLeft w:val="0"/>
                      <w:marRight w:val="0"/>
                      <w:marTop w:val="0"/>
                      <w:marBottom w:val="0"/>
                      <w:divBdr>
                        <w:top w:val="none" w:sz="0" w:space="0" w:color="auto"/>
                        <w:left w:val="none" w:sz="0" w:space="0" w:color="auto"/>
                        <w:bottom w:val="none" w:sz="0" w:space="0" w:color="auto"/>
                        <w:right w:val="none" w:sz="0" w:space="0" w:color="auto"/>
                      </w:divBdr>
                    </w:div>
                  </w:divsChild>
                </w:div>
                <w:div w:id="2118523717">
                  <w:marLeft w:val="0"/>
                  <w:marRight w:val="0"/>
                  <w:marTop w:val="0"/>
                  <w:marBottom w:val="0"/>
                  <w:divBdr>
                    <w:top w:val="none" w:sz="0" w:space="0" w:color="auto"/>
                    <w:left w:val="none" w:sz="0" w:space="0" w:color="auto"/>
                    <w:bottom w:val="none" w:sz="0" w:space="0" w:color="auto"/>
                    <w:right w:val="none" w:sz="0" w:space="0" w:color="auto"/>
                  </w:divBdr>
                  <w:divsChild>
                    <w:div w:id="1192181587">
                      <w:marLeft w:val="0"/>
                      <w:marRight w:val="0"/>
                      <w:marTop w:val="0"/>
                      <w:marBottom w:val="0"/>
                      <w:divBdr>
                        <w:top w:val="none" w:sz="0" w:space="0" w:color="auto"/>
                        <w:left w:val="none" w:sz="0" w:space="0" w:color="auto"/>
                        <w:bottom w:val="none" w:sz="0" w:space="0" w:color="auto"/>
                        <w:right w:val="none" w:sz="0" w:space="0" w:color="auto"/>
                      </w:divBdr>
                    </w:div>
                  </w:divsChild>
                </w:div>
                <w:div w:id="2138832905">
                  <w:marLeft w:val="0"/>
                  <w:marRight w:val="0"/>
                  <w:marTop w:val="0"/>
                  <w:marBottom w:val="0"/>
                  <w:divBdr>
                    <w:top w:val="none" w:sz="0" w:space="0" w:color="auto"/>
                    <w:left w:val="none" w:sz="0" w:space="0" w:color="auto"/>
                    <w:bottom w:val="none" w:sz="0" w:space="0" w:color="auto"/>
                    <w:right w:val="none" w:sz="0" w:space="0" w:color="auto"/>
                  </w:divBdr>
                  <w:divsChild>
                    <w:div w:id="9829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6078">
          <w:marLeft w:val="0"/>
          <w:marRight w:val="0"/>
          <w:marTop w:val="0"/>
          <w:marBottom w:val="0"/>
          <w:divBdr>
            <w:top w:val="none" w:sz="0" w:space="0" w:color="auto"/>
            <w:left w:val="none" w:sz="0" w:space="0" w:color="auto"/>
            <w:bottom w:val="none" w:sz="0" w:space="0" w:color="auto"/>
            <w:right w:val="none" w:sz="0" w:space="0" w:color="auto"/>
          </w:divBdr>
        </w:div>
        <w:div w:id="1942759821">
          <w:marLeft w:val="0"/>
          <w:marRight w:val="0"/>
          <w:marTop w:val="0"/>
          <w:marBottom w:val="0"/>
          <w:divBdr>
            <w:top w:val="none" w:sz="0" w:space="0" w:color="auto"/>
            <w:left w:val="none" w:sz="0" w:space="0" w:color="auto"/>
            <w:bottom w:val="none" w:sz="0" w:space="0" w:color="auto"/>
            <w:right w:val="none" w:sz="0" w:space="0" w:color="auto"/>
          </w:divBdr>
        </w:div>
        <w:div w:id="2032097869">
          <w:marLeft w:val="0"/>
          <w:marRight w:val="0"/>
          <w:marTop w:val="0"/>
          <w:marBottom w:val="0"/>
          <w:divBdr>
            <w:top w:val="none" w:sz="0" w:space="0" w:color="auto"/>
            <w:left w:val="none" w:sz="0" w:space="0" w:color="auto"/>
            <w:bottom w:val="none" w:sz="0" w:space="0" w:color="auto"/>
            <w:right w:val="none" w:sz="0" w:space="0" w:color="auto"/>
          </w:divBdr>
        </w:div>
        <w:div w:id="2129158904">
          <w:marLeft w:val="0"/>
          <w:marRight w:val="0"/>
          <w:marTop w:val="0"/>
          <w:marBottom w:val="0"/>
          <w:divBdr>
            <w:top w:val="none" w:sz="0" w:space="0" w:color="auto"/>
            <w:left w:val="none" w:sz="0" w:space="0" w:color="auto"/>
            <w:bottom w:val="none" w:sz="0" w:space="0" w:color="auto"/>
            <w:right w:val="none" w:sz="0" w:space="0" w:color="auto"/>
          </w:divBdr>
        </w:div>
      </w:divsChild>
    </w:div>
    <w:div w:id="1483233757">
      <w:bodyDiv w:val="1"/>
      <w:marLeft w:val="0"/>
      <w:marRight w:val="0"/>
      <w:marTop w:val="0"/>
      <w:marBottom w:val="0"/>
      <w:divBdr>
        <w:top w:val="none" w:sz="0" w:space="0" w:color="auto"/>
        <w:left w:val="none" w:sz="0" w:space="0" w:color="auto"/>
        <w:bottom w:val="none" w:sz="0" w:space="0" w:color="auto"/>
        <w:right w:val="none" w:sz="0" w:space="0" w:color="auto"/>
      </w:divBdr>
      <w:divsChild>
        <w:div w:id="91710407">
          <w:marLeft w:val="0"/>
          <w:marRight w:val="0"/>
          <w:marTop w:val="0"/>
          <w:marBottom w:val="0"/>
          <w:divBdr>
            <w:top w:val="none" w:sz="0" w:space="0" w:color="auto"/>
            <w:left w:val="none" w:sz="0" w:space="0" w:color="auto"/>
            <w:bottom w:val="none" w:sz="0" w:space="0" w:color="auto"/>
            <w:right w:val="none" w:sz="0" w:space="0" w:color="auto"/>
          </w:divBdr>
          <w:divsChild>
            <w:div w:id="1704358209">
              <w:marLeft w:val="0"/>
              <w:marRight w:val="0"/>
              <w:marTop w:val="0"/>
              <w:marBottom w:val="0"/>
              <w:divBdr>
                <w:top w:val="none" w:sz="0" w:space="0" w:color="auto"/>
                <w:left w:val="none" w:sz="0" w:space="0" w:color="auto"/>
                <w:bottom w:val="none" w:sz="0" w:space="0" w:color="auto"/>
                <w:right w:val="none" w:sz="0" w:space="0" w:color="auto"/>
              </w:divBdr>
            </w:div>
          </w:divsChild>
        </w:div>
        <w:div w:id="136848658">
          <w:marLeft w:val="0"/>
          <w:marRight w:val="0"/>
          <w:marTop w:val="0"/>
          <w:marBottom w:val="0"/>
          <w:divBdr>
            <w:top w:val="none" w:sz="0" w:space="0" w:color="auto"/>
            <w:left w:val="none" w:sz="0" w:space="0" w:color="auto"/>
            <w:bottom w:val="none" w:sz="0" w:space="0" w:color="auto"/>
            <w:right w:val="none" w:sz="0" w:space="0" w:color="auto"/>
          </w:divBdr>
          <w:divsChild>
            <w:div w:id="1955018626">
              <w:marLeft w:val="0"/>
              <w:marRight w:val="0"/>
              <w:marTop w:val="0"/>
              <w:marBottom w:val="0"/>
              <w:divBdr>
                <w:top w:val="none" w:sz="0" w:space="0" w:color="auto"/>
                <w:left w:val="none" w:sz="0" w:space="0" w:color="auto"/>
                <w:bottom w:val="none" w:sz="0" w:space="0" w:color="auto"/>
                <w:right w:val="none" w:sz="0" w:space="0" w:color="auto"/>
              </w:divBdr>
            </w:div>
          </w:divsChild>
        </w:div>
        <w:div w:id="199127764">
          <w:marLeft w:val="0"/>
          <w:marRight w:val="0"/>
          <w:marTop w:val="0"/>
          <w:marBottom w:val="0"/>
          <w:divBdr>
            <w:top w:val="none" w:sz="0" w:space="0" w:color="auto"/>
            <w:left w:val="none" w:sz="0" w:space="0" w:color="auto"/>
            <w:bottom w:val="none" w:sz="0" w:space="0" w:color="auto"/>
            <w:right w:val="none" w:sz="0" w:space="0" w:color="auto"/>
          </w:divBdr>
          <w:divsChild>
            <w:div w:id="1779179019">
              <w:marLeft w:val="0"/>
              <w:marRight w:val="0"/>
              <w:marTop w:val="0"/>
              <w:marBottom w:val="0"/>
              <w:divBdr>
                <w:top w:val="none" w:sz="0" w:space="0" w:color="auto"/>
                <w:left w:val="none" w:sz="0" w:space="0" w:color="auto"/>
                <w:bottom w:val="none" w:sz="0" w:space="0" w:color="auto"/>
                <w:right w:val="none" w:sz="0" w:space="0" w:color="auto"/>
              </w:divBdr>
            </w:div>
          </w:divsChild>
        </w:div>
        <w:div w:id="223107419">
          <w:marLeft w:val="0"/>
          <w:marRight w:val="0"/>
          <w:marTop w:val="0"/>
          <w:marBottom w:val="0"/>
          <w:divBdr>
            <w:top w:val="none" w:sz="0" w:space="0" w:color="auto"/>
            <w:left w:val="none" w:sz="0" w:space="0" w:color="auto"/>
            <w:bottom w:val="none" w:sz="0" w:space="0" w:color="auto"/>
            <w:right w:val="none" w:sz="0" w:space="0" w:color="auto"/>
          </w:divBdr>
          <w:divsChild>
            <w:div w:id="1378579624">
              <w:marLeft w:val="0"/>
              <w:marRight w:val="0"/>
              <w:marTop w:val="0"/>
              <w:marBottom w:val="0"/>
              <w:divBdr>
                <w:top w:val="none" w:sz="0" w:space="0" w:color="auto"/>
                <w:left w:val="none" w:sz="0" w:space="0" w:color="auto"/>
                <w:bottom w:val="none" w:sz="0" w:space="0" w:color="auto"/>
                <w:right w:val="none" w:sz="0" w:space="0" w:color="auto"/>
              </w:divBdr>
            </w:div>
          </w:divsChild>
        </w:div>
        <w:div w:id="349526508">
          <w:marLeft w:val="0"/>
          <w:marRight w:val="0"/>
          <w:marTop w:val="0"/>
          <w:marBottom w:val="0"/>
          <w:divBdr>
            <w:top w:val="none" w:sz="0" w:space="0" w:color="auto"/>
            <w:left w:val="none" w:sz="0" w:space="0" w:color="auto"/>
            <w:bottom w:val="none" w:sz="0" w:space="0" w:color="auto"/>
            <w:right w:val="none" w:sz="0" w:space="0" w:color="auto"/>
          </w:divBdr>
          <w:divsChild>
            <w:div w:id="401218949">
              <w:marLeft w:val="0"/>
              <w:marRight w:val="0"/>
              <w:marTop w:val="0"/>
              <w:marBottom w:val="0"/>
              <w:divBdr>
                <w:top w:val="none" w:sz="0" w:space="0" w:color="auto"/>
                <w:left w:val="none" w:sz="0" w:space="0" w:color="auto"/>
                <w:bottom w:val="none" w:sz="0" w:space="0" w:color="auto"/>
                <w:right w:val="none" w:sz="0" w:space="0" w:color="auto"/>
              </w:divBdr>
            </w:div>
          </w:divsChild>
        </w:div>
        <w:div w:id="409474238">
          <w:marLeft w:val="0"/>
          <w:marRight w:val="0"/>
          <w:marTop w:val="0"/>
          <w:marBottom w:val="0"/>
          <w:divBdr>
            <w:top w:val="none" w:sz="0" w:space="0" w:color="auto"/>
            <w:left w:val="none" w:sz="0" w:space="0" w:color="auto"/>
            <w:bottom w:val="none" w:sz="0" w:space="0" w:color="auto"/>
            <w:right w:val="none" w:sz="0" w:space="0" w:color="auto"/>
          </w:divBdr>
          <w:divsChild>
            <w:div w:id="1255212226">
              <w:marLeft w:val="0"/>
              <w:marRight w:val="0"/>
              <w:marTop w:val="0"/>
              <w:marBottom w:val="0"/>
              <w:divBdr>
                <w:top w:val="none" w:sz="0" w:space="0" w:color="auto"/>
                <w:left w:val="none" w:sz="0" w:space="0" w:color="auto"/>
                <w:bottom w:val="none" w:sz="0" w:space="0" w:color="auto"/>
                <w:right w:val="none" w:sz="0" w:space="0" w:color="auto"/>
              </w:divBdr>
            </w:div>
          </w:divsChild>
        </w:div>
        <w:div w:id="430318241">
          <w:marLeft w:val="0"/>
          <w:marRight w:val="0"/>
          <w:marTop w:val="0"/>
          <w:marBottom w:val="0"/>
          <w:divBdr>
            <w:top w:val="none" w:sz="0" w:space="0" w:color="auto"/>
            <w:left w:val="none" w:sz="0" w:space="0" w:color="auto"/>
            <w:bottom w:val="none" w:sz="0" w:space="0" w:color="auto"/>
            <w:right w:val="none" w:sz="0" w:space="0" w:color="auto"/>
          </w:divBdr>
          <w:divsChild>
            <w:div w:id="686055375">
              <w:marLeft w:val="0"/>
              <w:marRight w:val="0"/>
              <w:marTop w:val="0"/>
              <w:marBottom w:val="0"/>
              <w:divBdr>
                <w:top w:val="none" w:sz="0" w:space="0" w:color="auto"/>
                <w:left w:val="none" w:sz="0" w:space="0" w:color="auto"/>
                <w:bottom w:val="none" w:sz="0" w:space="0" w:color="auto"/>
                <w:right w:val="none" w:sz="0" w:space="0" w:color="auto"/>
              </w:divBdr>
            </w:div>
          </w:divsChild>
        </w:div>
        <w:div w:id="481628344">
          <w:marLeft w:val="0"/>
          <w:marRight w:val="0"/>
          <w:marTop w:val="0"/>
          <w:marBottom w:val="0"/>
          <w:divBdr>
            <w:top w:val="none" w:sz="0" w:space="0" w:color="auto"/>
            <w:left w:val="none" w:sz="0" w:space="0" w:color="auto"/>
            <w:bottom w:val="none" w:sz="0" w:space="0" w:color="auto"/>
            <w:right w:val="none" w:sz="0" w:space="0" w:color="auto"/>
          </w:divBdr>
          <w:divsChild>
            <w:div w:id="1042628920">
              <w:marLeft w:val="0"/>
              <w:marRight w:val="0"/>
              <w:marTop w:val="0"/>
              <w:marBottom w:val="0"/>
              <w:divBdr>
                <w:top w:val="none" w:sz="0" w:space="0" w:color="auto"/>
                <w:left w:val="none" w:sz="0" w:space="0" w:color="auto"/>
                <w:bottom w:val="none" w:sz="0" w:space="0" w:color="auto"/>
                <w:right w:val="none" w:sz="0" w:space="0" w:color="auto"/>
              </w:divBdr>
            </w:div>
          </w:divsChild>
        </w:div>
        <w:div w:id="549728023">
          <w:marLeft w:val="0"/>
          <w:marRight w:val="0"/>
          <w:marTop w:val="0"/>
          <w:marBottom w:val="0"/>
          <w:divBdr>
            <w:top w:val="none" w:sz="0" w:space="0" w:color="auto"/>
            <w:left w:val="none" w:sz="0" w:space="0" w:color="auto"/>
            <w:bottom w:val="none" w:sz="0" w:space="0" w:color="auto"/>
            <w:right w:val="none" w:sz="0" w:space="0" w:color="auto"/>
          </w:divBdr>
          <w:divsChild>
            <w:div w:id="1905294822">
              <w:marLeft w:val="0"/>
              <w:marRight w:val="0"/>
              <w:marTop w:val="0"/>
              <w:marBottom w:val="0"/>
              <w:divBdr>
                <w:top w:val="none" w:sz="0" w:space="0" w:color="auto"/>
                <w:left w:val="none" w:sz="0" w:space="0" w:color="auto"/>
                <w:bottom w:val="none" w:sz="0" w:space="0" w:color="auto"/>
                <w:right w:val="none" w:sz="0" w:space="0" w:color="auto"/>
              </w:divBdr>
            </w:div>
          </w:divsChild>
        </w:div>
        <w:div w:id="595094129">
          <w:marLeft w:val="0"/>
          <w:marRight w:val="0"/>
          <w:marTop w:val="0"/>
          <w:marBottom w:val="0"/>
          <w:divBdr>
            <w:top w:val="none" w:sz="0" w:space="0" w:color="auto"/>
            <w:left w:val="none" w:sz="0" w:space="0" w:color="auto"/>
            <w:bottom w:val="none" w:sz="0" w:space="0" w:color="auto"/>
            <w:right w:val="none" w:sz="0" w:space="0" w:color="auto"/>
          </w:divBdr>
          <w:divsChild>
            <w:div w:id="374819389">
              <w:marLeft w:val="0"/>
              <w:marRight w:val="0"/>
              <w:marTop w:val="0"/>
              <w:marBottom w:val="0"/>
              <w:divBdr>
                <w:top w:val="none" w:sz="0" w:space="0" w:color="auto"/>
                <w:left w:val="none" w:sz="0" w:space="0" w:color="auto"/>
                <w:bottom w:val="none" w:sz="0" w:space="0" w:color="auto"/>
                <w:right w:val="none" w:sz="0" w:space="0" w:color="auto"/>
              </w:divBdr>
            </w:div>
          </w:divsChild>
        </w:div>
        <w:div w:id="647511062">
          <w:marLeft w:val="0"/>
          <w:marRight w:val="0"/>
          <w:marTop w:val="0"/>
          <w:marBottom w:val="0"/>
          <w:divBdr>
            <w:top w:val="none" w:sz="0" w:space="0" w:color="auto"/>
            <w:left w:val="none" w:sz="0" w:space="0" w:color="auto"/>
            <w:bottom w:val="none" w:sz="0" w:space="0" w:color="auto"/>
            <w:right w:val="none" w:sz="0" w:space="0" w:color="auto"/>
          </w:divBdr>
          <w:divsChild>
            <w:div w:id="575936875">
              <w:marLeft w:val="0"/>
              <w:marRight w:val="0"/>
              <w:marTop w:val="0"/>
              <w:marBottom w:val="0"/>
              <w:divBdr>
                <w:top w:val="none" w:sz="0" w:space="0" w:color="auto"/>
                <w:left w:val="none" w:sz="0" w:space="0" w:color="auto"/>
                <w:bottom w:val="none" w:sz="0" w:space="0" w:color="auto"/>
                <w:right w:val="none" w:sz="0" w:space="0" w:color="auto"/>
              </w:divBdr>
            </w:div>
          </w:divsChild>
        </w:div>
        <w:div w:id="684868789">
          <w:marLeft w:val="0"/>
          <w:marRight w:val="0"/>
          <w:marTop w:val="0"/>
          <w:marBottom w:val="0"/>
          <w:divBdr>
            <w:top w:val="none" w:sz="0" w:space="0" w:color="auto"/>
            <w:left w:val="none" w:sz="0" w:space="0" w:color="auto"/>
            <w:bottom w:val="none" w:sz="0" w:space="0" w:color="auto"/>
            <w:right w:val="none" w:sz="0" w:space="0" w:color="auto"/>
          </w:divBdr>
          <w:divsChild>
            <w:div w:id="1524398767">
              <w:marLeft w:val="0"/>
              <w:marRight w:val="0"/>
              <w:marTop w:val="0"/>
              <w:marBottom w:val="0"/>
              <w:divBdr>
                <w:top w:val="none" w:sz="0" w:space="0" w:color="auto"/>
                <w:left w:val="none" w:sz="0" w:space="0" w:color="auto"/>
                <w:bottom w:val="none" w:sz="0" w:space="0" w:color="auto"/>
                <w:right w:val="none" w:sz="0" w:space="0" w:color="auto"/>
              </w:divBdr>
            </w:div>
          </w:divsChild>
        </w:div>
        <w:div w:id="809513915">
          <w:marLeft w:val="0"/>
          <w:marRight w:val="0"/>
          <w:marTop w:val="0"/>
          <w:marBottom w:val="0"/>
          <w:divBdr>
            <w:top w:val="none" w:sz="0" w:space="0" w:color="auto"/>
            <w:left w:val="none" w:sz="0" w:space="0" w:color="auto"/>
            <w:bottom w:val="none" w:sz="0" w:space="0" w:color="auto"/>
            <w:right w:val="none" w:sz="0" w:space="0" w:color="auto"/>
          </w:divBdr>
          <w:divsChild>
            <w:div w:id="246117886">
              <w:marLeft w:val="0"/>
              <w:marRight w:val="0"/>
              <w:marTop w:val="0"/>
              <w:marBottom w:val="0"/>
              <w:divBdr>
                <w:top w:val="none" w:sz="0" w:space="0" w:color="auto"/>
                <w:left w:val="none" w:sz="0" w:space="0" w:color="auto"/>
                <w:bottom w:val="none" w:sz="0" w:space="0" w:color="auto"/>
                <w:right w:val="none" w:sz="0" w:space="0" w:color="auto"/>
              </w:divBdr>
            </w:div>
          </w:divsChild>
        </w:div>
        <w:div w:id="1097210453">
          <w:marLeft w:val="0"/>
          <w:marRight w:val="0"/>
          <w:marTop w:val="0"/>
          <w:marBottom w:val="0"/>
          <w:divBdr>
            <w:top w:val="none" w:sz="0" w:space="0" w:color="auto"/>
            <w:left w:val="none" w:sz="0" w:space="0" w:color="auto"/>
            <w:bottom w:val="none" w:sz="0" w:space="0" w:color="auto"/>
            <w:right w:val="none" w:sz="0" w:space="0" w:color="auto"/>
          </w:divBdr>
          <w:divsChild>
            <w:div w:id="1130053274">
              <w:marLeft w:val="0"/>
              <w:marRight w:val="0"/>
              <w:marTop w:val="0"/>
              <w:marBottom w:val="0"/>
              <w:divBdr>
                <w:top w:val="none" w:sz="0" w:space="0" w:color="auto"/>
                <w:left w:val="none" w:sz="0" w:space="0" w:color="auto"/>
                <w:bottom w:val="none" w:sz="0" w:space="0" w:color="auto"/>
                <w:right w:val="none" w:sz="0" w:space="0" w:color="auto"/>
              </w:divBdr>
            </w:div>
          </w:divsChild>
        </w:div>
        <w:div w:id="1098602805">
          <w:marLeft w:val="0"/>
          <w:marRight w:val="0"/>
          <w:marTop w:val="0"/>
          <w:marBottom w:val="0"/>
          <w:divBdr>
            <w:top w:val="none" w:sz="0" w:space="0" w:color="auto"/>
            <w:left w:val="none" w:sz="0" w:space="0" w:color="auto"/>
            <w:bottom w:val="none" w:sz="0" w:space="0" w:color="auto"/>
            <w:right w:val="none" w:sz="0" w:space="0" w:color="auto"/>
          </w:divBdr>
          <w:divsChild>
            <w:div w:id="1066297523">
              <w:marLeft w:val="0"/>
              <w:marRight w:val="0"/>
              <w:marTop w:val="0"/>
              <w:marBottom w:val="0"/>
              <w:divBdr>
                <w:top w:val="none" w:sz="0" w:space="0" w:color="auto"/>
                <w:left w:val="none" w:sz="0" w:space="0" w:color="auto"/>
                <w:bottom w:val="none" w:sz="0" w:space="0" w:color="auto"/>
                <w:right w:val="none" w:sz="0" w:space="0" w:color="auto"/>
              </w:divBdr>
            </w:div>
          </w:divsChild>
        </w:div>
        <w:div w:id="1120298898">
          <w:marLeft w:val="0"/>
          <w:marRight w:val="0"/>
          <w:marTop w:val="0"/>
          <w:marBottom w:val="0"/>
          <w:divBdr>
            <w:top w:val="none" w:sz="0" w:space="0" w:color="auto"/>
            <w:left w:val="none" w:sz="0" w:space="0" w:color="auto"/>
            <w:bottom w:val="none" w:sz="0" w:space="0" w:color="auto"/>
            <w:right w:val="none" w:sz="0" w:space="0" w:color="auto"/>
          </w:divBdr>
          <w:divsChild>
            <w:div w:id="1206984241">
              <w:marLeft w:val="0"/>
              <w:marRight w:val="0"/>
              <w:marTop w:val="0"/>
              <w:marBottom w:val="0"/>
              <w:divBdr>
                <w:top w:val="none" w:sz="0" w:space="0" w:color="auto"/>
                <w:left w:val="none" w:sz="0" w:space="0" w:color="auto"/>
                <w:bottom w:val="none" w:sz="0" w:space="0" w:color="auto"/>
                <w:right w:val="none" w:sz="0" w:space="0" w:color="auto"/>
              </w:divBdr>
            </w:div>
          </w:divsChild>
        </w:div>
        <w:div w:id="1142187764">
          <w:marLeft w:val="0"/>
          <w:marRight w:val="0"/>
          <w:marTop w:val="0"/>
          <w:marBottom w:val="0"/>
          <w:divBdr>
            <w:top w:val="none" w:sz="0" w:space="0" w:color="auto"/>
            <w:left w:val="none" w:sz="0" w:space="0" w:color="auto"/>
            <w:bottom w:val="none" w:sz="0" w:space="0" w:color="auto"/>
            <w:right w:val="none" w:sz="0" w:space="0" w:color="auto"/>
          </w:divBdr>
          <w:divsChild>
            <w:div w:id="1766148156">
              <w:marLeft w:val="0"/>
              <w:marRight w:val="0"/>
              <w:marTop w:val="0"/>
              <w:marBottom w:val="0"/>
              <w:divBdr>
                <w:top w:val="none" w:sz="0" w:space="0" w:color="auto"/>
                <w:left w:val="none" w:sz="0" w:space="0" w:color="auto"/>
                <w:bottom w:val="none" w:sz="0" w:space="0" w:color="auto"/>
                <w:right w:val="none" w:sz="0" w:space="0" w:color="auto"/>
              </w:divBdr>
            </w:div>
          </w:divsChild>
        </w:div>
        <w:div w:id="1149446883">
          <w:marLeft w:val="0"/>
          <w:marRight w:val="0"/>
          <w:marTop w:val="0"/>
          <w:marBottom w:val="0"/>
          <w:divBdr>
            <w:top w:val="none" w:sz="0" w:space="0" w:color="auto"/>
            <w:left w:val="none" w:sz="0" w:space="0" w:color="auto"/>
            <w:bottom w:val="none" w:sz="0" w:space="0" w:color="auto"/>
            <w:right w:val="none" w:sz="0" w:space="0" w:color="auto"/>
          </w:divBdr>
          <w:divsChild>
            <w:div w:id="144009719">
              <w:marLeft w:val="0"/>
              <w:marRight w:val="0"/>
              <w:marTop w:val="0"/>
              <w:marBottom w:val="0"/>
              <w:divBdr>
                <w:top w:val="none" w:sz="0" w:space="0" w:color="auto"/>
                <w:left w:val="none" w:sz="0" w:space="0" w:color="auto"/>
                <w:bottom w:val="none" w:sz="0" w:space="0" w:color="auto"/>
                <w:right w:val="none" w:sz="0" w:space="0" w:color="auto"/>
              </w:divBdr>
            </w:div>
          </w:divsChild>
        </w:div>
        <w:div w:id="1258519989">
          <w:marLeft w:val="0"/>
          <w:marRight w:val="0"/>
          <w:marTop w:val="0"/>
          <w:marBottom w:val="0"/>
          <w:divBdr>
            <w:top w:val="none" w:sz="0" w:space="0" w:color="auto"/>
            <w:left w:val="none" w:sz="0" w:space="0" w:color="auto"/>
            <w:bottom w:val="none" w:sz="0" w:space="0" w:color="auto"/>
            <w:right w:val="none" w:sz="0" w:space="0" w:color="auto"/>
          </w:divBdr>
          <w:divsChild>
            <w:div w:id="2086494770">
              <w:marLeft w:val="0"/>
              <w:marRight w:val="0"/>
              <w:marTop w:val="0"/>
              <w:marBottom w:val="0"/>
              <w:divBdr>
                <w:top w:val="none" w:sz="0" w:space="0" w:color="auto"/>
                <w:left w:val="none" w:sz="0" w:space="0" w:color="auto"/>
                <w:bottom w:val="none" w:sz="0" w:space="0" w:color="auto"/>
                <w:right w:val="none" w:sz="0" w:space="0" w:color="auto"/>
              </w:divBdr>
            </w:div>
          </w:divsChild>
        </w:div>
        <w:div w:id="1267813827">
          <w:marLeft w:val="0"/>
          <w:marRight w:val="0"/>
          <w:marTop w:val="0"/>
          <w:marBottom w:val="0"/>
          <w:divBdr>
            <w:top w:val="none" w:sz="0" w:space="0" w:color="auto"/>
            <w:left w:val="none" w:sz="0" w:space="0" w:color="auto"/>
            <w:bottom w:val="none" w:sz="0" w:space="0" w:color="auto"/>
            <w:right w:val="none" w:sz="0" w:space="0" w:color="auto"/>
          </w:divBdr>
          <w:divsChild>
            <w:div w:id="119737413">
              <w:marLeft w:val="0"/>
              <w:marRight w:val="0"/>
              <w:marTop w:val="0"/>
              <w:marBottom w:val="0"/>
              <w:divBdr>
                <w:top w:val="none" w:sz="0" w:space="0" w:color="auto"/>
                <w:left w:val="none" w:sz="0" w:space="0" w:color="auto"/>
                <w:bottom w:val="none" w:sz="0" w:space="0" w:color="auto"/>
                <w:right w:val="none" w:sz="0" w:space="0" w:color="auto"/>
              </w:divBdr>
            </w:div>
          </w:divsChild>
        </w:div>
        <w:div w:id="1318075994">
          <w:marLeft w:val="0"/>
          <w:marRight w:val="0"/>
          <w:marTop w:val="0"/>
          <w:marBottom w:val="0"/>
          <w:divBdr>
            <w:top w:val="none" w:sz="0" w:space="0" w:color="auto"/>
            <w:left w:val="none" w:sz="0" w:space="0" w:color="auto"/>
            <w:bottom w:val="none" w:sz="0" w:space="0" w:color="auto"/>
            <w:right w:val="none" w:sz="0" w:space="0" w:color="auto"/>
          </w:divBdr>
          <w:divsChild>
            <w:div w:id="1221750056">
              <w:marLeft w:val="0"/>
              <w:marRight w:val="0"/>
              <w:marTop w:val="0"/>
              <w:marBottom w:val="0"/>
              <w:divBdr>
                <w:top w:val="none" w:sz="0" w:space="0" w:color="auto"/>
                <w:left w:val="none" w:sz="0" w:space="0" w:color="auto"/>
                <w:bottom w:val="none" w:sz="0" w:space="0" w:color="auto"/>
                <w:right w:val="none" w:sz="0" w:space="0" w:color="auto"/>
              </w:divBdr>
            </w:div>
          </w:divsChild>
        </w:div>
        <w:div w:id="1333264987">
          <w:marLeft w:val="0"/>
          <w:marRight w:val="0"/>
          <w:marTop w:val="0"/>
          <w:marBottom w:val="0"/>
          <w:divBdr>
            <w:top w:val="none" w:sz="0" w:space="0" w:color="auto"/>
            <w:left w:val="none" w:sz="0" w:space="0" w:color="auto"/>
            <w:bottom w:val="none" w:sz="0" w:space="0" w:color="auto"/>
            <w:right w:val="none" w:sz="0" w:space="0" w:color="auto"/>
          </w:divBdr>
          <w:divsChild>
            <w:div w:id="413547923">
              <w:marLeft w:val="0"/>
              <w:marRight w:val="0"/>
              <w:marTop w:val="0"/>
              <w:marBottom w:val="0"/>
              <w:divBdr>
                <w:top w:val="none" w:sz="0" w:space="0" w:color="auto"/>
                <w:left w:val="none" w:sz="0" w:space="0" w:color="auto"/>
                <w:bottom w:val="none" w:sz="0" w:space="0" w:color="auto"/>
                <w:right w:val="none" w:sz="0" w:space="0" w:color="auto"/>
              </w:divBdr>
            </w:div>
          </w:divsChild>
        </w:div>
        <w:div w:id="1353263569">
          <w:marLeft w:val="0"/>
          <w:marRight w:val="0"/>
          <w:marTop w:val="0"/>
          <w:marBottom w:val="0"/>
          <w:divBdr>
            <w:top w:val="none" w:sz="0" w:space="0" w:color="auto"/>
            <w:left w:val="none" w:sz="0" w:space="0" w:color="auto"/>
            <w:bottom w:val="none" w:sz="0" w:space="0" w:color="auto"/>
            <w:right w:val="none" w:sz="0" w:space="0" w:color="auto"/>
          </w:divBdr>
          <w:divsChild>
            <w:div w:id="447165783">
              <w:marLeft w:val="0"/>
              <w:marRight w:val="0"/>
              <w:marTop w:val="0"/>
              <w:marBottom w:val="0"/>
              <w:divBdr>
                <w:top w:val="none" w:sz="0" w:space="0" w:color="auto"/>
                <w:left w:val="none" w:sz="0" w:space="0" w:color="auto"/>
                <w:bottom w:val="none" w:sz="0" w:space="0" w:color="auto"/>
                <w:right w:val="none" w:sz="0" w:space="0" w:color="auto"/>
              </w:divBdr>
            </w:div>
          </w:divsChild>
        </w:div>
        <w:div w:id="1362896142">
          <w:marLeft w:val="0"/>
          <w:marRight w:val="0"/>
          <w:marTop w:val="0"/>
          <w:marBottom w:val="0"/>
          <w:divBdr>
            <w:top w:val="none" w:sz="0" w:space="0" w:color="auto"/>
            <w:left w:val="none" w:sz="0" w:space="0" w:color="auto"/>
            <w:bottom w:val="none" w:sz="0" w:space="0" w:color="auto"/>
            <w:right w:val="none" w:sz="0" w:space="0" w:color="auto"/>
          </w:divBdr>
          <w:divsChild>
            <w:div w:id="719015473">
              <w:marLeft w:val="0"/>
              <w:marRight w:val="0"/>
              <w:marTop w:val="0"/>
              <w:marBottom w:val="0"/>
              <w:divBdr>
                <w:top w:val="none" w:sz="0" w:space="0" w:color="auto"/>
                <w:left w:val="none" w:sz="0" w:space="0" w:color="auto"/>
                <w:bottom w:val="none" w:sz="0" w:space="0" w:color="auto"/>
                <w:right w:val="none" w:sz="0" w:space="0" w:color="auto"/>
              </w:divBdr>
            </w:div>
          </w:divsChild>
        </w:div>
        <w:div w:id="1445080009">
          <w:marLeft w:val="0"/>
          <w:marRight w:val="0"/>
          <w:marTop w:val="0"/>
          <w:marBottom w:val="0"/>
          <w:divBdr>
            <w:top w:val="none" w:sz="0" w:space="0" w:color="auto"/>
            <w:left w:val="none" w:sz="0" w:space="0" w:color="auto"/>
            <w:bottom w:val="none" w:sz="0" w:space="0" w:color="auto"/>
            <w:right w:val="none" w:sz="0" w:space="0" w:color="auto"/>
          </w:divBdr>
          <w:divsChild>
            <w:div w:id="1211454092">
              <w:marLeft w:val="0"/>
              <w:marRight w:val="0"/>
              <w:marTop w:val="0"/>
              <w:marBottom w:val="0"/>
              <w:divBdr>
                <w:top w:val="none" w:sz="0" w:space="0" w:color="auto"/>
                <w:left w:val="none" w:sz="0" w:space="0" w:color="auto"/>
                <w:bottom w:val="none" w:sz="0" w:space="0" w:color="auto"/>
                <w:right w:val="none" w:sz="0" w:space="0" w:color="auto"/>
              </w:divBdr>
            </w:div>
          </w:divsChild>
        </w:div>
        <w:div w:id="1540974640">
          <w:marLeft w:val="0"/>
          <w:marRight w:val="0"/>
          <w:marTop w:val="0"/>
          <w:marBottom w:val="0"/>
          <w:divBdr>
            <w:top w:val="none" w:sz="0" w:space="0" w:color="auto"/>
            <w:left w:val="none" w:sz="0" w:space="0" w:color="auto"/>
            <w:bottom w:val="none" w:sz="0" w:space="0" w:color="auto"/>
            <w:right w:val="none" w:sz="0" w:space="0" w:color="auto"/>
          </w:divBdr>
          <w:divsChild>
            <w:div w:id="1822965587">
              <w:marLeft w:val="0"/>
              <w:marRight w:val="0"/>
              <w:marTop w:val="0"/>
              <w:marBottom w:val="0"/>
              <w:divBdr>
                <w:top w:val="none" w:sz="0" w:space="0" w:color="auto"/>
                <w:left w:val="none" w:sz="0" w:space="0" w:color="auto"/>
                <w:bottom w:val="none" w:sz="0" w:space="0" w:color="auto"/>
                <w:right w:val="none" w:sz="0" w:space="0" w:color="auto"/>
              </w:divBdr>
            </w:div>
          </w:divsChild>
        </w:div>
        <w:div w:id="1591114707">
          <w:marLeft w:val="0"/>
          <w:marRight w:val="0"/>
          <w:marTop w:val="0"/>
          <w:marBottom w:val="0"/>
          <w:divBdr>
            <w:top w:val="none" w:sz="0" w:space="0" w:color="auto"/>
            <w:left w:val="none" w:sz="0" w:space="0" w:color="auto"/>
            <w:bottom w:val="none" w:sz="0" w:space="0" w:color="auto"/>
            <w:right w:val="none" w:sz="0" w:space="0" w:color="auto"/>
          </w:divBdr>
          <w:divsChild>
            <w:div w:id="898444794">
              <w:marLeft w:val="0"/>
              <w:marRight w:val="0"/>
              <w:marTop w:val="0"/>
              <w:marBottom w:val="0"/>
              <w:divBdr>
                <w:top w:val="none" w:sz="0" w:space="0" w:color="auto"/>
                <w:left w:val="none" w:sz="0" w:space="0" w:color="auto"/>
                <w:bottom w:val="none" w:sz="0" w:space="0" w:color="auto"/>
                <w:right w:val="none" w:sz="0" w:space="0" w:color="auto"/>
              </w:divBdr>
            </w:div>
          </w:divsChild>
        </w:div>
        <w:div w:id="1628900783">
          <w:marLeft w:val="0"/>
          <w:marRight w:val="0"/>
          <w:marTop w:val="0"/>
          <w:marBottom w:val="0"/>
          <w:divBdr>
            <w:top w:val="none" w:sz="0" w:space="0" w:color="auto"/>
            <w:left w:val="none" w:sz="0" w:space="0" w:color="auto"/>
            <w:bottom w:val="none" w:sz="0" w:space="0" w:color="auto"/>
            <w:right w:val="none" w:sz="0" w:space="0" w:color="auto"/>
          </w:divBdr>
          <w:divsChild>
            <w:div w:id="84115130">
              <w:marLeft w:val="0"/>
              <w:marRight w:val="0"/>
              <w:marTop w:val="0"/>
              <w:marBottom w:val="0"/>
              <w:divBdr>
                <w:top w:val="none" w:sz="0" w:space="0" w:color="auto"/>
                <w:left w:val="none" w:sz="0" w:space="0" w:color="auto"/>
                <w:bottom w:val="none" w:sz="0" w:space="0" w:color="auto"/>
                <w:right w:val="none" w:sz="0" w:space="0" w:color="auto"/>
              </w:divBdr>
            </w:div>
            <w:div w:id="1752895869">
              <w:marLeft w:val="0"/>
              <w:marRight w:val="0"/>
              <w:marTop w:val="0"/>
              <w:marBottom w:val="0"/>
              <w:divBdr>
                <w:top w:val="none" w:sz="0" w:space="0" w:color="auto"/>
                <w:left w:val="none" w:sz="0" w:space="0" w:color="auto"/>
                <w:bottom w:val="none" w:sz="0" w:space="0" w:color="auto"/>
                <w:right w:val="none" w:sz="0" w:space="0" w:color="auto"/>
              </w:divBdr>
            </w:div>
          </w:divsChild>
        </w:div>
        <w:div w:id="1633289080">
          <w:marLeft w:val="0"/>
          <w:marRight w:val="0"/>
          <w:marTop w:val="0"/>
          <w:marBottom w:val="0"/>
          <w:divBdr>
            <w:top w:val="none" w:sz="0" w:space="0" w:color="auto"/>
            <w:left w:val="none" w:sz="0" w:space="0" w:color="auto"/>
            <w:bottom w:val="none" w:sz="0" w:space="0" w:color="auto"/>
            <w:right w:val="none" w:sz="0" w:space="0" w:color="auto"/>
          </w:divBdr>
          <w:divsChild>
            <w:div w:id="1839884077">
              <w:marLeft w:val="0"/>
              <w:marRight w:val="0"/>
              <w:marTop w:val="0"/>
              <w:marBottom w:val="0"/>
              <w:divBdr>
                <w:top w:val="none" w:sz="0" w:space="0" w:color="auto"/>
                <w:left w:val="none" w:sz="0" w:space="0" w:color="auto"/>
                <w:bottom w:val="none" w:sz="0" w:space="0" w:color="auto"/>
                <w:right w:val="none" w:sz="0" w:space="0" w:color="auto"/>
              </w:divBdr>
            </w:div>
          </w:divsChild>
        </w:div>
        <w:div w:id="1634091625">
          <w:marLeft w:val="0"/>
          <w:marRight w:val="0"/>
          <w:marTop w:val="0"/>
          <w:marBottom w:val="0"/>
          <w:divBdr>
            <w:top w:val="none" w:sz="0" w:space="0" w:color="auto"/>
            <w:left w:val="none" w:sz="0" w:space="0" w:color="auto"/>
            <w:bottom w:val="none" w:sz="0" w:space="0" w:color="auto"/>
            <w:right w:val="none" w:sz="0" w:space="0" w:color="auto"/>
          </w:divBdr>
          <w:divsChild>
            <w:div w:id="721252516">
              <w:marLeft w:val="0"/>
              <w:marRight w:val="0"/>
              <w:marTop w:val="0"/>
              <w:marBottom w:val="0"/>
              <w:divBdr>
                <w:top w:val="none" w:sz="0" w:space="0" w:color="auto"/>
                <w:left w:val="none" w:sz="0" w:space="0" w:color="auto"/>
                <w:bottom w:val="none" w:sz="0" w:space="0" w:color="auto"/>
                <w:right w:val="none" w:sz="0" w:space="0" w:color="auto"/>
              </w:divBdr>
            </w:div>
          </w:divsChild>
        </w:div>
        <w:div w:id="1646935739">
          <w:marLeft w:val="0"/>
          <w:marRight w:val="0"/>
          <w:marTop w:val="0"/>
          <w:marBottom w:val="0"/>
          <w:divBdr>
            <w:top w:val="none" w:sz="0" w:space="0" w:color="auto"/>
            <w:left w:val="none" w:sz="0" w:space="0" w:color="auto"/>
            <w:bottom w:val="none" w:sz="0" w:space="0" w:color="auto"/>
            <w:right w:val="none" w:sz="0" w:space="0" w:color="auto"/>
          </w:divBdr>
          <w:divsChild>
            <w:div w:id="2095736221">
              <w:marLeft w:val="0"/>
              <w:marRight w:val="0"/>
              <w:marTop w:val="0"/>
              <w:marBottom w:val="0"/>
              <w:divBdr>
                <w:top w:val="none" w:sz="0" w:space="0" w:color="auto"/>
                <w:left w:val="none" w:sz="0" w:space="0" w:color="auto"/>
                <w:bottom w:val="none" w:sz="0" w:space="0" w:color="auto"/>
                <w:right w:val="none" w:sz="0" w:space="0" w:color="auto"/>
              </w:divBdr>
            </w:div>
          </w:divsChild>
        </w:div>
        <w:div w:id="1686203450">
          <w:marLeft w:val="0"/>
          <w:marRight w:val="0"/>
          <w:marTop w:val="0"/>
          <w:marBottom w:val="0"/>
          <w:divBdr>
            <w:top w:val="none" w:sz="0" w:space="0" w:color="auto"/>
            <w:left w:val="none" w:sz="0" w:space="0" w:color="auto"/>
            <w:bottom w:val="none" w:sz="0" w:space="0" w:color="auto"/>
            <w:right w:val="none" w:sz="0" w:space="0" w:color="auto"/>
          </w:divBdr>
          <w:divsChild>
            <w:div w:id="1089694853">
              <w:marLeft w:val="0"/>
              <w:marRight w:val="0"/>
              <w:marTop w:val="0"/>
              <w:marBottom w:val="0"/>
              <w:divBdr>
                <w:top w:val="none" w:sz="0" w:space="0" w:color="auto"/>
                <w:left w:val="none" w:sz="0" w:space="0" w:color="auto"/>
                <w:bottom w:val="none" w:sz="0" w:space="0" w:color="auto"/>
                <w:right w:val="none" w:sz="0" w:space="0" w:color="auto"/>
              </w:divBdr>
            </w:div>
          </w:divsChild>
        </w:div>
        <w:div w:id="1714382204">
          <w:marLeft w:val="0"/>
          <w:marRight w:val="0"/>
          <w:marTop w:val="0"/>
          <w:marBottom w:val="0"/>
          <w:divBdr>
            <w:top w:val="none" w:sz="0" w:space="0" w:color="auto"/>
            <w:left w:val="none" w:sz="0" w:space="0" w:color="auto"/>
            <w:bottom w:val="none" w:sz="0" w:space="0" w:color="auto"/>
            <w:right w:val="none" w:sz="0" w:space="0" w:color="auto"/>
          </w:divBdr>
          <w:divsChild>
            <w:div w:id="354117658">
              <w:marLeft w:val="0"/>
              <w:marRight w:val="0"/>
              <w:marTop w:val="0"/>
              <w:marBottom w:val="0"/>
              <w:divBdr>
                <w:top w:val="none" w:sz="0" w:space="0" w:color="auto"/>
                <w:left w:val="none" w:sz="0" w:space="0" w:color="auto"/>
                <w:bottom w:val="none" w:sz="0" w:space="0" w:color="auto"/>
                <w:right w:val="none" w:sz="0" w:space="0" w:color="auto"/>
              </w:divBdr>
            </w:div>
          </w:divsChild>
        </w:div>
        <w:div w:id="1722483953">
          <w:marLeft w:val="0"/>
          <w:marRight w:val="0"/>
          <w:marTop w:val="0"/>
          <w:marBottom w:val="0"/>
          <w:divBdr>
            <w:top w:val="none" w:sz="0" w:space="0" w:color="auto"/>
            <w:left w:val="none" w:sz="0" w:space="0" w:color="auto"/>
            <w:bottom w:val="none" w:sz="0" w:space="0" w:color="auto"/>
            <w:right w:val="none" w:sz="0" w:space="0" w:color="auto"/>
          </w:divBdr>
          <w:divsChild>
            <w:div w:id="866867129">
              <w:marLeft w:val="0"/>
              <w:marRight w:val="0"/>
              <w:marTop w:val="0"/>
              <w:marBottom w:val="0"/>
              <w:divBdr>
                <w:top w:val="none" w:sz="0" w:space="0" w:color="auto"/>
                <w:left w:val="none" w:sz="0" w:space="0" w:color="auto"/>
                <w:bottom w:val="none" w:sz="0" w:space="0" w:color="auto"/>
                <w:right w:val="none" w:sz="0" w:space="0" w:color="auto"/>
              </w:divBdr>
            </w:div>
          </w:divsChild>
        </w:div>
        <w:div w:id="1740131050">
          <w:marLeft w:val="0"/>
          <w:marRight w:val="0"/>
          <w:marTop w:val="0"/>
          <w:marBottom w:val="0"/>
          <w:divBdr>
            <w:top w:val="none" w:sz="0" w:space="0" w:color="auto"/>
            <w:left w:val="none" w:sz="0" w:space="0" w:color="auto"/>
            <w:bottom w:val="none" w:sz="0" w:space="0" w:color="auto"/>
            <w:right w:val="none" w:sz="0" w:space="0" w:color="auto"/>
          </w:divBdr>
          <w:divsChild>
            <w:div w:id="706417958">
              <w:marLeft w:val="0"/>
              <w:marRight w:val="0"/>
              <w:marTop w:val="0"/>
              <w:marBottom w:val="0"/>
              <w:divBdr>
                <w:top w:val="none" w:sz="0" w:space="0" w:color="auto"/>
                <w:left w:val="none" w:sz="0" w:space="0" w:color="auto"/>
                <w:bottom w:val="none" w:sz="0" w:space="0" w:color="auto"/>
                <w:right w:val="none" w:sz="0" w:space="0" w:color="auto"/>
              </w:divBdr>
            </w:div>
          </w:divsChild>
        </w:div>
        <w:div w:id="1741246363">
          <w:marLeft w:val="0"/>
          <w:marRight w:val="0"/>
          <w:marTop w:val="0"/>
          <w:marBottom w:val="0"/>
          <w:divBdr>
            <w:top w:val="none" w:sz="0" w:space="0" w:color="auto"/>
            <w:left w:val="none" w:sz="0" w:space="0" w:color="auto"/>
            <w:bottom w:val="none" w:sz="0" w:space="0" w:color="auto"/>
            <w:right w:val="none" w:sz="0" w:space="0" w:color="auto"/>
          </w:divBdr>
          <w:divsChild>
            <w:div w:id="203717944">
              <w:marLeft w:val="0"/>
              <w:marRight w:val="0"/>
              <w:marTop w:val="0"/>
              <w:marBottom w:val="0"/>
              <w:divBdr>
                <w:top w:val="none" w:sz="0" w:space="0" w:color="auto"/>
                <w:left w:val="none" w:sz="0" w:space="0" w:color="auto"/>
                <w:bottom w:val="none" w:sz="0" w:space="0" w:color="auto"/>
                <w:right w:val="none" w:sz="0" w:space="0" w:color="auto"/>
              </w:divBdr>
            </w:div>
          </w:divsChild>
        </w:div>
        <w:div w:id="1748265874">
          <w:marLeft w:val="0"/>
          <w:marRight w:val="0"/>
          <w:marTop w:val="0"/>
          <w:marBottom w:val="0"/>
          <w:divBdr>
            <w:top w:val="none" w:sz="0" w:space="0" w:color="auto"/>
            <w:left w:val="none" w:sz="0" w:space="0" w:color="auto"/>
            <w:bottom w:val="none" w:sz="0" w:space="0" w:color="auto"/>
            <w:right w:val="none" w:sz="0" w:space="0" w:color="auto"/>
          </w:divBdr>
          <w:divsChild>
            <w:div w:id="1601448515">
              <w:marLeft w:val="0"/>
              <w:marRight w:val="0"/>
              <w:marTop w:val="0"/>
              <w:marBottom w:val="0"/>
              <w:divBdr>
                <w:top w:val="none" w:sz="0" w:space="0" w:color="auto"/>
                <w:left w:val="none" w:sz="0" w:space="0" w:color="auto"/>
                <w:bottom w:val="none" w:sz="0" w:space="0" w:color="auto"/>
                <w:right w:val="none" w:sz="0" w:space="0" w:color="auto"/>
              </w:divBdr>
            </w:div>
          </w:divsChild>
        </w:div>
        <w:div w:id="1768430332">
          <w:marLeft w:val="0"/>
          <w:marRight w:val="0"/>
          <w:marTop w:val="0"/>
          <w:marBottom w:val="0"/>
          <w:divBdr>
            <w:top w:val="none" w:sz="0" w:space="0" w:color="auto"/>
            <w:left w:val="none" w:sz="0" w:space="0" w:color="auto"/>
            <w:bottom w:val="none" w:sz="0" w:space="0" w:color="auto"/>
            <w:right w:val="none" w:sz="0" w:space="0" w:color="auto"/>
          </w:divBdr>
          <w:divsChild>
            <w:div w:id="1609654755">
              <w:marLeft w:val="0"/>
              <w:marRight w:val="0"/>
              <w:marTop w:val="0"/>
              <w:marBottom w:val="0"/>
              <w:divBdr>
                <w:top w:val="none" w:sz="0" w:space="0" w:color="auto"/>
                <w:left w:val="none" w:sz="0" w:space="0" w:color="auto"/>
                <w:bottom w:val="none" w:sz="0" w:space="0" w:color="auto"/>
                <w:right w:val="none" w:sz="0" w:space="0" w:color="auto"/>
              </w:divBdr>
            </w:div>
          </w:divsChild>
        </w:div>
        <w:div w:id="1779715838">
          <w:marLeft w:val="0"/>
          <w:marRight w:val="0"/>
          <w:marTop w:val="0"/>
          <w:marBottom w:val="0"/>
          <w:divBdr>
            <w:top w:val="none" w:sz="0" w:space="0" w:color="auto"/>
            <w:left w:val="none" w:sz="0" w:space="0" w:color="auto"/>
            <w:bottom w:val="none" w:sz="0" w:space="0" w:color="auto"/>
            <w:right w:val="none" w:sz="0" w:space="0" w:color="auto"/>
          </w:divBdr>
          <w:divsChild>
            <w:div w:id="403570804">
              <w:marLeft w:val="0"/>
              <w:marRight w:val="0"/>
              <w:marTop w:val="0"/>
              <w:marBottom w:val="0"/>
              <w:divBdr>
                <w:top w:val="none" w:sz="0" w:space="0" w:color="auto"/>
                <w:left w:val="none" w:sz="0" w:space="0" w:color="auto"/>
                <w:bottom w:val="none" w:sz="0" w:space="0" w:color="auto"/>
                <w:right w:val="none" w:sz="0" w:space="0" w:color="auto"/>
              </w:divBdr>
            </w:div>
          </w:divsChild>
        </w:div>
        <w:div w:id="1810828802">
          <w:marLeft w:val="0"/>
          <w:marRight w:val="0"/>
          <w:marTop w:val="0"/>
          <w:marBottom w:val="0"/>
          <w:divBdr>
            <w:top w:val="none" w:sz="0" w:space="0" w:color="auto"/>
            <w:left w:val="none" w:sz="0" w:space="0" w:color="auto"/>
            <w:bottom w:val="none" w:sz="0" w:space="0" w:color="auto"/>
            <w:right w:val="none" w:sz="0" w:space="0" w:color="auto"/>
          </w:divBdr>
          <w:divsChild>
            <w:div w:id="60298731">
              <w:marLeft w:val="0"/>
              <w:marRight w:val="0"/>
              <w:marTop w:val="0"/>
              <w:marBottom w:val="0"/>
              <w:divBdr>
                <w:top w:val="none" w:sz="0" w:space="0" w:color="auto"/>
                <w:left w:val="none" w:sz="0" w:space="0" w:color="auto"/>
                <w:bottom w:val="none" w:sz="0" w:space="0" w:color="auto"/>
                <w:right w:val="none" w:sz="0" w:space="0" w:color="auto"/>
              </w:divBdr>
            </w:div>
          </w:divsChild>
        </w:div>
        <w:div w:id="1945576794">
          <w:marLeft w:val="0"/>
          <w:marRight w:val="0"/>
          <w:marTop w:val="0"/>
          <w:marBottom w:val="0"/>
          <w:divBdr>
            <w:top w:val="none" w:sz="0" w:space="0" w:color="auto"/>
            <w:left w:val="none" w:sz="0" w:space="0" w:color="auto"/>
            <w:bottom w:val="none" w:sz="0" w:space="0" w:color="auto"/>
            <w:right w:val="none" w:sz="0" w:space="0" w:color="auto"/>
          </w:divBdr>
          <w:divsChild>
            <w:div w:id="24141827">
              <w:marLeft w:val="0"/>
              <w:marRight w:val="0"/>
              <w:marTop w:val="0"/>
              <w:marBottom w:val="0"/>
              <w:divBdr>
                <w:top w:val="none" w:sz="0" w:space="0" w:color="auto"/>
                <w:left w:val="none" w:sz="0" w:space="0" w:color="auto"/>
                <w:bottom w:val="none" w:sz="0" w:space="0" w:color="auto"/>
                <w:right w:val="none" w:sz="0" w:space="0" w:color="auto"/>
              </w:divBdr>
            </w:div>
          </w:divsChild>
        </w:div>
        <w:div w:id="1970668118">
          <w:marLeft w:val="0"/>
          <w:marRight w:val="0"/>
          <w:marTop w:val="0"/>
          <w:marBottom w:val="0"/>
          <w:divBdr>
            <w:top w:val="none" w:sz="0" w:space="0" w:color="auto"/>
            <w:left w:val="none" w:sz="0" w:space="0" w:color="auto"/>
            <w:bottom w:val="none" w:sz="0" w:space="0" w:color="auto"/>
            <w:right w:val="none" w:sz="0" w:space="0" w:color="auto"/>
          </w:divBdr>
          <w:divsChild>
            <w:div w:id="1506282306">
              <w:marLeft w:val="0"/>
              <w:marRight w:val="0"/>
              <w:marTop w:val="0"/>
              <w:marBottom w:val="0"/>
              <w:divBdr>
                <w:top w:val="none" w:sz="0" w:space="0" w:color="auto"/>
                <w:left w:val="none" w:sz="0" w:space="0" w:color="auto"/>
                <w:bottom w:val="none" w:sz="0" w:space="0" w:color="auto"/>
                <w:right w:val="none" w:sz="0" w:space="0" w:color="auto"/>
              </w:divBdr>
            </w:div>
          </w:divsChild>
        </w:div>
        <w:div w:id="1971325612">
          <w:marLeft w:val="0"/>
          <w:marRight w:val="0"/>
          <w:marTop w:val="0"/>
          <w:marBottom w:val="0"/>
          <w:divBdr>
            <w:top w:val="none" w:sz="0" w:space="0" w:color="auto"/>
            <w:left w:val="none" w:sz="0" w:space="0" w:color="auto"/>
            <w:bottom w:val="none" w:sz="0" w:space="0" w:color="auto"/>
            <w:right w:val="none" w:sz="0" w:space="0" w:color="auto"/>
          </w:divBdr>
          <w:divsChild>
            <w:div w:id="1355419725">
              <w:marLeft w:val="0"/>
              <w:marRight w:val="0"/>
              <w:marTop w:val="0"/>
              <w:marBottom w:val="0"/>
              <w:divBdr>
                <w:top w:val="none" w:sz="0" w:space="0" w:color="auto"/>
                <w:left w:val="none" w:sz="0" w:space="0" w:color="auto"/>
                <w:bottom w:val="none" w:sz="0" w:space="0" w:color="auto"/>
                <w:right w:val="none" w:sz="0" w:space="0" w:color="auto"/>
              </w:divBdr>
            </w:div>
            <w:div w:id="1595701252">
              <w:marLeft w:val="0"/>
              <w:marRight w:val="0"/>
              <w:marTop w:val="0"/>
              <w:marBottom w:val="0"/>
              <w:divBdr>
                <w:top w:val="none" w:sz="0" w:space="0" w:color="auto"/>
                <w:left w:val="none" w:sz="0" w:space="0" w:color="auto"/>
                <w:bottom w:val="none" w:sz="0" w:space="0" w:color="auto"/>
                <w:right w:val="none" w:sz="0" w:space="0" w:color="auto"/>
              </w:divBdr>
            </w:div>
          </w:divsChild>
        </w:div>
        <w:div w:id="1981418370">
          <w:marLeft w:val="0"/>
          <w:marRight w:val="0"/>
          <w:marTop w:val="0"/>
          <w:marBottom w:val="0"/>
          <w:divBdr>
            <w:top w:val="none" w:sz="0" w:space="0" w:color="auto"/>
            <w:left w:val="none" w:sz="0" w:space="0" w:color="auto"/>
            <w:bottom w:val="none" w:sz="0" w:space="0" w:color="auto"/>
            <w:right w:val="none" w:sz="0" w:space="0" w:color="auto"/>
          </w:divBdr>
          <w:divsChild>
            <w:div w:id="1724402643">
              <w:marLeft w:val="0"/>
              <w:marRight w:val="0"/>
              <w:marTop w:val="0"/>
              <w:marBottom w:val="0"/>
              <w:divBdr>
                <w:top w:val="none" w:sz="0" w:space="0" w:color="auto"/>
                <w:left w:val="none" w:sz="0" w:space="0" w:color="auto"/>
                <w:bottom w:val="none" w:sz="0" w:space="0" w:color="auto"/>
                <w:right w:val="none" w:sz="0" w:space="0" w:color="auto"/>
              </w:divBdr>
            </w:div>
          </w:divsChild>
        </w:div>
        <w:div w:id="1984458048">
          <w:marLeft w:val="0"/>
          <w:marRight w:val="0"/>
          <w:marTop w:val="0"/>
          <w:marBottom w:val="0"/>
          <w:divBdr>
            <w:top w:val="none" w:sz="0" w:space="0" w:color="auto"/>
            <w:left w:val="none" w:sz="0" w:space="0" w:color="auto"/>
            <w:bottom w:val="none" w:sz="0" w:space="0" w:color="auto"/>
            <w:right w:val="none" w:sz="0" w:space="0" w:color="auto"/>
          </w:divBdr>
          <w:divsChild>
            <w:div w:id="1977834992">
              <w:marLeft w:val="0"/>
              <w:marRight w:val="0"/>
              <w:marTop w:val="0"/>
              <w:marBottom w:val="0"/>
              <w:divBdr>
                <w:top w:val="none" w:sz="0" w:space="0" w:color="auto"/>
                <w:left w:val="none" w:sz="0" w:space="0" w:color="auto"/>
                <w:bottom w:val="none" w:sz="0" w:space="0" w:color="auto"/>
                <w:right w:val="none" w:sz="0" w:space="0" w:color="auto"/>
              </w:divBdr>
            </w:div>
          </w:divsChild>
        </w:div>
        <w:div w:id="2058890825">
          <w:marLeft w:val="0"/>
          <w:marRight w:val="0"/>
          <w:marTop w:val="0"/>
          <w:marBottom w:val="0"/>
          <w:divBdr>
            <w:top w:val="none" w:sz="0" w:space="0" w:color="auto"/>
            <w:left w:val="none" w:sz="0" w:space="0" w:color="auto"/>
            <w:bottom w:val="none" w:sz="0" w:space="0" w:color="auto"/>
            <w:right w:val="none" w:sz="0" w:space="0" w:color="auto"/>
          </w:divBdr>
          <w:divsChild>
            <w:div w:id="1036276061">
              <w:marLeft w:val="0"/>
              <w:marRight w:val="0"/>
              <w:marTop w:val="0"/>
              <w:marBottom w:val="0"/>
              <w:divBdr>
                <w:top w:val="none" w:sz="0" w:space="0" w:color="auto"/>
                <w:left w:val="none" w:sz="0" w:space="0" w:color="auto"/>
                <w:bottom w:val="none" w:sz="0" w:space="0" w:color="auto"/>
                <w:right w:val="none" w:sz="0" w:space="0" w:color="auto"/>
              </w:divBdr>
            </w:div>
          </w:divsChild>
        </w:div>
        <w:div w:id="2080862905">
          <w:marLeft w:val="0"/>
          <w:marRight w:val="0"/>
          <w:marTop w:val="0"/>
          <w:marBottom w:val="0"/>
          <w:divBdr>
            <w:top w:val="none" w:sz="0" w:space="0" w:color="auto"/>
            <w:left w:val="none" w:sz="0" w:space="0" w:color="auto"/>
            <w:bottom w:val="none" w:sz="0" w:space="0" w:color="auto"/>
            <w:right w:val="none" w:sz="0" w:space="0" w:color="auto"/>
          </w:divBdr>
          <w:divsChild>
            <w:div w:id="811143566">
              <w:marLeft w:val="0"/>
              <w:marRight w:val="0"/>
              <w:marTop w:val="0"/>
              <w:marBottom w:val="0"/>
              <w:divBdr>
                <w:top w:val="none" w:sz="0" w:space="0" w:color="auto"/>
                <w:left w:val="none" w:sz="0" w:space="0" w:color="auto"/>
                <w:bottom w:val="none" w:sz="0" w:space="0" w:color="auto"/>
                <w:right w:val="none" w:sz="0" w:space="0" w:color="auto"/>
              </w:divBdr>
            </w:div>
          </w:divsChild>
        </w:div>
        <w:div w:id="2102139701">
          <w:marLeft w:val="0"/>
          <w:marRight w:val="0"/>
          <w:marTop w:val="0"/>
          <w:marBottom w:val="0"/>
          <w:divBdr>
            <w:top w:val="none" w:sz="0" w:space="0" w:color="auto"/>
            <w:left w:val="none" w:sz="0" w:space="0" w:color="auto"/>
            <w:bottom w:val="none" w:sz="0" w:space="0" w:color="auto"/>
            <w:right w:val="none" w:sz="0" w:space="0" w:color="auto"/>
          </w:divBdr>
          <w:divsChild>
            <w:div w:id="1384792919">
              <w:marLeft w:val="0"/>
              <w:marRight w:val="0"/>
              <w:marTop w:val="0"/>
              <w:marBottom w:val="0"/>
              <w:divBdr>
                <w:top w:val="none" w:sz="0" w:space="0" w:color="auto"/>
                <w:left w:val="none" w:sz="0" w:space="0" w:color="auto"/>
                <w:bottom w:val="none" w:sz="0" w:space="0" w:color="auto"/>
                <w:right w:val="none" w:sz="0" w:space="0" w:color="auto"/>
              </w:divBdr>
            </w:div>
          </w:divsChild>
        </w:div>
        <w:div w:id="2113086876">
          <w:marLeft w:val="0"/>
          <w:marRight w:val="0"/>
          <w:marTop w:val="0"/>
          <w:marBottom w:val="0"/>
          <w:divBdr>
            <w:top w:val="none" w:sz="0" w:space="0" w:color="auto"/>
            <w:left w:val="none" w:sz="0" w:space="0" w:color="auto"/>
            <w:bottom w:val="none" w:sz="0" w:space="0" w:color="auto"/>
            <w:right w:val="none" w:sz="0" w:space="0" w:color="auto"/>
          </w:divBdr>
          <w:divsChild>
            <w:div w:id="307127316">
              <w:marLeft w:val="0"/>
              <w:marRight w:val="0"/>
              <w:marTop w:val="0"/>
              <w:marBottom w:val="0"/>
              <w:divBdr>
                <w:top w:val="none" w:sz="0" w:space="0" w:color="auto"/>
                <w:left w:val="none" w:sz="0" w:space="0" w:color="auto"/>
                <w:bottom w:val="none" w:sz="0" w:space="0" w:color="auto"/>
                <w:right w:val="none" w:sz="0" w:space="0" w:color="auto"/>
              </w:divBdr>
            </w:div>
          </w:divsChild>
        </w:div>
        <w:div w:id="2114857471">
          <w:marLeft w:val="0"/>
          <w:marRight w:val="0"/>
          <w:marTop w:val="0"/>
          <w:marBottom w:val="0"/>
          <w:divBdr>
            <w:top w:val="none" w:sz="0" w:space="0" w:color="auto"/>
            <w:left w:val="none" w:sz="0" w:space="0" w:color="auto"/>
            <w:bottom w:val="none" w:sz="0" w:space="0" w:color="auto"/>
            <w:right w:val="none" w:sz="0" w:space="0" w:color="auto"/>
          </w:divBdr>
          <w:divsChild>
            <w:div w:id="432896605">
              <w:marLeft w:val="0"/>
              <w:marRight w:val="0"/>
              <w:marTop w:val="0"/>
              <w:marBottom w:val="0"/>
              <w:divBdr>
                <w:top w:val="none" w:sz="0" w:space="0" w:color="auto"/>
                <w:left w:val="none" w:sz="0" w:space="0" w:color="auto"/>
                <w:bottom w:val="none" w:sz="0" w:space="0" w:color="auto"/>
                <w:right w:val="none" w:sz="0" w:space="0" w:color="auto"/>
              </w:divBdr>
            </w:div>
          </w:divsChild>
        </w:div>
        <w:div w:id="2123915949">
          <w:marLeft w:val="0"/>
          <w:marRight w:val="0"/>
          <w:marTop w:val="0"/>
          <w:marBottom w:val="0"/>
          <w:divBdr>
            <w:top w:val="none" w:sz="0" w:space="0" w:color="auto"/>
            <w:left w:val="none" w:sz="0" w:space="0" w:color="auto"/>
            <w:bottom w:val="none" w:sz="0" w:space="0" w:color="auto"/>
            <w:right w:val="none" w:sz="0" w:space="0" w:color="auto"/>
          </w:divBdr>
          <w:divsChild>
            <w:div w:id="1109812551">
              <w:marLeft w:val="0"/>
              <w:marRight w:val="0"/>
              <w:marTop w:val="0"/>
              <w:marBottom w:val="0"/>
              <w:divBdr>
                <w:top w:val="none" w:sz="0" w:space="0" w:color="auto"/>
                <w:left w:val="none" w:sz="0" w:space="0" w:color="auto"/>
                <w:bottom w:val="none" w:sz="0" w:space="0" w:color="auto"/>
                <w:right w:val="none" w:sz="0" w:space="0" w:color="auto"/>
              </w:divBdr>
            </w:div>
          </w:divsChild>
        </w:div>
        <w:div w:id="2130082891">
          <w:marLeft w:val="0"/>
          <w:marRight w:val="0"/>
          <w:marTop w:val="0"/>
          <w:marBottom w:val="0"/>
          <w:divBdr>
            <w:top w:val="none" w:sz="0" w:space="0" w:color="auto"/>
            <w:left w:val="none" w:sz="0" w:space="0" w:color="auto"/>
            <w:bottom w:val="none" w:sz="0" w:space="0" w:color="auto"/>
            <w:right w:val="none" w:sz="0" w:space="0" w:color="auto"/>
          </w:divBdr>
          <w:divsChild>
            <w:div w:id="7907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697">
      <w:bodyDiv w:val="1"/>
      <w:marLeft w:val="0"/>
      <w:marRight w:val="0"/>
      <w:marTop w:val="0"/>
      <w:marBottom w:val="0"/>
      <w:divBdr>
        <w:top w:val="none" w:sz="0" w:space="0" w:color="auto"/>
        <w:left w:val="none" w:sz="0" w:space="0" w:color="auto"/>
        <w:bottom w:val="none" w:sz="0" w:space="0" w:color="auto"/>
        <w:right w:val="none" w:sz="0" w:space="0" w:color="auto"/>
      </w:divBdr>
    </w:div>
    <w:div w:id="1521699397">
      <w:bodyDiv w:val="1"/>
      <w:marLeft w:val="0"/>
      <w:marRight w:val="0"/>
      <w:marTop w:val="0"/>
      <w:marBottom w:val="0"/>
      <w:divBdr>
        <w:top w:val="none" w:sz="0" w:space="0" w:color="auto"/>
        <w:left w:val="none" w:sz="0" w:space="0" w:color="auto"/>
        <w:bottom w:val="none" w:sz="0" w:space="0" w:color="auto"/>
        <w:right w:val="none" w:sz="0" w:space="0" w:color="auto"/>
      </w:divBdr>
      <w:divsChild>
        <w:div w:id="72089908">
          <w:marLeft w:val="0"/>
          <w:marRight w:val="0"/>
          <w:marTop w:val="0"/>
          <w:marBottom w:val="0"/>
          <w:divBdr>
            <w:top w:val="none" w:sz="0" w:space="0" w:color="auto"/>
            <w:left w:val="none" w:sz="0" w:space="0" w:color="auto"/>
            <w:bottom w:val="none" w:sz="0" w:space="0" w:color="auto"/>
            <w:right w:val="none" w:sz="0" w:space="0" w:color="auto"/>
          </w:divBdr>
          <w:divsChild>
            <w:div w:id="279534742">
              <w:marLeft w:val="0"/>
              <w:marRight w:val="0"/>
              <w:marTop w:val="0"/>
              <w:marBottom w:val="0"/>
              <w:divBdr>
                <w:top w:val="none" w:sz="0" w:space="0" w:color="auto"/>
                <w:left w:val="none" w:sz="0" w:space="0" w:color="auto"/>
                <w:bottom w:val="none" w:sz="0" w:space="0" w:color="auto"/>
                <w:right w:val="none" w:sz="0" w:space="0" w:color="auto"/>
              </w:divBdr>
            </w:div>
          </w:divsChild>
        </w:div>
        <w:div w:id="73866833">
          <w:marLeft w:val="0"/>
          <w:marRight w:val="0"/>
          <w:marTop w:val="0"/>
          <w:marBottom w:val="0"/>
          <w:divBdr>
            <w:top w:val="none" w:sz="0" w:space="0" w:color="auto"/>
            <w:left w:val="none" w:sz="0" w:space="0" w:color="auto"/>
            <w:bottom w:val="none" w:sz="0" w:space="0" w:color="auto"/>
            <w:right w:val="none" w:sz="0" w:space="0" w:color="auto"/>
          </w:divBdr>
          <w:divsChild>
            <w:div w:id="1497646545">
              <w:marLeft w:val="0"/>
              <w:marRight w:val="0"/>
              <w:marTop w:val="0"/>
              <w:marBottom w:val="0"/>
              <w:divBdr>
                <w:top w:val="none" w:sz="0" w:space="0" w:color="auto"/>
                <w:left w:val="none" w:sz="0" w:space="0" w:color="auto"/>
                <w:bottom w:val="none" w:sz="0" w:space="0" w:color="auto"/>
                <w:right w:val="none" w:sz="0" w:space="0" w:color="auto"/>
              </w:divBdr>
            </w:div>
          </w:divsChild>
        </w:div>
        <w:div w:id="236944524">
          <w:marLeft w:val="0"/>
          <w:marRight w:val="0"/>
          <w:marTop w:val="0"/>
          <w:marBottom w:val="0"/>
          <w:divBdr>
            <w:top w:val="none" w:sz="0" w:space="0" w:color="auto"/>
            <w:left w:val="none" w:sz="0" w:space="0" w:color="auto"/>
            <w:bottom w:val="none" w:sz="0" w:space="0" w:color="auto"/>
            <w:right w:val="none" w:sz="0" w:space="0" w:color="auto"/>
          </w:divBdr>
          <w:divsChild>
            <w:div w:id="604732238">
              <w:marLeft w:val="0"/>
              <w:marRight w:val="0"/>
              <w:marTop w:val="0"/>
              <w:marBottom w:val="0"/>
              <w:divBdr>
                <w:top w:val="none" w:sz="0" w:space="0" w:color="auto"/>
                <w:left w:val="none" w:sz="0" w:space="0" w:color="auto"/>
                <w:bottom w:val="none" w:sz="0" w:space="0" w:color="auto"/>
                <w:right w:val="none" w:sz="0" w:space="0" w:color="auto"/>
              </w:divBdr>
            </w:div>
          </w:divsChild>
        </w:div>
        <w:div w:id="291638700">
          <w:marLeft w:val="0"/>
          <w:marRight w:val="0"/>
          <w:marTop w:val="0"/>
          <w:marBottom w:val="0"/>
          <w:divBdr>
            <w:top w:val="none" w:sz="0" w:space="0" w:color="auto"/>
            <w:left w:val="none" w:sz="0" w:space="0" w:color="auto"/>
            <w:bottom w:val="none" w:sz="0" w:space="0" w:color="auto"/>
            <w:right w:val="none" w:sz="0" w:space="0" w:color="auto"/>
          </w:divBdr>
          <w:divsChild>
            <w:div w:id="256258776">
              <w:marLeft w:val="0"/>
              <w:marRight w:val="0"/>
              <w:marTop w:val="0"/>
              <w:marBottom w:val="0"/>
              <w:divBdr>
                <w:top w:val="none" w:sz="0" w:space="0" w:color="auto"/>
                <w:left w:val="none" w:sz="0" w:space="0" w:color="auto"/>
                <w:bottom w:val="none" w:sz="0" w:space="0" w:color="auto"/>
                <w:right w:val="none" w:sz="0" w:space="0" w:color="auto"/>
              </w:divBdr>
            </w:div>
          </w:divsChild>
        </w:div>
        <w:div w:id="457530752">
          <w:marLeft w:val="0"/>
          <w:marRight w:val="0"/>
          <w:marTop w:val="0"/>
          <w:marBottom w:val="0"/>
          <w:divBdr>
            <w:top w:val="none" w:sz="0" w:space="0" w:color="auto"/>
            <w:left w:val="none" w:sz="0" w:space="0" w:color="auto"/>
            <w:bottom w:val="none" w:sz="0" w:space="0" w:color="auto"/>
            <w:right w:val="none" w:sz="0" w:space="0" w:color="auto"/>
          </w:divBdr>
          <w:divsChild>
            <w:div w:id="111018525">
              <w:marLeft w:val="0"/>
              <w:marRight w:val="0"/>
              <w:marTop w:val="0"/>
              <w:marBottom w:val="0"/>
              <w:divBdr>
                <w:top w:val="none" w:sz="0" w:space="0" w:color="auto"/>
                <w:left w:val="none" w:sz="0" w:space="0" w:color="auto"/>
                <w:bottom w:val="none" w:sz="0" w:space="0" w:color="auto"/>
                <w:right w:val="none" w:sz="0" w:space="0" w:color="auto"/>
              </w:divBdr>
            </w:div>
          </w:divsChild>
        </w:div>
        <w:div w:id="546527762">
          <w:marLeft w:val="0"/>
          <w:marRight w:val="0"/>
          <w:marTop w:val="0"/>
          <w:marBottom w:val="0"/>
          <w:divBdr>
            <w:top w:val="none" w:sz="0" w:space="0" w:color="auto"/>
            <w:left w:val="none" w:sz="0" w:space="0" w:color="auto"/>
            <w:bottom w:val="none" w:sz="0" w:space="0" w:color="auto"/>
            <w:right w:val="none" w:sz="0" w:space="0" w:color="auto"/>
          </w:divBdr>
          <w:divsChild>
            <w:div w:id="1613316845">
              <w:marLeft w:val="0"/>
              <w:marRight w:val="0"/>
              <w:marTop w:val="0"/>
              <w:marBottom w:val="0"/>
              <w:divBdr>
                <w:top w:val="none" w:sz="0" w:space="0" w:color="auto"/>
                <w:left w:val="none" w:sz="0" w:space="0" w:color="auto"/>
                <w:bottom w:val="none" w:sz="0" w:space="0" w:color="auto"/>
                <w:right w:val="none" w:sz="0" w:space="0" w:color="auto"/>
              </w:divBdr>
            </w:div>
          </w:divsChild>
        </w:div>
        <w:div w:id="679084292">
          <w:marLeft w:val="0"/>
          <w:marRight w:val="0"/>
          <w:marTop w:val="0"/>
          <w:marBottom w:val="0"/>
          <w:divBdr>
            <w:top w:val="none" w:sz="0" w:space="0" w:color="auto"/>
            <w:left w:val="none" w:sz="0" w:space="0" w:color="auto"/>
            <w:bottom w:val="none" w:sz="0" w:space="0" w:color="auto"/>
            <w:right w:val="none" w:sz="0" w:space="0" w:color="auto"/>
          </w:divBdr>
          <w:divsChild>
            <w:div w:id="763039019">
              <w:marLeft w:val="0"/>
              <w:marRight w:val="0"/>
              <w:marTop w:val="0"/>
              <w:marBottom w:val="0"/>
              <w:divBdr>
                <w:top w:val="none" w:sz="0" w:space="0" w:color="auto"/>
                <w:left w:val="none" w:sz="0" w:space="0" w:color="auto"/>
                <w:bottom w:val="none" w:sz="0" w:space="0" w:color="auto"/>
                <w:right w:val="none" w:sz="0" w:space="0" w:color="auto"/>
              </w:divBdr>
            </w:div>
          </w:divsChild>
        </w:div>
        <w:div w:id="765271988">
          <w:marLeft w:val="0"/>
          <w:marRight w:val="0"/>
          <w:marTop w:val="0"/>
          <w:marBottom w:val="0"/>
          <w:divBdr>
            <w:top w:val="none" w:sz="0" w:space="0" w:color="auto"/>
            <w:left w:val="none" w:sz="0" w:space="0" w:color="auto"/>
            <w:bottom w:val="none" w:sz="0" w:space="0" w:color="auto"/>
            <w:right w:val="none" w:sz="0" w:space="0" w:color="auto"/>
          </w:divBdr>
          <w:divsChild>
            <w:div w:id="1182474884">
              <w:marLeft w:val="0"/>
              <w:marRight w:val="0"/>
              <w:marTop w:val="0"/>
              <w:marBottom w:val="0"/>
              <w:divBdr>
                <w:top w:val="none" w:sz="0" w:space="0" w:color="auto"/>
                <w:left w:val="none" w:sz="0" w:space="0" w:color="auto"/>
                <w:bottom w:val="none" w:sz="0" w:space="0" w:color="auto"/>
                <w:right w:val="none" w:sz="0" w:space="0" w:color="auto"/>
              </w:divBdr>
            </w:div>
          </w:divsChild>
        </w:div>
        <w:div w:id="799110236">
          <w:marLeft w:val="0"/>
          <w:marRight w:val="0"/>
          <w:marTop w:val="0"/>
          <w:marBottom w:val="0"/>
          <w:divBdr>
            <w:top w:val="none" w:sz="0" w:space="0" w:color="auto"/>
            <w:left w:val="none" w:sz="0" w:space="0" w:color="auto"/>
            <w:bottom w:val="none" w:sz="0" w:space="0" w:color="auto"/>
            <w:right w:val="none" w:sz="0" w:space="0" w:color="auto"/>
          </w:divBdr>
          <w:divsChild>
            <w:div w:id="1142118958">
              <w:marLeft w:val="0"/>
              <w:marRight w:val="0"/>
              <w:marTop w:val="0"/>
              <w:marBottom w:val="0"/>
              <w:divBdr>
                <w:top w:val="none" w:sz="0" w:space="0" w:color="auto"/>
                <w:left w:val="none" w:sz="0" w:space="0" w:color="auto"/>
                <w:bottom w:val="none" w:sz="0" w:space="0" w:color="auto"/>
                <w:right w:val="none" w:sz="0" w:space="0" w:color="auto"/>
              </w:divBdr>
            </w:div>
          </w:divsChild>
        </w:div>
        <w:div w:id="843476661">
          <w:marLeft w:val="0"/>
          <w:marRight w:val="0"/>
          <w:marTop w:val="0"/>
          <w:marBottom w:val="0"/>
          <w:divBdr>
            <w:top w:val="none" w:sz="0" w:space="0" w:color="auto"/>
            <w:left w:val="none" w:sz="0" w:space="0" w:color="auto"/>
            <w:bottom w:val="none" w:sz="0" w:space="0" w:color="auto"/>
            <w:right w:val="none" w:sz="0" w:space="0" w:color="auto"/>
          </w:divBdr>
          <w:divsChild>
            <w:div w:id="513497252">
              <w:marLeft w:val="0"/>
              <w:marRight w:val="0"/>
              <w:marTop w:val="0"/>
              <w:marBottom w:val="0"/>
              <w:divBdr>
                <w:top w:val="none" w:sz="0" w:space="0" w:color="auto"/>
                <w:left w:val="none" w:sz="0" w:space="0" w:color="auto"/>
                <w:bottom w:val="none" w:sz="0" w:space="0" w:color="auto"/>
                <w:right w:val="none" w:sz="0" w:space="0" w:color="auto"/>
              </w:divBdr>
            </w:div>
          </w:divsChild>
        </w:div>
        <w:div w:id="903754240">
          <w:marLeft w:val="0"/>
          <w:marRight w:val="0"/>
          <w:marTop w:val="0"/>
          <w:marBottom w:val="0"/>
          <w:divBdr>
            <w:top w:val="none" w:sz="0" w:space="0" w:color="auto"/>
            <w:left w:val="none" w:sz="0" w:space="0" w:color="auto"/>
            <w:bottom w:val="none" w:sz="0" w:space="0" w:color="auto"/>
            <w:right w:val="none" w:sz="0" w:space="0" w:color="auto"/>
          </w:divBdr>
          <w:divsChild>
            <w:div w:id="583341432">
              <w:marLeft w:val="0"/>
              <w:marRight w:val="0"/>
              <w:marTop w:val="0"/>
              <w:marBottom w:val="0"/>
              <w:divBdr>
                <w:top w:val="none" w:sz="0" w:space="0" w:color="auto"/>
                <w:left w:val="none" w:sz="0" w:space="0" w:color="auto"/>
                <w:bottom w:val="none" w:sz="0" w:space="0" w:color="auto"/>
                <w:right w:val="none" w:sz="0" w:space="0" w:color="auto"/>
              </w:divBdr>
            </w:div>
          </w:divsChild>
        </w:div>
        <w:div w:id="908073356">
          <w:marLeft w:val="0"/>
          <w:marRight w:val="0"/>
          <w:marTop w:val="0"/>
          <w:marBottom w:val="0"/>
          <w:divBdr>
            <w:top w:val="none" w:sz="0" w:space="0" w:color="auto"/>
            <w:left w:val="none" w:sz="0" w:space="0" w:color="auto"/>
            <w:bottom w:val="none" w:sz="0" w:space="0" w:color="auto"/>
            <w:right w:val="none" w:sz="0" w:space="0" w:color="auto"/>
          </w:divBdr>
          <w:divsChild>
            <w:div w:id="137691788">
              <w:marLeft w:val="0"/>
              <w:marRight w:val="0"/>
              <w:marTop w:val="0"/>
              <w:marBottom w:val="0"/>
              <w:divBdr>
                <w:top w:val="none" w:sz="0" w:space="0" w:color="auto"/>
                <w:left w:val="none" w:sz="0" w:space="0" w:color="auto"/>
                <w:bottom w:val="none" w:sz="0" w:space="0" w:color="auto"/>
                <w:right w:val="none" w:sz="0" w:space="0" w:color="auto"/>
              </w:divBdr>
            </w:div>
          </w:divsChild>
        </w:div>
        <w:div w:id="962468546">
          <w:marLeft w:val="0"/>
          <w:marRight w:val="0"/>
          <w:marTop w:val="0"/>
          <w:marBottom w:val="0"/>
          <w:divBdr>
            <w:top w:val="none" w:sz="0" w:space="0" w:color="auto"/>
            <w:left w:val="none" w:sz="0" w:space="0" w:color="auto"/>
            <w:bottom w:val="none" w:sz="0" w:space="0" w:color="auto"/>
            <w:right w:val="none" w:sz="0" w:space="0" w:color="auto"/>
          </w:divBdr>
          <w:divsChild>
            <w:div w:id="168300973">
              <w:marLeft w:val="0"/>
              <w:marRight w:val="0"/>
              <w:marTop w:val="0"/>
              <w:marBottom w:val="0"/>
              <w:divBdr>
                <w:top w:val="none" w:sz="0" w:space="0" w:color="auto"/>
                <w:left w:val="none" w:sz="0" w:space="0" w:color="auto"/>
                <w:bottom w:val="none" w:sz="0" w:space="0" w:color="auto"/>
                <w:right w:val="none" w:sz="0" w:space="0" w:color="auto"/>
              </w:divBdr>
            </w:div>
          </w:divsChild>
        </w:div>
        <w:div w:id="1065566706">
          <w:marLeft w:val="0"/>
          <w:marRight w:val="0"/>
          <w:marTop w:val="0"/>
          <w:marBottom w:val="0"/>
          <w:divBdr>
            <w:top w:val="none" w:sz="0" w:space="0" w:color="auto"/>
            <w:left w:val="none" w:sz="0" w:space="0" w:color="auto"/>
            <w:bottom w:val="none" w:sz="0" w:space="0" w:color="auto"/>
            <w:right w:val="none" w:sz="0" w:space="0" w:color="auto"/>
          </w:divBdr>
          <w:divsChild>
            <w:div w:id="499153620">
              <w:marLeft w:val="0"/>
              <w:marRight w:val="0"/>
              <w:marTop w:val="0"/>
              <w:marBottom w:val="0"/>
              <w:divBdr>
                <w:top w:val="none" w:sz="0" w:space="0" w:color="auto"/>
                <w:left w:val="none" w:sz="0" w:space="0" w:color="auto"/>
                <w:bottom w:val="none" w:sz="0" w:space="0" w:color="auto"/>
                <w:right w:val="none" w:sz="0" w:space="0" w:color="auto"/>
              </w:divBdr>
            </w:div>
          </w:divsChild>
        </w:div>
        <w:div w:id="1314213076">
          <w:marLeft w:val="0"/>
          <w:marRight w:val="0"/>
          <w:marTop w:val="0"/>
          <w:marBottom w:val="0"/>
          <w:divBdr>
            <w:top w:val="none" w:sz="0" w:space="0" w:color="auto"/>
            <w:left w:val="none" w:sz="0" w:space="0" w:color="auto"/>
            <w:bottom w:val="none" w:sz="0" w:space="0" w:color="auto"/>
            <w:right w:val="none" w:sz="0" w:space="0" w:color="auto"/>
          </w:divBdr>
          <w:divsChild>
            <w:div w:id="1257052140">
              <w:marLeft w:val="0"/>
              <w:marRight w:val="0"/>
              <w:marTop w:val="0"/>
              <w:marBottom w:val="0"/>
              <w:divBdr>
                <w:top w:val="none" w:sz="0" w:space="0" w:color="auto"/>
                <w:left w:val="none" w:sz="0" w:space="0" w:color="auto"/>
                <w:bottom w:val="none" w:sz="0" w:space="0" w:color="auto"/>
                <w:right w:val="none" w:sz="0" w:space="0" w:color="auto"/>
              </w:divBdr>
            </w:div>
          </w:divsChild>
        </w:div>
        <w:div w:id="1337270945">
          <w:marLeft w:val="0"/>
          <w:marRight w:val="0"/>
          <w:marTop w:val="0"/>
          <w:marBottom w:val="0"/>
          <w:divBdr>
            <w:top w:val="none" w:sz="0" w:space="0" w:color="auto"/>
            <w:left w:val="none" w:sz="0" w:space="0" w:color="auto"/>
            <w:bottom w:val="none" w:sz="0" w:space="0" w:color="auto"/>
            <w:right w:val="none" w:sz="0" w:space="0" w:color="auto"/>
          </w:divBdr>
          <w:divsChild>
            <w:div w:id="1887644737">
              <w:marLeft w:val="0"/>
              <w:marRight w:val="0"/>
              <w:marTop w:val="0"/>
              <w:marBottom w:val="0"/>
              <w:divBdr>
                <w:top w:val="none" w:sz="0" w:space="0" w:color="auto"/>
                <w:left w:val="none" w:sz="0" w:space="0" w:color="auto"/>
                <w:bottom w:val="none" w:sz="0" w:space="0" w:color="auto"/>
                <w:right w:val="none" w:sz="0" w:space="0" w:color="auto"/>
              </w:divBdr>
            </w:div>
          </w:divsChild>
        </w:div>
        <w:div w:id="1469739452">
          <w:marLeft w:val="0"/>
          <w:marRight w:val="0"/>
          <w:marTop w:val="0"/>
          <w:marBottom w:val="0"/>
          <w:divBdr>
            <w:top w:val="none" w:sz="0" w:space="0" w:color="auto"/>
            <w:left w:val="none" w:sz="0" w:space="0" w:color="auto"/>
            <w:bottom w:val="none" w:sz="0" w:space="0" w:color="auto"/>
            <w:right w:val="none" w:sz="0" w:space="0" w:color="auto"/>
          </w:divBdr>
          <w:divsChild>
            <w:div w:id="396898643">
              <w:marLeft w:val="0"/>
              <w:marRight w:val="0"/>
              <w:marTop w:val="0"/>
              <w:marBottom w:val="0"/>
              <w:divBdr>
                <w:top w:val="none" w:sz="0" w:space="0" w:color="auto"/>
                <w:left w:val="none" w:sz="0" w:space="0" w:color="auto"/>
                <w:bottom w:val="none" w:sz="0" w:space="0" w:color="auto"/>
                <w:right w:val="none" w:sz="0" w:space="0" w:color="auto"/>
              </w:divBdr>
            </w:div>
          </w:divsChild>
        </w:div>
        <w:div w:id="1887065660">
          <w:marLeft w:val="0"/>
          <w:marRight w:val="0"/>
          <w:marTop w:val="0"/>
          <w:marBottom w:val="0"/>
          <w:divBdr>
            <w:top w:val="none" w:sz="0" w:space="0" w:color="auto"/>
            <w:left w:val="none" w:sz="0" w:space="0" w:color="auto"/>
            <w:bottom w:val="none" w:sz="0" w:space="0" w:color="auto"/>
            <w:right w:val="none" w:sz="0" w:space="0" w:color="auto"/>
          </w:divBdr>
          <w:divsChild>
            <w:div w:id="376978779">
              <w:marLeft w:val="0"/>
              <w:marRight w:val="0"/>
              <w:marTop w:val="0"/>
              <w:marBottom w:val="0"/>
              <w:divBdr>
                <w:top w:val="none" w:sz="0" w:space="0" w:color="auto"/>
                <w:left w:val="none" w:sz="0" w:space="0" w:color="auto"/>
                <w:bottom w:val="none" w:sz="0" w:space="0" w:color="auto"/>
                <w:right w:val="none" w:sz="0" w:space="0" w:color="auto"/>
              </w:divBdr>
            </w:div>
          </w:divsChild>
        </w:div>
        <w:div w:id="1925066947">
          <w:marLeft w:val="0"/>
          <w:marRight w:val="0"/>
          <w:marTop w:val="0"/>
          <w:marBottom w:val="0"/>
          <w:divBdr>
            <w:top w:val="none" w:sz="0" w:space="0" w:color="auto"/>
            <w:left w:val="none" w:sz="0" w:space="0" w:color="auto"/>
            <w:bottom w:val="none" w:sz="0" w:space="0" w:color="auto"/>
            <w:right w:val="none" w:sz="0" w:space="0" w:color="auto"/>
          </w:divBdr>
          <w:divsChild>
            <w:div w:id="1313828808">
              <w:marLeft w:val="0"/>
              <w:marRight w:val="0"/>
              <w:marTop w:val="0"/>
              <w:marBottom w:val="0"/>
              <w:divBdr>
                <w:top w:val="none" w:sz="0" w:space="0" w:color="auto"/>
                <w:left w:val="none" w:sz="0" w:space="0" w:color="auto"/>
                <w:bottom w:val="none" w:sz="0" w:space="0" w:color="auto"/>
                <w:right w:val="none" w:sz="0" w:space="0" w:color="auto"/>
              </w:divBdr>
            </w:div>
          </w:divsChild>
        </w:div>
        <w:div w:id="1933660524">
          <w:marLeft w:val="0"/>
          <w:marRight w:val="0"/>
          <w:marTop w:val="0"/>
          <w:marBottom w:val="0"/>
          <w:divBdr>
            <w:top w:val="none" w:sz="0" w:space="0" w:color="auto"/>
            <w:left w:val="none" w:sz="0" w:space="0" w:color="auto"/>
            <w:bottom w:val="none" w:sz="0" w:space="0" w:color="auto"/>
            <w:right w:val="none" w:sz="0" w:space="0" w:color="auto"/>
          </w:divBdr>
          <w:divsChild>
            <w:div w:id="715160267">
              <w:marLeft w:val="0"/>
              <w:marRight w:val="0"/>
              <w:marTop w:val="0"/>
              <w:marBottom w:val="0"/>
              <w:divBdr>
                <w:top w:val="none" w:sz="0" w:space="0" w:color="auto"/>
                <w:left w:val="none" w:sz="0" w:space="0" w:color="auto"/>
                <w:bottom w:val="none" w:sz="0" w:space="0" w:color="auto"/>
                <w:right w:val="none" w:sz="0" w:space="0" w:color="auto"/>
              </w:divBdr>
            </w:div>
          </w:divsChild>
        </w:div>
        <w:div w:id="2023586895">
          <w:marLeft w:val="0"/>
          <w:marRight w:val="0"/>
          <w:marTop w:val="0"/>
          <w:marBottom w:val="0"/>
          <w:divBdr>
            <w:top w:val="none" w:sz="0" w:space="0" w:color="auto"/>
            <w:left w:val="none" w:sz="0" w:space="0" w:color="auto"/>
            <w:bottom w:val="none" w:sz="0" w:space="0" w:color="auto"/>
            <w:right w:val="none" w:sz="0" w:space="0" w:color="auto"/>
          </w:divBdr>
          <w:divsChild>
            <w:div w:id="297759885">
              <w:marLeft w:val="0"/>
              <w:marRight w:val="0"/>
              <w:marTop w:val="0"/>
              <w:marBottom w:val="0"/>
              <w:divBdr>
                <w:top w:val="none" w:sz="0" w:space="0" w:color="auto"/>
                <w:left w:val="none" w:sz="0" w:space="0" w:color="auto"/>
                <w:bottom w:val="none" w:sz="0" w:space="0" w:color="auto"/>
                <w:right w:val="none" w:sz="0" w:space="0" w:color="auto"/>
              </w:divBdr>
            </w:div>
          </w:divsChild>
        </w:div>
        <w:div w:id="2085296197">
          <w:marLeft w:val="0"/>
          <w:marRight w:val="0"/>
          <w:marTop w:val="0"/>
          <w:marBottom w:val="0"/>
          <w:divBdr>
            <w:top w:val="none" w:sz="0" w:space="0" w:color="auto"/>
            <w:left w:val="none" w:sz="0" w:space="0" w:color="auto"/>
            <w:bottom w:val="none" w:sz="0" w:space="0" w:color="auto"/>
            <w:right w:val="none" w:sz="0" w:space="0" w:color="auto"/>
          </w:divBdr>
          <w:divsChild>
            <w:div w:id="156844453">
              <w:marLeft w:val="0"/>
              <w:marRight w:val="0"/>
              <w:marTop w:val="0"/>
              <w:marBottom w:val="0"/>
              <w:divBdr>
                <w:top w:val="none" w:sz="0" w:space="0" w:color="auto"/>
                <w:left w:val="none" w:sz="0" w:space="0" w:color="auto"/>
                <w:bottom w:val="none" w:sz="0" w:space="0" w:color="auto"/>
                <w:right w:val="none" w:sz="0" w:space="0" w:color="auto"/>
              </w:divBdr>
            </w:div>
          </w:divsChild>
        </w:div>
        <w:div w:id="2110462590">
          <w:marLeft w:val="0"/>
          <w:marRight w:val="0"/>
          <w:marTop w:val="0"/>
          <w:marBottom w:val="0"/>
          <w:divBdr>
            <w:top w:val="none" w:sz="0" w:space="0" w:color="auto"/>
            <w:left w:val="none" w:sz="0" w:space="0" w:color="auto"/>
            <w:bottom w:val="none" w:sz="0" w:space="0" w:color="auto"/>
            <w:right w:val="none" w:sz="0" w:space="0" w:color="auto"/>
          </w:divBdr>
          <w:divsChild>
            <w:div w:id="473107527">
              <w:marLeft w:val="0"/>
              <w:marRight w:val="0"/>
              <w:marTop w:val="0"/>
              <w:marBottom w:val="0"/>
              <w:divBdr>
                <w:top w:val="none" w:sz="0" w:space="0" w:color="auto"/>
                <w:left w:val="none" w:sz="0" w:space="0" w:color="auto"/>
                <w:bottom w:val="none" w:sz="0" w:space="0" w:color="auto"/>
                <w:right w:val="none" w:sz="0" w:space="0" w:color="auto"/>
              </w:divBdr>
            </w:div>
          </w:divsChild>
        </w:div>
        <w:div w:id="2119058843">
          <w:marLeft w:val="0"/>
          <w:marRight w:val="0"/>
          <w:marTop w:val="0"/>
          <w:marBottom w:val="0"/>
          <w:divBdr>
            <w:top w:val="none" w:sz="0" w:space="0" w:color="auto"/>
            <w:left w:val="none" w:sz="0" w:space="0" w:color="auto"/>
            <w:bottom w:val="none" w:sz="0" w:space="0" w:color="auto"/>
            <w:right w:val="none" w:sz="0" w:space="0" w:color="auto"/>
          </w:divBdr>
          <w:divsChild>
            <w:div w:id="19766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5218">
      <w:bodyDiv w:val="1"/>
      <w:marLeft w:val="0"/>
      <w:marRight w:val="0"/>
      <w:marTop w:val="0"/>
      <w:marBottom w:val="0"/>
      <w:divBdr>
        <w:top w:val="none" w:sz="0" w:space="0" w:color="auto"/>
        <w:left w:val="none" w:sz="0" w:space="0" w:color="auto"/>
        <w:bottom w:val="none" w:sz="0" w:space="0" w:color="auto"/>
        <w:right w:val="none" w:sz="0" w:space="0" w:color="auto"/>
      </w:divBdr>
      <w:divsChild>
        <w:div w:id="130100122">
          <w:marLeft w:val="0"/>
          <w:marRight w:val="0"/>
          <w:marTop w:val="0"/>
          <w:marBottom w:val="0"/>
          <w:divBdr>
            <w:top w:val="none" w:sz="0" w:space="0" w:color="auto"/>
            <w:left w:val="none" w:sz="0" w:space="0" w:color="auto"/>
            <w:bottom w:val="none" w:sz="0" w:space="0" w:color="auto"/>
            <w:right w:val="none" w:sz="0" w:space="0" w:color="auto"/>
          </w:divBdr>
          <w:divsChild>
            <w:div w:id="688024767">
              <w:marLeft w:val="0"/>
              <w:marRight w:val="0"/>
              <w:marTop w:val="0"/>
              <w:marBottom w:val="0"/>
              <w:divBdr>
                <w:top w:val="none" w:sz="0" w:space="0" w:color="auto"/>
                <w:left w:val="none" w:sz="0" w:space="0" w:color="auto"/>
                <w:bottom w:val="none" w:sz="0" w:space="0" w:color="auto"/>
                <w:right w:val="none" w:sz="0" w:space="0" w:color="auto"/>
              </w:divBdr>
            </w:div>
          </w:divsChild>
        </w:div>
        <w:div w:id="161816816">
          <w:marLeft w:val="0"/>
          <w:marRight w:val="0"/>
          <w:marTop w:val="0"/>
          <w:marBottom w:val="0"/>
          <w:divBdr>
            <w:top w:val="none" w:sz="0" w:space="0" w:color="auto"/>
            <w:left w:val="none" w:sz="0" w:space="0" w:color="auto"/>
            <w:bottom w:val="none" w:sz="0" w:space="0" w:color="auto"/>
            <w:right w:val="none" w:sz="0" w:space="0" w:color="auto"/>
          </w:divBdr>
          <w:divsChild>
            <w:div w:id="2002729141">
              <w:marLeft w:val="0"/>
              <w:marRight w:val="0"/>
              <w:marTop w:val="0"/>
              <w:marBottom w:val="0"/>
              <w:divBdr>
                <w:top w:val="none" w:sz="0" w:space="0" w:color="auto"/>
                <w:left w:val="none" w:sz="0" w:space="0" w:color="auto"/>
                <w:bottom w:val="none" w:sz="0" w:space="0" w:color="auto"/>
                <w:right w:val="none" w:sz="0" w:space="0" w:color="auto"/>
              </w:divBdr>
            </w:div>
          </w:divsChild>
        </w:div>
        <w:div w:id="297953803">
          <w:marLeft w:val="0"/>
          <w:marRight w:val="0"/>
          <w:marTop w:val="0"/>
          <w:marBottom w:val="0"/>
          <w:divBdr>
            <w:top w:val="none" w:sz="0" w:space="0" w:color="auto"/>
            <w:left w:val="none" w:sz="0" w:space="0" w:color="auto"/>
            <w:bottom w:val="none" w:sz="0" w:space="0" w:color="auto"/>
            <w:right w:val="none" w:sz="0" w:space="0" w:color="auto"/>
          </w:divBdr>
          <w:divsChild>
            <w:div w:id="187254289">
              <w:marLeft w:val="0"/>
              <w:marRight w:val="0"/>
              <w:marTop w:val="0"/>
              <w:marBottom w:val="0"/>
              <w:divBdr>
                <w:top w:val="none" w:sz="0" w:space="0" w:color="auto"/>
                <w:left w:val="none" w:sz="0" w:space="0" w:color="auto"/>
                <w:bottom w:val="none" w:sz="0" w:space="0" w:color="auto"/>
                <w:right w:val="none" w:sz="0" w:space="0" w:color="auto"/>
              </w:divBdr>
            </w:div>
          </w:divsChild>
        </w:div>
        <w:div w:id="413746067">
          <w:marLeft w:val="0"/>
          <w:marRight w:val="0"/>
          <w:marTop w:val="0"/>
          <w:marBottom w:val="0"/>
          <w:divBdr>
            <w:top w:val="none" w:sz="0" w:space="0" w:color="auto"/>
            <w:left w:val="none" w:sz="0" w:space="0" w:color="auto"/>
            <w:bottom w:val="none" w:sz="0" w:space="0" w:color="auto"/>
            <w:right w:val="none" w:sz="0" w:space="0" w:color="auto"/>
          </w:divBdr>
          <w:divsChild>
            <w:div w:id="981232414">
              <w:marLeft w:val="0"/>
              <w:marRight w:val="0"/>
              <w:marTop w:val="0"/>
              <w:marBottom w:val="0"/>
              <w:divBdr>
                <w:top w:val="none" w:sz="0" w:space="0" w:color="auto"/>
                <w:left w:val="none" w:sz="0" w:space="0" w:color="auto"/>
                <w:bottom w:val="none" w:sz="0" w:space="0" w:color="auto"/>
                <w:right w:val="none" w:sz="0" w:space="0" w:color="auto"/>
              </w:divBdr>
            </w:div>
          </w:divsChild>
        </w:div>
        <w:div w:id="575436833">
          <w:marLeft w:val="0"/>
          <w:marRight w:val="0"/>
          <w:marTop w:val="0"/>
          <w:marBottom w:val="0"/>
          <w:divBdr>
            <w:top w:val="none" w:sz="0" w:space="0" w:color="auto"/>
            <w:left w:val="none" w:sz="0" w:space="0" w:color="auto"/>
            <w:bottom w:val="none" w:sz="0" w:space="0" w:color="auto"/>
            <w:right w:val="none" w:sz="0" w:space="0" w:color="auto"/>
          </w:divBdr>
          <w:divsChild>
            <w:div w:id="1746300473">
              <w:marLeft w:val="0"/>
              <w:marRight w:val="0"/>
              <w:marTop w:val="0"/>
              <w:marBottom w:val="0"/>
              <w:divBdr>
                <w:top w:val="none" w:sz="0" w:space="0" w:color="auto"/>
                <w:left w:val="none" w:sz="0" w:space="0" w:color="auto"/>
                <w:bottom w:val="none" w:sz="0" w:space="0" w:color="auto"/>
                <w:right w:val="none" w:sz="0" w:space="0" w:color="auto"/>
              </w:divBdr>
            </w:div>
          </w:divsChild>
        </w:div>
        <w:div w:id="575556141">
          <w:marLeft w:val="0"/>
          <w:marRight w:val="0"/>
          <w:marTop w:val="0"/>
          <w:marBottom w:val="0"/>
          <w:divBdr>
            <w:top w:val="none" w:sz="0" w:space="0" w:color="auto"/>
            <w:left w:val="none" w:sz="0" w:space="0" w:color="auto"/>
            <w:bottom w:val="none" w:sz="0" w:space="0" w:color="auto"/>
            <w:right w:val="none" w:sz="0" w:space="0" w:color="auto"/>
          </w:divBdr>
          <w:divsChild>
            <w:div w:id="1107893538">
              <w:marLeft w:val="0"/>
              <w:marRight w:val="0"/>
              <w:marTop w:val="0"/>
              <w:marBottom w:val="0"/>
              <w:divBdr>
                <w:top w:val="none" w:sz="0" w:space="0" w:color="auto"/>
                <w:left w:val="none" w:sz="0" w:space="0" w:color="auto"/>
                <w:bottom w:val="none" w:sz="0" w:space="0" w:color="auto"/>
                <w:right w:val="none" w:sz="0" w:space="0" w:color="auto"/>
              </w:divBdr>
            </w:div>
          </w:divsChild>
        </w:div>
        <w:div w:id="606548201">
          <w:marLeft w:val="0"/>
          <w:marRight w:val="0"/>
          <w:marTop w:val="0"/>
          <w:marBottom w:val="0"/>
          <w:divBdr>
            <w:top w:val="none" w:sz="0" w:space="0" w:color="auto"/>
            <w:left w:val="none" w:sz="0" w:space="0" w:color="auto"/>
            <w:bottom w:val="none" w:sz="0" w:space="0" w:color="auto"/>
            <w:right w:val="none" w:sz="0" w:space="0" w:color="auto"/>
          </w:divBdr>
          <w:divsChild>
            <w:div w:id="1638031631">
              <w:marLeft w:val="0"/>
              <w:marRight w:val="0"/>
              <w:marTop w:val="0"/>
              <w:marBottom w:val="0"/>
              <w:divBdr>
                <w:top w:val="none" w:sz="0" w:space="0" w:color="auto"/>
                <w:left w:val="none" w:sz="0" w:space="0" w:color="auto"/>
                <w:bottom w:val="none" w:sz="0" w:space="0" w:color="auto"/>
                <w:right w:val="none" w:sz="0" w:space="0" w:color="auto"/>
              </w:divBdr>
            </w:div>
          </w:divsChild>
        </w:div>
        <w:div w:id="636763052">
          <w:marLeft w:val="0"/>
          <w:marRight w:val="0"/>
          <w:marTop w:val="0"/>
          <w:marBottom w:val="0"/>
          <w:divBdr>
            <w:top w:val="none" w:sz="0" w:space="0" w:color="auto"/>
            <w:left w:val="none" w:sz="0" w:space="0" w:color="auto"/>
            <w:bottom w:val="none" w:sz="0" w:space="0" w:color="auto"/>
            <w:right w:val="none" w:sz="0" w:space="0" w:color="auto"/>
          </w:divBdr>
          <w:divsChild>
            <w:div w:id="918060635">
              <w:marLeft w:val="0"/>
              <w:marRight w:val="0"/>
              <w:marTop w:val="0"/>
              <w:marBottom w:val="0"/>
              <w:divBdr>
                <w:top w:val="none" w:sz="0" w:space="0" w:color="auto"/>
                <w:left w:val="none" w:sz="0" w:space="0" w:color="auto"/>
                <w:bottom w:val="none" w:sz="0" w:space="0" w:color="auto"/>
                <w:right w:val="none" w:sz="0" w:space="0" w:color="auto"/>
              </w:divBdr>
            </w:div>
          </w:divsChild>
        </w:div>
        <w:div w:id="726298118">
          <w:marLeft w:val="0"/>
          <w:marRight w:val="0"/>
          <w:marTop w:val="0"/>
          <w:marBottom w:val="0"/>
          <w:divBdr>
            <w:top w:val="none" w:sz="0" w:space="0" w:color="auto"/>
            <w:left w:val="none" w:sz="0" w:space="0" w:color="auto"/>
            <w:bottom w:val="none" w:sz="0" w:space="0" w:color="auto"/>
            <w:right w:val="none" w:sz="0" w:space="0" w:color="auto"/>
          </w:divBdr>
          <w:divsChild>
            <w:div w:id="74866973">
              <w:marLeft w:val="0"/>
              <w:marRight w:val="0"/>
              <w:marTop w:val="0"/>
              <w:marBottom w:val="0"/>
              <w:divBdr>
                <w:top w:val="none" w:sz="0" w:space="0" w:color="auto"/>
                <w:left w:val="none" w:sz="0" w:space="0" w:color="auto"/>
                <w:bottom w:val="none" w:sz="0" w:space="0" w:color="auto"/>
                <w:right w:val="none" w:sz="0" w:space="0" w:color="auto"/>
              </w:divBdr>
            </w:div>
          </w:divsChild>
        </w:div>
        <w:div w:id="961693010">
          <w:marLeft w:val="0"/>
          <w:marRight w:val="0"/>
          <w:marTop w:val="0"/>
          <w:marBottom w:val="0"/>
          <w:divBdr>
            <w:top w:val="none" w:sz="0" w:space="0" w:color="auto"/>
            <w:left w:val="none" w:sz="0" w:space="0" w:color="auto"/>
            <w:bottom w:val="none" w:sz="0" w:space="0" w:color="auto"/>
            <w:right w:val="none" w:sz="0" w:space="0" w:color="auto"/>
          </w:divBdr>
          <w:divsChild>
            <w:div w:id="1898392287">
              <w:marLeft w:val="0"/>
              <w:marRight w:val="0"/>
              <w:marTop w:val="0"/>
              <w:marBottom w:val="0"/>
              <w:divBdr>
                <w:top w:val="none" w:sz="0" w:space="0" w:color="auto"/>
                <w:left w:val="none" w:sz="0" w:space="0" w:color="auto"/>
                <w:bottom w:val="none" w:sz="0" w:space="0" w:color="auto"/>
                <w:right w:val="none" w:sz="0" w:space="0" w:color="auto"/>
              </w:divBdr>
            </w:div>
          </w:divsChild>
        </w:div>
        <w:div w:id="1065688752">
          <w:marLeft w:val="0"/>
          <w:marRight w:val="0"/>
          <w:marTop w:val="0"/>
          <w:marBottom w:val="0"/>
          <w:divBdr>
            <w:top w:val="none" w:sz="0" w:space="0" w:color="auto"/>
            <w:left w:val="none" w:sz="0" w:space="0" w:color="auto"/>
            <w:bottom w:val="none" w:sz="0" w:space="0" w:color="auto"/>
            <w:right w:val="none" w:sz="0" w:space="0" w:color="auto"/>
          </w:divBdr>
          <w:divsChild>
            <w:div w:id="1148519566">
              <w:marLeft w:val="0"/>
              <w:marRight w:val="0"/>
              <w:marTop w:val="0"/>
              <w:marBottom w:val="0"/>
              <w:divBdr>
                <w:top w:val="none" w:sz="0" w:space="0" w:color="auto"/>
                <w:left w:val="none" w:sz="0" w:space="0" w:color="auto"/>
                <w:bottom w:val="none" w:sz="0" w:space="0" w:color="auto"/>
                <w:right w:val="none" w:sz="0" w:space="0" w:color="auto"/>
              </w:divBdr>
            </w:div>
          </w:divsChild>
        </w:div>
        <w:div w:id="1169754037">
          <w:marLeft w:val="0"/>
          <w:marRight w:val="0"/>
          <w:marTop w:val="0"/>
          <w:marBottom w:val="0"/>
          <w:divBdr>
            <w:top w:val="none" w:sz="0" w:space="0" w:color="auto"/>
            <w:left w:val="none" w:sz="0" w:space="0" w:color="auto"/>
            <w:bottom w:val="none" w:sz="0" w:space="0" w:color="auto"/>
            <w:right w:val="none" w:sz="0" w:space="0" w:color="auto"/>
          </w:divBdr>
          <w:divsChild>
            <w:div w:id="1290890630">
              <w:marLeft w:val="0"/>
              <w:marRight w:val="0"/>
              <w:marTop w:val="0"/>
              <w:marBottom w:val="0"/>
              <w:divBdr>
                <w:top w:val="none" w:sz="0" w:space="0" w:color="auto"/>
                <w:left w:val="none" w:sz="0" w:space="0" w:color="auto"/>
                <w:bottom w:val="none" w:sz="0" w:space="0" w:color="auto"/>
                <w:right w:val="none" w:sz="0" w:space="0" w:color="auto"/>
              </w:divBdr>
            </w:div>
          </w:divsChild>
        </w:div>
        <w:div w:id="1259943048">
          <w:marLeft w:val="0"/>
          <w:marRight w:val="0"/>
          <w:marTop w:val="0"/>
          <w:marBottom w:val="0"/>
          <w:divBdr>
            <w:top w:val="none" w:sz="0" w:space="0" w:color="auto"/>
            <w:left w:val="none" w:sz="0" w:space="0" w:color="auto"/>
            <w:bottom w:val="none" w:sz="0" w:space="0" w:color="auto"/>
            <w:right w:val="none" w:sz="0" w:space="0" w:color="auto"/>
          </w:divBdr>
          <w:divsChild>
            <w:div w:id="786048164">
              <w:marLeft w:val="0"/>
              <w:marRight w:val="0"/>
              <w:marTop w:val="0"/>
              <w:marBottom w:val="0"/>
              <w:divBdr>
                <w:top w:val="none" w:sz="0" w:space="0" w:color="auto"/>
                <w:left w:val="none" w:sz="0" w:space="0" w:color="auto"/>
                <w:bottom w:val="none" w:sz="0" w:space="0" w:color="auto"/>
                <w:right w:val="none" w:sz="0" w:space="0" w:color="auto"/>
              </w:divBdr>
            </w:div>
          </w:divsChild>
        </w:div>
        <w:div w:id="1314678129">
          <w:marLeft w:val="0"/>
          <w:marRight w:val="0"/>
          <w:marTop w:val="0"/>
          <w:marBottom w:val="0"/>
          <w:divBdr>
            <w:top w:val="none" w:sz="0" w:space="0" w:color="auto"/>
            <w:left w:val="none" w:sz="0" w:space="0" w:color="auto"/>
            <w:bottom w:val="none" w:sz="0" w:space="0" w:color="auto"/>
            <w:right w:val="none" w:sz="0" w:space="0" w:color="auto"/>
          </w:divBdr>
          <w:divsChild>
            <w:div w:id="1910069453">
              <w:marLeft w:val="0"/>
              <w:marRight w:val="0"/>
              <w:marTop w:val="0"/>
              <w:marBottom w:val="0"/>
              <w:divBdr>
                <w:top w:val="none" w:sz="0" w:space="0" w:color="auto"/>
                <w:left w:val="none" w:sz="0" w:space="0" w:color="auto"/>
                <w:bottom w:val="none" w:sz="0" w:space="0" w:color="auto"/>
                <w:right w:val="none" w:sz="0" w:space="0" w:color="auto"/>
              </w:divBdr>
            </w:div>
          </w:divsChild>
        </w:div>
        <w:div w:id="1407024952">
          <w:marLeft w:val="0"/>
          <w:marRight w:val="0"/>
          <w:marTop w:val="0"/>
          <w:marBottom w:val="0"/>
          <w:divBdr>
            <w:top w:val="none" w:sz="0" w:space="0" w:color="auto"/>
            <w:left w:val="none" w:sz="0" w:space="0" w:color="auto"/>
            <w:bottom w:val="none" w:sz="0" w:space="0" w:color="auto"/>
            <w:right w:val="none" w:sz="0" w:space="0" w:color="auto"/>
          </w:divBdr>
          <w:divsChild>
            <w:div w:id="763262399">
              <w:marLeft w:val="0"/>
              <w:marRight w:val="0"/>
              <w:marTop w:val="0"/>
              <w:marBottom w:val="0"/>
              <w:divBdr>
                <w:top w:val="none" w:sz="0" w:space="0" w:color="auto"/>
                <w:left w:val="none" w:sz="0" w:space="0" w:color="auto"/>
                <w:bottom w:val="none" w:sz="0" w:space="0" w:color="auto"/>
                <w:right w:val="none" w:sz="0" w:space="0" w:color="auto"/>
              </w:divBdr>
            </w:div>
          </w:divsChild>
        </w:div>
        <w:div w:id="1441296678">
          <w:marLeft w:val="0"/>
          <w:marRight w:val="0"/>
          <w:marTop w:val="0"/>
          <w:marBottom w:val="0"/>
          <w:divBdr>
            <w:top w:val="none" w:sz="0" w:space="0" w:color="auto"/>
            <w:left w:val="none" w:sz="0" w:space="0" w:color="auto"/>
            <w:bottom w:val="none" w:sz="0" w:space="0" w:color="auto"/>
            <w:right w:val="none" w:sz="0" w:space="0" w:color="auto"/>
          </w:divBdr>
          <w:divsChild>
            <w:div w:id="1652366470">
              <w:marLeft w:val="0"/>
              <w:marRight w:val="0"/>
              <w:marTop w:val="0"/>
              <w:marBottom w:val="0"/>
              <w:divBdr>
                <w:top w:val="none" w:sz="0" w:space="0" w:color="auto"/>
                <w:left w:val="none" w:sz="0" w:space="0" w:color="auto"/>
                <w:bottom w:val="none" w:sz="0" w:space="0" w:color="auto"/>
                <w:right w:val="none" w:sz="0" w:space="0" w:color="auto"/>
              </w:divBdr>
            </w:div>
          </w:divsChild>
        </w:div>
        <w:div w:id="1456756823">
          <w:marLeft w:val="0"/>
          <w:marRight w:val="0"/>
          <w:marTop w:val="0"/>
          <w:marBottom w:val="0"/>
          <w:divBdr>
            <w:top w:val="none" w:sz="0" w:space="0" w:color="auto"/>
            <w:left w:val="none" w:sz="0" w:space="0" w:color="auto"/>
            <w:bottom w:val="none" w:sz="0" w:space="0" w:color="auto"/>
            <w:right w:val="none" w:sz="0" w:space="0" w:color="auto"/>
          </w:divBdr>
          <w:divsChild>
            <w:div w:id="594091516">
              <w:marLeft w:val="0"/>
              <w:marRight w:val="0"/>
              <w:marTop w:val="0"/>
              <w:marBottom w:val="0"/>
              <w:divBdr>
                <w:top w:val="none" w:sz="0" w:space="0" w:color="auto"/>
                <w:left w:val="none" w:sz="0" w:space="0" w:color="auto"/>
                <w:bottom w:val="none" w:sz="0" w:space="0" w:color="auto"/>
                <w:right w:val="none" w:sz="0" w:space="0" w:color="auto"/>
              </w:divBdr>
            </w:div>
          </w:divsChild>
        </w:div>
        <w:div w:id="1589381621">
          <w:marLeft w:val="0"/>
          <w:marRight w:val="0"/>
          <w:marTop w:val="0"/>
          <w:marBottom w:val="0"/>
          <w:divBdr>
            <w:top w:val="none" w:sz="0" w:space="0" w:color="auto"/>
            <w:left w:val="none" w:sz="0" w:space="0" w:color="auto"/>
            <w:bottom w:val="none" w:sz="0" w:space="0" w:color="auto"/>
            <w:right w:val="none" w:sz="0" w:space="0" w:color="auto"/>
          </w:divBdr>
          <w:divsChild>
            <w:div w:id="1071385533">
              <w:marLeft w:val="0"/>
              <w:marRight w:val="0"/>
              <w:marTop w:val="0"/>
              <w:marBottom w:val="0"/>
              <w:divBdr>
                <w:top w:val="none" w:sz="0" w:space="0" w:color="auto"/>
                <w:left w:val="none" w:sz="0" w:space="0" w:color="auto"/>
                <w:bottom w:val="none" w:sz="0" w:space="0" w:color="auto"/>
                <w:right w:val="none" w:sz="0" w:space="0" w:color="auto"/>
              </w:divBdr>
            </w:div>
          </w:divsChild>
        </w:div>
        <w:div w:id="1722290248">
          <w:marLeft w:val="0"/>
          <w:marRight w:val="0"/>
          <w:marTop w:val="0"/>
          <w:marBottom w:val="0"/>
          <w:divBdr>
            <w:top w:val="none" w:sz="0" w:space="0" w:color="auto"/>
            <w:left w:val="none" w:sz="0" w:space="0" w:color="auto"/>
            <w:bottom w:val="none" w:sz="0" w:space="0" w:color="auto"/>
            <w:right w:val="none" w:sz="0" w:space="0" w:color="auto"/>
          </w:divBdr>
          <w:divsChild>
            <w:div w:id="2091459853">
              <w:marLeft w:val="0"/>
              <w:marRight w:val="0"/>
              <w:marTop w:val="0"/>
              <w:marBottom w:val="0"/>
              <w:divBdr>
                <w:top w:val="none" w:sz="0" w:space="0" w:color="auto"/>
                <w:left w:val="none" w:sz="0" w:space="0" w:color="auto"/>
                <w:bottom w:val="none" w:sz="0" w:space="0" w:color="auto"/>
                <w:right w:val="none" w:sz="0" w:space="0" w:color="auto"/>
              </w:divBdr>
            </w:div>
          </w:divsChild>
        </w:div>
        <w:div w:id="1826317527">
          <w:marLeft w:val="0"/>
          <w:marRight w:val="0"/>
          <w:marTop w:val="0"/>
          <w:marBottom w:val="0"/>
          <w:divBdr>
            <w:top w:val="none" w:sz="0" w:space="0" w:color="auto"/>
            <w:left w:val="none" w:sz="0" w:space="0" w:color="auto"/>
            <w:bottom w:val="none" w:sz="0" w:space="0" w:color="auto"/>
            <w:right w:val="none" w:sz="0" w:space="0" w:color="auto"/>
          </w:divBdr>
          <w:divsChild>
            <w:div w:id="1748727702">
              <w:marLeft w:val="0"/>
              <w:marRight w:val="0"/>
              <w:marTop w:val="0"/>
              <w:marBottom w:val="0"/>
              <w:divBdr>
                <w:top w:val="none" w:sz="0" w:space="0" w:color="auto"/>
                <w:left w:val="none" w:sz="0" w:space="0" w:color="auto"/>
                <w:bottom w:val="none" w:sz="0" w:space="0" w:color="auto"/>
                <w:right w:val="none" w:sz="0" w:space="0" w:color="auto"/>
              </w:divBdr>
            </w:div>
          </w:divsChild>
        </w:div>
        <w:div w:id="1875842266">
          <w:marLeft w:val="0"/>
          <w:marRight w:val="0"/>
          <w:marTop w:val="0"/>
          <w:marBottom w:val="0"/>
          <w:divBdr>
            <w:top w:val="none" w:sz="0" w:space="0" w:color="auto"/>
            <w:left w:val="none" w:sz="0" w:space="0" w:color="auto"/>
            <w:bottom w:val="none" w:sz="0" w:space="0" w:color="auto"/>
            <w:right w:val="none" w:sz="0" w:space="0" w:color="auto"/>
          </w:divBdr>
          <w:divsChild>
            <w:div w:id="1060439680">
              <w:marLeft w:val="0"/>
              <w:marRight w:val="0"/>
              <w:marTop w:val="0"/>
              <w:marBottom w:val="0"/>
              <w:divBdr>
                <w:top w:val="none" w:sz="0" w:space="0" w:color="auto"/>
                <w:left w:val="none" w:sz="0" w:space="0" w:color="auto"/>
                <w:bottom w:val="none" w:sz="0" w:space="0" w:color="auto"/>
                <w:right w:val="none" w:sz="0" w:space="0" w:color="auto"/>
              </w:divBdr>
            </w:div>
          </w:divsChild>
        </w:div>
        <w:div w:id="1963803270">
          <w:marLeft w:val="0"/>
          <w:marRight w:val="0"/>
          <w:marTop w:val="0"/>
          <w:marBottom w:val="0"/>
          <w:divBdr>
            <w:top w:val="none" w:sz="0" w:space="0" w:color="auto"/>
            <w:left w:val="none" w:sz="0" w:space="0" w:color="auto"/>
            <w:bottom w:val="none" w:sz="0" w:space="0" w:color="auto"/>
            <w:right w:val="none" w:sz="0" w:space="0" w:color="auto"/>
          </w:divBdr>
          <w:divsChild>
            <w:div w:id="60910829">
              <w:marLeft w:val="0"/>
              <w:marRight w:val="0"/>
              <w:marTop w:val="0"/>
              <w:marBottom w:val="0"/>
              <w:divBdr>
                <w:top w:val="none" w:sz="0" w:space="0" w:color="auto"/>
                <w:left w:val="none" w:sz="0" w:space="0" w:color="auto"/>
                <w:bottom w:val="none" w:sz="0" w:space="0" w:color="auto"/>
                <w:right w:val="none" w:sz="0" w:space="0" w:color="auto"/>
              </w:divBdr>
            </w:div>
          </w:divsChild>
        </w:div>
        <w:div w:id="2050059558">
          <w:marLeft w:val="0"/>
          <w:marRight w:val="0"/>
          <w:marTop w:val="0"/>
          <w:marBottom w:val="0"/>
          <w:divBdr>
            <w:top w:val="none" w:sz="0" w:space="0" w:color="auto"/>
            <w:left w:val="none" w:sz="0" w:space="0" w:color="auto"/>
            <w:bottom w:val="none" w:sz="0" w:space="0" w:color="auto"/>
            <w:right w:val="none" w:sz="0" w:space="0" w:color="auto"/>
          </w:divBdr>
          <w:divsChild>
            <w:div w:id="1027412543">
              <w:marLeft w:val="0"/>
              <w:marRight w:val="0"/>
              <w:marTop w:val="0"/>
              <w:marBottom w:val="0"/>
              <w:divBdr>
                <w:top w:val="none" w:sz="0" w:space="0" w:color="auto"/>
                <w:left w:val="none" w:sz="0" w:space="0" w:color="auto"/>
                <w:bottom w:val="none" w:sz="0" w:space="0" w:color="auto"/>
                <w:right w:val="none" w:sz="0" w:space="0" w:color="auto"/>
              </w:divBdr>
            </w:div>
          </w:divsChild>
        </w:div>
        <w:div w:id="2100517107">
          <w:marLeft w:val="0"/>
          <w:marRight w:val="0"/>
          <w:marTop w:val="0"/>
          <w:marBottom w:val="0"/>
          <w:divBdr>
            <w:top w:val="none" w:sz="0" w:space="0" w:color="auto"/>
            <w:left w:val="none" w:sz="0" w:space="0" w:color="auto"/>
            <w:bottom w:val="none" w:sz="0" w:space="0" w:color="auto"/>
            <w:right w:val="none" w:sz="0" w:space="0" w:color="auto"/>
          </w:divBdr>
          <w:divsChild>
            <w:div w:id="2017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1620">
      <w:bodyDiv w:val="1"/>
      <w:marLeft w:val="0"/>
      <w:marRight w:val="0"/>
      <w:marTop w:val="0"/>
      <w:marBottom w:val="0"/>
      <w:divBdr>
        <w:top w:val="none" w:sz="0" w:space="0" w:color="auto"/>
        <w:left w:val="none" w:sz="0" w:space="0" w:color="auto"/>
        <w:bottom w:val="none" w:sz="0" w:space="0" w:color="auto"/>
        <w:right w:val="none" w:sz="0" w:space="0" w:color="auto"/>
      </w:divBdr>
    </w:div>
    <w:div w:id="1591350303">
      <w:bodyDiv w:val="1"/>
      <w:marLeft w:val="0"/>
      <w:marRight w:val="0"/>
      <w:marTop w:val="0"/>
      <w:marBottom w:val="0"/>
      <w:divBdr>
        <w:top w:val="none" w:sz="0" w:space="0" w:color="auto"/>
        <w:left w:val="none" w:sz="0" w:space="0" w:color="auto"/>
        <w:bottom w:val="none" w:sz="0" w:space="0" w:color="auto"/>
        <w:right w:val="none" w:sz="0" w:space="0" w:color="auto"/>
      </w:divBdr>
    </w:div>
    <w:div w:id="1604725575">
      <w:bodyDiv w:val="1"/>
      <w:marLeft w:val="0"/>
      <w:marRight w:val="0"/>
      <w:marTop w:val="0"/>
      <w:marBottom w:val="0"/>
      <w:divBdr>
        <w:top w:val="none" w:sz="0" w:space="0" w:color="auto"/>
        <w:left w:val="none" w:sz="0" w:space="0" w:color="auto"/>
        <w:bottom w:val="none" w:sz="0" w:space="0" w:color="auto"/>
        <w:right w:val="none" w:sz="0" w:space="0" w:color="auto"/>
      </w:divBdr>
      <w:divsChild>
        <w:div w:id="23681555">
          <w:marLeft w:val="0"/>
          <w:marRight w:val="0"/>
          <w:marTop w:val="0"/>
          <w:marBottom w:val="0"/>
          <w:divBdr>
            <w:top w:val="none" w:sz="0" w:space="0" w:color="auto"/>
            <w:left w:val="none" w:sz="0" w:space="0" w:color="auto"/>
            <w:bottom w:val="none" w:sz="0" w:space="0" w:color="auto"/>
            <w:right w:val="none" w:sz="0" w:space="0" w:color="auto"/>
          </w:divBdr>
          <w:divsChild>
            <w:div w:id="40594710">
              <w:marLeft w:val="0"/>
              <w:marRight w:val="0"/>
              <w:marTop w:val="0"/>
              <w:marBottom w:val="0"/>
              <w:divBdr>
                <w:top w:val="none" w:sz="0" w:space="0" w:color="auto"/>
                <w:left w:val="none" w:sz="0" w:space="0" w:color="auto"/>
                <w:bottom w:val="none" w:sz="0" w:space="0" w:color="auto"/>
                <w:right w:val="none" w:sz="0" w:space="0" w:color="auto"/>
              </w:divBdr>
            </w:div>
          </w:divsChild>
        </w:div>
        <w:div w:id="488836869">
          <w:marLeft w:val="0"/>
          <w:marRight w:val="0"/>
          <w:marTop w:val="0"/>
          <w:marBottom w:val="0"/>
          <w:divBdr>
            <w:top w:val="none" w:sz="0" w:space="0" w:color="auto"/>
            <w:left w:val="none" w:sz="0" w:space="0" w:color="auto"/>
            <w:bottom w:val="none" w:sz="0" w:space="0" w:color="auto"/>
            <w:right w:val="none" w:sz="0" w:space="0" w:color="auto"/>
          </w:divBdr>
          <w:divsChild>
            <w:div w:id="906919682">
              <w:marLeft w:val="0"/>
              <w:marRight w:val="0"/>
              <w:marTop w:val="0"/>
              <w:marBottom w:val="0"/>
              <w:divBdr>
                <w:top w:val="none" w:sz="0" w:space="0" w:color="auto"/>
                <w:left w:val="none" w:sz="0" w:space="0" w:color="auto"/>
                <w:bottom w:val="none" w:sz="0" w:space="0" w:color="auto"/>
                <w:right w:val="none" w:sz="0" w:space="0" w:color="auto"/>
              </w:divBdr>
            </w:div>
          </w:divsChild>
        </w:div>
        <w:div w:id="615866568">
          <w:marLeft w:val="0"/>
          <w:marRight w:val="0"/>
          <w:marTop w:val="0"/>
          <w:marBottom w:val="0"/>
          <w:divBdr>
            <w:top w:val="none" w:sz="0" w:space="0" w:color="auto"/>
            <w:left w:val="none" w:sz="0" w:space="0" w:color="auto"/>
            <w:bottom w:val="none" w:sz="0" w:space="0" w:color="auto"/>
            <w:right w:val="none" w:sz="0" w:space="0" w:color="auto"/>
          </w:divBdr>
          <w:divsChild>
            <w:div w:id="1955166211">
              <w:marLeft w:val="0"/>
              <w:marRight w:val="0"/>
              <w:marTop w:val="0"/>
              <w:marBottom w:val="0"/>
              <w:divBdr>
                <w:top w:val="none" w:sz="0" w:space="0" w:color="auto"/>
                <w:left w:val="none" w:sz="0" w:space="0" w:color="auto"/>
                <w:bottom w:val="none" w:sz="0" w:space="0" w:color="auto"/>
                <w:right w:val="none" w:sz="0" w:space="0" w:color="auto"/>
              </w:divBdr>
            </w:div>
          </w:divsChild>
        </w:div>
        <w:div w:id="647786172">
          <w:marLeft w:val="0"/>
          <w:marRight w:val="0"/>
          <w:marTop w:val="0"/>
          <w:marBottom w:val="0"/>
          <w:divBdr>
            <w:top w:val="none" w:sz="0" w:space="0" w:color="auto"/>
            <w:left w:val="none" w:sz="0" w:space="0" w:color="auto"/>
            <w:bottom w:val="none" w:sz="0" w:space="0" w:color="auto"/>
            <w:right w:val="none" w:sz="0" w:space="0" w:color="auto"/>
          </w:divBdr>
          <w:divsChild>
            <w:div w:id="948664399">
              <w:marLeft w:val="0"/>
              <w:marRight w:val="0"/>
              <w:marTop w:val="0"/>
              <w:marBottom w:val="0"/>
              <w:divBdr>
                <w:top w:val="none" w:sz="0" w:space="0" w:color="auto"/>
                <w:left w:val="none" w:sz="0" w:space="0" w:color="auto"/>
                <w:bottom w:val="none" w:sz="0" w:space="0" w:color="auto"/>
                <w:right w:val="none" w:sz="0" w:space="0" w:color="auto"/>
              </w:divBdr>
            </w:div>
          </w:divsChild>
        </w:div>
        <w:div w:id="701367441">
          <w:marLeft w:val="0"/>
          <w:marRight w:val="0"/>
          <w:marTop w:val="0"/>
          <w:marBottom w:val="0"/>
          <w:divBdr>
            <w:top w:val="none" w:sz="0" w:space="0" w:color="auto"/>
            <w:left w:val="none" w:sz="0" w:space="0" w:color="auto"/>
            <w:bottom w:val="none" w:sz="0" w:space="0" w:color="auto"/>
            <w:right w:val="none" w:sz="0" w:space="0" w:color="auto"/>
          </w:divBdr>
          <w:divsChild>
            <w:div w:id="1039743648">
              <w:marLeft w:val="0"/>
              <w:marRight w:val="0"/>
              <w:marTop w:val="0"/>
              <w:marBottom w:val="0"/>
              <w:divBdr>
                <w:top w:val="none" w:sz="0" w:space="0" w:color="auto"/>
                <w:left w:val="none" w:sz="0" w:space="0" w:color="auto"/>
                <w:bottom w:val="none" w:sz="0" w:space="0" w:color="auto"/>
                <w:right w:val="none" w:sz="0" w:space="0" w:color="auto"/>
              </w:divBdr>
            </w:div>
          </w:divsChild>
        </w:div>
        <w:div w:id="742144400">
          <w:marLeft w:val="0"/>
          <w:marRight w:val="0"/>
          <w:marTop w:val="0"/>
          <w:marBottom w:val="0"/>
          <w:divBdr>
            <w:top w:val="none" w:sz="0" w:space="0" w:color="auto"/>
            <w:left w:val="none" w:sz="0" w:space="0" w:color="auto"/>
            <w:bottom w:val="none" w:sz="0" w:space="0" w:color="auto"/>
            <w:right w:val="none" w:sz="0" w:space="0" w:color="auto"/>
          </w:divBdr>
          <w:divsChild>
            <w:div w:id="940140672">
              <w:marLeft w:val="0"/>
              <w:marRight w:val="0"/>
              <w:marTop w:val="0"/>
              <w:marBottom w:val="0"/>
              <w:divBdr>
                <w:top w:val="none" w:sz="0" w:space="0" w:color="auto"/>
                <w:left w:val="none" w:sz="0" w:space="0" w:color="auto"/>
                <w:bottom w:val="none" w:sz="0" w:space="0" w:color="auto"/>
                <w:right w:val="none" w:sz="0" w:space="0" w:color="auto"/>
              </w:divBdr>
            </w:div>
          </w:divsChild>
        </w:div>
        <w:div w:id="778452064">
          <w:marLeft w:val="0"/>
          <w:marRight w:val="0"/>
          <w:marTop w:val="0"/>
          <w:marBottom w:val="0"/>
          <w:divBdr>
            <w:top w:val="none" w:sz="0" w:space="0" w:color="auto"/>
            <w:left w:val="none" w:sz="0" w:space="0" w:color="auto"/>
            <w:bottom w:val="none" w:sz="0" w:space="0" w:color="auto"/>
            <w:right w:val="none" w:sz="0" w:space="0" w:color="auto"/>
          </w:divBdr>
          <w:divsChild>
            <w:div w:id="1077096616">
              <w:marLeft w:val="0"/>
              <w:marRight w:val="0"/>
              <w:marTop w:val="0"/>
              <w:marBottom w:val="0"/>
              <w:divBdr>
                <w:top w:val="none" w:sz="0" w:space="0" w:color="auto"/>
                <w:left w:val="none" w:sz="0" w:space="0" w:color="auto"/>
                <w:bottom w:val="none" w:sz="0" w:space="0" w:color="auto"/>
                <w:right w:val="none" w:sz="0" w:space="0" w:color="auto"/>
              </w:divBdr>
            </w:div>
          </w:divsChild>
        </w:div>
        <w:div w:id="813185907">
          <w:marLeft w:val="0"/>
          <w:marRight w:val="0"/>
          <w:marTop w:val="0"/>
          <w:marBottom w:val="0"/>
          <w:divBdr>
            <w:top w:val="none" w:sz="0" w:space="0" w:color="auto"/>
            <w:left w:val="none" w:sz="0" w:space="0" w:color="auto"/>
            <w:bottom w:val="none" w:sz="0" w:space="0" w:color="auto"/>
            <w:right w:val="none" w:sz="0" w:space="0" w:color="auto"/>
          </w:divBdr>
          <w:divsChild>
            <w:div w:id="1937715415">
              <w:marLeft w:val="0"/>
              <w:marRight w:val="0"/>
              <w:marTop w:val="0"/>
              <w:marBottom w:val="0"/>
              <w:divBdr>
                <w:top w:val="none" w:sz="0" w:space="0" w:color="auto"/>
                <w:left w:val="none" w:sz="0" w:space="0" w:color="auto"/>
                <w:bottom w:val="none" w:sz="0" w:space="0" w:color="auto"/>
                <w:right w:val="none" w:sz="0" w:space="0" w:color="auto"/>
              </w:divBdr>
            </w:div>
          </w:divsChild>
        </w:div>
        <w:div w:id="826821712">
          <w:marLeft w:val="0"/>
          <w:marRight w:val="0"/>
          <w:marTop w:val="0"/>
          <w:marBottom w:val="0"/>
          <w:divBdr>
            <w:top w:val="none" w:sz="0" w:space="0" w:color="auto"/>
            <w:left w:val="none" w:sz="0" w:space="0" w:color="auto"/>
            <w:bottom w:val="none" w:sz="0" w:space="0" w:color="auto"/>
            <w:right w:val="none" w:sz="0" w:space="0" w:color="auto"/>
          </w:divBdr>
          <w:divsChild>
            <w:div w:id="1825311476">
              <w:marLeft w:val="0"/>
              <w:marRight w:val="0"/>
              <w:marTop w:val="0"/>
              <w:marBottom w:val="0"/>
              <w:divBdr>
                <w:top w:val="none" w:sz="0" w:space="0" w:color="auto"/>
                <w:left w:val="none" w:sz="0" w:space="0" w:color="auto"/>
                <w:bottom w:val="none" w:sz="0" w:space="0" w:color="auto"/>
                <w:right w:val="none" w:sz="0" w:space="0" w:color="auto"/>
              </w:divBdr>
            </w:div>
          </w:divsChild>
        </w:div>
        <w:div w:id="1099178654">
          <w:marLeft w:val="0"/>
          <w:marRight w:val="0"/>
          <w:marTop w:val="0"/>
          <w:marBottom w:val="0"/>
          <w:divBdr>
            <w:top w:val="none" w:sz="0" w:space="0" w:color="auto"/>
            <w:left w:val="none" w:sz="0" w:space="0" w:color="auto"/>
            <w:bottom w:val="none" w:sz="0" w:space="0" w:color="auto"/>
            <w:right w:val="none" w:sz="0" w:space="0" w:color="auto"/>
          </w:divBdr>
          <w:divsChild>
            <w:div w:id="441799130">
              <w:marLeft w:val="0"/>
              <w:marRight w:val="0"/>
              <w:marTop w:val="0"/>
              <w:marBottom w:val="0"/>
              <w:divBdr>
                <w:top w:val="none" w:sz="0" w:space="0" w:color="auto"/>
                <w:left w:val="none" w:sz="0" w:space="0" w:color="auto"/>
                <w:bottom w:val="none" w:sz="0" w:space="0" w:color="auto"/>
                <w:right w:val="none" w:sz="0" w:space="0" w:color="auto"/>
              </w:divBdr>
            </w:div>
          </w:divsChild>
        </w:div>
        <w:div w:id="1143961109">
          <w:marLeft w:val="0"/>
          <w:marRight w:val="0"/>
          <w:marTop w:val="0"/>
          <w:marBottom w:val="0"/>
          <w:divBdr>
            <w:top w:val="none" w:sz="0" w:space="0" w:color="auto"/>
            <w:left w:val="none" w:sz="0" w:space="0" w:color="auto"/>
            <w:bottom w:val="none" w:sz="0" w:space="0" w:color="auto"/>
            <w:right w:val="none" w:sz="0" w:space="0" w:color="auto"/>
          </w:divBdr>
          <w:divsChild>
            <w:div w:id="1459765111">
              <w:marLeft w:val="0"/>
              <w:marRight w:val="0"/>
              <w:marTop w:val="0"/>
              <w:marBottom w:val="0"/>
              <w:divBdr>
                <w:top w:val="none" w:sz="0" w:space="0" w:color="auto"/>
                <w:left w:val="none" w:sz="0" w:space="0" w:color="auto"/>
                <w:bottom w:val="none" w:sz="0" w:space="0" w:color="auto"/>
                <w:right w:val="none" w:sz="0" w:space="0" w:color="auto"/>
              </w:divBdr>
            </w:div>
          </w:divsChild>
        </w:div>
        <w:div w:id="1210454114">
          <w:marLeft w:val="0"/>
          <w:marRight w:val="0"/>
          <w:marTop w:val="0"/>
          <w:marBottom w:val="0"/>
          <w:divBdr>
            <w:top w:val="none" w:sz="0" w:space="0" w:color="auto"/>
            <w:left w:val="none" w:sz="0" w:space="0" w:color="auto"/>
            <w:bottom w:val="none" w:sz="0" w:space="0" w:color="auto"/>
            <w:right w:val="none" w:sz="0" w:space="0" w:color="auto"/>
          </w:divBdr>
          <w:divsChild>
            <w:div w:id="1042437024">
              <w:marLeft w:val="0"/>
              <w:marRight w:val="0"/>
              <w:marTop w:val="0"/>
              <w:marBottom w:val="0"/>
              <w:divBdr>
                <w:top w:val="none" w:sz="0" w:space="0" w:color="auto"/>
                <w:left w:val="none" w:sz="0" w:space="0" w:color="auto"/>
                <w:bottom w:val="none" w:sz="0" w:space="0" w:color="auto"/>
                <w:right w:val="none" w:sz="0" w:space="0" w:color="auto"/>
              </w:divBdr>
            </w:div>
          </w:divsChild>
        </w:div>
        <w:div w:id="1214198839">
          <w:marLeft w:val="0"/>
          <w:marRight w:val="0"/>
          <w:marTop w:val="0"/>
          <w:marBottom w:val="0"/>
          <w:divBdr>
            <w:top w:val="none" w:sz="0" w:space="0" w:color="auto"/>
            <w:left w:val="none" w:sz="0" w:space="0" w:color="auto"/>
            <w:bottom w:val="none" w:sz="0" w:space="0" w:color="auto"/>
            <w:right w:val="none" w:sz="0" w:space="0" w:color="auto"/>
          </w:divBdr>
          <w:divsChild>
            <w:div w:id="1106344046">
              <w:marLeft w:val="0"/>
              <w:marRight w:val="0"/>
              <w:marTop w:val="0"/>
              <w:marBottom w:val="0"/>
              <w:divBdr>
                <w:top w:val="none" w:sz="0" w:space="0" w:color="auto"/>
                <w:left w:val="none" w:sz="0" w:space="0" w:color="auto"/>
                <w:bottom w:val="none" w:sz="0" w:space="0" w:color="auto"/>
                <w:right w:val="none" w:sz="0" w:space="0" w:color="auto"/>
              </w:divBdr>
            </w:div>
          </w:divsChild>
        </w:div>
        <w:div w:id="1249995117">
          <w:marLeft w:val="0"/>
          <w:marRight w:val="0"/>
          <w:marTop w:val="0"/>
          <w:marBottom w:val="0"/>
          <w:divBdr>
            <w:top w:val="none" w:sz="0" w:space="0" w:color="auto"/>
            <w:left w:val="none" w:sz="0" w:space="0" w:color="auto"/>
            <w:bottom w:val="none" w:sz="0" w:space="0" w:color="auto"/>
            <w:right w:val="none" w:sz="0" w:space="0" w:color="auto"/>
          </w:divBdr>
          <w:divsChild>
            <w:div w:id="494108226">
              <w:marLeft w:val="0"/>
              <w:marRight w:val="0"/>
              <w:marTop w:val="0"/>
              <w:marBottom w:val="0"/>
              <w:divBdr>
                <w:top w:val="none" w:sz="0" w:space="0" w:color="auto"/>
                <w:left w:val="none" w:sz="0" w:space="0" w:color="auto"/>
                <w:bottom w:val="none" w:sz="0" w:space="0" w:color="auto"/>
                <w:right w:val="none" w:sz="0" w:space="0" w:color="auto"/>
              </w:divBdr>
            </w:div>
          </w:divsChild>
        </w:div>
        <w:div w:id="1310213875">
          <w:marLeft w:val="0"/>
          <w:marRight w:val="0"/>
          <w:marTop w:val="0"/>
          <w:marBottom w:val="0"/>
          <w:divBdr>
            <w:top w:val="none" w:sz="0" w:space="0" w:color="auto"/>
            <w:left w:val="none" w:sz="0" w:space="0" w:color="auto"/>
            <w:bottom w:val="none" w:sz="0" w:space="0" w:color="auto"/>
            <w:right w:val="none" w:sz="0" w:space="0" w:color="auto"/>
          </w:divBdr>
          <w:divsChild>
            <w:div w:id="417672180">
              <w:marLeft w:val="0"/>
              <w:marRight w:val="0"/>
              <w:marTop w:val="0"/>
              <w:marBottom w:val="0"/>
              <w:divBdr>
                <w:top w:val="none" w:sz="0" w:space="0" w:color="auto"/>
                <w:left w:val="none" w:sz="0" w:space="0" w:color="auto"/>
                <w:bottom w:val="none" w:sz="0" w:space="0" w:color="auto"/>
                <w:right w:val="none" w:sz="0" w:space="0" w:color="auto"/>
              </w:divBdr>
            </w:div>
          </w:divsChild>
        </w:div>
        <w:div w:id="1315837839">
          <w:marLeft w:val="0"/>
          <w:marRight w:val="0"/>
          <w:marTop w:val="0"/>
          <w:marBottom w:val="0"/>
          <w:divBdr>
            <w:top w:val="none" w:sz="0" w:space="0" w:color="auto"/>
            <w:left w:val="none" w:sz="0" w:space="0" w:color="auto"/>
            <w:bottom w:val="none" w:sz="0" w:space="0" w:color="auto"/>
            <w:right w:val="none" w:sz="0" w:space="0" w:color="auto"/>
          </w:divBdr>
          <w:divsChild>
            <w:div w:id="1686832500">
              <w:marLeft w:val="0"/>
              <w:marRight w:val="0"/>
              <w:marTop w:val="0"/>
              <w:marBottom w:val="0"/>
              <w:divBdr>
                <w:top w:val="none" w:sz="0" w:space="0" w:color="auto"/>
                <w:left w:val="none" w:sz="0" w:space="0" w:color="auto"/>
                <w:bottom w:val="none" w:sz="0" w:space="0" w:color="auto"/>
                <w:right w:val="none" w:sz="0" w:space="0" w:color="auto"/>
              </w:divBdr>
            </w:div>
          </w:divsChild>
        </w:div>
        <w:div w:id="1336809466">
          <w:marLeft w:val="0"/>
          <w:marRight w:val="0"/>
          <w:marTop w:val="0"/>
          <w:marBottom w:val="0"/>
          <w:divBdr>
            <w:top w:val="none" w:sz="0" w:space="0" w:color="auto"/>
            <w:left w:val="none" w:sz="0" w:space="0" w:color="auto"/>
            <w:bottom w:val="none" w:sz="0" w:space="0" w:color="auto"/>
            <w:right w:val="none" w:sz="0" w:space="0" w:color="auto"/>
          </w:divBdr>
          <w:divsChild>
            <w:div w:id="343749871">
              <w:marLeft w:val="0"/>
              <w:marRight w:val="0"/>
              <w:marTop w:val="0"/>
              <w:marBottom w:val="0"/>
              <w:divBdr>
                <w:top w:val="none" w:sz="0" w:space="0" w:color="auto"/>
                <w:left w:val="none" w:sz="0" w:space="0" w:color="auto"/>
                <w:bottom w:val="none" w:sz="0" w:space="0" w:color="auto"/>
                <w:right w:val="none" w:sz="0" w:space="0" w:color="auto"/>
              </w:divBdr>
            </w:div>
          </w:divsChild>
        </w:div>
        <w:div w:id="1585719227">
          <w:marLeft w:val="0"/>
          <w:marRight w:val="0"/>
          <w:marTop w:val="0"/>
          <w:marBottom w:val="0"/>
          <w:divBdr>
            <w:top w:val="none" w:sz="0" w:space="0" w:color="auto"/>
            <w:left w:val="none" w:sz="0" w:space="0" w:color="auto"/>
            <w:bottom w:val="none" w:sz="0" w:space="0" w:color="auto"/>
            <w:right w:val="none" w:sz="0" w:space="0" w:color="auto"/>
          </w:divBdr>
          <w:divsChild>
            <w:div w:id="805513641">
              <w:marLeft w:val="0"/>
              <w:marRight w:val="0"/>
              <w:marTop w:val="0"/>
              <w:marBottom w:val="0"/>
              <w:divBdr>
                <w:top w:val="none" w:sz="0" w:space="0" w:color="auto"/>
                <w:left w:val="none" w:sz="0" w:space="0" w:color="auto"/>
                <w:bottom w:val="none" w:sz="0" w:space="0" w:color="auto"/>
                <w:right w:val="none" w:sz="0" w:space="0" w:color="auto"/>
              </w:divBdr>
            </w:div>
          </w:divsChild>
        </w:div>
        <w:div w:id="1637951716">
          <w:marLeft w:val="0"/>
          <w:marRight w:val="0"/>
          <w:marTop w:val="0"/>
          <w:marBottom w:val="0"/>
          <w:divBdr>
            <w:top w:val="none" w:sz="0" w:space="0" w:color="auto"/>
            <w:left w:val="none" w:sz="0" w:space="0" w:color="auto"/>
            <w:bottom w:val="none" w:sz="0" w:space="0" w:color="auto"/>
            <w:right w:val="none" w:sz="0" w:space="0" w:color="auto"/>
          </w:divBdr>
          <w:divsChild>
            <w:div w:id="1380322668">
              <w:marLeft w:val="0"/>
              <w:marRight w:val="0"/>
              <w:marTop w:val="0"/>
              <w:marBottom w:val="0"/>
              <w:divBdr>
                <w:top w:val="none" w:sz="0" w:space="0" w:color="auto"/>
                <w:left w:val="none" w:sz="0" w:space="0" w:color="auto"/>
                <w:bottom w:val="none" w:sz="0" w:space="0" w:color="auto"/>
                <w:right w:val="none" w:sz="0" w:space="0" w:color="auto"/>
              </w:divBdr>
            </w:div>
          </w:divsChild>
        </w:div>
        <w:div w:id="1784223793">
          <w:marLeft w:val="0"/>
          <w:marRight w:val="0"/>
          <w:marTop w:val="0"/>
          <w:marBottom w:val="0"/>
          <w:divBdr>
            <w:top w:val="none" w:sz="0" w:space="0" w:color="auto"/>
            <w:left w:val="none" w:sz="0" w:space="0" w:color="auto"/>
            <w:bottom w:val="none" w:sz="0" w:space="0" w:color="auto"/>
            <w:right w:val="none" w:sz="0" w:space="0" w:color="auto"/>
          </w:divBdr>
          <w:divsChild>
            <w:div w:id="1482383910">
              <w:marLeft w:val="0"/>
              <w:marRight w:val="0"/>
              <w:marTop w:val="0"/>
              <w:marBottom w:val="0"/>
              <w:divBdr>
                <w:top w:val="none" w:sz="0" w:space="0" w:color="auto"/>
                <w:left w:val="none" w:sz="0" w:space="0" w:color="auto"/>
                <w:bottom w:val="none" w:sz="0" w:space="0" w:color="auto"/>
                <w:right w:val="none" w:sz="0" w:space="0" w:color="auto"/>
              </w:divBdr>
            </w:div>
          </w:divsChild>
        </w:div>
        <w:div w:id="1906605688">
          <w:marLeft w:val="0"/>
          <w:marRight w:val="0"/>
          <w:marTop w:val="0"/>
          <w:marBottom w:val="0"/>
          <w:divBdr>
            <w:top w:val="none" w:sz="0" w:space="0" w:color="auto"/>
            <w:left w:val="none" w:sz="0" w:space="0" w:color="auto"/>
            <w:bottom w:val="none" w:sz="0" w:space="0" w:color="auto"/>
            <w:right w:val="none" w:sz="0" w:space="0" w:color="auto"/>
          </w:divBdr>
          <w:divsChild>
            <w:div w:id="1138114027">
              <w:marLeft w:val="0"/>
              <w:marRight w:val="0"/>
              <w:marTop w:val="0"/>
              <w:marBottom w:val="0"/>
              <w:divBdr>
                <w:top w:val="none" w:sz="0" w:space="0" w:color="auto"/>
                <w:left w:val="none" w:sz="0" w:space="0" w:color="auto"/>
                <w:bottom w:val="none" w:sz="0" w:space="0" w:color="auto"/>
                <w:right w:val="none" w:sz="0" w:space="0" w:color="auto"/>
              </w:divBdr>
            </w:div>
          </w:divsChild>
        </w:div>
        <w:div w:id="1935674258">
          <w:marLeft w:val="0"/>
          <w:marRight w:val="0"/>
          <w:marTop w:val="0"/>
          <w:marBottom w:val="0"/>
          <w:divBdr>
            <w:top w:val="none" w:sz="0" w:space="0" w:color="auto"/>
            <w:left w:val="none" w:sz="0" w:space="0" w:color="auto"/>
            <w:bottom w:val="none" w:sz="0" w:space="0" w:color="auto"/>
            <w:right w:val="none" w:sz="0" w:space="0" w:color="auto"/>
          </w:divBdr>
          <w:divsChild>
            <w:div w:id="813989770">
              <w:marLeft w:val="0"/>
              <w:marRight w:val="0"/>
              <w:marTop w:val="0"/>
              <w:marBottom w:val="0"/>
              <w:divBdr>
                <w:top w:val="none" w:sz="0" w:space="0" w:color="auto"/>
                <w:left w:val="none" w:sz="0" w:space="0" w:color="auto"/>
                <w:bottom w:val="none" w:sz="0" w:space="0" w:color="auto"/>
                <w:right w:val="none" w:sz="0" w:space="0" w:color="auto"/>
              </w:divBdr>
            </w:div>
          </w:divsChild>
        </w:div>
        <w:div w:id="2006937472">
          <w:marLeft w:val="0"/>
          <w:marRight w:val="0"/>
          <w:marTop w:val="0"/>
          <w:marBottom w:val="0"/>
          <w:divBdr>
            <w:top w:val="none" w:sz="0" w:space="0" w:color="auto"/>
            <w:left w:val="none" w:sz="0" w:space="0" w:color="auto"/>
            <w:bottom w:val="none" w:sz="0" w:space="0" w:color="auto"/>
            <w:right w:val="none" w:sz="0" w:space="0" w:color="auto"/>
          </w:divBdr>
          <w:divsChild>
            <w:div w:id="878857024">
              <w:marLeft w:val="0"/>
              <w:marRight w:val="0"/>
              <w:marTop w:val="0"/>
              <w:marBottom w:val="0"/>
              <w:divBdr>
                <w:top w:val="none" w:sz="0" w:space="0" w:color="auto"/>
                <w:left w:val="none" w:sz="0" w:space="0" w:color="auto"/>
                <w:bottom w:val="none" w:sz="0" w:space="0" w:color="auto"/>
                <w:right w:val="none" w:sz="0" w:space="0" w:color="auto"/>
              </w:divBdr>
            </w:div>
          </w:divsChild>
        </w:div>
        <w:div w:id="2143189333">
          <w:marLeft w:val="0"/>
          <w:marRight w:val="0"/>
          <w:marTop w:val="0"/>
          <w:marBottom w:val="0"/>
          <w:divBdr>
            <w:top w:val="none" w:sz="0" w:space="0" w:color="auto"/>
            <w:left w:val="none" w:sz="0" w:space="0" w:color="auto"/>
            <w:bottom w:val="none" w:sz="0" w:space="0" w:color="auto"/>
            <w:right w:val="none" w:sz="0" w:space="0" w:color="auto"/>
          </w:divBdr>
          <w:divsChild>
            <w:div w:id="4946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7470">
      <w:bodyDiv w:val="1"/>
      <w:marLeft w:val="0"/>
      <w:marRight w:val="0"/>
      <w:marTop w:val="0"/>
      <w:marBottom w:val="0"/>
      <w:divBdr>
        <w:top w:val="none" w:sz="0" w:space="0" w:color="auto"/>
        <w:left w:val="none" w:sz="0" w:space="0" w:color="auto"/>
        <w:bottom w:val="none" w:sz="0" w:space="0" w:color="auto"/>
        <w:right w:val="none" w:sz="0" w:space="0" w:color="auto"/>
      </w:divBdr>
      <w:divsChild>
        <w:div w:id="350181197">
          <w:marLeft w:val="0"/>
          <w:marRight w:val="0"/>
          <w:marTop w:val="0"/>
          <w:marBottom w:val="0"/>
          <w:divBdr>
            <w:top w:val="none" w:sz="0" w:space="0" w:color="auto"/>
            <w:left w:val="none" w:sz="0" w:space="0" w:color="auto"/>
            <w:bottom w:val="none" w:sz="0" w:space="0" w:color="auto"/>
            <w:right w:val="none" w:sz="0" w:space="0" w:color="auto"/>
          </w:divBdr>
          <w:divsChild>
            <w:div w:id="540095816">
              <w:marLeft w:val="0"/>
              <w:marRight w:val="0"/>
              <w:marTop w:val="0"/>
              <w:marBottom w:val="0"/>
              <w:divBdr>
                <w:top w:val="none" w:sz="0" w:space="0" w:color="auto"/>
                <w:left w:val="none" w:sz="0" w:space="0" w:color="auto"/>
                <w:bottom w:val="none" w:sz="0" w:space="0" w:color="auto"/>
                <w:right w:val="none" w:sz="0" w:space="0" w:color="auto"/>
              </w:divBdr>
            </w:div>
          </w:divsChild>
        </w:div>
        <w:div w:id="592511996">
          <w:marLeft w:val="0"/>
          <w:marRight w:val="0"/>
          <w:marTop w:val="0"/>
          <w:marBottom w:val="0"/>
          <w:divBdr>
            <w:top w:val="none" w:sz="0" w:space="0" w:color="auto"/>
            <w:left w:val="none" w:sz="0" w:space="0" w:color="auto"/>
            <w:bottom w:val="none" w:sz="0" w:space="0" w:color="auto"/>
            <w:right w:val="none" w:sz="0" w:space="0" w:color="auto"/>
          </w:divBdr>
          <w:divsChild>
            <w:div w:id="64421925">
              <w:marLeft w:val="0"/>
              <w:marRight w:val="0"/>
              <w:marTop w:val="0"/>
              <w:marBottom w:val="0"/>
              <w:divBdr>
                <w:top w:val="none" w:sz="0" w:space="0" w:color="auto"/>
                <w:left w:val="none" w:sz="0" w:space="0" w:color="auto"/>
                <w:bottom w:val="none" w:sz="0" w:space="0" w:color="auto"/>
                <w:right w:val="none" w:sz="0" w:space="0" w:color="auto"/>
              </w:divBdr>
            </w:div>
          </w:divsChild>
        </w:div>
        <w:div w:id="767968878">
          <w:marLeft w:val="0"/>
          <w:marRight w:val="0"/>
          <w:marTop w:val="0"/>
          <w:marBottom w:val="0"/>
          <w:divBdr>
            <w:top w:val="none" w:sz="0" w:space="0" w:color="auto"/>
            <w:left w:val="none" w:sz="0" w:space="0" w:color="auto"/>
            <w:bottom w:val="none" w:sz="0" w:space="0" w:color="auto"/>
            <w:right w:val="none" w:sz="0" w:space="0" w:color="auto"/>
          </w:divBdr>
          <w:divsChild>
            <w:div w:id="332533182">
              <w:marLeft w:val="0"/>
              <w:marRight w:val="0"/>
              <w:marTop w:val="0"/>
              <w:marBottom w:val="0"/>
              <w:divBdr>
                <w:top w:val="none" w:sz="0" w:space="0" w:color="auto"/>
                <w:left w:val="none" w:sz="0" w:space="0" w:color="auto"/>
                <w:bottom w:val="none" w:sz="0" w:space="0" w:color="auto"/>
                <w:right w:val="none" w:sz="0" w:space="0" w:color="auto"/>
              </w:divBdr>
            </w:div>
          </w:divsChild>
        </w:div>
        <w:div w:id="1156190259">
          <w:marLeft w:val="0"/>
          <w:marRight w:val="0"/>
          <w:marTop w:val="0"/>
          <w:marBottom w:val="0"/>
          <w:divBdr>
            <w:top w:val="none" w:sz="0" w:space="0" w:color="auto"/>
            <w:left w:val="none" w:sz="0" w:space="0" w:color="auto"/>
            <w:bottom w:val="none" w:sz="0" w:space="0" w:color="auto"/>
            <w:right w:val="none" w:sz="0" w:space="0" w:color="auto"/>
          </w:divBdr>
          <w:divsChild>
            <w:div w:id="1072435556">
              <w:marLeft w:val="0"/>
              <w:marRight w:val="0"/>
              <w:marTop w:val="0"/>
              <w:marBottom w:val="0"/>
              <w:divBdr>
                <w:top w:val="none" w:sz="0" w:space="0" w:color="auto"/>
                <w:left w:val="none" w:sz="0" w:space="0" w:color="auto"/>
                <w:bottom w:val="none" w:sz="0" w:space="0" w:color="auto"/>
                <w:right w:val="none" w:sz="0" w:space="0" w:color="auto"/>
              </w:divBdr>
            </w:div>
          </w:divsChild>
        </w:div>
        <w:div w:id="1259632566">
          <w:marLeft w:val="0"/>
          <w:marRight w:val="0"/>
          <w:marTop w:val="0"/>
          <w:marBottom w:val="0"/>
          <w:divBdr>
            <w:top w:val="none" w:sz="0" w:space="0" w:color="auto"/>
            <w:left w:val="none" w:sz="0" w:space="0" w:color="auto"/>
            <w:bottom w:val="none" w:sz="0" w:space="0" w:color="auto"/>
            <w:right w:val="none" w:sz="0" w:space="0" w:color="auto"/>
          </w:divBdr>
          <w:divsChild>
            <w:div w:id="1367295693">
              <w:marLeft w:val="0"/>
              <w:marRight w:val="0"/>
              <w:marTop w:val="0"/>
              <w:marBottom w:val="0"/>
              <w:divBdr>
                <w:top w:val="none" w:sz="0" w:space="0" w:color="auto"/>
                <w:left w:val="none" w:sz="0" w:space="0" w:color="auto"/>
                <w:bottom w:val="none" w:sz="0" w:space="0" w:color="auto"/>
                <w:right w:val="none" w:sz="0" w:space="0" w:color="auto"/>
              </w:divBdr>
            </w:div>
          </w:divsChild>
        </w:div>
        <w:div w:id="1422868769">
          <w:marLeft w:val="0"/>
          <w:marRight w:val="0"/>
          <w:marTop w:val="0"/>
          <w:marBottom w:val="0"/>
          <w:divBdr>
            <w:top w:val="none" w:sz="0" w:space="0" w:color="auto"/>
            <w:left w:val="none" w:sz="0" w:space="0" w:color="auto"/>
            <w:bottom w:val="none" w:sz="0" w:space="0" w:color="auto"/>
            <w:right w:val="none" w:sz="0" w:space="0" w:color="auto"/>
          </w:divBdr>
          <w:divsChild>
            <w:div w:id="1838615585">
              <w:marLeft w:val="0"/>
              <w:marRight w:val="0"/>
              <w:marTop w:val="0"/>
              <w:marBottom w:val="0"/>
              <w:divBdr>
                <w:top w:val="none" w:sz="0" w:space="0" w:color="auto"/>
                <w:left w:val="none" w:sz="0" w:space="0" w:color="auto"/>
                <w:bottom w:val="none" w:sz="0" w:space="0" w:color="auto"/>
                <w:right w:val="none" w:sz="0" w:space="0" w:color="auto"/>
              </w:divBdr>
            </w:div>
          </w:divsChild>
        </w:div>
        <w:div w:id="1600485888">
          <w:marLeft w:val="0"/>
          <w:marRight w:val="0"/>
          <w:marTop w:val="0"/>
          <w:marBottom w:val="0"/>
          <w:divBdr>
            <w:top w:val="none" w:sz="0" w:space="0" w:color="auto"/>
            <w:left w:val="none" w:sz="0" w:space="0" w:color="auto"/>
            <w:bottom w:val="none" w:sz="0" w:space="0" w:color="auto"/>
            <w:right w:val="none" w:sz="0" w:space="0" w:color="auto"/>
          </w:divBdr>
          <w:divsChild>
            <w:div w:id="1411536758">
              <w:marLeft w:val="0"/>
              <w:marRight w:val="0"/>
              <w:marTop w:val="0"/>
              <w:marBottom w:val="0"/>
              <w:divBdr>
                <w:top w:val="none" w:sz="0" w:space="0" w:color="auto"/>
                <w:left w:val="none" w:sz="0" w:space="0" w:color="auto"/>
                <w:bottom w:val="none" w:sz="0" w:space="0" w:color="auto"/>
                <w:right w:val="none" w:sz="0" w:space="0" w:color="auto"/>
              </w:divBdr>
            </w:div>
          </w:divsChild>
        </w:div>
        <w:div w:id="1604023803">
          <w:marLeft w:val="0"/>
          <w:marRight w:val="0"/>
          <w:marTop w:val="0"/>
          <w:marBottom w:val="0"/>
          <w:divBdr>
            <w:top w:val="none" w:sz="0" w:space="0" w:color="auto"/>
            <w:left w:val="none" w:sz="0" w:space="0" w:color="auto"/>
            <w:bottom w:val="none" w:sz="0" w:space="0" w:color="auto"/>
            <w:right w:val="none" w:sz="0" w:space="0" w:color="auto"/>
          </w:divBdr>
          <w:divsChild>
            <w:div w:id="25181084">
              <w:marLeft w:val="0"/>
              <w:marRight w:val="0"/>
              <w:marTop w:val="0"/>
              <w:marBottom w:val="0"/>
              <w:divBdr>
                <w:top w:val="none" w:sz="0" w:space="0" w:color="auto"/>
                <w:left w:val="none" w:sz="0" w:space="0" w:color="auto"/>
                <w:bottom w:val="none" w:sz="0" w:space="0" w:color="auto"/>
                <w:right w:val="none" w:sz="0" w:space="0" w:color="auto"/>
              </w:divBdr>
            </w:div>
          </w:divsChild>
        </w:div>
        <w:div w:id="1740664044">
          <w:marLeft w:val="0"/>
          <w:marRight w:val="0"/>
          <w:marTop w:val="0"/>
          <w:marBottom w:val="0"/>
          <w:divBdr>
            <w:top w:val="none" w:sz="0" w:space="0" w:color="auto"/>
            <w:left w:val="none" w:sz="0" w:space="0" w:color="auto"/>
            <w:bottom w:val="none" w:sz="0" w:space="0" w:color="auto"/>
            <w:right w:val="none" w:sz="0" w:space="0" w:color="auto"/>
          </w:divBdr>
          <w:divsChild>
            <w:div w:id="1064137956">
              <w:marLeft w:val="0"/>
              <w:marRight w:val="0"/>
              <w:marTop w:val="0"/>
              <w:marBottom w:val="0"/>
              <w:divBdr>
                <w:top w:val="none" w:sz="0" w:space="0" w:color="auto"/>
                <w:left w:val="none" w:sz="0" w:space="0" w:color="auto"/>
                <w:bottom w:val="none" w:sz="0" w:space="0" w:color="auto"/>
                <w:right w:val="none" w:sz="0" w:space="0" w:color="auto"/>
              </w:divBdr>
            </w:div>
          </w:divsChild>
        </w:div>
        <w:div w:id="1882135964">
          <w:marLeft w:val="0"/>
          <w:marRight w:val="0"/>
          <w:marTop w:val="0"/>
          <w:marBottom w:val="0"/>
          <w:divBdr>
            <w:top w:val="none" w:sz="0" w:space="0" w:color="auto"/>
            <w:left w:val="none" w:sz="0" w:space="0" w:color="auto"/>
            <w:bottom w:val="none" w:sz="0" w:space="0" w:color="auto"/>
            <w:right w:val="none" w:sz="0" w:space="0" w:color="auto"/>
          </w:divBdr>
          <w:divsChild>
            <w:div w:id="13740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9647">
      <w:bodyDiv w:val="1"/>
      <w:marLeft w:val="0"/>
      <w:marRight w:val="0"/>
      <w:marTop w:val="0"/>
      <w:marBottom w:val="0"/>
      <w:divBdr>
        <w:top w:val="none" w:sz="0" w:space="0" w:color="auto"/>
        <w:left w:val="none" w:sz="0" w:space="0" w:color="auto"/>
        <w:bottom w:val="none" w:sz="0" w:space="0" w:color="auto"/>
        <w:right w:val="none" w:sz="0" w:space="0" w:color="auto"/>
      </w:divBdr>
      <w:divsChild>
        <w:div w:id="60567235">
          <w:marLeft w:val="0"/>
          <w:marRight w:val="0"/>
          <w:marTop w:val="0"/>
          <w:marBottom w:val="0"/>
          <w:divBdr>
            <w:top w:val="none" w:sz="0" w:space="0" w:color="auto"/>
            <w:left w:val="none" w:sz="0" w:space="0" w:color="auto"/>
            <w:bottom w:val="none" w:sz="0" w:space="0" w:color="auto"/>
            <w:right w:val="none" w:sz="0" w:space="0" w:color="auto"/>
          </w:divBdr>
        </w:div>
        <w:div w:id="346831605">
          <w:marLeft w:val="0"/>
          <w:marRight w:val="0"/>
          <w:marTop w:val="0"/>
          <w:marBottom w:val="0"/>
          <w:divBdr>
            <w:top w:val="none" w:sz="0" w:space="0" w:color="auto"/>
            <w:left w:val="none" w:sz="0" w:space="0" w:color="auto"/>
            <w:bottom w:val="none" w:sz="0" w:space="0" w:color="auto"/>
            <w:right w:val="none" w:sz="0" w:space="0" w:color="auto"/>
          </w:divBdr>
        </w:div>
        <w:div w:id="536620525">
          <w:marLeft w:val="0"/>
          <w:marRight w:val="0"/>
          <w:marTop w:val="0"/>
          <w:marBottom w:val="0"/>
          <w:divBdr>
            <w:top w:val="none" w:sz="0" w:space="0" w:color="auto"/>
            <w:left w:val="none" w:sz="0" w:space="0" w:color="auto"/>
            <w:bottom w:val="none" w:sz="0" w:space="0" w:color="auto"/>
            <w:right w:val="none" w:sz="0" w:space="0" w:color="auto"/>
          </w:divBdr>
        </w:div>
        <w:div w:id="571768569">
          <w:marLeft w:val="0"/>
          <w:marRight w:val="0"/>
          <w:marTop w:val="0"/>
          <w:marBottom w:val="0"/>
          <w:divBdr>
            <w:top w:val="none" w:sz="0" w:space="0" w:color="auto"/>
            <w:left w:val="none" w:sz="0" w:space="0" w:color="auto"/>
            <w:bottom w:val="none" w:sz="0" w:space="0" w:color="auto"/>
            <w:right w:val="none" w:sz="0" w:space="0" w:color="auto"/>
          </w:divBdr>
          <w:divsChild>
            <w:div w:id="550848838">
              <w:marLeft w:val="-75"/>
              <w:marRight w:val="0"/>
              <w:marTop w:val="30"/>
              <w:marBottom w:val="30"/>
              <w:divBdr>
                <w:top w:val="none" w:sz="0" w:space="0" w:color="auto"/>
                <w:left w:val="none" w:sz="0" w:space="0" w:color="auto"/>
                <w:bottom w:val="none" w:sz="0" w:space="0" w:color="auto"/>
                <w:right w:val="none" w:sz="0" w:space="0" w:color="auto"/>
              </w:divBdr>
              <w:divsChild>
                <w:div w:id="79982766">
                  <w:marLeft w:val="0"/>
                  <w:marRight w:val="0"/>
                  <w:marTop w:val="0"/>
                  <w:marBottom w:val="0"/>
                  <w:divBdr>
                    <w:top w:val="none" w:sz="0" w:space="0" w:color="auto"/>
                    <w:left w:val="none" w:sz="0" w:space="0" w:color="auto"/>
                    <w:bottom w:val="none" w:sz="0" w:space="0" w:color="auto"/>
                    <w:right w:val="none" w:sz="0" w:space="0" w:color="auto"/>
                  </w:divBdr>
                  <w:divsChild>
                    <w:div w:id="1881742101">
                      <w:marLeft w:val="0"/>
                      <w:marRight w:val="0"/>
                      <w:marTop w:val="0"/>
                      <w:marBottom w:val="0"/>
                      <w:divBdr>
                        <w:top w:val="none" w:sz="0" w:space="0" w:color="auto"/>
                        <w:left w:val="none" w:sz="0" w:space="0" w:color="auto"/>
                        <w:bottom w:val="none" w:sz="0" w:space="0" w:color="auto"/>
                        <w:right w:val="none" w:sz="0" w:space="0" w:color="auto"/>
                      </w:divBdr>
                    </w:div>
                  </w:divsChild>
                </w:div>
                <w:div w:id="80373357">
                  <w:marLeft w:val="0"/>
                  <w:marRight w:val="0"/>
                  <w:marTop w:val="0"/>
                  <w:marBottom w:val="0"/>
                  <w:divBdr>
                    <w:top w:val="none" w:sz="0" w:space="0" w:color="auto"/>
                    <w:left w:val="none" w:sz="0" w:space="0" w:color="auto"/>
                    <w:bottom w:val="none" w:sz="0" w:space="0" w:color="auto"/>
                    <w:right w:val="none" w:sz="0" w:space="0" w:color="auto"/>
                  </w:divBdr>
                  <w:divsChild>
                    <w:div w:id="631011904">
                      <w:marLeft w:val="0"/>
                      <w:marRight w:val="0"/>
                      <w:marTop w:val="0"/>
                      <w:marBottom w:val="0"/>
                      <w:divBdr>
                        <w:top w:val="none" w:sz="0" w:space="0" w:color="auto"/>
                        <w:left w:val="none" w:sz="0" w:space="0" w:color="auto"/>
                        <w:bottom w:val="none" w:sz="0" w:space="0" w:color="auto"/>
                        <w:right w:val="none" w:sz="0" w:space="0" w:color="auto"/>
                      </w:divBdr>
                    </w:div>
                    <w:div w:id="844126085">
                      <w:marLeft w:val="0"/>
                      <w:marRight w:val="0"/>
                      <w:marTop w:val="0"/>
                      <w:marBottom w:val="0"/>
                      <w:divBdr>
                        <w:top w:val="none" w:sz="0" w:space="0" w:color="auto"/>
                        <w:left w:val="none" w:sz="0" w:space="0" w:color="auto"/>
                        <w:bottom w:val="none" w:sz="0" w:space="0" w:color="auto"/>
                        <w:right w:val="none" w:sz="0" w:space="0" w:color="auto"/>
                      </w:divBdr>
                    </w:div>
                  </w:divsChild>
                </w:div>
                <w:div w:id="81881497">
                  <w:marLeft w:val="0"/>
                  <w:marRight w:val="0"/>
                  <w:marTop w:val="0"/>
                  <w:marBottom w:val="0"/>
                  <w:divBdr>
                    <w:top w:val="none" w:sz="0" w:space="0" w:color="auto"/>
                    <w:left w:val="none" w:sz="0" w:space="0" w:color="auto"/>
                    <w:bottom w:val="none" w:sz="0" w:space="0" w:color="auto"/>
                    <w:right w:val="none" w:sz="0" w:space="0" w:color="auto"/>
                  </w:divBdr>
                  <w:divsChild>
                    <w:div w:id="476608410">
                      <w:marLeft w:val="0"/>
                      <w:marRight w:val="0"/>
                      <w:marTop w:val="0"/>
                      <w:marBottom w:val="0"/>
                      <w:divBdr>
                        <w:top w:val="none" w:sz="0" w:space="0" w:color="auto"/>
                        <w:left w:val="none" w:sz="0" w:space="0" w:color="auto"/>
                        <w:bottom w:val="none" w:sz="0" w:space="0" w:color="auto"/>
                        <w:right w:val="none" w:sz="0" w:space="0" w:color="auto"/>
                      </w:divBdr>
                    </w:div>
                  </w:divsChild>
                </w:div>
                <w:div w:id="138957803">
                  <w:marLeft w:val="0"/>
                  <w:marRight w:val="0"/>
                  <w:marTop w:val="0"/>
                  <w:marBottom w:val="0"/>
                  <w:divBdr>
                    <w:top w:val="none" w:sz="0" w:space="0" w:color="auto"/>
                    <w:left w:val="none" w:sz="0" w:space="0" w:color="auto"/>
                    <w:bottom w:val="none" w:sz="0" w:space="0" w:color="auto"/>
                    <w:right w:val="none" w:sz="0" w:space="0" w:color="auto"/>
                  </w:divBdr>
                  <w:divsChild>
                    <w:div w:id="1550219129">
                      <w:marLeft w:val="0"/>
                      <w:marRight w:val="0"/>
                      <w:marTop w:val="0"/>
                      <w:marBottom w:val="0"/>
                      <w:divBdr>
                        <w:top w:val="none" w:sz="0" w:space="0" w:color="auto"/>
                        <w:left w:val="none" w:sz="0" w:space="0" w:color="auto"/>
                        <w:bottom w:val="none" w:sz="0" w:space="0" w:color="auto"/>
                        <w:right w:val="none" w:sz="0" w:space="0" w:color="auto"/>
                      </w:divBdr>
                    </w:div>
                  </w:divsChild>
                </w:div>
                <w:div w:id="192495591">
                  <w:marLeft w:val="0"/>
                  <w:marRight w:val="0"/>
                  <w:marTop w:val="0"/>
                  <w:marBottom w:val="0"/>
                  <w:divBdr>
                    <w:top w:val="none" w:sz="0" w:space="0" w:color="auto"/>
                    <w:left w:val="none" w:sz="0" w:space="0" w:color="auto"/>
                    <w:bottom w:val="none" w:sz="0" w:space="0" w:color="auto"/>
                    <w:right w:val="none" w:sz="0" w:space="0" w:color="auto"/>
                  </w:divBdr>
                  <w:divsChild>
                    <w:div w:id="629749380">
                      <w:marLeft w:val="0"/>
                      <w:marRight w:val="0"/>
                      <w:marTop w:val="0"/>
                      <w:marBottom w:val="0"/>
                      <w:divBdr>
                        <w:top w:val="none" w:sz="0" w:space="0" w:color="auto"/>
                        <w:left w:val="none" w:sz="0" w:space="0" w:color="auto"/>
                        <w:bottom w:val="none" w:sz="0" w:space="0" w:color="auto"/>
                        <w:right w:val="none" w:sz="0" w:space="0" w:color="auto"/>
                      </w:divBdr>
                    </w:div>
                  </w:divsChild>
                </w:div>
                <w:div w:id="194122006">
                  <w:marLeft w:val="0"/>
                  <w:marRight w:val="0"/>
                  <w:marTop w:val="0"/>
                  <w:marBottom w:val="0"/>
                  <w:divBdr>
                    <w:top w:val="none" w:sz="0" w:space="0" w:color="auto"/>
                    <w:left w:val="none" w:sz="0" w:space="0" w:color="auto"/>
                    <w:bottom w:val="none" w:sz="0" w:space="0" w:color="auto"/>
                    <w:right w:val="none" w:sz="0" w:space="0" w:color="auto"/>
                  </w:divBdr>
                  <w:divsChild>
                    <w:div w:id="1869759809">
                      <w:marLeft w:val="0"/>
                      <w:marRight w:val="0"/>
                      <w:marTop w:val="0"/>
                      <w:marBottom w:val="0"/>
                      <w:divBdr>
                        <w:top w:val="none" w:sz="0" w:space="0" w:color="auto"/>
                        <w:left w:val="none" w:sz="0" w:space="0" w:color="auto"/>
                        <w:bottom w:val="none" w:sz="0" w:space="0" w:color="auto"/>
                        <w:right w:val="none" w:sz="0" w:space="0" w:color="auto"/>
                      </w:divBdr>
                    </w:div>
                    <w:div w:id="2097745501">
                      <w:marLeft w:val="0"/>
                      <w:marRight w:val="0"/>
                      <w:marTop w:val="0"/>
                      <w:marBottom w:val="0"/>
                      <w:divBdr>
                        <w:top w:val="none" w:sz="0" w:space="0" w:color="auto"/>
                        <w:left w:val="none" w:sz="0" w:space="0" w:color="auto"/>
                        <w:bottom w:val="none" w:sz="0" w:space="0" w:color="auto"/>
                        <w:right w:val="none" w:sz="0" w:space="0" w:color="auto"/>
                      </w:divBdr>
                    </w:div>
                  </w:divsChild>
                </w:div>
                <w:div w:id="232737848">
                  <w:marLeft w:val="0"/>
                  <w:marRight w:val="0"/>
                  <w:marTop w:val="0"/>
                  <w:marBottom w:val="0"/>
                  <w:divBdr>
                    <w:top w:val="none" w:sz="0" w:space="0" w:color="auto"/>
                    <w:left w:val="none" w:sz="0" w:space="0" w:color="auto"/>
                    <w:bottom w:val="none" w:sz="0" w:space="0" w:color="auto"/>
                    <w:right w:val="none" w:sz="0" w:space="0" w:color="auto"/>
                  </w:divBdr>
                  <w:divsChild>
                    <w:div w:id="1097484914">
                      <w:marLeft w:val="0"/>
                      <w:marRight w:val="0"/>
                      <w:marTop w:val="0"/>
                      <w:marBottom w:val="0"/>
                      <w:divBdr>
                        <w:top w:val="none" w:sz="0" w:space="0" w:color="auto"/>
                        <w:left w:val="none" w:sz="0" w:space="0" w:color="auto"/>
                        <w:bottom w:val="none" w:sz="0" w:space="0" w:color="auto"/>
                        <w:right w:val="none" w:sz="0" w:space="0" w:color="auto"/>
                      </w:divBdr>
                    </w:div>
                  </w:divsChild>
                </w:div>
                <w:div w:id="248196320">
                  <w:marLeft w:val="0"/>
                  <w:marRight w:val="0"/>
                  <w:marTop w:val="0"/>
                  <w:marBottom w:val="0"/>
                  <w:divBdr>
                    <w:top w:val="none" w:sz="0" w:space="0" w:color="auto"/>
                    <w:left w:val="none" w:sz="0" w:space="0" w:color="auto"/>
                    <w:bottom w:val="none" w:sz="0" w:space="0" w:color="auto"/>
                    <w:right w:val="none" w:sz="0" w:space="0" w:color="auto"/>
                  </w:divBdr>
                  <w:divsChild>
                    <w:div w:id="262617186">
                      <w:marLeft w:val="0"/>
                      <w:marRight w:val="0"/>
                      <w:marTop w:val="0"/>
                      <w:marBottom w:val="0"/>
                      <w:divBdr>
                        <w:top w:val="none" w:sz="0" w:space="0" w:color="auto"/>
                        <w:left w:val="none" w:sz="0" w:space="0" w:color="auto"/>
                        <w:bottom w:val="none" w:sz="0" w:space="0" w:color="auto"/>
                        <w:right w:val="none" w:sz="0" w:space="0" w:color="auto"/>
                      </w:divBdr>
                    </w:div>
                  </w:divsChild>
                </w:div>
                <w:div w:id="309022467">
                  <w:marLeft w:val="0"/>
                  <w:marRight w:val="0"/>
                  <w:marTop w:val="0"/>
                  <w:marBottom w:val="0"/>
                  <w:divBdr>
                    <w:top w:val="none" w:sz="0" w:space="0" w:color="auto"/>
                    <w:left w:val="none" w:sz="0" w:space="0" w:color="auto"/>
                    <w:bottom w:val="none" w:sz="0" w:space="0" w:color="auto"/>
                    <w:right w:val="none" w:sz="0" w:space="0" w:color="auto"/>
                  </w:divBdr>
                  <w:divsChild>
                    <w:div w:id="873613841">
                      <w:marLeft w:val="0"/>
                      <w:marRight w:val="0"/>
                      <w:marTop w:val="0"/>
                      <w:marBottom w:val="0"/>
                      <w:divBdr>
                        <w:top w:val="none" w:sz="0" w:space="0" w:color="auto"/>
                        <w:left w:val="none" w:sz="0" w:space="0" w:color="auto"/>
                        <w:bottom w:val="none" w:sz="0" w:space="0" w:color="auto"/>
                        <w:right w:val="none" w:sz="0" w:space="0" w:color="auto"/>
                      </w:divBdr>
                    </w:div>
                  </w:divsChild>
                </w:div>
                <w:div w:id="378893842">
                  <w:marLeft w:val="0"/>
                  <w:marRight w:val="0"/>
                  <w:marTop w:val="0"/>
                  <w:marBottom w:val="0"/>
                  <w:divBdr>
                    <w:top w:val="none" w:sz="0" w:space="0" w:color="auto"/>
                    <w:left w:val="none" w:sz="0" w:space="0" w:color="auto"/>
                    <w:bottom w:val="none" w:sz="0" w:space="0" w:color="auto"/>
                    <w:right w:val="none" w:sz="0" w:space="0" w:color="auto"/>
                  </w:divBdr>
                  <w:divsChild>
                    <w:div w:id="854228167">
                      <w:marLeft w:val="0"/>
                      <w:marRight w:val="0"/>
                      <w:marTop w:val="0"/>
                      <w:marBottom w:val="0"/>
                      <w:divBdr>
                        <w:top w:val="none" w:sz="0" w:space="0" w:color="auto"/>
                        <w:left w:val="none" w:sz="0" w:space="0" w:color="auto"/>
                        <w:bottom w:val="none" w:sz="0" w:space="0" w:color="auto"/>
                        <w:right w:val="none" w:sz="0" w:space="0" w:color="auto"/>
                      </w:divBdr>
                    </w:div>
                  </w:divsChild>
                </w:div>
                <w:div w:id="412895206">
                  <w:marLeft w:val="0"/>
                  <w:marRight w:val="0"/>
                  <w:marTop w:val="0"/>
                  <w:marBottom w:val="0"/>
                  <w:divBdr>
                    <w:top w:val="none" w:sz="0" w:space="0" w:color="auto"/>
                    <w:left w:val="none" w:sz="0" w:space="0" w:color="auto"/>
                    <w:bottom w:val="none" w:sz="0" w:space="0" w:color="auto"/>
                    <w:right w:val="none" w:sz="0" w:space="0" w:color="auto"/>
                  </w:divBdr>
                  <w:divsChild>
                    <w:div w:id="1493371448">
                      <w:marLeft w:val="0"/>
                      <w:marRight w:val="0"/>
                      <w:marTop w:val="0"/>
                      <w:marBottom w:val="0"/>
                      <w:divBdr>
                        <w:top w:val="none" w:sz="0" w:space="0" w:color="auto"/>
                        <w:left w:val="none" w:sz="0" w:space="0" w:color="auto"/>
                        <w:bottom w:val="none" w:sz="0" w:space="0" w:color="auto"/>
                        <w:right w:val="none" w:sz="0" w:space="0" w:color="auto"/>
                      </w:divBdr>
                    </w:div>
                  </w:divsChild>
                </w:div>
                <w:div w:id="464130327">
                  <w:marLeft w:val="0"/>
                  <w:marRight w:val="0"/>
                  <w:marTop w:val="0"/>
                  <w:marBottom w:val="0"/>
                  <w:divBdr>
                    <w:top w:val="none" w:sz="0" w:space="0" w:color="auto"/>
                    <w:left w:val="none" w:sz="0" w:space="0" w:color="auto"/>
                    <w:bottom w:val="none" w:sz="0" w:space="0" w:color="auto"/>
                    <w:right w:val="none" w:sz="0" w:space="0" w:color="auto"/>
                  </w:divBdr>
                  <w:divsChild>
                    <w:div w:id="399794150">
                      <w:marLeft w:val="0"/>
                      <w:marRight w:val="0"/>
                      <w:marTop w:val="0"/>
                      <w:marBottom w:val="0"/>
                      <w:divBdr>
                        <w:top w:val="none" w:sz="0" w:space="0" w:color="auto"/>
                        <w:left w:val="none" w:sz="0" w:space="0" w:color="auto"/>
                        <w:bottom w:val="none" w:sz="0" w:space="0" w:color="auto"/>
                        <w:right w:val="none" w:sz="0" w:space="0" w:color="auto"/>
                      </w:divBdr>
                    </w:div>
                  </w:divsChild>
                </w:div>
                <w:div w:id="531385557">
                  <w:marLeft w:val="0"/>
                  <w:marRight w:val="0"/>
                  <w:marTop w:val="0"/>
                  <w:marBottom w:val="0"/>
                  <w:divBdr>
                    <w:top w:val="none" w:sz="0" w:space="0" w:color="auto"/>
                    <w:left w:val="none" w:sz="0" w:space="0" w:color="auto"/>
                    <w:bottom w:val="none" w:sz="0" w:space="0" w:color="auto"/>
                    <w:right w:val="none" w:sz="0" w:space="0" w:color="auto"/>
                  </w:divBdr>
                  <w:divsChild>
                    <w:div w:id="404230179">
                      <w:marLeft w:val="0"/>
                      <w:marRight w:val="0"/>
                      <w:marTop w:val="0"/>
                      <w:marBottom w:val="0"/>
                      <w:divBdr>
                        <w:top w:val="none" w:sz="0" w:space="0" w:color="auto"/>
                        <w:left w:val="none" w:sz="0" w:space="0" w:color="auto"/>
                        <w:bottom w:val="none" w:sz="0" w:space="0" w:color="auto"/>
                        <w:right w:val="none" w:sz="0" w:space="0" w:color="auto"/>
                      </w:divBdr>
                    </w:div>
                    <w:div w:id="1764837165">
                      <w:marLeft w:val="0"/>
                      <w:marRight w:val="0"/>
                      <w:marTop w:val="0"/>
                      <w:marBottom w:val="0"/>
                      <w:divBdr>
                        <w:top w:val="none" w:sz="0" w:space="0" w:color="auto"/>
                        <w:left w:val="none" w:sz="0" w:space="0" w:color="auto"/>
                        <w:bottom w:val="none" w:sz="0" w:space="0" w:color="auto"/>
                        <w:right w:val="none" w:sz="0" w:space="0" w:color="auto"/>
                      </w:divBdr>
                    </w:div>
                  </w:divsChild>
                </w:div>
                <w:div w:id="548496246">
                  <w:marLeft w:val="0"/>
                  <w:marRight w:val="0"/>
                  <w:marTop w:val="0"/>
                  <w:marBottom w:val="0"/>
                  <w:divBdr>
                    <w:top w:val="none" w:sz="0" w:space="0" w:color="auto"/>
                    <w:left w:val="none" w:sz="0" w:space="0" w:color="auto"/>
                    <w:bottom w:val="none" w:sz="0" w:space="0" w:color="auto"/>
                    <w:right w:val="none" w:sz="0" w:space="0" w:color="auto"/>
                  </w:divBdr>
                  <w:divsChild>
                    <w:div w:id="1376274905">
                      <w:marLeft w:val="0"/>
                      <w:marRight w:val="0"/>
                      <w:marTop w:val="0"/>
                      <w:marBottom w:val="0"/>
                      <w:divBdr>
                        <w:top w:val="none" w:sz="0" w:space="0" w:color="auto"/>
                        <w:left w:val="none" w:sz="0" w:space="0" w:color="auto"/>
                        <w:bottom w:val="none" w:sz="0" w:space="0" w:color="auto"/>
                        <w:right w:val="none" w:sz="0" w:space="0" w:color="auto"/>
                      </w:divBdr>
                    </w:div>
                  </w:divsChild>
                </w:div>
                <w:div w:id="549457922">
                  <w:marLeft w:val="0"/>
                  <w:marRight w:val="0"/>
                  <w:marTop w:val="0"/>
                  <w:marBottom w:val="0"/>
                  <w:divBdr>
                    <w:top w:val="none" w:sz="0" w:space="0" w:color="auto"/>
                    <w:left w:val="none" w:sz="0" w:space="0" w:color="auto"/>
                    <w:bottom w:val="none" w:sz="0" w:space="0" w:color="auto"/>
                    <w:right w:val="none" w:sz="0" w:space="0" w:color="auto"/>
                  </w:divBdr>
                  <w:divsChild>
                    <w:div w:id="614291176">
                      <w:marLeft w:val="0"/>
                      <w:marRight w:val="0"/>
                      <w:marTop w:val="0"/>
                      <w:marBottom w:val="0"/>
                      <w:divBdr>
                        <w:top w:val="none" w:sz="0" w:space="0" w:color="auto"/>
                        <w:left w:val="none" w:sz="0" w:space="0" w:color="auto"/>
                        <w:bottom w:val="none" w:sz="0" w:space="0" w:color="auto"/>
                        <w:right w:val="none" w:sz="0" w:space="0" w:color="auto"/>
                      </w:divBdr>
                    </w:div>
                  </w:divsChild>
                </w:div>
                <w:div w:id="565991951">
                  <w:marLeft w:val="0"/>
                  <w:marRight w:val="0"/>
                  <w:marTop w:val="0"/>
                  <w:marBottom w:val="0"/>
                  <w:divBdr>
                    <w:top w:val="none" w:sz="0" w:space="0" w:color="auto"/>
                    <w:left w:val="none" w:sz="0" w:space="0" w:color="auto"/>
                    <w:bottom w:val="none" w:sz="0" w:space="0" w:color="auto"/>
                    <w:right w:val="none" w:sz="0" w:space="0" w:color="auto"/>
                  </w:divBdr>
                  <w:divsChild>
                    <w:div w:id="1421754800">
                      <w:marLeft w:val="0"/>
                      <w:marRight w:val="0"/>
                      <w:marTop w:val="0"/>
                      <w:marBottom w:val="0"/>
                      <w:divBdr>
                        <w:top w:val="none" w:sz="0" w:space="0" w:color="auto"/>
                        <w:left w:val="none" w:sz="0" w:space="0" w:color="auto"/>
                        <w:bottom w:val="none" w:sz="0" w:space="0" w:color="auto"/>
                        <w:right w:val="none" w:sz="0" w:space="0" w:color="auto"/>
                      </w:divBdr>
                    </w:div>
                  </w:divsChild>
                </w:div>
                <w:div w:id="571625799">
                  <w:marLeft w:val="0"/>
                  <w:marRight w:val="0"/>
                  <w:marTop w:val="0"/>
                  <w:marBottom w:val="0"/>
                  <w:divBdr>
                    <w:top w:val="none" w:sz="0" w:space="0" w:color="auto"/>
                    <w:left w:val="none" w:sz="0" w:space="0" w:color="auto"/>
                    <w:bottom w:val="none" w:sz="0" w:space="0" w:color="auto"/>
                    <w:right w:val="none" w:sz="0" w:space="0" w:color="auto"/>
                  </w:divBdr>
                  <w:divsChild>
                    <w:div w:id="501048455">
                      <w:marLeft w:val="0"/>
                      <w:marRight w:val="0"/>
                      <w:marTop w:val="0"/>
                      <w:marBottom w:val="0"/>
                      <w:divBdr>
                        <w:top w:val="none" w:sz="0" w:space="0" w:color="auto"/>
                        <w:left w:val="none" w:sz="0" w:space="0" w:color="auto"/>
                        <w:bottom w:val="none" w:sz="0" w:space="0" w:color="auto"/>
                        <w:right w:val="none" w:sz="0" w:space="0" w:color="auto"/>
                      </w:divBdr>
                    </w:div>
                  </w:divsChild>
                </w:div>
                <w:div w:id="585577114">
                  <w:marLeft w:val="0"/>
                  <w:marRight w:val="0"/>
                  <w:marTop w:val="0"/>
                  <w:marBottom w:val="0"/>
                  <w:divBdr>
                    <w:top w:val="none" w:sz="0" w:space="0" w:color="auto"/>
                    <w:left w:val="none" w:sz="0" w:space="0" w:color="auto"/>
                    <w:bottom w:val="none" w:sz="0" w:space="0" w:color="auto"/>
                    <w:right w:val="none" w:sz="0" w:space="0" w:color="auto"/>
                  </w:divBdr>
                  <w:divsChild>
                    <w:div w:id="1056658052">
                      <w:marLeft w:val="0"/>
                      <w:marRight w:val="0"/>
                      <w:marTop w:val="0"/>
                      <w:marBottom w:val="0"/>
                      <w:divBdr>
                        <w:top w:val="none" w:sz="0" w:space="0" w:color="auto"/>
                        <w:left w:val="none" w:sz="0" w:space="0" w:color="auto"/>
                        <w:bottom w:val="none" w:sz="0" w:space="0" w:color="auto"/>
                        <w:right w:val="none" w:sz="0" w:space="0" w:color="auto"/>
                      </w:divBdr>
                    </w:div>
                  </w:divsChild>
                </w:div>
                <w:div w:id="640770216">
                  <w:marLeft w:val="0"/>
                  <w:marRight w:val="0"/>
                  <w:marTop w:val="0"/>
                  <w:marBottom w:val="0"/>
                  <w:divBdr>
                    <w:top w:val="none" w:sz="0" w:space="0" w:color="auto"/>
                    <w:left w:val="none" w:sz="0" w:space="0" w:color="auto"/>
                    <w:bottom w:val="none" w:sz="0" w:space="0" w:color="auto"/>
                    <w:right w:val="none" w:sz="0" w:space="0" w:color="auto"/>
                  </w:divBdr>
                  <w:divsChild>
                    <w:div w:id="1164928688">
                      <w:marLeft w:val="0"/>
                      <w:marRight w:val="0"/>
                      <w:marTop w:val="0"/>
                      <w:marBottom w:val="0"/>
                      <w:divBdr>
                        <w:top w:val="none" w:sz="0" w:space="0" w:color="auto"/>
                        <w:left w:val="none" w:sz="0" w:space="0" w:color="auto"/>
                        <w:bottom w:val="none" w:sz="0" w:space="0" w:color="auto"/>
                        <w:right w:val="none" w:sz="0" w:space="0" w:color="auto"/>
                      </w:divBdr>
                    </w:div>
                  </w:divsChild>
                </w:div>
                <w:div w:id="696007070">
                  <w:marLeft w:val="0"/>
                  <w:marRight w:val="0"/>
                  <w:marTop w:val="0"/>
                  <w:marBottom w:val="0"/>
                  <w:divBdr>
                    <w:top w:val="none" w:sz="0" w:space="0" w:color="auto"/>
                    <w:left w:val="none" w:sz="0" w:space="0" w:color="auto"/>
                    <w:bottom w:val="none" w:sz="0" w:space="0" w:color="auto"/>
                    <w:right w:val="none" w:sz="0" w:space="0" w:color="auto"/>
                  </w:divBdr>
                  <w:divsChild>
                    <w:div w:id="1454637474">
                      <w:marLeft w:val="0"/>
                      <w:marRight w:val="0"/>
                      <w:marTop w:val="0"/>
                      <w:marBottom w:val="0"/>
                      <w:divBdr>
                        <w:top w:val="none" w:sz="0" w:space="0" w:color="auto"/>
                        <w:left w:val="none" w:sz="0" w:space="0" w:color="auto"/>
                        <w:bottom w:val="none" w:sz="0" w:space="0" w:color="auto"/>
                        <w:right w:val="none" w:sz="0" w:space="0" w:color="auto"/>
                      </w:divBdr>
                    </w:div>
                  </w:divsChild>
                </w:div>
                <w:div w:id="736630732">
                  <w:marLeft w:val="0"/>
                  <w:marRight w:val="0"/>
                  <w:marTop w:val="0"/>
                  <w:marBottom w:val="0"/>
                  <w:divBdr>
                    <w:top w:val="none" w:sz="0" w:space="0" w:color="auto"/>
                    <w:left w:val="none" w:sz="0" w:space="0" w:color="auto"/>
                    <w:bottom w:val="none" w:sz="0" w:space="0" w:color="auto"/>
                    <w:right w:val="none" w:sz="0" w:space="0" w:color="auto"/>
                  </w:divBdr>
                  <w:divsChild>
                    <w:div w:id="792209152">
                      <w:marLeft w:val="0"/>
                      <w:marRight w:val="0"/>
                      <w:marTop w:val="0"/>
                      <w:marBottom w:val="0"/>
                      <w:divBdr>
                        <w:top w:val="none" w:sz="0" w:space="0" w:color="auto"/>
                        <w:left w:val="none" w:sz="0" w:space="0" w:color="auto"/>
                        <w:bottom w:val="none" w:sz="0" w:space="0" w:color="auto"/>
                        <w:right w:val="none" w:sz="0" w:space="0" w:color="auto"/>
                      </w:divBdr>
                    </w:div>
                  </w:divsChild>
                </w:div>
                <w:div w:id="779420599">
                  <w:marLeft w:val="0"/>
                  <w:marRight w:val="0"/>
                  <w:marTop w:val="0"/>
                  <w:marBottom w:val="0"/>
                  <w:divBdr>
                    <w:top w:val="none" w:sz="0" w:space="0" w:color="auto"/>
                    <w:left w:val="none" w:sz="0" w:space="0" w:color="auto"/>
                    <w:bottom w:val="none" w:sz="0" w:space="0" w:color="auto"/>
                    <w:right w:val="none" w:sz="0" w:space="0" w:color="auto"/>
                  </w:divBdr>
                  <w:divsChild>
                    <w:div w:id="1222599915">
                      <w:marLeft w:val="0"/>
                      <w:marRight w:val="0"/>
                      <w:marTop w:val="0"/>
                      <w:marBottom w:val="0"/>
                      <w:divBdr>
                        <w:top w:val="none" w:sz="0" w:space="0" w:color="auto"/>
                        <w:left w:val="none" w:sz="0" w:space="0" w:color="auto"/>
                        <w:bottom w:val="none" w:sz="0" w:space="0" w:color="auto"/>
                        <w:right w:val="none" w:sz="0" w:space="0" w:color="auto"/>
                      </w:divBdr>
                    </w:div>
                  </w:divsChild>
                </w:div>
                <w:div w:id="785081160">
                  <w:marLeft w:val="0"/>
                  <w:marRight w:val="0"/>
                  <w:marTop w:val="0"/>
                  <w:marBottom w:val="0"/>
                  <w:divBdr>
                    <w:top w:val="none" w:sz="0" w:space="0" w:color="auto"/>
                    <w:left w:val="none" w:sz="0" w:space="0" w:color="auto"/>
                    <w:bottom w:val="none" w:sz="0" w:space="0" w:color="auto"/>
                    <w:right w:val="none" w:sz="0" w:space="0" w:color="auto"/>
                  </w:divBdr>
                  <w:divsChild>
                    <w:div w:id="55594407">
                      <w:marLeft w:val="0"/>
                      <w:marRight w:val="0"/>
                      <w:marTop w:val="0"/>
                      <w:marBottom w:val="0"/>
                      <w:divBdr>
                        <w:top w:val="none" w:sz="0" w:space="0" w:color="auto"/>
                        <w:left w:val="none" w:sz="0" w:space="0" w:color="auto"/>
                        <w:bottom w:val="none" w:sz="0" w:space="0" w:color="auto"/>
                        <w:right w:val="none" w:sz="0" w:space="0" w:color="auto"/>
                      </w:divBdr>
                    </w:div>
                  </w:divsChild>
                </w:div>
                <w:div w:id="876506619">
                  <w:marLeft w:val="0"/>
                  <w:marRight w:val="0"/>
                  <w:marTop w:val="0"/>
                  <w:marBottom w:val="0"/>
                  <w:divBdr>
                    <w:top w:val="none" w:sz="0" w:space="0" w:color="auto"/>
                    <w:left w:val="none" w:sz="0" w:space="0" w:color="auto"/>
                    <w:bottom w:val="none" w:sz="0" w:space="0" w:color="auto"/>
                    <w:right w:val="none" w:sz="0" w:space="0" w:color="auto"/>
                  </w:divBdr>
                  <w:divsChild>
                    <w:div w:id="1242251767">
                      <w:marLeft w:val="0"/>
                      <w:marRight w:val="0"/>
                      <w:marTop w:val="0"/>
                      <w:marBottom w:val="0"/>
                      <w:divBdr>
                        <w:top w:val="none" w:sz="0" w:space="0" w:color="auto"/>
                        <w:left w:val="none" w:sz="0" w:space="0" w:color="auto"/>
                        <w:bottom w:val="none" w:sz="0" w:space="0" w:color="auto"/>
                        <w:right w:val="none" w:sz="0" w:space="0" w:color="auto"/>
                      </w:divBdr>
                    </w:div>
                  </w:divsChild>
                </w:div>
                <w:div w:id="942494910">
                  <w:marLeft w:val="0"/>
                  <w:marRight w:val="0"/>
                  <w:marTop w:val="0"/>
                  <w:marBottom w:val="0"/>
                  <w:divBdr>
                    <w:top w:val="none" w:sz="0" w:space="0" w:color="auto"/>
                    <w:left w:val="none" w:sz="0" w:space="0" w:color="auto"/>
                    <w:bottom w:val="none" w:sz="0" w:space="0" w:color="auto"/>
                    <w:right w:val="none" w:sz="0" w:space="0" w:color="auto"/>
                  </w:divBdr>
                  <w:divsChild>
                    <w:div w:id="240912926">
                      <w:marLeft w:val="0"/>
                      <w:marRight w:val="0"/>
                      <w:marTop w:val="0"/>
                      <w:marBottom w:val="0"/>
                      <w:divBdr>
                        <w:top w:val="none" w:sz="0" w:space="0" w:color="auto"/>
                        <w:left w:val="none" w:sz="0" w:space="0" w:color="auto"/>
                        <w:bottom w:val="none" w:sz="0" w:space="0" w:color="auto"/>
                        <w:right w:val="none" w:sz="0" w:space="0" w:color="auto"/>
                      </w:divBdr>
                    </w:div>
                  </w:divsChild>
                </w:div>
                <w:div w:id="983696946">
                  <w:marLeft w:val="0"/>
                  <w:marRight w:val="0"/>
                  <w:marTop w:val="0"/>
                  <w:marBottom w:val="0"/>
                  <w:divBdr>
                    <w:top w:val="none" w:sz="0" w:space="0" w:color="auto"/>
                    <w:left w:val="none" w:sz="0" w:space="0" w:color="auto"/>
                    <w:bottom w:val="none" w:sz="0" w:space="0" w:color="auto"/>
                    <w:right w:val="none" w:sz="0" w:space="0" w:color="auto"/>
                  </w:divBdr>
                  <w:divsChild>
                    <w:div w:id="216747382">
                      <w:marLeft w:val="0"/>
                      <w:marRight w:val="0"/>
                      <w:marTop w:val="0"/>
                      <w:marBottom w:val="0"/>
                      <w:divBdr>
                        <w:top w:val="none" w:sz="0" w:space="0" w:color="auto"/>
                        <w:left w:val="none" w:sz="0" w:space="0" w:color="auto"/>
                        <w:bottom w:val="none" w:sz="0" w:space="0" w:color="auto"/>
                        <w:right w:val="none" w:sz="0" w:space="0" w:color="auto"/>
                      </w:divBdr>
                    </w:div>
                  </w:divsChild>
                </w:div>
                <w:div w:id="1024789622">
                  <w:marLeft w:val="0"/>
                  <w:marRight w:val="0"/>
                  <w:marTop w:val="0"/>
                  <w:marBottom w:val="0"/>
                  <w:divBdr>
                    <w:top w:val="none" w:sz="0" w:space="0" w:color="auto"/>
                    <w:left w:val="none" w:sz="0" w:space="0" w:color="auto"/>
                    <w:bottom w:val="none" w:sz="0" w:space="0" w:color="auto"/>
                    <w:right w:val="none" w:sz="0" w:space="0" w:color="auto"/>
                  </w:divBdr>
                  <w:divsChild>
                    <w:div w:id="1394423056">
                      <w:marLeft w:val="0"/>
                      <w:marRight w:val="0"/>
                      <w:marTop w:val="0"/>
                      <w:marBottom w:val="0"/>
                      <w:divBdr>
                        <w:top w:val="none" w:sz="0" w:space="0" w:color="auto"/>
                        <w:left w:val="none" w:sz="0" w:space="0" w:color="auto"/>
                        <w:bottom w:val="none" w:sz="0" w:space="0" w:color="auto"/>
                        <w:right w:val="none" w:sz="0" w:space="0" w:color="auto"/>
                      </w:divBdr>
                    </w:div>
                  </w:divsChild>
                </w:div>
                <w:div w:id="1051266610">
                  <w:marLeft w:val="0"/>
                  <w:marRight w:val="0"/>
                  <w:marTop w:val="0"/>
                  <w:marBottom w:val="0"/>
                  <w:divBdr>
                    <w:top w:val="none" w:sz="0" w:space="0" w:color="auto"/>
                    <w:left w:val="none" w:sz="0" w:space="0" w:color="auto"/>
                    <w:bottom w:val="none" w:sz="0" w:space="0" w:color="auto"/>
                    <w:right w:val="none" w:sz="0" w:space="0" w:color="auto"/>
                  </w:divBdr>
                  <w:divsChild>
                    <w:div w:id="643120084">
                      <w:marLeft w:val="0"/>
                      <w:marRight w:val="0"/>
                      <w:marTop w:val="0"/>
                      <w:marBottom w:val="0"/>
                      <w:divBdr>
                        <w:top w:val="none" w:sz="0" w:space="0" w:color="auto"/>
                        <w:left w:val="none" w:sz="0" w:space="0" w:color="auto"/>
                        <w:bottom w:val="none" w:sz="0" w:space="0" w:color="auto"/>
                        <w:right w:val="none" w:sz="0" w:space="0" w:color="auto"/>
                      </w:divBdr>
                    </w:div>
                  </w:divsChild>
                </w:div>
                <w:div w:id="1149053559">
                  <w:marLeft w:val="0"/>
                  <w:marRight w:val="0"/>
                  <w:marTop w:val="0"/>
                  <w:marBottom w:val="0"/>
                  <w:divBdr>
                    <w:top w:val="none" w:sz="0" w:space="0" w:color="auto"/>
                    <w:left w:val="none" w:sz="0" w:space="0" w:color="auto"/>
                    <w:bottom w:val="none" w:sz="0" w:space="0" w:color="auto"/>
                    <w:right w:val="none" w:sz="0" w:space="0" w:color="auto"/>
                  </w:divBdr>
                  <w:divsChild>
                    <w:div w:id="318000228">
                      <w:marLeft w:val="0"/>
                      <w:marRight w:val="0"/>
                      <w:marTop w:val="0"/>
                      <w:marBottom w:val="0"/>
                      <w:divBdr>
                        <w:top w:val="none" w:sz="0" w:space="0" w:color="auto"/>
                        <w:left w:val="none" w:sz="0" w:space="0" w:color="auto"/>
                        <w:bottom w:val="none" w:sz="0" w:space="0" w:color="auto"/>
                        <w:right w:val="none" w:sz="0" w:space="0" w:color="auto"/>
                      </w:divBdr>
                    </w:div>
                  </w:divsChild>
                </w:div>
                <w:div w:id="1152137665">
                  <w:marLeft w:val="0"/>
                  <w:marRight w:val="0"/>
                  <w:marTop w:val="0"/>
                  <w:marBottom w:val="0"/>
                  <w:divBdr>
                    <w:top w:val="none" w:sz="0" w:space="0" w:color="auto"/>
                    <w:left w:val="none" w:sz="0" w:space="0" w:color="auto"/>
                    <w:bottom w:val="none" w:sz="0" w:space="0" w:color="auto"/>
                    <w:right w:val="none" w:sz="0" w:space="0" w:color="auto"/>
                  </w:divBdr>
                  <w:divsChild>
                    <w:div w:id="2050108080">
                      <w:marLeft w:val="0"/>
                      <w:marRight w:val="0"/>
                      <w:marTop w:val="0"/>
                      <w:marBottom w:val="0"/>
                      <w:divBdr>
                        <w:top w:val="none" w:sz="0" w:space="0" w:color="auto"/>
                        <w:left w:val="none" w:sz="0" w:space="0" w:color="auto"/>
                        <w:bottom w:val="none" w:sz="0" w:space="0" w:color="auto"/>
                        <w:right w:val="none" w:sz="0" w:space="0" w:color="auto"/>
                      </w:divBdr>
                    </w:div>
                  </w:divsChild>
                </w:div>
                <w:div w:id="1194463731">
                  <w:marLeft w:val="0"/>
                  <w:marRight w:val="0"/>
                  <w:marTop w:val="0"/>
                  <w:marBottom w:val="0"/>
                  <w:divBdr>
                    <w:top w:val="none" w:sz="0" w:space="0" w:color="auto"/>
                    <w:left w:val="none" w:sz="0" w:space="0" w:color="auto"/>
                    <w:bottom w:val="none" w:sz="0" w:space="0" w:color="auto"/>
                    <w:right w:val="none" w:sz="0" w:space="0" w:color="auto"/>
                  </w:divBdr>
                  <w:divsChild>
                    <w:div w:id="2077629243">
                      <w:marLeft w:val="0"/>
                      <w:marRight w:val="0"/>
                      <w:marTop w:val="0"/>
                      <w:marBottom w:val="0"/>
                      <w:divBdr>
                        <w:top w:val="none" w:sz="0" w:space="0" w:color="auto"/>
                        <w:left w:val="none" w:sz="0" w:space="0" w:color="auto"/>
                        <w:bottom w:val="none" w:sz="0" w:space="0" w:color="auto"/>
                        <w:right w:val="none" w:sz="0" w:space="0" w:color="auto"/>
                      </w:divBdr>
                    </w:div>
                  </w:divsChild>
                </w:div>
                <w:div w:id="1199124073">
                  <w:marLeft w:val="0"/>
                  <w:marRight w:val="0"/>
                  <w:marTop w:val="0"/>
                  <w:marBottom w:val="0"/>
                  <w:divBdr>
                    <w:top w:val="none" w:sz="0" w:space="0" w:color="auto"/>
                    <w:left w:val="none" w:sz="0" w:space="0" w:color="auto"/>
                    <w:bottom w:val="none" w:sz="0" w:space="0" w:color="auto"/>
                    <w:right w:val="none" w:sz="0" w:space="0" w:color="auto"/>
                  </w:divBdr>
                  <w:divsChild>
                    <w:div w:id="451091623">
                      <w:marLeft w:val="0"/>
                      <w:marRight w:val="0"/>
                      <w:marTop w:val="0"/>
                      <w:marBottom w:val="0"/>
                      <w:divBdr>
                        <w:top w:val="none" w:sz="0" w:space="0" w:color="auto"/>
                        <w:left w:val="none" w:sz="0" w:space="0" w:color="auto"/>
                        <w:bottom w:val="none" w:sz="0" w:space="0" w:color="auto"/>
                        <w:right w:val="none" w:sz="0" w:space="0" w:color="auto"/>
                      </w:divBdr>
                    </w:div>
                  </w:divsChild>
                </w:div>
                <w:div w:id="1201088526">
                  <w:marLeft w:val="0"/>
                  <w:marRight w:val="0"/>
                  <w:marTop w:val="0"/>
                  <w:marBottom w:val="0"/>
                  <w:divBdr>
                    <w:top w:val="none" w:sz="0" w:space="0" w:color="auto"/>
                    <w:left w:val="none" w:sz="0" w:space="0" w:color="auto"/>
                    <w:bottom w:val="none" w:sz="0" w:space="0" w:color="auto"/>
                    <w:right w:val="none" w:sz="0" w:space="0" w:color="auto"/>
                  </w:divBdr>
                  <w:divsChild>
                    <w:div w:id="421413914">
                      <w:marLeft w:val="0"/>
                      <w:marRight w:val="0"/>
                      <w:marTop w:val="0"/>
                      <w:marBottom w:val="0"/>
                      <w:divBdr>
                        <w:top w:val="none" w:sz="0" w:space="0" w:color="auto"/>
                        <w:left w:val="none" w:sz="0" w:space="0" w:color="auto"/>
                        <w:bottom w:val="none" w:sz="0" w:space="0" w:color="auto"/>
                        <w:right w:val="none" w:sz="0" w:space="0" w:color="auto"/>
                      </w:divBdr>
                    </w:div>
                  </w:divsChild>
                </w:div>
                <w:div w:id="1241253691">
                  <w:marLeft w:val="0"/>
                  <w:marRight w:val="0"/>
                  <w:marTop w:val="0"/>
                  <w:marBottom w:val="0"/>
                  <w:divBdr>
                    <w:top w:val="none" w:sz="0" w:space="0" w:color="auto"/>
                    <w:left w:val="none" w:sz="0" w:space="0" w:color="auto"/>
                    <w:bottom w:val="none" w:sz="0" w:space="0" w:color="auto"/>
                    <w:right w:val="none" w:sz="0" w:space="0" w:color="auto"/>
                  </w:divBdr>
                  <w:divsChild>
                    <w:div w:id="414597056">
                      <w:marLeft w:val="0"/>
                      <w:marRight w:val="0"/>
                      <w:marTop w:val="0"/>
                      <w:marBottom w:val="0"/>
                      <w:divBdr>
                        <w:top w:val="none" w:sz="0" w:space="0" w:color="auto"/>
                        <w:left w:val="none" w:sz="0" w:space="0" w:color="auto"/>
                        <w:bottom w:val="none" w:sz="0" w:space="0" w:color="auto"/>
                        <w:right w:val="none" w:sz="0" w:space="0" w:color="auto"/>
                      </w:divBdr>
                    </w:div>
                  </w:divsChild>
                </w:div>
                <w:div w:id="1262640005">
                  <w:marLeft w:val="0"/>
                  <w:marRight w:val="0"/>
                  <w:marTop w:val="0"/>
                  <w:marBottom w:val="0"/>
                  <w:divBdr>
                    <w:top w:val="none" w:sz="0" w:space="0" w:color="auto"/>
                    <w:left w:val="none" w:sz="0" w:space="0" w:color="auto"/>
                    <w:bottom w:val="none" w:sz="0" w:space="0" w:color="auto"/>
                    <w:right w:val="none" w:sz="0" w:space="0" w:color="auto"/>
                  </w:divBdr>
                  <w:divsChild>
                    <w:div w:id="972979120">
                      <w:marLeft w:val="0"/>
                      <w:marRight w:val="0"/>
                      <w:marTop w:val="0"/>
                      <w:marBottom w:val="0"/>
                      <w:divBdr>
                        <w:top w:val="none" w:sz="0" w:space="0" w:color="auto"/>
                        <w:left w:val="none" w:sz="0" w:space="0" w:color="auto"/>
                        <w:bottom w:val="none" w:sz="0" w:space="0" w:color="auto"/>
                        <w:right w:val="none" w:sz="0" w:space="0" w:color="auto"/>
                      </w:divBdr>
                    </w:div>
                  </w:divsChild>
                </w:div>
                <w:div w:id="1276206031">
                  <w:marLeft w:val="0"/>
                  <w:marRight w:val="0"/>
                  <w:marTop w:val="0"/>
                  <w:marBottom w:val="0"/>
                  <w:divBdr>
                    <w:top w:val="none" w:sz="0" w:space="0" w:color="auto"/>
                    <w:left w:val="none" w:sz="0" w:space="0" w:color="auto"/>
                    <w:bottom w:val="none" w:sz="0" w:space="0" w:color="auto"/>
                    <w:right w:val="none" w:sz="0" w:space="0" w:color="auto"/>
                  </w:divBdr>
                  <w:divsChild>
                    <w:div w:id="670833885">
                      <w:marLeft w:val="0"/>
                      <w:marRight w:val="0"/>
                      <w:marTop w:val="0"/>
                      <w:marBottom w:val="0"/>
                      <w:divBdr>
                        <w:top w:val="none" w:sz="0" w:space="0" w:color="auto"/>
                        <w:left w:val="none" w:sz="0" w:space="0" w:color="auto"/>
                        <w:bottom w:val="none" w:sz="0" w:space="0" w:color="auto"/>
                        <w:right w:val="none" w:sz="0" w:space="0" w:color="auto"/>
                      </w:divBdr>
                    </w:div>
                  </w:divsChild>
                </w:div>
                <w:div w:id="1288007927">
                  <w:marLeft w:val="0"/>
                  <w:marRight w:val="0"/>
                  <w:marTop w:val="0"/>
                  <w:marBottom w:val="0"/>
                  <w:divBdr>
                    <w:top w:val="none" w:sz="0" w:space="0" w:color="auto"/>
                    <w:left w:val="none" w:sz="0" w:space="0" w:color="auto"/>
                    <w:bottom w:val="none" w:sz="0" w:space="0" w:color="auto"/>
                    <w:right w:val="none" w:sz="0" w:space="0" w:color="auto"/>
                  </w:divBdr>
                  <w:divsChild>
                    <w:div w:id="932933011">
                      <w:marLeft w:val="0"/>
                      <w:marRight w:val="0"/>
                      <w:marTop w:val="0"/>
                      <w:marBottom w:val="0"/>
                      <w:divBdr>
                        <w:top w:val="none" w:sz="0" w:space="0" w:color="auto"/>
                        <w:left w:val="none" w:sz="0" w:space="0" w:color="auto"/>
                        <w:bottom w:val="none" w:sz="0" w:space="0" w:color="auto"/>
                        <w:right w:val="none" w:sz="0" w:space="0" w:color="auto"/>
                      </w:divBdr>
                    </w:div>
                  </w:divsChild>
                </w:div>
                <w:div w:id="1321428781">
                  <w:marLeft w:val="0"/>
                  <w:marRight w:val="0"/>
                  <w:marTop w:val="0"/>
                  <w:marBottom w:val="0"/>
                  <w:divBdr>
                    <w:top w:val="none" w:sz="0" w:space="0" w:color="auto"/>
                    <w:left w:val="none" w:sz="0" w:space="0" w:color="auto"/>
                    <w:bottom w:val="none" w:sz="0" w:space="0" w:color="auto"/>
                    <w:right w:val="none" w:sz="0" w:space="0" w:color="auto"/>
                  </w:divBdr>
                  <w:divsChild>
                    <w:div w:id="832918596">
                      <w:marLeft w:val="0"/>
                      <w:marRight w:val="0"/>
                      <w:marTop w:val="0"/>
                      <w:marBottom w:val="0"/>
                      <w:divBdr>
                        <w:top w:val="none" w:sz="0" w:space="0" w:color="auto"/>
                        <w:left w:val="none" w:sz="0" w:space="0" w:color="auto"/>
                        <w:bottom w:val="none" w:sz="0" w:space="0" w:color="auto"/>
                        <w:right w:val="none" w:sz="0" w:space="0" w:color="auto"/>
                      </w:divBdr>
                    </w:div>
                  </w:divsChild>
                </w:div>
                <w:div w:id="1329750811">
                  <w:marLeft w:val="0"/>
                  <w:marRight w:val="0"/>
                  <w:marTop w:val="0"/>
                  <w:marBottom w:val="0"/>
                  <w:divBdr>
                    <w:top w:val="none" w:sz="0" w:space="0" w:color="auto"/>
                    <w:left w:val="none" w:sz="0" w:space="0" w:color="auto"/>
                    <w:bottom w:val="none" w:sz="0" w:space="0" w:color="auto"/>
                    <w:right w:val="none" w:sz="0" w:space="0" w:color="auto"/>
                  </w:divBdr>
                  <w:divsChild>
                    <w:div w:id="1215389074">
                      <w:marLeft w:val="0"/>
                      <w:marRight w:val="0"/>
                      <w:marTop w:val="0"/>
                      <w:marBottom w:val="0"/>
                      <w:divBdr>
                        <w:top w:val="none" w:sz="0" w:space="0" w:color="auto"/>
                        <w:left w:val="none" w:sz="0" w:space="0" w:color="auto"/>
                        <w:bottom w:val="none" w:sz="0" w:space="0" w:color="auto"/>
                        <w:right w:val="none" w:sz="0" w:space="0" w:color="auto"/>
                      </w:divBdr>
                    </w:div>
                  </w:divsChild>
                </w:div>
                <w:div w:id="1419710085">
                  <w:marLeft w:val="0"/>
                  <w:marRight w:val="0"/>
                  <w:marTop w:val="0"/>
                  <w:marBottom w:val="0"/>
                  <w:divBdr>
                    <w:top w:val="none" w:sz="0" w:space="0" w:color="auto"/>
                    <w:left w:val="none" w:sz="0" w:space="0" w:color="auto"/>
                    <w:bottom w:val="none" w:sz="0" w:space="0" w:color="auto"/>
                    <w:right w:val="none" w:sz="0" w:space="0" w:color="auto"/>
                  </w:divBdr>
                  <w:divsChild>
                    <w:div w:id="376663236">
                      <w:marLeft w:val="0"/>
                      <w:marRight w:val="0"/>
                      <w:marTop w:val="0"/>
                      <w:marBottom w:val="0"/>
                      <w:divBdr>
                        <w:top w:val="none" w:sz="0" w:space="0" w:color="auto"/>
                        <w:left w:val="none" w:sz="0" w:space="0" w:color="auto"/>
                        <w:bottom w:val="none" w:sz="0" w:space="0" w:color="auto"/>
                        <w:right w:val="none" w:sz="0" w:space="0" w:color="auto"/>
                      </w:divBdr>
                    </w:div>
                    <w:div w:id="1405227627">
                      <w:marLeft w:val="0"/>
                      <w:marRight w:val="0"/>
                      <w:marTop w:val="0"/>
                      <w:marBottom w:val="0"/>
                      <w:divBdr>
                        <w:top w:val="none" w:sz="0" w:space="0" w:color="auto"/>
                        <w:left w:val="none" w:sz="0" w:space="0" w:color="auto"/>
                        <w:bottom w:val="none" w:sz="0" w:space="0" w:color="auto"/>
                        <w:right w:val="none" w:sz="0" w:space="0" w:color="auto"/>
                      </w:divBdr>
                    </w:div>
                  </w:divsChild>
                </w:div>
                <w:div w:id="1463763250">
                  <w:marLeft w:val="0"/>
                  <w:marRight w:val="0"/>
                  <w:marTop w:val="0"/>
                  <w:marBottom w:val="0"/>
                  <w:divBdr>
                    <w:top w:val="none" w:sz="0" w:space="0" w:color="auto"/>
                    <w:left w:val="none" w:sz="0" w:space="0" w:color="auto"/>
                    <w:bottom w:val="none" w:sz="0" w:space="0" w:color="auto"/>
                    <w:right w:val="none" w:sz="0" w:space="0" w:color="auto"/>
                  </w:divBdr>
                  <w:divsChild>
                    <w:div w:id="1229536075">
                      <w:marLeft w:val="0"/>
                      <w:marRight w:val="0"/>
                      <w:marTop w:val="0"/>
                      <w:marBottom w:val="0"/>
                      <w:divBdr>
                        <w:top w:val="none" w:sz="0" w:space="0" w:color="auto"/>
                        <w:left w:val="none" w:sz="0" w:space="0" w:color="auto"/>
                        <w:bottom w:val="none" w:sz="0" w:space="0" w:color="auto"/>
                        <w:right w:val="none" w:sz="0" w:space="0" w:color="auto"/>
                      </w:divBdr>
                    </w:div>
                  </w:divsChild>
                </w:div>
                <w:div w:id="1481456448">
                  <w:marLeft w:val="0"/>
                  <w:marRight w:val="0"/>
                  <w:marTop w:val="0"/>
                  <w:marBottom w:val="0"/>
                  <w:divBdr>
                    <w:top w:val="none" w:sz="0" w:space="0" w:color="auto"/>
                    <w:left w:val="none" w:sz="0" w:space="0" w:color="auto"/>
                    <w:bottom w:val="none" w:sz="0" w:space="0" w:color="auto"/>
                    <w:right w:val="none" w:sz="0" w:space="0" w:color="auto"/>
                  </w:divBdr>
                  <w:divsChild>
                    <w:div w:id="405808456">
                      <w:marLeft w:val="0"/>
                      <w:marRight w:val="0"/>
                      <w:marTop w:val="0"/>
                      <w:marBottom w:val="0"/>
                      <w:divBdr>
                        <w:top w:val="none" w:sz="0" w:space="0" w:color="auto"/>
                        <w:left w:val="none" w:sz="0" w:space="0" w:color="auto"/>
                        <w:bottom w:val="none" w:sz="0" w:space="0" w:color="auto"/>
                        <w:right w:val="none" w:sz="0" w:space="0" w:color="auto"/>
                      </w:divBdr>
                    </w:div>
                  </w:divsChild>
                </w:div>
                <w:div w:id="1558585645">
                  <w:marLeft w:val="0"/>
                  <w:marRight w:val="0"/>
                  <w:marTop w:val="0"/>
                  <w:marBottom w:val="0"/>
                  <w:divBdr>
                    <w:top w:val="none" w:sz="0" w:space="0" w:color="auto"/>
                    <w:left w:val="none" w:sz="0" w:space="0" w:color="auto"/>
                    <w:bottom w:val="none" w:sz="0" w:space="0" w:color="auto"/>
                    <w:right w:val="none" w:sz="0" w:space="0" w:color="auto"/>
                  </w:divBdr>
                  <w:divsChild>
                    <w:div w:id="1394233392">
                      <w:marLeft w:val="0"/>
                      <w:marRight w:val="0"/>
                      <w:marTop w:val="0"/>
                      <w:marBottom w:val="0"/>
                      <w:divBdr>
                        <w:top w:val="none" w:sz="0" w:space="0" w:color="auto"/>
                        <w:left w:val="none" w:sz="0" w:space="0" w:color="auto"/>
                        <w:bottom w:val="none" w:sz="0" w:space="0" w:color="auto"/>
                        <w:right w:val="none" w:sz="0" w:space="0" w:color="auto"/>
                      </w:divBdr>
                    </w:div>
                  </w:divsChild>
                </w:div>
                <w:div w:id="1605966360">
                  <w:marLeft w:val="0"/>
                  <w:marRight w:val="0"/>
                  <w:marTop w:val="0"/>
                  <w:marBottom w:val="0"/>
                  <w:divBdr>
                    <w:top w:val="none" w:sz="0" w:space="0" w:color="auto"/>
                    <w:left w:val="none" w:sz="0" w:space="0" w:color="auto"/>
                    <w:bottom w:val="none" w:sz="0" w:space="0" w:color="auto"/>
                    <w:right w:val="none" w:sz="0" w:space="0" w:color="auto"/>
                  </w:divBdr>
                  <w:divsChild>
                    <w:div w:id="1833596949">
                      <w:marLeft w:val="0"/>
                      <w:marRight w:val="0"/>
                      <w:marTop w:val="0"/>
                      <w:marBottom w:val="0"/>
                      <w:divBdr>
                        <w:top w:val="none" w:sz="0" w:space="0" w:color="auto"/>
                        <w:left w:val="none" w:sz="0" w:space="0" w:color="auto"/>
                        <w:bottom w:val="none" w:sz="0" w:space="0" w:color="auto"/>
                        <w:right w:val="none" w:sz="0" w:space="0" w:color="auto"/>
                      </w:divBdr>
                    </w:div>
                  </w:divsChild>
                </w:div>
                <w:div w:id="1694766630">
                  <w:marLeft w:val="0"/>
                  <w:marRight w:val="0"/>
                  <w:marTop w:val="0"/>
                  <w:marBottom w:val="0"/>
                  <w:divBdr>
                    <w:top w:val="none" w:sz="0" w:space="0" w:color="auto"/>
                    <w:left w:val="none" w:sz="0" w:space="0" w:color="auto"/>
                    <w:bottom w:val="none" w:sz="0" w:space="0" w:color="auto"/>
                    <w:right w:val="none" w:sz="0" w:space="0" w:color="auto"/>
                  </w:divBdr>
                  <w:divsChild>
                    <w:div w:id="492066641">
                      <w:marLeft w:val="0"/>
                      <w:marRight w:val="0"/>
                      <w:marTop w:val="0"/>
                      <w:marBottom w:val="0"/>
                      <w:divBdr>
                        <w:top w:val="none" w:sz="0" w:space="0" w:color="auto"/>
                        <w:left w:val="none" w:sz="0" w:space="0" w:color="auto"/>
                        <w:bottom w:val="none" w:sz="0" w:space="0" w:color="auto"/>
                        <w:right w:val="none" w:sz="0" w:space="0" w:color="auto"/>
                      </w:divBdr>
                    </w:div>
                  </w:divsChild>
                </w:div>
                <w:div w:id="1718969638">
                  <w:marLeft w:val="0"/>
                  <w:marRight w:val="0"/>
                  <w:marTop w:val="0"/>
                  <w:marBottom w:val="0"/>
                  <w:divBdr>
                    <w:top w:val="none" w:sz="0" w:space="0" w:color="auto"/>
                    <w:left w:val="none" w:sz="0" w:space="0" w:color="auto"/>
                    <w:bottom w:val="none" w:sz="0" w:space="0" w:color="auto"/>
                    <w:right w:val="none" w:sz="0" w:space="0" w:color="auto"/>
                  </w:divBdr>
                  <w:divsChild>
                    <w:div w:id="1157110945">
                      <w:marLeft w:val="0"/>
                      <w:marRight w:val="0"/>
                      <w:marTop w:val="0"/>
                      <w:marBottom w:val="0"/>
                      <w:divBdr>
                        <w:top w:val="none" w:sz="0" w:space="0" w:color="auto"/>
                        <w:left w:val="none" w:sz="0" w:space="0" w:color="auto"/>
                        <w:bottom w:val="none" w:sz="0" w:space="0" w:color="auto"/>
                        <w:right w:val="none" w:sz="0" w:space="0" w:color="auto"/>
                      </w:divBdr>
                    </w:div>
                  </w:divsChild>
                </w:div>
                <w:div w:id="1735082846">
                  <w:marLeft w:val="0"/>
                  <w:marRight w:val="0"/>
                  <w:marTop w:val="0"/>
                  <w:marBottom w:val="0"/>
                  <w:divBdr>
                    <w:top w:val="none" w:sz="0" w:space="0" w:color="auto"/>
                    <w:left w:val="none" w:sz="0" w:space="0" w:color="auto"/>
                    <w:bottom w:val="none" w:sz="0" w:space="0" w:color="auto"/>
                    <w:right w:val="none" w:sz="0" w:space="0" w:color="auto"/>
                  </w:divBdr>
                  <w:divsChild>
                    <w:div w:id="512695211">
                      <w:marLeft w:val="0"/>
                      <w:marRight w:val="0"/>
                      <w:marTop w:val="0"/>
                      <w:marBottom w:val="0"/>
                      <w:divBdr>
                        <w:top w:val="none" w:sz="0" w:space="0" w:color="auto"/>
                        <w:left w:val="none" w:sz="0" w:space="0" w:color="auto"/>
                        <w:bottom w:val="none" w:sz="0" w:space="0" w:color="auto"/>
                        <w:right w:val="none" w:sz="0" w:space="0" w:color="auto"/>
                      </w:divBdr>
                    </w:div>
                    <w:div w:id="2002271686">
                      <w:marLeft w:val="0"/>
                      <w:marRight w:val="0"/>
                      <w:marTop w:val="0"/>
                      <w:marBottom w:val="0"/>
                      <w:divBdr>
                        <w:top w:val="none" w:sz="0" w:space="0" w:color="auto"/>
                        <w:left w:val="none" w:sz="0" w:space="0" w:color="auto"/>
                        <w:bottom w:val="none" w:sz="0" w:space="0" w:color="auto"/>
                        <w:right w:val="none" w:sz="0" w:space="0" w:color="auto"/>
                      </w:divBdr>
                    </w:div>
                  </w:divsChild>
                </w:div>
                <w:div w:id="1741052930">
                  <w:marLeft w:val="0"/>
                  <w:marRight w:val="0"/>
                  <w:marTop w:val="0"/>
                  <w:marBottom w:val="0"/>
                  <w:divBdr>
                    <w:top w:val="none" w:sz="0" w:space="0" w:color="auto"/>
                    <w:left w:val="none" w:sz="0" w:space="0" w:color="auto"/>
                    <w:bottom w:val="none" w:sz="0" w:space="0" w:color="auto"/>
                    <w:right w:val="none" w:sz="0" w:space="0" w:color="auto"/>
                  </w:divBdr>
                  <w:divsChild>
                    <w:div w:id="1299267037">
                      <w:marLeft w:val="0"/>
                      <w:marRight w:val="0"/>
                      <w:marTop w:val="0"/>
                      <w:marBottom w:val="0"/>
                      <w:divBdr>
                        <w:top w:val="none" w:sz="0" w:space="0" w:color="auto"/>
                        <w:left w:val="none" w:sz="0" w:space="0" w:color="auto"/>
                        <w:bottom w:val="none" w:sz="0" w:space="0" w:color="auto"/>
                        <w:right w:val="none" w:sz="0" w:space="0" w:color="auto"/>
                      </w:divBdr>
                    </w:div>
                  </w:divsChild>
                </w:div>
                <w:div w:id="1847282966">
                  <w:marLeft w:val="0"/>
                  <w:marRight w:val="0"/>
                  <w:marTop w:val="0"/>
                  <w:marBottom w:val="0"/>
                  <w:divBdr>
                    <w:top w:val="none" w:sz="0" w:space="0" w:color="auto"/>
                    <w:left w:val="none" w:sz="0" w:space="0" w:color="auto"/>
                    <w:bottom w:val="none" w:sz="0" w:space="0" w:color="auto"/>
                    <w:right w:val="none" w:sz="0" w:space="0" w:color="auto"/>
                  </w:divBdr>
                  <w:divsChild>
                    <w:div w:id="1917857561">
                      <w:marLeft w:val="0"/>
                      <w:marRight w:val="0"/>
                      <w:marTop w:val="0"/>
                      <w:marBottom w:val="0"/>
                      <w:divBdr>
                        <w:top w:val="none" w:sz="0" w:space="0" w:color="auto"/>
                        <w:left w:val="none" w:sz="0" w:space="0" w:color="auto"/>
                        <w:bottom w:val="none" w:sz="0" w:space="0" w:color="auto"/>
                        <w:right w:val="none" w:sz="0" w:space="0" w:color="auto"/>
                      </w:divBdr>
                    </w:div>
                  </w:divsChild>
                </w:div>
                <w:div w:id="1848252716">
                  <w:marLeft w:val="0"/>
                  <w:marRight w:val="0"/>
                  <w:marTop w:val="0"/>
                  <w:marBottom w:val="0"/>
                  <w:divBdr>
                    <w:top w:val="none" w:sz="0" w:space="0" w:color="auto"/>
                    <w:left w:val="none" w:sz="0" w:space="0" w:color="auto"/>
                    <w:bottom w:val="none" w:sz="0" w:space="0" w:color="auto"/>
                    <w:right w:val="none" w:sz="0" w:space="0" w:color="auto"/>
                  </w:divBdr>
                  <w:divsChild>
                    <w:div w:id="619184701">
                      <w:marLeft w:val="0"/>
                      <w:marRight w:val="0"/>
                      <w:marTop w:val="0"/>
                      <w:marBottom w:val="0"/>
                      <w:divBdr>
                        <w:top w:val="none" w:sz="0" w:space="0" w:color="auto"/>
                        <w:left w:val="none" w:sz="0" w:space="0" w:color="auto"/>
                        <w:bottom w:val="none" w:sz="0" w:space="0" w:color="auto"/>
                        <w:right w:val="none" w:sz="0" w:space="0" w:color="auto"/>
                      </w:divBdr>
                    </w:div>
                  </w:divsChild>
                </w:div>
                <w:div w:id="1855848682">
                  <w:marLeft w:val="0"/>
                  <w:marRight w:val="0"/>
                  <w:marTop w:val="0"/>
                  <w:marBottom w:val="0"/>
                  <w:divBdr>
                    <w:top w:val="none" w:sz="0" w:space="0" w:color="auto"/>
                    <w:left w:val="none" w:sz="0" w:space="0" w:color="auto"/>
                    <w:bottom w:val="none" w:sz="0" w:space="0" w:color="auto"/>
                    <w:right w:val="none" w:sz="0" w:space="0" w:color="auto"/>
                  </w:divBdr>
                  <w:divsChild>
                    <w:div w:id="980812526">
                      <w:marLeft w:val="0"/>
                      <w:marRight w:val="0"/>
                      <w:marTop w:val="0"/>
                      <w:marBottom w:val="0"/>
                      <w:divBdr>
                        <w:top w:val="none" w:sz="0" w:space="0" w:color="auto"/>
                        <w:left w:val="none" w:sz="0" w:space="0" w:color="auto"/>
                        <w:bottom w:val="none" w:sz="0" w:space="0" w:color="auto"/>
                        <w:right w:val="none" w:sz="0" w:space="0" w:color="auto"/>
                      </w:divBdr>
                    </w:div>
                  </w:divsChild>
                </w:div>
                <w:div w:id="1921864735">
                  <w:marLeft w:val="0"/>
                  <w:marRight w:val="0"/>
                  <w:marTop w:val="0"/>
                  <w:marBottom w:val="0"/>
                  <w:divBdr>
                    <w:top w:val="none" w:sz="0" w:space="0" w:color="auto"/>
                    <w:left w:val="none" w:sz="0" w:space="0" w:color="auto"/>
                    <w:bottom w:val="none" w:sz="0" w:space="0" w:color="auto"/>
                    <w:right w:val="none" w:sz="0" w:space="0" w:color="auto"/>
                  </w:divBdr>
                  <w:divsChild>
                    <w:div w:id="1539320227">
                      <w:marLeft w:val="0"/>
                      <w:marRight w:val="0"/>
                      <w:marTop w:val="0"/>
                      <w:marBottom w:val="0"/>
                      <w:divBdr>
                        <w:top w:val="none" w:sz="0" w:space="0" w:color="auto"/>
                        <w:left w:val="none" w:sz="0" w:space="0" w:color="auto"/>
                        <w:bottom w:val="none" w:sz="0" w:space="0" w:color="auto"/>
                        <w:right w:val="none" w:sz="0" w:space="0" w:color="auto"/>
                      </w:divBdr>
                    </w:div>
                    <w:div w:id="1560288741">
                      <w:marLeft w:val="0"/>
                      <w:marRight w:val="0"/>
                      <w:marTop w:val="0"/>
                      <w:marBottom w:val="0"/>
                      <w:divBdr>
                        <w:top w:val="none" w:sz="0" w:space="0" w:color="auto"/>
                        <w:left w:val="none" w:sz="0" w:space="0" w:color="auto"/>
                        <w:bottom w:val="none" w:sz="0" w:space="0" w:color="auto"/>
                        <w:right w:val="none" w:sz="0" w:space="0" w:color="auto"/>
                      </w:divBdr>
                    </w:div>
                  </w:divsChild>
                </w:div>
                <w:div w:id="1946616180">
                  <w:marLeft w:val="0"/>
                  <w:marRight w:val="0"/>
                  <w:marTop w:val="0"/>
                  <w:marBottom w:val="0"/>
                  <w:divBdr>
                    <w:top w:val="none" w:sz="0" w:space="0" w:color="auto"/>
                    <w:left w:val="none" w:sz="0" w:space="0" w:color="auto"/>
                    <w:bottom w:val="none" w:sz="0" w:space="0" w:color="auto"/>
                    <w:right w:val="none" w:sz="0" w:space="0" w:color="auto"/>
                  </w:divBdr>
                  <w:divsChild>
                    <w:div w:id="394208909">
                      <w:marLeft w:val="0"/>
                      <w:marRight w:val="0"/>
                      <w:marTop w:val="0"/>
                      <w:marBottom w:val="0"/>
                      <w:divBdr>
                        <w:top w:val="none" w:sz="0" w:space="0" w:color="auto"/>
                        <w:left w:val="none" w:sz="0" w:space="0" w:color="auto"/>
                        <w:bottom w:val="none" w:sz="0" w:space="0" w:color="auto"/>
                        <w:right w:val="none" w:sz="0" w:space="0" w:color="auto"/>
                      </w:divBdr>
                    </w:div>
                  </w:divsChild>
                </w:div>
                <w:div w:id="1998067312">
                  <w:marLeft w:val="0"/>
                  <w:marRight w:val="0"/>
                  <w:marTop w:val="0"/>
                  <w:marBottom w:val="0"/>
                  <w:divBdr>
                    <w:top w:val="none" w:sz="0" w:space="0" w:color="auto"/>
                    <w:left w:val="none" w:sz="0" w:space="0" w:color="auto"/>
                    <w:bottom w:val="none" w:sz="0" w:space="0" w:color="auto"/>
                    <w:right w:val="none" w:sz="0" w:space="0" w:color="auto"/>
                  </w:divBdr>
                  <w:divsChild>
                    <w:div w:id="1201698741">
                      <w:marLeft w:val="0"/>
                      <w:marRight w:val="0"/>
                      <w:marTop w:val="0"/>
                      <w:marBottom w:val="0"/>
                      <w:divBdr>
                        <w:top w:val="none" w:sz="0" w:space="0" w:color="auto"/>
                        <w:left w:val="none" w:sz="0" w:space="0" w:color="auto"/>
                        <w:bottom w:val="none" w:sz="0" w:space="0" w:color="auto"/>
                        <w:right w:val="none" w:sz="0" w:space="0" w:color="auto"/>
                      </w:divBdr>
                    </w:div>
                  </w:divsChild>
                </w:div>
                <w:div w:id="2025521682">
                  <w:marLeft w:val="0"/>
                  <w:marRight w:val="0"/>
                  <w:marTop w:val="0"/>
                  <w:marBottom w:val="0"/>
                  <w:divBdr>
                    <w:top w:val="none" w:sz="0" w:space="0" w:color="auto"/>
                    <w:left w:val="none" w:sz="0" w:space="0" w:color="auto"/>
                    <w:bottom w:val="none" w:sz="0" w:space="0" w:color="auto"/>
                    <w:right w:val="none" w:sz="0" w:space="0" w:color="auto"/>
                  </w:divBdr>
                  <w:divsChild>
                    <w:div w:id="2009479655">
                      <w:marLeft w:val="0"/>
                      <w:marRight w:val="0"/>
                      <w:marTop w:val="0"/>
                      <w:marBottom w:val="0"/>
                      <w:divBdr>
                        <w:top w:val="none" w:sz="0" w:space="0" w:color="auto"/>
                        <w:left w:val="none" w:sz="0" w:space="0" w:color="auto"/>
                        <w:bottom w:val="none" w:sz="0" w:space="0" w:color="auto"/>
                        <w:right w:val="none" w:sz="0" w:space="0" w:color="auto"/>
                      </w:divBdr>
                    </w:div>
                  </w:divsChild>
                </w:div>
                <w:div w:id="2058166953">
                  <w:marLeft w:val="0"/>
                  <w:marRight w:val="0"/>
                  <w:marTop w:val="0"/>
                  <w:marBottom w:val="0"/>
                  <w:divBdr>
                    <w:top w:val="none" w:sz="0" w:space="0" w:color="auto"/>
                    <w:left w:val="none" w:sz="0" w:space="0" w:color="auto"/>
                    <w:bottom w:val="none" w:sz="0" w:space="0" w:color="auto"/>
                    <w:right w:val="none" w:sz="0" w:space="0" w:color="auto"/>
                  </w:divBdr>
                  <w:divsChild>
                    <w:div w:id="1760172998">
                      <w:marLeft w:val="0"/>
                      <w:marRight w:val="0"/>
                      <w:marTop w:val="0"/>
                      <w:marBottom w:val="0"/>
                      <w:divBdr>
                        <w:top w:val="none" w:sz="0" w:space="0" w:color="auto"/>
                        <w:left w:val="none" w:sz="0" w:space="0" w:color="auto"/>
                        <w:bottom w:val="none" w:sz="0" w:space="0" w:color="auto"/>
                        <w:right w:val="none" w:sz="0" w:space="0" w:color="auto"/>
                      </w:divBdr>
                    </w:div>
                  </w:divsChild>
                </w:div>
                <w:div w:id="2098400669">
                  <w:marLeft w:val="0"/>
                  <w:marRight w:val="0"/>
                  <w:marTop w:val="0"/>
                  <w:marBottom w:val="0"/>
                  <w:divBdr>
                    <w:top w:val="none" w:sz="0" w:space="0" w:color="auto"/>
                    <w:left w:val="none" w:sz="0" w:space="0" w:color="auto"/>
                    <w:bottom w:val="none" w:sz="0" w:space="0" w:color="auto"/>
                    <w:right w:val="none" w:sz="0" w:space="0" w:color="auto"/>
                  </w:divBdr>
                  <w:divsChild>
                    <w:div w:id="602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898">
          <w:marLeft w:val="0"/>
          <w:marRight w:val="0"/>
          <w:marTop w:val="0"/>
          <w:marBottom w:val="0"/>
          <w:divBdr>
            <w:top w:val="none" w:sz="0" w:space="0" w:color="auto"/>
            <w:left w:val="none" w:sz="0" w:space="0" w:color="auto"/>
            <w:bottom w:val="none" w:sz="0" w:space="0" w:color="auto"/>
            <w:right w:val="none" w:sz="0" w:space="0" w:color="auto"/>
          </w:divBdr>
        </w:div>
        <w:div w:id="838271467">
          <w:marLeft w:val="0"/>
          <w:marRight w:val="0"/>
          <w:marTop w:val="0"/>
          <w:marBottom w:val="0"/>
          <w:divBdr>
            <w:top w:val="none" w:sz="0" w:space="0" w:color="auto"/>
            <w:left w:val="none" w:sz="0" w:space="0" w:color="auto"/>
            <w:bottom w:val="none" w:sz="0" w:space="0" w:color="auto"/>
            <w:right w:val="none" w:sz="0" w:space="0" w:color="auto"/>
          </w:divBdr>
        </w:div>
      </w:divsChild>
    </w:div>
    <w:div w:id="1624846067">
      <w:bodyDiv w:val="1"/>
      <w:marLeft w:val="0"/>
      <w:marRight w:val="0"/>
      <w:marTop w:val="0"/>
      <w:marBottom w:val="0"/>
      <w:divBdr>
        <w:top w:val="none" w:sz="0" w:space="0" w:color="auto"/>
        <w:left w:val="none" w:sz="0" w:space="0" w:color="auto"/>
        <w:bottom w:val="none" w:sz="0" w:space="0" w:color="auto"/>
        <w:right w:val="none" w:sz="0" w:space="0" w:color="auto"/>
      </w:divBdr>
    </w:div>
    <w:div w:id="1632634716">
      <w:bodyDiv w:val="1"/>
      <w:marLeft w:val="0"/>
      <w:marRight w:val="0"/>
      <w:marTop w:val="0"/>
      <w:marBottom w:val="0"/>
      <w:divBdr>
        <w:top w:val="none" w:sz="0" w:space="0" w:color="auto"/>
        <w:left w:val="none" w:sz="0" w:space="0" w:color="auto"/>
        <w:bottom w:val="none" w:sz="0" w:space="0" w:color="auto"/>
        <w:right w:val="none" w:sz="0" w:space="0" w:color="auto"/>
      </w:divBdr>
    </w:div>
    <w:div w:id="1657757248">
      <w:bodyDiv w:val="1"/>
      <w:marLeft w:val="0"/>
      <w:marRight w:val="0"/>
      <w:marTop w:val="0"/>
      <w:marBottom w:val="0"/>
      <w:divBdr>
        <w:top w:val="none" w:sz="0" w:space="0" w:color="auto"/>
        <w:left w:val="none" w:sz="0" w:space="0" w:color="auto"/>
        <w:bottom w:val="none" w:sz="0" w:space="0" w:color="auto"/>
        <w:right w:val="none" w:sz="0" w:space="0" w:color="auto"/>
      </w:divBdr>
    </w:div>
    <w:div w:id="1658461677">
      <w:bodyDiv w:val="1"/>
      <w:marLeft w:val="0"/>
      <w:marRight w:val="0"/>
      <w:marTop w:val="0"/>
      <w:marBottom w:val="0"/>
      <w:divBdr>
        <w:top w:val="none" w:sz="0" w:space="0" w:color="auto"/>
        <w:left w:val="none" w:sz="0" w:space="0" w:color="auto"/>
        <w:bottom w:val="none" w:sz="0" w:space="0" w:color="auto"/>
        <w:right w:val="none" w:sz="0" w:space="0" w:color="auto"/>
      </w:divBdr>
    </w:div>
    <w:div w:id="1688166786">
      <w:bodyDiv w:val="1"/>
      <w:marLeft w:val="0"/>
      <w:marRight w:val="0"/>
      <w:marTop w:val="0"/>
      <w:marBottom w:val="0"/>
      <w:divBdr>
        <w:top w:val="none" w:sz="0" w:space="0" w:color="auto"/>
        <w:left w:val="none" w:sz="0" w:space="0" w:color="auto"/>
        <w:bottom w:val="none" w:sz="0" w:space="0" w:color="auto"/>
        <w:right w:val="none" w:sz="0" w:space="0" w:color="auto"/>
      </w:divBdr>
    </w:div>
    <w:div w:id="1724870424">
      <w:bodyDiv w:val="1"/>
      <w:marLeft w:val="0"/>
      <w:marRight w:val="0"/>
      <w:marTop w:val="0"/>
      <w:marBottom w:val="0"/>
      <w:divBdr>
        <w:top w:val="none" w:sz="0" w:space="0" w:color="auto"/>
        <w:left w:val="none" w:sz="0" w:space="0" w:color="auto"/>
        <w:bottom w:val="none" w:sz="0" w:space="0" w:color="auto"/>
        <w:right w:val="none" w:sz="0" w:space="0" w:color="auto"/>
      </w:divBdr>
      <w:divsChild>
        <w:div w:id="1149831702">
          <w:marLeft w:val="0"/>
          <w:marRight w:val="0"/>
          <w:marTop w:val="0"/>
          <w:marBottom w:val="0"/>
          <w:divBdr>
            <w:top w:val="none" w:sz="0" w:space="0" w:color="auto"/>
            <w:left w:val="none" w:sz="0" w:space="0" w:color="auto"/>
            <w:bottom w:val="none" w:sz="0" w:space="0" w:color="auto"/>
            <w:right w:val="none" w:sz="0" w:space="0" w:color="auto"/>
          </w:divBdr>
          <w:divsChild>
            <w:div w:id="260338257">
              <w:marLeft w:val="0"/>
              <w:marRight w:val="0"/>
              <w:marTop w:val="0"/>
              <w:marBottom w:val="0"/>
              <w:divBdr>
                <w:top w:val="none" w:sz="0" w:space="0" w:color="auto"/>
                <w:left w:val="none" w:sz="0" w:space="0" w:color="auto"/>
                <w:bottom w:val="none" w:sz="0" w:space="0" w:color="auto"/>
                <w:right w:val="none" w:sz="0" w:space="0" w:color="auto"/>
              </w:divBdr>
              <w:divsChild>
                <w:div w:id="11902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2427">
      <w:bodyDiv w:val="1"/>
      <w:marLeft w:val="0"/>
      <w:marRight w:val="0"/>
      <w:marTop w:val="0"/>
      <w:marBottom w:val="0"/>
      <w:divBdr>
        <w:top w:val="none" w:sz="0" w:space="0" w:color="auto"/>
        <w:left w:val="none" w:sz="0" w:space="0" w:color="auto"/>
        <w:bottom w:val="none" w:sz="0" w:space="0" w:color="auto"/>
        <w:right w:val="none" w:sz="0" w:space="0" w:color="auto"/>
      </w:divBdr>
    </w:div>
    <w:div w:id="1786460834">
      <w:bodyDiv w:val="1"/>
      <w:marLeft w:val="0"/>
      <w:marRight w:val="0"/>
      <w:marTop w:val="0"/>
      <w:marBottom w:val="0"/>
      <w:divBdr>
        <w:top w:val="none" w:sz="0" w:space="0" w:color="auto"/>
        <w:left w:val="none" w:sz="0" w:space="0" w:color="auto"/>
        <w:bottom w:val="none" w:sz="0" w:space="0" w:color="auto"/>
        <w:right w:val="none" w:sz="0" w:space="0" w:color="auto"/>
      </w:divBdr>
      <w:divsChild>
        <w:div w:id="813716021">
          <w:marLeft w:val="0"/>
          <w:marRight w:val="0"/>
          <w:marTop w:val="0"/>
          <w:marBottom w:val="0"/>
          <w:divBdr>
            <w:top w:val="none" w:sz="0" w:space="0" w:color="auto"/>
            <w:left w:val="none" w:sz="0" w:space="0" w:color="auto"/>
            <w:bottom w:val="none" w:sz="0" w:space="0" w:color="auto"/>
            <w:right w:val="none" w:sz="0" w:space="0" w:color="auto"/>
          </w:divBdr>
        </w:div>
        <w:div w:id="923683961">
          <w:marLeft w:val="0"/>
          <w:marRight w:val="0"/>
          <w:marTop w:val="0"/>
          <w:marBottom w:val="0"/>
          <w:divBdr>
            <w:top w:val="none" w:sz="0" w:space="0" w:color="auto"/>
            <w:left w:val="none" w:sz="0" w:space="0" w:color="auto"/>
            <w:bottom w:val="none" w:sz="0" w:space="0" w:color="auto"/>
            <w:right w:val="none" w:sz="0" w:space="0" w:color="auto"/>
          </w:divBdr>
        </w:div>
        <w:div w:id="1117993053">
          <w:marLeft w:val="0"/>
          <w:marRight w:val="0"/>
          <w:marTop w:val="0"/>
          <w:marBottom w:val="0"/>
          <w:divBdr>
            <w:top w:val="none" w:sz="0" w:space="0" w:color="auto"/>
            <w:left w:val="none" w:sz="0" w:space="0" w:color="auto"/>
            <w:bottom w:val="none" w:sz="0" w:space="0" w:color="auto"/>
            <w:right w:val="none" w:sz="0" w:space="0" w:color="auto"/>
          </w:divBdr>
        </w:div>
        <w:div w:id="1269660148">
          <w:marLeft w:val="0"/>
          <w:marRight w:val="0"/>
          <w:marTop w:val="0"/>
          <w:marBottom w:val="0"/>
          <w:divBdr>
            <w:top w:val="none" w:sz="0" w:space="0" w:color="auto"/>
            <w:left w:val="none" w:sz="0" w:space="0" w:color="auto"/>
            <w:bottom w:val="none" w:sz="0" w:space="0" w:color="auto"/>
            <w:right w:val="none" w:sz="0" w:space="0" w:color="auto"/>
          </w:divBdr>
        </w:div>
        <w:div w:id="1791052527">
          <w:marLeft w:val="0"/>
          <w:marRight w:val="0"/>
          <w:marTop w:val="0"/>
          <w:marBottom w:val="0"/>
          <w:divBdr>
            <w:top w:val="none" w:sz="0" w:space="0" w:color="auto"/>
            <w:left w:val="none" w:sz="0" w:space="0" w:color="auto"/>
            <w:bottom w:val="none" w:sz="0" w:space="0" w:color="auto"/>
            <w:right w:val="none" w:sz="0" w:space="0" w:color="auto"/>
          </w:divBdr>
        </w:div>
        <w:div w:id="2054385283">
          <w:marLeft w:val="0"/>
          <w:marRight w:val="0"/>
          <w:marTop w:val="0"/>
          <w:marBottom w:val="0"/>
          <w:divBdr>
            <w:top w:val="none" w:sz="0" w:space="0" w:color="auto"/>
            <w:left w:val="none" w:sz="0" w:space="0" w:color="auto"/>
            <w:bottom w:val="none" w:sz="0" w:space="0" w:color="auto"/>
            <w:right w:val="none" w:sz="0" w:space="0" w:color="auto"/>
          </w:divBdr>
          <w:divsChild>
            <w:div w:id="1107045149">
              <w:marLeft w:val="-75"/>
              <w:marRight w:val="0"/>
              <w:marTop w:val="30"/>
              <w:marBottom w:val="30"/>
              <w:divBdr>
                <w:top w:val="none" w:sz="0" w:space="0" w:color="auto"/>
                <w:left w:val="none" w:sz="0" w:space="0" w:color="auto"/>
                <w:bottom w:val="none" w:sz="0" w:space="0" w:color="auto"/>
                <w:right w:val="none" w:sz="0" w:space="0" w:color="auto"/>
              </w:divBdr>
              <w:divsChild>
                <w:div w:id="10764638">
                  <w:marLeft w:val="0"/>
                  <w:marRight w:val="0"/>
                  <w:marTop w:val="0"/>
                  <w:marBottom w:val="0"/>
                  <w:divBdr>
                    <w:top w:val="none" w:sz="0" w:space="0" w:color="auto"/>
                    <w:left w:val="none" w:sz="0" w:space="0" w:color="auto"/>
                    <w:bottom w:val="none" w:sz="0" w:space="0" w:color="auto"/>
                    <w:right w:val="none" w:sz="0" w:space="0" w:color="auto"/>
                  </w:divBdr>
                  <w:divsChild>
                    <w:div w:id="1465275962">
                      <w:marLeft w:val="0"/>
                      <w:marRight w:val="0"/>
                      <w:marTop w:val="0"/>
                      <w:marBottom w:val="0"/>
                      <w:divBdr>
                        <w:top w:val="none" w:sz="0" w:space="0" w:color="auto"/>
                        <w:left w:val="none" w:sz="0" w:space="0" w:color="auto"/>
                        <w:bottom w:val="none" w:sz="0" w:space="0" w:color="auto"/>
                        <w:right w:val="none" w:sz="0" w:space="0" w:color="auto"/>
                      </w:divBdr>
                    </w:div>
                  </w:divsChild>
                </w:div>
                <w:div w:id="33698595">
                  <w:marLeft w:val="0"/>
                  <w:marRight w:val="0"/>
                  <w:marTop w:val="0"/>
                  <w:marBottom w:val="0"/>
                  <w:divBdr>
                    <w:top w:val="none" w:sz="0" w:space="0" w:color="auto"/>
                    <w:left w:val="none" w:sz="0" w:space="0" w:color="auto"/>
                    <w:bottom w:val="none" w:sz="0" w:space="0" w:color="auto"/>
                    <w:right w:val="none" w:sz="0" w:space="0" w:color="auto"/>
                  </w:divBdr>
                  <w:divsChild>
                    <w:div w:id="1348217178">
                      <w:marLeft w:val="0"/>
                      <w:marRight w:val="0"/>
                      <w:marTop w:val="0"/>
                      <w:marBottom w:val="0"/>
                      <w:divBdr>
                        <w:top w:val="none" w:sz="0" w:space="0" w:color="auto"/>
                        <w:left w:val="none" w:sz="0" w:space="0" w:color="auto"/>
                        <w:bottom w:val="none" w:sz="0" w:space="0" w:color="auto"/>
                        <w:right w:val="none" w:sz="0" w:space="0" w:color="auto"/>
                      </w:divBdr>
                    </w:div>
                  </w:divsChild>
                </w:div>
                <w:div w:id="201332964">
                  <w:marLeft w:val="0"/>
                  <w:marRight w:val="0"/>
                  <w:marTop w:val="0"/>
                  <w:marBottom w:val="0"/>
                  <w:divBdr>
                    <w:top w:val="none" w:sz="0" w:space="0" w:color="auto"/>
                    <w:left w:val="none" w:sz="0" w:space="0" w:color="auto"/>
                    <w:bottom w:val="none" w:sz="0" w:space="0" w:color="auto"/>
                    <w:right w:val="none" w:sz="0" w:space="0" w:color="auto"/>
                  </w:divBdr>
                  <w:divsChild>
                    <w:div w:id="2062897361">
                      <w:marLeft w:val="0"/>
                      <w:marRight w:val="0"/>
                      <w:marTop w:val="0"/>
                      <w:marBottom w:val="0"/>
                      <w:divBdr>
                        <w:top w:val="none" w:sz="0" w:space="0" w:color="auto"/>
                        <w:left w:val="none" w:sz="0" w:space="0" w:color="auto"/>
                        <w:bottom w:val="none" w:sz="0" w:space="0" w:color="auto"/>
                        <w:right w:val="none" w:sz="0" w:space="0" w:color="auto"/>
                      </w:divBdr>
                    </w:div>
                  </w:divsChild>
                </w:div>
                <w:div w:id="231817518">
                  <w:marLeft w:val="0"/>
                  <w:marRight w:val="0"/>
                  <w:marTop w:val="0"/>
                  <w:marBottom w:val="0"/>
                  <w:divBdr>
                    <w:top w:val="none" w:sz="0" w:space="0" w:color="auto"/>
                    <w:left w:val="none" w:sz="0" w:space="0" w:color="auto"/>
                    <w:bottom w:val="none" w:sz="0" w:space="0" w:color="auto"/>
                    <w:right w:val="none" w:sz="0" w:space="0" w:color="auto"/>
                  </w:divBdr>
                  <w:divsChild>
                    <w:div w:id="1223058583">
                      <w:marLeft w:val="0"/>
                      <w:marRight w:val="0"/>
                      <w:marTop w:val="0"/>
                      <w:marBottom w:val="0"/>
                      <w:divBdr>
                        <w:top w:val="none" w:sz="0" w:space="0" w:color="auto"/>
                        <w:left w:val="none" w:sz="0" w:space="0" w:color="auto"/>
                        <w:bottom w:val="none" w:sz="0" w:space="0" w:color="auto"/>
                        <w:right w:val="none" w:sz="0" w:space="0" w:color="auto"/>
                      </w:divBdr>
                    </w:div>
                  </w:divsChild>
                </w:div>
                <w:div w:id="239945845">
                  <w:marLeft w:val="0"/>
                  <w:marRight w:val="0"/>
                  <w:marTop w:val="0"/>
                  <w:marBottom w:val="0"/>
                  <w:divBdr>
                    <w:top w:val="none" w:sz="0" w:space="0" w:color="auto"/>
                    <w:left w:val="none" w:sz="0" w:space="0" w:color="auto"/>
                    <w:bottom w:val="none" w:sz="0" w:space="0" w:color="auto"/>
                    <w:right w:val="none" w:sz="0" w:space="0" w:color="auto"/>
                  </w:divBdr>
                  <w:divsChild>
                    <w:div w:id="2055495393">
                      <w:marLeft w:val="0"/>
                      <w:marRight w:val="0"/>
                      <w:marTop w:val="0"/>
                      <w:marBottom w:val="0"/>
                      <w:divBdr>
                        <w:top w:val="none" w:sz="0" w:space="0" w:color="auto"/>
                        <w:left w:val="none" w:sz="0" w:space="0" w:color="auto"/>
                        <w:bottom w:val="none" w:sz="0" w:space="0" w:color="auto"/>
                        <w:right w:val="none" w:sz="0" w:space="0" w:color="auto"/>
                      </w:divBdr>
                    </w:div>
                  </w:divsChild>
                </w:div>
                <w:div w:id="352726169">
                  <w:marLeft w:val="0"/>
                  <w:marRight w:val="0"/>
                  <w:marTop w:val="0"/>
                  <w:marBottom w:val="0"/>
                  <w:divBdr>
                    <w:top w:val="none" w:sz="0" w:space="0" w:color="auto"/>
                    <w:left w:val="none" w:sz="0" w:space="0" w:color="auto"/>
                    <w:bottom w:val="none" w:sz="0" w:space="0" w:color="auto"/>
                    <w:right w:val="none" w:sz="0" w:space="0" w:color="auto"/>
                  </w:divBdr>
                  <w:divsChild>
                    <w:div w:id="1572886067">
                      <w:marLeft w:val="0"/>
                      <w:marRight w:val="0"/>
                      <w:marTop w:val="0"/>
                      <w:marBottom w:val="0"/>
                      <w:divBdr>
                        <w:top w:val="none" w:sz="0" w:space="0" w:color="auto"/>
                        <w:left w:val="none" w:sz="0" w:space="0" w:color="auto"/>
                        <w:bottom w:val="none" w:sz="0" w:space="0" w:color="auto"/>
                        <w:right w:val="none" w:sz="0" w:space="0" w:color="auto"/>
                      </w:divBdr>
                    </w:div>
                  </w:divsChild>
                </w:div>
                <w:div w:id="389839586">
                  <w:marLeft w:val="0"/>
                  <w:marRight w:val="0"/>
                  <w:marTop w:val="0"/>
                  <w:marBottom w:val="0"/>
                  <w:divBdr>
                    <w:top w:val="none" w:sz="0" w:space="0" w:color="auto"/>
                    <w:left w:val="none" w:sz="0" w:space="0" w:color="auto"/>
                    <w:bottom w:val="none" w:sz="0" w:space="0" w:color="auto"/>
                    <w:right w:val="none" w:sz="0" w:space="0" w:color="auto"/>
                  </w:divBdr>
                  <w:divsChild>
                    <w:div w:id="753744383">
                      <w:marLeft w:val="0"/>
                      <w:marRight w:val="0"/>
                      <w:marTop w:val="0"/>
                      <w:marBottom w:val="0"/>
                      <w:divBdr>
                        <w:top w:val="none" w:sz="0" w:space="0" w:color="auto"/>
                        <w:left w:val="none" w:sz="0" w:space="0" w:color="auto"/>
                        <w:bottom w:val="none" w:sz="0" w:space="0" w:color="auto"/>
                        <w:right w:val="none" w:sz="0" w:space="0" w:color="auto"/>
                      </w:divBdr>
                    </w:div>
                  </w:divsChild>
                </w:div>
                <w:div w:id="416636929">
                  <w:marLeft w:val="0"/>
                  <w:marRight w:val="0"/>
                  <w:marTop w:val="0"/>
                  <w:marBottom w:val="0"/>
                  <w:divBdr>
                    <w:top w:val="none" w:sz="0" w:space="0" w:color="auto"/>
                    <w:left w:val="none" w:sz="0" w:space="0" w:color="auto"/>
                    <w:bottom w:val="none" w:sz="0" w:space="0" w:color="auto"/>
                    <w:right w:val="none" w:sz="0" w:space="0" w:color="auto"/>
                  </w:divBdr>
                  <w:divsChild>
                    <w:div w:id="1671709955">
                      <w:marLeft w:val="0"/>
                      <w:marRight w:val="0"/>
                      <w:marTop w:val="0"/>
                      <w:marBottom w:val="0"/>
                      <w:divBdr>
                        <w:top w:val="none" w:sz="0" w:space="0" w:color="auto"/>
                        <w:left w:val="none" w:sz="0" w:space="0" w:color="auto"/>
                        <w:bottom w:val="none" w:sz="0" w:space="0" w:color="auto"/>
                        <w:right w:val="none" w:sz="0" w:space="0" w:color="auto"/>
                      </w:divBdr>
                    </w:div>
                  </w:divsChild>
                </w:div>
                <w:div w:id="416901209">
                  <w:marLeft w:val="0"/>
                  <w:marRight w:val="0"/>
                  <w:marTop w:val="0"/>
                  <w:marBottom w:val="0"/>
                  <w:divBdr>
                    <w:top w:val="none" w:sz="0" w:space="0" w:color="auto"/>
                    <w:left w:val="none" w:sz="0" w:space="0" w:color="auto"/>
                    <w:bottom w:val="none" w:sz="0" w:space="0" w:color="auto"/>
                    <w:right w:val="none" w:sz="0" w:space="0" w:color="auto"/>
                  </w:divBdr>
                  <w:divsChild>
                    <w:div w:id="514270104">
                      <w:marLeft w:val="0"/>
                      <w:marRight w:val="0"/>
                      <w:marTop w:val="0"/>
                      <w:marBottom w:val="0"/>
                      <w:divBdr>
                        <w:top w:val="none" w:sz="0" w:space="0" w:color="auto"/>
                        <w:left w:val="none" w:sz="0" w:space="0" w:color="auto"/>
                        <w:bottom w:val="none" w:sz="0" w:space="0" w:color="auto"/>
                        <w:right w:val="none" w:sz="0" w:space="0" w:color="auto"/>
                      </w:divBdr>
                    </w:div>
                  </w:divsChild>
                </w:div>
                <w:div w:id="470754227">
                  <w:marLeft w:val="0"/>
                  <w:marRight w:val="0"/>
                  <w:marTop w:val="0"/>
                  <w:marBottom w:val="0"/>
                  <w:divBdr>
                    <w:top w:val="none" w:sz="0" w:space="0" w:color="auto"/>
                    <w:left w:val="none" w:sz="0" w:space="0" w:color="auto"/>
                    <w:bottom w:val="none" w:sz="0" w:space="0" w:color="auto"/>
                    <w:right w:val="none" w:sz="0" w:space="0" w:color="auto"/>
                  </w:divBdr>
                  <w:divsChild>
                    <w:div w:id="533352361">
                      <w:marLeft w:val="0"/>
                      <w:marRight w:val="0"/>
                      <w:marTop w:val="0"/>
                      <w:marBottom w:val="0"/>
                      <w:divBdr>
                        <w:top w:val="none" w:sz="0" w:space="0" w:color="auto"/>
                        <w:left w:val="none" w:sz="0" w:space="0" w:color="auto"/>
                        <w:bottom w:val="none" w:sz="0" w:space="0" w:color="auto"/>
                        <w:right w:val="none" w:sz="0" w:space="0" w:color="auto"/>
                      </w:divBdr>
                    </w:div>
                  </w:divsChild>
                </w:div>
                <w:div w:id="588852282">
                  <w:marLeft w:val="0"/>
                  <w:marRight w:val="0"/>
                  <w:marTop w:val="0"/>
                  <w:marBottom w:val="0"/>
                  <w:divBdr>
                    <w:top w:val="none" w:sz="0" w:space="0" w:color="auto"/>
                    <w:left w:val="none" w:sz="0" w:space="0" w:color="auto"/>
                    <w:bottom w:val="none" w:sz="0" w:space="0" w:color="auto"/>
                    <w:right w:val="none" w:sz="0" w:space="0" w:color="auto"/>
                  </w:divBdr>
                  <w:divsChild>
                    <w:div w:id="1064374734">
                      <w:marLeft w:val="0"/>
                      <w:marRight w:val="0"/>
                      <w:marTop w:val="0"/>
                      <w:marBottom w:val="0"/>
                      <w:divBdr>
                        <w:top w:val="none" w:sz="0" w:space="0" w:color="auto"/>
                        <w:left w:val="none" w:sz="0" w:space="0" w:color="auto"/>
                        <w:bottom w:val="none" w:sz="0" w:space="0" w:color="auto"/>
                        <w:right w:val="none" w:sz="0" w:space="0" w:color="auto"/>
                      </w:divBdr>
                    </w:div>
                  </w:divsChild>
                </w:div>
                <w:div w:id="589771997">
                  <w:marLeft w:val="0"/>
                  <w:marRight w:val="0"/>
                  <w:marTop w:val="0"/>
                  <w:marBottom w:val="0"/>
                  <w:divBdr>
                    <w:top w:val="none" w:sz="0" w:space="0" w:color="auto"/>
                    <w:left w:val="none" w:sz="0" w:space="0" w:color="auto"/>
                    <w:bottom w:val="none" w:sz="0" w:space="0" w:color="auto"/>
                    <w:right w:val="none" w:sz="0" w:space="0" w:color="auto"/>
                  </w:divBdr>
                  <w:divsChild>
                    <w:div w:id="364982189">
                      <w:marLeft w:val="0"/>
                      <w:marRight w:val="0"/>
                      <w:marTop w:val="0"/>
                      <w:marBottom w:val="0"/>
                      <w:divBdr>
                        <w:top w:val="none" w:sz="0" w:space="0" w:color="auto"/>
                        <w:left w:val="none" w:sz="0" w:space="0" w:color="auto"/>
                        <w:bottom w:val="none" w:sz="0" w:space="0" w:color="auto"/>
                        <w:right w:val="none" w:sz="0" w:space="0" w:color="auto"/>
                      </w:divBdr>
                    </w:div>
                  </w:divsChild>
                </w:div>
                <w:div w:id="611668234">
                  <w:marLeft w:val="0"/>
                  <w:marRight w:val="0"/>
                  <w:marTop w:val="0"/>
                  <w:marBottom w:val="0"/>
                  <w:divBdr>
                    <w:top w:val="none" w:sz="0" w:space="0" w:color="auto"/>
                    <w:left w:val="none" w:sz="0" w:space="0" w:color="auto"/>
                    <w:bottom w:val="none" w:sz="0" w:space="0" w:color="auto"/>
                    <w:right w:val="none" w:sz="0" w:space="0" w:color="auto"/>
                  </w:divBdr>
                  <w:divsChild>
                    <w:div w:id="856575179">
                      <w:marLeft w:val="0"/>
                      <w:marRight w:val="0"/>
                      <w:marTop w:val="0"/>
                      <w:marBottom w:val="0"/>
                      <w:divBdr>
                        <w:top w:val="none" w:sz="0" w:space="0" w:color="auto"/>
                        <w:left w:val="none" w:sz="0" w:space="0" w:color="auto"/>
                        <w:bottom w:val="none" w:sz="0" w:space="0" w:color="auto"/>
                        <w:right w:val="none" w:sz="0" w:space="0" w:color="auto"/>
                      </w:divBdr>
                    </w:div>
                  </w:divsChild>
                </w:div>
                <w:div w:id="622157572">
                  <w:marLeft w:val="0"/>
                  <w:marRight w:val="0"/>
                  <w:marTop w:val="0"/>
                  <w:marBottom w:val="0"/>
                  <w:divBdr>
                    <w:top w:val="none" w:sz="0" w:space="0" w:color="auto"/>
                    <w:left w:val="none" w:sz="0" w:space="0" w:color="auto"/>
                    <w:bottom w:val="none" w:sz="0" w:space="0" w:color="auto"/>
                    <w:right w:val="none" w:sz="0" w:space="0" w:color="auto"/>
                  </w:divBdr>
                  <w:divsChild>
                    <w:div w:id="1699156604">
                      <w:marLeft w:val="0"/>
                      <w:marRight w:val="0"/>
                      <w:marTop w:val="0"/>
                      <w:marBottom w:val="0"/>
                      <w:divBdr>
                        <w:top w:val="none" w:sz="0" w:space="0" w:color="auto"/>
                        <w:left w:val="none" w:sz="0" w:space="0" w:color="auto"/>
                        <w:bottom w:val="none" w:sz="0" w:space="0" w:color="auto"/>
                        <w:right w:val="none" w:sz="0" w:space="0" w:color="auto"/>
                      </w:divBdr>
                    </w:div>
                  </w:divsChild>
                </w:div>
                <w:div w:id="626813046">
                  <w:marLeft w:val="0"/>
                  <w:marRight w:val="0"/>
                  <w:marTop w:val="0"/>
                  <w:marBottom w:val="0"/>
                  <w:divBdr>
                    <w:top w:val="none" w:sz="0" w:space="0" w:color="auto"/>
                    <w:left w:val="none" w:sz="0" w:space="0" w:color="auto"/>
                    <w:bottom w:val="none" w:sz="0" w:space="0" w:color="auto"/>
                    <w:right w:val="none" w:sz="0" w:space="0" w:color="auto"/>
                  </w:divBdr>
                  <w:divsChild>
                    <w:div w:id="1216699956">
                      <w:marLeft w:val="0"/>
                      <w:marRight w:val="0"/>
                      <w:marTop w:val="0"/>
                      <w:marBottom w:val="0"/>
                      <w:divBdr>
                        <w:top w:val="none" w:sz="0" w:space="0" w:color="auto"/>
                        <w:left w:val="none" w:sz="0" w:space="0" w:color="auto"/>
                        <w:bottom w:val="none" w:sz="0" w:space="0" w:color="auto"/>
                        <w:right w:val="none" w:sz="0" w:space="0" w:color="auto"/>
                      </w:divBdr>
                    </w:div>
                  </w:divsChild>
                </w:div>
                <w:div w:id="678849034">
                  <w:marLeft w:val="0"/>
                  <w:marRight w:val="0"/>
                  <w:marTop w:val="0"/>
                  <w:marBottom w:val="0"/>
                  <w:divBdr>
                    <w:top w:val="none" w:sz="0" w:space="0" w:color="auto"/>
                    <w:left w:val="none" w:sz="0" w:space="0" w:color="auto"/>
                    <w:bottom w:val="none" w:sz="0" w:space="0" w:color="auto"/>
                    <w:right w:val="none" w:sz="0" w:space="0" w:color="auto"/>
                  </w:divBdr>
                  <w:divsChild>
                    <w:div w:id="339159521">
                      <w:marLeft w:val="0"/>
                      <w:marRight w:val="0"/>
                      <w:marTop w:val="0"/>
                      <w:marBottom w:val="0"/>
                      <w:divBdr>
                        <w:top w:val="none" w:sz="0" w:space="0" w:color="auto"/>
                        <w:left w:val="none" w:sz="0" w:space="0" w:color="auto"/>
                        <w:bottom w:val="none" w:sz="0" w:space="0" w:color="auto"/>
                        <w:right w:val="none" w:sz="0" w:space="0" w:color="auto"/>
                      </w:divBdr>
                    </w:div>
                  </w:divsChild>
                </w:div>
                <w:div w:id="697774529">
                  <w:marLeft w:val="0"/>
                  <w:marRight w:val="0"/>
                  <w:marTop w:val="0"/>
                  <w:marBottom w:val="0"/>
                  <w:divBdr>
                    <w:top w:val="none" w:sz="0" w:space="0" w:color="auto"/>
                    <w:left w:val="none" w:sz="0" w:space="0" w:color="auto"/>
                    <w:bottom w:val="none" w:sz="0" w:space="0" w:color="auto"/>
                    <w:right w:val="none" w:sz="0" w:space="0" w:color="auto"/>
                  </w:divBdr>
                  <w:divsChild>
                    <w:div w:id="1650479794">
                      <w:marLeft w:val="0"/>
                      <w:marRight w:val="0"/>
                      <w:marTop w:val="0"/>
                      <w:marBottom w:val="0"/>
                      <w:divBdr>
                        <w:top w:val="none" w:sz="0" w:space="0" w:color="auto"/>
                        <w:left w:val="none" w:sz="0" w:space="0" w:color="auto"/>
                        <w:bottom w:val="none" w:sz="0" w:space="0" w:color="auto"/>
                        <w:right w:val="none" w:sz="0" w:space="0" w:color="auto"/>
                      </w:divBdr>
                    </w:div>
                  </w:divsChild>
                </w:div>
                <w:div w:id="750157634">
                  <w:marLeft w:val="0"/>
                  <w:marRight w:val="0"/>
                  <w:marTop w:val="0"/>
                  <w:marBottom w:val="0"/>
                  <w:divBdr>
                    <w:top w:val="none" w:sz="0" w:space="0" w:color="auto"/>
                    <w:left w:val="none" w:sz="0" w:space="0" w:color="auto"/>
                    <w:bottom w:val="none" w:sz="0" w:space="0" w:color="auto"/>
                    <w:right w:val="none" w:sz="0" w:space="0" w:color="auto"/>
                  </w:divBdr>
                  <w:divsChild>
                    <w:div w:id="1190754971">
                      <w:marLeft w:val="0"/>
                      <w:marRight w:val="0"/>
                      <w:marTop w:val="0"/>
                      <w:marBottom w:val="0"/>
                      <w:divBdr>
                        <w:top w:val="none" w:sz="0" w:space="0" w:color="auto"/>
                        <w:left w:val="none" w:sz="0" w:space="0" w:color="auto"/>
                        <w:bottom w:val="none" w:sz="0" w:space="0" w:color="auto"/>
                        <w:right w:val="none" w:sz="0" w:space="0" w:color="auto"/>
                      </w:divBdr>
                    </w:div>
                  </w:divsChild>
                </w:div>
                <w:div w:id="771702858">
                  <w:marLeft w:val="0"/>
                  <w:marRight w:val="0"/>
                  <w:marTop w:val="0"/>
                  <w:marBottom w:val="0"/>
                  <w:divBdr>
                    <w:top w:val="none" w:sz="0" w:space="0" w:color="auto"/>
                    <w:left w:val="none" w:sz="0" w:space="0" w:color="auto"/>
                    <w:bottom w:val="none" w:sz="0" w:space="0" w:color="auto"/>
                    <w:right w:val="none" w:sz="0" w:space="0" w:color="auto"/>
                  </w:divBdr>
                  <w:divsChild>
                    <w:div w:id="214703511">
                      <w:marLeft w:val="0"/>
                      <w:marRight w:val="0"/>
                      <w:marTop w:val="0"/>
                      <w:marBottom w:val="0"/>
                      <w:divBdr>
                        <w:top w:val="none" w:sz="0" w:space="0" w:color="auto"/>
                        <w:left w:val="none" w:sz="0" w:space="0" w:color="auto"/>
                        <w:bottom w:val="none" w:sz="0" w:space="0" w:color="auto"/>
                        <w:right w:val="none" w:sz="0" w:space="0" w:color="auto"/>
                      </w:divBdr>
                    </w:div>
                  </w:divsChild>
                </w:div>
                <w:div w:id="777718566">
                  <w:marLeft w:val="0"/>
                  <w:marRight w:val="0"/>
                  <w:marTop w:val="0"/>
                  <w:marBottom w:val="0"/>
                  <w:divBdr>
                    <w:top w:val="none" w:sz="0" w:space="0" w:color="auto"/>
                    <w:left w:val="none" w:sz="0" w:space="0" w:color="auto"/>
                    <w:bottom w:val="none" w:sz="0" w:space="0" w:color="auto"/>
                    <w:right w:val="none" w:sz="0" w:space="0" w:color="auto"/>
                  </w:divBdr>
                  <w:divsChild>
                    <w:div w:id="776020248">
                      <w:marLeft w:val="0"/>
                      <w:marRight w:val="0"/>
                      <w:marTop w:val="0"/>
                      <w:marBottom w:val="0"/>
                      <w:divBdr>
                        <w:top w:val="none" w:sz="0" w:space="0" w:color="auto"/>
                        <w:left w:val="none" w:sz="0" w:space="0" w:color="auto"/>
                        <w:bottom w:val="none" w:sz="0" w:space="0" w:color="auto"/>
                        <w:right w:val="none" w:sz="0" w:space="0" w:color="auto"/>
                      </w:divBdr>
                    </w:div>
                  </w:divsChild>
                </w:div>
                <w:div w:id="837964455">
                  <w:marLeft w:val="0"/>
                  <w:marRight w:val="0"/>
                  <w:marTop w:val="0"/>
                  <w:marBottom w:val="0"/>
                  <w:divBdr>
                    <w:top w:val="none" w:sz="0" w:space="0" w:color="auto"/>
                    <w:left w:val="none" w:sz="0" w:space="0" w:color="auto"/>
                    <w:bottom w:val="none" w:sz="0" w:space="0" w:color="auto"/>
                    <w:right w:val="none" w:sz="0" w:space="0" w:color="auto"/>
                  </w:divBdr>
                  <w:divsChild>
                    <w:div w:id="1769498532">
                      <w:marLeft w:val="0"/>
                      <w:marRight w:val="0"/>
                      <w:marTop w:val="0"/>
                      <w:marBottom w:val="0"/>
                      <w:divBdr>
                        <w:top w:val="none" w:sz="0" w:space="0" w:color="auto"/>
                        <w:left w:val="none" w:sz="0" w:space="0" w:color="auto"/>
                        <w:bottom w:val="none" w:sz="0" w:space="0" w:color="auto"/>
                        <w:right w:val="none" w:sz="0" w:space="0" w:color="auto"/>
                      </w:divBdr>
                    </w:div>
                  </w:divsChild>
                </w:div>
                <w:div w:id="910892724">
                  <w:marLeft w:val="0"/>
                  <w:marRight w:val="0"/>
                  <w:marTop w:val="0"/>
                  <w:marBottom w:val="0"/>
                  <w:divBdr>
                    <w:top w:val="none" w:sz="0" w:space="0" w:color="auto"/>
                    <w:left w:val="none" w:sz="0" w:space="0" w:color="auto"/>
                    <w:bottom w:val="none" w:sz="0" w:space="0" w:color="auto"/>
                    <w:right w:val="none" w:sz="0" w:space="0" w:color="auto"/>
                  </w:divBdr>
                  <w:divsChild>
                    <w:div w:id="846482589">
                      <w:marLeft w:val="0"/>
                      <w:marRight w:val="0"/>
                      <w:marTop w:val="0"/>
                      <w:marBottom w:val="0"/>
                      <w:divBdr>
                        <w:top w:val="none" w:sz="0" w:space="0" w:color="auto"/>
                        <w:left w:val="none" w:sz="0" w:space="0" w:color="auto"/>
                        <w:bottom w:val="none" w:sz="0" w:space="0" w:color="auto"/>
                        <w:right w:val="none" w:sz="0" w:space="0" w:color="auto"/>
                      </w:divBdr>
                    </w:div>
                  </w:divsChild>
                </w:div>
                <w:div w:id="952056091">
                  <w:marLeft w:val="0"/>
                  <w:marRight w:val="0"/>
                  <w:marTop w:val="0"/>
                  <w:marBottom w:val="0"/>
                  <w:divBdr>
                    <w:top w:val="none" w:sz="0" w:space="0" w:color="auto"/>
                    <w:left w:val="none" w:sz="0" w:space="0" w:color="auto"/>
                    <w:bottom w:val="none" w:sz="0" w:space="0" w:color="auto"/>
                    <w:right w:val="none" w:sz="0" w:space="0" w:color="auto"/>
                  </w:divBdr>
                  <w:divsChild>
                    <w:div w:id="1108617534">
                      <w:marLeft w:val="0"/>
                      <w:marRight w:val="0"/>
                      <w:marTop w:val="0"/>
                      <w:marBottom w:val="0"/>
                      <w:divBdr>
                        <w:top w:val="none" w:sz="0" w:space="0" w:color="auto"/>
                        <w:left w:val="none" w:sz="0" w:space="0" w:color="auto"/>
                        <w:bottom w:val="none" w:sz="0" w:space="0" w:color="auto"/>
                        <w:right w:val="none" w:sz="0" w:space="0" w:color="auto"/>
                      </w:divBdr>
                    </w:div>
                  </w:divsChild>
                </w:div>
                <w:div w:id="958535144">
                  <w:marLeft w:val="0"/>
                  <w:marRight w:val="0"/>
                  <w:marTop w:val="0"/>
                  <w:marBottom w:val="0"/>
                  <w:divBdr>
                    <w:top w:val="none" w:sz="0" w:space="0" w:color="auto"/>
                    <w:left w:val="none" w:sz="0" w:space="0" w:color="auto"/>
                    <w:bottom w:val="none" w:sz="0" w:space="0" w:color="auto"/>
                    <w:right w:val="none" w:sz="0" w:space="0" w:color="auto"/>
                  </w:divBdr>
                  <w:divsChild>
                    <w:div w:id="1558589164">
                      <w:marLeft w:val="0"/>
                      <w:marRight w:val="0"/>
                      <w:marTop w:val="0"/>
                      <w:marBottom w:val="0"/>
                      <w:divBdr>
                        <w:top w:val="none" w:sz="0" w:space="0" w:color="auto"/>
                        <w:left w:val="none" w:sz="0" w:space="0" w:color="auto"/>
                        <w:bottom w:val="none" w:sz="0" w:space="0" w:color="auto"/>
                        <w:right w:val="none" w:sz="0" w:space="0" w:color="auto"/>
                      </w:divBdr>
                    </w:div>
                  </w:divsChild>
                </w:div>
                <w:div w:id="983434696">
                  <w:marLeft w:val="0"/>
                  <w:marRight w:val="0"/>
                  <w:marTop w:val="0"/>
                  <w:marBottom w:val="0"/>
                  <w:divBdr>
                    <w:top w:val="none" w:sz="0" w:space="0" w:color="auto"/>
                    <w:left w:val="none" w:sz="0" w:space="0" w:color="auto"/>
                    <w:bottom w:val="none" w:sz="0" w:space="0" w:color="auto"/>
                    <w:right w:val="none" w:sz="0" w:space="0" w:color="auto"/>
                  </w:divBdr>
                  <w:divsChild>
                    <w:div w:id="1280334906">
                      <w:marLeft w:val="0"/>
                      <w:marRight w:val="0"/>
                      <w:marTop w:val="0"/>
                      <w:marBottom w:val="0"/>
                      <w:divBdr>
                        <w:top w:val="none" w:sz="0" w:space="0" w:color="auto"/>
                        <w:left w:val="none" w:sz="0" w:space="0" w:color="auto"/>
                        <w:bottom w:val="none" w:sz="0" w:space="0" w:color="auto"/>
                        <w:right w:val="none" w:sz="0" w:space="0" w:color="auto"/>
                      </w:divBdr>
                    </w:div>
                  </w:divsChild>
                </w:div>
                <w:div w:id="1053699650">
                  <w:marLeft w:val="0"/>
                  <w:marRight w:val="0"/>
                  <w:marTop w:val="0"/>
                  <w:marBottom w:val="0"/>
                  <w:divBdr>
                    <w:top w:val="none" w:sz="0" w:space="0" w:color="auto"/>
                    <w:left w:val="none" w:sz="0" w:space="0" w:color="auto"/>
                    <w:bottom w:val="none" w:sz="0" w:space="0" w:color="auto"/>
                    <w:right w:val="none" w:sz="0" w:space="0" w:color="auto"/>
                  </w:divBdr>
                  <w:divsChild>
                    <w:div w:id="288099037">
                      <w:marLeft w:val="0"/>
                      <w:marRight w:val="0"/>
                      <w:marTop w:val="0"/>
                      <w:marBottom w:val="0"/>
                      <w:divBdr>
                        <w:top w:val="none" w:sz="0" w:space="0" w:color="auto"/>
                        <w:left w:val="none" w:sz="0" w:space="0" w:color="auto"/>
                        <w:bottom w:val="none" w:sz="0" w:space="0" w:color="auto"/>
                        <w:right w:val="none" w:sz="0" w:space="0" w:color="auto"/>
                      </w:divBdr>
                    </w:div>
                    <w:div w:id="673142447">
                      <w:marLeft w:val="0"/>
                      <w:marRight w:val="0"/>
                      <w:marTop w:val="0"/>
                      <w:marBottom w:val="0"/>
                      <w:divBdr>
                        <w:top w:val="none" w:sz="0" w:space="0" w:color="auto"/>
                        <w:left w:val="none" w:sz="0" w:space="0" w:color="auto"/>
                        <w:bottom w:val="none" w:sz="0" w:space="0" w:color="auto"/>
                        <w:right w:val="none" w:sz="0" w:space="0" w:color="auto"/>
                      </w:divBdr>
                    </w:div>
                  </w:divsChild>
                </w:div>
                <w:div w:id="1073046325">
                  <w:marLeft w:val="0"/>
                  <w:marRight w:val="0"/>
                  <w:marTop w:val="0"/>
                  <w:marBottom w:val="0"/>
                  <w:divBdr>
                    <w:top w:val="none" w:sz="0" w:space="0" w:color="auto"/>
                    <w:left w:val="none" w:sz="0" w:space="0" w:color="auto"/>
                    <w:bottom w:val="none" w:sz="0" w:space="0" w:color="auto"/>
                    <w:right w:val="none" w:sz="0" w:space="0" w:color="auto"/>
                  </w:divBdr>
                  <w:divsChild>
                    <w:div w:id="1167867143">
                      <w:marLeft w:val="0"/>
                      <w:marRight w:val="0"/>
                      <w:marTop w:val="0"/>
                      <w:marBottom w:val="0"/>
                      <w:divBdr>
                        <w:top w:val="none" w:sz="0" w:space="0" w:color="auto"/>
                        <w:left w:val="none" w:sz="0" w:space="0" w:color="auto"/>
                        <w:bottom w:val="none" w:sz="0" w:space="0" w:color="auto"/>
                        <w:right w:val="none" w:sz="0" w:space="0" w:color="auto"/>
                      </w:divBdr>
                    </w:div>
                  </w:divsChild>
                </w:div>
                <w:div w:id="1124615729">
                  <w:marLeft w:val="0"/>
                  <w:marRight w:val="0"/>
                  <w:marTop w:val="0"/>
                  <w:marBottom w:val="0"/>
                  <w:divBdr>
                    <w:top w:val="none" w:sz="0" w:space="0" w:color="auto"/>
                    <w:left w:val="none" w:sz="0" w:space="0" w:color="auto"/>
                    <w:bottom w:val="none" w:sz="0" w:space="0" w:color="auto"/>
                    <w:right w:val="none" w:sz="0" w:space="0" w:color="auto"/>
                  </w:divBdr>
                  <w:divsChild>
                    <w:div w:id="721171758">
                      <w:marLeft w:val="0"/>
                      <w:marRight w:val="0"/>
                      <w:marTop w:val="0"/>
                      <w:marBottom w:val="0"/>
                      <w:divBdr>
                        <w:top w:val="none" w:sz="0" w:space="0" w:color="auto"/>
                        <w:left w:val="none" w:sz="0" w:space="0" w:color="auto"/>
                        <w:bottom w:val="none" w:sz="0" w:space="0" w:color="auto"/>
                        <w:right w:val="none" w:sz="0" w:space="0" w:color="auto"/>
                      </w:divBdr>
                    </w:div>
                  </w:divsChild>
                </w:div>
                <w:div w:id="1266186624">
                  <w:marLeft w:val="0"/>
                  <w:marRight w:val="0"/>
                  <w:marTop w:val="0"/>
                  <w:marBottom w:val="0"/>
                  <w:divBdr>
                    <w:top w:val="none" w:sz="0" w:space="0" w:color="auto"/>
                    <w:left w:val="none" w:sz="0" w:space="0" w:color="auto"/>
                    <w:bottom w:val="none" w:sz="0" w:space="0" w:color="auto"/>
                    <w:right w:val="none" w:sz="0" w:space="0" w:color="auto"/>
                  </w:divBdr>
                  <w:divsChild>
                    <w:div w:id="1666277378">
                      <w:marLeft w:val="0"/>
                      <w:marRight w:val="0"/>
                      <w:marTop w:val="0"/>
                      <w:marBottom w:val="0"/>
                      <w:divBdr>
                        <w:top w:val="none" w:sz="0" w:space="0" w:color="auto"/>
                        <w:left w:val="none" w:sz="0" w:space="0" w:color="auto"/>
                        <w:bottom w:val="none" w:sz="0" w:space="0" w:color="auto"/>
                        <w:right w:val="none" w:sz="0" w:space="0" w:color="auto"/>
                      </w:divBdr>
                    </w:div>
                  </w:divsChild>
                </w:div>
                <w:div w:id="1269461593">
                  <w:marLeft w:val="0"/>
                  <w:marRight w:val="0"/>
                  <w:marTop w:val="0"/>
                  <w:marBottom w:val="0"/>
                  <w:divBdr>
                    <w:top w:val="none" w:sz="0" w:space="0" w:color="auto"/>
                    <w:left w:val="none" w:sz="0" w:space="0" w:color="auto"/>
                    <w:bottom w:val="none" w:sz="0" w:space="0" w:color="auto"/>
                    <w:right w:val="none" w:sz="0" w:space="0" w:color="auto"/>
                  </w:divBdr>
                  <w:divsChild>
                    <w:div w:id="1840269662">
                      <w:marLeft w:val="0"/>
                      <w:marRight w:val="0"/>
                      <w:marTop w:val="0"/>
                      <w:marBottom w:val="0"/>
                      <w:divBdr>
                        <w:top w:val="none" w:sz="0" w:space="0" w:color="auto"/>
                        <w:left w:val="none" w:sz="0" w:space="0" w:color="auto"/>
                        <w:bottom w:val="none" w:sz="0" w:space="0" w:color="auto"/>
                        <w:right w:val="none" w:sz="0" w:space="0" w:color="auto"/>
                      </w:divBdr>
                    </w:div>
                  </w:divsChild>
                </w:div>
                <w:div w:id="1326320728">
                  <w:marLeft w:val="0"/>
                  <w:marRight w:val="0"/>
                  <w:marTop w:val="0"/>
                  <w:marBottom w:val="0"/>
                  <w:divBdr>
                    <w:top w:val="none" w:sz="0" w:space="0" w:color="auto"/>
                    <w:left w:val="none" w:sz="0" w:space="0" w:color="auto"/>
                    <w:bottom w:val="none" w:sz="0" w:space="0" w:color="auto"/>
                    <w:right w:val="none" w:sz="0" w:space="0" w:color="auto"/>
                  </w:divBdr>
                  <w:divsChild>
                    <w:div w:id="32467534">
                      <w:marLeft w:val="0"/>
                      <w:marRight w:val="0"/>
                      <w:marTop w:val="0"/>
                      <w:marBottom w:val="0"/>
                      <w:divBdr>
                        <w:top w:val="none" w:sz="0" w:space="0" w:color="auto"/>
                        <w:left w:val="none" w:sz="0" w:space="0" w:color="auto"/>
                        <w:bottom w:val="none" w:sz="0" w:space="0" w:color="auto"/>
                        <w:right w:val="none" w:sz="0" w:space="0" w:color="auto"/>
                      </w:divBdr>
                    </w:div>
                  </w:divsChild>
                </w:div>
                <w:div w:id="1348407174">
                  <w:marLeft w:val="0"/>
                  <w:marRight w:val="0"/>
                  <w:marTop w:val="0"/>
                  <w:marBottom w:val="0"/>
                  <w:divBdr>
                    <w:top w:val="none" w:sz="0" w:space="0" w:color="auto"/>
                    <w:left w:val="none" w:sz="0" w:space="0" w:color="auto"/>
                    <w:bottom w:val="none" w:sz="0" w:space="0" w:color="auto"/>
                    <w:right w:val="none" w:sz="0" w:space="0" w:color="auto"/>
                  </w:divBdr>
                  <w:divsChild>
                    <w:div w:id="587545980">
                      <w:marLeft w:val="0"/>
                      <w:marRight w:val="0"/>
                      <w:marTop w:val="0"/>
                      <w:marBottom w:val="0"/>
                      <w:divBdr>
                        <w:top w:val="none" w:sz="0" w:space="0" w:color="auto"/>
                        <w:left w:val="none" w:sz="0" w:space="0" w:color="auto"/>
                        <w:bottom w:val="none" w:sz="0" w:space="0" w:color="auto"/>
                        <w:right w:val="none" w:sz="0" w:space="0" w:color="auto"/>
                      </w:divBdr>
                    </w:div>
                  </w:divsChild>
                </w:div>
                <w:div w:id="1367365290">
                  <w:marLeft w:val="0"/>
                  <w:marRight w:val="0"/>
                  <w:marTop w:val="0"/>
                  <w:marBottom w:val="0"/>
                  <w:divBdr>
                    <w:top w:val="none" w:sz="0" w:space="0" w:color="auto"/>
                    <w:left w:val="none" w:sz="0" w:space="0" w:color="auto"/>
                    <w:bottom w:val="none" w:sz="0" w:space="0" w:color="auto"/>
                    <w:right w:val="none" w:sz="0" w:space="0" w:color="auto"/>
                  </w:divBdr>
                  <w:divsChild>
                    <w:div w:id="1530143475">
                      <w:marLeft w:val="0"/>
                      <w:marRight w:val="0"/>
                      <w:marTop w:val="0"/>
                      <w:marBottom w:val="0"/>
                      <w:divBdr>
                        <w:top w:val="none" w:sz="0" w:space="0" w:color="auto"/>
                        <w:left w:val="none" w:sz="0" w:space="0" w:color="auto"/>
                        <w:bottom w:val="none" w:sz="0" w:space="0" w:color="auto"/>
                        <w:right w:val="none" w:sz="0" w:space="0" w:color="auto"/>
                      </w:divBdr>
                    </w:div>
                  </w:divsChild>
                </w:div>
                <w:div w:id="1388534400">
                  <w:marLeft w:val="0"/>
                  <w:marRight w:val="0"/>
                  <w:marTop w:val="0"/>
                  <w:marBottom w:val="0"/>
                  <w:divBdr>
                    <w:top w:val="none" w:sz="0" w:space="0" w:color="auto"/>
                    <w:left w:val="none" w:sz="0" w:space="0" w:color="auto"/>
                    <w:bottom w:val="none" w:sz="0" w:space="0" w:color="auto"/>
                    <w:right w:val="none" w:sz="0" w:space="0" w:color="auto"/>
                  </w:divBdr>
                  <w:divsChild>
                    <w:div w:id="941300153">
                      <w:marLeft w:val="0"/>
                      <w:marRight w:val="0"/>
                      <w:marTop w:val="0"/>
                      <w:marBottom w:val="0"/>
                      <w:divBdr>
                        <w:top w:val="none" w:sz="0" w:space="0" w:color="auto"/>
                        <w:left w:val="none" w:sz="0" w:space="0" w:color="auto"/>
                        <w:bottom w:val="none" w:sz="0" w:space="0" w:color="auto"/>
                        <w:right w:val="none" w:sz="0" w:space="0" w:color="auto"/>
                      </w:divBdr>
                    </w:div>
                  </w:divsChild>
                </w:div>
                <w:div w:id="1401439251">
                  <w:marLeft w:val="0"/>
                  <w:marRight w:val="0"/>
                  <w:marTop w:val="0"/>
                  <w:marBottom w:val="0"/>
                  <w:divBdr>
                    <w:top w:val="none" w:sz="0" w:space="0" w:color="auto"/>
                    <w:left w:val="none" w:sz="0" w:space="0" w:color="auto"/>
                    <w:bottom w:val="none" w:sz="0" w:space="0" w:color="auto"/>
                    <w:right w:val="none" w:sz="0" w:space="0" w:color="auto"/>
                  </w:divBdr>
                  <w:divsChild>
                    <w:div w:id="748620489">
                      <w:marLeft w:val="0"/>
                      <w:marRight w:val="0"/>
                      <w:marTop w:val="0"/>
                      <w:marBottom w:val="0"/>
                      <w:divBdr>
                        <w:top w:val="none" w:sz="0" w:space="0" w:color="auto"/>
                        <w:left w:val="none" w:sz="0" w:space="0" w:color="auto"/>
                        <w:bottom w:val="none" w:sz="0" w:space="0" w:color="auto"/>
                        <w:right w:val="none" w:sz="0" w:space="0" w:color="auto"/>
                      </w:divBdr>
                    </w:div>
                  </w:divsChild>
                </w:div>
                <w:div w:id="1436749990">
                  <w:marLeft w:val="0"/>
                  <w:marRight w:val="0"/>
                  <w:marTop w:val="0"/>
                  <w:marBottom w:val="0"/>
                  <w:divBdr>
                    <w:top w:val="none" w:sz="0" w:space="0" w:color="auto"/>
                    <w:left w:val="none" w:sz="0" w:space="0" w:color="auto"/>
                    <w:bottom w:val="none" w:sz="0" w:space="0" w:color="auto"/>
                    <w:right w:val="none" w:sz="0" w:space="0" w:color="auto"/>
                  </w:divBdr>
                  <w:divsChild>
                    <w:div w:id="1069579348">
                      <w:marLeft w:val="0"/>
                      <w:marRight w:val="0"/>
                      <w:marTop w:val="0"/>
                      <w:marBottom w:val="0"/>
                      <w:divBdr>
                        <w:top w:val="none" w:sz="0" w:space="0" w:color="auto"/>
                        <w:left w:val="none" w:sz="0" w:space="0" w:color="auto"/>
                        <w:bottom w:val="none" w:sz="0" w:space="0" w:color="auto"/>
                        <w:right w:val="none" w:sz="0" w:space="0" w:color="auto"/>
                      </w:divBdr>
                    </w:div>
                  </w:divsChild>
                </w:div>
                <w:div w:id="1480146156">
                  <w:marLeft w:val="0"/>
                  <w:marRight w:val="0"/>
                  <w:marTop w:val="0"/>
                  <w:marBottom w:val="0"/>
                  <w:divBdr>
                    <w:top w:val="none" w:sz="0" w:space="0" w:color="auto"/>
                    <w:left w:val="none" w:sz="0" w:space="0" w:color="auto"/>
                    <w:bottom w:val="none" w:sz="0" w:space="0" w:color="auto"/>
                    <w:right w:val="none" w:sz="0" w:space="0" w:color="auto"/>
                  </w:divBdr>
                  <w:divsChild>
                    <w:div w:id="1859461858">
                      <w:marLeft w:val="0"/>
                      <w:marRight w:val="0"/>
                      <w:marTop w:val="0"/>
                      <w:marBottom w:val="0"/>
                      <w:divBdr>
                        <w:top w:val="none" w:sz="0" w:space="0" w:color="auto"/>
                        <w:left w:val="none" w:sz="0" w:space="0" w:color="auto"/>
                        <w:bottom w:val="none" w:sz="0" w:space="0" w:color="auto"/>
                        <w:right w:val="none" w:sz="0" w:space="0" w:color="auto"/>
                      </w:divBdr>
                    </w:div>
                  </w:divsChild>
                </w:div>
                <w:div w:id="1576863856">
                  <w:marLeft w:val="0"/>
                  <w:marRight w:val="0"/>
                  <w:marTop w:val="0"/>
                  <w:marBottom w:val="0"/>
                  <w:divBdr>
                    <w:top w:val="none" w:sz="0" w:space="0" w:color="auto"/>
                    <w:left w:val="none" w:sz="0" w:space="0" w:color="auto"/>
                    <w:bottom w:val="none" w:sz="0" w:space="0" w:color="auto"/>
                    <w:right w:val="none" w:sz="0" w:space="0" w:color="auto"/>
                  </w:divBdr>
                  <w:divsChild>
                    <w:div w:id="1077359021">
                      <w:marLeft w:val="0"/>
                      <w:marRight w:val="0"/>
                      <w:marTop w:val="0"/>
                      <w:marBottom w:val="0"/>
                      <w:divBdr>
                        <w:top w:val="none" w:sz="0" w:space="0" w:color="auto"/>
                        <w:left w:val="none" w:sz="0" w:space="0" w:color="auto"/>
                        <w:bottom w:val="none" w:sz="0" w:space="0" w:color="auto"/>
                        <w:right w:val="none" w:sz="0" w:space="0" w:color="auto"/>
                      </w:divBdr>
                    </w:div>
                  </w:divsChild>
                </w:div>
                <w:div w:id="1578127830">
                  <w:marLeft w:val="0"/>
                  <w:marRight w:val="0"/>
                  <w:marTop w:val="0"/>
                  <w:marBottom w:val="0"/>
                  <w:divBdr>
                    <w:top w:val="none" w:sz="0" w:space="0" w:color="auto"/>
                    <w:left w:val="none" w:sz="0" w:space="0" w:color="auto"/>
                    <w:bottom w:val="none" w:sz="0" w:space="0" w:color="auto"/>
                    <w:right w:val="none" w:sz="0" w:space="0" w:color="auto"/>
                  </w:divBdr>
                  <w:divsChild>
                    <w:div w:id="185483464">
                      <w:marLeft w:val="0"/>
                      <w:marRight w:val="0"/>
                      <w:marTop w:val="0"/>
                      <w:marBottom w:val="0"/>
                      <w:divBdr>
                        <w:top w:val="none" w:sz="0" w:space="0" w:color="auto"/>
                        <w:left w:val="none" w:sz="0" w:space="0" w:color="auto"/>
                        <w:bottom w:val="none" w:sz="0" w:space="0" w:color="auto"/>
                        <w:right w:val="none" w:sz="0" w:space="0" w:color="auto"/>
                      </w:divBdr>
                    </w:div>
                  </w:divsChild>
                </w:div>
                <w:div w:id="1579750181">
                  <w:marLeft w:val="0"/>
                  <w:marRight w:val="0"/>
                  <w:marTop w:val="0"/>
                  <w:marBottom w:val="0"/>
                  <w:divBdr>
                    <w:top w:val="none" w:sz="0" w:space="0" w:color="auto"/>
                    <w:left w:val="none" w:sz="0" w:space="0" w:color="auto"/>
                    <w:bottom w:val="none" w:sz="0" w:space="0" w:color="auto"/>
                    <w:right w:val="none" w:sz="0" w:space="0" w:color="auto"/>
                  </w:divBdr>
                  <w:divsChild>
                    <w:div w:id="1656298257">
                      <w:marLeft w:val="0"/>
                      <w:marRight w:val="0"/>
                      <w:marTop w:val="0"/>
                      <w:marBottom w:val="0"/>
                      <w:divBdr>
                        <w:top w:val="none" w:sz="0" w:space="0" w:color="auto"/>
                        <w:left w:val="none" w:sz="0" w:space="0" w:color="auto"/>
                        <w:bottom w:val="none" w:sz="0" w:space="0" w:color="auto"/>
                        <w:right w:val="none" w:sz="0" w:space="0" w:color="auto"/>
                      </w:divBdr>
                    </w:div>
                  </w:divsChild>
                </w:div>
                <w:div w:id="1599673618">
                  <w:marLeft w:val="0"/>
                  <w:marRight w:val="0"/>
                  <w:marTop w:val="0"/>
                  <w:marBottom w:val="0"/>
                  <w:divBdr>
                    <w:top w:val="none" w:sz="0" w:space="0" w:color="auto"/>
                    <w:left w:val="none" w:sz="0" w:space="0" w:color="auto"/>
                    <w:bottom w:val="none" w:sz="0" w:space="0" w:color="auto"/>
                    <w:right w:val="none" w:sz="0" w:space="0" w:color="auto"/>
                  </w:divBdr>
                  <w:divsChild>
                    <w:div w:id="1342122950">
                      <w:marLeft w:val="0"/>
                      <w:marRight w:val="0"/>
                      <w:marTop w:val="0"/>
                      <w:marBottom w:val="0"/>
                      <w:divBdr>
                        <w:top w:val="none" w:sz="0" w:space="0" w:color="auto"/>
                        <w:left w:val="none" w:sz="0" w:space="0" w:color="auto"/>
                        <w:bottom w:val="none" w:sz="0" w:space="0" w:color="auto"/>
                        <w:right w:val="none" w:sz="0" w:space="0" w:color="auto"/>
                      </w:divBdr>
                    </w:div>
                  </w:divsChild>
                </w:div>
                <w:div w:id="1649746114">
                  <w:marLeft w:val="0"/>
                  <w:marRight w:val="0"/>
                  <w:marTop w:val="0"/>
                  <w:marBottom w:val="0"/>
                  <w:divBdr>
                    <w:top w:val="none" w:sz="0" w:space="0" w:color="auto"/>
                    <w:left w:val="none" w:sz="0" w:space="0" w:color="auto"/>
                    <w:bottom w:val="none" w:sz="0" w:space="0" w:color="auto"/>
                    <w:right w:val="none" w:sz="0" w:space="0" w:color="auto"/>
                  </w:divBdr>
                  <w:divsChild>
                    <w:div w:id="475144727">
                      <w:marLeft w:val="0"/>
                      <w:marRight w:val="0"/>
                      <w:marTop w:val="0"/>
                      <w:marBottom w:val="0"/>
                      <w:divBdr>
                        <w:top w:val="none" w:sz="0" w:space="0" w:color="auto"/>
                        <w:left w:val="none" w:sz="0" w:space="0" w:color="auto"/>
                        <w:bottom w:val="none" w:sz="0" w:space="0" w:color="auto"/>
                        <w:right w:val="none" w:sz="0" w:space="0" w:color="auto"/>
                      </w:divBdr>
                    </w:div>
                  </w:divsChild>
                </w:div>
                <w:div w:id="1656760798">
                  <w:marLeft w:val="0"/>
                  <w:marRight w:val="0"/>
                  <w:marTop w:val="0"/>
                  <w:marBottom w:val="0"/>
                  <w:divBdr>
                    <w:top w:val="none" w:sz="0" w:space="0" w:color="auto"/>
                    <w:left w:val="none" w:sz="0" w:space="0" w:color="auto"/>
                    <w:bottom w:val="none" w:sz="0" w:space="0" w:color="auto"/>
                    <w:right w:val="none" w:sz="0" w:space="0" w:color="auto"/>
                  </w:divBdr>
                  <w:divsChild>
                    <w:div w:id="295188023">
                      <w:marLeft w:val="0"/>
                      <w:marRight w:val="0"/>
                      <w:marTop w:val="0"/>
                      <w:marBottom w:val="0"/>
                      <w:divBdr>
                        <w:top w:val="none" w:sz="0" w:space="0" w:color="auto"/>
                        <w:left w:val="none" w:sz="0" w:space="0" w:color="auto"/>
                        <w:bottom w:val="none" w:sz="0" w:space="0" w:color="auto"/>
                        <w:right w:val="none" w:sz="0" w:space="0" w:color="auto"/>
                      </w:divBdr>
                    </w:div>
                  </w:divsChild>
                </w:div>
                <w:div w:id="1693606583">
                  <w:marLeft w:val="0"/>
                  <w:marRight w:val="0"/>
                  <w:marTop w:val="0"/>
                  <w:marBottom w:val="0"/>
                  <w:divBdr>
                    <w:top w:val="none" w:sz="0" w:space="0" w:color="auto"/>
                    <w:left w:val="none" w:sz="0" w:space="0" w:color="auto"/>
                    <w:bottom w:val="none" w:sz="0" w:space="0" w:color="auto"/>
                    <w:right w:val="none" w:sz="0" w:space="0" w:color="auto"/>
                  </w:divBdr>
                  <w:divsChild>
                    <w:div w:id="220945213">
                      <w:marLeft w:val="0"/>
                      <w:marRight w:val="0"/>
                      <w:marTop w:val="0"/>
                      <w:marBottom w:val="0"/>
                      <w:divBdr>
                        <w:top w:val="none" w:sz="0" w:space="0" w:color="auto"/>
                        <w:left w:val="none" w:sz="0" w:space="0" w:color="auto"/>
                        <w:bottom w:val="none" w:sz="0" w:space="0" w:color="auto"/>
                        <w:right w:val="none" w:sz="0" w:space="0" w:color="auto"/>
                      </w:divBdr>
                    </w:div>
                  </w:divsChild>
                </w:div>
                <w:div w:id="1700737784">
                  <w:marLeft w:val="0"/>
                  <w:marRight w:val="0"/>
                  <w:marTop w:val="0"/>
                  <w:marBottom w:val="0"/>
                  <w:divBdr>
                    <w:top w:val="none" w:sz="0" w:space="0" w:color="auto"/>
                    <w:left w:val="none" w:sz="0" w:space="0" w:color="auto"/>
                    <w:bottom w:val="none" w:sz="0" w:space="0" w:color="auto"/>
                    <w:right w:val="none" w:sz="0" w:space="0" w:color="auto"/>
                  </w:divBdr>
                  <w:divsChild>
                    <w:div w:id="490103918">
                      <w:marLeft w:val="0"/>
                      <w:marRight w:val="0"/>
                      <w:marTop w:val="0"/>
                      <w:marBottom w:val="0"/>
                      <w:divBdr>
                        <w:top w:val="none" w:sz="0" w:space="0" w:color="auto"/>
                        <w:left w:val="none" w:sz="0" w:space="0" w:color="auto"/>
                        <w:bottom w:val="none" w:sz="0" w:space="0" w:color="auto"/>
                        <w:right w:val="none" w:sz="0" w:space="0" w:color="auto"/>
                      </w:divBdr>
                    </w:div>
                  </w:divsChild>
                </w:div>
                <w:div w:id="1719013414">
                  <w:marLeft w:val="0"/>
                  <w:marRight w:val="0"/>
                  <w:marTop w:val="0"/>
                  <w:marBottom w:val="0"/>
                  <w:divBdr>
                    <w:top w:val="none" w:sz="0" w:space="0" w:color="auto"/>
                    <w:left w:val="none" w:sz="0" w:space="0" w:color="auto"/>
                    <w:bottom w:val="none" w:sz="0" w:space="0" w:color="auto"/>
                    <w:right w:val="none" w:sz="0" w:space="0" w:color="auto"/>
                  </w:divBdr>
                  <w:divsChild>
                    <w:div w:id="229855497">
                      <w:marLeft w:val="0"/>
                      <w:marRight w:val="0"/>
                      <w:marTop w:val="0"/>
                      <w:marBottom w:val="0"/>
                      <w:divBdr>
                        <w:top w:val="none" w:sz="0" w:space="0" w:color="auto"/>
                        <w:left w:val="none" w:sz="0" w:space="0" w:color="auto"/>
                        <w:bottom w:val="none" w:sz="0" w:space="0" w:color="auto"/>
                        <w:right w:val="none" w:sz="0" w:space="0" w:color="auto"/>
                      </w:divBdr>
                    </w:div>
                  </w:divsChild>
                </w:div>
                <w:div w:id="1734769066">
                  <w:marLeft w:val="0"/>
                  <w:marRight w:val="0"/>
                  <w:marTop w:val="0"/>
                  <w:marBottom w:val="0"/>
                  <w:divBdr>
                    <w:top w:val="none" w:sz="0" w:space="0" w:color="auto"/>
                    <w:left w:val="none" w:sz="0" w:space="0" w:color="auto"/>
                    <w:bottom w:val="none" w:sz="0" w:space="0" w:color="auto"/>
                    <w:right w:val="none" w:sz="0" w:space="0" w:color="auto"/>
                  </w:divBdr>
                  <w:divsChild>
                    <w:div w:id="945379957">
                      <w:marLeft w:val="0"/>
                      <w:marRight w:val="0"/>
                      <w:marTop w:val="0"/>
                      <w:marBottom w:val="0"/>
                      <w:divBdr>
                        <w:top w:val="none" w:sz="0" w:space="0" w:color="auto"/>
                        <w:left w:val="none" w:sz="0" w:space="0" w:color="auto"/>
                        <w:bottom w:val="none" w:sz="0" w:space="0" w:color="auto"/>
                        <w:right w:val="none" w:sz="0" w:space="0" w:color="auto"/>
                      </w:divBdr>
                    </w:div>
                  </w:divsChild>
                </w:div>
                <w:div w:id="1786582509">
                  <w:marLeft w:val="0"/>
                  <w:marRight w:val="0"/>
                  <w:marTop w:val="0"/>
                  <w:marBottom w:val="0"/>
                  <w:divBdr>
                    <w:top w:val="none" w:sz="0" w:space="0" w:color="auto"/>
                    <w:left w:val="none" w:sz="0" w:space="0" w:color="auto"/>
                    <w:bottom w:val="none" w:sz="0" w:space="0" w:color="auto"/>
                    <w:right w:val="none" w:sz="0" w:space="0" w:color="auto"/>
                  </w:divBdr>
                  <w:divsChild>
                    <w:div w:id="870647875">
                      <w:marLeft w:val="0"/>
                      <w:marRight w:val="0"/>
                      <w:marTop w:val="0"/>
                      <w:marBottom w:val="0"/>
                      <w:divBdr>
                        <w:top w:val="none" w:sz="0" w:space="0" w:color="auto"/>
                        <w:left w:val="none" w:sz="0" w:space="0" w:color="auto"/>
                        <w:bottom w:val="none" w:sz="0" w:space="0" w:color="auto"/>
                        <w:right w:val="none" w:sz="0" w:space="0" w:color="auto"/>
                      </w:divBdr>
                    </w:div>
                  </w:divsChild>
                </w:div>
                <w:div w:id="1841844841">
                  <w:marLeft w:val="0"/>
                  <w:marRight w:val="0"/>
                  <w:marTop w:val="0"/>
                  <w:marBottom w:val="0"/>
                  <w:divBdr>
                    <w:top w:val="none" w:sz="0" w:space="0" w:color="auto"/>
                    <w:left w:val="none" w:sz="0" w:space="0" w:color="auto"/>
                    <w:bottom w:val="none" w:sz="0" w:space="0" w:color="auto"/>
                    <w:right w:val="none" w:sz="0" w:space="0" w:color="auto"/>
                  </w:divBdr>
                  <w:divsChild>
                    <w:div w:id="405618325">
                      <w:marLeft w:val="0"/>
                      <w:marRight w:val="0"/>
                      <w:marTop w:val="0"/>
                      <w:marBottom w:val="0"/>
                      <w:divBdr>
                        <w:top w:val="none" w:sz="0" w:space="0" w:color="auto"/>
                        <w:left w:val="none" w:sz="0" w:space="0" w:color="auto"/>
                        <w:bottom w:val="none" w:sz="0" w:space="0" w:color="auto"/>
                        <w:right w:val="none" w:sz="0" w:space="0" w:color="auto"/>
                      </w:divBdr>
                    </w:div>
                  </w:divsChild>
                </w:div>
                <w:div w:id="1858151660">
                  <w:marLeft w:val="0"/>
                  <w:marRight w:val="0"/>
                  <w:marTop w:val="0"/>
                  <w:marBottom w:val="0"/>
                  <w:divBdr>
                    <w:top w:val="none" w:sz="0" w:space="0" w:color="auto"/>
                    <w:left w:val="none" w:sz="0" w:space="0" w:color="auto"/>
                    <w:bottom w:val="none" w:sz="0" w:space="0" w:color="auto"/>
                    <w:right w:val="none" w:sz="0" w:space="0" w:color="auto"/>
                  </w:divBdr>
                  <w:divsChild>
                    <w:div w:id="804390685">
                      <w:marLeft w:val="0"/>
                      <w:marRight w:val="0"/>
                      <w:marTop w:val="0"/>
                      <w:marBottom w:val="0"/>
                      <w:divBdr>
                        <w:top w:val="none" w:sz="0" w:space="0" w:color="auto"/>
                        <w:left w:val="none" w:sz="0" w:space="0" w:color="auto"/>
                        <w:bottom w:val="none" w:sz="0" w:space="0" w:color="auto"/>
                        <w:right w:val="none" w:sz="0" w:space="0" w:color="auto"/>
                      </w:divBdr>
                    </w:div>
                  </w:divsChild>
                </w:div>
                <w:div w:id="1884633483">
                  <w:marLeft w:val="0"/>
                  <w:marRight w:val="0"/>
                  <w:marTop w:val="0"/>
                  <w:marBottom w:val="0"/>
                  <w:divBdr>
                    <w:top w:val="none" w:sz="0" w:space="0" w:color="auto"/>
                    <w:left w:val="none" w:sz="0" w:space="0" w:color="auto"/>
                    <w:bottom w:val="none" w:sz="0" w:space="0" w:color="auto"/>
                    <w:right w:val="none" w:sz="0" w:space="0" w:color="auto"/>
                  </w:divBdr>
                  <w:divsChild>
                    <w:div w:id="316298849">
                      <w:marLeft w:val="0"/>
                      <w:marRight w:val="0"/>
                      <w:marTop w:val="0"/>
                      <w:marBottom w:val="0"/>
                      <w:divBdr>
                        <w:top w:val="none" w:sz="0" w:space="0" w:color="auto"/>
                        <w:left w:val="none" w:sz="0" w:space="0" w:color="auto"/>
                        <w:bottom w:val="none" w:sz="0" w:space="0" w:color="auto"/>
                        <w:right w:val="none" w:sz="0" w:space="0" w:color="auto"/>
                      </w:divBdr>
                    </w:div>
                  </w:divsChild>
                </w:div>
                <w:div w:id="2043482132">
                  <w:marLeft w:val="0"/>
                  <w:marRight w:val="0"/>
                  <w:marTop w:val="0"/>
                  <w:marBottom w:val="0"/>
                  <w:divBdr>
                    <w:top w:val="none" w:sz="0" w:space="0" w:color="auto"/>
                    <w:left w:val="none" w:sz="0" w:space="0" w:color="auto"/>
                    <w:bottom w:val="none" w:sz="0" w:space="0" w:color="auto"/>
                    <w:right w:val="none" w:sz="0" w:space="0" w:color="auto"/>
                  </w:divBdr>
                  <w:divsChild>
                    <w:div w:id="110057301">
                      <w:marLeft w:val="0"/>
                      <w:marRight w:val="0"/>
                      <w:marTop w:val="0"/>
                      <w:marBottom w:val="0"/>
                      <w:divBdr>
                        <w:top w:val="none" w:sz="0" w:space="0" w:color="auto"/>
                        <w:left w:val="none" w:sz="0" w:space="0" w:color="auto"/>
                        <w:bottom w:val="none" w:sz="0" w:space="0" w:color="auto"/>
                        <w:right w:val="none" w:sz="0" w:space="0" w:color="auto"/>
                      </w:divBdr>
                    </w:div>
                  </w:divsChild>
                </w:div>
                <w:div w:id="2052072768">
                  <w:marLeft w:val="0"/>
                  <w:marRight w:val="0"/>
                  <w:marTop w:val="0"/>
                  <w:marBottom w:val="0"/>
                  <w:divBdr>
                    <w:top w:val="none" w:sz="0" w:space="0" w:color="auto"/>
                    <w:left w:val="none" w:sz="0" w:space="0" w:color="auto"/>
                    <w:bottom w:val="none" w:sz="0" w:space="0" w:color="auto"/>
                    <w:right w:val="none" w:sz="0" w:space="0" w:color="auto"/>
                  </w:divBdr>
                  <w:divsChild>
                    <w:div w:id="462692738">
                      <w:marLeft w:val="0"/>
                      <w:marRight w:val="0"/>
                      <w:marTop w:val="0"/>
                      <w:marBottom w:val="0"/>
                      <w:divBdr>
                        <w:top w:val="none" w:sz="0" w:space="0" w:color="auto"/>
                        <w:left w:val="none" w:sz="0" w:space="0" w:color="auto"/>
                        <w:bottom w:val="none" w:sz="0" w:space="0" w:color="auto"/>
                        <w:right w:val="none" w:sz="0" w:space="0" w:color="auto"/>
                      </w:divBdr>
                    </w:div>
                  </w:divsChild>
                </w:div>
                <w:div w:id="2068338788">
                  <w:marLeft w:val="0"/>
                  <w:marRight w:val="0"/>
                  <w:marTop w:val="0"/>
                  <w:marBottom w:val="0"/>
                  <w:divBdr>
                    <w:top w:val="none" w:sz="0" w:space="0" w:color="auto"/>
                    <w:left w:val="none" w:sz="0" w:space="0" w:color="auto"/>
                    <w:bottom w:val="none" w:sz="0" w:space="0" w:color="auto"/>
                    <w:right w:val="none" w:sz="0" w:space="0" w:color="auto"/>
                  </w:divBdr>
                  <w:divsChild>
                    <w:div w:id="13284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57071">
      <w:bodyDiv w:val="1"/>
      <w:marLeft w:val="0"/>
      <w:marRight w:val="0"/>
      <w:marTop w:val="0"/>
      <w:marBottom w:val="0"/>
      <w:divBdr>
        <w:top w:val="none" w:sz="0" w:space="0" w:color="auto"/>
        <w:left w:val="none" w:sz="0" w:space="0" w:color="auto"/>
        <w:bottom w:val="none" w:sz="0" w:space="0" w:color="auto"/>
        <w:right w:val="none" w:sz="0" w:space="0" w:color="auto"/>
      </w:divBdr>
    </w:div>
    <w:div w:id="1796749450">
      <w:bodyDiv w:val="1"/>
      <w:marLeft w:val="0"/>
      <w:marRight w:val="0"/>
      <w:marTop w:val="0"/>
      <w:marBottom w:val="0"/>
      <w:divBdr>
        <w:top w:val="none" w:sz="0" w:space="0" w:color="auto"/>
        <w:left w:val="none" w:sz="0" w:space="0" w:color="auto"/>
        <w:bottom w:val="none" w:sz="0" w:space="0" w:color="auto"/>
        <w:right w:val="none" w:sz="0" w:space="0" w:color="auto"/>
      </w:divBdr>
      <w:divsChild>
        <w:div w:id="190800946">
          <w:marLeft w:val="0"/>
          <w:marRight w:val="0"/>
          <w:marTop w:val="0"/>
          <w:marBottom w:val="0"/>
          <w:divBdr>
            <w:top w:val="none" w:sz="0" w:space="0" w:color="auto"/>
            <w:left w:val="none" w:sz="0" w:space="0" w:color="auto"/>
            <w:bottom w:val="none" w:sz="0" w:space="0" w:color="auto"/>
            <w:right w:val="none" w:sz="0" w:space="0" w:color="auto"/>
          </w:divBdr>
        </w:div>
        <w:div w:id="631406344">
          <w:marLeft w:val="0"/>
          <w:marRight w:val="0"/>
          <w:marTop w:val="0"/>
          <w:marBottom w:val="0"/>
          <w:divBdr>
            <w:top w:val="none" w:sz="0" w:space="0" w:color="auto"/>
            <w:left w:val="none" w:sz="0" w:space="0" w:color="auto"/>
            <w:bottom w:val="none" w:sz="0" w:space="0" w:color="auto"/>
            <w:right w:val="none" w:sz="0" w:space="0" w:color="auto"/>
          </w:divBdr>
        </w:div>
      </w:divsChild>
    </w:div>
    <w:div w:id="1812669141">
      <w:bodyDiv w:val="1"/>
      <w:marLeft w:val="0"/>
      <w:marRight w:val="0"/>
      <w:marTop w:val="0"/>
      <w:marBottom w:val="0"/>
      <w:divBdr>
        <w:top w:val="none" w:sz="0" w:space="0" w:color="auto"/>
        <w:left w:val="none" w:sz="0" w:space="0" w:color="auto"/>
        <w:bottom w:val="none" w:sz="0" w:space="0" w:color="auto"/>
        <w:right w:val="none" w:sz="0" w:space="0" w:color="auto"/>
      </w:divBdr>
      <w:divsChild>
        <w:div w:id="30693572">
          <w:marLeft w:val="0"/>
          <w:marRight w:val="0"/>
          <w:marTop w:val="0"/>
          <w:marBottom w:val="0"/>
          <w:divBdr>
            <w:top w:val="none" w:sz="0" w:space="0" w:color="auto"/>
            <w:left w:val="none" w:sz="0" w:space="0" w:color="auto"/>
            <w:bottom w:val="none" w:sz="0" w:space="0" w:color="auto"/>
            <w:right w:val="none" w:sz="0" w:space="0" w:color="auto"/>
          </w:divBdr>
        </w:div>
        <w:div w:id="56586961">
          <w:marLeft w:val="0"/>
          <w:marRight w:val="0"/>
          <w:marTop w:val="0"/>
          <w:marBottom w:val="0"/>
          <w:divBdr>
            <w:top w:val="none" w:sz="0" w:space="0" w:color="auto"/>
            <w:left w:val="none" w:sz="0" w:space="0" w:color="auto"/>
            <w:bottom w:val="none" w:sz="0" w:space="0" w:color="auto"/>
            <w:right w:val="none" w:sz="0" w:space="0" w:color="auto"/>
          </w:divBdr>
        </w:div>
        <w:div w:id="75055557">
          <w:marLeft w:val="0"/>
          <w:marRight w:val="0"/>
          <w:marTop w:val="0"/>
          <w:marBottom w:val="0"/>
          <w:divBdr>
            <w:top w:val="none" w:sz="0" w:space="0" w:color="auto"/>
            <w:left w:val="none" w:sz="0" w:space="0" w:color="auto"/>
            <w:bottom w:val="none" w:sz="0" w:space="0" w:color="auto"/>
            <w:right w:val="none" w:sz="0" w:space="0" w:color="auto"/>
          </w:divBdr>
        </w:div>
        <w:div w:id="306935967">
          <w:marLeft w:val="0"/>
          <w:marRight w:val="0"/>
          <w:marTop w:val="0"/>
          <w:marBottom w:val="0"/>
          <w:divBdr>
            <w:top w:val="none" w:sz="0" w:space="0" w:color="auto"/>
            <w:left w:val="none" w:sz="0" w:space="0" w:color="auto"/>
            <w:bottom w:val="none" w:sz="0" w:space="0" w:color="auto"/>
            <w:right w:val="none" w:sz="0" w:space="0" w:color="auto"/>
          </w:divBdr>
        </w:div>
        <w:div w:id="320233098">
          <w:marLeft w:val="0"/>
          <w:marRight w:val="0"/>
          <w:marTop w:val="0"/>
          <w:marBottom w:val="0"/>
          <w:divBdr>
            <w:top w:val="none" w:sz="0" w:space="0" w:color="auto"/>
            <w:left w:val="none" w:sz="0" w:space="0" w:color="auto"/>
            <w:bottom w:val="none" w:sz="0" w:space="0" w:color="auto"/>
            <w:right w:val="none" w:sz="0" w:space="0" w:color="auto"/>
          </w:divBdr>
        </w:div>
        <w:div w:id="446967582">
          <w:marLeft w:val="0"/>
          <w:marRight w:val="0"/>
          <w:marTop w:val="0"/>
          <w:marBottom w:val="0"/>
          <w:divBdr>
            <w:top w:val="none" w:sz="0" w:space="0" w:color="auto"/>
            <w:left w:val="none" w:sz="0" w:space="0" w:color="auto"/>
            <w:bottom w:val="none" w:sz="0" w:space="0" w:color="auto"/>
            <w:right w:val="none" w:sz="0" w:space="0" w:color="auto"/>
          </w:divBdr>
        </w:div>
        <w:div w:id="669915029">
          <w:marLeft w:val="0"/>
          <w:marRight w:val="0"/>
          <w:marTop w:val="0"/>
          <w:marBottom w:val="0"/>
          <w:divBdr>
            <w:top w:val="none" w:sz="0" w:space="0" w:color="auto"/>
            <w:left w:val="none" w:sz="0" w:space="0" w:color="auto"/>
            <w:bottom w:val="none" w:sz="0" w:space="0" w:color="auto"/>
            <w:right w:val="none" w:sz="0" w:space="0" w:color="auto"/>
          </w:divBdr>
        </w:div>
        <w:div w:id="1065490981">
          <w:marLeft w:val="0"/>
          <w:marRight w:val="0"/>
          <w:marTop w:val="0"/>
          <w:marBottom w:val="0"/>
          <w:divBdr>
            <w:top w:val="none" w:sz="0" w:space="0" w:color="auto"/>
            <w:left w:val="none" w:sz="0" w:space="0" w:color="auto"/>
            <w:bottom w:val="none" w:sz="0" w:space="0" w:color="auto"/>
            <w:right w:val="none" w:sz="0" w:space="0" w:color="auto"/>
          </w:divBdr>
        </w:div>
        <w:div w:id="1141264745">
          <w:marLeft w:val="0"/>
          <w:marRight w:val="0"/>
          <w:marTop w:val="0"/>
          <w:marBottom w:val="0"/>
          <w:divBdr>
            <w:top w:val="none" w:sz="0" w:space="0" w:color="auto"/>
            <w:left w:val="none" w:sz="0" w:space="0" w:color="auto"/>
            <w:bottom w:val="none" w:sz="0" w:space="0" w:color="auto"/>
            <w:right w:val="none" w:sz="0" w:space="0" w:color="auto"/>
          </w:divBdr>
        </w:div>
        <w:div w:id="1176724156">
          <w:marLeft w:val="0"/>
          <w:marRight w:val="0"/>
          <w:marTop w:val="0"/>
          <w:marBottom w:val="0"/>
          <w:divBdr>
            <w:top w:val="none" w:sz="0" w:space="0" w:color="auto"/>
            <w:left w:val="none" w:sz="0" w:space="0" w:color="auto"/>
            <w:bottom w:val="none" w:sz="0" w:space="0" w:color="auto"/>
            <w:right w:val="none" w:sz="0" w:space="0" w:color="auto"/>
          </w:divBdr>
        </w:div>
        <w:div w:id="1405107081">
          <w:marLeft w:val="0"/>
          <w:marRight w:val="0"/>
          <w:marTop w:val="0"/>
          <w:marBottom w:val="0"/>
          <w:divBdr>
            <w:top w:val="none" w:sz="0" w:space="0" w:color="auto"/>
            <w:left w:val="none" w:sz="0" w:space="0" w:color="auto"/>
            <w:bottom w:val="none" w:sz="0" w:space="0" w:color="auto"/>
            <w:right w:val="none" w:sz="0" w:space="0" w:color="auto"/>
          </w:divBdr>
        </w:div>
        <w:div w:id="1490899952">
          <w:marLeft w:val="0"/>
          <w:marRight w:val="0"/>
          <w:marTop w:val="0"/>
          <w:marBottom w:val="0"/>
          <w:divBdr>
            <w:top w:val="none" w:sz="0" w:space="0" w:color="auto"/>
            <w:left w:val="none" w:sz="0" w:space="0" w:color="auto"/>
            <w:bottom w:val="none" w:sz="0" w:space="0" w:color="auto"/>
            <w:right w:val="none" w:sz="0" w:space="0" w:color="auto"/>
          </w:divBdr>
        </w:div>
      </w:divsChild>
    </w:div>
    <w:div w:id="1823154974">
      <w:bodyDiv w:val="1"/>
      <w:marLeft w:val="0"/>
      <w:marRight w:val="0"/>
      <w:marTop w:val="0"/>
      <w:marBottom w:val="0"/>
      <w:divBdr>
        <w:top w:val="none" w:sz="0" w:space="0" w:color="auto"/>
        <w:left w:val="none" w:sz="0" w:space="0" w:color="auto"/>
        <w:bottom w:val="none" w:sz="0" w:space="0" w:color="auto"/>
        <w:right w:val="none" w:sz="0" w:space="0" w:color="auto"/>
      </w:divBdr>
    </w:div>
    <w:div w:id="1828588307">
      <w:bodyDiv w:val="1"/>
      <w:marLeft w:val="0"/>
      <w:marRight w:val="0"/>
      <w:marTop w:val="0"/>
      <w:marBottom w:val="0"/>
      <w:divBdr>
        <w:top w:val="none" w:sz="0" w:space="0" w:color="auto"/>
        <w:left w:val="none" w:sz="0" w:space="0" w:color="auto"/>
        <w:bottom w:val="none" w:sz="0" w:space="0" w:color="auto"/>
        <w:right w:val="none" w:sz="0" w:space="0" w:color="auto"/>
      </w:divBdr>
    </w:div>
    <w:div w:id="1839613770">
      <w:bodyDiv w:val="1"/>
      <w:marLeft w:val="0"/>
      <w:marRight w:val="0"/>
      <w:marTop w:val="0"/>
      <w:marBottom w:val="0"/>
      <w:divBdr>
        <w:top w:val="none" w:sz="0" w:space="0" w:color="auto"/>
        <w:left w:val="none" w:sz="0" w:space="0" w:color="auto"/>
        <w:bottom w:val="none" w:sz="0" w:space="0" w:color="auto"/>
        <w:right w:val="none" w:sz="0" w:space="0" w:color="auto"/>
      </w:divBdr>
      <w:divsChild>
        <w:div w:id="41441132">
          <w:marLeft w:val="0"/>
          <w:marRight w:val="0"/>
          <w:marTop w:val="0"/>
          <w:marBottom w:val="0"/>
          <w:divBdr>
            <w:top w:val="none" w:sz="0" w:space="0" w:color="auto"/>
            <w:left w:val="none" w:sz="0" w:space="0" w:color="auto"/>
            <w:bottom w:val="none" w:sz="0" w:space="0" w:color="auto"/>
            <w:right w:val="none" w:sz="0" w:space="0" w:color="auto"/>
          </w:divBdr>
          <w:divsChild>
            <w:div w:id="1731998413">
              <w:marLeft w:val="0"/>
              <w:marRight w:val="0"/>
              <w:marTop w:val="0"/>
              <w:marBottom w:val="0"/>
              <w:divBdr>
                <w:top w:val="none" w:sz="0" w:space="0" w:color="auto"/>
                <w:left w:val="none" w:sz="0" w:space="0" w:color="auto"/>
                <w:bottom w:val="none" w:sz="0" w:space="0" w:color="auto"/>
                <w:right w:val="none" w:sz="0" w:space="0" w:color="auto"/>
              </w:divBdr>
            </w:div>
          </w:divsChild>
        </w:div>
        <w:div w:id="58209772">
          <w:marLeft w:val="0"/>
          <w:marRight w:val="0"/>
          <w:marTop w:val="0"/>
          <w:marBottom w:val="0"/>
          <w:divBdr>
            <w:top w:val="none" w:sz="0" w:space="0" w:color="auto"/>
            <w:left w:val="none" w:sz="0" w:space="0" w:color="auto"/>
            <w:bottom w:val="none" w:sz="0" w:space="0" w:color="auto"/>
            <w:right w:val="none" w:sz="0" w:space="0" w:color="auto"/>
          </w:divBdr>
          <w:divsChild>
            <w:div w:id="1138962145">
              <w:marLeft w:val="0"/>
              <w:marRight w:val="0"/>
              <w:marTop w:val="0"/>
              <w:marBottom w:val="0"/>
              <w:divBdr>
                <w:top w:val="none" w:sz="0" w:space="0" w:color="auto"/>
                <w:left w:val="none" w:sz="0" w:space="0" w:color="auto"/>
                <w:bottom w:val="none" w:sz="0" w:space="0" w:color="auto"/>
                <w:right w:val="none" w:sz="0" w:space="0" w:color="auto"/>
              </w:divBdr>
            </w:div>
          </w:divsChild>
        </w:div>
        <w:div w:id="244416200">
          <w:marLeft w:val="0"/>
          <w:marRight w:val="0"/>
          <w:marTop w:val="0"/>
          <w:marBottom w:val="0"/>
          <w:divBdr>
            <w:top w:val="none" w:sz="0" w:space="0" w:color="auto"/>
            <w:left w:val="none" w:sz="0" w:space="0" w:color="auto"/>
            <w:bottom w:val="none" w:sz="0" w:space="0" w:color="auto"/>
            <w:right w:val="none" w:sz="0" w:space="0" w:color="auto"/>
          </w:divBdr>
          <w:divsChild>
            <w:div w:id="217325897">
              <w:marLeft w:val="0"/>
              <w:marRight w:val="0"/>
              <w:marTop w:val="0"/>
              <w:marBottom w:val="0"/>
              <w:divBdr>
                <w:top w:val="none" w:sz="0" w:space="0" w:color="auto"/>
                <w:left w:val="none" w:sz="0" w:space="0" w:color="auto"/>
                <w:bottom w:val="none" w:sz="0" w:space="0" w:color="auto"/>
                <w:right w:val="none" w:sz="0" w:space="0" w:color="auto"/>
              </w:divBdr>
            </w:div>
          </w:divsChild>
        </w:div>
        <w:div w:id="275260427">
          <w:marLeft w:val="0"/>
          <w:marRight w:val="0"/>
          <w:marTop w:val="0"/>
          <w:marBottom w:val="0"/>
          <w:divBdr>
            <w:top w:val="none" w:sz="0" w:space="0" w:color="auto"/>
            <w:left w:val="none" w:sz="0" w:space="0" w:color="auto"/>
            <w:bottom w:val="none" w:sz="0" w:space="0" w:color="auto"/>
            <w:right w:val="none" w:sz="0" w:space="0" w:color="auto"/>
          </w:divBdr>
          <w:divsChild>
            <w:div w:id="1936672546">
              <w:marLeft w:val="0"/>
              <w:marRight w:val="0"/>
              <w:marTop w:val="0"/>
              <w:marBottom w:val="0"/>
              <w:divBdr>
                <w:top w:val="none" w:sz="0" w:space="0" w:color="auto"/>
                <w:left w:val="none" w:sz="0" w:space="0" w:color="auto"/>
                <w:bottom w:val="none" w:sz="0" w:space="0" w:color="auto"/>
                <w:right w:val="none" w:sz="0" w:space="0" w:color="auto"/>
              </w:divBdr>
            </w:div>
          </w:divsChild>
        </w:div>
        <w:div w:id="668407866">
          <w:marLeft w:val="0"/>
          <w:marRight w:val="0"/>
          <w:marTop w:val="0"/>
          <w:marBottom w:val="0"/>
          <w:divBdr>
            <w:top w:val="none" w:sz="0" w:space="0" w:color="auto"/>
            <w:left w:val="none" w:sz="0" w:space="0" w:color="auto"/>
            <w:bottom w:val="none" w:sz="0" w:space="0" w:color="auto"/>
            <w:right w:val="none" w:sz="0" w:space="0" w:color="auto"/>
          </w:divBdr>
          <w:divsChild>
            <w:div w:id="1746142279">
              <w:marLeft w:val="0"/>
              <w:marRight w:val="0"/>
              <w:marTop w:val="0"/>
              <w:marBottom w:val="0"/>
              <w:divBdr>
                <w:top w:val="none" w:sz="0" w:space="0" w:color="auto"/>
                <w:left w:val="none" w:sz="0" w:space="0" w:color="auto"/>
                <w:bottom w:val="none" w:sz="0" w:space="0" w:color="auto"/>
                <w:right w:val="none" w:sz="0" w:space="0" w:color="auto"/>
              </w:divBdr>
            </w:div>
          </w:divsChild>
        </w:div>
        <w:div w:id="903755427">
          <w:marLeft w:val="0"/>
          <w:marRight w:val="0"/>
          <w:marTop w:val="0"/>
          <w:marBottom w:val="0"/>
          <w:divBdr>
            <w:top w:val="none" w:sz="0" w:space="0" w:color="auto"/>
            <w:left w:val="none" w:sz="0" w:space="0" w:color="auto"/>
            <w:bottom w:val="none" w:sz="0" w:space="0" w:color="auto"/>
            <w:right w:val="none" w:sz="0" w:space="0" w:color="auto"/>
          </w:divBdr>
          <w:divsChild>
            <w:div w:id="1884710937">
              <w:marLeft w:val="0"/>
              <w:marRight w:val="0"/>
              <w:marTop w:val="0"/>
              <w:marBottom w:val="0"/>
              <w:divBdr>
                <w:top w:val="none" w:sz="0" w:space="0" w:color="auto"/>
                <w:left w:val="none" w:sz="0" w:space="0" w:color="auto"/>
                <w:bottom w:val="none" w:sz="0" w:space="0" w:color="auto"/>
                <w:right w:val="none" w:sz="0" w:space="0" w:color="auto"/>
              </w:divBdr>
            </w:div>
          </w:divsChild>
        </w:div>
        <w:div w:id="905994674">
          <w:marLeft w:val="0"/>
          <w:marRight w:val="0"/>
          <w:marTop w:val="0"/>
          <w:marBottom w:val="0"/>
          <w:divBdr>
            <w:top w:val="none" w:sz="0" w:space="0" w:color="auto"/>
            <w:left w:val="none" w:sz="0" w:space="0" w:color="auto"/>
            <w:bottom w:val="none" w:sz="0" w:space="0" w:color="auto"/>
            <w:right w:val="none" w:sz="0" w:space="0" w:color="auto"/>
          </w:divBdr>
          <w:divsChild>
            <w:div w:id="1240405842">
              <w:marLeft w:val="0"/>
              <w:marRight w:val="0"/>
              <w:marTop w:val="0"/>
              <w:marBottom w:val="0"/>
              <w:divBdr>
                <w:top w:val="none" w:sz="0" w:space="0" w:color="auto"/>
                <w:left w:val="none" w:sz="0" w:space="0" w:color="auto"/>
                <w:bottom w:val="none" w:sz="0" w:space="0" w:color="auto"/>
                <w:right w:val="none" w:sz="0" w:space="0" w:color="auto"/>
              </w:divBdr>
            </w:div>
          </w:divsChild>
        </w:div>
        <w:div w:id="1240485497">
          <w:marLeft w:val="0"/>
          <w:marRight w:val="0"/>
          <w:marTop w:val="0"/>
          <w:marBottom w:val="0"/>
          <w:divBdr>
            <w:top w:val="none" w:sz="0" w:space="0" w:color="auto"/>
            <w:left w:val="none" w:sz="0" w:space="0" w:color="auto"/>
            <w:bottom w:val="none" w:sz="0" w:space="0" w:color="auto"/>
            <w:right w:val="none" w:sz="0" w:space="0" w:color="auto"/>
          </w:divBdr>
          <w:divsChild>
            <w:div w:id="363140957">
              <w:marLeft w:val="0"/>
              <w:marRight w:val="0"/>
              <w:marTop w:val="0"/>
              <w:marBottom w:val="0"/>
              <w:divBdr>
                <w:top w:val="none" w:sz="0" w:space="0" w:color="auto"/>
                <w:left w:val="none" w:sz="0" w:space="0" w:color="auto"/>
                <w:bottom w:val="none" w:sz="0" w:space="0" w:color="auto"/>
                <w:right w:val="none" w:sz="0" w:space="0" w:color="auto"/>
              </w:divBdr>
            </w:div>
          </w:divsChild>
        </w:div>
        <w:div w:id="1408646660">
          <w:marLeft w:val="0"/>
          <w:marRight w:val="0"/>
          <w:marTop w:val="0"/>
          <w:marBottom w:val="0"/>
          <w:divBdr>
            <w:top w:val="none" w:sz="0" w:space="0" w:color="auto"/>
            <w:left w:val="none" w:sz="0" w:space="0" w:color="auto"/>
            <w:bottom w:val="none" w:sz="0" w:space="0" w:color="auto"/>
            <w:right w:val="none" w:sz="0" w:space="0" w:color="auto"/>
          </w:divBdr>
          <w:divsChild>
            <w:div w:id="1279794510">
              <w:marLeft w:val="0"/>
              <w:marRight w:val="0"/>
              <w:marTop w:val="0"/>
              <w:marBottom w:val="0"/>
              <w:divBdr>
                <w:top w:val="none" w:sz="0" w:space="0" w:color="auto"/>
                <w:left w:val="none" w:sz="0" w:space="0" w:color="auto"/>
                <w:bottom w:val="none" w:sz="0" w:space="0" w:color="auto"/>
                <w:right w:val="none" w:sz="0" w:space="0" w:color="auto"/>
              </w:divBdr>
            </w:div>
          </w:divsChild>
        </w:div>
        <w:div w:id="1601527941">
          <w:marLeft w:val="0"/>
          <w:marRight w:val="0"/>
          <w:marTop w:val="0"/>
          <w:marBottom w:val="0"/>
          <w:divBdr>
            <w:top w:val="none" w:sz="0" w:space="0" w:color="auto"/>
            <w:left w:val="none" w:sz="0" w:space="0" w:color="auto"/>
            <w:bottom w:val="none" w:sz="0" w:space="0" w:color="auto"/>
            <w:right w:val="none" w:sz="0" w:space="0" w:color="auto"/>
          </w:divBdr>
          <w:divsChild>
            <w:div w:id="113403917">
              <w:marLeft w:val="0"/>
              <w:marRight w:val="0"/>
              <w:marTop w:val="0"/>
              <w:marBottom w:val="0"/>
              <w:divBdr>
                <w:top w:val="none" w:sz="0" w:space="0" w:color="auto"/>
                <w:left w:val="none" w:sz="0" w:space="0" w:color="auto"/>
                <w:bottom w:val="none" w:sz="0" w:space="0" w:color="auto"/>
                <w:right w:val="none" w:sz="0" w:space="0" w:color="auto"/>
              </w:divBdr>
            </w:div>
          </w:divsChild>
        </w:div>
        <w:div w:id="1699239806">
          <w:marLeft w:val="0"/>
          <w:marRight w:val="0"/>
          <w:marTop w:val="0"/>
          <w:marBottom w:val="0"/>
          <w:divBdr>
            <w:top w:val="none" w:sz="0" w:space="0" w:color="auto"/>
            <w:left w:val="none" w:sz="0" w:space="0" w:color="auto"/>
            <w:bottom w:val="none" w:sz="0" w:space="0" w:color="auto"/>
            <w:right w:val="none" w:sz="0" w:space="0" w:color="auto"/>
          </w:divBdr>
          <w:divsChild>
            <w:div w:id="576020716">
              <w:marLeft w:val="0"/>
              <w:marRight w:val="0"/>
              <w:marTop w:val="0"/>
              <w:marBottom w:val="0"/>
              <w:divBdr>
                <w:top w:val="none" w:sz="0" w:space="0" w:color="auto"/>
                <w:left w:val="none" w:sz="0" w:space="0" w:color="auto"/>
                <w:bottom w:val="none" w:sz="0" w:space="0" w:color="auto"/>
                <w:right w:val="none" w:sz="0" w:space="0" w:color="auto"/>
              </w:divBdr>
            </w:div>
          </w:divsChild>
        </w:div>
        <w:div w:id="1852913564">
          <w:marLeft w:val="0"/>
          <w:marRight w:val="0"/>
          <w:marTop w:val="0"/>
          <w:marBottom w:val="0"/>
          <w:divBdr>
            <w:top w:val="none" w:sz="0" w:space="0" w:color="auto"/>
            <w:left w:val="none" w:sz="0" w:space="0" w:color="auto"/>
            <w:bottom w:val="none" w:sz="0" w:space="0" w:color="auto"/>
            <w:right w:val="none" w:sz="0" w:space="0" w:color="auto"/>
          </w:divBdr>
          <w:divsChild>
            <w:div w:id="6801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0918">
      <w:bodyDiv w:val="1"/>
      <w:marLeft w:val="0"/>
      <w:marRight w:val="0"/>
      <w:marTop w:val="0"/>
      <w:marBottom w:val="0"/>
      <w:divBdr>
        <w:top w:val="none" w:sz="0" w:space="0" w:color="auto"/>
        <w:left w:val="none" w:sz="0" w:space="0" w:color="auto"/>
        <w:bottom w:val="none" w:sz="0" w:space="0" w:color="auto"/>
        <w:right w:val="none" w:sz="0" w:space="0" w:color="auto"/>
      </w:divBdr>
      <w:divsChild>
        <w:div w:id="1384790420">
          <w:marLeft w:val="0"/>
          <w:marRight w:val="0"/>
          <w:marTop w:val="0"/>
          <w:marBottom w:val="0"/>
          <w:divBdr>
            <w:top w:val="none" w:sz="0" w:space="0" w:color="auto"/>
            <w:left w:val="none" w:sz="0" w:space="0" w:color="auto"/>
            <w:bottom w:val="none" w:sz="0" w:space="0" w:color="auto"/>
            <w:right w:val="none" w:sz="0" w:space="0" w:color="auto"/>
          </w:divBdr>
          <w:divsChild>
            <w:div w:id="248007868">
              <w:marLeft w:val="0"/>
              <w:marRight w:val="0"/>
              <w:marTop w:val="0"/>
              <w:marBottom w:val="0"/>
              <w:divBdr>
                <w:top w:val="none" w:sz="0" w:space="0" w:color="auto"/>
                <w:left w:val="none" w:sz="0" w:space="0" w:color="auto"/>
                <w:bottom w:val="none" w:sz="0" w:space="0" w:color="auto"/>
                <w:right w:val="none" w:sz="0" w:space="0" w:color="auto"/>
              </w:divBdr>
            </w:div>
            <w:div w:id="703529374">
              <w:marLeft w:val="0"/>
              <w:marRight w:val="0"/>
              <w:marTop w:val="0"/>
              <w:marBottom w:val="0"/>
              <w:divBdr>
                <w:top w:val="none" w:sz="0" w:space="0" w:color="auto"/>
                <w:left w:val="none" w:sz="0" w:space="0" w:color="auto"/>
                <w:bottom w:val="none" w:sz="0" w:space="0" w:color="auto"/>
                <w:right w:val="none" w:sz="0" w:space="0" w:color="auto"/>
              </w:divBdr>
            </w:div>
            <w:div w:id="963927472">
              <w:marLeft w:val="0"/>
              <w:marRight w:val="0"/>
              <w:marTop w:val="0"/>
              <w:marBottom w:val="0"/>
              <w:divBdr>
                <w:top w:val="none" w:sz="0" w:space="0" w:color="auto"/>
                <w:left w:val="none" w:sz="0" w:space="0" w:color="auto"/>
                <w:bottom w:val="none" w:sz="0" w:space="0" w:color="auto"/>
                <w:right w:val="none" w:sz="0" w:space="0" w:color="auto"/>
              </w:divBdr>
            </w:div>
            <w:div w:id="1578436864">
              <w:marLeft w:val="0"/>
              <w:marRight w:val="0"/>
              <w:marTop w:val="0"/>
              <w:marBottom w:val="0"/>
              <w:divBdr>
                <w:top w:val="none" w:sz="0" w:space="0" w:color="auto"/>
                <w:left w:val="none" w:sz="0" w:space="0" w:color="auto"/>
                <w:bottom w:val="none" w:sz="0" w:space="0" w:color="auto"/>
                <w:right w:val="none" w:sz="0" w:space="0" w:color="auto"/>
              </w:divBdr>
            </w:div>
          </w:divsChild>
        </w:div>
        <w:div w:id="1704750204">
          <w:marLeft w:val="0"/>
          <w:marRight w:val="0"/>
          <w:marTop w:val="0"/>
          <w:marBottom w:val="0"/>
          <w:divBdr>
            <w:top w:val="none" w:sz="0" w:space="0" w:color="auto"/>
            <w:left w:val="none" w:sz="0" w:space="0" w:color="auto"/>
            <w:bottom w:val="none" w:sz="0" w:space="0" w:color="auto"/>
            <w:right w:val="none" w:sz="0" w:space="0" w:color="auto"/>
          </w:divBdr>
          <w:divsChild>
            <w:div w:id="901451292">
              <w:marLeft w:val="0"/>
              <w:marRight w:val="0"/>
              <w:marTop w:val="0"/>
              <w:marBottom w:val="0"/>
              <w:divBdr>
                <w:top w:val="none" w:sz="0" w:space="0" w:color="auto"/>
                <w:left w:val="none" w:sz="0" w:space="0" w:color="auto"/>
                <w:bottom w:val="none" w:sz="0" w:space="0" w:color="auto"/>
                <w:right w:val="none" w:sz="0" w:space="0" w:color="auto"/>
              </w:divBdr>
            </w:div>
            <w:div w:id="16437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8080">
      <w:bodyDiv w:val="1"/>
      <w:marLeft w:val="0"/>
      <w:marRight w:val="0"/>
      <w:marTop w:val="0"/>
      <w:marBottom w:val="0"/>
      <w:divBdr>
        <w:top w:val="none" w:sz="0" w:space="0" w:color="auto"/>
        <w:left w:val="none" w:sz="0" w:space="0" w:color="auto"/>
        <w:bottom w:val="none" w:sz="0" w:space="0" w:color="auto"/>
        <w:right w:val="none" w:sz="0" w:space="0" w:color="auto"/>
      </w:divBdr>
      <w:divsChild>
        <w:div w:id="332340225">
          <w:marLeft w:val="0"/>
          <w:marRight w:val="0"/>
          <w:marTop w:val="0"/>
          <w:marBottom w:val="0"/>
          <w:divBdr>
            <w:top w:val="none" w:sz="0" w:space="0" w:color="auto"/>
            <w:left w:val="none" w:sz="0" w:space="0" w:color="auto"/>
            <w:bottom w:val="none" w:sz="0" w:space="0" w:color="auto"/>
            <w:right w:val="none" w:sz="0" w:space="0" w:color="auto"/>
          </w:divBdr>
        </w:div>
        <w:div w:id="400326061">
          <w:marLeft w:val="0"/>
          <w:marRight w:val="0"/>
          <w:marTop w:val="0"/>
          <w:marBottom w:val="0"/>
          <w:divBdr>
            <w:top w:val="none" w:sz="0" w:space="0" w:color="auto"/>
            <w:left w:val="none" w:sz="0" w:space="0" w:color="auto"/>
            <w:bottom w:val="none" w:sz="0" w:space="0" w:color="auto"/>
            <w:right w:val="none" w:sz="0" w:space="0" w:color="auto"/>
          </w:divBdr>
        </w:div>
      </w:divsChild>
    </w:div>
    <w:div w:id="1918250947">
      <w:bodyDiv w:val="1"/>
      <w:marLeft w:val="0"/>
      <w:marRight w:val="0"/>
      <w:marTop w:val="0"/>
      <w:marBottom w:val="0"/>
      <w:divBdr>
        <w:top w:val="none" w:sz="0" w:space="0" w:color="auto"/>
        <w:left w:val="none" w:sz="0" w:space="0" w:color="auto"/>
        <w:bottom w:val="none" w:sz="0" w:space="0" w:color="auto"/>
        <w:right w:val="none" w:sz="0" w:space="0" w:color="auto"/>
      </w:divBdr>
      <w:divsChild>
        <w:div w:id="223682414">
          <w:marLeft w:val="0"/>
          <w:marRight w:val="0"/>
          <w:marTop w:val="0"/>
          <w:marBottom w:val="0"/>
          <w:divBdr>
            <w:top w:val="none" w:sz="0" w:space="0" w:color="auto"/>
            <w:left w:val="none" w:sz="0" w:space="0" w:color="auto"/>
            <w:bottom w:val="none" w:sz="0" w:space="0" w:color="auto"/>
            <w:right w:val="none" w:sz="0" w:space="0" w:color="auto"/>
          </w:divBdr>
          <w:divsChild>
            <w:div w:id="253438465">
              <w:marLeft w:val="0"/>
              <w:marRight w:val="0"/>
              <w:marTop w:val="0"/>
              <w:marBottom w:val="0"/>
              <w:divBdr>
                <w:top w:val="none" w:sz="0" w:space="0" w:color="auto"/>
                <w:left w:val="none" w:sz="0" w:space="0" w:color="auto"/>
                <w:bottom w:val="none" w:sz="0" w:space="0" w:color="auto"/>
                <w:right w:val="none" w:sz="0" w:space="0" w:color="auto"/>
              </w:divBdr>
            </w:div>
          </w:divsChild>
        </w:div>
        <w:div w:id="629944704">
          <w:marLeft w:val="0"/>
          <w:marRight w:val="0"/>
          <w:marTop w:val="0"/>
          <w:marBottom w:val="0"/>
          <w:divBdr>
            <w:top w:val="none" w:sz="0" w:space="0" w:color="auto"/>
            <w:left w:val="none" w:sz="0" w:space="0" w:color="auto"/>
            <w:bottom w:val="none" w:sz="0" w:space="0" w:color="auto"/>
            <w:right w:val="none" w:sz="0" w:space="0" w:color="auto"/>
          </w:divBdr>
          <w:divsChild>
            <w:div w:id="993334259">
              <w:marLeft w:val="0"/>
              <w:marRight w:val="0"/>
              <w:marTop w:val="0"/>
              <w:marBottom w:val="0"/>
              <w:divBdr>
                <w:top w:val="none" w:sz="0" w:space="0" w:color="auto"/>
                <w:left w:val="none" w:sz="0" w:space="0" w:color="auto"/>
                <w:bottom w:val="none" w:sz="0" w:space="0" w:color="auto"/>
                <w:right w:val="none" w:sz="0" w:space="0" w:color="auto"/>
              </w:divBdr>
            </w:div>
            <w:div w:id="1689867364">
              <w:marLeft w:val="0"/>
              <w:marRight w:val="0"/>
              <w:marTop w:val="0"/>
              <w:marBottom w:val="0"/>
              <w:divBdr>
                <w:top w:val="none" w:sz="0" w:space="0" w:color="auto"/>
                <w:left w:val="none" w:sz="0" w:space="0" w:color="auto"/>
                <w:bottom w:val="none" w:sz="0" w:space="0" w:color="auto"/>
                <w:right w:val="none" w:sz="0" w:space="0" w:color="auto"/>
              </w:divBdr>
            </w:div>
          </w:divsChild>
        </w:div>
        <w:div w:id="758598924">
          <w:marLeft w:val="0"/>
          <w:marRight w:val="0"/>
          <w:marTop w:val="0"/>
          <w:marBottom w:val="0"/>
          <w:divBdr>
            <w:top w:val="none" w:sz="0" w:space="0" w:color="auto"/>
            <w:left w:val="none" w:sz="0" w:space="0" w:color="auto"/>
            <w:bottom w:val="none" w:sz="0" w:space="0" w:color="auto"/>
            <w:right w:val="none" w:sz="0" w:space="0" w:color="auto"/>
          </w:divBdr>
          <w:divsChild>
            <w:div w:id="1204370854">
              <w:marLeft w:val="0"/>
              <w:marRight w:val="0"/>
              <w:marTop w:val="0"/>
              <w:marBottom w:val="0"/>
              <w:divBdr>
                <w:top w:val="none" w:sz="0" w:space="0" w:color="auto"/>
                <w:left w:val="none" w:sz="0" w:space="0" w:color="auto"/>
                <w:bottom w:val="none" w:sz="0" w:space="0" w:color="auto"/>
                <w:right w:val="none" w:sz="0" w:space="0" w:color="auto"/>
              </w:divBdr>
            </w:div>
          </w:divsChild>
        </w:div>
        <w:div w:id="783888743">
          <w:marLeft w:val="0"/>
          <w:marRight w:val="0"/>
          <w:marTop w:val="0"/>
          <w:marBottom w:val="0"/>
          <w:divBdr>
            <w:top w:val="none" w:sz="0" w:space="0" w:color="auto"/>
            <w:left w:val="none" w:sz="0" w:space="0" w:color="auto"/>
            <w:bottom w:val="none" w:sz="0" w:space="0" w:color="auto"/>
            <w:right w:val="none" w:sz="0" w:space="0" w:color="auto"/>
          </w:divBdr>
          <w:divsChild>
            <w:div w:id="1766077134">
              <w:marLeft w:val="0"/>
              <w:marRight w:val="0"/>
              <w:marTop w:val="0"/>
              <w:marBottom w:val="0"/>
              <w:divBdr>
                <w:top w:val="none" w:sz="0" w:space="0" w:color="auto"/>
                <w:left w:val="none" w:sz="0" w:space="0" w:color="auto"/>
                <w:bottom w:val="none" w:sz="0" w:space="0" w:color="auto"/>
                <w:right w:val="none" w:sz="0" w:space="0" w:color="auto"/>
              </w:divBdr>
            </w:div>
          </w:divsChild>
        </w:div>
        <w:div w:id="871268326">
          <w:marLeft w:val="0"/>
          <w:marRight w:val="0"/>
          <w:marTop w:val="0"/>
          <w:marBottom w:val="0"/>
          <w:divBdr>
            <w:top w:val="none" w:sz="0" w:space="0" w:color="auto"/>
            <w:left w:val="none" w:sz="0" w:space="0" w:color="auto"/>
            <w:bottom w:val="none" w:sz="0" w:space="0" w:color="auto"/>
            <w:right w:val="none" w:sz="0" w:space="0" w:color="auto"/>
          </w:divBdr>
          <w:divsChild>
            <w:div w:id="1515263169">
              <w:marLeft w:val="0"/>
              <w:marRight w:val="0"/>
              <w:marTop w:val="0"/>
              <w:marBottom w:val="0"/>
              <w:divBdr>
                <w:top w:val="none" w:sz="0" w:space="0" w:color="auto"/>
                <w:left w:val="none" w:sz="0" w:space="0" w:color="auto"/>
                <w:bottom w:val="none" w:sz="0" w:space="0" w:color="auto"/>
                <w:right w:val="none" w:sz="0" w:space="0" w:color="auto"/>
              </w:divBdr>
            </w:div>
          </w:divsChild>
        </w:div>
        <w:div w:id="1059790261">
          <w:marLeft w:val="0"/>
          <w:marRight w:val="0"/>
          <w:marTop w:val="0"/>
          <w:marBottom w:val="0"/>
          <w:divBdr>
            <w:top w:val="none" w:sz="0" w:space="0" w:color="auto"/>
            <w:left w:val="none" w:sz="0" w:space="0" w:color="auto"/>
            <w:bottom w:val="none" w:sz="0" w:space="0" w:color="auto"/>
            <w:right w:val="none" w:sz="0" w:space="0" w:color="auto"/>
          </w:divBdr>
          <w:divsChild>
            <w:div w:id="119805064">
              <w:marLeft w:val="0"/>
              <w:marRight w:val="0"/>
              <w:marTop w:val="0"/>
              <w:marBottom w:val="0"/>
              <w:divBdr>
                <w:top w:val="none" w:sz="0" w:space="0" w:color="auto"/>
                <w:left w:val="none" w:sz="0" w:space="0" w:color="auto"/>
                <w:bottom w:val="none" w:sz="0" w:space="0" w:color="auto"/>
                <w:right w:val="none" w:sz="0" w:space="0" w:color="auto"/>
              </w:divBdr>
            </w:div>
          </w:divsChild>
        </w:div>
        <w:div w:id="1230967281">
          <w:marLeft w:val="0"/>
          <w:marRight w:val="0"/>
          <w:marTop w:val="0"/>
          <w:marBottom w:val="0"/>
          <w:divBdr>
            <w:top w:val="none" w:sz="0" w:space="0" w:color="auto"/>
            <w:left w:val="none" w:sz="0" w:space="0" w:color="auto"/>
            <w:bottom w:val="none" w:sz="0" w:space="0" w:color="auto"/>
            <w:right w:val="none" w:sz="0" w:space="0" w:color="auto"/>
          </w:divBdr>
          <w:divsChild>
            <w:div w:id="1531604341">
              <w:marLeft w:val="0"/>
              <w:marRight w:val="0"/>
              <w:marTop w:val="0"/>
              <w:marBottom w:val="0"/>
              <w:divBdr>
                <w:top w:val="none" w:sz="0" w:space="0" w:color="auto"/>
                <w:left w:val="none" w:sz="0" w:space="0" w:color="auto"/>
                <w:bottom w:val="none" w:sz="0" w:space="0" w:color="auto"/>
                <w:right w:val="none" w:sz="0" w:space="0" w:color="auto"/>
              </w:divBdr>
            </w:div>
          </w:divsChild>
        </w:div>
        <w:div w:id="1374421077">
          <w:marLeft w:val="0"/>
          <w:marRight w:val="0"/>
          <w:marTop w:val="0"/>
          <w:marBottom w:val="0"/>
          <w:divBdr>
            <w:top w:val="none" w:sz="0" w:space="0" w:color="auto"/>
            <w:left w:val="none" w:sz="0" w:space="0" w:color="auto"/>
            <w:bottom w:val="none" w:sz="0" w:space="0" w:color="auto"/>
            <w:right w:val="none" w:sz="0" w:space="0" w:color="auto"/>
          </w:divBdr>
          <w:divsChild>
            <w:div w:id="1670598136">
              <w:marLeft w:val="0"/>
              <w:marRight w:val="0"/>
              <w:marTop w:val="0"/>
              <w:marBottom w:val="0"/>
              <w:divBdr>
                <w:top w:val="none" w:sz="0" w:space="0" w:color="auto"/>
                <w:left w:val="none" w:sz="0" w:space="0" w:color="auto"/>
                <w:bottom w:val="none" w:sz="0" w:space="0" w:color="auto"/>
                <w:right w:val="none" w:sz="0" w:space="0" w:color="auto"/>
              </w:divBdr>
            </w:div>
          </w:divsChild>
        </w:div>
        <w:div w:id="1532524005">
          <w:marLeft w:val="0"/>
          <w:marRight w:val="0"/>
          <w:marTop w:val="0"/>
          <w:marBottom w:val="0"/>
          <w:divBdr>
            <w:top w:val="none" w:sz="0" w:space="0" w:color="auto"/>
            <w:left w:val="none" w:sz="0" w:space="0" w:color="auto"/>
            <w:bottom w:val="none" w:sz="0" w:space="0" w:color="auto"/>
            <w:right w:val="none" w:sz="0" w:space="0" w:color="auto"/>
          </w:divBdr>
          <w:divsChild>
            <w:div w:id="1351369441">
              <w:marLeft w:val="0"/>
              <w:marRight w:val="0"/>
              <w:marTop w:val="0"/>
              <w:marBottom w:val="0"/>
              <w:divBdr>
                <w:top w:val="none" w:sz="0" w:space="0" w:color="auto"/>
                <w:left w:val="none" w:sz="0" w:space="0" w:color="auto"/>
                <w:bottom w:val="none" w:sz="0" w:space="0" w:color="auto"/>
                <w:right w:val="none" w:sz="0" w:space="0" w:color="auto"/>
              </w:divBdr>
            </w:div>
          </w:divsChild>
        </w:div>
        <w:div w:id="1611204687">
          <w:marLeft w:val="0"/>
          <w:marRight w:val="0"/>
          <w:marTop w:val="0"/>
          <w:marBottom w:val="0"/>
          <w:divBdr>
            <w:top w:val="none" w:sz="0" w:space="0" w:color="auto"/>
            <w:left w:val="none" w:sz="0" w:space="0" w:color="auto"/>
            <w:bottom w:val="none" w:sz="0" w:space="0" w:color="auto"/>
            <w:right w:val="none" w:sz="0" w:space="0" w:color="auto"/>
          </w:divBdr>
          <w:divsChild>
            <w:div w:id="17557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1209">
      <w:bodyDiv w:val="1"/>
      <w:marLeft w:val="0"/>
      <w:marRight w:val="0"/>
      <w:marTop w:val="0"/>
      <w:marBottom w:val="0"/>
      <w:divBdr>
        <w:top w:val="none" w:sz="0" w:space="0" w:color="auto"/>
        <w:left w:val="none" w:sz="0" w:space="0" w:color="auto"/>
        <w:bottom w:val="none" w:sz="0" w:space="0" w:color="auto"/>
        <w:right w:val="none" w:sz="0" w:space="0" w:color="auto"/>
      </w:divBdr>
    </w:div>
    <w:div w:id="1946648263">
      <w:bodyDiv w:val="1"/>
      <w:marLeft w:val="0"/>
      <w:marRight w:val="0"/>
      <w:marTop w:val="0"/>
      <w:marBottom w:val="0"/>
      <w:divBdr>
        <w:top w:val="none" w:sz="0" w:space="0" w:color="auto"/>
        <w:left w:val="none" w:sz="0" w:space="0" w:color="auto"/>
        <w:bottom w:val="none" w:sz="0" w:space="0" w:color="auto"/>
        <w:right w:val="none" w:sz="0" w:space="0" w:color="auto"/>
      </w:divBdr>
      <w:divsChild>
        <w:div w:id="1228302099">
          <w:marLeft w:val="0"/>
          <w:marRight w:val="0"/>
          <w:marTop w:val="0"/>
          <w:marBottom w:val="0"/>
          <w:divBdr>
            <w:top w:val="none" w:sz="0" w:space="0" w:color="auto"/>
            <w:left w:val="none" w:sz="0" w:space="0" w:color="auto"/>
            <w:bottom w:val="none" w:sz="0" w:space="0" w:color="auto"/>
            <w:right w:val="none" w:sz="0" w:space="0" w:color="auto"/>
          </w:divBdr>
          <w:divsChild>
            <w:div w:id="155999223">
              <w:marLeft w:val="0"/>
              <w:marRight w:val="0"/>
              <w:marTop w:val="0"/>
              <w:marBottom w:val="0"/>
              <w:divBdr>
                <w:top w:val="none" w:sz="0" w:space="0" w:color="auto"/>
                <w:left w:val="none" w:sz="0" w:space="0" w:color="auto"/>
                <w:bottom w:val="none" w:sz="0" w:space="0" w:color="auto"/>
                <w:right w:val="none" w:sz="0" w:space="0" w:color="auto"/>
              </w:divBdr>
            </w:div>
            <w:div w:id="1578172577">
              <w:marLeft w:val="0"/>
              <w:marRight w:val="0"/>
              <w:marTop w:val="0"/>
              <w:marBottom w:val="0"/>
              <w:divBdr>
                <w:top w:val="none" w:sz="0" w:space="0" w:color="auto"/>
                <w:left w:val="none" w:sz="0" w:space="0" w:color="auto"/>
                <w:bottom w:val="none" w:sz="0" w:space="0" w:color="auto"/>
                <w:right w:val="none" w:sz="0" w:space="0" w:color="auto"/>
              </w:divBdr>
            </w:div>
          </w:divsChild>
        </w:div>
        <w:div w:id="2098282206">
          <w:marLeft w:val="0"/>
          <w:marRight w:val="0"/>
          <w:marTop w:val="0"/>
          <w:marBottom w:val="0"/>
          <w:divBdr>
            <w:top w:val="none" w:sz="0" w:space="0" w:color="auto"/>
            <w:left w:val="none" w:sz="0" w:space="0" w:color="auto"/>
            <w:bottom w:val="none" w:sz="0" w:space="0" w:color="auto"/>
            <w:right w:val="none" w:sz="0" w:space="0" w:color="auto"/>
          </w:divBdr>
          <w:divsChild>
            <w:div w:id="113255057">
              <w:marLeft w:val="0"/>
              <w:marRight w:val="0"/>
              <w:marTop w:val="0"/>
              <w:marBottom w:val="0"/>
              <w:divBdr>
                <w:top w:val="none" w:sz="0" w:space="0" w:color="auto"/>
                <w:left w:val="none" w:sz="0" w:space="0" w:color="auto"/>
                <w:bottom w:val="none" w:sz="0" w:space="0" w:color="auto"/>
                <w:right w:val="none" w:sz="0" w:space="0" w:color="auto"/>
              </w:divBdr>
            </w:div>
            <w:div w:id="608394401">
              <w:marLeft w:val="0"/>
              <w:marRight w:val="0"/>
              <w:marTop w:val="0"/>
              <w:marBottom w:val="0"/>
              <w:divBdr>
                <w:top w:val="none" w:sz="0" w:space="0" w:color="auto"/>
                <w:left w:val="none" w:sz="0" w:space="0" w:color="auto"/>
                <w:bottom w:val="none" w:sz="0" w:space="0" w:color="auto"/>
                <w:right w:val="none" w:sz="0" w:space="0" w:color="auto"/>
              </w:divBdr>
            </w:div>
            <w:div w:id="723408293">
              <w:marLeft w:val="0"/>
              <w:marRight w:val="0"/>
              <w:marTop w:val="0"/>
              <w:marBottom w:val="0"/>
              <w:divBdr>
                <w:top w:val="none" w:sz="0" w:space="0" w:color="auto"/>
                <w:left w:val="none" w:sz="0" w:space="0" w:color="auto"/>
                <w:bottom w:val="none" w:sz="0" w:space="0" w:color="auto"/>
                <w:right w:val="none" w:sz="0" w:space="0" w:color="auto"/>
              </w:divBdr>
            </w:div>
            <w:div w:id="11858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88639">
      <w:bodyDiv w:val="1"/>
      <w:marLeft w:val="0"/>
      <w:marRight w:val="0"/>
      <w:marTop w:val="0"/>
      <w:marBottom w:val="0"/>
      <w:divBdr>
        <w:top w:val="none" w:sz="0" w:space="0" w:color="auto"/>
        <w:left w:val="none" w:sz="0" w:space="0" w:color="auto"/>
        <w:bottom w:val="none" w:sz="0" w:space="0" w:color="auto"/>
        <w:right w:val="none" w:sz="0" w:space="0" w:color="auto"/>
      </w:divBdr>
      <w:divsChild>
        <w:div w:id="35594556">
          <w:marLeft w:val="0"/>
          <w:marRight w:val="0"/>
          <w:marTop w:val="0"/>
          <w:marBottom w:val="0"/>
          <w:divBdr>
            <w:top w:val="none" w:sz="0" w:space="0" w:color="auto"/>
            <w:left w:val="none" w:sz="0" w:space="0" w:color="auto"/>
            <w:bottom w:val="none" w:sz="0" w:space="0" w:color="auto"/>
            <w:right w:val="none" w:sz="0" w:space="0" w:color="auto"/>
          </w:divBdr>
        </w:div>
        <w:div w:id="2094933745">
          <w:marLeft w:val="0"/>
          <w:marRight w:val="0"/>
          <w:marTop w:val="0"/>
          <w:marBottom w:val="0"/>
          <w:divBdr>
            <w:top w:val="none" w:sz="0" w:space="0" w:color="auto"/>
            <w:left w:val="none" w:sz="0" w:space="0" w:color="auto"/>
            <w:bottom w:val="none" w:sz="0" w:space="0" w:color="auto"/>
            <w:right w:val="none" w:sz="0" w:space="0" w:color="auto"/>
          </w:divBdr>
        </w:div>
      </w:divsChild>
    </w:div>
    <w:div w:id="1961689523">
      <w:bodyDiv w:val="1"/>
      <w:marLeft w:val="0"/>
      <w:marRight w:val="0"/>
      <w:marTop w:val="0"/>
      <w:marBottom w:val="0"/>
      <w:divBdr>
        <w:top w:val="none" w:sz="0" w:space="0" w:color="auto"/>
        <w:left w:val="none" w:sz="0" w:space="0" w:color="auto"/>
        <w:bottom w:val="none" w:sz="0" w:space="0" w:color="auto"/>
        <w:right w:val="none" w:sz="0" w:space="0" w:color="auto"/>
      </w:divBdr>
    </w:div>
    <w:div w:id="1974284658">
      <w:bodyDiv w:val="1"/>
      <w:marLeft w:val="0"/>
      <w:marRight w:val="0"/>
      <w:marTop w:val="0"/>
      <w:marBottom w:val="0"/>
      <w:divBdr>
        <w:top w:val="none" w:sz="0" w:space="0" w:color="auto"/>
        <w:left w:val="none" w:sz="0" w:space="0" w:color="auto"/>
        <w:bottom w:val="none" w:sz="0" w:space="0" w:color="auto"/>
        <w:right w:val="none" w:sz="0" w:space="0" w:color="auto"/>
      </w:divBdr>
      <w:divsChild>
        <w:div w:id="213202612">
          <w:marLeft w:val="0"/>
          <w:marRight w:val="0"/>
          <w:marTop w:val="0"/>
          <w:marBottom w:val="0"/>
          <w:divBdr>
            <w:top w:val="none" w:sz="0" w:space="0" w:color="auto"/>
            <w:left w:val="none" w:sz="0" w:space="0" w:color="auto"/>
            <w:bottom w:val="none" w:sz="0" w:space="0" w:color="auto"/>
            <w:right w:val="none" w:sz="0" w:space="0" w:color="auto"/>
          </w:divBdr>
        </w:div>
        <w:div w:id="440999867">
          <w:marLeft w:val="0"/>
          <w:marRight w:val="0"/>
          <w:marTop w:val="0"/>
          <w:marBottom w:val="0"/>
          <w:divBdr>
            <w:top w:val="none" w:sz="0" w:space="0" w:color="auto"/>
            <w:left w:val="none" w:sz="0" w:space="0" w:color="auto"/>
            <w:bottom w:val="none" w:sz="0" w:space="0" w:color="auto"/>
            <w:right w:val="none" w:sz="0" w:space="0" w:color="auto"/>
          </w:divBdr>
        </w:div>
        <w:div w:id="1050492575">
          <w:marLeft w:val="0"/>
          <w:marRight w:val="0"/>
          <w:marTop w:val="0"/>
          <w:marBottom w:val="0"/>
          <w:divBdr>
            <w:top w:val="none" w:sz="0" w:space="0" w:color="auto"/>
            <w:left w:val="none" w:sz="0" w:space="0" w:color="auto"/>
            <w:bottom w:val="none" w:sz="0" w:space="0" w:color="auto"/>
            <w:right w:val="none" w:sz="0" w:space="0" w:color="auto"/>
          </w:divBdr>
        </w:div>
        <w:div w:id="1105074737">
          <w:marLeft w:val="0"/>
          <w:marRight w:val="0"/>
          <w:marTop w:val="0"/>
          <w:marBottom w:val="0"/>
          <w:divBdr>
            <w:top w:val="none" w:sz="0" w:space="0" w:color="auto"/>
            <w:left w:val="none" w:sz="0" w:space="0" w:color="auto"/>
            <w:bottom w:val="none" w:sz="0" w:space="0" w:color="auto"/>
            <w:right w:val="none" w:sz="0" w:space="0" w:color="auto"/>
          </w:divBdr>
        </w:div>
        <w:div w:id="1213426505">
          <w:marLeft w:val="0"/>
          <w:marRight w:val="0"/>
          <w:marTop w:val="0"/>
          <w:marBottom w:val="0"/>
          <w:divBdr>
            <w:top w:val="none" w:sz="0" w:space="0" w:color="auto"/>
            <w:left w:val="none" w:sz="0" w:space="0" w:color="auto"/>
            <w:bottom w:val="none" w:sz="0" w:space="0" w:color="auto"/>
            <w:right w:val="none" w:sz="0" w:space="0" w:color="auto"/>
          </w:divBdr>
          <w:divsChild>
            <w:div w:id="481432272">
              <w:marLeft w:val="-75"/>
              <w:marRight w:val="0"/>
              <w:marTop w:val="30"/>
              <w:marBottom w:val="30"/>
              <w:divBdr>
                <w:top w:val="none" w:sz="0" w:space="0" w:color="auto"/>
                <w:left w:val="none" w:sz="0" w:space="0" w:color="auto"/>
                <w:bottom w:val="none" w:sz="0" w:space="0" w:color="auto"/>
                <w:right w:val="none" w:sz="0" w:space="0" w:color="auto"/>
              </w:divBdr>
              <w:divsChild>
                <w:div w:id="11809380">
                  <w:marLeft w:val="0"/>
                  <w:marRight w:val="0"/>
                  <w:marTop w:val="0"/>
                  <w:marBottom w:val="0"/>
                  <w:divBdr>
                    <w:top w:val="none" w:sz="0" w:space="0" w:color="auto"/>
                    <w:left w:val="none" w:sz="0" w:space="0" w:color="auto"/>
                    <w:bottom w:val="none" w:sz="0" w:space="0" w:color="auto"/>
                    <w:right w:val="none" w:sz="0" w:space="0" w:color="auto"/>
                  </w:divBdr>
                  <w:divsChild>
                    <w:div w:id="1231231375">
                      <w:marLeft w:val="0"/>
                      <w:marRight w:val="0"/>
                      <w:marTop w:val="0"/>
                      <w:marBottom w:val="0"/>
                      <w:divBdr>
                        <w:top w:val="none" w:sz="0" w:space="0" w:color="auto"/>
                        <w:left w:val="none" w:sz="0" w:space="0" w:color="auto"/>
                        <w:bottom w:val="none" w:sz="0" w:space="0" w:color="auto"/>
                        <w:right w:val="none" w:sz="0" w:space="0" w:color="auto"/>
                      </w:divBdr>
                    </w:div>
                  </w:divsChild>
                </w:div>
                <w:div w:id="12658081">
                  <w:marLeft w:val="0"/>
                  <w:marRight w:val="0"/>
                  <w:marTop w:val="0"/>
                  <w:marBottom w:val="0"/>
                  <w:divBdr>
                    <w:top w:val="none" w:sz="0" w:space="0" w:color="auto"/>
                    <w:left w:val="none" w:sz="0" w:space="0" w:color="auto"/>
                    <w:bottom w:val="none" w:sz="0" w:space="0" w:color="auto"/>
                    <w:right w:val="none" w:sz="0" w:space="0" w:color="auto"/>
                  </w:divBdr>
                  <w:divsChild>
                    <w:div w:id="949311868">
                      <w:marLeft w:val="0"/>
                      <w:marRight w:val="0"/>
                      <w:marTop w:val="0"/>
                      <w:marBottom w:val="0"/>
                      <w:divBdr>
                        <w:top w:val="none" w:sz="0" w:space="0" w:color="auto"/>
                        <w:left w:val="none" w:sz="0" w:space="0" w:color="auto"/>
                        <w:bottom w:val="none" w:sz="0" w:space="0" w:color="auto"/>
                        <w:right w:val="none" w:sz="0" w:space="0" w:color="auto"/>
                      </w:divBdr>
                    </w:div>
                  </w:divsChild>
                </w:div>
                <w:div w:id="16198140">
                  <w:marLeft w:val="0"/>
                  <w:marRight w:val="0"/>
                  <w:marTop w:val="0"/>
                  <w:marBottom w:val="0"/>
                  <w:divBdr>
                    <w:top w:val="none" w:sz="0" w:space="0" w:color="auto"/>
                    <w:left w:val="none" w:sz="0" w:space="0" w:color="auto"/>
                    <w:bottom w:val="none" w:sz="0" w:space="0" w:color="auto"/>
                    <w:right w:val="none" w:sz="0" w:space="0" w:color="auto"/>
                  </w:divBdr>
                  <w:divsChild>
                    <w:div w:id="1425614237">
                      <w:marLeft w:val="0"/>
                      <w:marRight w:val="0"/>
                      <w:marTop w:val="0"/>
                      <w:marBottom w:val="0"/>
                      <w:divBdr>
                        <w:top w:val="none" w:sz="0" w:space="0" w:color="auto"/>
                        <w:left w:val="none" w:sz="0" w:space="0" w:color="auto"/>
                        <w:bottom w:val="none" w:sz="0" w:space="0" w:color="auto"/>
                        <w:right w:val="none" w:sz="0" w:space="0" w:color="auto"/>
                      </w:divBdr>
                    </w:div>
                  </w:divsChild>
                </w:div>
                <w:div w:id="49577597">
                  <w:marLeft w:val="0"/>
                  <w:marRight w:val="0"/>
                  <w:marTop w:val="0"/>
                  <w:marBottom w:val="0"/>
                  <w:divBdr>
                    <w:top w:val="none" w:sz="0" w:space="0" w:color="auto"/>
                    <w:left w:val="none" w:sz="0" w:space="0" w:color="auto"/>
                    <w:bottom w:val="none" w:sz="0" w:space="0" w:color="auto"/>
                    <w:right w:val="none" w:sz="0" w:space="0" w:color="auto"/>
                  </w:divBdr>
                  <w:divsChild>
                    <w:div w:id="1226143122">
                      <w:marLeft w:val="0"/>
                      <w:marRight w:val="0"/>
                      <w:marTop w:val="0"/>
                      <w:marBottom w:val="0"/>
                      <w:divBdr>
                        <w:top w:val="none" w:sz="0" w:space="0" w:color="auto"/>
                        <w:left w:val="none" w:sz="0" w:space="0" w:color="auto"/>
                        <w:bottom w:val="none" w:sz="0" w:space="0" w:color="auto"/>
                        <w:right w:val="none" w:sz="0" w:space="0" w:color="auto"/>
                      </w:divBdr>
                    </w:div>
                  </w:divsChild>
                </w:div>
                <w:div w:id="59908218">
                  <w:marLeft w:val="0"/>
                  <w:marRight w:val="0"/>
                  <w:marTop w:val="0"/>
                  <w:marBottom w:val="0"/>
                  <w:divBdr>
                    <w:top w:val="none" w:sz="0" w:space="0" w:color="auto"/>
                    <w:left w:val="none" w:sz="0" w:space="0" w:color="auto"/>
                    <w:bottom w:val="none" w:sz="0" w:space="0" w:color="auto"/>
                    <w:right w:val="none" w:sz="0" w:space="0" w:color="auto"/>
                  </w:divBdr>
                  <w:divsChild>
                    <w:div w:id="1380741725">
                      <w:marLeft w:val="0"/>
                      <w:marRight w:val="0"/>
                      <w:marTop w:val="0"/>
                      <w:marBottom w:val="0"/>
                      <w:divBdr>
                        <w:top w:val="none" w:sz="0" w:space="0" w:color="auto"/>
                        <w:left w:val="none" w:sz="0" w:space="0" w:color="auto"/>
                        <w:bottom w:val="none" w:sz="0" w:space="0" w:color="auto"/>
                        <w:right w:val="none" w:sz="0" w:space="0" w:color="auto"/>
                      </w:divBdr>
                    </w:div>
                  </w:divsChild>
                </w:div>
                <w:div w:id="78602258">
                  <w:marLeft w:val="0"/>
                  <w:marRight w:val="0"/>
                  <w:marTop w:val="0"/>
                  <w:marBottom w:val="0"/>
                  <w:divBdr>
                    <w:top w:val="none" w:sz="0" w:space="0" w:color="auto"/>
                    <w:left w:val="none" w:sz="0" w:space="0" w:color="auto"/>
                    <w:bottom w:val="none" w:sz="0" w:space="0" w:color="auto"/>
                    <w:right w:val="none" w:sz="0" w:space="0" w:color="auto"/>
                  </w:divBdr>
                  <w:divsChild>
                    <w:div w:id="1820998667">
                      <w:marLeft w:val="0"/>
                      <w:marRight w:val="0"/>
                      <w:marTop w:val="0"/>
                      <w:marBottom w:val="0"/>
                      <w:divBdr>
                        <w:top w:val="none" w:sz="0" w:space="0" w:color="auto"/>
                        <w:left w:val="none" w:sz="0" w:space="0" w:color="auto"/>
                        <w:bottom w:val="none" w:sz="0" w:space="0" w:color="auto"/>
                        <w:right w:val="none" w:sz="0" w:space="0" w:color="auto"/>
                      </w:divBdr>
                    </w:div>
                  </w:divsChild>
                </w:div>
                <w:div w:id="78674719">
                  <w:marLeft w:val="0"/>
                  <w:marRight w:val="0"/>
                  <w:marTop w:val="0"/>
                  <w:marBottom w:val="0"/>
                  <w:divBdr>
                    <w:top w:val="none" w:sz="0" w:space="0" w:color="auto"/>
                    <w:left w:val="none" w:sz="0" w:space="0" w:color="auto"/>
                    <w:bottom w:val="none" w:sz="0" w:space="0" w:color="auto"/>
                    <w:right w:val="none" w:sz="0" w:space="0" w:color="auto"/>
                  </w:divBdr>
                  <w:divsChild>
                    <w:div w:id="709499098">
                      <w:marLeft w:val="0"/>
                      <w:marRight w:val="0"/>
                      <w:marTop w:val="0"/>
                      <w:marBottom w:val="0"/>
                      <w:divBdr>
                        <w:top w:val="none" w:sz="0" w:space="0" w:color="auto"/>
                        <w:left w:val="none" w:sz="0" w:space="0" w:color="auto"/>
                        <w:bottom w:val="none" w:sz="0" w:space="0" w:color="auto"/>
                        <w:right w:val="none" w:sz="0" w:space="0" w:color="auto"/>
                      </w:divBdr>
                    </w:div>
                  </w:divsChild>
                </w:div>
                <w:div w:id="92213054">
                  <w:marLeft w:val="0"/>
                  <w:marRight w:val="0"/>
                  <w:marTop w:val="0"/>
                  <w:marBottom w:val="0"/>
                  <w:divBdr>
                    <w:top w:val="none" w:sz="0" w:space="0" w:color="auto"/>
                    <w:left w:val="none" w:sz="0" w:space="0" w:color="auto"/>
                    <w:bottom w:val="none" w:sz="0" w:space="0" w:color="auto"/>
                    <w:right w:val="none" w:sz="0" w:space="0" w:color="auto"/>
                  </w:divBdr>
                  <w:divsChild>
                    <w:div w:id="1728459079">
                      <w:marLeft w:val="0"/>
                      <w:marRight w:val="0"/>
                      <w:marTop w:val="0"/>
                      <w:marBottom w:val="0"/>
                      <w:divBdr>
                        <w:top w:val="none" w:sz="0" w:space="0" w:color="auto"/>
                        <w:left w:val="none" w:sz="0" w:space="0" w:color="auto"/>
                        <w:bottom w:val="none" w:sz="0" w:space="0" w:color="auto"/>
                        <w:right w:val="none" w:sz="0" w:space="0" w:color="auto"/>
                      </w:divBdr>
                    </w:div>
                  </w:divsChild>
                </w:div>
                <w:div w:id="109739927">
                  <w:marLeft w:val="0"/>
                  <w:marRight w:val="0"/>
                  <w:marTop w:val="0"/>
                  <w:marBottom w:val="0"/>
                  <w:divBdr>
                    <w:top w:val="none" w:sz="0" w:space="0" w:color="auto"/>
                    <w:left w:val="none" w:sz="0" w:space="0" w:color="auto"/>
                    <w:bottom w:val="none" w:sz="0" w:space="0" w:color="auto"/>
                    <w:right w:val="none" w:sz="0" w:space="0" w:color="auto"/>
                  </w:divBdr>
                  <w:divsChild>
                    <w:div w:id="769667913">
                      <w:marLeft w:val="0"/>
                      <w:marRight w:val="0"/>
                      <w:marTop w:val="0"/>
                      <w:marBottom w:val="0"/>
                      <w:divBdr>
                        <w:top w:val="none" w:sz="0" w:space="0" w:color="auto"/>
                        <w:left w:val="none" w:sz="0" w:space="0" w:color="auto"/>
                        <w:bottom w:val="none" w:sz="0" w:space="0" w:color="auto"/>
                        <w:right w:val="none" w:sz="0" w:space="0" w:color="auto"/>
                      </w:divBdr>
                    </w:div>
                  </w:divsChild>
                </w:div>
                <w:div w:id="110367973">
                  <w:marLeft w:val="0"/>
                  <w:marRight w:val="0"/>
                  <w:marTop w:val="0"/>
                  <w:marBottom w:val="0"/>
                  <w:divBdr>
                    <w:top w:val="none" w:sz="0" w:space="0" w:color="auto"/>
                    <w:left w:val="none" w:sz="0" w:space="0" w:color="auto"/>
                    <w:bottom w:val="none" w:sz="0" w:space="0" w:color="auto"/>
                    <w:right w:val="none" w:sz="0" w:space="0" w:color="auto"/>
                  </w:divBdr>
                  <w:divsChild>
                    <w:div w:id="1272856817">
                      <w:marLeft w:val="0"/>
                      <w:marRight w:val="0"/>
                      <w:marTop w:val="0"/>
                      <w:marBottom w:val="0"/>
                      <w:divBdr>
                        <w:top w:val="none" w:sz="0" w:space="0" w:color="auto"/>
                        <w:left w:val="none" w:sz="0" w:space="0" w:color="auto"/>
                        <w:bottom w:val="none" w:sz="0" w:space="0" w:color="auto"/>
                        <w:right w:val="none" w:sz="0" w:space="0" w:color="auto"/>
                      </w:divBdr>
                    </w:div>
                  </w:divsChild>
                </w:div>
                <w:div w:id="173764679">
                  <w:marLeft w:val="0"/>
                  <w:marRight w:val="0"/>
                  <w:marTop w:val="0"/>
                  <w:marBottom w:val="0"/>
                  <w:divBdr>
                    <w:top w:val="none" w:sz="0" w:space="0" w:color="auto"/>
                    <w:left w:val="none" w:sz="0" w:space="0" w:color="auto"/>
                    <w:bottom w:val="none" w:sz="0" w:space="0" w:color="auto"/>
                    <w:right w:val="none" w:sz="0" w:space="0" w:color="auto"/>
                  </w:divBdr>
                  <w:divsChild>
                    <w:div w:id="905070360">
                      <w:marLeft w:val="0"/>
                      <w:marRight w:val="0"/>
                      <w:marTop w:val="0"/>
                      <w:marBottom w:val="0"/>
                      <w:divBdr>
                        <w:top w:val="none" w:sz="0" w:space="0" w:color="auto"/>
                        <w:left w:val="none" w:sz="0" w:space="0" w:color="auto"/>
                        <w:bottom w:val="none" w:sz="0" w:space="0" w:color="auto"/>
                        <w:right w:val="none" w:sz="0" w:space="0" w:color="auto"/>
                      </w:divBdr>
                    </w:div>
                  </w:divsChild>
                </w:div>
                <w:div w:id="247689315">
                  <w:marLeft w:val="0"/>
                  <w:marRight w:val="0"/>
                  <w:marTop w:val="0"/>
                  <w:marBottom w:val="0"/>
                  <w:divBdr>
                    <w:top w:val="none" w:sz="0" w:space="0" w:color="auto"/>
                    <w:left w:val="none" w:sz="0" w:space="0" w:color="auto"/>
                    <w:bottom w:val="none" w:sz="0" w:space="0" w:color="auto"/>
                    <w:right w:val="none" w:sz="0" w:space="0" w:color="auto"/>
                  </w:divBdr>
                  <w:divsChild>
                    <w:div w:id="266083927">
                      <w:marLeft w:val="0"/>
                      <w:marRight w:val="0"/>
                      <w:marTop w:val="0"/>
                      <w:marBottom w:val="0"/>
                      <w:divBdr>
                        <w:top w:val="none" w:sz="0" w:space="0" w:color="auto"/>
                        <w:left w:val="none" w:sz="0" w:space="0" w:color="auto"/>
                        <w:bottom w:val="none" w:sz="0" w:space="0" w:color="auto"/>
                        <w:right w:val="none" w:sz="0" w:space="0" w:color="auto"/>
                      </w:divBdr>
                    </w:div>
                  </w:divsChild>
                </w:div>
                <w:div w:id="276260829">
                  <w:marLeft w:val="0"/>
                  <w:marRight w:val="0"/>
                  <w:marTop w:val="0"/>
                  <w:marBottom w:val="0"/>
                  <w:divBdr>
                    <w:top w:val="none" w:sz="0" w:space="0" w:color="auto"/>
                    <w:left w:val="none" w:sz="0" w:space="0" w:color="auto"/>
                    <w:bottom w:val="none" w:sz="0" w:space="0" w:color="auto"/>
                    <w:right w:val="none" w:sz="0" w:space="0" w:color="auto"/>
                  </w:divBdr>
                  <w:divsChild>
                    <w:div w:id="174543177">
                      <w:marLeft w:val="0"/>
                      <w:marRight w:val="0"/>
                      <w:marTop w:val="0"/>
                      <w:marBottom w:val="0"/>
                      <w:divBdr>
                        <w:top w:val="none" w:sz="0" w:space="0" w:color="auto"/>
                        <w:left w:val="none" w:sz="0" w:space="0" w:color="auto"/>
                        <w:bottom w:val="none" w:sz="0" w:space="0" w:color="auto"/>
                        <w:right w:val="none" w:sz="0" w:space="0" w:color="auto"/>
                      </w:divBdr>
                    </w:div>
                  </w:divsChild>
                </w:div>
                <w:div w:id="314190179">
                  <w:marLeft w:val="0"/>
                  <w:marRight w:val="0"/>
                  <w:marTop w:val="0"/>
                  <w:marBottom w:val="0"/>
                  <w:divBdr>
                    <w:top w:val="none" w:sz="0" w:space="0" w:color="auto"/>
                    <w:left w:val="none" w:sz="0" w:space="0" w:color="auto"/>
                    <w:bottom w:val="none" w:sz="0" w:space="0" w:color="auto"/>
                    <w:right w:val="none" w:sz="0" w:space="0" w:color="auto"/>
                  </w:divBdr>
                  <w:divsChild>
                    <w:div w:id="418648266">
                      <w:marLeft w:val="0"/>
                      <w:marRight w:val="0"/>
                      <w:marTop w:val="0"/>
                      <w:marBottom w:val="0"/>
                      <w:divBdr>
                        <w:top w:val="none" w:sz="0" w:space="0" w:color="auto"/>
                        <w:left w:val="none" w:sz="0" w:space="0" w:color="auto"/>
                        <w:bottom w:val="none" w:sz="0" w:space="0" w:color="auto"/>
                        <w:right w:val="none" w:sz="0" w:space="0" w:color="auto"/>
                      </w:divBdr>
                    </w:div>
                  </w:divsChild>
                </w:div>
                <w:div w:id="359623881">
                  <w:marLeft w:val="0"/>
                  <w:marRight w:val="0"/>
                  <w:marTop w:val="0"/>
                  <w:marBottom w:val="0"/>
                  <w:divBdr>
                    <w:top w:val="none" w:sz="0" w:space="0" w:color="auto"/>
                    <w:left w:val="none" w:sz="0" w:space="0" w:color="auto"/>
                    <w:bottom w:val="none" w:sz="0" w:space="0" w:color="auto"/>
                    <w:right w:val="none" w:sz="0" w:space="0" w:color="auto"/>
                  </w:divBdr>
                  <w:divsChild>
                    <w:div w:id="859201790">
                      <w:marLeft w:val="0"/>
                      <w:marRight w:val="0"/>
                      <w:marTop w:val="0"/>
                      <w:marBottom w:val="0"/>
                      <w:divBdr>
                        <w:top w:val="none" w:sz="0" w:space="0" w:color="auto"/>
                        <w:left w:val="none" w:sz="0" w:space="0" w:color="auto"/>
                        <w:bottom w:val="none" w:sz="0" w:space="0" w:color="auto"/>
                        <w:right w:val="none" w:sz="0" w:space="0" w:color="auto"/>
                      </w:divBdr>
                    </w:div>
                  </w:divsChild>
                </w:div>
                <w:div w:id="388043632">
                  <w:marLeft w:val="0"/>
                  <w:marRight w:val="0"/>
                  <w:marTop w:val="0"/>
                  <w:marBottom w:val="0"/>
                  <w:divBdr>
                    <w:top w:val="none" w:sz="0" w:space="0" w:color="auto"/>
                    <w:left w:val="none" w:sz="0" w:space="0" w:color="auto"/>
                    <w:bottom w:val="none" w:sz="0" w:space="0" w:color="auto"/>
                    <w:right w:val="none" w:sz="0" w:space="0" w:color="auto"/>
                  </w:divBdr>
                  <w:divsChild>
                    <w:div w:id="1783381267">
                      <w:marLeft w:val="0"/>
                      <w:marRight w:val="0"/>
                      <w:marTop w:val="0"/>
                      <w:marBottom w:val="0"/>
                      <w:divBdr>
                        <w:top w:val="none" w:sz="0" w:space="0" w:color="auto"/>
                        <w:left w:val="none" w:sz="0" w:space="0" w:color="auto"/>
                        <w:bottom w:val="none" w:sz="0" w:space="0" w:color="auto"/>
                        <w:right w:val="none" w:sz="0" w:space="0" w:color="auto"/>
                      </w:divBdr>
                    </w:div>
                  </w:divsChild>
                </w:div>
                <w:div w:id="399524280">
                  <w:marLeft w:val="0"/>
                  <w:marRight w:val="0"/>
                  <w:marTop w:val="0"/>
                  <w:marBottom w:val="0"/>
                  <w:divBdr>
                    <w:top w:val="none" w:sz="0" w:space="0" w:color="auto"/>
                    <w:left w:val="none" w:sz="0" w:space="0" w:color="auto"/>
                    <w:bottom w:val="none" w:sz="0" w:space="0" w:color="auto"/>
                    <w:right w:val="none" w:sz="0" w:space="0" w:color="auto"/>
                  </w:divBdr>
                  <w:divsChild>
                    <w:div w:id="1067729985">
                      <w:marLeft w:val="0"/>
                      <w:marRight w:val="0"/>
                      <w:marTop w:val="0"/>
                      <w:marBottom w:val="0"/>
                      <w:divBdr>
                        <w:top w:val="none" w:sz="0" w:space="0" w:color="auto"/>
                        <w:left w:val="none" w:sz="0" w:space="0" w:color="auto"/>
                        <w:bottom w:val="none" w:sz="0" w:space="0" w:color="auto"/>
                        <w:right w:val="none" w:sz="0" w:space="0" w:color="auto"/>
                      </w:divBdr>
                    </w:div>
                  </w:divsChild>
                </w:div>
                <w:div w:id="416826904">
                  <w:marLeft w:val="0"/>
                  <w:marRight w:val="0"/>
                  <w:marTop w:val="0"/>
                  <w:marBottom w:val="0"/>
                  <w:divBdr>
                    <w:top w:val="none" w:sz="0" w:space="0" w:color="auto"/>
                    <w:left w:val="none" w:sz="0" w:space="0" w:color="auto"/>
                    <w:bottom w:val="none" w:sz="0" w:space="0" w:color="auto"/>
                    <w:right w:val="none" w:sz="0" w:space="0" w:color="auto"/>
                  </w:divBdr>
                  <w:divsChild>
                    <w:div w:id="472211927">
                      <w:marLeft w:val="0"/>
                      <w:marRight w:val="0"/>
                      <w:marTop w:val="0"/>
                      <w:marBottom w:val="0"/>
                      <w:divBdr>
                        <w:top w:val="none" w:sz="0" w:space="0" w:color="auto"/>
                        <w:left w:val="none" w:sz="0" w:space="0" w:color="auto"/>
                        <w:bottom w:val="none" w:sz="0" w:space="0" w:color="auto"/>
                        <w:right w:val="none" w:sz="0" w:space="0" w:color="auto"/>
                      </w:divBdr>
                    </w:div>
                  </w:divsChild>
                </w:div>
                <w:div w:id="431054260">
                  <w:marLeft w:val="0"/>
                  <w:marRight w:val="0"/>
                  <w:marTop w:val="0"/>
                  <w:marBottom w:val="0"/>
                  <w:divBdr>
                    <w:top w:val="none" w:sz="0" w:space="0" w:color="auto"/>
                    <w:left w:val="none" w:sz="0" w:space="0" w:color="auto"/>
                    <w:bottom w:val="none" w:sz="0" w:space="0" w:color="auto"/>
                    <w:right w:val="none" w:sz="0" w:space="0" w:color="auto"/>
                  </w:divBdr>
                  <w:divsChild>
                    <w:div w:id="1213735999">
                      <w:marLeft w:val="0"/>
                      <w:marRight w:val="0"/>
                      <w:marTop w:val="0"/>
                      <w:marBottom w:val="0"/>
                      <w:divBdr>
                        <w:top w:val="none" w:sz="0" w:space="0" w:color="auto"/>
                        <w:left w:val="none" w:sz="0" w:space="0" w:color="auto"/>
                        <w:bottom w:val="none" w:sz="0" w:space="0" w:color="auto"/>
                        <w:right w:val="none" w:sz="0" w:space="0" w:color="auto"/>
                      </w:divBdr>
                    </w:div>
                  </w:divsChild>
                </w:div>
                <w:div w:id="448276644">
                  <w:marLeft w:val="0"/>
                  <w:marRight w:val="0"/>
                  <w:marTop w:val="0"/>
                  <w:marBottom w:val="0"/>
                  <w:divBdr>
                    <w:top w:val="none" w:sz="0" w:space="0" w:color="auto"/>
                    <w:left w:val="none" w:sz="0" w:space="0" w:color="auto"/>
                    <w:bottom w:val="none" w:sz="0" w:space="0" w:color="auto"/>
                    <w:right w:val="none" w:sz="0" w:space="0" w:color="auto"/>
                  </w:divBdr>
                  <w:divsChild>
                    <w:div w:id="1313754972">
                      <w:marLeft w:val="0"/>
                      <w:marRight w:val="0"/>
                      <w:marTop w:val="0"/>
                      <w:marBottom w:val="0"/>
                      <w:divBdr>
                        <w:top w:val="none" w:sz="0" w:space="0" w:color="auto"/>
                        <w:left w:val="none" w:sz="0" w:space="0" w:color="auto"/>
                        <w:bottom w:val="none" w:sz="0" w:space="0" w:color="auto"/>
                        <w:right w:val="none" w:sz="0" w:space="0" w:color="auto"/>
                      </w:divBdr>
                    </w:div>
                  </w:divsChild>
                </w:div>
                <w:div w:id="454831024">
                  <w:marLeft w:val="0"/>
                  <w:marRight w:val="0"/>
                  <w:marTop w:val="0"/>
                  <w:marBottom w:val="0"/>
                  <w:divBdr>
                    <w:top w:val="none" w:sz="0" w:space="0" w:color="auto"/>
                    <w:left w:val="none" w:sz="0" w:space="0" w:color="auto"/>
                    <w:bottom w:val="none" w:sz="0" w:space="0" w:color="auto"/>
                    <w:right w:val="none" w:sz="0" w:space="0" w:color="auto"/>
                  </w:divBdr>
                  <w:divsChild>
                    <w:div w:id="2079477656">
                      <w:marLeft w:val="0"/>
                      <w:marRight w:val="0"/>
                      <w:marTop w:val="0"/>
                      <w:marBottom w:val="0"/>
                      <w:divBdr>
                        <w:top w:val="none" w:sz="0" w:space="0" w:color="auto"/>
                        <w:left w:val="none" w:sz="0" w:space="0" w:color="auto"/>
                        <w:bottom w:val="none" w:sz="0" w:space="0" w:color="auto"/>
                        <w:right w:val="none" w:sz="0" w:space="0" w:color="auto"/>
                      </w:divBdr>
                    </w:div>
                  </w:divsChild>
                </w:div>
                <w:div w:id="484400203">
                  <w:marLeft w:val="0"/>
                  <w:marRight w:val="0"/>
                  <w:marTop w:val="0"/>
                  <w:marBottom w:val="0"/>
                  <w:divBdr>
                    <w:top w:val="none" w:sz="0" w:space="0" w:color="auto"/>
                    <w:left w:val="none" w:sz="0" w:space="0" w:color="auto"/>
                    <w:bottom w:val="none" w:sz="0" w:space="0" w:color="auto"/>
                    <w:right w:val="none" w:sz="0" w:space="0" w:color="auto"/>
                  </w:divBdr>
                  <w:divsChild>
                    <w:div w:id="647632004">
                      <w:marLeft w:val="0"/>
                      <w:marRight w:val="0"/>
                      <w:marTop w:val="0"/>
                      <w:marBottom w:val="0"/>
                      <w:divBdr>
                        <w:top w:val="none" w:sz="0" w:space="0" w:color="auto"/>
                        <w:left w:val="none" w:sz="0" w:space="0" w:color="auto"/>
                        <w:bottom w:val="none" w:sz="0" w:space="0" w:color="auto"/>
                        <w:right w:val="none" w:sz="0" w:space="0" w:color="auto"/>
                      </w:divBdr>
                    </w:div>
                  </w:divsChild>
                </w:div>
                <w:div w:id="498930207">
                  <w:marLeft w:val="0"/>
                  <w:marRight w:val="0"/>
                  <w:marTop w:val="0"/>
                  <w:marBottom w:val="0"/>
                  <w:divBdr>
                    <w:top w:val="none" w:sz="0" w:space="0" w:color="auto"/>
                    <w:left w:val="none" w:sz="0" w:space="0" w:color="auto"/>
                    <w:bottom w:val="none" w:sz="0" w:space="0" w:color="auto"/>
                    <w:right w:val="none" w:sz="0" w:space="0" w:color="auto"/>
                  </w:divBdr>
                  <w:divsChild>
                    <w:div w:id="1541237291">
                      <w:marLeft w:val="0"/>
                      <w:marRight w:val="0"/>
                      <w:marTop w:val="0"/>
                      <w:marBottom w:val="0"/>
                      <w:divBdr>
                        <w:top w:val="none" w:sz="0" w:space="0" w:color="auto"/>
                        <w:left w:val="none" w:sz="0" w:space="0" w:color="auto"/>
                        <w:bottom w:val="none" w:sz="0" w:space="0" w:color="auto"/>
                        <w:right w:val="none" w:sz="0" w:space="0" w:color="auto"/>
                      </w:divBdr>
                    </w:div>
                  </w:divsChild>
                </w:div>
                <w:div w:id="513300499">
                  <w:marLeft w:val="0"/>
                  <w:marRight w:val="0"/>
                  <w:marTop w:val="0"/>
                  <w:marBottom w:val="0"/>
                  <w:divBdr>
                    <w:top w:val="none" w:sz="0" w:space="0" w:color="auto"/>
                    <w:left w:val="none" w:sz="0" w:space="0" w:color="auto"/>
                    <w:bottom w:val="none" w:sz="0" w:space="0" w:color="auto"/>
                    <w:right w:val="none" w:sz="0" w:space="0" w:color="auto"/>
                  </w:divBdr>
                  <w:divsChild>
                    <w:div w:id="2074115689">
                      <w:marLeft w:val="0"/>
                      <w:marRight w:val="0"/>
                      <w:marTop w:val="0"/>
                      <w:marBottom w:val="0"/>
                      <w:divBdr>
                        <w:top w:val="none" w:sz="0" w:space="0" w:color="auto"/>
                        <w:left w:val="none" w:sz="0" w:space="0" w:color="auto"/>
                        <w:bottom w:val="none" w:sz="0" w:space="0" w:color="auto"/>
                        <w:right w:val="none" w:sz="0" w:space="0" w:color="auto"/>
                      </w:divBdr>
                    </w:div>
                  </w:divsChild>
                </w:div>
                <w:div w:id="533932675">
                  <w:marLeft w:val="0"/>
                  <w:marRight w:val="0"/>
                  <w:marTop w:val="0"/>
                  <w:marBottom w:val="0"/>
                  <w:divBdr>
                    <w:top w:val="none" w:sz="0" w:space="0" w:color="auto"/>
                    <w:left w:val="none" w:sz="0" w:space="0" w:color="auto"/>
                    <w:bottom w:val="none" w:sz="0" w:space="0" w:color="auto"/>
                    <w:right w:val="none" w:sz="0" w:space="0" w:color="auto"/>
                  </w:divBdr>
                  <w:divsChild>
                    <w:div w:id="827091546">
                      <w:marLeft w:val="0"/>
                      <w:marRight w:val="0"/>
                      <w:marTop w:val="0"/>
                      <w:marBottom w:val="0"/>
                      <w:divBdr>
                        <w:top w:val="none" w:sz="0" w:space="0" w:color="auto"/>
                        <w:left w:val="none" w:sz="0" w:space="0" w:color="auto"/>
                        <w:bottom w:val="none" w:sz="0" w:space="0" w:color="auto"/>
                        <w:right w:val="none" w:sz="0" w:space="0" w:color="auto"/>
                      </w:divBdr>
                    </w:div>
                  </w:divsChild>
                </w:div>
                <w:div w:id="565072197">
                  <w:marLeft w:val="0"/>
                  <w:marRight w:val="0"/>
                  <w:marTop w:val="0"/>
                  <w:marBottom w:val="0"/>
                  <w:divBdr>
                    <w:top w:val="none" w:sz="0" w:space="0" w:color="auto"/>
                    <w:left w:val="none" w:sz="0" w:space="0" w:color="auto"/>
                    <w:bottom w:val="none" w:sz="0" w:space="0" w:color="auto"/>
                    <w:right w:val="none" w:sz="0" w:space="0" w:color="auto"/>
                  </w:divBdr>
                  <w:divsChild>
                    <w:div w:id="1209996467">
                      <w:marLeft w:val="0"/>
                      <w:marRight w:val="0"/>
                      <w:marTop w:val="0"/>
                      <w:marBottom w:val="0"/>
                      <w:divBdr>
                        <w:top w:val="none" w:sz="0" w:space="0" w:color="auto"/>
                        <w:left w:val="none" w:sz="0" w:space="0" w:color="auto"/>
                        <w:bottom w:val="none" w:sz="0" w:space="0" w:color="auto"/>
                        <w:right w:val="none" w:sz="0" w:space="0" w:color="auto"/>
                      </w:divBdr>
                    </w:div>
                  </w:divsChild>
                </w:div>
                <w:div w:id="572740435">
                  <w:marLeft w:val="0"/>
                  <w:marRight w:val="0"/>
                  <w:marTop w:val="0"/>
                  <w:marBottom w:val="0"/>
                  <w:divBdr>
                    <w:top w:val="none" w:sz="0" w:space="0" w:color="auto"/>
                    <w:left w:val="none" w:sz="0" w:space="0" w:color="auto"/>
                    <w:bottom w:val="none" w:sz="0" w:space="0" w:color="auto"/>
                    <w:right w:val="none" w:sz="0" w:space="0" w:color="auto"/>
                  </w:divBdr>
                  <w:divsChild>
                    <w:div w:id="242640280">
                      <w:marLeft w:val="0"/>
                      <w:marRight w:val="0"/>
                      <w:marTop w:val="0"/>
                      <w:marBottom w:val="0"/>
                      <w:divBdr>
                        <w:top w:val="none" w:sz="0" w:space="0" w:color="auto"/>
                        <w:left w:val="none" w:sz="0" w:space="0" w:color="auto"/>
                        <w:bottom w:val="none" w:sz="0" w:space="0" w:color="auto"/>
                        <w:right w:val="none" w:sz="0" w:space="0" w:color="auto"/>
                      </w:divBdr>
                    </w:div>
                  </w:divsChild>
                </w:div>
                <w:div w:id="611131252">
                  <w:marLeft w:val="0"/>
                  <w:marRight w:val="0"/>
                  <w:marTop w:val="0"/>
                  <w:marBottom w:val="0"/>
                  <w:divBdr>
                    <w:top w:val="none" w:sz="0" w:space="0" w:color="auto"/>
                    <w:left w:val="none" w:sz="0" w:space="0" w:color="auto"/>
                    <w:bottom w:val="none" w:sz="0" w:space="0" w:color="auto"/>
                    <w:right w:val="none" w:sz="0" w:space="0" w:color="auto"/>
                  </w:divBdr>
                  <w:divsChild>
                    <w:div w:id="149061512">
                      <w:marLeft w:val="0"/>
                      <w:marRight w:val="0"/>
                      <w:marTop w:val="0"/>
                      <w:marBottom w:val="0"/>
                      <w:divBdr>
                        <w:top w:val="none" w:sz="0" w:space="0" w:color="auto"/>
                        <w:left w:val="none" w:sz="0" w:space="0" w:color="auto"/>
                        <w:bottom w:val="none" w:sz="0" w:space="0" w:color="auto"/>
                        <w:right w:val="none" w:sz="0" w:space="0" w:color="auto"/>
                      </w:divBdr>
                    </w:div>
                  </w:divsChild>
                </w:div>
                <w:div w:id="611790840">
                  <w:marLeft w:val="0"/>
                  <w:marRight w:val="0"/>
                  <w:marTop w:val="0"/>
                  <w:marBottom w:val="0"/>
                  <w:divBdr>
                    <w:top w:val="none" w:sz="0" w:space="0" w:color="auto"/>
                    <w:left w:val="none" w:sz="0" w:space="0" w:color="auto"/>
                    <w:bottom w:val="none" w:sz="0" w:space="0" w:color="auto"/>
                    <w:right w:val="none" w:sz="0" w:space="0" w:color="auto"/>
                  </w:divBdr>
                  <w:divsChild>
                    <w:div w:id="417605255">
                      <w:marLeft w:val="0"/>
                      <w:marRight w:val="0"/>
                      <w:marTop w:val="0"/>
                      <w:marBottom w:val="0"/>
                      <w:divBdr>
                        <w:top w:val="none" w:sz="0" w:space="0" w:color="auto"/>
                        <w:left w:val="none" w:sz="0" w:space="0" w:color="auto"/>
                        <w:bottom w:val="none" w:sz="0" w:space="0" w:color="auto"/>
                        <w:right w:val="none" w:sz="0" w:space="0" w:color="auto"/>
                      </w:divBdr>
                    </w:div>
                  </w:divsChild>
                </w:div>
                <w:div w:id="618995206">
                  <w:marLeft w:val="0"/>
                  <w:marRight w:val="0"/>
                  <w:marTop w:val="0"/>
                  <w:marBottom w:val="0"/>
                  <w:divBdr>
                    <w:top w:val="none" w:sz="0" w:space="0" w:color="auto"/>
                    <w:left w:val="none" w:sz="0" w:space="0" w:color="auto"/>
                    <w:bottom w:val="none" w:sz="0" w:space="0" w:color="auto"/>
                    <w:right w:val="none" w:sz="0" w:space="0" w:color="auto"/>
                  </w:divBdr>
                  <w:divsChild>
                    <w:div w:id="530149341">
                      <w:marLeft w:val="0"/>
                      <w:marRight w:val="0"/>
                      <w:marTop w:val="0"/>
                      <w:marBottom w:val="0"/>
                      <w:divBdr>
                        <w:top w:val="none" w:sz="0" w:space="0" w:color="auto"/>
                        <w:left w:val="none" w:sz="0" w:space="0" w:color="auto"/>
                        <w:bottom w:val="none" w:sz="0" w:space="0" w:color="auto"/>
                        <w:right w:val="none" w:sz="0" w:space="0" w:color="auto"/>
                      </w:divBdr>
                    </w:div>
                  </w:divsChild>
                </w:div>
                <w:div w:id="643051016">
                  <w:marLeft w:val="0"/>
                  <w:marRight w:val="0"/>
                  <w:marTop w:val="0"/>
                  <w:marBottom w:val="0"/>
                  <w:divBdr>
                    <w:top w:val="none" w:sz="0" w:space="0" w:color="auto"/>
                    <w:left w:val="none" w:sz="0" w:space="0" w:color="auto"/>
                    <w:bottom w:val="none" w:sz="0" w:space="0" w:color="auto"/>
                    <w:right w:val="none" w:sz="0" w:space="0" w:color="auto"/>
                  </w:divBdr>
                  <w:divsChild>
                    <w:div w:id="117182473">
                      <w:marLeft w:val="0"/>
                      <w:marRight w:val="0"/>
                      <w:marTop w:val="0"/>
                      <w:marBottom w:val="0"/>
                      <w:divBdr>
                        <w:top w:val="none" w:sz="0" w:space="0" w:color="auto"/>
                        <w:left w:val="none" w:sz="0" w:space="0" w:color="auto"/>
                        <w:bottom w:val="none" w:sz="0" w:space="0" w:color="auto"/>
                        <w:right w:val="none" w:sz="0" w:space="0" w:color="auto"/>
                      </w:divBdr>
                    </w:div>
                  </w:divsChild>
                </w:div>
                <w:div w:id="663318309">
                  <w:marLeft w:val="0"/>
                  <w:marRight w:val="0"/>
                  <w:marTop w:val="0"/>
                  <w:marBottom w:val="0"/>
                  <w:divBdr>
                    <w:top w:val="none" w:sz="0" w:space="0" w:color="auto"/>
                    <w:left w:val="none" w:sz="0" w:space="0" w:color="auto"/>
                    <w:bottom w:val="none" w:sz="0" w:space="0" w:color="auto"/>
                    <w:right w:val="none" w:sz="0" w:space="0" w:color="auto"/>
                  </w:divBdr>
                  <w:divsChild>
                    <w:div w:id="11034048">
                      <w:marLeft w:val="0"/>
                      <w:marRight w:val="0"/>
                      <w:marTop w:val="0"/>
                      <w:marBottom w:val="0"/>
                      <w:divBdr>
                        <w:top w:val="none" w:sz="0" w:space="0" w:color="auto"/>
                        <w:left w:val="none" w:sz="0" w:space="0" w:color="auto"/>
                        <w:bottom w:val="none" w:sz="0" w:space="0" w:color="auto"/>
                        <w:right w:val="none" w:sz="0" w:space="0" w:color="auto"/>
                      </w:divBdr>
                    </w:div>
                  </w:divsChild>
                </w:div>
                <w:div w:id="670261295">
                  <w:marLeft w:val="0"/>
                  <w:marRight w:val="0"/>
                  <w:marTop w:val="0"/>
                  <w:marBottom w:val="0"/>
                  <w:divBdr>
                    <w:top w:val="none" w:sz="0" w:space="0" w:color="auto"/>
                    <w:left w:val="none" w:sz="0" w:space="0" w:color="auto"/>
                    <w:bottom w:val="none" w:sz="0" w:space="0" w:color="auto"/>
                    <w:right w:val="none" w:sz="0" w:space="0" w:color="auto"/>
                  </w:divBdr>
                  <w:divsChild>
                    <w:div w:id="206071963">
                      <w:marLeft w:val="0"/>
                      <w:marRight w:val="0"/>
                      <w:marTop w:val="0"/>
                      <w:marBottom w:val="0"/>
                      <w:divBdr>
                        <w:top w:val="none" w:sz="0" w:space="0" w:color="auto"/>
                        <w:left w:val="none" w:sz="0" w:space="0" w:color="auto"/>
                        <w:bottom w:val="none" w:sz="0" w:space="0" w:color="auto"/>
                        <w:right w:val="none" w:sz="0" w:space="0" w:color="auto"/>
                      </w:divBdr>
                    </w:div>
                  </w:divsChild>
                </w:div>
                <w:div w:id="701319993">
                  <w:marLeft w:val="0"/>
                  <w:marRight w:val="0"/>
                  <w:marTop w:val="0"/>
                  <w:marBottom w:val="0"/>
                  <w:divBdr>
                    <w:top w:val="none" w:sz="0" w:space="0" w:color="auto"/>
                    <w:left w:val="none" w:sz="0" w:space="0" w:color="auto"/>
                    <w:bottom w:val="none" w:sz="0" w:space="0" w:color="auto"/>
                    <w:right w:val="none" w:sz="0" w:space="0" w:color="auto"/>
                  </w:divBdr>
                  <w:divsChild>
                    <w:div w:id="1291281893">
                      <w:marLeft w:val="0"/>
                      <w:marRight w:val="0"/>
                      <w:marTop w:val="0"/>
                      <w:marBottom w:val="0"/>
                      <w:divBdr>
                        <w:top w:val="none" w:sz="0" w:space="0" w:color="auto"/>
                        <w:left w:val="none" w:sz="0" w:space="0" w:color="auto"/>
                        <w:bottom w:val="none" w:sz="0" w:space="0" w:color="auto"/>
                        <w:right w:val="none" w:sz="0" w:space="0" w:color="auto"/>
                      </w:divBdr>
                    </w:div>
                  </w:divsChild>
                </w:div>
                <w:div w:id="739862137">
                  <w:marLeft w:val="0"/>
                  <w:marRight w:val="0"/>
                  <w:marTop w:val="0"/>
                  <w:marBottom w:val="0"/>
                  <w:divBdr>
                    <w:top w:val="none" w:sz="0" w:space="0" w:color="auto"/>
                    <w:left w:val="none" w:sz="0" w:space="0" w:color="auto"/>
                    <w:bottom w:val="none" w:sz="0" w:space="0" w:color="auto"/>
                    <w:right w:val="none" w:sz="0" w:space="0" w:color="auto"/>
                  </w:divBdr>
                  <w:divsChild>
                    <w:div w:id="2109427769">
                      <w:marLeft w:val="0"/>
                      <w:marRight w:val="0"/>
                      <w:marTop w:val="0"/>
                      <w:marBottom w:val="0"/>
                      <w:divBdr>
                        <w:top w:val="none" w:sz="0" w:space="0" w:color="auto"/>
                        <w:left w:val="none" w:sz="0" w:space="0" w:color="auto"/>
                        <w:bottom w:val="none" w:sz="0" w:space="0" w:color="auto"/>
                        <w:right w:val="none" w:sz="0" w:space="0" w:color="auto"/>
                      </w:divBdr>
                    </w:div>
                  </w:divsChild>
                </w:div>
                <w:div w:id="740718977">
                  <w:marLeft w:val="0"/>
                  <w:marRight w:val="0"/>
                  <w:marTop w:val="0"/>
                  <w:marBottom w:val="0"/>
                  <w:divBdr>
                    <w:top w:val="none" w:sz="0" w:space="0" w:color="auto"/>
                    <w:left w:val="none" w:sz="0" w:space="0" w:color="auto"/>
                    <w:bottom w:val="none" w:sz="0" w:space="0" w:color="auto"/>
                    <w:right w:val="none" w:sz="0" w:space="0" w:color="auto"/>
                  </w:divBdr>
                  <w:divsChild>
                    <w:div w:id="367535638">
                      <w:marLeft w:val="0"/>
                      <w:marRight w:val="0"/>
                      <w:marTop w:val="0"/>
                      <w:marBottom w:val="0"/>
                      <w:divBdr>
                        <w:top w:val="none" w:sz="0" w:space="0" w:color="auto"/>
                        <w:left w:val="none" w:sz="0" w:space="0" w:color="auto"/>
                        <w:bottom w:val="none" w:sz="0" w:space="0" w:color="auto"/>
                        <w:right w:val="none" w:sz="0" w:space="0" w:color="auto"/>
                      </w:divBdr>
                    </w:div>
                  </w:divsChild>
                </w:div>
                <w:div w:id="775174132">
                  <w:marLeft w:val="0"/>
                  <w:marRight w:val="0"/>
                  <w:marTop w:val="0"/>
                  <w:marBottom w:val="0"/>
                  <w:divBdr>
                    <w:top w:val="none" w:sz="0" w:space="0" w:color="auto"/>
                    <w:left w:val="none" w:sz="0" w:space="0" w:color="auto"/>
                    <w:bottom w:val="none" w:sz="0" w:space="0" w:color="auto"/>
                    <w:right w:val="none" w:sz="0" w:space="0" w:color="auto"/>
                  </w:divBdr>
                  <w:divsChild>
                    <w:div w:id="2080664154">
                      <w:marLeft w:val="0"/>
                      <w:marRight w:val="0"/>
                      <w:marTop w:val="0"/>
                      <w:marBottom w:val="0"/>
                      <w:divBdr>
                        <w:top w:val="none" w:sz="0" w:space="0" w:color="auto"/>
                        <w:left w:val="none" w:sz="0" w:space="0" w:color="auto"/>
                        <w:bottom w:val="none" w:sz="0" w:space="0" w:color="auto"/>
                        <w:right w:val="none" w:sz="0" w:space="0" w:color="auto"/>
                      </w:divBdr>
                    </w:div>
                  </w:divsChild>
                </w:div>
                <w:div w:id="809438671">
                  <w:marLeft w:val="0"/>
                  <w:marRight w:val="0"/>
                  <w:marTop w:val="0"/>
                  <w:marBottom w:val="0"/>
                  <w:divBdr>
                    <w:top w:val="none" w:sz="0" w:space="0" w:color="auto"/>
                    <w:left w:val="none" w:sz="0" w:space="0" w:color="auto"/>
                    <w:bottom w:val="none" w:sz="0" w:space="0" w:color="auto"/>
                    <w:right w:val="none" w:sz="0" w:space="0" w:color="auto"/>
                  </w:divBdr>
                  <w:divsChild>
                    <w:div w:id="1011759506">
                      <w:marLeft w:val="0"/>
                      <w:marRight w:val="0"/>
                      <w:marTop w:val="0"/>
                      <w:marBottom w:val="0"/>
                      <w:divBdr>
                        <w:top w:val="none" w:sz="0" w:space="0" w:color="auto"/>
                        <w:left w:val="none" w:sz="0" w:space="0" w:color="auto"/>
                        <w:bottom w:val="none" w:sz="0" w:space="0" w:color="auto"/>
                        <w:right w:val="none" w:sz="0" w:space="0" w:color="auto"/>
                      </w:divBdr>
                    </w:div>
                  </w:divsChild>
                </w:div>
                <w:div w:id="810680369">
                  <w:marLeft w:val="0"/>
                  <w:marRight w:val="0"/>
                  <w:marTop w:val="0"/>
                  <w:marBottom w:val="0"/>
                  <w:divBdr>
                    <w:top w:val="none" w:sz="0" w:space="0" w:color="auto"/>
                    <w:left w:val="none" w:sz="0" w:space="0" w:color="auto"/>
                    <w:bottom w:val="none" w:sz="0" w:space="0" w:color="auto"/>
                    <w:right w:val="none" w:sz="0" w:space="0" w:color="auto"/>
                  </w:divBdr>
                  <w:divsChild>
                    <w:div w:id="355741884">
                      <w:marLeft w:val="0"/>
                      <w:marRight w:val="0"/>
                      <w:marTop w:val="0"/>
                      <w:marBottom w:val="0"/>
                      <w:divBdr>
                        <w:top w:val="none" w:sz="0" w:space="0" w:color="auto"/>
                        <w:left w:val="none" w:sz="0" w:space="0" w:color="auto"/>
                        <w:bottom w:val="none" w:sz="0" w:space="0" w:color="auto"/>
                        <w:right w:val="none" w:sz="0" w:space="0" w:color="auto"/>
                      </w:divBdr>
                    </w:div>
                  </w:divsChild>
                </w:div>
                <w:div w:id="828132396">
                  <w:marLeft w:val="0"/>
                  <w:marRight w:val="0"/>
                  <w:marTop w:val="0"/>
                  <w:marBottom w:val="0"/>
                  <w:divBdr>
                    <w:top w:val="none" w:sz="0" w:space="0" w:color="auto"/>
                    <w:left w:val="none" w:sz="0" w:space="0" w:color="auto"/>
                    <w:bottom w:val="none" w:sz="0" w:space="0" w:color="auto"/>
                    <w:right w:val="none" w:sz="0" w:space="0" w:color="auto"/>
                  </w:divBdr>
                  <w:divsChild>
                    <w:div w:id="1705012053">
                      <w:marLeft w:val="0"/>
                      <w:marRight w:val="0"/>
                      <w:marTop w:val="0"/>
                      <w:marBottom w:val="0"/>
                      <w:divBdr>
                        <w:top w:val="none" w:sz="0" w:space="0" w:color="auto"/>
                        <w:left w:val="none" w:sz="0" w:space="0" w:color="auto"/>
                        <w:bottom w:val="none" w:sz="0" w:space="0" w:color="auto"/>
                        <w:right w:val="none" w:sz="0" w:space="0" w:color="auto"/>
                      </w:divBdr>
                    </w:div>
                  </w:divsChild>
                </w:div>
                <w:div w:id="847063353">
                  <w:marLeft w:val="0"/>
                  <w:marRight w:val="0"/>
                  <w:marTop w:val="0"/>
                  <w:marBottom w:val="0"/>
                  <w:divBdr>
                    <w:top w:val="none" w:sz="0" w:space="0" w:color="auto"/>
                    <w:left w:val="none" w:sz="0" w:space="0" w:color="auto"/>
                    <w:bottom w:val="none" w:sz="0" w:space="0" w:color="auto"/>
                    <w:right w:val="none" w:sz="0" w:space="0" w:color="auto"/>
                  </w:divBdr>
                  <w:divsChild>
                    <w:div w:id="855265247">
                      <w:marLeft w:val="0"/>
                      <w:marRight w:val="0"/>
                      <w:marTop w:val="0"/>
                      <w:marBottom w:val="0"/>
                      <w:divBdr>
                        <w:top w:val="none" w:sz="0" w:space="0" w:color="auto"/>
                        <w:left w:val="none" w:sz="0" w:space="0" w:color="auto"/>
                        <w:bottom w:val="none" w:sz="0" w:space="0" w:color="auto"/>
                        <w:right w:val="none" w:sz="0" w:space="0" w:color="auto"/>
                      </w:divBdr>
                    </w:div>
                  </w:divsChild>
                </w:div>
                <w:div w:id="860893575">
                  <w:marLeft w:val="0"/>
                  <w:marRight w:val="0"/>
                  <w:marTop w:val="0"/>
                  <w:marBottom w:val="0"/>
                  <w:divBdr>
                    <w:top w:val="none" w:sz="0" w:space="0" w:color="auto"/>
                    <w:left w:val="none" w:sz="0" w:space="0" w:color="auto"/>
                    <w:bottom w:val="none" w:sz="0" w:space="0" w:color="auto"/>
                    <w:right w:val="none" w:sz="0" w:space="0" w:color="auto"/>
                  </w:divBdr>
                  <w:divsChild>
                    <w:div w:id="326592707">
                      <w:marLeft w:val="0"/>
                      <w:marRight w:val="0"/>
                      <w:marTop w:val="0"/>
                      <w:marBottom w:val="0"/>
                      <w:divBdr>
                        <w:top w:val="none" w:sz="0" w:space="0" w:color="auto"/>
                        <w:left w:val="none" w:sz="0" w:space="0" w:color="auto"/>
                        <w:bottom w:val="none" w:sz="0" w:space="0" w:color="auto"/>
                        <w:right w:val="none" w:sz="0" w:space="0" w:color="auto"/>
                      </w:divBdr>
                    </w:div>
                  </w:divsChild>
                </w:div>
                <w:div w:id="887035704">
                  <w:marLeft w:val="0"/>
                  <w:marRight w:val="0"/>
                  <w:marTop w:val="0"/>
                  <w:marBottom w:val="0"/>
                  <w:divBdr>
                    <w:top w:val="none" w:sz="0" w:space="0" w:color="auto"/>
                    <w:left w:val="none" w:sz="0" w:space="0" w:color="auto"/>
                    <w:bottom w:val="none" w:sz="0" w:space="0" w:color="auto"/>
                    <w:right w:val="none" w:sz="0" w:space="0" w:color="auto"/>
                  </w:divBdr>
                  <w:divsChild>
                    <w:div w:id="1118838133">
                      <w:marLeft w:val="0"/>
                      <w:marRight w:val="0"/>
                      <w:marTop w:val="0"/>
                      <w:marBottom w:val="0"/>
                      <w:divBdr>
                        <w:top w:val="none" w:sz="0" w:space="0" w:color="auto"/>
                        <w:left w:val="none" w:sz="0" w:space="0" w:color="auto"/>
                        <w:bottom w:val="none" w:sz="0" w:space="0" w:color="auto"/>
                        <w:right w:val="none" w:sz="0" w:space="0" w:color="auto"/>
                      </w:divBdr>
                    </w:div>
                  </w:divsChild>
                </w:div>
                <w:div w:id="947197800">
                  <w:marLeft w:val="0"/>
                  <w:marRight w:val="0"/>
                  <w:marTop w:val="0"/>
                  <w:marBottom w:val="0"/>
                  <w:divBdr>
                    <w:top w:val="none" w:sz="0" w:space="0" w:color="auto"/>
                    <w:left w:val="none" w:sz="0" w:space="0" w:color="auto"/>
                    <w:bottom w:val="none" w:sz="0" w:space="0" w:color="auto"/>
                    <w:right w:val="none" w:sz="0" w:space="0" w:color="auto"/>
                  </w:divBdr>
                  <w:divsChild>
                    <w:div w:id="629437082">
                      <w:marLeft w:val="0"/>
                      <w:marRight w:val="0"/>
                      <w:marTop w:val="0"/>
                      <w:marBottom w:val="0"/>
                      <w:divBdr>
                        <w:top w:val="none" w:sz="0" w:space="0" w:color="auto"/>
                        <w:left w:val="none" w:sz="0" w:space="0" w:color="auto"/>
                        <w:bottom w:val="none" w:sz="0" w:space="0" w:color="auto"/>
                        <w:right w:val="none" w:sz="0" w:space="0" w:color="auto"/>
                      </w:divBdr>
                    </w:div>
                  </w:divsChild>
                </w:div>
                <w:div w:id="988172207">
                  <w:marLeft w:val="0"/>
                  <w:marRight w:val="0"/>
                  <w:marTop w:val="0"/>
                  <w:marBottom w:val="0"/>
                  <w:divBdr>
                    <w:top w:val="none" w:sz="0" w:space="0" w:color="auto"/>
                    <w:left w:val="none" w:sz="0" w:space="0" w:color="auto"/>
                    <w:bottom w:val="none" w:sz="0" w:space="0" w:color="auto"/>
                    <w:right w:val="none" w:sz="0" w:space="0" w:color="auto"/>
                  </w:divBdr>
                  <w:divsChild>
                    <w:div w:id="737362670">
                      <w:marLeft w:val="0"/>
                      <w:marRight w:val="0"/>
                      <w:marTop w:val="0"/>
                      <w:marBottom w:val="0"/>
                      <w:divBdr>
                        <w:top w:val="none" w:sz="0" w:space="0" w:color="auto"/>
                        <w:left w:val="none" w:sz="0" w:space="0" w:color="auto"/>
                        <w:bottom w:val="none" w:sz="0" w:space="0" w:color="auto"/>
                        <w:right w:val="none" w:sz="0" w:space="0" w:color="auto"/>
                      </w:divBdr>
                    </w:div>
                  </w:divsChild>
                </w:div>
                <w:div w:id="993684239">
                  <w:marLeft w:val="0"/>
                  <w:marRight w:val="0"/>
                  <w:marTop w:val="0"/>
                  <w:marBottom w:val="0"/>
                  <w:divBdr>
                    <w:top w:val="none" w:sz="0" w:space="0" w:color="auto"/>
                    <w:left w:val="none" w:sz="0" w:space="0" w:color="auto"/>
                    <w:bottom w:val="none" w:sz="0" w:space="0" w:color="auto"/>
                    <w:right w:val="none" w:sz="0" w:space="0" w:color="auto"/>
                  </w:divBdr>
                  <w:divsChild>
                    <w:div w:id="1142041404">
                      <w:marLeft w:val="0"/>
                      <w:marRight w:val="0"/>
                      <w:marTop w:val="0"/>
                      <w:marBottom w:val="0"/>
                      <w:divBdr>
                        <w:top w:val="none" w:sz="0" w:space="0" w:color="auto"/>
                        <w:left w:val="none" w:sz="0" w:space="0" w:color="auto"/>
                        <w:bottom w:val="none" w:sz="0" w:space="0" w:color="auto"/>
                        <w:right w:val="none" w:sz="0" w:space="0" w:color="auto"/>
                      </w:divBdr>
                    </w:div>
                  </w:divsChild>
                </w:div>
                <w:div w:id="1003433741">
                  <w:marLeft w:val="0"/>
                  <w:marRight w:val="0"/>
                  <w:marTop w:val="0"/>
                  <w:marBottom w:val="0"/>
                  <w:divBdr>
                    <w:top w:val="none" w:sz="0" w:space="0" w:color="auto"/>
                    <w:left w:val="none" w:sz="0" w:space="0" w:color="auto"/>
                    <w:bottom w:val="none" w:sz="0" w:space="0" w:color="auto"/>
                    <w:right w:val="none" w:sz="0" w:space="0" w:color="auto"/>
                  </w:divBdr>
                  <w:divsChild>
                    <w:div w:id="1395665507">
                      <w:marLeft w:val="0"/>
                      <w:marRight w:val="0"/>
                      <w:marTop w:val="0"/>
                      <w:marBottom w:val="0"/>
                      <w:divBdr>
                        <w:top w:val="none" w:sz="0" w:space="0" w:color="auto"/>
                        <w:left w:val="none" w:sz="0" w:space="0" w:color="auto"/>
                        <w:bottom w:val="none" w:sz="0" w:space="0" w:color="auto"/>
                        <w:right w:val="none" w:sz="0" w:space="0" w:color="auto"/>
                      </w:divBdr>
                    </w:div>
                  </w:divsChild>
                </w:div>
                <w:div w:id="1031762114">
                  <w:marLeft w:val="0"/>
                  <w:marRight w:val="0"/>
                  <w:marTop w:val="0"/>
                  <w:marBottom w:val="0"/>
                  <w:divBdr>
                    <w:top w:val="none" w:sz="0" w:space="0" w:color="auto"/>
                    <w:left w:val="none" w:sz="0" w:space="0" w:color="auto"/>
                    <w:bottom w:val="none" w:sz="0" w:space="0" w:color="auto"/>
                    <w:right w:val="none" w:sz="0" w:space="0" w:color="auto"/>
                  </w:divBdr>
                  <w:divsChild>
                    <w:div w:id="1564411979">
                      <w:marLeft w:val="0"/>
                      <w:marRight w:val="0"/>
                      <w:marTop w:val="0"/>
                      <w:marBottom w:val="0"/>
                      <w:divBdr>
                        <w:top w:val="none" w:sz="0" w:space="0" w:color="auto"/>
                        <w:left w:val="none" w:sz="0" w:space="0" w:color="auto"/>
                        <w:bottom w:val="none" w:sz="0" w:space="0" w:color="auto"/>
                        <w:right w:val="none" w:sz="0" w:space="0" w:color="auto"/>
                      </w:divBdr>
                    </w:div>
                  </w:divsChild>
                </w:div>
                <w:div w:id="1033455882">
                  <w:marLeft w:val="0"/>
                  <w:marRight w:val="0"/>
                  <w:marTop w:val="0"/>
                  <w:marBottom w:val="0"/>
                  <w:divBdr>
                    <w:top w:val="none" w:sz="0" w:space="0" w:color="auto"/>
                    <w:left w:val="none" w:sz="0" w:space="0" w:color="auto"/>
                    <w:bottom w:val="none" w:sz="0" w:space="0" w:color="auto"/>
                    <w:right w:val="none" w:sz="0" w:space="0" w:color="auto"/>
                  </w:divBdr>
                  <w:divsChild>
                    <w:div w:id="43455985">
                      <w:marLeft w:val="0"/>
                      <w:marRight w:val="0"/>
                      <w:marTop w:val="0"/>
                      <w:marBottom w:val="0"/>
                      <w:divBdr>
                        <w:top w:val="none" w:sz="0" w:space="0" w:color="auto"/>
                        <w:left w:val="none" w:sz="0" w:space="0" w:color="auto"/>
                        <w:bottom w:val="none" w:sz="0" w:space="0" w:color="auto"/>
                        <w:right w:val="none" w:sz="0" w:space="0" w:color="auto"/>
                      </w:divBdr>
                    </w:div>
                  </w:divsChild>
                </w:div>
                <w:div w:id="1082068246">
                  <w:marLeft w:val="0"/>
                  <w:marRight w:val="0"/>
                  <w:marTop w:val="0"/>
                  <w:marBottom w:val="0"/>
                  <w:divBdr>
                    <w:top w:val="none" w:sz="0" w:space="0" w:color="auto"/>
                    <w:left w:val="none" w:sz="0" w:space="0" w:color="auto"/>
                    <w:bottom w:val="none" w:sz="0" w:space="0" w:color="auto"/>
                    <w:right w:val="none" w:sz="0" w:space="0" w:color="auto"/>
                  </w:divBdr>
                  <w:divsChild>
                    <w:div w:id="1519343640">
                      <w:marLeft w:val="0"/>
                      <w:marRight w:val="0"/>
                      <w:marTop w:val="0"/>
                      <w:marBottom w:val="0"/>
                      <w:divBdr>
                        <w:top w:val="none" w:sz="0" w:space="0" w:color="auto"/>
                        <w:left w:val="none" w:sz="0" w:space="0" w:color="auto"/>
                        <w:bottom w:val="none" w:sz="0" w:space="0" w:color="auto"/>
                        <w:right w:val="none" w:sz="0" w:space="0" w:color="auto"/>
                      </w:divBdr>
                    </w:div>
                  </w:divsChild>
                </w:div>
                <w:div w:id="1088844273">
                  <w:marLeft w:val="0"/>
                  <w:marRight w:val="0"/>
                  <w:marTop w:val="0"/>
                  <w:marBottom w:val="0"/>
                  <w:divBdr>
                    <w:top w:val="none" w:sz="0" w:space="0" w:color="auto"/>
                    <w:left w:val="none" w:sz="0" w:space="0" w:color="auto"/>
                    <w:bottom w:val="none" w:sz="0" w:space="0" w:color="auto"/>
                    <w:right w:val="none" w:sz="0" w:space="0" w:color="auto"/>
                  </w:divBdr>
                  <w:divsChild>
                    <w:div w:id="1646858426">
                      <w:marLeft w:val="0"/>
                      <w:marRight w:val="0"/>
                      <w:marTop w:val="0"/>
                      <w:marBottom w:val="0"/>
                      <w:divBdr>
                        <w:top w:val="none" w:sz="0" w:space="0" w:color="auto"/>
                        <w:left w:val="none" w:sz="0" w:space="0" w:color="auto"/>
                        <w:bottom w:val="none" w:sz="0" w:space="0" w:color="auto"/>
                        <w:right w:val="none" w:sz="0" w:space="0" w:color="auto"/>
                      </w:divBdr>
                    </w:div>
                  </w:divsChild>
                </w:div>
                <w:div w:id="1118913666">
                  <w:marLeft w:val="0"/>
                  <w:marRight w:val="0"/>
                  <w:marTop w:val="0"/>
                  <w:marBottom w:val="0"/>
                  <w:divBdr>
                    <w:top w:val="none" w:sz="0" w:space="0" w:color="auto"/>
                    <w:left w:val="none" w:sz="0" w:space="0" w:color="auto"/>
                    <w:bottom w:val="none" w:sz="0" w:space="0" w:color="auto"/>
                    <w:right w:val="none" w:sz="0" w:space="0" w:color="auto"/>
                  </w:divBdr>
                  <w:divsChild>
                    <w:div w:id="828059786">
                      <w:marLeft w:val="0"/>
                      <w:marRight w:val="0"/>
                      <w:marTop w:val="0"/>
                      <w:marBottom w:val="0"/>
                      <w:divBdr>
                        <w:top w:val="none" w:sz="0" w:space="0" w:color="auto"/>
                        <w:left w:val="none" w:sz="0" w:space="0" w:color="auto"/>
                        <w:bottom w:val="none" w:sz="0" w:space="0" w:color="auto"/>
                        <w:right w:val="none" w:sz="0" w:space="0" w:color="auto"/>
                      </w:divBdr>
                    </w:div>
                  </w:divsChild>
                </w:div>
                <w:div w:id="1124080449">
                  <w:marLeft w:val="0"/>
                  <w:marRight w:val="0"/>
                  <w:marTop w:val="0"/>
                  <w:marBottom w:val="0"/>
                  <w:divBdr>
                    <w:top w:val="none" w:sz="0" w:space="0" w:color="auto"/>
                    <w:left w:val="none" w:sz="0" w:space="0" w:color="auto"/>
                    <w:bottom w:val="none" w:sz="0" w:space="0" w:color="auto"/>
                    <w:right w:val="none" w:sz="0" w:space="0" w:color="auto"/>
                  </w:divBdr>
                  <w:divsChild>
                    <w:div w:id="789083423">
                      <w:marLeft w:val="0"/>
                      <w:marRight w:val="0"/>
                      <w:marTop w:val="0"/>
                      <w:marBottom w:val="0"/>
                      <w:divBdr>
                        <w:top w:val="none" w:sz="0" w:space="0" w:color="auto"/>
                        <w:left w:val="none" w:sz="0" w:space="0" w:color="auto"/>
                        <w:bottom w:val="none" w:sz="0" w:space="0" w:color="auto"/>
                        <w:right w:val="none" w:sz="0" w:space="0" w:color="auto"/>
                      </w:divBdr>
                    </w:div>
                  </w:divsChild>
                </w:div>
                <w:div w:id="1148667904">
                  <w:marLeft w:val="0"/>
                  <w:marRight w:val="0"/>
                  <w:marTop w:val="0"/>
                  <w:marBottom w:val="0"/>
                  <w:divBdr>
                    <w:top w:val="none" w:sz="0" w:space="0" w:color="auto"/>
                    <w:left w:val="none" w:sz="0" w:space="0" w:color="auto"/>
                    <w:bottom w:val="none" w:sz="0" w:space="0" w:color="auto"/>
                    <w:right w:val="none" w:sz="0" w:space="0" w:color="auto"/>
                  </w:divBdr>
                  <w:divsChild>
                    <w:div w:id="545532766">
                      <w:marLeft w:val="0"/>
                      <w:marRight w:val="0"/>
                      <w:marTop w:val="0"/>
                      <w:marBottom w:val="0"/>
                      <w:divBdr>
                        <w:top w:val="none" w:sz="0" w:space="0" w:color="auto"/>
                        <w:left w:val="none" w:sz="0" w:space="0" w:color="auto"/>
                        <w:bottom w:val="none" w:sz="0" w:space="0" w:color="auto"/>
                        <w:right w:val="none" w:sz="0" w:space="0" w:color="auto"/>
                      </w:divBdr>
                    </w:div>
                  </w:divsChild>
                </w:div>
                <w:div w:id="1186553543">
                  <w:marLeft w:val="0"/>
                  <w:marRight w:val="0"/>
                  <w:marTop w:val="0"/>
                  <w:marBottom w:val="0"/>
                  <w:divBdr>
                    <w:top w:val="none" w:sz="0" w:space="0" w:color="auto"/>
                    <w:left w:val="none" w:sz="0" w:space="0" w:color="auto"/>
                    <w:bottom w:val="none" w:sz="0" w:space="0" w:color="auto"/>
                    <w:right w:val="none" w:sz="0" w:space="0" w:color="auto"/>
                  </w:divBdr>
                  <w:divsChild>
                    <w:div w:id="2130123196">
                      <w:marLeft w:val="0"/>
                      <w:marRight w:val="0"/>
                      <w:marTop w:val="0"/>
                      <w:marBottom w:val="0"/>
                      <w:divBdr>
                        <w:top w:val="none" w:sz="0" w:space="0" w:color="auto"/>
                        <w:left w:val="none" w:sz="0" w:space="0" w:color="auto"/>
                        <w:bottom w:val="none" w:sz="0" w:space="0" w:color="auto"/>
                        <w:right w:val="none" w:sz="0" w:space="0" w:color="auto"/>
                      </w:divBdr>
                    </w:div>
                  </w:divsChild>
                </w:div>
                <w:div w:id="1217204014">
                  <w:marLeft w:val="0"/>
                  <w:marRight w:val="0"/>
                  <w:marTop w:val="0"/>
                  <w:marBottom w:val="0"/>
                  <w:divBdr>
                    <w:top w:val="none" w:sz="0" w:space="0" w:color="auto"/>
                    <w:left w:val="none" w:sz="0" w:space="0" w:color="auto"/>
                    <w:bottom w:val="none" w:sz="0" w:space="0" w:color="auto"/>
                    <w:right w:val="none" w:sz="0" w:space="0" w:color="auto"/>
                  </w:divBdr>
                  <w:divsChild>
                    <w:div w:id="1190990768">
                      <w:marLeft w:val="0"/>
                      <w:marRight w:val="0"/>
                      <w:marTop w:val="0"/>
                      <w:marBottom w:val="0"/>
                      <w:divBdr>
                        <w:top w:val="none" w:sz="0" w:space="0" w:color="auto"/>
                        <w:left w:val="none" w:sz="0" w:space="0" w:color="auto"/>
                        <w:bottom w:val="none" w:sz="0" w:space="0" w:color="auto"/>
                        <w:right w:val="none" w:sz="0" w:space="0" w:color="auto"/>
                      </w:divBdr>
                    </w:div>
                  </w:divsChild>
                </w:div>
                <w:div w:id="1252162988">
                  <w:marLeft w:val="0"/>
                  <w:marRight w:val="0"/>
                  <w:marTop w:val="0"/>
                  <w:marBottom w:val="0"/>
                  <w:divBdr>
                    <w:top w:val="none" w:sz="0" w:space="0" w:color="auto"/>
                    <w:left w:val="none" w:sz="0" w:space="0" w:color="auto"/>
                    <w:bottom w:val="none" w:sz="0" w:space="0" w:color="auto"/>
                    <w:right w:val="none" w:sz="0" w:space="0" w:color="auto"/>
                  </w:divBdr>
                  <w:divsChild>
                    <w:div w:id="1760904879">
                      <w:marLeft w:val="0"/>
                      <w:marRight w:val="0"/>
                      <w:marTop w:val="0"/>
                      <w:marBottom w:val="0"/>
                      <w:divBdr>
                        <w:top w:val="none" w:sz="0" w:space="0" w:color="auto"/>
                        <w:left w:val="none" w:sz="0" w:space="0" w:color="auto"/>
                        <w:bottom w:val="none" w:sz="0" w:space="0" w:color="auto"/>
                        <w:right w:val="none" w:sz="0" w:space="0" w:color="auto"/>
                      </w:divBdr>
                    </w:div>
                  </w:divsChild>
                </w:div>
                <w:div w:id="1300914352">
                  <w:marLeft w:val="0"/>
                  <w:marRight w:val="0"/>
                  <w:marTop w:val="0"/>
                  <w:marBottom w:val="0"/>
                  <w:divBdr>
                    <w:top w:val="none" w:sz="0" w:space="0" w:color="auto"/>
                    <w:left w:val="none" w:sz="0" w:space="0" w:color="auto"/>
                    <w:bottom w:val="none" w:sz="0" w:space="0" w:color="auto"/>
                    <w:right w:val="none" w:sz="0" w:space="0" w:color="auto"/>
                  </w:divBdr>
                  <w:divsChild>
                    <w:div w:id="1428381431">
                      <w:marLeft w:val="0"/>
                      <w:marRight w:val="0"/>
                      <w:marTop w:val="0"/>
                      <w:marBottom w:val="0"/>
                      <w:divBdr>
                        <w:top w:val="none" w:sz="0" w:space="0" w:color="auto"/>
                        <w:left w:val="none" w:sz="0" w:space="0" w:color="auto"/>
                        <w:bottom w:val="none" w:sz="0" w:space="0" w:color="auto"/>
                        <w:right w:val="none" w:sz="0" w:space="0" w:color="auto"/>
                      </w:divBdr>
                    </w:div>
                  </w:divsChild>
                </w:div>
                <w:div w:id="1342898949">
                  <w:marLeft w:val="0"/>
                  <w:marRight w:val="0"/>
                  <w:marTop w:val="0"/>
                  <w:marBottom w:val="0"/>
                  <w:divBdr>
                    <w:top w:val="none" w:sz="0" w:space="0" w:color="auto"/>
                    <w:left w:val="none" w:sz="0" w:space="0" w:color="auto"/>
                    <w:bottom w:val="none" w:sz="0" w:space="0" w:color="auto"/>
                    <w:right w:val="none" w:sz="0" w:space="0" w:color="auto"/>
                  </w:divBdr>
                  <w:divsChild>
                    <w:div w:id="1201474196">
                      <w:marLeft w:val="0"/>
                      <w:marRight w:val="0"/>
                      <w:marTop w:val="0"/>
                      <w:marBottom w:val="0"/>
                      <w:divBdr>
                        <w:top w:val="none" w:sz="0" w:space="0" w:color="auto"/>
                        <w:left w:val="none" w:sz="0" w:space="0" w:color="auto"/>
                        <w:bottom w:val="none" w:sz="0" w:space="0" w:color="auto"/>
                        <w:right w:val="none" w:sz="0" w:space="0" w:color="auto"/>
                      </w:divBdr>
                    </w:div>
                  </w:divsChild>
                </w:div>
                <w:div w:id="1392773444">
                  <w:marLeft w:val="0"/>
                  <w:marRight w:val="0"/>
                  <w:marTop w:val="0"/>
                  <w:marBottom w:val="0"/>
                  <w:divBdr>
                    <w:top w:val="none" w:sz="0" w:space="0" w:color="auto"/>
                    <w:left w:val="none" w:sz="0" w:space="0" w:color="auto"/>
                    <w:bottom w:val="none" w:sz="0" w:space="0" w:color="auto"/>
                    <w:right w:val="none" w:sz="0" w:space="0" w:color="auto"/>
                  </w:divBdr>
                  <w:divsChild>
                    <w:div w:id="973875675">
                      <w:marLeft w:val="0"/>
                      <w:marRight w:val="0"/>
                      <w:marTop w:val="0"/>
                      <w:marBottom w:val="0"/>
                      <w:divBdr>
                        <w:top w:val="none" w:sz="0" w:space="0" w:color="auto"/>
                        <w:left w:val="none" w:sz="0" w:space="0" w:color="auto"/>
                        <w:bottom w:val="none" w:sz="0" w:space="0" w:color="auto"/>
                        <w:right w:val="none" w:sz="0" w:space="0" w:color="auto"/>
                      </w:divBdr>
                    </w:div>
                  </w:divsChild>
                </w:div>
                <w:div w:id="1399985042">
                  <w:marLeft w:val="0"/>
                  <w:marRight w:val="0"/>
                  <w:marTop w:val="0"/>
                  <w:marBottom w:val="0"/>
                  <w:divBdr>
                    <w:top w:val="none" w:sz="0" w:space="0" w:color="auto"/>
                    <w:left w:val="none" w:sz="0" w:space="0" w:color="auto"/>
                    <w:bottom w:val="none" w:sz="0" w:space="0" w:color="auto"/>
                    <w:right w:val="none" w:sz="0" w:space="0" w:color="auto"/>
                  </w:divBdr>
                  <w:divsChild>
                    <w:div w:id="1724669877">
                      <w:marLeft w:val="0"/>
                      <w:marRight w:val="0"/>
                      <w:marTop w:val="0"/>
                      <w:marBottom w:val="0"/>
                      <w:divBdr>
                        <w:top w:val="none" w:sz="0" w:space="0" w:color="auto"/>
                        <w:left w:val="none" w:sz="0" w:space="0" w:color="auto"/>
                        <w:bottom w:val="none" w:sz="0" w:space="0" w:color="auto"/>
                        <w:right w:val="none" w:sz="0" w:space="0" w:color="auto"/>
                      </w:divBdr>
                    </w:div>
                  </w:divsChild>
                </w:div>
                <w:div w:id="1406688728">
                  <w:marLeft w:val="0"/>
                  <w:marRight w:val="0"/>
                  <w:marTop w:val="0"/>
                  <w:marBottom w:val="0"/>
                  <w:divBdr>
                    <w:top w:val="none" w:sz="0" w:space="0" w:color="auto"/>
                    <w:left w:val="none" w:sz="0" w:space="0" w:color="auto"/>
                    <w:bottom w:val="none" w:sz="0" w:space="0" w:color="auto"/>
                    <w:right w:val="none" w:sz="0" w:space="0" w:color="auto"/>
                  </w:divBdr>
                  <w:divsChild>
                    <w:div w:id="1110048943">
                      <w:marLeft w:val="0"/>
                      <w:marRight w:val="0"/>
                      <w:marTop w:val="0"/>
                      <w:marBottom w:val="0"/>
                      <w:divBdr>
                        <w:top w:val="none" w:sz="0" w:space="0" w:color="auto"/>
                        <w:left w:val="none" w:sz="0" w:space="0" w:color="auto"/>
                        <w:bottom w:val="none" w:sz="0" w:space="0" w:color="auto"/>
                        <w:right w:val="none" w:sz="0" w:space="0" w:color="auto"/>
                      </w:divBdr>
                    </w:div>
                  </w:divsChild>
                </w:div>
                <w:div w:id="1417242562">
                  <w:marLeft w:val="0"/>
                  <w:marRight w:val="0"/>
                  <w:marTop w:val="0"/>
                  <w:marBottom w:val="0"/>
                  <w:divBdr>
                    <w:top w:val="none" w:sz="0" w:space="0" w:color="auto"/>
                    <w:left w:val="none" w:sz="0" w:space="0" w:color="auto"/>
                    <w:bottom w:val="none" w:sz="0" w:space="0" w:color="auto"/>
                    <w:right w:val="none" w:sz="0" w:space="0" w:color="auto"/>
                  </w:divBdr>
                  <w:divsChild>
                    <w:div w:id="944385710">
                      <w:marLeft w:val="0"/>
                      <w:marRight w:val="0"/>
                      <w:marTop w:val="0"/>
                      <w:marBottom w:val="0"/>
                      <w:divBdr>
                        <w:top w:val="none" w:sz="0" w:space="0" w:color="auto"/>
                        <w:left w:val="none" w:sz="0" w:space="0" w:color="auto"/>
                        <w:bottom w:val="none" w:sz="0" w:space="0" w:color="auto"/>
                        <w:right w:val="none" w:sz="0" w:space="0" w:color="auto"/>
                      </w:divBdr>
                    </w:div>
                  </w:divsChild>
                </w:div>
                <w:div w:id="1479106776">
                  <w:marLeft w:val="0"/>
                  <w:marRight w:val="0"/>
                  <w:marTop w:val="0"/>
                  <w:marBottom w:val="0"/>
                  <w:divBdr>
                    <w:top w:val="none" w:sz="0" w:space="0" w:color="auto"/>
                    <w:left w:val="none" w:sz="0" w:space="0" w:color="auto"/>
                    <w:bottom w:val="none" w:sz="0" w:space="0" w:color="auto"/>
                    <w:right w:val="none" w:sz="0" w:space="0" w:color="auto"/>
                  </w:divBdr>
                  <w:divsChild>
                    <w:div w:id="768428910">
                      <w:marLeft w:val="0"/>
                      <w:marRight w:val="0"/>
                      <w:marTop w:val="0"/>
                      <w:marBottom w:val="0"/>
                      <w:divBdr>
                        <w:top w:val="none" w:sz="0" w:space="0" w:color="auto"/>
                        <w:left w:val="none" w:sz="0" w:space="0" w:color="auto"/>
                        <w:bottom w:val="none" w:sz="0" w:space="0" w:color="auto"/>
                        <w:right w:val="none" w:sz="0" w:space="0" w:color="auto"/>
                      </w:divBdr>
                    </w:div>
                  </w:divsChild>
                </w:div>
                <w:div w:id="1485704389">
                  <w:marLeft w:val="0"/>
                  <w:marRight w:val="0"/>
                  <w:marTop w:val="0"/>
                  <w:marBottom w:val="0"/>
                  <w:divBdr>
                    <w:top w:val="none" w:sz="0" w:space="0" w:color="auto"/>
                    <w:left w:val="none" w:sz="0" w:space="0" w:color="auto"/>
                    <w:bottom w:val="none" w:sz="0" w:space="0" w:color="auto"/>
                    <w:right w:val="none" w:sz="0" w:space="0" w:color="auto"/>
                  </w:divBdr>
                  <w:divsChild>
                    <w:div w:id="1590961273">
                      <w:marLeft w:val="0"/>
                      <w:marRight w:val="0"/>
                      <w:marTop w:val="0"/>
                      <w:marBottom w:val="0"/>
                      <w:divBdr>
                        <w:top w:val="none" w:sz="0" w:space="0" w:color="auto"/>
                        <w:left w:val="none" w:sz="0" w:space="0" w:color="auto"/>
                        <w:bottom w:val="none" w:sz="0" w:space="0" w:color="auto"/>
                        <w:right w:val="none" w:sz="0" w:space="0" w:color="auto"/>
                      </w:divBdr>
                    </w:div>
                  </w:divsChild>
                </w:div>
                <w:div w:id="1517885189">
                  <w:marLeft w:val="0"/>
                  <w:marRight w:val="0"/>
                  <w:marTop w:val="0"/>
                  <w:marBottom w:val="0"/>
                  <w:divBdr>
                    <w:top w:val="none" w:sz="0" w:space="0" w:color="auto"/>
                    <w:left w:val="none" w:sz="0" w:space="0" w:color="auto"/>
                    <w:bottom w:val="none" w:sz="0" w:space="0" w:color="auto"/>
                    <w:right w:val="none" w:sz="0" w:space="0" w:color="auto"/>
                  </w:divBdr>
                  <w:divsChild>
                    <w:div w:id="621959039">
                      <w:marLeft w:val="0"/>
                      <w:marRight w:val="0"/>
                      <w:marTop w:val="0"/>
                      <w:marBottom w:val="0"/>
                      <w:divBdr>
                        <w:top w:val="none" w:sz="0" w:space="0" w:color="auto"/>
                        <w:left w:val="none" w:sz="0" w:space="0" w:color="auto"/>
                        <w:bottom w:val="none" w:sz="0" w:space="0" w:color="auto"/>
                        <w:right w:val="none" w:sz="0" w:space="0" w:color="auto"/>
                      </w:divBdr>
                    </w:div>
                    <w:div w:id="1182471725">
                      <w:marLeft w:val="0"/>
                      <w:marRight w:val="0"/>
                      <w:marTop w:val="0"/>
                      <w:marBottom w:val="0"/>
                      <w:divBdr>
                        <w:top w:val="none" w:sz="0" w:space="0" w:color="auto"/>
                        <w:left w:val="none" w:sz="0" w:space="0" w:color="auto"/>
                        <w:bottom w:val="none" w:sz="0" w:space="0" w:color="auto"/>
                        <w:right w:val="none" w:sz="0" w:space="0" w:color="auto"/>
                      </w:divBdr>
                    </w:div>
                  </w:divsChild>
                </w:div>
                <w:div w:id="1524048211">
                  <w:marLeft w:val="0"/>
                  <w:marRight w:val="0"/>
                  <w:marTop w:val="0"/>
                  <w:marBottom w:val="0"/>
                  <w:divBdr>
                    <w:top w:val="none" w:sz="0" w:space="0" w:color="auto"/>
                    <w:left w:val="none" w:sz="0" w:space="0" w:color="auto"/>
                    <w:bottom w:val="none" w:sz="0" w:space="0" w:color="auto"/>
                    <w:right w:val="none" w:sz="0" w:space="0" w:color="auto"/>
                  </w:divBdr>
                  <w:divsChild>
                    <w:div w:id="1138230114">
                      <w:marLeft w:val="0"/>
                      <w:marRight w:val="0"/>
                      <w:marTop w:val="0"/>
                      <w:marBottom w:val="0"/>
                      <w:divBdr>
                        <w:top w:val="none" w:sz="0" w:space="0" w:color="auto"/>
                        <w:left w:val="none" w:sz="0" w:space="0" w:color="auto"/>
                        <w:bottom w:val="none" w:sz="0" w:space="0" w:color="auto"/>
                        <w:right w:val="none" w:sz="0" w:space="0" w:color="auto"/>
                      </w:divBdr>
                    </w:div>
                  </w:divsChild>
                </w:div>
                <w:div w:id="1536119595">
                  <w:marLeft w:val="0"/>
                  <w:marRight w:val="0"/>
                  <w:marTop w:val="0"/>
                  <w:marBottom w:val="0"/>
                  <w:divBdr>
                    <w:top w:val="none" w:sz="0" w:space="0" w:color="auto"/>
                    <w:left w:val="none" w:sz="0" w:space="0" w:color="auto"/>
                    <w:bottom w:val="none" w:sz="0" w:space="0" w:color="auto"/>
                    <w:right w:val="none" w:sz="0" w:space="0" w:color="auto"/>
                  </w:divBdr>
                  <w:divsChild>
                    <w:div w:id="1013921942">
                      <w:marLeft w:val="0"/>
                      <w:marRight w:val="0"/>
                      <w:marTop w:val="0"/>
                      <w:marBottom w:val="0"/>
                      <w:divBdr>
                        <w:top w:val="none" w:sz="0" w:space="0" w:color="auto"/>
                        <w:left w:val="none" w:sz="0" w:space="0" w:color="auto"/>
                        <w:bottom w:val="none" w:sz="0" w:space="0" w:color="auto"/>
                        <w:right w:val="none" w:sz="0" w:space="0" w:color="auto"/>
                      </w:divBdr>
                    </w:div>
                  </w:divsChild>
                </w:div>
                <w:div w:id="1562902626">
                  <w:marLeft w:val="0"/>
                  <w:marRight w:val="0"/>
                  <w:marTop w:val="0"/>
                  <w:marBottom w:val="0"/>
                  <w:divBdr>
                    <w:top w:val="none" w:sz="0" w:space="0" w:color="auto"/>
                    <w:left w:val="none" w:sz="0" w:space="0" w:color="auto"/>
                    <w:bottom w:val="none" w:sz="0" w:space="0" w:color="auto"/>
                    <w:right w:val="none" w:sz="0" w:space="0" w:color="auto"/>
                  </w:divBdr>
                  <w:divsChild>
                    <w:div w:id="2125340326">
                      <w:marLeft w:val="0"/>
                      <w:marRight w:val="0"/>
                      <w:marTop w:val="0"/>
                      <w:marBottom w:val="0"/>
                      <w:divBdr>
                        <w:top w:val="none" w:sz="0" w:space="0" w:color="auto"/>
                        <w:left w:val="none" w:sz="0" w:space="0" w:color="auto"/>
                        <w:bottom w:val="none" w:sz="0" w:space="0" w:color="auto"/>
                        <w:right w:val="none" w:sz="0" w:space="0" w:color="auto"/>
                      </w:divBdr>
                    </w:div>
                  </w:divsChild>
                </w:div>
                <w:div w:id="1589658278">
                  <w:marLeft w:val="0"/>
                  <w:marRight w:val="0"/>
                  <w:marTop w:val="0"/>
                  <w:marBottom w:val="0"/>
                  <w:divBdr>
                    <w:top w:val="none" w:sz="0" w:space="0" w:color="auto"/>
                    <w:left w:val="none" w:sz="0" w:space="0" w:color="auto"/>
                    <w:bottom w:val="none" w:sz="0" w:space="0" w:color="auto"/>
                    <w:right w:val="none" w:sz="0" w:space="0" w:color="auto"/>
                  </w:divBdr>
                  <w:divsChild>
                    <w:div w:id="1693724354">
                      <w:marLeft w:val="0"/>
                      <w:marRight w:val="0"/>
                      <w:marTop w:val="0"/>
                      <w:marBottom w:val="0"/>
                      <w:divBdr>
                        <w:top w:val="none" w:sz="0" w:space="0" w:color="auto"/>
                        <w:left w:val="none" w:sz="0" w:space="0" w:color="auto"/>
                        <w:bottom w:val="none" w:sz="0" w:space="0" w:color="auto"/>
                        <w:right w:val="none" w:sz="0" w:space="0" w:color="auto"/>
                      </w:divBdr>
                    </w:div>
                  </w:divsChild>
                </w:div>
                <w:div w:id="1602105908">
                  <w:marLeft w:val="0"/>
                  <w:marRight w:val="0"/>
                  <w:marTop w:val="0"/>
                  <w:marBottom w:val="0"/>
                  <w:divBdr>
                    <w:top w:val="none" w:sz="0" w:space="0" w:color="auto"/>
                    <w:left w:val="none" w:sz="0" w:space="0" w:color="auto"/>
                    <w:bottom w:val="none" w:sz="0" w:space="0" w:color="auto"/>
                    <w:right w:val="none" w:sz="0" w:space="0" w:color="auto"/>
                  </w:divBdr>
                  <w:divsChild>
                    <w:div w:id="1224676863">
                      <w:marLeft w:val="0"/>
                      <w:marRight w:val="0"/>
                      <w:marTop w:val="0"/>
                      <w:marBottom w:val="0"/>
                      <w:divBdr>
                        <w:top w:val="none" w:sz="0" w:space="0" w:color="auto"/>
                        <w:left w:val="none" w:sz="0" w:space="0" w:color="auto"/>
                        <w:bottom w:val="none" w:sz="0" w:space="0" w:color="auto"/>
                        <w:right w:val="none" w:sz="0" w:space="0" w:color="auto"/>
                      </w:divBdr>
                    </w:div>
                  </w:divsChild>
                </w:div>
                <w:div w:id="1638026316">
                  <w:marLeft w:val="0"/>
                  <w:marRight w:val="0"/>
                  <w:marTop w:val="0"/>
                  <w:marBottom w:val="0"/>
                  <w:divBdr>
                    <w:top w:val="none" w:sz="0" w:space="0" w:color="auto"/>
                    <w:left w:val="none" w:sz="0" w:space="0" w:color="auto"/>
                    <w:bottom w:val="none" w:sz="0" w:space="0" w:color="auto"/>
                    <w:right w:val="none" w:sz="0" w:space="0" w:color="auto"/>
                  </w:divBdr>
                  <w:divsChild>
                    <w:div w:id="792789598">
                      <w:marLeft w:val="0"/>
                      <w:marRight w:val="0"/>
                      <w:marTop w:val="0"/>
                      <w:marBottom w:val="0"/>
                      <w:divBdr>
                        <w:top w:val="none" w:sz="0" w:space="0" w:color="auto"/>
                        <w:left w:val="none" w:sz="0" w:space="0" w:color="auto"/>
                        <w:bottom w:val="none" w:sz="0" w:space="0" w:color="auto"/>
                        <w:right w:val="none" w:sz="0" w:space="0" w:color="auto"/>
                      </w:divBdr>
                    </w:div>
                  </w:divsChild>
                </w:div>
                <w:div w:id="1649943298">
                  <w:marLeft w:val="0"/>
                  <w:marRight w:val="0"/>
                  <w:marTop w:val="0"/>
                  <w:marBottom w:val="0"/>
                  <w:divBdr>
                    <w:top w:val="none" w:sz="0" w:space="0" w:color="auto"/>
                    <w:left w:val="none" w:sz="0" w:space="0" w:color="auto"/>
                    <w:bottom w:val="none" w:sz="0" w:space="0" w:color="auto"/>
                    <w:right w:val="none" w:sz="0" w:space="0" w:color="auto"/>
                  </w:divBdr>
                  <w:divsChild>
                    <w:div w:id="1790077688">
                      <w:marLeft w:val="0"/>
                      <w:marRight w:val="0"/>
                      <w:marTop w:val="0"/>
                      <w:marBottom w:val="0"/>
                      <w:divBdr>
                        <w:top w:val="none" w:sz="0" w:space="0" w:color="auto"/>
                        <w:left w:val="none" w:sz="0" w:space="0" w:color="auto"/>
                        <w:bottom w:val="none" w:sz="0" w:space="0" w:color="auto"/>
                        <w:right w:val="none" w:sz="0" w:space="0" w:color="auto"/>
                      </w:divBdr>
                    </w:div>
                  </w:divsChild>
                </w:div>
                <w:div w:id="1670256878">
                  <w:marLeft w:val="0"/>
                  <w:marRight w:val="0"/>
                  <w:marTop w:val="0"/>
                  <w:marBottom w:val="0"/>
                  <w:divBdr>
                    <w:top w:val="none" w:sz="0" w:space="0" w:color="auto"/>
                    <w:left w:val="none" w:sz="0" w:space="0" w:color="auto"/>
                    <w:bottom w:val="none" w:sz="0" w:space="0" w:color="auto"/>
                    <w:right w:val="none" w:sz="0" w:space="0" w:color="auto"/>
                  </w:divBdr>
                  <w:divsChild>
                    <w:div w:id="841746255">
                      <w:marLeft w:val="0"/>
                      <w:marRight w:val="0"/>
                      <w:marTop w:val="0"/>
                      <w:marBottom w:val="0"/>
                      <w:divBdr>
                        <w:top w:val="none" w:sz="0" w:space="0" w:color="auto"/>
                        <w:left w:val="none" w:sz="0" w:space="0" w:color="auto"/>
                        <w:bottom w:val="none" w:sz="0" w:space="0" w:color="auto"/>
                        <w:right w:val="none" w:sz="0" w:space="0" w:color="auto"/>
                      </w:divBdr>
                    </w:div>
                  </w:divsChild>
                </w:div>
                <w:div w:id="1671905122">
                  <w:marLeft w:val="0"/>
                  <w:marRight w:val="0"/>
                  <w:marTop w:val="0"/>
                  <w:marBottom w:val="0"/>
                  <w:divBdr>
                    <w:top w:val="none" w:sz="0" w:space="0" w:color="auto"/>
                    <w:left w:val="none" w:sz="0" w:space="0" w:color="auto"/>
                    <w:bottom w:val="none" w:sz="0" w:space="0" w:color="auto"/>
                    <w:right w:val="none" w:sz="0" w:space="0" w:color="auto"/>
                  </w:divBdr>
                  <w:divsChild>
                    <w:div w:id="77364679">
                      <w:marLeft w:val="0"/>
                      <w:marRight w:val="0"/>
                      <w:marTop w:val="0"/>
                      <w:marBottom w:val="0"/>
                      <w:divBdr>
                        <w:top w:val="none" w:sz="0" w:space="0" w:color="auto"/>
                        <w:left w:val="none" w:sz="0" w:space="0" w:color="auto"/>
                        <w:bottom w:val="none" w:sz="0" w:space="0" w:color="auto"/>
                        <w:right w:val="none" w:sz="0" w:space="0" w:color="auto"/>
                      </w:divBdr>
                    </w:div>
                  </w:divsChild>
                </w:div>
                <w:div w:id="1688293694">
                  <w:marLeft w:val="0"/>
                  <w:marRight w:val="0"/>
                  <w:marTop w:val="0"/>
                  <w:marBottom w:val="0"/>
                  <w:divBdr>
                    <w:top w:val="none" w:sz="0" w:space="0" w:color="auto"/>
                    <w:left w:val="none" w:sz="0" w:space="0" w:color="auto"/>
                    <w:bottom w:val="none" w:sz="0" w:space="0" w:color="auto"/>
                    <w:right w:val="none" w:sz="0" w:space="0" w:color="auto"/>
                  </w:divBdr>
                  <w:divsChild>
                    <w:div w:id="570232629">
                      <w:marLeft w:val="0"/>
                      <w:marRight w:val="0"/>
                      <w:marTop w:val="0"/>
                      <w:marBottom w:val="0"/>
                      <w:divBdr>
                        <w:top w:val="none" w:sz="0" w:space="0" w:color="auto"/>
                        <w:left w:val="none" w:sz="0" w:space="0" w:color="auto"/>
                        <w:bottom w:val="none" w:sz="0" w:space="0" w:color="auto"/>
                        <w:right w:val="none" w:sz="0" w:space="0" w:color="auto"/>
                      </w:divBdr>
                    </w:div>
                  </w:divsChild>
                </w:div>
                <w:div w:id="1699156805">
                  <w:marLeft w:val="0"/>
                  <w:marRight w:val="0"/>
                  <w:marTop w:val="0"/>
                  <w:marBottom w:val="0"/>
                  <w:divBdr>
                    <w:top w:val="none" w:sz="0" w:space="0" w:color="auto"/>
                    <w:left w:val="none" w:sz="0" w:space="0" w:color="auto"/>
                    <w:bottom w:val="none" w:sz="0" w:space="0" w:color="auto"/>
                    <w:right w:val="none" w:sz="0" w:space="0" w:color="auto"/>
                  </w:divBdr>
                  <w:divsChild>
                    <w:div w:id="1894809465">
                      <w:marLeft w:val="0"/>
                      <w:marRight w:val="0"/>
                      <w:marTop w:val="0"/>
                      <w:marBottom w:val="0"/>
                      <w:divBdr>
                        <w:top w:val="none" w:sz="0" w:space="0" w:color="auto"/>
                        <w:left w:val="none" w:sz="0" w:space="0" w:color="auto"/>
                        <w:bottom w:val="none" w:sz="0" w:space="0" w:color="auto"/>
                        <w:right w:val="none" w:sz="0" w:space="0" w:color="auto"/>
                      </w:divBdr>
                    </w:div>
                  </w:divsChild>
                </w:div>
                <w:div w:id="1723753059">
                  <w:marLeft w:val="0"/>
                  <w:marRight w:val="0"/>
                  <w:marTop w:val="0"/>
                  <w:marBottom w:val="0"/>
                  <w:divBdr>
                    <w:top w:val="none" w:sz="0" w:space="0" w:color="auto"/>
                    <w:left w:val="none" w:sz="0" w:space="0" w:color="auto"/>
                    <w:bottom w:val="none" w:sz="0" w:space="0" w:color="auto"/>
                    <w:right w:val="none" w:sz="0" w:space="0" w:color="auto"/>
                  </w:divBdr>
                  <w:divsChild>
                    <w:div w:id="1285233068">
                      <w:marLeft w:val="0"/>
                      <w:marRight w:val="0"/>
                      <w:marTop w:val="0"/>
                      <w:marBottom w:val="0"/>
                      <w:divBdr>
                        <w:top w:val="none" w:sz="0" w:space="0" w:color="auto"/>
                        <w:left w:val="none" w:sz="0" w:space="0" w:color="auto"/>
                        <w:bottom w:val="none" w:sz="0" w:space="0" w:color="auto"/>
                        <w:right w:val="none" w:sz="0" w:space="0" w:color="auto"/>
                      </w:divBdr>
                    </w:div>
                  </w:divsChild>
                </w:div>
                <w:div w:id="1752509062">
                  <w:marLeft w:val="0"/>
                  <w:marRight w:val="0"/>
                  <w:marTop w:val="0"/>
                  <w:marBottom w:val="0"/>
                  <w:divBdr>
                    <w:top w:val="none" w:sz="0" w:space="0" w:color="auto"/>
                    <w:left w:val="none" w:sz="0" w:space="0" w:color="auto"/>
                    <w:bottom w:val="none" w:sz="0" w:space="0" w:color="auto"/>
                    <w:right w:val="none" w:sz="0" w:space="0" w:color="auto"/>
                  </w:divBdr>
                  <w:divsChild>
                    <w:div w:id="1106314083">
                      <w:marLeft w:val="0"/>
                      <w:marRight w:val="0"/>
                      <w:marTop w:val="0"/>
                      <w:marBottom w:val="0"/>
                      <w:divBdr>
                        <w:top w:val="none" w:sz="0" w:space="0" w:color="auto"/>
                        <w:left w:val="none" w:sz="0" w:space="0" w:color="auto"/>
                        <w:bottom w:val="none" w:sz="0" w:space="0" w:color="auto"/>
                        <w:right w:val="none" w:sz="0" w:space="0" w:color="auto"/>
                      </w:divBdr>
                    </w:div>
                  </w:divsChild>
                </w:div>
                <w:div w:id="1821459194">
                  <w:marLeft w:val="0"/>
                  <w:marRight w:val="0"/>
                  <w:marTop w:val="0"/>
                  <w:marBottom w:val="0"/>
                  <w:divBdr>
                    <w:top w:val="none" w:sz="0" w:space="0" w:color="auto"/>
                    <w:left w:val="none" w:sz="0" w:space="0" w:color="auto"/>
                    <w:bottom w:val="none" w:sz="0" w:space="0" w:color="auto"/>
                    <w:right w:val="none" w:sz="0" w:space="0" w:color="auto"/>
                  </w:divBdr>
                  <w:divsChild>
                    <w:div w:id="1767768931">
                      <w:marLeft w:val="0"/>
                      <w:marRight w:val="0"/>
                      <w:marTop w:val="0"/>
                      <w:marBottom w:val="0"/>
                      <w:divBdr>
                        <w:top w:val="none" w:sz="0" w:space="0" w:color="auto"/>
                        <w:left w:val="none" w:sz="0" w:space="0" w:color="auto"/>
                        <w:bottom w:val="none" w:sz="0" w:space="0" w:color="auto"/>
                        <w:right w:val="none" w:sz="0" w:space="0" w:color="auto"/>
                      </w:divBdr>
                    </w:div>
                  </w:divsChild>
                </w:div>
                <w:div w:id="1853106874">
                  <w:marLeft w:val="0"/>
                  <w:marRight w:val="0"/>
                  <w:marTop w:val="0"/>
                  <w:marBottom w:val="0"/>
                  <w:divBdr>
                    <w:top w:val="none" w:sz="0" w:space="0" w:color="auto"/>
                    <w:left w:val="none" w:sz="0" w:space="0" w:color="auto"/>
                    <w:bottom w:val="none" w:sz="0" w:space="0" w:color="auto"/>
                    <w:right w:val="none" w:sz="0" w:space="0" w:color="auto"/>
                  </w:divBdr>
                  <w:divsChild>
                    <w:div w:id="1367488035">
                      <w:marLeft w:val="0"/>
                      <w:marRight w:val="0"/>
                      <w:marTop w:val="0"/>
                      <w:marBottom w:val="0"/>
                      <w:divBdr>
                        <w:top w:val="none" w:sz="0" w:space="0" w:color="auto"/>
                        <w:left w:val="none" w:sz="0" w:space="0" w:color="auto"/>
                        <w:bottom w:val="none" w:sz="0" w:space="0" w:color="auto"/>
                        <w:right w:val="none" w:sz="0" w:space="0" w:color="auto"/>
                      </w:divBdr>
                    </w:div>
                  </w:divsChild>
                </w:div>
                <w:div w:id="1855605110">
                  <w:marLeft w:val="0"/>
                  <w:marRight w:val="0"/>
                  <w:marTop w:val="0"/>
                  <w:marBottom w:val="0"/>
                  <w:divBdr>
                    <w:top w:val="none" w:sz="0" w:space="0" w:color="auto"/>
                    <w:left w:val="none" w:sz="0" w:space="0" w:color="auto"/>
                    <w:bottom w:val="none" w:sz="0" w:space="0" w:color="auto"/>
                    <w:right w:val="none" w:sz="0" w:space="0" w:color="auto"/>
                  </w:divBdr>
                  <w:divsChild>
                    <w:div w:id="1029798626">
                      <w:marLeft w:val="0"/>
                      <w:marRight w:val="0"/>
                      <w:marTop w:val="0"/>
                      <w:marBottom w:val="0"/>
                      <w:divBdr>
                        <w:top w:val="none" w:sz="0" w:space="0" w:color="auto"/>
                        <w:left w:val="none" w:sz="0" w:space="0" w:color="auto"/>
                        <w:bottom w:val="none" w:sz="0" w:space="0" w:color="auto"/>
                        <w:right w:val="none" w:sz="0" w:space="0" w:color="auto"/>
                      </w:divBdr>
                    </w:div>
                  </w:divsChild>
                </w:div>
                <w:div w:id="1874883090">
                  <w:marLeft w:val="0"/>
                  <w:marRight w:val="0"/>
                  <w:marTop w:val="0"/>
                  <w:marBottom w:val="0"/>
                  <w:divBdr>
                    <w:top w:val="none" w:sz="0" w:space="0" w:color="auto"/>
                    <w:left w:val="none" w:sz="0" w:space="0" w:color="auto"/>
                    <w:bottom w:val="none" w:sz="0" w:space="0" w:color="auto"/>
                    <w:right w:val="none" w:sz="0" w:space="0" w:color="auto"/>
                  </w:divBdr>
                  <w:divsChild>
                    <w:div w:id="583105351">
                      <w:marLeft w:val="0"/>
                      <w:marRight w:val="0"/>
                      <w:marTop w:val="0"/>
                      <w:marBottom w:val="0"/>
                      <w:divBdr>
                        <w:top w:val="none" w:sz="0" w:space="0" w:color="auto"/>
                        <w:left w:val="none" w:sz="0" w:space="0" w:color="auto"/>
                        <w:bottom w:val="none" w:sz="0" w:space="0" w:color="auto"/>
                        <w:right w:val="none" w:sz="0" w:space="0" w:color="auto"/>
                      </w:divBdr>
                    </w:div>
                  </w:divsChild>
                </w:div>
                <w:div w:id="1899708048">
                  <w:marLeft w:val="0"/>
                  <w:marRight w:val="0"/>
                  <w:marTop w:val="0"/>
                  <w:marBottom w:val="0"/>
                  <w:divBdr>
                    <w:top w:val="none" w:sz="0" w:space="0" w:color="auto"/>
                    <w:left w:val="none" w:sz="0" w:space="0" w:color="auto"/>
                    <w:bottom w:val="none" w:sz="0" w:space="0" w:color="auto"/>
                    <w:right w:val="none" w:sz="0" w:space="0" w:color="auto"/>
                  </w:divBdr>
                  <w:divsChild>
                    <w:div w:id="1757360551">
                      <w:marLeft w:val="0"/>
                      <w:marRight w:val="0"/>
                      <w:marTop w:val="0"/>
                      <w:marBottom w:val="0"/>
                      <w:divBdr>
                        <w:top w:val="none" w:sz="0" w:space="0" w:color="auto"/>
                        <w:left w:val="none" w:sz="0" w:space="0" w:color="auto"/>
                        <w:bottom w:val="none" w:sz="0" w:space="0" w:color="auto"/>
                        <w:right w:val="none" w:sz="0" w:space="0" w:color="auto"/>
                      </w:divBdr>
                    </w:div>
                  </w:divsChild>
                </w:div>
                <w:div w:id="1920476274">
                  <w:marLeft w:val="0"/>
                  <w:marRight w:val="0"/>
                  <w:marTop w:val="0"/>
                  <w:marBottom w:val="0"/>
                  <w:divBdr>
                    <w:top w:val="none" w:sz="0" w:space="0" w:color="auto"/>
                    <w:left w:val="none" w:sz="0" w:space="0" w:color="auto"/>
                    <w:bottom w:val="none" w:sz="0" w:space="0" w:color="auto"/>
                    <w:right w:val="none" w:sz="0" w:space="0" w:color="auto"/>
                  </w:divBdr>
                  <w:divsChild>
                    <w:div w:id="1460756396">
                      <w:marLeft w:val="0"/>
                      <w:marRight w:val="0"/>
                      <w:marTop w:val="0"/>
                      <w:marBottom w:val="0"/>
                      <w:divBdr>
                        <w:top w:val="none" w:sz="0" w:space="0" w:color="auto"/>
                        <w:left w:val="none" w:sz="0" w:space="0" w:color="auto"/>
                        <w:bottom w:val="none" w:sz="0" w:space="0" w:color="auto"/>
                        <w:right w:val="none" w:sz="0" w:space="0" w:color="auto"/>
                      </w:divBdr>
                    </w:div>
                  </w:divsChild>
                </w:div>
                <w:div w:id="1921595320">
                  <w:marLeft w:val="0"/>
                  <w:marRight w:val="0"/>
                  <w:marTop w:val="0"/>
                  <w:marBottom w:val="0"/>
                  <w:divBdr>
                    <w:top w:val="none" w:sz="0" w:space="0" w:color="auto"/>
                    <w:left w:val="none" w:sz="0" w:space="0" w:color="auto"/>
                    <w:bottom w:val="none" w:sz="0" w:space="0" w:color="auto"/>
                    <w:right w:val="none" w:sz="0" w:space="0" w:color="auto"/>
                  </w:divBdr>
                  <w:divsChild>
                    <w:div w:id="614948326">
                      <w:marLeft w:val="0"/>
                      <w:marRight w:val="0"/>
                      <w:marTop w:val="0"/>
                      <w:marBottom w:val="0"/>
                      <w:divBdr>
                        <w:top w:val="none" w:sz="0" w:space="0" w:color="auto"/>
                        <w:left w:val="none" w:sz="0" w:space="0" w:color="auto"/>
                        <w:bottom w:val="none" w:sz="0" w:space="0" w:color="auto"/>
                        <w:right w:val="none" w:sz="0" w:space="0" w:color="auto"/>
                      </w:divBdr>
                    </w:div>
                  </w:divsChild>
                </w:div>
                <w:div w:id="1959407231">
                  <w:marLeft w:val="0"/>
                  <w:marRight w:val="0"/>
                  <w:marTop w:val="0"/>
                  <w:marBottom w:val="0"/>
                  <w:divBdr>
                    <w:top w:val="none" w:sz="0" w:space="0" w:color="auto"/>
                    <w:left w:val="none" w:sz="0" w:space="0" w:color="auto"/>
                    <w:bottom w:val="none" w:sz="0" w:space="0" w:color="auto"/>
                    <w:right w:val="none" w:sz="0" w:space="0" w:color="auto"/>
                  </w:divBdr>
                  <w:divsChild>
                    <w:div w:id="1927300761">
                      <w:marLeft w:val="0"/>
                      <w:marRight w:val="0"/>
                      <w:marTop w:val="0"/>
                      <w:marBottom w:val="0"/>
                      <w:divBdr>
                        <w:top w:val="none" w:sz="0" w:space="0" w:color="auto"/>
                        <w:left w:val="none" w:sz="0" w:space="0" w:color="auto"/>
                        <w:bottom w:val="none" w:sz="0" w:space="0" w:color="auto"/>
                        <w:right w:val="none" w:sz="0" w:space="0" w:color="auto"/>
                      </w:divBdr>
                    </w:div>
                  </w:divsChild>
                </w:div>
                <w:div w:id="1994992591">
                  <w:marLeft w:val="0"/>
                  <w:marRight w:val="0"/>
                  <w:marTop w:val="0"/>
                  <w:marBottom w:val="0"/>
                  <w:divBdr>
                    <w:top w:val="none" w:sz="0" w:space="0" w:color="auto"/>
                    <w:left w:val="none" w:sz="0" w:space="0" w:color="auto"/>
                    <w:bottom w:val="none" w:sz="0" w:space="0" w:color="auto"/>
                    <w:right w:val="none" w:sz="0" w:space="0" w:color="auto"/>
                  </w:divBdr>
                  <w:divsChild>
                    <w:div w:id="717318081">
                      <w:marLeft w:val="0"/>
                      <w:marRight w:val="0"/>
                      <w:marTop w:val="0"/>
                      <w:marBottom w:val="0"/>
                      <w:divBdr>
                        <w:top w:val="none" w:sz="0" w:space="0" w:color="auto"/>
                        <w:left w:val="none" w:sz="0" w:space="0" w:color="auto"/>
                        <w:bottom w:val="none" w:sz="0" w:space="0" w:color="auto"/>
                        <w:right w:val="none" w:sz="0" w:space="0" w:color="auto"/>
                      </w:divBdr>
                    </w:div>
                  </w:divsChild>
                </w:div>
                <w:div w:id="1996639366">
                  <w:marLeft w:val="0"/>
                  <w:marRight w:val="0"/>
                  <w:marTop w:val="0"/>
                  <w:marBottom w:val="0"/>
                  <w:divBdr>
                    <w:top w:val="none" w:sz="0" w:space="0" w:color="auto"/>
                    <w:left w:val="none" w:sz="0" w:space="0" w:color="auto"/>
                    <w:bottom w:val="none" w:sz="0" w:space="0" w:color="auto"/>
                    <w:right w:val="none" w:sz="0" w:space="0" w:color="auto"/>
                  </w:divBdr>
                  <w:divsChild>
                    <w:div w:id="2008751486">
                      <w:marLeft w:val="0"/>
                      <w:marRight w:val="0"/>
                      <w:marTop w:val="0"/>
                      <w:marBottom w:val="0"/>
                      <w:divBdr>
                        <w:top w:val="none" w:sz="0" w:space="0" w:color="auto"/>
                        <w:left w:val="none" w:sz="0" w:space="0" w:color="auto"/>
                        <w:bottom w:val="none" w:sz="0" w:space="0" w:color="auto"/>
                        <w:right w:val="none" w:sz="0" w:space="0" w:color="auto"/>
                      </w:divBdr>
                    </w:div>
                  </w:divsChild>
                </w:div>
                <w:div w:id="2020697615">
                  <w:marLeft w:val="0"/>
                  <w:marRight w:val="0"/>
                  <w:marTop w:val="0"/>
                  <w:marBottom w:val="0"/>
                  <w:divBdr>
                    <w:top w:val="none" w:sz="0" w:space="0" w:color="auto"/>
                    <w:left w:val="none" w:sz="0" w:space="0" w:color="auto"/>
                    <w:bottom w:val="none" w:sz="0" w:space="0" w:color="auto"/>
                    <w:right w:val="none" w:sz="0" w:space="0" w:color="auto"/>
                  </w:divBdr>
                  <w:divsChild>
                    <w:div w:id="959456398">
                      <w:marLeft w:val="0"/>
                      <w:marRight w:val="0"/>
                      <w:marTop w:val="0"/>
                      <w:marBottom w:val="0"/>
                      <w:divBdr>
                        <w:top w:val="none" w:sz="0" w:space="0" w:color="auto"/>
                        <w:left w:val="none" w:sz="0" w:space="0" w:color="auto"/>
                        <w:bottom w:val="none" w:sz="0" w:space="0" w:color="auto"/>
                        <w:right w:val="none" w:sz="0" w:space="0" w:color="auto"/>
                      </w:divBdr>
                    </w:div>
                  </w:divsChild>
                </w:div>
                <w:div w:id="2070617085">
                  <w:marLeft w:val="0"/>
                  <w:marRight w:val="0"/>
                  <w:marTop w:val="0"/>
                  <w:marBottom w:val="0"/>
                  <w:divBdr>
                    <w:top w:val="none" w:sz="0" w:space="0" w:color="auto"/>
                    <w:left w:val="none" w:sz="0" w:space="0" w:color="auto"/>
                    <w:bottom w:val="none" w:sz="0" w:space="0" w:color="auto"/>
                    <w:right w:val="none" w:sz="0" w:space="0" w:color="auto"/>
                  </w:divBdr>
                  <w:divsChild>
                    <w:div w:id="767651310">
                      <w:marLeft w:val="0"/>
                      <w:marRight w:val="0"/>
                      <w:marTop w:val="0"/>
                      <w:marBottom w:val="0"/>
                      <w:divBdr>
                        <w:top w:val="none" w:sz="0" w:space="0" w:color="auto"/>
                        <w:left w:val="none" w:sz="0" w:space="0" w:color="auto"/>
                        <w:bottom w:val="none" w:sz="0" w:space="0" w:color="auto"/>
                        <w:right w:val="none" w:sz="0" w:space="0" w:color="auto"/>
                      </w:divBdr>
                    </w:div>
                  </w:divsChild>
                </w:div>
                <w:div w:id="2117600909">
                  <w:marLeft w:val="0"/>
                  <w:marRight w:val="0"/>
                  <w:marTop w:val="0"/>
                  <w:marBottom w:val="0"/>
                  <w:divBdr>
                    <w:top w:val="none" w:sz="0" w:space="0" w:color="auto"/>
                    <w:left w:val="none" w:sz="0" w:space="0" w:color="auto"/>
                    <w:bottom w:val="none" w:sz="0" w:space="0" w:color="auto"/>
                    <w:right w:val="none" w:sz="0" w:space="0" w:color="auto"/>
                  </w:divBdr>
                  <w:divsChild>
                    <w:div w:id="2058236321">
                      <w:marLeft w:val="0"/>
                      <w:marRight w:val="0"/>
                      <w:marTop w:val="0"/>
                      <w:marBottom w:val="0"/>
                      <w:divBdr>
                        <w:top w:val="none" w:sz="0" w:space="0" w:color="auto"/>
                        <w:left w:val="none" w:sz="0" w:space="0" w:color="auto"/>
                        <w:bottom w:val="none" w:sz="0" w:space="0" w:color="auto"/>
                        <w:right w:val="none" w:sz="0" w:space="0" w:color="auto"/>
                      </w:divBdr>
                    </w:div>
                  </w:divsChild>
                </w:div>
                <w:div w:id="2128307279">
                  <w:marLeft w:val="0"/>
                  <w:marRight w:val="0"/>
                  <w:marTop w:val="0"/>
                  <w:marBottom w:val="0"/>
                  <w:divBdr>
                    <w:top w:val="none" w:sz="0" w:space="0" w:color="auto"/>
                    <w:left w:val="none" w:sz="0" w:space="0" w:color="auto"/>
                    <w:bottom w:val="none" w:sz="0" w:space="0" w:color="auto"/>
                    <w:right w:val="none" w:sz="0" w:space="0" w:color="auto"/>
                  </w:divBdr>
                  <w:divsChild>
                    <w:div w:id="15522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627">
          <w:marLeft w:val="0"/>
          <w:marRight w:val="0"/>
          <w:marTop w:val="0"/>
          <w:marBottom w:val="0"/>
          <w:divBdr>
            <w:top w:val="none" w:sz="0" w:space="0" w:color="auto"/>
            <w:left w:val="none" w:sz="0" w:space="0" w:color="auto"/>
            <w:bottom w:val="none" w:sz="0" w:space="0" w:color="auto"/>
            <w:right w:val="none" w:sz="0" w:space="0" w:color="auto"/>
          </w:divBdr>
        </w:div>
        <w:div w:id="1724675671">
          <w:marLeft w:val="0"/>
          <w:marRight w:val="0"/>
          <w:marTop w:val="0"/>
          <w:marBottom w:val="0"/>
          <w:divBdr>
            <w:top w:val="none" w:sz="0" w:space="0" w:color="auto"/>
            <w:left w:val="none" w:sz="0" w:space="0" w:color="auto"/>
            <w:bottom w:val="none" w:sz="0" w:space="0" w:color="auto"/>
            <w:right w:val="none" w:sz="0" w:space="0" w:color="auto"/>
          </w:divBdr>
        </w:div>
      </w:divsChild>
    </w:div>
    <w:div w:id="1974477064">
      <w:bodyDiv w:val="1"/>
      <w:marLeft w:val="0"/>
      <w:marRight w:val="0"/>
      <w:marTop w:val="0"/>
      <w:marBottom w:val="0"/>
      <w:divBdr>
        <w:top w:val="none" w:sz="0" w:space="0" w:color="auto"/>
        <w:left w:val="none" w:sz="0" w:space="0" w:color="auto"/>
        <w:bottom w:val="none" w:sz="0" w:space="0" w:color="auto"/>
        <w:right w:val="none" w:sz="0" w:space="0" w:color="auto"/>
      </w:divBdr>
      <w:divsChild>
        <w:div w:id="88161503">
          <w:marLeft w:val="0"/>
          <w:marRight w:val="0"/>
          <w:marTop w:val="0"/>
          <w:marBottom w:val="0"/>
          <w:divBdr>
            <w:top w:val="none" w:sz="0" w:space="0" w:color="auto"/>
            <w:left w:val="none" w:sz="0" w:space="0" w:color="auto"/>
            <w:bottom w:val="none" w:sz="0" w:space="0" w:color="auto"/>
            <w:right w:val="none" w:sz="0" w:space="0" w:color="auto"/>
          </w:divBdr>
        </w:div>
        <w:div w:id="420108370">
          <w:marLeft w:val="0"/>
          <w:marRight w:val="0"/>
          <w:marTop w:val="0"/>
          <w:marBottom w:val="0"/>
          <w:divBdr>
            <w:top w:val="none" w:sz="0" w:space="0" w:color="auto"/>
            <w:left w:val="none" w:sz="0" w:space="0" w:color="auto"/>
            <w:bottom w:val="none" w:sz="0" w:space="0" w:color="auto"/>
            <w:right w:val="none" w:sz="0" w:space="0" w:color="auto"/>
          </w:divBdr>
        </w:div>
        <w:div w:id="451095141">
          <w:marLeft w:val="0"/>
          <w:marRight w:val="0"/>
          <w:marTop w:val="0"/>
          <w:marBottom w:val="0"/>
          <w:divBdr>
            <w:top w:val="none" w:sz="0" w:space="0" w:color="auto"/>
            <w:left w:val="none" w:sz="0" w:space="0" w:color="auto"/>
            <w:bottom w:val="none" w:sz="0" w:space="0" w:color="auto"/>
            <w:right w:val="none" w:sz="0" w:space="0" w:color="auto"/>
          </w:divBdr>
        </w:div>
        <w:div w:id="820342138">
          <w:marLeft w:val="0"/>
          <w:marRight w:val="0"/>
          <w:marTop w:val="0"/>
          <w:marBottom w:val="0"/>
          <w:divBdr>
            <w:top w:val="none" w:sz="0" w:space="0" w:color="auto"/>
            <w:left w:val="none" w:sz="0" w:space="0" w:color="auto"/>
            <w:bottom w:val="none" w:sz="0" w:space="0" w:color="auto"/>
            <w:right w:val="none" w:sz="0" w:space="0" w:color="auto"/>
          </w:divBdr>
        </w:div>
        <w:div w:id="1373142936">
          <w:marLeft w:val="0"/>
          <w:marRight w:val="0"/>
          <w:marTop w:val="0"/>
          <w:marBottom w:val="0"/>
          <w:divBdr>
            <w:top w:val="none" w:sz="0" w:space="0" w:color="auto"/>
            <w:left w:val="none" w:sz="0" w:space="0" w:color="auto"/>
            <w:bottom w:val="none" w:sz="0" w:space="0" w:color="auto"/>
            <w:right w:val="none" w:sz="0" w:space="0" w:color="auto"/>
          </w:divBdr>
        </w:div>
        <w:div w:id="2031905691">
          <w:marLeft w:val="0"/>
          <w:marRight w:val="0"/>
          <w:marTop w:val="0"/>
          <w:marBottom w:val="0"/>
          <w:divBdr>
            <w:top w:val="none" w:sz="0" w:space="0" w:color="auto"/>
            <w:left w:val="none" w:sz="0" w:space="0" w:color="auto"/>
            <w:bottom w:val="none" w:sz="0" w:space="0" w:color="auto"/>
            <w:right w:val="none" w:sz="0" w:space="0" w:color="auto"/>
          </w:divBdr>
        </w:div>
      </w:divsChild>
    </w:div>
    <w:div w:id="2014452213">
      <w:bodyDiv w:val="1"/>
      <w:marLeft w:val="0"/>
      <w:marRight w:val="0"/>
      <w:marTop w:val="0"/>
      <w:marBottom w:val="0"/>
      <w:divBdr>
        <w:top w:val="none" w:sz="0" w:space="0" w:color="auto"/>
        <w:left w:val="none" w:sz="0" w:space="0" w:color="auto"/>
        <w:bottom w:val="none" w:sz="0" w:space="0" w:color="auto"/>
        <w:right w:val="none" w:sz="0" w:space="0" w:color="auto"/>
      </w:divBdr>
    </w:div>
    <w:div w:id="2020157066">
      <w:bodyDiv w:val="1"/>
      <w:marLeft w:val="0"/>
      <w:marRight w:val="0"/>
      <w:marTop w:val="0"/>
      <w:marBottom w:val="0"/>
      <w:divBdr>
        <w:top w:val="none" w:sz="0" w:space="0" w:color="auto"/>
        <w:left w:val="none" w:sz="0" w:space="0" w:color="auto"/>
        <w:bottom w:val="none" w:sz="0" w:space="0" w:color="auto"/>
        <w:right w:val="none" w:sz="0" w:space="0" w:color="auto"/>
      </w:divBdr>
      <w:divsChild>
        <w:div w:id="830876021">
          <w:marLeft w:val="0"/>
          <w:marRight w:val="0"/>
          <w:marTop w:val="0"/>
          <w:marBottom w:val="0"/>
          <w:divBdr>
            <w:top w:val="none" w:sz="0" w:space="0" w:color="auto"/>
            <w:left w:val="none" w:sz="0" w:space="0" w:color="auto"/>
            <w:bottom w:val="none" w:sz="0" w:space="0" w:color="auto"/>
            <w:right w:val="none" w:sz="0" w:space="0" w:color="auto"/>
          </w:divBdr>
        </w:div>
        <w:div w:id="903955282">
          <w:marLeft w:val="0"/>
          <w:marRight w:val="0"/>
          <w:marTop w:val="0"/>
          <w:marBottom w:val="0"/>
          <w:divBdr>
            <w:top w:val="none" w:sz="0" w:space="0" w:color="auto"/>
            <w:left w:val="none" w:sz="0" w:space="0" w:color="auto"/>
            <w:bottom w:val="none" w:sz="0" w:space="0" w:color="auto"/>
            <w:right w:val="none" w:sz="0" w:space="0" w:color="auto"/>
          </w:divBdr>
        </w:div>
      </w:divsChild>
    </w:div>
    <w:div w:id="2044817191">
      <w:bodyDiv w:val="1"/>
      <w:marLeft w:val="0"/>
      <w:marRight w:val="0"/>
      <w:marTop w:val="0"/>
      <w:marBottom w:val="0"/>
      <w:divBdr>
        <w:top w:val="none" w:sz="0" w:space="0" w:color="auto"/>
        <w:left w:val="none" w:sz="0" w:space="0" w:color="auto"/>
        <w:bottom w:val="none" w:sz="0" w:space="0" w:color="auto"/>
        <w:right w:val="none" w:sz="0" w:space="0" w:color="auto"/>
      </w:divBdr>
      <w:divsChild>
        <w:div w:id="303314819">
          <w:marLeft w:val="0"/>
          <w:marRight w:val="0"/>
          <w:marTop w:val="0"/>
          <w:marBottom w:val="0"/>
          <w:divBdr>
            <w:top w:val="none" w:sz="0" w:space="0" w:color="auto"/>
            <w:left w:val="none" w:sz="0" w:space="0" w:color="auto"/>
            <w:bottom w:val="none" w:sz="0" w:space="0" w:color="auto"/>
            <w:right w:val="none" w:sz="0" w:space="0" w:color="auto"/>
          </w:divBdr>
          <w:divsChild>
            <w:div w:id="2016960466">
              <w:marLeft w:val="0"/>
              <w:marRight w:val="0"/>
              <w:marTop w:val="0"/>
              <w:marBottom w:val="0"/>
              <w:divBdr>
                <w:top w:val="none" w:sz="0" w:space="0" w:color="auto"/>
                <w:left w:val="none" w:sz="0" w:space="0" w:color="auto"/>
                <w:bottom w:val="none" w:sz="0" w:space="0" w:color="auto"/>
                <w:right w:val="none" w:sz="0" w:space="0" w:color="auto"/>
              </w:divBdr>
            </w:div>
          </w:divsChild>
        </w:div>
        <w:div w:id="706487091">
          <w:marLeft w:val="0"/>
          <w:marRight w:val="0"/>
          <w:marTop w:val="0"/>
          <w:marBottom w:val="0"/>
          <w:divBdr>
            <w:top w:val="none" w:sz="0" w:space="0" w:color="auto"/>
            <w:left w:val="none" w:sz="0" w:space="0" w:color="auto"/>
            <w:bottom w:val="none" w:sz="0" w:space="0" w:color="auto"/>
            <w:right w:val="none" w:sz="0" w:space="0" w:color="auto"/>
          </w:divBdr>
          <w:divsChild>
            <w:div w:id="481780183">
              <w:marLeft w:val="0"/>
              <w:marRight w:val="0"/>
              <w:marTop w:val="0"/>
              <w:marBottom w:val="0"/>
              <w:divBdr>
                <w:top w:val="none" w:sz="0" w:space="0" w:color="auto"/>
                <w:left w:val="none" w:sz="0" w:space="0" w:color="auto"/>
                <w:bottom w:val="none" w:sz="0" w:space="0" w:color="auto"/>
                <w:right w:val="none" w:sz="0" w:space="0" w:color="auto"/>
              </w:divBdr>
            </w:div>
          </w:divsChild>
        </w:div>
        <w:div w:id="1206215265">
          <w:marLeft w:val="0"/>
          <w:marRight w:val="0"/>
          <w:marTop w:val="0"/>
          <w:marBottom w:val="0"/>
          <w:divBdr>
            <w:top w:val="none" w:sz="0" w:space="0" w:color="auto"/>
            <w:left w:val="none" w:sz="0" w:space="0" w:color="auto"/>
            <w:bottom w:val="none" w:sz="0" w:space="0" w:color="auto"/>
            <w:right w:val="none" w:sz="0" w:space="0" w:color="auto"/>
          </w:divBdr>
          <w:divsChild>
            <w:div w:id="2127963754">
              <w:marLeft w:val="0"/>
              <w:marRight w:val="0"/>
              <w:marTop w:val="0"/>
              <w:marBottom w:val="0"/>
              <w:divBdr>
                <w:top w:val="none" w:sz="0" w:space="0" w:color="auto"/>
                <w:left w:val="none" w:sz="0" w:space="0" w:color="auto"/>
                <w:bottom w:val="none" w:sz="0" w:space="0" w:color="auto"/>
                <w:right w:val="none" w:sz="0" w:space="0" w:color="auto"/>
              </w:divBdr>
            </w:div>
          </w:divsChild>
        </w:div>
        <w:div w:id="1332754342">
          <w:marLeft w:val="0"/>
          <w:marRight w:val="0"/>
          <w:marTop w:val="0"/>
          <w:marBottom w:val="0"/>
          <w:divBdr>
            <w:top w:val="none" w:sz="0" w:space="0" w:color="auto"/>
            <w:left w:val="none" w:sz="0" w:space="0" w:color="auto"/>
            <w:bottom w:val="none" w:sz="0" w:space="0" w:color="auto"/>
            <w:right w:val="none" w:sz="0" w:space="0" w:color="auto"/>
          </w:divBdr>
          <w:divsChild>
            <w:div w:id="1133056820">
              <w:marLeft w:val="0"/>
              <w:marRight w:val="0"/>
              <w:marTop w:val="0"/>
              <w:marBottom w:val="0"/>
              <w:divBdr>
                <w:top w:val="none" w:sz="0" w:space="0" w:color="auto"/>
                <w:left w:val="none" w:sz="0" w:space="0" w:color="auto"/>
                <w:bottom w:val="none" w:sz="0" w:space="0" w:color="auto"/>
                <w:right w:val="none" w:sz="0" w:space="0" w:color="auto"/>
              </w:divBdr>
            </w:div>
          </w:divsChild>
        </w:div>
        <w:div w:id="1396203435">
          <w:marLeft w:val="0"/>
          <w:marRight w:val="0"/>
          <w:marTop w:val="0"/>
          <w:marBottom w:val="0"/>
          <w:divBdr>
            <w:top w:val="none" w:sz="0" w:space="0" w:color="auto"/>
            <w:left w:val="none" w:sz="0" w:space="0" w:color="auto"/>
            <w:bottom w:val="none" w:sz="0" w:space="0" w:color="auto"/>
            <w:right w:val="none" w:sz="0" w:space="0" w:color="auto"/>
          </w:divBdr>
          <w:divsChild>
            <w:div w:id="613097807">
              <w:marLeft w:val="0"/>
              <w:marRight w:val="0"/>
              <w:marTop w:val="0"/>
              <w:marBottom w:val="0"/>
              <w:divBdr>
                <w:top w:val="none" w:sz="0" w:space="0" w:color="auto"/>
                <w:left w:val="none" w:sz="0" w:space="0" w:color="auto"/>
                <w:bottom w:val="none" w:sz="0" w:space="0" w:color="auto"/>
                <w:right w:val="none" w:sz="0" w:space="0" w:color="auto"/>
              </w:divBdr>
            </w:div>
          </w:divsChild>
        </w:div>
        <w:div w:id="1410926275">
          <w:marLeft w:val="0"/>
          <w:marRight w:val="0"/>
          <w:marTop w:val="0"/>
          <w:marBottom w:val="0"/>
          <w:divBdr>
            <w:top w:val="none" w:sz="0" w:space="0" w:color="auto"/>
            <w:left w:val="none" w:sz="0" w:space="0" w:color="auto"/>
            <w:bottom w:val="none" w:sz="0" w:space="0" w:color="auto"/>
            <w:right w:val="none" w:sz="0" w:space="0" w:color="auto"/>
          </w:divBdr>
          <w:divsChild>
            <w:div w:id="847332996">
              <w:marLeft w:val="0"/>
              <w:marRight w:val="0"/>
              <w:marTop w:val="0"/>
              <w:marBottom w:val="0"/>
              <w:divBdr>
                <w:top w:val="none" w:sz="0" w:space="0" w:color="auto"/>
                <w:left w:val="none" w:sz="0" w:space="0" w:color="auto"/>
                <w:bottom w:val="none" w:sz="0" w:space="0" w:color="auto"/>
                <w:right w:val="none" w:sz="0" w:space="0" w:color="auto"/>
              </w:divBdr>
            </w:div>
            <w:div w:id="1716657459">
              <w:marLeft w:val="0"/>
              <w:marRight w:val="0"/>
              <w:marTop w:val="0"/>
              <w:marBottom w:val="0"/>
              <w:divBdr>
                <w:top w:val="none" w:sz="0" w:space="0" w:color="auto"/>
                <w:left w:val="none" w:sz="0" w:space="0" w:color="auto"/>
                <w:bottom w:val="none" w:sz="0" w:space="0" w:color="auto"/>
                <w:right w:val="none" w:sz="0" w:space="0" w:color="auto"/>
              </w:divBdr>
            </w:div>
          </w:divsChild>
        </w:div>
        <w:div w:id="1983851266">
          <w:marLeft w:val="0"/>
          <w:marRight w:val="0"/>
          <w:marTop w:val="0"/>
          <w:marBottom w:val="0"/>
          <w:divBdr>
            <w:top w:val="none" w:sz="0" w:space="0" w:color="auto"/>
            <w:left w:val="none" w:sz="0" w:space="0" w:color="auto"/>
            <w:bottom w:val="none" w:sz="0" w:space="0" w:color="auto"/>
            <w:right w:val="none" w:sz="0" w:space="0" w:color="auto"/>
          </w:divBdr>
          <w:divsChild>
            <w:div w:id="1349406028">
              <w:marLeft w:val="0"/>
              <w:marRight w:val="0"/>
              <w:marTop w:val="0"/>
              <w:marBottom w:val="0"/>
              <w:divBdr>
                <w:top w:val="none" w:sz="0" w:space="0" w:color="auto"/>
                <w:left w:val="none" w:sz="0" w:space="0" w:color="auto"/>
                <w:bottom w:val="none" w:sz="0" w:space="0" w:color="auto"/>
                <w:right w:val="none" w:sz="0" w:space="0" w:color="auto"/>
              </w:divBdr>
            </w:div>
          </w:divsChild>
        </w:div>
        <w:div w:id="2029288581">
          <w:marLeft w:val="0"/>
          <w:marRight w:val="0"/>
          <w:marTop w:val="0"/>
          <w:marBottom w:val="0"/>
          <w:divBdr>
            <w:top w:val="none" w:sz="0" w:space="0" w:color="auto"/>
            <w:left w:val="none" w:sz="0" w:space="0" w:color="auto"/>
            <w:bottom w:val="none" w:sz="0" w:space="0" w:color="auto"/>
            <w:right w:val="none" w:sz="0" w:space="0" w:color="auto"/>
          </w:divBdr>
          <w:divsChild>
            <w:div w:id="18069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91494">
      <w:bodyDiv w:val="1"/>
      <w:marLeft w:val="0"/>
      <w:marRight w:val="0"/>
      <w:marTop w:val="0"/>
      <w:marBottom w:val="0"/>
      <w:divBdr>
        <w:top w:val="none" w:sz="0" w:space="0" w:color="auto"/>
        <w:left w:val="none" w:sz="0" w:space="0" w:color="auto"/>
        <w:bottom w:val="none" w:sz="0" w:space="0" w:color="auto"/>
        <w:right w:val="none" w:sz="0" w:space="0" w:color="auto"/>
      </w:divBdr>
      <w:divsChild>
        <w:div w:id="325212553">
          <w:marLeft w:val="0"/>
          <w:marRight w:val="0"/>
          <w:marTop w:val="0"/>
          <w:marBottom w:val="0"/>
          <w:divBdr>
            <w:top w:val="none" w:sz="0" w:space="0" w:color="auto"/>
            <w:left w:val="none" w:sz="0" w:space="0" w:color="auto"/>
            <w:bottom w:val="none" w:sz="0" w:space="0" w:color="auto"/>
            <w:right w:val="none" w:sz="0" w:space="0" w:color="auto"/>
          </w:divBdr>
        </w:div>
        <w:div w:id="873345768">
          <w:marLeft w:val="0"/>
          <w:marRight w:val="0"/>
          <w:marTop w:val="0"/>
          <w:marBottom w:val="0"/>
          <w:divBdr>
            <w:top w:val="none" w:sz="0" w:space="0" w:color="auto"/>
            <w:left w:val="none" w:sz="0" w:space="0" w:color="auto"/>
            <w:bottom w:val="none" w:sz="0" w:space="0" w:color="auto"/>
            <w:right w:val="none" w:sz="0" w:space="0" w:color="auto"/>
          </w:divBdr>
          <w:divsChild>
            <w:div w:id="624039802">
              <w:marLeft w:val="-75"/>
              <w:marRight w:val="0"/>
              <w:marTop w:val="30"/>
              <w:marBottom w:val="30"/>
              <w:divBdr>
                <w:top w:val="none" w:sz="0" w:space="0" w:color="auto"/>
                <w:left w:val="none" w:sz="0" w:space="0" w:color="auto"/>
                <w:bottom w:val="none" w:sz="0" w:space="0" w:color="auto"/>
                <w:right w:val="none" w:sz="0" w:space="0" w:color="auto"/>
              </w:divBdr>
              <w:divsChild>
                <w:div w:id="39287606">
                  <w:marLeft w:val="0"/>
                  <w:marRight w:val="0"/>
                  <w:marTop w:val="0"/>
                  <w:marBottom w:val="0"/>
                  <w:divBdr>
                    <w:top w:val="none" w:sz="0" w:space="0" w:color="auto"/>
                    <w:left w:val="none" w:sz="0" w:space="0" w:color="auto"/>
                    <w:bottom w:val="none" w:sz="0" w:space="0" w:color="auto"/>
                    <w:right w:val="none" w:sz="0" w:space="0" w:color="auto"/>
                  </w:divBdr>
                  <w:divsChild>
                    <w:div w:id="867177980">
                      <w:marLeft w:val="0"/>
                      <w:marRight w:val="0"/>
                      <w:marTop w:val="0"/>
                      <w:marBottom w:val="0"/>
                      <w:divBdr>
                        <w:top w:val="none" w:sz="0" w:space="0" w:color="auto"/>
                        <w:left w:val="none" w:sz="0" w:space="0" w:color="auto"/>
                        <w:bottom w:val="none" w:sz="0" w:space="0" w:color="auto"/>
                        <w:right w:val="none" w:sz="0" w:space="0" w:color="auto"/>
                      </w:divBdr>
                    </w:div>
                  </w:divsChild>
                </w:div>
                <w:div w:id="66268951">
                  <w:marLeft w:val="0"/>
                  <w:marRight w:val="0"/>
                  <w:marTop w:val="0"/>
                  <w:marBottom w:val="0"/>
                  <w:divBdr>
                    <w:top w:val="none" w:sz="0" w:space="0" w:color="auto"/>
                    <w:left w:val="none" w:sz="0" w:space="0" w:color="auto"/>
                    <w:bottom w:val="none" w:sz="0" w:space="0" w:color="auto"/>
                    <w:right w:val="none" w:sz="0" w:space="0" w:color="auto"/>
                  </w:divBdr>
                  <w:divsChild>
                    <w:div w:id="59448215">
                      <w:marLeft w:val="0"/>
                      <w:marRight w:val="0"/>
                      <w:marTop w:val="0"/>
                      <w:marBottom w:val="0"/>
                      <w:divBdr>
                        <w:top w:val="none" w:sz="0" w:space="0" w:color="auto"/>
                        <w:left w:val="none" w:sz="0" w:space="0" w:color="auto"/>
                        <w:bottom w:val="none" w:sz="0" w:space="0" w:color="auto"/>
                        <w:right w:val="none" w:sz="0" w:space="0" w:color="auto"/>
                      </w:divBdr>
                    </w:div>
                  </w:divsChild>
                </w:div>
                <w:div w:id="66273450">
                  <w:marLeft w:val="0"/>
                  <w:marRight w:val="0"/>
                  <w:marTop w:val="0"/>
                  <w:marBottom w:val="0"/>
                  <w:divBdr>
                    <w:top w:val="none" w:sz="0" w:space="0" w:color="auto"/>
                    <w:left w:val="none" w:sz="0" w:space="0" w:color="auto"/>
                    <w:bottom w:val="none" w:sz="0" w:space="0" w:color="auto"/>
                    <w:right w:val="none" w:sz="0" w:space="0" w:color="auto"/>
                  </w:divBdr>
                  <w:divsChild>
                    <w:div w:id="1228109929">
                      <w:marLeft w:val="0"/>
                      <w:marRight w:val="0"/>
                      <w:marTop w:val="0"/>
                      <w:marBottom w:val="0"/>
                      <w:divBdr>
                        <w:top w:val="none" w:sz="0" w:space="0" w:color="auto"/>
                        <w:left w:val="none" w:sz="0" w:space="0" w:color="auto"/>
                        <w:bottom w:val="none" w:sz="0" w:space="0" w:color="auto"/>
                        <w:right w:val="none" w:sz="0" w:space="0" w:color="auto"/>
                      </w:divBdr>
                    </w:div>
                  </w:divsChild>
                </w:div>
                <w:div w:id="117457516">
                  <w:marLeft w:val="0"/>
                  <w:marRight w:val="0"/>
                  <w:marTop w:val="0"/>
                  <w:marBottom w:val="0"/>
                  <w:divBdr>
                    <w:top w:val="none" w:sz="0" w:space="0" w:color="auto"/>
                    <w:left w:val="none" w:sz="0" w:space="0" w:color="auto"/>
                    <w:bottom w:val="none" w:sz="0" w:space="0" w:color="auto"/>
                    <w:right w:val="none" w:sz="0" w:space="0" w:color="auto"/>
                  </w:divBdr>
                  <w:divsChild>
                    <w:div w:id="496842312">
                      <w:marLeft w:val="0"/>
                      <w:marRight w:val="0"/>
                      <w:marTop w:val="0"/>
                      <w:marBottom w:val="0"/>
                      <w:divBdr>
                        <w:top w:val="none" w:sz="0" w:space="0" w:color="auto"/>
                        <w:left w:val="none" w:sz="0" w:space="0" w:color="auto"/>
                        <w:bottom w:val="none" w:sz="0" w:space="0" w:color="auto"/>
                        <w:right w:val="none" w:sz="0" w:space="0" w:color="auto"/>
                      </w:divBdr>
                    </w:div>
                  </w:divsChild>
                </w:div>
                <w:div w:id="163591104">
                  <w:marLeft w:val="0"/>
                  <w:marRight w:val="0"/>
                  <w:marTop w:val="0"/>
                  <w:marBottom w:val="0"/>
                  <w:divBdr>
                    <w:top w:val="none" w:sz="0" w:space="0" w:color="auto"/>
                    <w:left w:val="none" w:sz="0" w:space="0" w:color="auto"/>
                    <w:bottom w:val="none" w:sz="0" w:space="0" w:color="auto"/>
                    <w:right w:val="none" w:sz="0" w:space="0" w:color="auto"/>
                  </w:divBdr>
                  <w:divsChild>
                    <w:div w:id="1728920127">
                      <w:marLeft w:val="0"/>
                      <w:marRight w:val="0"/>
                      <w:marTop w:val="0"/>
                      <w:marBottom w:val="0"/>
                      <w:divBdr>
                        <w:top w:val="none" w:sz="0" w:space="0" w:color="auto"/>
                        <w:left w:val="none" w:sz="0" w:space="0" w:color="auto"/>
                        <w:bottom w:val="none" w:sz="0" w:space="0" w:color="auto"/>
                        <w:right w:val="none" w:sz="0" w:space="0" w:color="auto"/>
                      </w:divBdr>
                    </w:div>
                  </w:divsChild>
                </w:div>
                <w:div w:id="166411395">
                  <w:marLeft w:val="0"/>
                  <w:marRight w:val="0"/>
                  <w:marTop w:val="0"/>
                  <w:marBottom w:val="0"/>
                  <w:divBdr>
                    <w:top w:val="none" w:sz="0" w:space="0" w:color="auto"/>
                    <w:left w:val="none" w:sz="0" w:space="0" w:color="auto"/>
                    <w:bottom w:val="none" w:sz="0" w:space="0" w:color="auto"/>
                    <w:right w:val="none" w:sz="0" w:space="0" w:color="auto"/>
                  </w:divBdr>
                  <w:divsChild>
                    <w:div w:id="564921101">
                      <w:marLeft w:val="0"/>
                      <w:marRight w:val="0"/>
                      <w:marTop w:val="0"/>
                      <w:marBottom w:val="0"/>
                      <w:divBdr>
                        <w:top w:val="none" w:sz="0" w:space="0" w:color="auto"/>
                        <w:left w:val="none" w:sz="0" w:space="0" w:color="auto"/>
                        <w:bottom w:val="none" w:sz="0" w:space="0" w:color="auto"/>
                        <w:right w:val="none" w:sz="0" w:space="0" w:color="auto"/>
                      </w:divBdr>
                    </w:div>
                  </w:divsChild>
                </w:div>
                <w:div w:id="211305803">
                  <w:marLeft w:val="0"/>
                  <w:marRight w:val="0"/>
                  <w:marTop w:val="0"/>
                  <w:marBottom w:val="0"/>
                  <w:divBdr>
                    <w:top w:val="none" w:sz="0" w:space="0" w:color="auto"/>
                    <w:left w:val="none" w:sz="0" w:space="0" w:color="auto"/>
                    <w:bottom w:val="none" w:sz="0" w:space="0" w:color="auto"/>
                    <w:right w:val="none" w:sz="0" w:space="0" w:color="auto"/>
                  </w:divBdr>
                  <w:divsChild>
                    <w:div w:id="846753837">
                      <w:marLeft w:val="0"/>
                      <w:marRight w:val="0"/>
                      <w:marTop w:val="0"/>
                      <w:marBottom w:val="0"/>
                      <w:divBdr>
                        <w:top w:val="none" w:sz="0" w:space="0" w:color="auto"/>
                        <w:left w:val="none" w:sz="0" w:space="0" w:color="auto"/>
                        <w:bottom w:val="none" w:sz="0" w:space="0" w:color="auto"/>
                        <w:right w:val="none" w:sz="0" w:space="0" w:color="auto"/>
                      </w:divBdr>
                    </w:div>
                  </w:divsChild>
                </w:div>
                <w:div w:id="223175830">
                  <w:marLeft w:val="0"/>
                  <w:marRight w:val="0"/>
                  <w:marTop w:val="0"/>
                  <w:marBottom w:val="0"/>
                  <w:divBdr>
                    <w:top w:val="none" w:sz="0" w:space="0" w:color="auto"/>
                    <w:left w:val="none" w:sz="0" w:space="0" w:color="auto"/>
                    <w:bottom w:val="none" w:sz="0" w:space="0" w:color="auto"/>
                    <w:right w:val="none" w:sz="0" w:space="0" w:color="auto"/>
                  </w:divBdr>
                  <w:divsChild>
                    <w:div w:id="2130583771">
                      <w:marLeft w:val="0"/>
                      <w:marRight w:val="0"/>
                      <w:marTop w:val="0"/>
                      <w:marBottom w:val="0"/>
                      <w:divBdr>
                        <w:top w:val="none" w:sz="0" w:space="0" w:color="auto"/>
                        <w:left w:val="none" w:sz="0" w:space="0" w:color="auto"/>
                        <w:bottom w:val="none" w:sz="0" w:space="0" w:color="auto"/>
                        <w:right w:val="none" w:sz="0" w:space="0" w:color="auto"/>
                      </w:divBdr>
                    </w:div>
                  </w:divsChild>
                </w:div>
                <w:div w:id="348794783">
                  <w:marLeft w:val="0"/>
                  <w:marRight w:val="0"/>
                  <w:marTop w:val="0"/>
                  <w:marBottom w:val="0"/>
                  <w:divBdr>
                    <w:top w:val="none" w:sz="0" w:space="0" w:color="auto"/>
                    <w:left w:val="none" w:sz="0" w:space="0" w:color="auto"/>
                    <w:bottom w:val="none" w:sz="0" w:space="0" w:color="auto"/>
                    <w:right w:val="none" w:sz="0" w:space="0" w:color="auto"/>
                  </w:divBdr>
                  <w:divsChild>
                    <w:div w:id="1446995902">
                      <w:marLeft w:val="0"/>
                      <w:marRight w:val="0"/>
                      <w:marTop w:val="0"/>
                      <w:marBottom w:val="0"/>
                      <w:divBdr>
                        <w:top w:val="none" w:sz="0" w:space="0" w:color="auto"/>
                        <w:left w:val="none" w:sz="0" w:space="0" w:color="auto"/>
                        <w:bottom w:val="none" w:sz="0" w:space="0" w:color="auto"/>
                        <w:right w:val="none" w:sz="0" w:space="0" w:color="auto"/>
                      </w:divBdr>
                    </w:div>
                  </w:divsChild>
                </w:div>
                <w:div w:id="376858531">
                  <w:marLeft w:val="0"/>
                  <w:marRight w:val="0"/>
                  <w:marTop w:val="0"/>
                  <w:marBottom w:val="0"/>
                  <w:divBdr>
                    <w:top w:val="none" w:sz="0" w:space="0" w:color="auto"/>
                    <w:left w:val="none" w:sz="0" w:space="0" w:color="auto"/>
                    <w:bottom w:val="none" w:sz="0" w:space="0" w:color="auto"/>
                    <w:right w:val="none" w:sz="0" w:space="0" w:color="auto"/>
                  </w:divBdr>
                  <w:divsChild>
                    <w:div w:id="138115478">
                      <w:marLeft w:val="0"/>
                      <w:marRight w:val="0"/>
                      <w:marTop w:val="0"/>
                      <w:marBottom w:val="0"/>
                      <w:divBdr>
                        <w:top w:val="none" w:sz="0" w:space="0" w:color="auto"/>
                        <w:left w:val="none" w:sz="0" w:space="0" w:color="auto"/>
                        <w:bottom w:val="none" w:sz="0" w:space="0" w:color="auto"/>
                        <w:right w:val="none" w:sz="0" w:space="0" w:color="auto"/>
                      </w:divBdr>
                    </w:div>
                  </w:divsChild>
                </w:div>
                <w:div w:id="414598335">
                  <w:marLeft w:val="0"/>
                  <w:marRight w:val="0"/>
                  <w:marTop w:val="0"/>
                  <w:marBottom w:val="0"/>
                  <w:divBdr>
                    <w:top w:val="none" w:sz="0" w:space="0" w:color="auto"/>
                    <w:left w:val="none" w:sz="0" w:space="0" w:color="auto"/>
                    <w:bottom w:val="none" w:sz="0" w:space="0" w:color="auto"/>
                    <w:right w:val="none" w:sz="0" w:space="0" w:color="auto"/>
                  </w:divBdr>
                  <w:divsChild>
                    <w:div w:id="1722438959">
                      <w:marLeft w:val="0"/>
                      <w:marRight w:val="0"/>
                      <w:marTop w:val="0"/>
                      <w:marBottom w:val="0"/>
                      <w:divBdr>
                        <w:top w:val="none" w:sz="0" w:space="0" w:color="auto"/>
                        <w:left w:val="none" w:sz="0" w:space="0" w:color="auto"/>
                        <w:bottom w:val="none" w:sz="0" w:space="0" w:color="auto"/>
                        <w:right w:val="none" w:sz="0" w:space="0" w:color="auto"/>
                      </w:divBdr>
                    </w:div>
                  </w:divsChild>
                </w:div>
                <w:div w:id="473528996">
                  <w:marLeft w:val="0"/>
                  <w:marRight w:val="0"/>
                  <w:marTop w:val="0"/>
                  <w:marBottom w:val="0"/>
                  <w:divBdr>
                    <w:top w:val="none" w:sz="0" w:space="0" w:color="auto"/>
                    <w:left w:val="none" w:sz="0" w:space="0" w:color="auto"/>
                    <w:bottom w:val="none" w:sz="0" w:space="0" w:color="auto"/>
                    <w:right w:val="none" w:sz="0" w:space="0" w:color="auto"/>
                  </w:divBdr>
                  <w:divsChild>
                    <w:div w:id="792288130">
                      <w:marLeft w:val="0"/>
                      <w:marRight w:val="0"/>
                      <w:marTop w:val="0"/>
                      <w:marBottom w:val="0"/>
                      <w:divBdr>
                        <w:top w:val="none" w:sz="0" w:space="0" w:color="auto"/>
                        <w:left w:val="none" w:sz="0" w:space="0" w:color="auto"/>
                        <w:bottom w:val="none" w:sz="0" w:space="0" w:color="auto"/>
                        <w:right w:val="none" w:sz="0" w:space="0" w:color="auto"/>
                      </w:divBdr>
                    </w:div>
                  </w:divsChild>
                </w:div>
                <w:div w:id="696389491">
                  <w:marLeft w:val="0"/>
                  <w:marRight w:val="0"/>
                  <w:marTop w:val="0"/>
                  <w:marBottom w:val="0"/>
                  <w:divBdr>
                    <w:top w:val="none" w:sz="0" w:space="0" w:color="auto"/>
                    <w:left w:val="none" w:sz="0" w:space="0" w:color="auto"/>
                    <w:bottom w:val="none" w:sz="0" w:space="0" w:color="auto"/>
                    <w:right w:val="none" w:sz="0" w:space="0" w:color="auto"/>
                  </w:divBdr>
                  <w:divsChild>
                    <w:div w:id="1227230730">
                      <w:marLeft w:val="0"/>
                      <w:marRight w:val="0"/>
                      <w:marTop w:val="0"/>
                      <w:marBottom w:val="0"/>
                      <w:divBdr>
                        <w:top w:val="none" w:sz="0" w:space="0" w:color="auto"/>
                        <w:left w:val="none" w:sz="0" w:space="0" w:color="auto"/>
                        <w:bottom w:val="none" w:sz="0" w:space="0" w:color="auto"/>
                        <w:right w:val="none" w:sz="0" w:space="0" w:color="auto"/>
                      </w:divBdr>
                    </w:div>
                  </w:divsChild>
                </w:div>
                <w:div w:id="791481796">
                  <w:marLeft w:val="0"/>
                  <w:marRight w:val="0"/>
                  <w:marTop w:val="0"/>
                  <w:marBottom w:val="0"/>
                  <w:divBdr>
                    <w:top w:val="none" w:sz="0" w:space="0" w:color="auto"/>
                    <w:left w:val="none" w:sz="0" w:space="0" w:color="auto"/>
                    <w:bottom w:val="none" w:sz="0" w:space="0" w:color="auto"/>
                    <w:right w:val="none" w:sz="0" w:space="0" w:color="auto"/>
                  </w:divBdr>
                  <w:divsChild>
                    <w:div w:id="1884321391">
                      <w:marLeft w:val="0"/>
                      <w:marRight w:val="0"/>
                      <w:marTop w:val="0"/>
                      <w:marBottom w:val="0"/>
                      <w:divBdr>
                        <w:top w:val="none" w:sz="0" w:space="0" w:color="auto"/>
                        <w:left w:val="none" w:sz="0" w:space="0" w:color="auto"/>
                        <w:bottom w:val="none" w:sz="0" w:space="0" w:color="auto"/>
                        <w:right w:val="none" w:sz="0" w:space="0" w:color="auto"/>
                      </w:divBdr>
                    </w:div>
                  </w:divsChild>
                </w:div>
                <w:div w:id="883175706">
                  <w:marLeft w:val="0"/>
                  <w:marRight w:val="0"/>
                  <w:marTop w:val="0"/>
                  <w:marBottom w:val="0"/>
                  <w:divBdr>
                    <w:top w:val="none" w:sz="0" w:space="0" w:color="auto"/>
                    <w:left w:val="none" w:sz="0" w:space="0" w:color="auto"/>
                    <w:bottom w:val="none" w:sz="0" w:space="0" w:color="auto"/>
                    <w:right w:val="none" w:sz="0" w:space="0" w:color="auto"/>
                  </w:divBdr>
                  <w:divsChild>
                    <w:div w:id="110513018">
                      <w:marLeft w:val="0"/>
                      <w:marRight w:val="0"/>
                      <w:marTop w:val="0"/>
                      <w:marBottom w:val="0"/>
                      <w:divBdr>
                        <w:top w:val="none" w:sz="0" w:space="0" w:color="auto"/>
                        <w:left w:val="none" w:sz="0" w:space="0" w:color="auto"/>
                        <w:bottom w:val="none" w:sz="0" w:space="0" w:color="auto"/>
                        <w:right w:val="none" w:sz="0" w:space="0" w:color="auto"/>
                      </w:divBdr>
                    </w:div>
                  </w:divsChild>
                </w:div>
                <w:div w:id="911547771">
                  <w:marLeft w:val="0"/>
                  <w:marRight w:val="0"/>
                  <w:marTop w:val="0"/>
                  <w:marBottom w:val="0"/>
                  <w:divBdr>
                    <w:top w:val="none" w:sz="0" w:space="0" w:color="auto"/>
                    <w:left w:val="none" w:sz="0" w:space="0" w:color="auto"/>
                    <w:bottom w:val="none" w:sz="0" w:space="0" w:color="auto"/>
                    <w:right w:val="none" w:sz="0" w:space="0" w:color="auto"/>
                  </w:divBdr>
                  <w:divsChild>
                    <w:div w:id="473765174">
                      <w:marLeft w:val="0"/>
                      <w:marRight w:val="0"/>
                      <w:marTop w:val="0"/>
                      <w:marBottom w:val="0"/>
                      <w:divBdr>
                        <w:top w:val="none" w:sz="0" w:space="0" w:color="auto"/>
                        <w:left w:val="none" w:sz="0" w:space="0" w:color="auto"/>
                        <w:bottom w:val="none" w:sz="0" w:space="0" w:color="auto"/>
                        <w:right w:val="none" w:sz="0" w:space="0" w:color="auto"/>
                      </w:divBdr>
                    </w:div>
                  </w:divsChild>
                </w:div>
                <w:div w:id="1050152213">
                  <w:marLeft w:val="0"/>
                  <w:marRight w:val="0"/>
                  <w:marTop w:val="0"/>
                  <w:marBottom w:val="0"/>
                  <w:divBdr>
                    <w:top w:val="none" w:sz="0" w:space="0" w:color="auto"/>
                    <w:left w:val="none" w:sz="0" w:space="0" w:color="auto"/>
                    <w:bottom w:val="none" w:sz="0" w:space="0" w:color="auto"/>
                    <w:right w:val="none" w:sz="0" w:space="0" w:color="auto"/>
                  </w:divBdr>
                  <w:divsChild>
                    <w:div w:id="957177184">
                      <w:marLeft w:val="0"/>
                      <w:marRight w:val="0"/>
                      <w:marTop w:val="0"/>
                      <w:marBottom w:val="0"/>
                      <w:divBdr>
                        <w:top w:val="none" w:sz="0" w:space="0" w:color="auto"/>
                        <w:left w:val="none" w:sz="0" w:space="0" w:color="auto"/>
                        <w:bottom w:val="none" w:sz="0" w:space="0" w:color="auto"/>
                        <w:right w:val="none" w:sz="0" w:space="0" w:color="auto"/>
                      </w:divBdr>
                    </w:div>
                  </w:divsChild>
                </w:div>
                <w:div w:id="1167866886">
                  <w:marLeft w:val="0"/>
                  <w:marRight w:val="0"/>
                  <w:marTop w:val="0"/>
                  <w:marBottom w:val="0"/>
                  <w:divBdr>
                    <w:top w:val="none" w:sz="0" w:space="0" w:color="auto"/>
                    <w:left w:val="none" w:sz="0" w:space="0" w:color="auto"/>
                    <w:bottom w:val="none" w:sz="0" w:space="0" w:color="auto"/>
                    <w:right w:val="none" w:sz="0" w:space="0" w:color="auto"/>
                  </w:divBdr>
                  <w:divsChild>
                    <w:div w:id="1158426382">
                      <w:marLeft w:val="0"/>
                      <w:marRight w:val="0"/>
                      <w:marTop w:val="0"/>
                      <w:marBottom w:val="0"/>
                      <w:divBdr>
                        <w:top w:val="none" w:sz="0" w:space="0" w:color="auto"/>
                        <w:left w:val="none" w:sz="0" w:space="0" w:color="auto"/>
                        <w:bottom w:val="none" w:sz="0" w:space="0" w:color="auto"/>
                        <w:right w:val="none" w:sz="0" w:space="0" w:color="auto"/>
                      </w:divBdr>
                    </w:div>
                  </w:divsChild>
                </w:div>
                <w:div w:id="1178226744">
                  <w:marLeft w:val="0"/>
                  <w:marRight w:val="0"/>
                  <w:marTop w:val="0"/>
                  <w:marBottom w:val="0"/>
                  <w:divBdr>
                    <w:top w:val="none" w:sz="0" w:space="0" w:color="auto"/>
                    <w:left w:val="none" w:sz="0" w:space="0" w:color="auto"/>
                    <w:bottom w:val="none" w:sz="0" w:space="0" w:color="auto"/>
                    <w:right w:val="none" w:sz="0" w:space="0" w:color="auto"/>
                  </w:divBdr>
                  <w:divsChild>
                    <w:div w:id="863203488">
                      <w:marLeft w:val="0"/>
                      <w:marRight w:val="0"/>
                      <w:marTop w:val="0"/>
                      <w:marBottom w:val="0"/>
                      <w:divBdr>
                        <w:top w:val="none" w:sz="0" w:space="0" w:color="auto"/>
                        <w:left w:val="none" w:sz="0" w:space="0" w:color="auto"/>
                        <w:bottom w:val="none" w:sz="0" w:space="0" w:color="auto"/>
                        <w:right w:val="none" w:sz="0" w:space="0" w:color="auto"/>
                      </w:divBdr>
                    </w:div>
                  </w:divsChild>
                </w:div>
                <w:div w:id="1255438642">
                  <w:marLeft w:val="0"/>
                  <w:marRight w:val="0"/>
                  <w:marTop w:val="0"/>
                  <w:marBottom w:val="0"/>
                  <w:divBdr>
                    <w:top w:val="none" w:sz="0" w:space="0" w:color="auto"/>
                    <w:left w:val="none" w:sz="0" w:space="0" w:color="auto"/>
                    <w:bottom w:val="none" w:sz="0" w:space="0" w:color="auto"/>
                    <w:right w:val="none" w:sz="0" w:space="0" w:color="auto"/>
                  </w:divBdr>
                  <w:divsChild>
                    <w:div w:id="1914925723">
                      <w:marLeft w:val="0"/>
                      <w:marRight w:val="0"/>
                      <w:marTop w:val="0"/>
                      <w:marBottom w:val="0"/>
                      <w:divBdr>
                        <w:top w:val="none" w:sz="0" w:space="0" w:color="auto"/>
                        <w:left w:val="none" w:sz="0" w:space="0" w:color="auto"/>
                        <w:bottom w:val="none" w:sz="0" w:space="0" w:color="auto"/>
                        <w:right w:val="none" w:sz="0" w:space="0" w:color="auto"/>
                      </w:divBdr>
                    </w:div>
                  </w:divsChild>
                </w:div>
                <w:div w:id="1325164077">
                  <w:marLeft w:val="0"/>
                  <w:marRight w:val="0"/>
                  <w:marTop w:val="0"/>
                  <w:marBottom w:val="0"/>
                  <w:divBdr>
                    <w:top w:val="none" w:sz="0" w:space="0" w:color="auto"/>
                    <w:left w:val="none" w:sz="0" w:space="0" w:color="auto"/>
                    <w:bottom w:val="none" w:sz="0" w:space="0" w:color="auto"/>
                    <w:right w:val="none" w:sz="0" w:space="0" w:color="auto"/>
                  </w:divBdr>
                  <w:divsChild>
                    <w:div w:id="1481341419">
                      <w:marLeft w:val="0"/>
                      <w:marRight w:val="0"/>
                      <w:marTop w:val="0"/>
                      <w:marBottom w:val="0"/>
                      <w:divBdr>
                        <w:top w:val="none" w:sz="0" w:space="0" w:color="auto"/>
                        <w:left w:val="none" w:sz="0" w:space="0" w:color="auto"/>
                        <w:bottom w:val="none" w:sz="0" w:space="0" w:color="auto"/>
                        <w:right w:val="none" w:sz="0" w:space="0" w:color="auto"/>
                      </w:divBdr>
                    </w:div>
                  </w:divsChild>
                </w:div>
                <w:div w:id="1371759706">
                  <w:marLeft w:val="0"/>
                  <w:marRight w:val="0"/>
                  <w:marTop w:val="0"/>
                  <w:marBottom w:val="0"/>
                  <w:divBdr>
                    <w:top w:val="none" w:sz="0" w:space="0" w:color="auto"/>
                    <w:left w:val="none" w:sz="0" w:space="0" w:color="auto"/>
                    <w:bottom w:val="none" w:sz="0" w:space="0" w:color="auto"/>
                    <w:right w:val="none" w:sz="0" w:space="0" w:color="auto"/>
                  </w:divBdr>
                  <w:divsChild>
                    <w:div w:id="1043090349">
                      <w:marLeft w:val="0"/>
                      <w:marRight w:val="0"/>
                      <w:marTop w:val="0"/>
                      <w:marBottom w:val="0"/>
                      <w:divBdr>
                        <w:top w:val="none" w:sz="0" w:space="0" w:color="auto"/>
                        <w:left w:val="none" w:sz="0" w:space="0" w:color="auto"/>
                        <w:bottom w:val="none" w:sz="0" w:space="0" w:color="auto"/>
                        <w:right w:val="none" w:sz="0" w:space="0" w:color="auto"/>
                      </w:divBdr>
                    </w:div>
                  </w:divsChild>
                </w:div>
                <w:div w:id="1432386137">
                  <w:marLeft w:val="0"/>
                  <w:marRight w:val="0"/>
                  <w:marTop w:val="0"/>
                  <w:marBottom w:val="0"/>
                  <w:divBdr>
                    <w:top w:val="none" w:sz="0" w:space="0" w:color="auto"/>
                    <w:left w:val="none" w:sz="0" w:space="0" w:color="auto"/>
                    <w:bottom w:val="none" w:sz="0" w:space="0" w:color="auto"/>
                    <w:right w:val="none" w:sz="0" w:space="0" w:color="auto"/>
                  </w:divBdr>
                  <w:divsChild>
                    <w:div w:id="548807388">
                      <w:marLeft w:val="0"/>
                      <w:marRight w:val="0"/>
                      <w:marTop w:val="0"/>
                      <w:marBottom w:val="0"/>
                      <w:divBdr>
                        <w:top w:val="none" w:sz="0" w:space="0" w:color="auto"/>
                        <w:left w:val="none" w:sz="0" w:space="0" w:color="auto"/>
                        <w:bottom w:val="none" w:sz="0" w:space="0" w:color="auto"/>
                        <w:right w:val="none" w:sz="0" w:space="0" w:color="auto"/>
                      </w:divBdr>
                    </w:div>
                  </w:divsChild>
                </w:div>
                <w:div w:id="1482886281">
                  <w:marLeft w:val="0"/>
                  <w:marRight w:val="0"/>
                  <w:marTop w:val="0"/>
                  <w:marBottom w:val="0"/>
                  <w:divBdr>
                    <w:top w:val="none" w:sz="0" w:space="0" w:color="auto"/>
                    <w:left w:val="none" w:sz="0" w:space="0" w:color="auto"/>
                    <w:bottom w:val="none" w:sz="0" w:space="0" w:color="auto"/>
                    <w:right w:val="none" w:sz="0" w:space="0" w:color="auto"/>
                  </w:divBdr>
                  <w:divsChild>
                    <w:div w:id="1742944406">
                      <w:marLeft w:val="0"/>
                      <w:marRight w:val="0"/>
                      <w:marTop w:val="0"/>
                      <w:marBottom w:val="0"/>
                      <w:divBdr>
                        <w:top w:val="none" w:sz="0" w:space="0" w:color="auto"/>
                        <w:left w:val="none" w:sz="0" w:space="0" w:color="auto"/>
                        <w:bottom w:val="none" w:sz="0" w:space="0" w:color="auto"/>
                        <w:right w:val="none" w:sz="0" w:space="0" w:color="auto"/>
                      </w:divBdr>
                    </w:div>
                  </w:divsChild>
                </w:div>
                <w:div w:id="1496457675">
                  <w:marLeft w:val="0"/>
                  <w:marRight w:val="0"/>
                  <w:marTop w:val="0"/>
                  <w:marBottom w:val="0"/>
                  <w:divBdr>
                    <w:top w:val="none" w:sz="0" w:space="0" w:color="auto"/>
                    <w:left w:val="none" w:sz="0" w:space="0" w:color="auto"/>
                    <w:bottom w:val="none" w:sz="0" w:space="0" w:color="auto"/>
                    <w:right w:val="none" w:sz="0" w:space="0" w:color="auto"/>
                  </w:divBdr>
                  <w:divsChild>
                    <w:div w:id="364642333">
                      <w:marLeft w:val="0"/>
                      <w:marRight w:val="0"/>
                      <w:marTop w:val="0"/>
                      <w:marBottom w:val="0"/>
                      <w:divBdr>
                        <w:top w:val="none" w:sz="0" w:space="0" w:color="auto"/>
                        <w:left w:val="none" w:sz="0" w:space="0" w:color="auto"/>
                        <w:bottom w:val="none" w:sz="0" w:space="0" w:color="auto"/>
                        <w:right w:val="none" w:sz="0" w:space="0" w:color="auto"/>
                      </w:divBdr>
                    </w:div>
                  </w:divsChild>
                </w:div>
                <w:div w:id="1737583654">
                  <w:marLeft w:val="0"/>
                  <w:marRight w:val="0"/>
                  <w:marTop w:val="0"/>
                  <w:marBottom w:val="0"/>
                  <w:divBdr>
                    <w:top w:val="none" w:sz="0" w:space="0" w:color="auto"/>
                    <w:left w:val="none" w:sz="0" w:space="0" w:color="auto"/>
                    <w:bottom w:val="none" w:sz="0" w:space="0" w:color="auto"/>
                    <w:right w:val="none" w:sz="0" w:space="0" w:color="auto"/>
                  </w:divBdr>
                  <w:divsChild>
                    <w:div w:id="1559516569">
                      <w:marLeft w:val="0"/>
                      <w:marRight w:val="0"/>
                      <w:marTop w:val="0"/>
                      <w:marBottom w:val="0"/>
                      <w:divBdr>
                        <w:top w:val="none" w:sz="0" w:space="0" w:color="auto"/>
                        <w:left w:val="none" w:sz="0" w:space="0" w:color="auto"/>
                        <w:bottom w:val="none" w:sz="0" w:space="0" w:color="auto"/>
                        <w:right w:val="none" w:sz="0" w:space="0" w:color="auto"/>
                      </w:divBdr>
                    </w:div>
                  </w:divsChild>
                </w:div>
                <w:div w:id="1747221236">
                  <w:marLeft w:val="0"/>
                  <w:marRight w:val="0"/>
                  <w:marTop w:val="0"/>
                  <w:marBottom w:val="0"/>
                  <w:divBdr>
                    <w:top w:val="none" w:sz="0" w:space="0" w:color="auto"/>
                    <w:left w:val="none" w:sz="0" w:space="0" w:color="auto"/>
                    <w:bottom w:val="none" w:sz="0" w:space="0" w:color="auto"/>
                    <w:right w:val="none" w:sz="0" w:space="0" w:color="auto"/>
                  </w:divBdr>
                  <w:divsChild>
                    <w:div w:id="520050133">
                      <w:marLeft w:val="0"/>
                      <w:marRight w:val="0"/>
                      <w:marTop w:val="0"/>
                      <w:marBottom w:val="0"/>
                      <w:divBdr>
                        <w:top w:val="none" w:sz="0" w:space="0" w:color="auto"/>
                        <w:left w:val="none" w:sz="0" w:space="0" w:color="auto"/>
                        <w:bottom w:val="none" w:sz="0" w:space="0" w:color="auto"/>
                        <w:right w:val="none" w:sz="0" w:space="0" w:color="auto"/>
                      </w:divBdr>
                    </w:div>
                  </w:divsChild>
                </w:div>
                <w:div w:id="1763988049">
                  <w:marLeft w:val="0"/>
                  <w:marRight w:val="0"/>
                  <w:marTop w:val="0"/>
                  <w:marBottom w:val="0"/>
                  <w:divBdr>
                    <w:top w:val="none" w:sz="0" w:space="0" w:color="auto"/>
                    <w:left w:val="none" w:sz="0" w:space="0" w:color="auto"/>
                    <w:bottom w:val="none" w:sz="0" w:space="0" w:color="auto"/>
                    <w:right w:val="none" w:sz="0" w:space="0" w:color="auto"/>
                  </w:divBdr>
                  <w:divsChild>
                    <w:div w:id="219247070">
                      <w:marLeft w:val="0"/>
                      <w:marRight w:val="0"/>
                      <w:marTop w:val="0"/>
                      <w:marBottom w:val="0"/>
                      <w:divBdr>
                        <w:top w:val="none" w:sz="0" w:space="0" w:color="auto"/>
                        <w:left w:val="none" w:sz="0" w:space="0" w:color="auto"/>
                        <w:bottom w:val="none" w:sz="0" w:space="0" w:color="auto"/>
                        <w:right w:val="none" w:sz="0" w:space="0" w:color="auto"/>
                      </w:divBdr>
                    </w:div>
                  </w:divsChild>
                </w:div>
                <w:div w:id="1978102219">
                  <w:marLeft w:val="0"/>
                  <w:marRight w:val="0"/>
                  <w:marTop w:val="0"/>
                  <w:marBottom w:val="0"/>
                  <w:divBdr>
                    <w:top w:val="none" w:sz="0" w:space="0" w:color="auto"/>
                    <w:left w:val="none" w:sz="0" w:space="0" w:color="auto"/>
                    <w:bottom w:val="none" w:sz="0" w:space="0" w:color="auto"/>
                    <w:right w:val="none" w:sz="0" w:space="0" w:color="auto"/>
                  </w:divBdr>
                  <w:divsChild>
                    <w:div w:id="1615363007">
                      <w:marLeft w:val="0"/>
                      <w:marRight w:val="0"/>
                      <w:marTop w:val="0"/>
                      <w:marBottom w:val="0"/>
                      <w:divBdr>
                        <w:top w:val="none" w:sz="0" w:space="0" w:color="auto"/>
                        <w:left w:val="none" w:sz="0" w:space="0" w:color="auto"/>
                        <w:bottom w:val="none" w:sz="0" w:space="0" w:color="auto"/>
                        <w:right w:val="none" w:sz="0" w:space="0" w:color="auto"/>
                      </w:divBdr>
                    </w:div>
                  </w:divsChild>
                </w:div>
                <w:div w:id="2055420273">
                  <w:marLeft w:val="0"/>
                  <w:marRight w:val="0"/>
                  <w:marTop w:val="0"/>
                  <w:marBottom w:val="0"/>
                  <w:divBdr>
                    <w:top w:val="none" w:sz="0" w:space="0" w:color="auto"/>
                    <w:left w:val="none" w:sz="0" w:space="0" w:color="auto"/>
                    <w:bottom w:val="none" w:sz="0" w:space="0" w:color="auto"/>
                    <w:right w:val="none" w:sz="0" w:space="0" w:color="auto"/>
                  </w:divBdr>
                  <w:divsChild>
                    <w:div w:id="1652557160">
                      <w:marLeft w:val="0"/>
                      <w:marRight w:val="0"/>
                      <w:marTop w:val="0"/>
                      <w:marBottom w:val="0"/>
                      <w:divBdr>
                        <w:top w:val="none" w:sz="0" w:space="0" w:color="auto"/>
                        <w:left w:val="none" w:sz="0" w:space="0" w:color="auto"/>
                        <w:bottom w:val="none" w:sz="0" w:space="0" w:color="auto"/>
                        <w:right w:val="none" w:sz="0" w:space="0" w:color="auto"/>
                      </w:divBdr>
                    </w:div>
                  </w:divsChild>
                </w:div>
                <w:div w:id="2076663324">
                  <w:marLeft w:val="0"/>
                  <w:marRight w:val="0"/>
                  <w:marTop w:val="0"/>
                  <w:marBottom w:val="0"/>
                  <w:divBdr>
                    <w:top w:val="none" w:sz="0" w:space="0" w:color="auto"/>
                    <w:left w:val="none" w:sz="0" w:space="0" w:color="auto"/>
                    <w:bottom w:val="none" w:sz="0" w:space="0" w:color="auto"/>
                    <w:right w:val="none" w:sz="0" w:space="0" w:color="auto"/>
                  </w:divBdr>
                  <w:divsChild>
                    <w:div w:id="1593010413">
                      <w:marLeft w:val="0"/>
                      <w:marRight w:val="0"/>
                      <w:marTop w:val="0"/>
                      <w:marBottom w:val="0"/>
                      <w:divBdr>
                        <w:top w:val="none" w:sz="0" w:space="0" w:color="auto"/>
                        <w:left w:val="none" w:sz="0" w:space="0" w:color="auto"/>
                        <w:bottom w:val="none" w:sz="0" w:space="0" w:color="auto"/>
                        <w:right w:val="none" w:sz="0" w:space="0" w:color="auto"/>
                      </w:divBdr>
                    </w:div>
                  </w:divsChild>
                </w:div>
                <w:div w:id="2097243881">
                  <w:marLeft w:val="0"/>
                  <w:marRight w:val="0"/>
                  <w:marTop w:val="0"/>
                  <w:marBottom w:val="0"/>
                  <w:divBdr>
                    <w:top w:val="none" w:sz="0" w:space="0" w:color="auto"/>
                    <w:left w:val="none" w:sz="0" w:space="0" w:color="auto"/>
                    <w:bottom w:val="none" w:sz="0" w:space="0" w:color="auto"/>
                    <w:right w:val="none" w:sz="0" w:space="0" w:color="auto"/>
                  </w:divBdr>
                  <w:divsChild>
                    <w:div w:id="1352344188">
                      <w:marLeft w:val="0"/>
                      <w:marRight w:val="0"/>
                      <w:marTop w:val="0"/>
                      <w:marBottom w:val="0"/>
                      <w:divBdr>
                        <w:top w:val="none" w:sz="0" w:space="0" w:color="auto"/>
                        <w:left w:val="none" w:sz="0" w:space="0" w:color="auto"/>
                        <w:bottom w:val="none" w:sz="0" w:space="0" w:color="auto"/>
                        <w:right w:val="none" w:sz="0" w:space="0" w:color="auto"/>
                      </w:divBdr>
                    </w:div>
                  </w:divsChild>
                </w:div>
                <w:div w:id="2108848388">
                  <w:marLeft w:val="0"/>
                  <w:marRight w:val="0"/>
                  <w:marTop w:val="0"/>
                  <w:marBottom w:val="0"/>
                  <w:divBdr>
                    <w:top w:val="none" w:sz="0" w:space="0" w:color="auto"/>
                    <w:left w:val="none" w:sz="0" w:space="0" w:color="auto"/>
                    <w:bottom w:val="none" w:sz="0" w:space="0" w:color="auto"/>
                    <w:right w:val="none" w:sz="0" w:space="0" w:color="auto"/>
                  </w:divBdr>
                  <w:divsChild>
                    <w:div w:id="63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61302">
      <w:bodyDiv w:val="1"/>
      <w:marLeft w:val="0"/>
      <w:marRight w:val="0"/>
      <w:marTop w:val="0"/>
      <w:marBottom w:val="0"/>
      <w:divBdr>
        <w:top w:val="none" w:sz="0" w:space="0" w:color="auto"/>
        <w:left w:val="none" w:sz="0" w:space="0" w:color="auto"/>
        <w:bottom w:val="none" w:sz="0" w:space="0" w:color="auto"/>
        <w:right w:val="none" w:sz="0" w:space="0" w:color="auto"/>
      </w:divBdr>
      <w:divsChild>
        <w:div w:id="2025278452">
          <w:marLeft w:val="0"/>
          <w:marRight w:val="0"/>
          <w:marTop w:val="0"/>
          <w:marBottom w:val="0"/>
          <w:divBdr>
            <w:top w:val="none" w:sz="0" w:space="0" w:color="auto"/>
            <w:left w:val="none" w:sz="0" w:space="0" w:color="auto"/>
            <w:bottom w:val="none" w:sz="0" w:space="0" w:color="auto"/>
            <w:right w:val="none" w:sz="0" w:space="0" w:color="auto"/>
          </w:divBdr>
        </w:div>
        <w:div w:id="2052220391">
          <w:marLeft w:val="0"/>
          <w:marRight w:val="0"/>
          <w:marTop w:val="0"/>
          <w:marBottom w:val="0"/>
          <w:divBdr>
            <w:top w:val="none" w:sz="0" w:space="0" w:color="auto"/>
            <w:left w:val="none" w:sz="0" w:space="0" w:color="auto"/>
            <w:bottom w:val="none" w:sz="0" w:space="0" w:color="auto"/>
            <w:right w:val="none" w:sz="0" w:space="0" w:color="auto"/>
          </w:divBdr>
        </w:div>
      </w:divsChild>
    </w:div>
    <w:div w:id="2105489359">
      <w:bodyDiv w:val="1"/>
      <w:marLeft w:val="0"/>
      <w:marRight w:val="0"/>
      <w:marTop w:val="0"/>
      <w:marBottom w:val="0"/>
      <w:divBdr>
        <w:top w:val="none" w:sz="0" w:space="0" w:color="auto"/>
        <w:left w:val="none" w:sz="0" w:space="0" w:color="auto"/>
        <w:bottom w:val="none" w:sz="0" w:space="0" w:color="auto"/>
        <w:right w:val="none" w:sz="0" w:space="0" w:color="auto"/>
      </w:divBdr>
      <w:divsChild>
        <w:div w:id="325017967">
          <w:marLeft w:val="0"/>
          <w:marRight w:val="0"/>
          <w:marTop w:val="0"/>
          <w:marBottom w:val="0"/>
          <w:divBdr>
            <w:top w:val="none" w:sz="0" w:space="0" w:color="auto"/>
            <w:left w:val="none" w:sz="0" w:space="0" w:color="auto"/>
            <w:bottom w:val="none" w:sz="0" w:space="0" w:color="auto"/>
            <w:right w:val="none" w:sz="0" w:space="0" w:color="auto"/>
          </w:divBdr>
        </w:div>
        <w:div w:id="657807197">
          <w:marLeft w:val="0"/>
          <w:marRight w:val="0"/>
          <w:marTop w:val="0"/>
          <w:marBottom w:val="0"/>
          <w:divBdr>
            <w:top w:val="none" w:sz="0" w:space="0" w:color="auto"/>
            <w:left w:val="none" w:sz="0" w:space="0" w:color="auto"/>
            <w:bottom w:val="none" w:sz="0" w:space="0" w:color="auto"/>
            <w:right w:val="none" w:sz="0" w:space="0" w:color="auto"/>
          </w:divBdr>
        </w:div>
        <w:div w:id="1015575189">
          <w:marLeft w:val="0"/>
          <w:marRight w:val="0"/>
          <w:marTop w:val="0"/>
          <w:marBottom w:val="0"/>
          <w:divBdr>
            <w:top w:val="none" w:sz="0" w:space="0" w:color="auto"/>
            <w:left w:val="none" w:sz="0" w:space="0" w:color="auto"/>
            <w:bottom w:val="none" w:sz="0" w:space="0" w:color="auto"/>
            <w:right w:val="none" w:sz="0" w:space="0" w:color="auto"/>
          </w:divBdr>
        </w:div>
        <w:div w:id="1514495613">
          <w:marLeft w:val="0"/>
          <w:marRight w:val="0"/>
          <w:marTop w:val="0"/>
          <w:marBottom w:val="0"/>
          <w:divBdr>
            <w:top w:val="none" w:sz="0" w:space="0" w:color="auto"/>
            <w:left w:val="none" w:sz="0" w:space="0" w:color="auto"/>
            <w:bottom w:val="none" w:sz="0" w:space="0" w:color="auto"/>
            <w:right w:val="none" w:sz="0" w:space="0" w:color="auto"/>
          </w:divBdr>
        </w:div>
        <w:div w:id="1534684574">
          <w:marLeft w:val="0"/>
          <w:marRight w:val="0"/>
          <w:marTop w:val="0"/>
          <w:marBottom w:val="0"/>
          <w:divBdr>
            <w:top w:val="none" w:sz="0" w:space="0" w:color="auto"/>
            <w:left w:val="none" w:sz="0" w:space="0" w:color="auto"/>
            <w:bottom w:val="none" w:sz="0" w:space="0" w:color="auto"/>
            <w:right w:val="none" w:sz="0" w:space="0" w:color="auto"/>
          </w:divBdr>
        </w:div>
        <w:div w:id="1646740614">
          <w:marLeft w:val="0"/>
          <w:marRight w:val="0"/>
          <w:marTop w:val="0"/>
          <w:marBottom w:val="0"/>
          <w:divBdr>
            <w:top w:val="none" w:sz="0" w:space="0" w:color="auto"/>
            <w:left w:val="none" w:sz="0" w:space="0" w:color="auto"/>
            <w:bottom w:val="none" w:sz="0" w:space="0" w:color="auto"/>
            <w:right w:val="none" w:sz="0" w:space="0" w:color="auto"/>
          </w:divBdr>
        </w:div>
        <w:div w:id="2006126429">
          <w:marLeft w:val="0"/>
          <w:marRight w:val="0"/>
          <w:marTop w:val="0"/>
          <w:marBottom w:val="0"/>
          <w:divBdr>
            <w:top w:val="none" w:sz="0" w:space="0" w:color="auto"/>
            <w:left w:val="none" w:sz="0" w:space="0" w:color="auto"/>
            <w:bottom w:val="none" w:sz="0" w:space="0" w:color="auto"/>
            <w:right w:val="none" w:sz="0" w:space="0" w:color="auto"/>
          </w:divBdr>
          <w:divsChild>
            <w:div w:id="1969243738">
              <w:marLeft w:val="-75"/>
              <w:marRight w:val="0"/>
              <w:marTop w:val="30"/>
              <w:marBottom w:val="30"/>
              <w:divBdr>
                <w:top w:val="none" w:sz="0" w:space="0" w:color="auto"/>
                <w:left w:val="none" w:sz="0" w:space="0" w:color="auto"/>
                <w:bottom w:val="none" w:sz="0" w:space="0" w:color="auto"/>
                <w:right w:val="none" w:sz="0" w:space="0" w:color="auto"/>
              </w:divBdr>
              <w:divsChild>
                <w:div w:id="2365979">
                  <w:marLeft w:val="0"/>
                  <w:marRight w:val="0"/>
                  <w:marTop w:val="0"/>
                  <w:marBottom w:val="0"/>
                  <w:divBdr>
                    <w:top w:val="none" w:sz="0" w:space="0" w:color="auto"/>
                    <w:left w:val="none" w:sz="0" w:space="0" w:color="auto"/>
                    <w:bottom w:val="none" w:sz="0" w:space="0" w:color="auto"/>
                    <w:right w:val="none" w:sz="0" w:space="0" w:color="auto"/>
                  </w:divBdr>
                  <w:divsChild>
                    <w:div w:id="1370298176">
                      <w:marLeft w:val="0"/>
                      <w:marRight w:val="0"/>
                      <w:marTop w:val="0"/>
                      <w:marBottom w:val="0"/>
                      <w:divBdr>
                        <w:top w:val="none" w:sz="0" w:space="0" w:color="auto"/>
                        <w:left w:val="none" w:sz="0" w:space="0" w:color="auto"/>
                        <w:bottom w:val="none" w:sz="0" w:space="0" w:color="auto"/>
                        <w:right w:val="none" w:sz="0" w:space="0" w:color="auto"/>
                      </w:divBdr>
                    </w:div>
                  </w:divsChild>
                </w:div>
                <w:div w:id="4982174">
                  <w:marLeft w:val="0"/>
                  <w:marRight w:val="0"/>
                  <w:marTop w:val="0"/>
                  <w:marBottom w:val="0"/>
                  <w:divBdr>
                    <w:top w:val="none" w:sz="0" w:space="0" w:color="auto"/>
                    <w:left w:val="none" w:sz="0" w:space="0" w:color="auto"/>
                    <w:bottom w:val="none" w:sz="0" w:space="0" w:color="auto"/>
                    <w:right w:val="none" w:sz="0" w:space="0" w:color="auto"/>
                  </w:divBdr>
                  <w:divsChild>
                    <w:div w:id="1691293778">
                      <w:marLeft w:val="0"/>
                      <w:marRight w:val="0"/>
                      <w:marTop w:val="0"/>
                      <w:marBottom w:val="0"/>
                      <w:divBdr>
                        <w:top w:val="none" w:sz="0" w:space="0" w:color="auto"/>
                        <w:left w:val="none" w:sz="0" w:space="0" w:color="auto"/>
                        <w:bottom w:val="none" w:sz="0" w:space="0" w:color="auto"/>
                        <w:right w:val="none" w:sz="0" w:space="0" w:color="auto"/>
                      </w:divBdr>
                    </w:div>
                  </w:divsChild>
                </w:div>
                <w:div w:id="16666273">
                  <w:marLeft w:val="0"/>
                  <w:marRight w:val="0"/>
                  <w:marTop w:val="0"/>
                  <w:marBottom w:val="0"/>
                  <w:divBdr>
                    <w:top w:val="none" w:sz="0" w:space="0" w:color="auto"/>
                    <w:left w:val="none" w:sz="0" w:space="0" w:color="auto"/>
                    <w:bottom w:val="none" w:sz="0" w:space="0" w:color="auto"/>
                    <w:right w:val="none" w:sz="0" w:space="0" w:color="auto"/>
                  </w:divBdr>
                  <w:divsChild>
                    <w:div w:id="2138452158">
                      <w:marLeft w:val="0"/>
                      <w:marRight w:val="0"/>
                      <w:marTop w:val="0"/>
                      <w:marBottom w:val="0"/>
                      <w:divBdr>
                        <w:top w:val="none" w:sz="0" w:space="0" w:color="auto"/>
                        <w:left w:val="none" w:sz="0" w:space="0" w:color="auto"/>
                        <w:bottom w:val="none" w:sz="0" w:space="0" w:color="auto"/>
                        <w:right w:val="none" w:sz="0" w:space="0" w:color="auto"/>
                      </w:divBdr>
                    </w:div>
                  </w:divsChild>
                </w:div>
                <w:div w:id="23412859">
                  <w:marLeft w:val="0"/>
                  <w:marRight w:val="0"/>
                  <w:marTop w:val="0"/>
                  <w:marBottom w:val="0"/>
                  <w:divBdr>
                    <w:top w:val="none" w:sz="0" w:space="0" w:color="auto"/>
                    <w:left w:val="none" w:sz="0" w:space="0" w:color="auto"/>
                    <w:bottom w:val="none" w:sz="0" w:space="0" w:color="auto"/>
                    <w:right w:val="none" w:sz="0" w:space="0" w:color="auto"/>
                  </w:divBdr>
                  <w:divsChild>
                    <w:div w:id="2126121751">
                      <w:marLeft w:val="0"/>
                      <w:marRight w:val="0"/>
                      <w:marTop w:val="0"/>
                      <w:marBottom w:val="0"/>
                      <w:divBdr>
                        <w:top w:val="none" w:sz="0" w:space="0" w:color="auto"/>
                        <w:left w:val="none" w:sz="0" w:space="0" w:color="auto"/>
                        <w:bottom w:val="none" w:sz="0" w:space="0" w:color="auto"/>
                        <w:right w:val="none" w:sz="0" w:space="0" w:color="auto"/>
                      </w:divBdr>
                    </w:div>
                  </w:divsChild>
                </w:div>
                <w:div w:id="56515151">
                  <w:marLeft w:val="0"/>
                  <w:marRight w:val="0"/>
                  <w:marTop w:val="0"/>
                  <w:marBottom w:val="0"/>
                  <w:divBdr>
                    <w:top w:val="none" w:sz="0" w:space="0" w:color="auto"/>
                    <w:left w:val="none" w:sz="0" w:space="0" w:color="auto"/>
                    <w:bottom w:val="none" w:sz="0" w:space="0" w:color="auto"/>
                    <w:right w:val="none" w:sz="0" w:space="0" w:color="auto"/>
                  </w:divBdr>
                  <w:divsChild>
                    <w:div w:id="662708563">
                      <w:marLeft w:val="0"/>
                      <w:marRight w:val="0"/>
                      <w:marTop w:val="0"/>
                      <w:marBottom w:val="0"/>
                      <w:divBdr>
                        <w:top w:val="none" w:sz="0" w:space="0" w:color="auto"/>
                        <w:left w:val="none" w:sz="0" w:space="0" w:color="auto"/>
                        <w:bottom w:val="none" w:sz="0" w:space="0" w:color="auto"/>
                        <w:right w:val="none" w:sz="0" w:space="0" w:color="auto"/>
                      </w:divBdr>
                    </w:div>
                  </w:divsChild>
                </w:div>
                <w:div w:id="62148540">
                  <w:marLeft w:val="0"/>
                  <w:marRight w:val="0"/>
                  <w:marTop w:val="0"/>
                  <w:marBottom w:val="0"/>
                  <w:divBdr>
                    <w:top w:val="none" w:sz="0" w:space="0" w:color="auto"/>
                    <w:left w:val="none" w:sz="0" w:space="0" w:color="auto"/>
                    <w:bottom w:val="none" w:sz="0" w:space="0" w:color="auto"/>
                    <w:right w:val="none" w:sz="0" w:space="0" w:color="auto"/>
                  </w:divBdr>
                  <w:divsChild>
                    <w:div w:id="197009724">
                      <w:marLeft w:val="0"/>
                      <w:marRight w:val="0"/>
                      <w:marTop w:val="0"/>
                      <w:marBottom w:val="0"/>
                      <w:divBdr>
                        <w:top w:val="none" w:sz="0" w:space="0" w:color="auto"/>
                        <w:left w:val="none" w:sz="0" w:space="0" w:color="auto"/>
                        <w:bottom w:val="none" w:sz="0" w:space="0" w:color="auto"/>
                        <w:right w:val="none" w:sz="0" w:space="0" w:color="auto"/>
                      </w:divBdr>
                    </w:div>
                  </w:divsChild>
                </w:div>
                <w:div w:id="77216684">
                  <w:marLeft w:val="0"/>
                  <w:marRight w:val="0"/>
                  <w:marTop w:val="0"/>
                  <w:marBottom w:val="0"/>
                  <w:divBdr>
                    <w:top w:val="none" w:sz="0" w:space="0" w:color="auto"/>
                    <w:left w:val="none" w:sz="0" w:space="0" w:color="auto"/>
                    <w:bottom w:val="none" w:sz="0" w:space="0" w:color="auto"/>
                    <w:right w:val="none" w:sz="0" w:space="0" w:color="auto"/>
                  </w:divBdr>
                  <w:divsChild>
                    <w:div w:id="596985991">
                      <w:marLeft w:val="0"/>
                      <w:marRight w:val="0"/>
                      <w:marTop w:val="0"/>
                      <w:marBottom w:val="0"/>
                      <w:divBdr>
                        <w:top w:val="none" w:sz="0" w:space="0" w:color="auto"/>
                        <w:left w:val="none" w:sz="0" w:space="0" w:color="auto"/>
                        <w:bottom w:val="none" w:sz="0" w:space="0" w:color="auto"/>
                        <w:right w:val="none" w:sz="0" w:space="0" w:color="auto"/>
                      </w:divBdr>
                    </w:div>
                  </w:divsChild>
                </w:div>
                <w:div w:id="86116695">
                  <w:marLeft w:val="0"/>
                  <w:marRight w:val="0"/>
                  <w:marTop w:val="0"/>
                  <w:marBottom w:val="0"/>
                  <w:divBdr>
                    <w:top w:val="none" w:sz="0" w:space="0" w:color="auto"/>
                    <w:left w:val="none" w:sz="0" w:space="0" w:color="auto"/>
                    <w:bottom w:val="none" w:sz="0" w:space="0" w:color="auto"/>
                    <w:right w:val="none" w:sz="0" w:space="0" w:color="auto"/>
                  </w:divBdr>
                  <w:divsChild>
                    <w:div w:id="747729004">
                      <w:marLeft w:val="0"/>
                      <w:marRight w:val="0"/>
                      <w:marTop w:val="0"/>
                      <w:marBottom w:val="0"/>
                      <w:divBdr>
                        <w:top w:val="none" w:sz="0" w:space="0" w:color="auto"/>
                        <w:left w:val="none" w:sz="0" w:space="0" w:color="auto"/>
                        <w:bottom w:val="none" w:sz="0" w:space="0" w:color="auto"/>
                        <w:right w:val="none" w:sz="0" w:space="0" w:color="auto"/>
                      </w:divBdr>
                    </w:div>
                  </w:divsChild>
                </w:div>
                <w:div w:id="143590441">
                  <w:marLeft w:val="0"/>
                  <w:marRight w:val="0"/>
                  <w:marTop w:val="0"/>
                  <w:marBottom w:val="0"/>
                  <w:divBdr>
                    <w:top w:val="none" w:sz="0" w:space="0" w:color="auto"/>
                    <w:left w:val="none" w:sz="0" w:space="0" w:color="auto"/>
                    <w:bottom w:val="none" w:sz="0" w:space="0" w:color="auto"/>
                    <w:right w:val="none" w:sz="0" w:space="0" w:color="auto"/>
                  </w:divBdr>
                  <w:divsChild>
                    <w:div w:id="1721660995">
                      <w:marLeft w:val="0"/>
                      <w:marRight w:val="0"/>
                      <w:marTop w:val="0"/>
                      <w:marBottom w:val="0"/>
                      <w:divBdr>
                        <w:top w:val="none" w:sz="0" w:space="0" w:color="auto"/>
                        <w:left w:val="none" w:sz="0" w:space="0" w:color="auto"/>
                        <w:bottom w:val="none" w:sz="0" w:space="0" w:color="auto"/>
                        <w:right w:val="none" w:sz="0" w:space="0" w:color="auto"/>
                      </w:divBdr>
                    </w:div>
                  </w:divsChild>
                </w:div>
                <w:div w:id="169223667">
                  <w:marLeft w:val="0"/>
                  <w:marRight w:val="0"/>
                  <w:marTop w:val="0"/>
                  <w:marBottom w:val="0"/>
                  <w:divBdr>
                    <w:top w:val="none" w:sz="0" w:space="0" w:color="auto"/>
                    <w:left w:val="none" w:sz="0" w:space="0" w:color="auto"/>
                    <w:bottom w:val="none" w:sz="0" w:space="0" w:color="auto"/>
                    <w:right w:val="none" w:sz="0" w:space="0" w:color="auto"/>
                  </w:divBdr>
                  <w:divsChild>
                    <w:div w:id="1823814343">
                      <w:marLeft w:val="0"/>
                      <w:marRight w:val="0"/>
                      <w:marTop w:val="0"/>
                      <w:marBottom w:val="0"/>
                      <w:divBdr>
                        <w:top w:val="none" w:sz="0" w:space="0" w:color="auto"/>
                        <w:left w:val="none" w:sz="0" w:space="0" w:color="auto"/>
                        <w:bottom w:val="none" w:sz="0" w:space="0" w:color="auto"/>
                        <w:right w:val="none" w:sz="0" w:space="0" w:color="auto"/>
                      </w:divBdr>
                    </w:div>
                  </w:divsChild>
                </w:div>
                <w:div w:id="192622533">
                  <w:marLeft w:val="0"/>
                  <w:marRight w:val="0"/>
                  <w:marTop w:val="0"/>
                  <w:marBottom w:val="0"/>
                  <w:divBdr>
                    <w:top w:val="none" w:sz="0" w:space="0" w:color="auto"/>
                    <w:left w:val="none" w:sz="0" w:space="0" w:color="auto"/>
                    <w:bottom w:val="none" w:sz="0" w:space="0" w:color="auto"/>
                    <w:right w:val="none" w:sz="0" w:space="0" w:color="auto"/>
                  </w:divBdr>
                  <w:divsChild>
                    <w:div w:id="650983044">
                      <w:marLeft w:val="0"/>
                      <w:marRight w:val="0"/>
                      <w:marTop w:val="0"/>
                      <w:marBottom w:val="0"/>
                      <w:divBdr>
                        <w:top w:val="none" w:sz="0" w:space="0" w:color="auto"/>
                        <w:left w:val="none" w:sz="0" w:space="0" w:color="auto"/>
                        <w:bottom w:val="none" w:sz="0" w:space="0" w:color="auto"/>
                        <w:right w:val="none" w:sz="0" w:space="0" w:color="auto"/>
                      </w:divBdr>
                    </w:div>
                  </w:divsChild>
                </w:div>
                <w:div w:id="194924217">
                  <w:marLeft w:val="0"/>
                  <w:marRight w:val="0"/>
                  <w:marTop w:val="0"/>
                  <w:marBottom w:val="0"/>
                  <w:divBdr>
                    <w:top w:val="none" w:sz="0" w:space="0" w:color="auto"/>
                    <w:left w:val="none" w:sz="0" w:space="0" w:color="auto"/>
                    <w:bottom w:val="none" w:sz="0" w:space="0" w:color="auto"/>
                    <w:right w:val="none" w:sz="0" w:space="0" w:color="auto"/>
                  </w:divBdr>
                  <w:divsChild>
                    <w:div w:id="1172598225">
                      <w:marLeft w:val="0"/>
                      <w:marRight w:val="0"/>
                      <w:marTop w:val="0"/>
                      <w:marBottom w:val="0"/>
                      <w:divBdr>
                        <w:top w:val="none" w:sz="0" w:space="0" w:color="auto"/>
                        <w:left w:val="none" w:sz="0" w:space="0" w:color="auto"/>
                        <w:bottom w:val="none" w:sz="0" w:space="0" w:color="auto"/>
                        <w:right w:val="none" w:sz="0" w:space="0" w:color="auto"/>
                      </w:divBdr>
                    </w:div>
                  </w:divsChild>
                </w:div>
                <w:div w:id="206652092">
                  <w:marLeft w:val="0"/>
                  <w:marRight w:val="0"/>
                  <w:marTop w:val="0"/>
                  <w:marBottom w:val="0"/>
                  <w:divBdr>
                    <w:top w:val="none" w:sz="0" w:space="0" w:color="auto"/>
                    <w:left w:val="none" w:sz="0" w:space="0" w:color="auto"/>
                    <w:bottom w:val="none" w:sz="0" w:space="0" w:color="auto"/>
                    <w:right w:val="none" w:sz="0" w:space="0" w:color="auto"/>
                  </w:divBdr>
                  <w:divsChild>
                    <w:div w:id="104010947">
                      <w:marLeft w:val="0"/>
                      <w:marRight w:val="0"/>
                      <w:marTop w:val="0"/>
                      <w:marBottom w:val="0"/>
                      <w:divBdr>
                        <w:top w:val="none" w:sz="0" w:space="0" w:color="auto"/>
                        <w:left w:val="none" w:sz="0" w:space="0" w:color="auto"/>
                        <w:bottom w:val="none" w:sz="0" w:space="0" w:color="auto"/>
                        <w:right w:val="none" w:sz="0" w:space="0" w:color="auto"/>
                      </w:divBdr>
                    </w:div>
                  </w:divsChild>
                </w:div>
                <w:div w:id="231045738">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 w:id="259678722">
                  <w:marLeft w:val="0"/>
                  <w:marRight w:val="0"/>
                  <w:marTop w:val="0"/>
                  <w:marBottom w:val="0"/>
                  <w:divBdr>
                    <w:top w:val="none" w:sz="0" w:space="0" w:color="auto"/>
                    <w:left w:val="none" w:sz="0" w:space="0" w:color="auto"/>
                    <w:bottom w:val="none" w:sz="0" w:space="0" w:color="auto"/>
                    <w:right w:val="none" w:sz="0" w:space="0" w:color="auto"/>
                  </w:divBdr>
                  <w:divsChild>
                    <w:div w:id="675957045">
                      <w:marLeft w:val="0"/>
                      <w:marRight w:val="0"/>
                      <w:marTop w:val="0"/>
                      <w:marBottom w:val="0"/>
                      <w:divBdr>
                        <w:top w:val="none" w:sz="0" w:space="0" w:color="auto"/>
                        <w:left w:val="none" w:sz="0" w:space="0" w:color="auto"/>
                        <w:bottom w:val="none" w:sz="0" w:space="0" w:color="auto"/>
                        <w:right w:val="none" w:sz="0" w:space="0" w:color="auto"/>
                      </w:divBdr>
                    </w:div>
                  </w:divsChild>
                </w:div>
                <w:div w:id="278221563">
                  <w:marLeft w:val="0"/>
                  <w:marRight w:val="0"/>
                  <w:marTop w:val="0"/>
                  <w:marBottom w:val="0"/>
                  <w:divBdr>
                    <w:top w:val="none" w:sz="0" w:space="0" w:color="auto"/>
                    <w:left w:val="none" w:sz="0" w:space="0" w:color="auto"/>
                    <w:bottom w:val="none" w:sz="0" w:space="0" w:color="auto"/>
                    <w:right w:val="none" w:sz="0" w:space="0" w:color="auto"/>
                  </w:divBdr>
                  <w:divsChild>
                    <w:div w:id="1456101646">
                      <w:marLeft w:val="0"/>
                      <w:marRight w:val="0"/>
                      <w:marTop w:val="0"/>
                      <w:marBottom w:val="0"/>
                      <w:divBdr>
                        <w:top w:val="none" w:sz="0" w:space="0" w:color="auto"/>
                        <w:left w:val="none" w:sz="0" w:space="0" w:color="auto"/>
                        <w:bottom w:val="none" w:sz="0" w:space="0" w:color="auto"/>
                        <w:right w:val="none" w:sz="0" w:space="0" w:color="auto"/>
                      </w:divBdr>
                    </w:div>
                  </w:divsChild>
                </w:div>
                <w:div w:id="292754490">
                  <w:marLeft w:val="0"/>
                  <w:marRight w:val="0"/>
                  <w:marTop w:val="0"/>
                  <w:marBottom w:val="0"/>
                  <w:divBdr>
                    <w:top w:val="none" w:sz="0" w:space="0" w:color="auto"/>
                    <w:left w:val="none" w:sz="0" w:space="0" w:color="auto"/>
                    <w:bottom w:val="none" w:sz="0" w:space="0" w:color="auto"/>
                    <w:right w:val="none" w:sz="0" w:space="0" w:color="auto"/>
                  </w:divBdr>
                  <w:divsChild>
                    <w:div w:id="641037978">
                      <w:marLeft w:val="0"/>
                      <w:marRight w:val="0"/>
                      <w:marTop w:val="0"/>
                      <w:marBottom w:val="0"/>
                      <w:divBdr>
                        <w:top w:val="none" w:sz="0" w:space="0" w:color="auto"/>
                        <w:left w:val="none" w:sz="0" w:space="0" w:color="auto"/>
                        <w:bottom w:val="none" w:sz="0" w:space="0" w:color="auto"/>
                        <w:right w:val="none" w:sz="0" w:space="0" w:color="auto"/>
                      </w:divBdr>
                    </w:div>
                  </w:divsChild>
                </w:div>
                <w:div w:id="344554556">
                  <w:marLeft w:val="0"/>
                  <w:marRight w:val="0"/>
                  <w:marTop w:val="0"/>
                  <w:marBottom w:val="0"/>
                  <w:divBdr>
                    <w:top w:val="none" w:sz="0" w:space="0" w:color="auto"/>
                    <w:left w:val="none" w:sz="0" w:space="0" w:color="auto"/>
                    <w:bottom w:val="none" w:sz="0" w:space="0" w:color="auto"/>
                    <w:right w:val="none" w:sz="0" w:space="0" w:color="auto"/>
                  </w:divBdr>
                  <w:divsChild>
                    <w:div w:id="2042895426">
                      <w:marLeft w:val="0"/>
                      <w:marRight w:val="0"/>
                      <w:marTop w:val="0"/>
                      <w:marBottom w:val="0"/>
                      <w:divBdr>
                        <w:top w:val="none" w:sz="0" w:space="0" w:color="auto"/>
                        <w:left w:val="none" w:sz="0" w:space="0" w:color="auto"/>
                        <w:bottom w:val="none" w:sz="0" w:space="0" w:color="auto"/>
                        <w:right w:val="none" w:sz="0" w:space="0" w:color="auto"/>
                      </w:divBdr>
                    </w:div>
                  </w:divsChild>
                </w:div>
                <w:div w:id="345133338">
                  <w:marLeft w:val="0"/>
                  <w:marRight w:val="0"/>
                  <w:marTop w:val="0"/>
                  <w:marBottom w:val="0"/>
                  <w:divBdr>
                    <w:top w:val="none" w:sz="0" w:space="0" w:color="auto"/>
                    <w:left w:val="none" w:sz="0" w:space="0" w:color="auto"/>
                    <w:bottom w:val="none" w:sz="0" w:space="0" w:color="auto"/>
                    <w:right w:val="none" w:sz="0" w:space="0" w:color="auto"/>
                  </w:divBdr>
                  <w:divsChild>
                    <w:div w:id="1475180356">
                      <w:marLeft w:val="0"/>
                      <w:marRight w:val="0"/>
                      <w:marTop w:val="0"/>
                      <w:marBottom w:val="0"/>
                      <w:divBdr>
                        <w:top w:val="none" w:sz="0" w:space="0" w:color="auto"/>
                        <w:left w:val="none" w:sz="0" w:space="0" w:color="auto"/>
                        <w:bottom w:val="none" w:sz="0" w:space="0" w:color="auto"/>
                        <w:right w:val="none" w:sz="0" w:space="0" w:color="auto"/>
                      </w:divBdr>
                    </w:div>
                  </w:divsChild>
                </w:div>
                <w:div w:id="355079761">
                  <w:marLeft w:val="0"/>
                  <w:marRight w:val="0"/>
                  <w:marTop w:val="0"/>
                  <w:marBottom w:val="0"/>
                  <w:divBdr>
                    <w:top w:val="none" w:sz="0" w:space="0" w:color="auto"/>
                    <w:left w:val="none" w:sz="0" w:space="0" w:color="auto"/>
                    <w:bottom w:val="none" w:sz="0" w:space="0" w:color="auto"/>
                    <w:right w:val="none" w:sz="0" w:space="0" w:color="auto"/>
                  </w:divBdr>
                  <w:divsChild>
                    <w:div w:id="578291072">
                      <w:marLeft w:val="0"/>
                      <w:marRight w:val="0"/>
                      <w:marTop w:val="0"/>
                      <w:marBottom w:val="0"/>
                      <w:divBdr>
                        <w:top w:val="none" w:sz="0" w:space="0" w:color="auto"/>
                        <w:left w:val="none" w:sz="0" w:space="0" w:color="auto"/>
                        <w:bottom w:val="none" w:sz="0" w:space="0" w:color="auto"/>
                        <w:right w:val="none" w:sz="0" w:space="0" w:color="auto"/>
                      </w:divBdr>
                    </w:div>
                  </w:divsChild>
                </w:div>
                <w:div w:id="465852171">
                  <w:marLeft w:val="0"/>
                  <w:marRight w:val="0"/>
                  <w:marTop w:val="0"/>
                  <w:marBottom w:val="0"/>
                  <w:divBdr>
                    <w:top w:val="none" w:sz="0" w:space="0" w:color="auto"/>
                    <w:left w:val="none" w:sz="0" w:space="0" w:color="auto"/>
                    <w:bottom w:val="none" w:sz="0" w:space="0" w:color="auto"/>
                    <w:right w:val="none" w:sz="0" w:space="0" w:color="auto"/>
                  </w:divBdr>
                  <w:divsChild>
                    <w:div w:id="137888662">
                      <w:marLeft w:val="0"/>
                      <w:marRight w:val="0"/>
                      <w:marTop w:val="0"/>
                      <w:marBottom w:val="0"/>
                      <w:divBdr>
                        <w:top w:val="none" w:sz="0" w:space="0" w:color="auto"/>
                        <w:left w:val="none" w:sz="0" w:space="0" w:color="auto"/>
                        <w:bottom w:val="none" w:sz="0" w:space="0" w:color="auto"/>
                        <w:right w:val="none" w:sz="0" w:space="0" w:color="auto"/>
                      </w:divBdr>
                    </w:div>
                  </w:divsChild>
                </w:div>
                <w:div w:id="474377219">
                  <w:marLeft w:val="0"/>
                  <w:marRight w:val="0"/>
                  <w:marTop w:val="0"/>
                  <w:marBottom w:val="0"/>
                  <w:divBdr>
                    <w:top w:val="none" w:sz="0" w:space="0" w:color="auto"/>
                    <w:left w:val="none" w:sz="0" w:space="0" w:color="auto"/>
                    <w:bottom w:val="none" w:sz="0" w:space="0" w:color="auto"/>
                    <w:right w:val="none" w:sz="0" w:space="0" w:color="auto"/>
                  </w:divBdr>
                  <w:divsChild>
                    <w:div w:id="183520702">
                      <w:marLeft w:val="0"/>
                      <w:marRight w:val="0"/>
                      <w:marTop w:val="0"/>
                      <w:marBottom w:val="0"/>
                      <w:divBdr>
                        <w:top w:val="none" w:sz="0" w:space="0" w:color="auto"/>
                        <w:left w:val="none" w:sz="0" w:space="0" w:color="auto"/>
                        <w:bottom w:val="none" w:sz="0" w:space="0" w:color="auto"/>
                        <w:right w:val="none" w:sz="0" w:space="0" w:color="auto"/>
                      </w:divBdr>
                    </w:div>
                  </w:divsChild>
                </w:div>
                <w:div w:id="474956053">
                  <w:marLeft w:val="0"/>
                  <w:marRight w:val="0"/>
                  <w:marTop w:val="0"/>
                  <w:marBottom w:val="0"/>
                  <w:divBdr>
                    <w:top w:val="none" w:sz="0" w:space="0" w:color="auto"/>
                    <w:left w:val="none" w:sz="0" w:space="0" w:color="auto"/>
                    <w:bottom w:val="none" w:sz="0" w:space="0" w:color="auto"/>
                    <w:right w:val="none" w:sz="0" w:space="0" w:color="auto"/>
                  </w:divBdr>
                  <w:divsChild>
                    <w:div w:id="1888644831">
                      <w:marLeft w:val="0"/>
                      <w:marRight w:val="0"/>
                      <w:marTop w:val="0"/>
                      <w:marBottom w:val="0"/>
                      <w:divBdr>
                        <w:top w:val="none" w:sz="0" w:space="0" w:color="auto"/>
                        <w:left w:val="none" w:sz="0" w:space="0" w:color="auto"/>
                        <w:bottom w:val="none" w:sz="0" w:space="0" w:color="auto"/>
                        <w:right w:val="none" w:sz="0" w:space="0" w:color="auto"/>
                      </w:divBdr>
                    </w:div>
                  </w:divsChild>
                </w:div>
                <w:div w:id="494733445">
                  <w:marLeft w:val="0"/>
                  <w:marRight w:val="0"/>
                  <w:marTop w:val="0"/>
                  <w:marBottom w:val="0"/>
                  <w:divBdr>
                    <w:top w:val="none" w:sz="0" w:space="0" w:color="auto"/>
                    <w:left w:val="none" w:sz="0" w:space="0" w:color="auto"/>
                    <w:bottom w:val="none" w:sz="0" w:space="0" w:color="auto"/>
                    <w:right w:val="none" w:sz="0" w:space="0" w:color="auto"/>
                  </w:divBdr>
                  <w:divsChild>
                    <w:div w:id="768309387">
                      <w:marLeft w:val="0"/>
                      <w:marRight w:val="0"/>
                      <w:marTop w:val="0"/>
                      <w:marBottom w:val="0"/>
                      <w:divBdr>
                        <w:top w:val="none" w:sz="0" w:space="0" w:color="auto"/>
                        <w:left w:val="none" w:sz="0" w:space="0" w:color="auto"/>
                        <w:bottom w:val="none" w:sz="0" w:space="0" w:color="auto"/>
                        <w:right w:val="none" w:sz="0" w:space="0" w:color="auto"/>
                      </w:divBdr>
                    </w:div>
                    <w:div w:id="1018586387">
                      <w:marLeft w:val="0"/>
                      <w:marRight w:val="0"/>
                      <w:marTop w:val="0"/>
                      <w:marBottom w:val="0"/>
                      <w:divBdr>
                        <w:top w:val="none" w:sz="0" w:space="0" w:color="auto"/>
                        <w:left w:val="none" w:sz="0" w:space="0" w:color="auto"/>
                        <w:bottom w:val="none" w:sz="0" w:space="0" w:color="auto"/>
                        <w:right w:val="none" w:sz="0" w:space="0" w:color="auto"/>
                      </w:divBdr>
                    </w:div>
                  </w:divsChild>
                </w:div>
                <w:div w:id="500317632">
                  <w:marLeft w:val="0"/>
                  <w:marRight w:val="0"/>
                  <w:marTop w:val="0"/>
                  <w:marBottom w:val="0"/>
                  <w:divBdr>
                    <w:top w:val="none" w:sz="0" w:space="0" w:color="auto"/>
                    <w:left w:val="none" w:sz="0" w:space="0" w:color="auto"/>
                    <w:bottom w:val="none" w:sz="0" w:space="0" w:color="auto"/>
                    <w:right w:val="none" w:sz="0" w:space="0" w:color="auto"/>
                  </w:divBdr>
                  <w:divsChild>
                    <w:div w:id="2073959880">
                      <w:marLeft w:val="0"/>
                      <w:marRight w:val="0"/>
                      <w:marTop w:val="0"/>
                      <w:marBottom w:val="0"/>
                      <w:divBdr>
                        <w:top w:val="none" w:sz="0" w:space="0" w:color="auto"/>
                        <w:left w:val="none" w:sz="0" w:space="0" w:color="auto"/>
                        <w:bottom w:val="none" w:sz="0" w:space="0" w:color="auto"/>
                        <w:right w:val="none" w:sz="0" w:space="0" w:color="auto"/>
                      </w:divBdr>
                    </w:div>
                  </w:divsChild>
                </w:div>
                <w:div w:id="500704379">
                  <w:marLeft w:val="0"/>
                  <w:marRight w:val="0"/>
                  <w:marTop w:val="0"/>
                  <w:marBottom w:val="0"/>
                  <w:divBdr>
                    <w:top w:val="none" w:sz="0" w:space="0" w:color="auto"/>
                    <w:left w:val="none" w:sz="0" w:space="0" w:color="auto"/>
                    <w:bottom w:val="none" w:sz="0" w:space="0" w:color="auto"/>
                    <w:right w:val="none" w:sz="0" w:space="0" w:color="auto"/>
                  </w:divBdr>
                  <w:divsChild>
                    <w:div w:id="2119057380">
                      <w:marLeft w:val="0"/>
                      <w:marRight w:val="0"/>
                      <w:marTop w:val="0"/>
                      <w:marBottom w:val="0"/>
                      <w:divBdr>
                        <w:top w:val="none" w:sz="0" w:space="0" w:color="auto"/>
                        <w:left w:val="none" w:sz="0" w:space="0" w:color="auto"/>
                        <w:bottom w:val="none" w:sz="0" w:space="0" w:color="auto"/>
                        <w:right w:val="none" w:sz="0" w:space="0" w:color="auto"/>
                      </w:divBdr>
                    </w:div>
                  </w:divsChild>
                </w:div>
                <w:div w:id="523980566">
                  <w:marLeft w:val="0"/>
                  <w:marRight w:val="0"/>
                  <w:marTop w:val="0"/>
                  <w:marBottom w:val="0"/>
                  <w:divBdr>
                    <w:top w:val="none" w:sz="0" w:space="0" w:color="auto"/>
                    <w:left w:val="none" w:sz="0" w:space="0" w:color="auto"/>
                    <w:bottom w:val="none" w:sz="0" w:space="0" w:color="auto"/>
                    <w:right w:val="none" w:sz="0" w:space="0" w:color="auto"/>
                  </w:divBdr>
                  <w:divsChild>
                    <w:div w:id="3438064">
                      <w:marLeft w:val="0"/>
                      <w:marRight w:val="0"/>
                      <w:marTop w:val="0"/>
                      <w:marBottom w:val="0"/>
                      <w:divBdr>
                        <w:top w:val="none" w:sz="0" w:space="0" w:color="auto"/>
                        <w:left w:val="none" w:sz="0" w:space="0" w:color="auto"/>
                        <w:bottom w:val="none" w:sz="0" w:space="0" w:color="auto"/>
                        <w:right w:val="none" w:sz="0" w:space="0" w:color="auto"/>
                      </w:divBdr>
                    </w:div>
                  </w:divsChild>
                </w:div>
                <w:div w:id="579410382">
                  <w:marLeft w:val="0"/>
                  <w:marRight w:val="0"/>
                  <w:marTop w:val="0"/>
                  <w:marBottom w:val="0"/>
                  <w:divBdr>
                    <w:top w:val="none" w:sz="0" w:space="0" w:color="auto"/>
                    <w:left w:val="none" w:sz="0" w:space="0" w:color="auto"/>
                    <w:bottom w:val="none" w:sz="0" w:space="0" w:color="auto"/>
                    <w:right w:val="none" w:sz="0" w:space="0" w:color="auto"/>
                  </w:divBdr>
                  <w:divsChild>
                    <w:div w:id="1855418370">
                      <w:marLeft w:val="0"/>
                      <w:marRight w:val="0"/>
                      <w:marTop w:val="0"/>
                      <w:marBottom w:val="0"/>
                      <w:divBdr>
                        <w:top w:val="none" w:sz="0" w:space="0" w:color="auto"/>
                        <w:left w:val="none" w:sz="0" w:space="0" w:color="auto"/>
                        <w:bottom w:val="none" w:sz="0" w:space="0" w:color="auto"/>
                        <w:right w:val="none" w:sz="0" w:space="0" w:color="auto"/>
                      </w:divBdr>
                    </w:div>
                  </w:divsChild>
                </w:div>
                <w:div w:id="590088803">
                  <w:marLeft w:val="0"/>
                  <w:marRight w:val="0"/>
                  <w:marTop w:val="0"/>
                  <w:marBottom w:val="0"/>
                  <w:divBdr>
                    <w:top w:val="none" w:sz="0" w:space="0" w:color="auto"/>
                    <w:left w:val="none" w:sz="0" w:space="0" w:color="auto"/>
                    <w:bottom w:val="none" w:sz="0" w:space="0" w:color="auto"/>
                    <w:right w:val="none" w:sz="0" w:space="0" w:color="auto"/>
                  </w:divBdr>
                  <w:divsChild>
                    <w:div w:id="509682141">
                      <w:marLeft w:val="0"/>
                      <w:marRight w:val="0"/>
                      <w:marTop w:val="0"/>
                      <w:marBottom w:val="0"/>
                      <w:divBdr>
                        <w:top w:val="none" w:sz="0" w:space="0" w:color="auto"/>
                        <w:left w:val="none" w:sz="0" w:space="0" w:color="auto"/>
                        <w:bottom w:val="none" w:sz="0" w:space="0" w:color="auto"/>
                        <w:right w:val="none" w:sz="0" w:space="0" w:color="auto"/>
                      </w:divBdr>
                    </w:div>
                  </w:divsChild>
                </w:div>
                <w:div w:id="590116983">
                  <w:marLeft w:val="0"/>
                  <w:marRight w:val="0"/>
                  <w:marTop w:val="0"/>
                  <w:marBottom w:val="0"/>
                  <w:divBdr>
                    <w:top w:val="none" w:sz="0" w:space="0" w:color="auto"/>
                    <w:left w:val="none" w:sz="0" w:space="0" w:color="auto"/>
                    <w:bottom w:val="none" w:sz="0" w:space="0" w:color="auto"/>
                    <w:right w:val="none" w:sz="0" w:space="0" w:color="auto"/>
                  </w:divBdr>
                  <w:divsChild>
                    <w:div w:id="877472061">
                      <w:marLeft w:val="0"/>
                      <w:marRight w:val="0"/>
                      <w:marTop w:val="0"/>
                      <w:marBottom w:val="0"/>
                      <w:divBdr>
                        <w:top w:val="none" w:sz="0" w:space="0" w:color="auto"/>
                        <w:left w:val="none" w:sz="0" w:space="0" w:color="auto"/>
                        <w:bottom w:val="none" w:sz="0" w:space="0" w:color="auto"/>
                        <w:right w:val="none" w:sz="0" w:space="0" w:color="auto"/>
                      </w:divBdr>
                    </w:div>
                  </w:divsChild>
                </w:div>
                <w:div w:id="606425698">
                  <w:marLeft w:val="0"/>
                  <w:marRight w:val="0"/>
                  <w:marTop w:val="0"/>
                  <w:marBottom w:val="0"/>
                  <w:divBdr>
                    <w:top w:val="none" w:sz="0" w:space="0" w:color="auto"/>
                    <w:left w:val="none" w:sz="0" w:space="0" w:color="auto"/>
                    <w:bottom w:val="none" w:sz="0" w:space="0" w:color="auto"/>
                    <w:right w:val="none" w:sz="0" w:space="0" w:color="auto"/>
                  </w:divBdr>
                  <w:divsChild>
                    <w:div w:id="4213199">
                      <w:marLeft w:val="0"/>
                      <w:marRight w:val="0"/>
                      <w:marTop w:val="0"/>
                      <w:marBottom w:val="0"/>
                      <w:divBdr>
                        <w:top w:val="none" w:sz="0" w:space="0" w:color="auto"/>
                        <w:left w:val="none" w:sz="0" w:space="0" w:color="auto"/>
                        <w:bottom w:val="none" w:sz="0" w:space="0" w:color="auto"/>
                        <w:right w:val="none" w:sz="0" w:space="0" w:color="auto"/>
                      </w:divBdr>
                    </w:div>
                  </w:divsChild>
                </w:div>
                <w:div w:id="607010982">
                  <w:marLeft w:val="0"/>
                  <w:marRight w:val="0"/>
                  <w:marTop w:val="0"/>
                  <w:marBottom w:val="0"/>
                  <w:divBdr>
                    <w:top w:val="none" w:sz="0" w:space="0" w:color="auto"/>
                    <w:left w:val="none" w:sz="0" w:space="0" w:color="auto"/>
                    <w:bottom w:val="none" w:sz="0" w:space="0" w:color="auto"/>
                    <w:right w:val="none" w:sz="0" w:space="0" w:color="auto"/>
                  </w:divBdr>
                  <w:divsChild>
                    <w:div w:id="1422066709">
                      <w:marLeft w:val="0"/>
                      <w:marRight w:val="0"/>
                      <w:marTop w:val="0"/>
                      <w:marBottom w:val="0"/>
                      <w:divBdr>
                        <w:top w:val="none" w:sz="0" w:space="0" w:color="auto"/>
                        <w:left w:val="none" w:sz="0" w:space="0" w:color="auto"/>
                        <w:bottom w:val="none" w:sz="0" w:space="0" w:color="auto"/>
                        <w:right w:val="none" w:sz="0" w:space="0" w:color="auto"/>
                      </w:divBdr>
                    </w:div>
                  </w:divsChild>
                </w:div>
                <w:div w:id="607809971">
                  <w:marLeft w:val="0"/>
                  <w:marRight w:val="0"/>
                  <w:marTop w:val="0"/>
                  <w:marBottom w:val="0"/>
                  <w:divBdr>
                    <w:top w:val="none" w:sz="0" w:space="0" w:color="auto"/>
                    <w:left w:val="none" w:sz="0" w:space="0" w:color="auto"/>
                    <w:bottom w:val="none" w:sz="0" w:space="0" w:color="auto"/>
                    <w:right w:val="none" w:sz="0" w:space="0" w:color="auto"/>
                  </w:divBdr>
                  <w:divsChild>
                    <w:div w:id="12876709">
                      <w:marLeft w:val="0"/>
                      <w:marRight w:val="0"/>
                      <w:marTop w:val="0"/>
                      <w:marBottom w:val="0"/>
                      <w:divBdr>
                        <w:top w:val="none" w:sz="0" w:space="0" w:color="auto"/>
                        <w:left w:val="none" w:sz="0" w:space="0" w:color="auto"/>
                        <w:bottom w:val="none" w:sz="0" w:space="0" w:color="auto"/>
                        <w:right w:val="none" w:sz="0" w:space="0" w:color="auto"/>
                      </w:divBdr>
                    </w:div>
                  </w:divsChild>
                </w:div>
                <w:div w:id="612396193">
                  <w:marLeft w:val="0"/>
                  <w:marRight w:val="0"/>
                  <w:marTop w:val="0"/>
                  <w:marBottom w:val="0"/>
                  <w:divBdr>
                    <w:top w:val="none" w:sz="0" w:space="0" w:color="auto"/>
                    <w:left w:val="none" w:sz="0" w:space="0" w:color="auto"/>
                    <w:bottom w:val="none" w:sz="0" w:space="0" w:color="auto"/>
                    <w:right w:val="none" w:sz="0" w:space="0" w:color="auto"/>
                  </w:divBdr>
                  <w:divsChild>
                    <w:div w:id="1245384279">
                      <w:marLeft w:val="0"/>
                      <w:marRight w:val="0"/>
                      <w:marTop w:val="0"/>
                      <w:marBottom w:val="0"/>
                      <w:divBdr>
                        <w:top w:val="none" w:sz="0" w:space="0" w:color="auto"/>
                        <w:left w:val="none" w:sz="0" w:space="0" w:color="auto"/>
                        <w:bottom w:val="none" w:sz="0" w:space="0" w:color="auto"/>
                        <w:right w:val="none" w:sz="0" w:space="0" w:color="auto"/>
                      </w:divBdr>
                    </w:div>
                  </w:divsChild>
                </w:div>
                <w:div w:id="694426608">
                  <w:marLeft w:val="0"/>
                  <w:marRight w:val="0"/>
                  <w:marTop w:val="0"/>
                  <w:marBottom w:val="0"/>
                  <w:divBdr>
                    <w:top w:val="none" w:sz="0" w:space="0" w:color="auto"/>
                    <w:left w:val="none" w:sz="0" w:space="0" w:color="auto"/>
                    <w:bottom w:val="none" w:sz="0" w:space="0" w:color="auto"/>
                    <w:right w:val="none" w:sz="0" w:space="0" w:color="auto"/>
                  </w:divBdr>
                  <w:divsChild>
                    <w:div w:id="1396047950">
                      <w:marLeft w:val="0"/>
                      <w:marRight w:val="0"/>
                      <w:marTop w:val="0"/>
                      <w:marBottom w:val="0"/>
                      <w:divBdr>
                        <w:top w:val="none" w:sz="0" w:space="0" w:color="auto"/>
                        <w:left w:val="none" w:sz="0" w:space="0" w:color="auto"/>
                        <w:bottom w:val="none" w:sz="0" w:space="0" w:color="auto"/>
                        <w:right w:val="none" w:sz="0" w:space="0" w:color="auto"/>
                      </w:divBdr>
                    </w:div>
                  </w:divsChild>
                </w:div>
                <w:div w:id="735935544">
                  <w:marLeft w:val="0"/>
                  <w:marRight w:val="0"/>
                  <w:marTop w:val="0"/>
                  <w:marBottom w:val="0"/>
                  <w:divBdr>
                    <w:top w:val="none" w:sz="0" w:space="0" w:color="auto"/>
                    <w:left w:val="none" w:sz="0" w:space="0" w:color="auto"/>
                    <w:bottom w:val="none" w:sz="0" w:space="0" w:color="auto"/>
                    <w:right w:val="none" w:sz="0" w:space="0" w:color="auto"/>
                  </w:divBdr>
                  <w:divsChild>
                    <w:div w:id="1946227384">
                      <w:marLeft w:val="0"/>
                      <w:marRight w:val="0"/>
                      <w:marTop w:val="0"/>
                      <w:marBottom w:val="0"/>
                      <w:divBdr>
                        <w:top w:val="none" w:sz="0" w:space="0" w:color="auto"/>
                        <w:left w:val="none" w:sz="0" w:space="0" w:color="auto"/>
                        <w:bottom w:val="none" w:sz="0" w:space="0" w:color="auto"/>
                        <w:right w:val="none" w:sz="0" w:space="0" w:color="auto"/>
                      </w:divBdr>
                    </w:div>
                  </w:divsChild>
                </w:div>
                <w:div w:id="782502926">
                  <w:marLeft w:val="0"/>
                  <w:marRight w:val="0"/>
                  <w:marTop w:val="0"/>
                  <w:marBottom w:val="0"/>
                  <w:divBdr>
                    <w:top w:val="none" w:sz="0" w:space="0" w:color="auto"/>
                    <w:left w:val="none" w:sz="0" w:space="0" w:color="auto"/>
                    <w:bottom w:val="none" w:sz="0" w:space="0" w:color="auto"/>
                    <w:right w:val="none" w:sz="0" w:space="0" w:color="auto"/>
                  </w:divBdr>
                  <w:divsChild>
                    <w:div w:id="2009870934">
                      <w:marLeft w:val="0"/>
                      <w:marRight w:val="0"/>
                      <w:marTop w:val="0"/>
                      <w:marBottom w:val="0"/>
                      <w:divBdr>
                        <w:top w:val="none" w:sz="0" w:space="0" w:color="auto"/>
                        <w:left w:val="none" w:sz="0" w:space="0" w:color="auto"/>
                        <w:bottom w:val="none" w:sz="0" w:space="0" w:color="auto"/>
                        <w:right w:val="none" w:sz="0" w:space="0" w:color="auto"/>
                      </w:divBdr>
                    </w:div>
                  </w:divsChild>
                </w:div>
                <w:div w:id="786391610">
                  <w:marLeft w:val="0"/>
                  <w:marRight w:val="0"/>
                  <w:marTop w:val="0"/>
                  <w:marBottom w:val="0"/>
                  <w:divBdr>
                    <w:top w:val="none" w:sz="0" w:space="0" w:color="auto"/>
                    <w:left w:val="none" w:sz="0" w:space="0" w:color="auto"/>
                    <w:bottom w:val="none" w:sz="0" w:space="0" w:color="auto"/>
                    <w:right w:val="none" w:sz="0" w:space="0" w:color="auto"/>
                  </w:divBdr>
                  <w:divsChild>
                    <w:div w:id="1119690118">
                      <w:marLeft w:val="0"/>
                      <w:marRight w:val="0"/>
                      <w:marTop w:val="0"/>
                      <w:marBottom w:val="0"/>
                      <w:divBdr>
                        <w:top w:val="none" w:sz="0" w:space="0" w:color="auto"/>
                        <w:left w:val="none" w:sz="0" w:space="0" w:color="auto"/>
                        <w:bottom w:val="none" w:sz="0" w:space="0" w:color="auto"/>
                        <w:right w:val="none" w:sz="0" w:space="0" w:color="auto"/>
                      </w:divBdr>
                    </w:div>
                  </w:divsChild>
                </w:div>
                <w:div w:id="802432390">
                  <w:marLeft w:val="0"/>
                  <w:marRight w:val="0"/>
                  <w:marTop w:val="0"/>
                  <w:marBottom w:val="0"/>
                  <w:divBdr>
                    <w:top w:val="none" w:sz="0" w:space="0" w:color="auto"/>
                    <w:left w:val="none" w:sz="0" w:space="0" w:color="auto"/>
                    <w:bottom w:val="none" w:sz="0" w:space="0" w:color="auto"/>
                    <w:right w:val="none" w:sz="0" w:space="0" w:color="auto"/>
                  </w:divBdr>
                  <w:divsChild>
                    <w:div w:id="446315132">
                      <w:marLeft w:val="0"/>
                      <w:marRight w:val="0"/>
                      <w:marTop w:val="0"/>
                      <w:marBottom w:val="0"/>
                      <w:divBdr>
                        <w:top w:val="none" w:sz="0" w:space="0" w:color="auto"/>
                        <w:left w:val="none" w:sz="0" w:space="0" w:color="auto"/>
                        <w:bottom w:val="none" w:sz="0" w:space="0" w:color="auto"/>
                        <w:right w:val="none" w:sz="0" w:space="0" w:color="auto"/>
                      </w:divBdr>
                    </w:div>
                  </w:divsChild>
                </w:div>
                <w:div w:id="808937814">
                  <w:marLeft w:val="0"/>
                  <w:marRight w:val="0"/>
                  <w:marTop w:val="0"/>
                  <w:marBottom w:val="0"/>
                  <w:divBdr>
                    <w:top w:val="none" w:sz="0" w:space="0" w:color="auto"/>
                    <w:left w:val="none" w:sz="0" w:space="0" w:color="auto"/>
                    <w:bottom w:val="none" w:sz="0" w:space="0" w:color="auto"/>
                    <w:right w:val="none" w:sz="0" w:space="0" w:color="auto"/>
                  </w:divBdr>
                  <w:divsChild>
                    <w:div w:id="1831019907">
                      <w:marLeft w:val="0"/>
                      <w:marRight w:val="0"/>
                      <w:marTop w:val="0"/>
                      <w:marBottom w:val="0"/>
                      <w:divBdr>
                        <w:top w:val="none" w:sz="0" w:space="0" w:color="auto"/>
                        <w:left w:val="none" w:sz="0" w:space="0" w:color="auto"/>
                        <w:bottom w:val="none" w:sz="0" w:space="0" w:color="auto"/>
                        <w:right w:val="none" w:sz="0" w:space="0" w:color="auto"/>
                      </w:divBdr>
                    </w:div>
                  </w:divsChild>
                </w:div>
                <w:div w:id="810639692">
                  <w:marLeft w:val="0"/>
                  <w:marRight w:val="0"/>
                  <w:marTop w:val="0"/>
                  <w:marBottom w:val="0"/>
                  <w:divBdr>
                    <w:top w:val="none" w:sz="0" w:space="0" w:color="auto"/>
                    <w:left w:val="none" w:sz="0" w:space="0" w:color="auto"/>
                    <w:bottom w:val="none" w:sz="0" w:space="0" w:color="auto"/>
                    <w:right w:val="none" w:sz="0" w:space="0" w:color="auto"/>
                  </w:divBdr>
                  <w:divsChild>
                    <w:div w:id="323706261">
                      <w:marLeft w:val="0"/>
                      <w:marRight w:val="0"/>
                      <w:marTop w:val="0"/>
                      <w:marBottom w:val="0"/>
                      <w:divBdr>
                        <w:top w:val="none" w:sz="0" w:space="0" w:color="auto"/>
                        <w:left w:val="none" w:sz="0" w:space="0" w:color="auto"/>
                        <w:bottom w:val="none" w:sz="0" w:space="0" w:color="auto"/>
                        <w:right w:val="none" w:sz="0" w:space="0" w:color="auto"/>
                      </w:divBdr>
                    </w:div>
                  </w:divsChild>
                </w:div>
                <w:div w:id="829443541">
                  <w:marLeft w:val="0"/>
                  <w:marRight w:val="0"/>
                  <w:marTop w:val="0"/>
                  <w:marBottom w:val="0"/>
                  <w:divBdr>
                    <w:top w:val="none" w:sz="0" w:space="0" w:color="auto"/>
                    <w:left w:val="none" w:sz="0" w:space="0" w:color="auto"/>
                    <w:bottom w:val="none" w:sz="0" w:space="0" w:color="auto"/>
                    <w:right w:val="none" w:sz="0" w:space="0" w:color="auto"/>
                  </w:divBdr>
                  <w:divsChild>
                    <w:div w:id="881601056">
                      <w:marLeft w:val="0"/>
                      <w:marRight w:val="0"/>
                      <w:marTop w:val="0"/>
                      <w:marBottom w:val="0"/>
                      <w:divBdr>
                        <w:top w:val="none" w:sz="0" w:space="0" w:color="auto"/>
                        <w:left w:val="none" w:sz="0" w:space="0" w:color="auto"/>
                        <w:bottom w:val="none" w:sz="0" w:space="0" w:color="auto"/>
                        <w:right w:val="none" w:sz="0" w:space="0" w:color="auto"/>
                      </w:divBdr>
                    </w:div>
                  </w:divsChild>
                </w:div>
                <w:div w:id="852458018">
                  <w:marLeft w:val="0"/>
                  <w:marRight w:val="0"/>
                  <w:marTop w:val="0"/>
                  <w:marBottom w:val="0"/>
                  <w:divBdr>
                    <w:top w:val="none" w:sz="0" w:space="0" w:color="auto"/>
                    <w:left w:val="none" w:sz="0" w:space="0" w:color="auto"/>
                    <w:bottom w:val="none" w:sz="0" w:space="0" w:color="auto"/>
                    <w:right w:val="none" w:sz="0" w:space="0" w:color="auto"/>
                  </w:divBdr>
                  <w:divsChild>
                    <w:div w:id="1216964266">
                      <w:marLeft w:val="0"/>
                      <w:marRight w:val="0"/>
                      <w:marTop w:val="0"/>
                      <w:marBottom w:val="0"/>
                      <w:divBdr>
                        <w:top w:val="none" w:sz="0" w:space="0" w:color="auto"/>
                        <w:left w:val="none" w:sz="0" w:space="0" w:color="auto"/>
                        <w:bottom w:val="none" w:sz="0" w:space="0" w:color="auto"/>
                        <w:right w:val="none" w:sz="0" w:space="0" w:color="auto"/>
                      </w:divBdr>
                    </w:div>
                  </w:divsChild>
                </w:div>
                <w:div w:id="857541471">
                  <w:marLeft w:val="0"/>
                  <w:marRight w:val="0"/>
                  <w:marTop w:val="0"/>
                  <w:marBottom w:val="0"/>
                  <w:divBdr>
                    <w:top w:val="none" w:sz="0" w:space="0" w:color="auto"/>
                    <w:left w:val="none" w:sz="0" w:space="0" w:color="auto"/>
                    <w:bottom w:val="none" w:sz="0" w:space="0" w:color="auto"/>
                    <w:right w:val="none" w:sz="0" w:space="0" w:color="auto"/>
                  </w:divBdr>
                  <w:divsChild>
                    <w:div w:id="1685552708">
                      <w:marLeft w:val="0"/>
                      <w:marRight w:val="0"/>
                      <w:marTop w:val="0"/>
                      <w:marBottom w:val="0"/>
                      <w:divBdr>
                        <w:top w:val="none" w:sz="0" w:space="0" w:color="auto"/>
                        <w:left w:val="none" w:sz="0" w:space="0" w:color="auto"/>
                        <w:bottom w:val="none" w:sz="0" w:space="0" w:color="auto"/>
                        <w:right w:val="none" w:sz="0" w:space="0" w:color="auto"/>
                      </w:divBdr>
                    </w:div>
                  </w:divsChild>
                </w:div>
                <w:div w:id="869412023">
                  <w:marLeft w:val="0"/>
                  <w:marRight w:val="0"/>
                  <w:marTop w:val="0"/>
                  <w:marBottom w:val="0"/>
                  <w:divBdr>
                    <w:top w:val="none" w:sz="0" w:space="0" w:color="auto"/>
                    <w:left w:val="none" w:sz="0" w:space="0" w:color="auto"/>
                    <w:bottom w:val="none" w:sz="0" w:space="0" w:color="auto"/>
                    <w:right w:val="none" w:sz="0" w:space="0" w:color="auto"/>
                  </w:divBdr>
                  <w:divsChild>
                    <w:div w:id="2128427610">
                      <w:marLeft w:val="0"/>
                      <w:marRight w:val="0"/>
                      <w:marTop w:val="0"/>
                      <w:marBottom w:val="0"/>
                      <w:divBdr>
                        <w:top w:val="none" w:sz="0" w:space="0" w:color="auto"/>
                        <w:left w:val="none" w:sz="0" w:space="0" w:color="auto"/>
                        <w:bottom w:val="none" w:sz="0" w:space="0" w:color="auto"/>
                        <w:right w:val="none" w:sz="0" w:space="0" w:color="auto"/>
                      </w:divBdr>
                    </w:div>
                  </w:divsChild>
                </w:div>
                <w:div w:id="978267062">
                  <w:marLeft w:val="0"/>
                  <w:marRight w:val="0"/>
                  <w:marTop w:val="0"/>
                  <w:marBottom w:val="0"/>
                  <w:divBdr>
                    <w:top w:val="none" w:sz="0" w:space="0" w:color="auto"/>
                    <w:left w:val="none" w:sz="0" w:space="0" w:color="auto"/>
                    <w:bottom w:val="none" w:sz="0" w:space="0" w:color="auto"/>
                    <w:right w:val="none" w:sz="0" w:space="0" w:color="auto"/>
                  </w:divBdr>
                  <w:divsChild>
                    <w:div w:id="39328087">
                      <w:marLeft w:val="0"/>
                      <w:marRight w:val="0"/>
                      <w:marTop w:val="0"/>
                      <w:marBottom w:val="0"/>
                      <w:divBdr>
                        <w:top w:val="none" w:sz="0" w:space="0" w:color="auto"/>
                        <w:left w:val="none" w:sz="0" w:space="0" w:color="auto"/>
                        <w:bottom w:val="none" w:sz="0" w:space="0" w:color="auto"/>
                        <w:right w:val="none" w:sz="0" w:space="0" w:color="auto"/>
                      </w:divBdr>
                    </w:div>
                  </w:divsChild>
                </w:div>
                <w:div w:id="1128431507">
                  <w:marLeft w:val="0"/>
                  <w:marRight w:val="0"/>
                  <w:marTop w:val="0"/>
                  <w:marBottom w:val="0"/>
                  <w:divBdr>
                    <w:top w:val="none" w:sz="0" w:space="0" w:color="auto"/>
                    <w:left w:val="none" w:sz="0" w:space="0" w:color="auto"/>
                    <w:bottom w:val="none" w:sz="0" w:space="0" w:color="auto"/>
                    <w:right w:val="none" w:sz="0" w:space="0" w:color="auto"/>
                  </w:divBdr>
                  <w:divsChild>
                    <w:div w:id="18940019">
                      <w:marLeft w:val="0"/>
                      <w:marRight w:val="0"/>
                      <w:marTop w:val="0"/>
                      <w:marBottom w:val="0"/>
                      <w:divBdr>
                        <w:top w:val="none" w:sz="0" w:space="0" w:color="auto"/>
                        <w:left w:val="none" w:sz="0" w:space="0" w:color="auto"/>
                        <w:bottom w:val="none" w:sz="0" w:space="0" w:color="auto"/>
                        <w:right w:val="none" w:sz="0" w:space="0" w:color="auto"/>
                      </w:divBdr>
                    </w:div>
                  </w:divsChild>
                </w:div>
                <w:div w:id="1134132039">
                  <w:marLeft w:val="0"/>
                  <w:marRight w:val="0"/>
                  <w:marTop w:val="0"/>
                  <w:marBottom w:val="0"/>
                  <w:divBdr>
                    <w:top w:val="none" w:sz="0" w:space="0" w:color="auto"/>
                    <w:left w:val="none" w:sz="0" w:space="0" w:color="auto"/>
                    <w:bottom w:val="none" w:sz="0" w:space="0" w:color="auto"/>
                    <w:right w:val="none" w:sz="0" w:space="0" w:color="auto"/>
                  </w:divBdr>
                  <w:divsChild>
                    <w:div w:id="1640573680">
                      <w:marLeft w:val="0"/>
                      <w:marRight w:val="0"/>
                      <w:marTop w:val="0"/>
                      <w:marBottom w:val="0"/>
                      <w:divBdr>
                        <w:top w:val="none" w:sz="0" w:space="0" w:color="auto"/>
                        <w:left w:val="none" w:sz="0" w:space="0" w:color="auto"/>
                        <w:bottom w:val="none" w:sz="0" w:space="0" w:color="auto"/>
                        <w:right w:val="none" w:sz="0" w:space="0" w:color="auto"/>
                      </w:divBdr>
                    </w:div>
                  </w:divsChild>
                </w:div>
                <w:div w:id="1143737228">
                  <w:marLeft w:val="0"/>
                  <w:marRight w:val="0"/>
                  <w:marTop w:val="0"/>
                  <w:marBottom w:val="0"/>
                  <w:divBdr>
                    <w:top w:val="none" w:sz="0" w:space="0" w:color="auto"/>
                    <w:left w:val="none" w:sz="0" w:space="0" w:color="auto"/>
                    <w:bottom w:val="none" w:sz="0" w:space="0" w:color="auto"/>
                    <w:right w:val="none" w:sz="0" w:space="0" w:color="auto"/>
                  </w:divBdr>
                  <w:divsChild>
                    <w:div w:id="161896119">
                      <w:marLeft w:val="0"/>
                      <w:marRight w:val="0"/>
                      <w:marTop w:val="0"/>
                      <w:marBottom w:val="0"/>
                      <w:divBdr>
                        <w:top w:val="none" w:sz="0" w:space="0" w:color="auto"/>
                        <w:left w:val="none" w:sz="0" w:space="0" w:color="auto"/>
                        <w:bottom w:val="none" w:sz="0" w:space="0" w:color="auto"/>
                        <w:right w:val="none" w:sz="0" w:space="0" w:color="auto"/>
                      </w:divBdr>
                    </w:div>
                  </w:divsChild>
                </w:div>
                <w:div w:id="1265074125">
                  <w:marLeft w:val="0"/>
                  <w:marRight w:val="0"/>
                  <w:marTop w:val="0"/>
                  <w:marBottom w:val="0"/>
                  <w:divBdr>
                    <w:top w:val="none" w:sz="0" w:space="0" w:color="auto"/>
                    <w:left w:val="none" w:sz="0" w:space="0" w:color="auto"/>
                    <w:bottom w:val="none" w:sz="0" w:space="0" w:color="auto"/>
                    <w:right w:val="none" w:sz="0" w:space="0" w:color="auto"/>
                  </w:divBdr>
                  <w:divsChild>
                    <w:div w:id="1109852799">
                      <w:marLeft w:val="0"/>
                      <w:marRight w:val="0"/>
                      <w:marTop w:val="0"/>
                      <w:marBottom w:val="0"/>
                      <w:divBdr>
                        <w:top w:val="none" w:sz="0" w:space="0" w:color="auto"/>
                        <w:left w:val="none" w:sz="0" w:space="0" w:color="auto"/>
                        <w:bottom w:val="none" w:sz="0" w:space="0" w:color="auto"/>
                        <w:right w:val="none" w:sz="0" w:space="0" w:color="auto"/>
                      </w:divBdr>
                    </w:div>
                  </w:divsChild>
                </w:div>
                <w:div w:id="1305962771">
                  <w:marLeft w:val="0"/>
                  <w:marRight w:val="0"/>
                  <w:marTop w:val="0"/>
                  <w:marBottom w:val="0"/>
                  <w:divBdr>
                    <w:top w:val="none" w:sz="0" w:space="0" w:color="auto"/>
                    <w:left w:val="none" w:sz="0" w:space="0" w:color="auto"/>
                    <w:bottom w:val="none" w:sz="0" w:space="0" w:color="auto"/>
                    <w:right w:val="none" w:sz="0" w:space="0" w:color="auto"/>
                  </w:divBdr>
                  <w:divsChild>
                    <w:div w:id="128979491">
                      <w:marLeft w:val="0"/>
                      <w:marRight w:val="0"/>
                      <w:marTop w:val="0"/>
                      <w:marBottom w:val="0"/>
                      <w:divBdr>
                        <w:top w:val="none" w:sz="0" w:space="0" w:color="auto"/>
                        <w:left w:val="none" w:sz="0" w:space="0" w:color="auto"/>
                        <w:bottom w:val="none" w:sz="0" w:space="0" w:color="auto"/>
                        <w:right w:val="none" w:sz="0" w:space="0" w:color="auto"/>
                      </w:divBdr>
                    </w:div>
                  </w:divsChild>
                </w:div>
                <w:div w:id="1315720834">
                  <w:marLeft w:val="0"/>
                  <w:marRight w:val="0"/>
                  <w:marTop w:val="0"/>
                  <w:marBottom w:val="0"/>
                  <w:divBdr>
                    <w:top w:val="none" w:sz="0" w:space="0" w:color="auto"/>
                    <w:left w:val="none" w:sz="0" w:space="0" w:color="auto"/>
                    <w:bottom w:val="none" w:sz="0" w:space="0" w:color="auto"/>
                    <w:right w:val="none" w:sz="0" w:space="0" w:color="auto"/>
                  </w:divBdr>
                  <w:divsChild>
                    <w:div w:id="731856759">
                      <w:marLeft w:val="0"/>
                      <w:marRight w:val="0"/>
                      <w:marTop w:val="0"/>
                      <w:marBottom w:val="0"/>
                      <w:divBdr>
                        <w:top w:val="none" w:sz="0" w:space="0" w:color="auto"/>
                        <w:left w:val="none" w:sz="0" w:space="0" w:color="auto"/>
                        <w:bottom w:val="none" w:sz="0" w:space="0" w:color="auto"/>
                        <w:right w:val="none" w:sz="0" w:space="0" w:color="auto"/>
                      </w:divBdr>
                    </w:div>
                  </w:divsChild>
                </w:div>
                <w:div w:id="1316495656">
                  <w:marLeft w:val="0"/>
                  <w:marRight w:val="0"/>
                  <w:marTop w:val="0"/>
                  <w:marBottom w:val="0"/>
                  <w:divBdr>
                    <w:top w:val="none" w:sz="0" w:space="0" w:color="auto"/>
                    <w:left w:val="none" w:sz="0" w:space="0" w:color="auto"/>
                    <w:bottom w:val="none" w:sz="0" w:space="0" w:color="auto"/>
                    <w:right w:val="none" w:sz="0" w:space="0" w:color="auto"/>
                  </w:divBdr>
                  <w:divsChild>
                    <w:div w:id="591620289">
                      <w:marLeft w:val="0"/>
                      <w:marRight w:val="0"/>
                      <w:marTop w:val="0"/>
                      <w:marBottom w:val="0"/>
                      <w:divBdr>
                        <w:top w:val="none" w:sz="0" w:space="0" w:color="auto"/>
                        <w:left w:val="none" w:sz="0" w:space="0" w:color="auto"/>
                        <w:bottom w:val="none" w:sz="0" w:space="0" w:color="auto"/>
                        <w:right w:val="none" w:sz="0" w:space="0" w:color="auto"/>
                      </w:divBdr>
                    </w:div>
                  </w:divsChild>
                </w:div>
                <w:div w:id="1328941099">
                  <w:marLeft w:val="0"/>
                  <w:marRight w:val="0"/>
                  <w:marTop w:val="0"/>
                  <w:marBottom w:val="0"/>
                  <w:divBdr>
                    <w:top w:val="none" w:sz="0" w:space="0" w:color="auto"/>
                    <w:left w:val="none" w:sz="0" w:space="0" w:color="auto"/>
                    <w:bottom w:val="none" w:sz="0" w:space="0" w:color="auto"/>
                    <w:right w:val="none" w:sz="0" w:space="0" w:color="auto"/>
                  </w:divBdr>
                  <w:divsChild>
                    <w:div w:id="385495736">
                      <w:marLeft w:val="0"/>
                      <w:marRight w:val="0"/>
                      <w:marTop w:val="0"/>
                      <w:marBottom w:val="0"/>
                      <w:divBdr>
                        <w:top w:val="none" w:sz="0" w:space="0" w:color="auto"/>
                        <w:left w:val="none" w:sz="0" w:space="0" w:color="auto"/>
                        <w:bottom w:val="none" w:sz="0" w:space="0" w:color="auto"/>
                        <w:right w:val="none" w:sz="0" w:space="0" w:color="auto"/>
                      </w:divBdr>
                    </w:div>
                  </w:divsChild>
                </w:div>
                <w:div w:id="1345937799">
                  <w:marLeft w:val="0"/>
                  <w:marRight w:val="0"/>
                  <w:marTop w:val="0"/>
                  <w:marBottom w:val="0"/>
                  <w:divBdr>
                    <w:top w:val="none" w:sz="0" w:space="0" w:color="auto"/>
                    <w:left w:val="none" w:sz="0" w:space="0" w:color="auto"/>
                    <w:bottom w:val="none" w:sz="0" w:space="0" w:color="auto"/>
                    <w:right w:val="none" w:sz="0" w:space="0" w:color="auto"/>
                  </w:divBdr>
                  <w:divsChild>
                    <w:div w:id="1106268681">
                      <w:marLeft w:val="0"/>
                      <w:marRight w:val="0"/>
                      <w:marTop w:val="0"/>
                      <w:marBottom w:val="0"/>
                      <w:divBdr>
                        <w:top w:val="none" w:sz="0" w:space="0" w:color="auto"/>
                        <w:left w:val="none" w:sz="0" w:space="0" w:color="auto"/>
                        <w:bottom w:val="none" w:sz="0" w:space="0" w:color="auto"/>
                        <w:right w:val="none" w:sz="0" w:space="0" w:color="auto"/>
                      </w:divBdr>
                    </w:div>
                  </w:divsChild>
                </w:div>
                <w:div w:id="1358390652">
                  <w:marLeft w:val="0"/>
                  <w:marRight w:val="0"/>
                  <w:marTop w:val="0"/>
                  <w:marBottom w:val="0"/>
                  <w:divBdr>
                    <w:top w:val="none" w:sz="0" w:space="0" w:color="auto"/>
                    <w:left w:val="none" w:sz="0" w:space="0" w:color="auto"/>
                    <w:bottom w:val="none" w:sz="0" w:space="0" w:color="auto"/>
                    <w:right w:val="none" w:sz="0" w:space="0" w:color="auto"/>
                  </w:divBdr>
                  <w:divsChild>
                    <w:div w:id="499659832">
                      <w:marLeft w:val="0"/>
                      <w:marRight w:val="0"/>
                      <w:marTop w:val="0"/>
                      <w:marBottom w:val="0"/>
                      <w:divBdr>
                        <w:top w:val="none" w:sz="0" w:space="0" w:color="auto"/>
                        <w:left w:val="none" w:sz="0" w:space="0" w:color="auto"/>
                        <w:bottom w:val="none" w:sz="0" w:space="0" w:color="auto"/>
                        <w:right w:val="none" w:sz="0" w:space="0" w:color="auto"/>
                      </w:divBdr>
                    </w:div>
                  </w:divsChild>
                </w:div>
                <w:div w:id="1380665906">
                  <w:marLeft w:val="0"/>
                  <w:marRight w:val="0"/>
                  <w:marTop w:val="0"/>
                  <w:marBottom w:val="0"/>
                  <w:divBdr>
                    <w:top w:val="none" w:sz="0" w:space="0" w:color="auto"/>
                    <w:left w:val="none" w:sz="0" w:space="0" w:color="auto"/>
                    <w:bottom w:val="none" w:sz="0" w:space="0" w:color="auto"/>
                    <w:right w:val="none" w:sz="0" w:space="0" w:color="auto"/>
                  </w:divBdr>
                  <w:divsChild>
                    <w:div w:id="204831805">
                      <w:marLeft w:val="0"/>
                      <w:marRight w:val="0"/>
                      <w:marTop w:val="0"/>
                      <w:marBottom w:val="0"/>
                      <w:divBdr>
                        <w:top w:val="none" w:sz="0" w:space="0" w:color="auto"/>
                        <w:left w:val="none" w:sz="0" w:space="0" w:color="auto"/>
                        <w:bottom w:val="none" w:sz="0" w:space="0" w:color="auto"/>
                        <w:right w:val="none" w:sz="0" w:space="0" w:color="auto"/>
                      </w:divBdr>
                    </w:div>
                  </w:divsChild>
                </w:div>
                <w:div w:id="1387754408">
                  <w:marLeft w:val="0"/>
                  <w:marRight w:val="0"/>
                  <w:marTop w:val="0"/>
                  <w:marBottom w:val="0"/>
                  <w:divBdr>
                    <w:top w:val="none" w:sz="0" w:space="0" w:color="auto"/>
                    <w:left w:val="none" w:sz="0" w:space="0" w:color="auto"/>
                    <w:bottom w:val="none" w:sz="0" w:space="0" w:color="auto"/>
                    <w:right w:val="none" w:sz="0" w:space="0" w:color="auto"/>
                  </w:divBdr>
                  <w:divsChild>
                    <w:div w:id="1644658582">
                      <w:marLeft w:val="0"/>
                      <w:marRight w:val="0"/>
                      <w:marTop w:val="0"/>
                      <w:marBottom w:val="0"/>
                      <w:divBdr>
                        <w:top w:val="none" w:sz="0" w:space="0" w:color="auto"/>
                        <w:left w:val="none" w:sz="0" w:space="0" w:color="auto"/>
                        <w:bottom w:val="none" w:sz="0" w:space="0" w:color="auto"/>
                        <w:right w:val="none" w:sz="0" w:space="0" w:color="auto"/>
                      </w:divBdr>
                    </w:div>
                  </w:divsChild>
                </w:div>
                <w:div w:id="1388602815">
                  <w:marLeft w:val="0"/>
                  <w:marRight w:val="0"/>
                  <w:marTop w:val="0"/>
                  <w:marBottom w:val="0"/>
                  <w:divBdr>
                    <w:top w:val="none" w:sz="0" w:space="0" w:color="auto"/>
                    <w:left w:val="none" w:sz="0" w:space="0" w:color="auto"/>
                    <w:bottom w:val="none" w:sz="0" w:space="0" w:color="auto"/>
                    <w:right w:val="none" w:sz="0" w:space="0" w:color="auto"/>
                  </w:divBdr>
                  <w:divsChild>
                    <w:div w:id="1993680170">
                      <w:marLeft w:val="0"/>
                      <w:marRight w:val="0"/>
                      <w:marTop w:val="0"/>
                      <w:marBottom w:val="0"/>
                      <w:divBdr>
                        <w:top w:val="none" w:sz="0" w:space="0" w:color="auto"/>
                        <w:left w:val="none" w:sz="0" w:space="0" w:color="auto"/>
                        <w:bottom w:val="none" w:sz="0" w:space="0" w:color="auto"/>
                        <w:right w:val="none" w:sz="0" w:space="0" w:color="auto"/>
                      </w:divBdr>
                    </w:div>
                  </w:divsChild>
                </w:div>
                <w:div w:id="1398477388">
                  <w:marLeft w:val="0"/>
                  <w:marRight w:val="0"/>
                  <w:marTop w:val="0"/>
                  <w:marBottom w:val="0"/>
                  <w:divBdr>
                    <w:top w:val="none" w:sz="0" w:space="0" w:color="auto"/>
                    <w:left w:val="none" w:sz="0" w:space="0" w:color="auto"/>
                    <w:bottom w:val="none" w:sz="0" w:space="0" w:color="auto"/>
                    <w:right w:val="none" w:sz="0" w:space="0" w:color="auto"/>
                  </w:divBdr>
                  <w:divsChild>
                    <w:div w:id="1944266537">
                      <w:marLeft w:val="0"/>
                      <w:marRight w:val="0"/>
                      <w:marTop w:val="0"/>
                      <w:marBottom w:val="0"/>
                      <w:divBdr>
                        <w:top w:val="none" w:sz="0" w:space="0" w:color="auto"/>
                        <w:left w:val="none" w:sz="0" w:space="0" w:color="auto"/>
                        <w:bottom w:val="none" w:sz="0" w:space="0" w:color="auto"/>
                        <w:right w:val="none" w:sz="0" w:space="0" w:color="auto"/>
                      </w:divBdr>
                    </w:div>
                  </w:divsChild>
                </w:div>
                <w:div w:id="1429696221">
                  <w:marLeft w:val="0"/>
                  <w:marRight w:val="0"/>
                  <w:marTop w:val="0"/>
                  <w:marBottom w:val="0"/>
                  <w:divBdr>
                    <w:top w:val="none" w:sz="0" w:space="0" w:color="auto"/>
                    <w:left w:val="none" w:sz="0" w:space="0" w:color="auto"/>
                    <w:bottom w:val="none" w:sz="0" w:space="0" w:color="auto"/>
                    <w:right w:val="none" w:sz="0" w:space="0" w:color="auto"/>
                  </w:divBdr>
                  <w:divsChild>
                    <w:div w:id="2088308255">
                      <w:marLeft w:val="0"/>
                      <w:marRight w:val="0"/>
                      <w:marTop w:val="0"/>
                      <w:marBottom w:val="0"/>
                      <w:divBdr>
                        <w:top w:val="none" w:sz="0" w:space="0" w:color="auto"/>
                        <w:left w:val="none" w:sz="0" w:space="0" w:color="auto"/>
                        <w:bottom w:val="none" w:sz="0" w:space="0" w:color="auto"/>
                        <w:right w:val="none" w:sz="0" w:space="0" w:color="auto"/>
                      </w:divBdr>
                    </w:div>
                  </w:divsChild>
                </w:div>
                <w:div w:id="1433091368">
                  <w:marLeft w:val="0"/>
                  <w:marRight w:val="0"/>
                  <w:marTop w:val="0"/>
                  <w:marBottom w:val="0"/>
                  <w:divBdr>
                    <w:top w:val="none" w:sz="0" w:space="0" w:color="auto"/>
                    <w:left w:val="none" w:sz="0" w:space="0" w:color="auto"/>
                    <w:bottom w:val="none" w:sz="0" w:space="0" w:color="auto"/>
                    <w:right w:val="none" w:sz="0" w:space="0" w:color="auto"/>
                  </w:divBdr>
                  <w:divsChild>
                    <w:div w:id="908539780">
                      <w:marLeft w:val="0"/>
                      <w:marRight w:val="0"/>
                      <w:marTop w:val="0"/>
                      <w:marBottom w:val="0"/>
                      <w:divBdr>
                        <w:top w:val="none" w:sz="0" w:space="0" w:color="auto"/>
                        <w:left w:val="none" w:sz="0" w:space="0" w:color="auto"/>
                        <w:bottom w:val="none" w:sz="0" w:space="0" w:color="auto"/>
                        <w:right w:val="none" w:sz="0" w:space="0" w:color="auto"/>
                      </w:divBdr>
                    </w:div>
                  </w:divsChild>
                </w:div>
                <w:div w:id="1489176891">
                  <w:marLeft w:val="0"/>
                  <w:marRight w:val="0"/>
                  <w:marTop w:val="0"/>
                  <w:marBottom w:val="0"/>
                  <w:divBdr>
                    <w:top w:val="none" w:sz="0" w:space="0" w:color="auto"/>
                    <w:left w:val="none" w:sz="0" w:space="0" w:color="auto"/>
                    <w:bottom w:val="none" w:sz="0" w:space="0" w:color="auto"/>
                    <w:right w:val="none" w:sz="0" w:space="0" w:color="auto"/>
                  </w:divBdr>
                  <w:divsChild>
                    <w:div w:id="1882983817">
                      <w:marLeft w:val="0"/>
                      <w:marRight w:val="0"/>
                      <w:marTop w:val="0"/>
                      <w:marBottom w:val="0"/>
                      <w:divBdr>
                        <w:top w:val="none" w:sz="0" w:space="0" w:color="auto"/>
                        <w:left w:val="none" w:sz="0" w:space="0" w:color="auto"/>
                        <w:bottom w:val="none" w:sz="0" w:space="0" w:color="auto"/>
                        <w:right w:val="none" w:sz="0" w:space="0" w:color="auto"/>
                      </w:divBdr>
                    </w:div>
                  </w:divsChild>
                </w:div>
                <w:div w:id="1506046857">
                  <w:marLeft w:val="0"/>
                  <w:marRight w:val="0"/>
                  <w:marTop w:val="0"/>
                  <w:marBottom w:val="0"/>
                  <w:divBdr>
                    <w:top w:val="none" w:sz="0" w:space="0" w:color="auto"/>
                    <w:left w:val="none" w:sz="0" w:space="0" w:color="auto"/>
                    <w:bottom w:val="none" w:sz="0" w:space="0" w:color="auto"/>
                    <w:right w:val="none" w:sz="0" w:space="0" w:color="auto"/>
                  </w:divBdr>
                  <w:divsChild>
                    <w:div w:id="1784566962">
                      <w:marLeft w:val="0"/>
                      <w:marRight w:val="0"/>
                      <w:marTop w:val="0"/>
                      <w:marBottom w:val="0"/>
                      <w:divBdr>
                        <w:top w:val="none" w:sz="0" w:space="0" w:color="auto"/>
                        <w:left w:val="none" w:sz="0" w:space="0" w:color="auto"/>
                        <w:bottom w:val="none" w:sz="0" w:space="0" w:color="auto"/>
                        <w:right w:val="none" w:sz="0" w:space="0" w:color="auto"/>
                      </w:divBdr>
                    </w:div>
                  </w:divsChild>
                </w:div>
                <w:div w:id="1517228289">
                  <w:marLeft w:val="0"/>
                  <w:marRight w:val="0"/>
                  <w:marTop w:val="0"/>
                  <w:marBottom w:val="0"/>
                  <w:divBdr>
                    <w:top w:val="none" w:sz="0" w:space="0" w:color="auto"/>
                    <w:left w:val="none" w:sz="0" w:space="0" w:color="auto"/>
                    <w:bottom w:val="none" w:sz="0" w:space="0" w:color="auto"/>
                    <w:right w:val="none" w:sz="0" w:space="0" w:color="auto"/>
                  </w:divBdr>
                  <w:divsChild>
                    <w:div w:id="1923828407">
                      <w:marLeft w:val="0"/>
                      <w:marRight w:val="0"/>
                      <w:marTop w:val="0"/>
                      <w:marBottom w:val="0"/>
                      <w:divBdr>
                        <w:top w:val="none" w:sz="0" w:space="0" w:color="auto"/>
                        <w:left w:val="none" w:sz="0" w:space="0" w:color="auto"/>
                        <w:bottom w:val="none" w:sz="0" w:space="0" w:color="auto"/>
                        <w:right w:val="none" w:sz="0" w:space="0" w:color="auto"/>
                      </w:divBdr>
                    </w:div>
                  </w:divsChild>
                </w:div>
                <w:div w:id="1524514330">
                  <w:marLeft w:val="0"/>
                  <w:marRight w:val="0"/>
                  <w:marTop w:val="0"/>
                  <w:marBottom w:val="0"/>
                  <w:divBdr>
                    <w:top w:val="none" w:sz="0" w:space="0" w:color="auto"/>
                    <w:left w:val="none" w:sz="0" w:space="0" w:color="auto"/>
                    <w:bottom w:val="none" w:sz="0" w:space="0" w:color="auto"/>
                    <w:right w:val="none" w:sz="0" w:space="0" w:color="auto"/>
                  </w:divBdr>
                  <w:divsChild>
                    <w:div w:id="1109929466">
                      <w:marLeft w:val="0"/>
                      <w:marRight w:val="0"/>
                      <w:marTop w:val="0"/>
                      <w:marBottom w:val="0"/>
                      <w:divBdr>
                        <w:top w:val="none" w:sz="0" w:space="0" w:color="auto"/>
                        <w:left w:val="none" w:sz="0" w:space="0" w:color="auto"/>
                        <w:bottom w:val="none" w:sz="0" w:space="0" w:color="auto"/>
                        <w:right w:val="none" w:sz="0" w:space="0" w:color="auto"/>
                      </w:divBdr>
                    </w:div>
                  </w:divsChild>
                </w:div>
                <w:div w:id="1544295093">
                  <w:marLeft w:val="0"/>
                  <w:marRight w:val="0"/>
                  <w:marTop w:val="0"/>
                  <w:marBottom w:val="0"/>
                  <w:divBdr>
                    <w:top w:val="none" w:sz="0" w:space="0" w:color="auto"/>
                    <w:left w:val="none" w:sz="0" w:space="0" w:color="auto"/>
                    <w:bottom w:val="none" w:sz="0" w:space="0" w:color="auto"/>
                    <w:right w:val="none" w:sz="0" w:space="0" w:color="auto"/>
                  </w:divBdr>
                  <w:divsChild>
                    <w:div w:id="1898584692">
                      <w:marLeft w:val="0"/>
                      <w:marRight w:val="0"/>
                      <w:marTop w:val="0"/>
                      <w:marBottom w:val="0"/>
                      <w:divBdr>
                        <w:top w:val="none" w:sz="0" w:space="0" w:color="auto"/>
                        <w:left w:val="none" w:sz="0" w:space="0" w:color="auto"/>
                        <w:bottom w:val="none" w:sz="0" w:space="0" w:color="auto"/>
                        <w:right w:val="none" w:sz="0" w:space="0" w:color="auto"/>
                      </w:divBdr>
                    </w:div>
                  </w:divsChild>
                </w:div>
                <w:div w:id="1547834935">
                  <w:marLeft w:val="0"/>
                  <w:marRight w:val="0"/>
                  <w:marTop w:val="0"/>
                  <w:marBottom w:val="0"/>
                  <w:divBdr>
                    <w:top w:val="none" w:sz="0" w:space="0" w:color="auto"/>
                    <w:left w:val="none" w:sz="0" w:space="0" w:color="auto"/>
                    <w:bottom w:val="none" w:sz="0" w:space="0" w:color="auto"/>
                    <w:right w:val="none" w:sz="0" w:space="0" w:color="auto"/>
                  </w:divBdr>
                  <w:divsChild>
                    <w:div w:id="2030060327">
                      <w:marLeft w:val="0"/>
                      <w:marRight w:val="0"/>
                      <w:marTop w:val="0"/>
                      <w:marBottom w:val="0"/>
                      <w:divBdr>
                        <w:top w:val="none" w:sz="0" w:space="0" w:color="auto"/>
                        <w:left w:val="none" w:sz="0" w:space="0" w:color="auto"/>
                        <w:bottom w:val="none" w:sz="0" w:space="0" w:color="auto"/>
                        <w:right w:val="none" w:sz="0" w:space="0" w:color="auto"/>
                      </w:divBdr>
                    </w:div>
                  </w:divsChild>
                </w:div>
                <w:div w:id="1552614727">
                  <w:marLeft w:val="0"/>
                  <w:marRight w:val="0"/>
                  <w:marTop w:val="0"/>
                  <w:marBottom w:val="0"/>
                  <w:divBdr>
                    <w:top w:val="none" w:sz="0" w:space="0" w:color="auto"/>
                    <w:left w:val="none" w:sz="0" w:space="0" w:color="auto"/>
                    <w:bottom w:val="none" w:sz="0" w:space="0" w:color="auto"/>
                    <w:right w:val="none" w:sz="0" w:space="0" w:color="auto"/>
                  </w:divBdr>
                  <w:divsChild>
                    <w:div w:id="673655259">
                      <w:marLeft w:val="0"/>
                      <w:marRight w:val="0"/>
                      <w:marTop w:val="0"/>
                      <w:marBottom w:val="0"/>
                      <w:divBdr>
                        <w:top w:val="none" w:sz="0" w:space="0" w:color="auto"/>
                        <w:left w:val="none" w:sz="0" w:space="0" w:color="auto"/>
                        <w:bottom w:val="none" w:sz="0" w:space="0" w:color="auto"/>
                        <w:right w:val="none" w:sz="0" w:space="0" w:color="auto"/>
                      </w:divBdr>
                    </w:div>
                  </w:divsChild>
                </w:div>
                <w:div w:id="1567958810">
                  <w:marLeft w:val="0"/>
                  <w:marRight w:val="0"/>
                  <w:marTop w:val="0"/>
                  <w:marBottom w:val="0"/>
                  <w:divBdr>
                    <w:top w:val="none" w:sz="0" w:space="0" w:color="auto"/>
                    <w:left w:val="none" w:sz="0" w:space="0" w:color="auto"/>
                    <w:bottom w:val="none" w:sz="0" w:space="0" w:color="auto"/>
                    <w:right w:val="none" w:sz="0" w:space="0" w:color="auto"/>
                  </w:divBdr>
                  <w:divsChild>
                    <w:div w:id="11155906">
                      <w:marLeft w:val="0"/>
                      <w:marRight w:val="0"/>
                      <w:marTop w:val="0"/>
                      <w:marBottom w:val="0"/>
                      <w:divBdr>
                        <w:top w:val="none" w:sz="0" w:space="0" w:color="auto"/>
                        <w:left w:val="none" w:sz="0" w:space="0" w:color="auto"/>
                        <w:bottom w:val="none" w:sz="0" w:space="0" w:color="auto"/>
                        <w:right w:val="none" w:sz="0" w:space="0" w:color="auto"/>
                      </w:divBdr>
                    </w:div>
                  </w:divsChild>
                </w:div>
                <w:div w:id="1597131328">
                  <w:marLeft w:val="0"/>
                  <w:marRight w:val="0"/>
                  <w:marTop w:val="0"/>
                  <w:marBottom w:val="0"/>
                  <w:divBdr>
                    <w:top w:val="none" w:sz="0" w:space="0" w:color="auto"/>
                    <w:left w:val="none" w:sz="0" w:space="0" w:color="auto"/>
                    <w:bottom w:val="none" w:sz="0" w:space="0" w:color="auto"/>
                    <w:right w:val="none" w:sz="0" w:space="0" w:color="auto"/>
                  </w:divBdr>
                  <w:divsChild>
                    <w:div w:id="193811354">
                      <w:marLeft w:val="0"/>
                      <w:marRight w:val="0"/>
                      <w:marTop w:val="0"/>
                      <w:marBottom w:val="0"/>
                      <w:divBdr>
                        <w:top w:val="none" w:sz="0" w:space="0" w:color="auto"/>
                        <w:left w:val="none" w:sz="0" w:space="0" w:color="auto"/>
                        <w:bottom w:val="none" w:sz="0" w:space="0" w:color="auto"/>
                        <w:right w:val="none" w:sz="0" w:space="0" w:color="auto"/>
                      </w:divBdr>
                    </w:div>
                  </w:divsChild>
                </w:div>
                <w:div w:id="1647853101">
                  <w:marLeft w:val="0"/>
                  <w:marRight w:val="0"/>
                  <w:marTop w:val="0"/>
                  <w:marBottom w:val="0"/>
                  <w:divBdr>
                    <w:top w:val="none" w:sz="0" w:space="0" w:color="auto"/>
                    <w:left w:val="none" w:sz="0" w:space="0" w:color="auto"/>
                    <w:bottom w:val="none" w:sz="0" w:space="0" w:color="auto"/>
                    <w:right w:val="none" w:sz="0" w:space="0" w:color="auto"/>
                  </w:divBdr>
                  <w:divsChild>
                    <w:div w:id="1421758218">
                      <w:marLeft w:val="0"/>
                      <w:marRight w:val="0"/>
                      <w:marTop w:val="0"/>
                      <w:marBottom w:val="0"/>
                      <w:divBdr>
                        <w:top w:val="none" w:sz="0" w:space="0" w:color="auto"/>
                        <w:left w:val="none" w:sz="0" w:space="0" w:color="auto"/>
                        <w:bottom w:val="none" w:sz="0" w:space="0" w:color="auto"/>
                        <w:right w:val="none" w:sz="0" w:space="0" w:color="auto"/>
                      </w:divBdr>
                    </w:div>
                  </w:divsChild>
                </w:div>
                <w:div w:id="1696886360">
                  <w:marLeft w:val="0"/>
                  <w:marRight w:val="0"/>
                  <w:marTop w:val="0"/>
                  <w:marBottom w:val="0"/>
                  <w:divBdr>
                    <w:top w:val="none" w:sz="0" w:space="0" w:color="auto"/>
                    <w:left w:val="none" w:sz="0" w:space="0" w:color="auto"/>
                    <w:bottom w:val="none" w:sz="0" w:space="0" w:color="auto"/>
                    <w:right w:val="none" w:sz="0" w:space="0" w:color="auto"/>
                  </w:divBdr>
                  <w:divsChild>
                    <w:div w:id="1405253066">
                      <w:marLeft w:val="0"/>
                      <w:marRight w:val="0"/>
                      <w:marTop w:val="0"/>
                      <w:marBottom w:val="0"/>
                      <w:divBdr>
                        <w:top w:val="none" w:sz="0" w:space="0" w:color="auto"/>
                        <w:left w:val="none" w:sz="0" w:space="0" w:color="auto"/>
                        <w:bottom w:val="none" w:sz="0" w:space="0" w:color="auto"/>
                        <w:right w:val="none" w:sz="0" w:space="0" w:color="auto"/>
                      </w:divBdr>
                    </w:div>
                  </w:divsChild>
                </w:div>
                <w:div w:id="1710883119">
                  <w:marLeft w:val="0"/>
                  <w:marRight w:val="0"/>
                  <w:marTop w:val="0"/>
                  <w:marBottom w:val="0"/>
                  <w:divBdr>
                    <w:top w:val="none" w:sz="0" w:space="0" w:color="auto"/>
                    <w:left w:val="none" w:sz="0" w:space="0" w:color="auto"/>
                    <w:bottom w:val="none" w:sz="0" w:space="0" w:color="auto"/>
                    <w:right w:val="none" w:sz="0" w:space="0" w:color="auto"/>
                  </w:divBdr>
                  <w:divsChild>
                    <w:div w:id="1409499160">
                      <w:marLeft w:val="0"/>
                      <w:marRight w:val="0"/>
                      <w:marTop w:val="0"/>
                      <w:marBottom w:val="0"/>
                      <w:divBdr>
                        <w:top w:val="none" w:sz="0" w:space="0" w:color="auto"/>
                        <w:left w:val="none" w:sz="0" w:space="0" w:color="auto"/>
                        <w:bottom w:val="none" w:sz="0" w:space="0" w:color="auto"/>
                        <w:right w:val="none" w:sz="0" w:space="0" w:color="auto"/>
                      </w:divBdr>
                    </w:div>
                  </w:divsChild>
                </w:div>
                <w:div w:id="1745420464">
                  <w:marLeft w:val="0"/>
                  <w:marRight w:val="0"/>
                  <w:marTop w:val="0"/>
                  <w:marBottom w:val="0"/>
                  <w:divBdr>
                    <w:top w:val="none" w:sz="0" w:space="0" w:color="auto"/>
                    <w:left w:val="none" w:sz="0" w:space="0" w:color="auto"/>
                    <w:bottom w:val="none" w:sz="0" w:space="0" w:color="auto"/>
                    <w:right w:val="none" w:sz="0" w:space="0" w:color="auto"/>
                  </w:divBdr>
                  <w:divsChild>
                    <w:div w:id="1323460721">
                      <w:marLeft w:val="0"/>
                      <w:marRight w:val="0"/>
                      <w:marTop w:val="0"/>
                      <w:marBottom w:val="0"/>
                      <w:divBdr>
                        <w:top w:val="none" w:sz="0" w:space="0" w:color="auto"/>
                        <w:left w:val="none" w:sz="0" w:space="0" w:color="auto"/>
                        <w:bottom w:val="none" w:sz="0" w:space="0" w:color="auto"/>
                        <w:right w:val="none" w:sz="0" w:space="0" w:color="auto"/>
                      </w:divBdr>
                    </w:div>
                  </w:divsChild>
                </w:div>
                <w:div w:id="1771123311">
                  <w:marLeft w:val="0"/>
                  <w:marRight w:val="0"/>
                  <w:marTop w:val="0"/>
                  <w:marBottom w:val="0"/>
                  <w:divBdr>
                    <w:top w:val="none" w:sz="0" w:space="0" w:color="auto"/>
                    <w:left w:val="none" w:sz="0" w:space="0" w:color="auto"/>
                    <w:bottom w:val="none" w:sz="0" w:space="0" w:color="auto"/>
                    <w:right w:val="none" w:sz="0" w:space="0" w:color="auto"/>
                  </w:divBdr>
                  <w:divsChild>
                    <w:div w:id="306908270">
                      <w:marLeft w:val="0"/>
                      <w:marRight w:val="0"/>
                      <w:marTop w:val="0"/>
                      <w:marBottom w:val="0"/>
                      <w:divBdr>
                        <w:top w:val="none" w:sz="0" w:space="0" w:color="auto"/>
                        <w:left w:val="none" w:sz="0" w:space="0" w:color="auto"/>
                        <w:bottom w:val="none" w:sz="0" w:space="0" w:color="auto"/>
                        <w:right w:val="none" w:sz="0" w:space="0" w:color="auto"/>
                      </w:divBdr>
                    </w:div>
                  </w:divsChild>
                </w:div>
                <w:div w:id="1772047607">
                  <w:marLeft w:val="0"/>
                  <w:marRight w:val="0"/>
                  <w:marTop w:val="0"/>
                  <w:marBottom w:val="0"/>
                  <w:divBdr>
                    <w:top w:val="none" w:sz="0" w:space="0" w:color="auto"/>
                    <w:left w:val="none" w:sz="0" w:space="0" w:color="auto"/>
                    <w:bottom w:val="none" w:sz="0" w:space="0" w:color="auto"/>
                    <w:right w:val="none" w:sz="0" w:space="0" w:color="auto"/>
                  </w:divBdr>
                  <w:divsChild>
                    <w:div w:id="646056093">
                      <w:marLeft w:val="0"/>
                      <w:marRight w:val="0"/>
                      <w:marTop w:val="0"/>
                      <w:marBottom w:val="0"/>
                      <w:divBdr>
                        <w:top w:val="none" w:sz="0" w:space="0" w:color="auto"/>
                        <w:left w:val="none" w:sz="0" w:space="0" w:color="auto"/>
                        <w:bottom w:val="none" w:sz="0" w:space="0" w:color="auto"/>
                        <w:right w:val="none" w:sz="0" w:space="0" w:color="auto"/>
                      </w:divBdr>
                    </w:div>
                  </w:divsChild>
                </w:div>
                <w:div w:id="1787193654">
                  <w:marLeft w:val="0"/>
                  <w:marRight w:val="0"/>
                  <w:marTop w:val="0"/>
                  <w:marBottom w:val="0"/>
                  <w:divBdr>
                    <w:top w:val="none" w:sz="0" w:space="0" w:color="auto"/>
                    <w:left w:val="none" w:sz="0" w:space="0" w:color="auto"/>
                    <w:bottom w:val="none" w:sz="0" w:space="0" w:color="auto"/>
                    <w:right w:val="none" w:sz="0" w:space="0" w:color="auto"/>
                  </w:divBdr>
                  <w:divsChild>
                    <w:div w:id="232391783">
                      <w:marLeft w:val="0"/>
                      <w:marRight w:val="0"/>
                      <w:marTop w:val="0"/>
                      <w:marBottom w:val="0"/>
                      <w:divBdr>
                        <w:top w:val="none" w:sz="0" w:space="0" w:color="auto"/>
                        <w:left w:val="none" w:sz="0" w:space="0" w:color="auto"/>
                        <w:bottom w:val="none" w:sz="0" w:space="0" w:color="auto"/>
                        <w:right w:val="none" w:sz="0" w:space="0" w:color="auto"/>
                      </w:divBdr>
                    </w:div>
                  </w:divsChild>
                </w:div>
                <w:div w:id="1802721396">
                  <w:marLeft w:val="0"/>
                  <w:marRight w:val="0"/>
                  <w:marTop w:val="0"/>
                  <w:marBottom w:val="0"/>
                  <w:divBdr>
                    <w:top w:val="none" w:sz="0" w:space="0" w:color="auto"/>
                    <w:left w:val="none" w:sz="0" w:space="0" w:color="auto"/>
                    <w:bottom w:val="none" w:sz="0" w:space="0" w:color="auto"/>
                    <w:right w:val="none" w:sz="0" w:space="0" w:color="auto"/>
                  </w:divBdr>
                  <w:divsChild>
                    <w:div w:id="1395196591">
                      <w:marLeft w:val="0"/>
                      <w:marRight w:val="0"/>
                      <w:marTop w:val="0"/>
                      <w:marBottom w:val="0"/>
                      <w:divBdr>
                        <w:top w:val="none" w:sz="0" w:space="0" w:color="auto"/>
                        <w:left w:val="none" w:sz="0" w:space="0" w:color="auto"/>
                        <w:bottom w:val="none" w:sz="0" w:space="0" w:color="auto"/>
                        <w:right w:val="none" w:sz="0" w:space="0" w:color="auto"/>
                      </w:divBdr>
                    </w:div>
                  </w:divsChild>
                </w:div>
                <w:div w:id="1828668384">
                  <w:marLeft w:val="0"/>
                  <w:marRight w:val="0"/>
                  <w:marTop w:val="0"/>
                  <w:marBottom w:val="0"/>
                  <w:divBdr>
                    <w:top w:val="none" w:sz="0" w:space="0" w:color="auto"/>
                    <w:left w:val="none" w:sz="0" w:space="0" w:color="auto"/>
                    <w:bottom w:val="none" w:sz="0" w:space="0" w:color="auto"/>
                    <w:right w:val="none" w:sz="0" w:space="0" w:color="auto"/>
                  </w:divBdr>
                  <w:divsChild>
                    <w:div w:id="1332755943">
                      <w:marLeft w:val="0"/>
                      <w:marRight w:val="0"/>
                      <w:marTop w:val="0"/>
                      <w:marBottom w:val="0"/>
                      <w:divBdr>
                        <w:top w:val="none" w:sz="0" w:space="0" w:color="auto"/>
                        <w:left w:val="none" w:sz="0" w:space="0" w:color="auto"/>
                        <w:bottom w:val="none" w:sz="0" w:space="0" w:color="auto"/>
                        <w:right w:val="none" w:sz="0" w:space="0" w:color="auto"/>
                      </w:divBdr>
                    </w:div>
                  </w:divsChild>
                </w:div>
                <w:div w:id="1831747997">
                  <w:marLeft w:val="0"/>
                  <w:marRight w:val="0"/>
                  <w:marTop w:val="0"/>
                  <w:marBottom w:val="0"/>
                  <w:divBdr>
                    <w:top w:val="none" w:sz="0" w:space="0" w:color="auto"/>
                    <w:left w:val="none" w:sz="0" w:space="0" w:color="auto"/>
                    <w:bottom w:val="none" w:sz="0" w:space="0" w:color="auto"/>
                    <w:right w:val="none" w:sz="0" w:space="0" w:color="auto"/>
                  </w:divBdr>
                  <w:divsChild>
                    <w:div w:id="1849785909">
                      <w:marLeft w:val="0"/>
                      <w:marRight w:val="0"/>
                      <w:marTop w:val="0"/>
                      <w:marBottom w:val="0"/>
                      <w:divBdr>
                        <w:top w:val="none" w:sz="0" w:space="0" w:color="auto"/>
                        <w:left w:val="none" w:sz="0" w:space="0" w:color="auto"/>
                        <w:bottom w:val="none" w:sz="0" w:space="0" w:color="auto"/>
                        <w:right w:val="none" w:sz="0" w:space="0" w:color="auto"/>
                      </w:divBdr>
                    </w:div>
                  </w:divsChild>
                </w:div>
                <w:div w:id="1890846248">
                  <w:marLeft w:val="0"/>
                  <w:marRight w:val="0"/>
                  <w:marTop w:val="0"/>
                  <w:marBottom w:val="0"/>
                  <w:divBdr>
                    <w:top w:val="none" w:sz="0" w:space="0" w:color="auto"/>
                    <w:left w:val="none" w:sz="0" w:space="0" w:color="auto"/>
                    <w:bottom w:val="none" w:sz="0" w:space="0" w:color="auto"/>
                    <w:right w:val="none" w:sz="0" w:space="0" w:color="auto"/>
                  </w:divBdr>
                  <w:divsChild>
                    <w:div w:id="1663968331">
                      <w:marLeft w:val="0"/>
                      <w:marRight w:val="0"/>
                      <w:marTop w:val="0"/>
                      <w:marBottom w:val="0"/>
                      <w:divBdr>
                        <w:top w:val="none" w:sz="0" w:space="0" w:color="auto"/>
                        <w:left w:val="none" w:sz="0" w:space="0" w:color="auto"/>
                        <w:bottom w:val="none" w:sz="0" w:space="0" w:color="auto"/>
                        <w:right w:val="none" w:sz="0" w:space="0" w:color="auto"/>
                      </w:divBdr>
                    </w:div>
                  </w:divsChild>
                </w:div>
                <w:div w:id="1896547443">
                  <w:marLeft w:val="0"/>
                  <w:marRight w:val="0"/>
                  <w:marTop w:val="0"/>
                  <w:marBottom w:val="0"/>
                  <w:divBdr>
                    <w:top w:val="none" w:sz="0" w:space="0" w:color="auto"/>
                    <w:left w:val="none" w:sz="0" w:space="0" w:color="auto"/>
                    <w:bottom w:val="none" w:sz="0" w:space="0" w:color="auto"/>
                    <w:right w:val="none" w:sz="0" w:space="0" w:color="auto"/>
                  </w:divBdr>
                  <w:divsChild>
                    <w:div w:id="1678071427">
                      <w:marLeft w:val="0"/>
                      <w:marRight w:val="0"/>
                      <w:marTop w:val="0"/>
                      <w:marBottom w:val="0"/>
                      <w:divBdr>
                        <w:top w:val="none" w:sz="0" w:space="0" w:color="auto"/>
                        <w:left w:val="none" w:sz="0" w:space="0" w:color="auto"/>
                        <w:bottom w:val="none" w:sz="0" w:space="0" w:color="auto"/>
                        <w:right w:val="none" w:sz="0" w:space="0" w:color="auto"/>
                      </w:divBdr>
                    </w:div>
                  </w:divsChild>
                </w:div>
                <w:div w:id="1913929356">
                  <w:marLeft w:val="0"/>
                  <w:marRight w:val="0"/>
                  <w:marTop w:val="0"/>
                  <w:marBottom w:val="0"/>
                  <w:divBdr>
                    <w:top w:val="none" w:sz="0" w:space="0" w:color="auto"/>
                    <w:left w:val="none" w:sz="0" w:space="0" w:color="auto"/>
                    <w:bottom w:val="none" w:sz="0" w:space="0" w:color="auto"/>
                    <w:right w:val="none" w:sz="0" w:space="0" w:color="auto"/>
                  </w:divBdr>
                  <w:divsChild>
                    <w:div w:id="321398416">
                      <w:marLeft w:val="0"/>
                      <w:marRight w:val="0"/>
                      <w:marTop w:val="0"/>
                      <w:marBottom w:val="0"/>
                      <w:divBdr>
                        <w:top w:val="none" w:sz="0" w:space="0" w:color="auto"/>
                        <w:left w:val="none" w:sz="0" w:space="0" w:color="auto"/>
                        <w:bottom w:val="none" w:sz="0" w:space="0" w:color="auto"/>
                        <w:right w:val="none" w:sz="0" w:space="0" w:color="auto"/>
                      </w:divBdr>
                    </w:div>
                  </w:divsChild>
                </w:div>
                <w:div w:id="1937205455">
                  <w:marLeft w:val="0"/>
                  <w:marRight w:val="0"/>
                  <w:marTop w:val="0"/>
                  <w:marBottom w:val="0"/>
                  <w:divBdr>
                    <w:top w:val="none" w:sz="0" w:space="0" w:color="auto"/>
                    <w:left w:val="none" w:sz="0" w:space="0" w:color="auto"/>
                    <w:bottom w:val="none" w:sz="0" w:space="0" w:color="auto"/>
                    <w:right w:val="none" w:sz="0" w:space="0" w:color="auto"/>
                  </w:divBdr>
                  <w:divsChild>
                    <w:div w:id="1704742857">
                      <w:marLeft w:val="0"/>
                      <w:marRight w:val="0"/>
                      <w:marTop w:val="0"/>
                      <w:marBottom w:val="0"/>
                      <w:divBdr>
                        <w:top w:val="none" w:sz="0" w:space="0" w:color="auto"/>
                        <w:left w:val="none" w:sz="0" w:space="0" w:color="auto"/>
                        <w:bottom w:val="none" w:sz="0" w:space="0" w:color="auto"/>
                        <w:right w:val="none" w:sz="0" w:space="0" w:color="auto"/>
                      </w:divBdr>
                    </w:div>
                  </w:divsChild>
                </w:div>
                <w:div w:id="1969503500">
                  <w:marLeft w:val="0"/>
                  <w:marRight w:val="0"/>
                  <w:marTop w:val="0"/>
                  <w:marBottom w:val="0"/>
                  <w:divBdr>
                    <w:top w:val="none" w:sz="0" w:space="0" w:color="auto"/>
                    <w:left w:val="none" w:sz="0" w:space="0" w:color="auto"/>
                    <w:bottom w:val="none" w:sz="0" w:space="0" w:color="auto"/>
                    <w:right w:val="none" w:sz="0" w:space="0" w:color="auto"/>
                  </w:divBdr>
                  <w:divsChild>
                    <w:div w:id="293829380">
                      <w:marLeft w:val="0"/>
                      <w:marRight w:val="0"/>
                      <w:marTop w:val="0"/>
                      <w:marBottom w:val="0"/>
                      <w:divBdr>
                        <w:top w:val="none" w:sz="0" w:space="0" w:color="auto"/>
                        <w:left w:val="none" w:sz="0" w:space="0" w:color="auto"/>
                        <w:bottom w:val="none" w:sz="0" w:space="0" w:color="auto"/>
                        <w:right w:val="none" w:sz="0" w:space="0" w:color="auto"/>
                      </w:divBdr>
                    </w:div>
                  </w:divsChild>
                </w:div>
                <w:div w:id="1995137107">
                  <w:marLeft w:val="0"/>
                  <w:marRight w:val="0"/>
                  <w:marTop w:val="0"/>
                  <w:marBottom w:val="0"/>
                  <w:divBdr>
                    <w:top w:val="none" w:sz="0" w:space="0" w:color="auto"/>
                    <w:left w:val="none" w:sz="0" w:space="0" w:color="auto"/>
                    <w:bottom w:val="none" w:sz="0" w:space="0" w:color="auto"/>
                    <w:right w:val="none" w:sz="0" w:space="0" w:color="auto"/>
                  </w:divBdr>
                  <w:divsChild>
                    <w:div w:id="513233165">
                      <w:marLeft w:val="0"/>
                      <w:marRight w:val="0"/>
                      <w:marTop w:val="0"/>
                      <w:marBottom w:val="0"/>
                      <w:divBdr>
                        <w:top w:val="none" w:sz="0" w:space="0" w:color="auto"/>
                        <w:left w:val="none" w:sz="0" w:space="0" w:color="auto"/>
                        <w:bottom w:val="none" w:sz="0" w:space="0" w:color="auto"/>
                        <w:right w:val="none" w:sz="0" w:space="0" w:color="auto"/>
                      </w:divBdr>
                    </w:div>
                  </w:divsChild>
                </w:div>
                <w:div w:id="2025083425">
                  <w:marLeft w:val="0"/>
                  <w:marRight w:val="0"/>
                  <w:marTop w:val="0"/>
                  <w:marBottom w:val="0"/>
                  <w:divBdr>
                    <w:top w:val="none" w:sz="0" w:space="0" w:color="auto"/>
                    <w:left w:val="none" w:sz="0" w:space="0" w:color="auto"/>
                    <w:bottom w:val="none" w:sz="0" w:space="0" w:color="auto"/>
                    <w:right w:val="none" w:sz="0" w:space="0" w:color="auto"/>
                  </w:divBdr>
                  <w:divsChild>
                    <w:div w:id="2090153277">
                      <w:marLeft w:val="0"/>
                      <w:marRight w:val="0"/>
                      <w:marTop w:val="0"/>
                      <w:marBottom w:val="0"/>
                      <w:divBdr>
                        <w:top w:val="none" w:sz="0" w:space="0" w:color="auto"/>
                        <w:left w:val="none" w:sz="0" w:space="0" w:color="auto"/>
                        <w:bottom w:val="none" w:sz="0" w:space="0" w:color="auto"/>
                        <w:right w:val="none" w:sz="0" w:space="0" w:color="auto"/>
                      </w:divBdr>
                    </w:div>
                  </w:divsChild>
                </w:div>
                <w:div w:id="2047833966">
                  <w:marLeft w:val="0"/>
                  <w:marRight w:val="0"/>
                  <w:marTop w:val="0"/>
                  <w:marBottom w:val="0"/>
                  <w:divBdr>
                    <w:top w:val="none" w:sz="0" w:space="0" w:color="auto"/>
                    <w:left w:val="none" w:sz="0" w:space="0" w:color="auto"/>
                    <w:bottom w:val="none" w:sz="0" w:space="0" w:color="auto"/>
                    <w:right w:val="none" w:sz="0" w:space="0" w:color="auto"/>
                  </w:divBdr>
                  <w:divsChild>
                    <w:div w:id="1162428554">
                      <w:marLeft w:val="0"/>
                      <w:marRight w:val="0"/>
                      <w:marTop w:val="0"/>
                      <w:marBottom w:val="0"/>
                      <w:divBdr>
                        <w:top w:val="none" w:sz="0" w:space="0" w:color="auto"/>
                        <w:left w:val="none" w:sz="0" w:space="0" w:color="auto"/>
                        <w:bottom w:val="none" w:sz="0" w:space="0" w:color="auto"/>
                        <w:right w:val="none" w:sz="0" w:space="0" w:color="auto"/>
                      </w:divBdr>
                    </w:div>
                  </w:divsChild>
                </w:div>
                <w:div w:id="2064980764">
                  <w:marLeft w:val="0"/>
                  <w:marRight w:val="0"/>
                  <w:marTop w:val="0"/>
                  <w:marBottom w:val="0"/>
                  <w:divBdr>
                    <w:top w:val="none" w:sz="0" w:space="0" w:color="auto"/>
                    <w:left w:val="none" w:sz="0" w:space="0" w:color="auto"/>
                    <w:bottom w:val="none" w:sz="0" w:space="0" w:color="auto"/>
                    <w:right w:val="none" w:sz="0" w:space="0" w:color="auto"/>
                  </w:divBdr>
                  <w:divsChild>
                    <w:div w:id="1716276096">
                      <w:marLeft w:val="0"/>
                      <w:marRight w:val="0"/>
                      <w:marTop w:val="0"/>
                      <w:marBottom w:val="0"/>
                      <w:divBdr>
                        <w:top w:val="none" w:sz="0" w:space="0" w:color="auto"/>
                        <w:left w:val="none" w:sz="0" w:space="0" w:color="auto"/>
                        <w:bottom w:val="none" w:sz="0" w:space="0" w:color="auto"/>
                        <w:right w:val="none" w:sz="0" w:space="0" w:color="auto"/>
                      </w:divBdr>
                    </w:div>
                  </w:divsChild>
                </w:div>
                <w:div w:id="2069767469">
                  <w:marLeft w:val="0"/>
                  <w:marRight w:val="0"/>
                  <w:marTop w:val="0"/>
                  <w:marBottom w:val="0"/>
                  <w:divBdr>
                    <w:top w:val="none" w:sz="0" w:space="0" w:color="auto"/>
                    <w:left w:val="none" w:sz="0" w:space="0" w:color="auto"/>
                    <w:bottom w:val="none" w:sz="0" w:space="0" w:color="auto"/>
                    <w:right w:val="none" w:sz="0" w:space="0" w:color="auto"/>
                  </w:divBdr>
                  <w:divsChild>
                    <w:div w:id="123013390">
                      <w:marLeft w:val="0"/>
                      <w:marRight w:val="0"/>
                      <w:marTop w:val="0"/>
                      <w:marBottom w:val="0"/>
                      <w:divBdr>
                        <w:top w:val="none" w:sz="0" w:space="0" w:color="auto"/>
                        <w:left w:val="none" w:sz="0" w:space="0" w:color="auto"/>
                        <w:bottom w:val="none" w:sz="0" w:space="0" w:color="auto"/>
                        <w:right w:val="none" w:sz="0" w:space="0" w:color="auto"/>
                      </w:divBdr>
                    </w:div>
                  </w:divsChild>
                </w:div>
                <w:div w:id="2098407433">
                  <w:marLeft w:val="0"/>
                  <w:marRight w:val="0"/>
                  <w:marTop w:val="0"/>
                  <w:marBottom w:val="0"/>
                  <w:divBdr>
                    <w:top w:val="none" w:sz="0" w:space="0" w:color="auto"/>
                    <w:left w:val="none" w:sz="0" w:space="0" w:color="auto"/>
                    <w:bottom w:val="none" w:sz="0" w:space="0" w:color="auto"/>
                    <w:right w:val="none" w:sz="0" w:space="0" w:color="auto"/>
                  </w:divBdr>
                  <w:divsChild>
                    <w:div w:id="1884442396">
                      <w:marLeft w:val="0"/>
                      <w:marRight w:val="0"/>
                      <w:marTop w:val="0"/>
                      <w:marBottom w:val="0"/>
                      <w:divBdr>
                        <w:top w:val="none" w:sz="0" w:space="0" w:color="auto"/>
                        <w:left w:val="none" w:sz="0" w:space="0" w:color="auto"/>
                        <w:bottom w:val="none" w:sz="0" w:space="0" w:color="auto"/>
                        <w:right w:val="none" w:sz="0" w:space="0" w:color="auto"/>
                      </w:divBdr>
                    </w:div>
                  </w:divsChild>
                </w:div>
                <w:div w:id="2138139876">
                  <w:marLeft w:val="0"/>
                  <w:marRight w:val="0"/>
                  <w:marTop w:val="0"/>
                  <w:marBottom w:val="0"/>
                  <w:divBdr>
                    <w:top w:val="none" w:sz="0" w:space="0" w:color="auto"/>
                    <w:left w:val="none" w:sz="0" w:space="0" w:color="auto"/>
                    <w:bottom w:val="none" w:sz="0" w:space="0" w:color="auto"/>
                    <w:right w:val="none" w:sz="0" w:space="0" w:color="auto"/>
                  </w:divBdr>
                  <w:divsChild>
                    <w:div w:id="3595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75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info@ibac.vi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info@ibac.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arliament.vic.gov.au"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info@ibac.vic.gov.au"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parliament.vic.gov.au"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liament.vic.gov.au"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0C63D97A-978E-4805-8BDF-09575123F65E}">
    <t:Anchor>
      <t:Comment id="1451929215"/>
    </t:Anchor>
    <t:History>
      <t:Event id="{4C75C129-069B-4A45-95DA-75B30F711384}" time="2025-06-18T19:44:13.554Z">
        <t:Attribution userId="S::kylie.miller@secvictoria.com.au::7d38e155-f87e-461a-8d13-3aa50e599783" userProvider="AD" userName="Kylie Miller (SEC)"/>
        <t:Create/>
      </t:Event>
      <t:Event id="{C2C746E9-73CF-4A5E-BD5B-AAB45BB69B2D}" time="2025-06-18T19:44:13.554Z">
        <t:Attribution userId="S::kylie.miller@secvictoria.com.au::7d38e155-f87e-461a-8d13-3aa50e599783" userProvider="AD" userName="Kylie Miller (SEC)"/>
        <t:Assign userId="S::jessica.marriner@secvictoria.com.au::52595802-3e35-47cb-b387-efa9cb59191a" userProvider="AD" userName="Jessica Marriner (SEC)"/>
      </t:Event>
      <t:Event id="{506AAA87-B56A-48EF-98C1-34525CA330D6}" time="2025-06-18T19:44:13.554Z">
        <t:Attribution userId="S::kylie.miller@secvictoria.com.au::7d38e155-f87e-461a-8d13-3aa50e599783" userProvider="AD" userName="Kylie Miller (SEC)"/>
        <t:SetTitle title="@Jessica Marriner (SEC) I've just turned this into a case study, and dropped it in our households sections (engagement) but it may be better off up the top. See what you think. I haven't added Treaty Day Out of anything like that because I think that …"/>
      </t:Event>
      <t:Event id="{7A17DAC6-8CBF-4EBC-A609-87E4FDDBF6B5}" time="2025-06-26T01:30:19.257Z">
        <t:Attribution userId="S::kylie.miller@secvictoria.com.au::7d38e155-f87e-461a-8d13-3aa50e599783" userProvider="AD" userName="Kylie Miller (SEC)"/>
        <t:Progress percentComplete="100"/>
      </t:Event>
      <t:Event id="{042FC0DE-8585-4FFB-B477-101742E9B4BE}" time="2025-06-26T01:30:46.406Z">
        <t:Attribution userId="S::kylie.miller@secvictoria.com.au::7d38e155-f87e-461a-8d13-3aa50e599783" userProvider="AD" userName="Kylie Miller (SEC)"/>
        <t:Progress percentComplete="0"/>
      </t:Event>
    </t:History>
  </t:Task>
  <t:Task id="{46F8F51B-E897-4E8D-9D64-91C0164BB59F}">
    <t:Anchor>
      <t:Comment id="1958123177"/>
    </t:Anchor>
    <t:History>
      <t:Event id="{2F59AE3D-B37E-4ED4-BF75-962D875A0F47}" time="2025-07-14T02:57:25.305Z">
        <t:Attribution userId="S::yvette.marmur@secvictoria.com.au::d105c37b-de92-4a8d-89d6-c8d24a457abe" userProvider="AD" userName="Yvette E Marmur (SEC)"/>
        <t:Anchor>
          <t:Comment id="1958123177"/>
        </t:Anchor>
        <t:Create/>
      </t:Event>
      <t:Event id="{5E8CE40F-0D75-4DB0-927A-84F84FBDE6A4}" time="2025-07-14T02:57:25.305Z">
        <t:Attribution userId="S::yvette.marmur@secvictoria.com.au::d105c37b-de92-4a8d-89d6-c8d24a457abe" userProvider="AD" userName="Yvette E Marmur (SEC)"/>
        <t:Anchor>
          <t:Comment id="1958123177"/>
        </t:Anchor>
        <t:Assign userId="S::stuart.allott@secvictoria.com.au::898d34ac-a933-4bf6-94e5-d7397f0b6852" userProvider="AD" userName="Stuart Allott (SEC)"/>
      </t:Event>
      <t:Event id="{8E802774-B216-437B-8215-7B6755314A39}" time="2025-07-14T02:57:25.305Z">
        <t:Attribution userId="S::yvette.marmur@secvictoria.com.au::d105c37b-de92-4a8d-89d6-c8d24a457abe" userProvider="AD" userName="Yvette E Marmur (SEC)"/>
        <t:Anchor>
          <t:Comment id="1958123177"/>
        </t:Anchor>
        <t:SetTitle title="@Stuart Allott (SEC) - let me know if you think this is sufficient for VRET or if you think it needs more of a carve out."/>
      </t:Event>
      <t:Event id="{20AEF69F-87F9-4021-9D07-5258231E44D4}" time="2025-07-15T01:11:17.375Z">
        <t:Attribution userId="S::jessica.marriner@secvictoria.com.au::52595802-3e35-47cb-b387-efa9cb59191a" userProvider="AD" userName="Jessica Marriner (SEC)"/>
        <t:Progress percentComplete="100"/>
      </t:Event>
    </t:History>
  </t:Task>
  <t:Task id="{7790F91D-F272-4A64-B6D9-909B9D2B72BD}">
    <t:Anchor>
      <t:Comment id="331239983"/>
    </t:Anchor>
    <t:History>
      <t:Event id="{A47C74DC-DBB2-499D-BA0C-20672B3A44F5}" time="2025-07-16T04:04:45.608Z">
        <t:Attribution userId="S::amy.cornell@secvictoria.com.au::90bcf5dc-c750-41ab-bced-780c89a8b73c" userProvider="AD" userName="Amy Cornell (SEC)"/>
        <t:Anchor>
          <t:Comment id="1135811103"/>
        </t:Anchor>
        <t:Create/>
      </t:Event>
      <t:Event id="{73464D62-F282-4611-B5F8-B0E911E1717E}" time="2025-07-16T04:04:45.608Z">
        <t:Attribution userId="S::amy.cornell@secvictoria.com.au::90bcf5dc-c750-41ab-bced-780c89a8b73c" userProvider="AD" userName="Amy Cornell (SEC)"/>
        <t:Anchor>
          <t:Comment id="1135811103"/>
        </t:Anchor>
        <t:Assign userId="S::jonathan.lam@secvictoria.com.au::156a486c-a810-4ccf-8ba3-6d5dfd887e7b" userProvider="AD" userName="Jonathan Lam (SEC)"/>
      </t:Event>
      <t:Event id="{4E9BA0FF-69B3-4D80-AAD4-FA9991C38B45}" time="2025-07-16T04:04:45.608Z">
        <t:Attribution userId="S::amy.cornell@secvictoria.com.au::90bcf5dc-c750-41ab-bced-780c89a8b73c" userProvider="AD" userName="Amy Cornell (SEC)"/>
        <t:Anchor>
          <t:Comment id="1135811103"/>
        </t:Anchor>
        <t:SetTitle title="@Jonathan Lam (SEC) to advise"/>
      </t:Event>
      <t:Event id="{475BA914-1B20-40B8-8907-F31A04ACD008}" time="2025-07-17T00:21:35.958Z">
        <t:Attribution userId="S::nadia.bonato@secvictoria.com.au::f368caf8-91c6-4a65-a8b7-a288f51ecf2d" userProvider="AD" userName="Nadia Bonato (SEC)"/>
        <t:Progress percentComplete="100"/>
      </t:Event>
      <t:Event id="{FBF60480-C270-405C-8B61-D6F2113C1271}" time="2025-07-17T00:27:55.789Z">
        <t:Attribution userId="S::nadia.bonato@secvictoria.com.au::f368caf8-91c6-4a65-a8b7-a288f51ecf2d" userProvider="AD" userName="Nadia Bonato (SEC)"/>
        <t:Progress percentComplete="0"/>
      </t:Event>
    </t:History>
  </t:Task>
  <t:Task id="{B6723751-4E9A-46F7-9F3C-C73B39C04912}">
    <t:Anchor>
      <t:Comment id="260664752"/>
    </t:Anchor>
    <t:History>
      <t:Event id="{4CE18553-C997-444A-8062-B26294A163C8}" time="2025-08-05T06:18:47.585Z">
        <t:Attribution userId="S::jessica.marriner@secvictoria.com.au::52595802-3e35-47cb-b387-efa9cb59191a" userProvider="AD" userName="Jessica Marriner (SEC)"/>
        <t:Anchor>
          <t:Comment id="1768733219"/>
        </t:Anchor>
        <t:Create/>
      </t:Event>
      <t:Event id="{055581A7-050E-496D-8564-B3D0879B0B74}" time="2025-08-05T06:18:47.585Z">
        <t:Attribution userId="S::jessica.marriner@secvictoria.com.au::52595802-3e35-47cb-b387-efa9cb59191a" userProvider="AD" userName="Jessica Marriner (SEC)"/>
        <t:Anchor>
          <t:Comment id="1768733219"/>
        </t:Anchor>
        <t:Assign userId="S::yvette.marmur@secvictoria.com.au::d105c37b-de92-4a8d-89d6-c8d24a457abe" userProvider="AD" userName="Yvette E Marmur (SEC)"/>
      </t:Event>
      <t:Event id="{9A5BFD9B-F67F-4733-BFDE-BF0680CA3FA3}" time="2025-08-05T06:18:47.585Z">
        <t:Attribution userId="S::jessica.marriner@secvictoria.com.au::52595802-3e35-47cb-b387-efa9cb59191a" userProvider="AD" userName="Jessica Marriner (SEC)"/>
        <t:Anchor>
          <t:Comment id="1768733219"/>
        </t:Anchor>
        <t:SetTitle title="@Yvette E Marmur (SEC) trying to find if we've used this publicly. If not, we should take it out."/>
      </t:Event>
      <t:Event id="{C66017B4-7053-4188-97DE-9095C910ABB5}" time="2025-08-07T06:18:06.662Z">
        <t:Attribution userId="S::jessica.marriner@secvictoria.com.au::52595802-3e35-47cb-b387-efa9cb59191a" userProvider="AD" userName="Jessica Marriner (SEC)"/>
        <t:Progress percentComplete="100"/>
      </t:Event>
    </t:History>
  </t:Task>
  <t:Task id="{0472EDA6-501B-4ABE-8146-9993BDACA39B}">
    <t:Anchor>
      <t:Comment id="775897081"/>
    </t:Anchor>
    <t:History>
      <t:Event id="{829826BB-4DFC-4B48-9C38-871BC4049D28}" time="2025-06-11T04:45:29.514Z">
        <t:Attribution userId="S::jessica.marriner@secvictoria.com.au::52595802-3e35-47cb-b387-efa9cb59191a" userProvider="AD" userName="Jessica Marriner (SEC)"/>
        <t:Anchor>
          <t:Comment id="775897081"/>
        </t:Anchor>
        <t:Create/>
      </t:Event>
      <t:Event id="{A5A799D6-0334-4F93-A42D-0FE9A8C98F5E}" time="2025-06-11T04:45:29.514Z">
        <t:Attribution userId="S::jessica.marriner@secvictoria.com.au::52595802-3e35-47cb-b387-efa9cb59191a" userProvider="AD" userName="Jessica Marriner (SEC)"/>
        <t:Anchor>
          <t:Comment id="775897081"/>
        </t:Anchor>
        <t:Assign userId="S::kathryn.mcpherson@secvictoria.com.au::49d33193-f8f0-4518-81a2-c3e51db34c3d" userProvider="AD" userName="Kathryn J McPherson (SEC)"/>
      </t:Event>
      <t:Event id="{D8B2810A-4B82-467A-9681-3CBE126D8B3C}" time="2025-06-11T04:45:29.514Z">
        <t:Attribution userId="S::jessica.marriner@secvictoria.com.au::52595802-3e35-47cb-b387-efa9cb59191a" userProvider="AD" userName="Jessica Marriner (SEC)"/>
        <t:Anchor>
          <t:Comment id="775897081"/>
        </t:Anchor>
        <t:SetTitle title="@Kathryn J McPherson (SEC) is Joycelyn still the Chair?"/>
      </t:Event>
      <t:Event id="{FCF38E26-9AA0-4FC2-B487-E86D943EC1EA}" time="2025-06-11T05:11:26.407Z">
        <t:Attribution userId="S::jessica.marriner@secvictoria.com.au::52595802-3e35-47cb-b387-efa9cb59191a" userProvider="AD" userName="Jessica Marriner (SEC)"/>
        <t:Progress percentComplete="100"/>
      </t:Event>
    </t:History>
  </t:Task>
  <t:Task id="{D6619886-8AC6-4248-9350-5D7424FA5E89}">
    <t:Anchor>
      <t:Comment id="389966527"/>
    </t:Anchor>
    <t:History>
      <t:Event id="{CB02A105-B5A6-4974-89D0-FEB059926FA6}" time="2025-07-24T06:24:28.971Z">
        <t:Attribution userId="S::jessica.marriner@secvictoria.com.au::52595802-3e35-47cb-b387-efa9cb59191a" userProvider="AD" userName="Jessica Marriner (SEC)"/>
        <t:Anchor>
          <t:Comment id="264643374"/>
        </t:Anchor>
        <t:Create/>
      </t:Event>
      <t:Event id="{8FC4A925-FCE0-4838-A64B-4F0D079C78B1}" time="2025-07-24T06:24:28.971Z">
        <t:Attribution userId="S::jessica.marriner@secvictoria.com.au::52595802-3e35-47cb-b387-efa9cb59191a" userProvider="AD" userName="Jessica Marriner (SEC)"/>
        <t:Anchor>
          <t:Comment id="264643374"/>
        </t:Anchor>
        <t:Assign userId="S::yvette.marmur@secvictoria.com.au::d105c37b-de92-4a8d-89d6-c8d24a457abe" userProvider="AD" userName="Yvette E Marmur (SEC)"/>
      </t:Event>
      <t:Event id="{4B1CE938-33ED-4CA5-8594-CCAA71DE01FE}" time="2025-07-24T06:24:28.971Z">
        <t:Attribution userId="S::jessica.marriner@secvictoria.com.au::52595802-3e35-47cb-b387-efa9cb59191a" userProvider="AD" userName="Jessica Marriner (SEC)"/>
        <t:Anchor>
          <t:Comment id="264643374"/>
        </t:Anchor>
        <t:SetTitle title="@Yvette E Marmur (SEC) @Stuart Allott (SEC) this was deliberate as you know. We could soften by taking out the word state-wide which makes it seem ginormous (it was relatively modest compared to other retail campaigns)."/>
      </t:Event>
      <t:Event id="{D8D69D47-75B9-4B02-852B-6AACBDEEBF3B}" time="2025-08-07T06:45:34.09Z">
        <t:Attribution userId="S::jessica.marriner@secvictoria.com.au::52595802-3e35-47cb-b387-efa9cb59191a" userProvider="AD" userName="Jessica Marriner (SEC)"/>
        <t:Progress percentComplete="100"/>
      </t:Event>
    </t:History>
  </t:Task>
  <t:Task id="{E82A67BD-C6B4-4313-BE9B-DA3B176CE831}">
    <t:Anchor>
      <t:Comment id="1831318932"/>
    </t:Anchor>
    <t:History>
      <t:Event id="{687B2477-AF14-47C2-8EF5-FB8ED7C48702}" time="2025-07-16T23:44:57.678Z">
        <t:Attribution userId="S::stuart.allott@secvictoria.com.au::898d34ac-a933-4bf6-94e5-d7397f0b6852" userProvider="AD" userName="Stuart Allott (SEC)"/>
        <t:Anchor>
          <t:Comment id="1831318932"/>
        </t:Anchor>
        <t:Create/>
      </t:Event>
      <t:Event id="{B8C0EFDE-B604-43BA-B0EC-C92FCD811038}" time="2025-07-16T23:44:57.678Z">
        <t:Attribution userId="S::stuart.allott@secvictoria.com.au::898d34ac-a933-4bf6-94e5-d7397f0b6852" userProvider="AD" userName="Stuart Allott (SEC)"/>
        <t:Anchor>
          <t:Comment id="1831318932"/>
        </t:Anchor>
        <t:Assign userId="S::elisha.civil@secvictoria.com.au::3bde0260-b549-4c1a-884f-4b4da93dc4c1" userProvider="AD" userName="Elisha Civil (SEC)"/>
      </t:Event>
      <t:Event id="{6C4C036C-CB91-4B66-A8CA-6E8B3977106F}" time="2025-07-16T23:44:57.678Z">
        <t:Attribution userId="S::stuart.allott@secvictoria.com.au::898d34ac-a933-4bf6-94e5-d7397f0b6852" userProvider="AD" userName="Stuart Allott (SEC)"/>
        <t:Anchor>
          <t:Comment id="1831318932"/>
        </t:Anchor>
        <t:SetTitle title="@Elisha Civil (SEC) , are you comfortable with having this para up front in Chris’ overview? Will need your team’s input before it goes any further. "/>
      </t:Event>
      <t:Event id="{1721E620-7BB0-4F14-8D9A-8E2AF6BE90BF}" time="2025-07-17T05:47:20.324Z">
        <t:Attribution userId="S::jessica.marriner@secvictoria.com.au::52595802-3e35-47cb-b387-efa9cb59191a" userProvider="AD" userName="Jessica Marriner (SEC)"/>
        <t:Progress percentComplete="100"/>
      </t:Event>
    </t:History>
  </t:Task>
  <t:Task id="{68B39CF7-3517-47DE-8BB3-C0A973D14CF4}">
    <t:Anchor>
      <t:Comment id="604587747"/>
    </t:Anchor>
    <t:History>
      <t:Event id="{FF399049-03AA-4D46-BBC2-DE9AC19C9659}" time="2025-09-04T02:40:00.255Z">
        <t:Attribution userId="S::jessica.marriner@secvictoria.com.au::52595802-3e35-47cb-b387-efa9cb59191a" userProvider="AD" userName="Jessica Marriner (SEC)"/>
        <t:Anchor>
          <t:Comment id="604587747"/>
        </t:Anchor>
        <t:Create/>
      </t:Event>
      <t:Event id="{78883EA0-A2A8-41F8-84ED-4B1EEA13520E}" time="2025-09-04T02:40:00.255Z">
        <t:Attribution userId="S::jessica.marriner@secvictoria.com.au::52595802-3e35-47cb-b387-efa9cb59191a" userProvider="AD" userName="Jessica Marriner (SEC)"/>
        <t:Anchor>
          <t:Comment id="604587747"/>
        </t:Anchor>
        <t:Assign userId="S::yasmin.mowlai@secvictoria.com.au::39eac09c-4433-4fa5-a94b-c405633a298b" userProvider="AD" userName="Yasmin Mowlai (SEC)"/>
      </t:Event>
      <t:Event id="{6ECA7AAC-02C0-4EFE-AB62-C033D11DD9F0}" time="2025-09-04T02:40:00.255Z">
        <t:Attribution userId="S::jessica.marriner@secvictoria.com.au::52595802-3e35-47cb-b387-efa9cb59191a" userProvider="AD" userName="Jessica Marriner (SEC)"/>
        <t:Anchor>
          <t:Comment id="604587747"/>
        </t:Anchor>
        <t:SetTitle title="@Yasmin Mowlai (SEC) would this be the correct financial term (i.e. drawn down) or do I just say us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bab08d-2a6f-4144-9fa4-afeac10fb7ba">
      <Terms xmlns="http://schemas.microsoft.com/office/infopath/2007/PartnerControls"/>
    </lcf76f155ced4ddcb4097134ff3c332f>
    <f2ccc2d036544b63b99cbcec8aa9ae6a xmlns="2a78c30f-5389-42e8-b087-016b12dd888b">
      <Terms xmlns="http://schemas.microsoft.com/office/infopath/2007/PartnerControls"/>
    </f2ccc2d036544b63b99cbcec8aa9ae6a>
    <Project_Phase xmlns="2a78c30f-5389-42e8-b087-016b12dd888b" xsi:nil="true"/>
    <ProjName xmlns="2a78c30f-5389-42e8-b087-016b12dd888b" xsi:nil="true"/>
    <pd01c257034b4e86b1f58279a3bd54c6 xmlns="2a78c30f-5389-42e8-b087-016b12dd888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2a78c30f-5389-42e8-b087-016b12dd888b">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91c59fb10974fa1a03160ad8386f0f4 xmlns="2a78c30f-5389-42e8-b087-016b12dd888b">
      <Terms xmlns="http://schemas.microsoft.com/office/infopath/2007/PartnerControls"/>
    </g91c59fb10974fa1a03160ad8386f0f4>
    <TaxCatchAll xmlns="2a78c30f-5389-42e8-b087-016b12dd888b">
      <Value>5</Value>
      <Value>4</Value>
    </TaxCatchAll>
    <_Flow_SignoffStatus xmlns="01bab08d-2a6f-4144-9fa4-afeac10fb7ba" xsi:nil="true"/>
    <b9b43b809ea4445880dbf70bb9849525 xmlns="2a78c30f-5389-42e8-b087-016b12dd888b">
      <Terms xmlns="http://schemas.microsoft.com/office/infopath/2007/PartnerControls"/>
    </b9b43b809ea4445880dbf70bb9849525>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B25500004C55E944BBAA3A24EF45384900C317FE0798430941844C20EFA1D45394" ma:contentTypeVersion="26" ma:contentTypeDescription="All project related information. The library can be used to manage multiple projects." ma:contentTypeScope="" ma:versionID="90a8a026df5224084f663db8d038d1c5">
  <xsd:schema xmlns:xsd="http://www.w3.org/2001/XMLSchema" xmlns:xs="http://www.w3.org/2001/XMLSchema" xmlns:p="http://schemas.microsoft.com/office/2006/metadata/properties" xmlns:ns2="2a78c30f-5389-42e8-b087-016b12dd888b" xmlns:ns3="01bab08d-2a6f-4144-9fa4-afeac10fb7ba" targetNamespace="http://schemas.microsoft.com/office/2006/metadata/properties" ma:root="true" ma:fieldsID="fd24751638f084b313851373cf8081b3" ns2:_="" ns3:_="">
    <xsd:import namespace="2a78c30f-5389-42e8-b087-016b12dd888b"/>
    <xsd:import namespace="01bab08d-2a6f-4144-9fa4-afeac10fb7ba"/>
    <xsd:element name="properties">
      <xsd:complexType>
        <xsd:sequence>
          <xsd:element name="documentManagement">
            <xsd:complexType>
              <xsd:all>
                <xsd:element ref="ns2:ProjName" minOccurs="0"/>
                <xsd:element ref="ns2:Project_Phase" minOccurs="0"/>
                <xsd:element ref="ns2:TaxCatchAll" minOccurs="0"/>
                <xsd:element ref="ns3:_Flow_SignoffStatus" minOccurs="0"/>
                <xsd:element ref="ns2:pd01c257034b4e86b1f58279a3bd54c6"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DateTaken"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8c30f-5389-42e8-b087-016b12dd888b"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TaxCatchAll" ma:index="8" nillable="true" ma:displayName="Taxonomy Catch All Column" ma:hidden="true" ma:list="{e8d1b97a-cfca-448d-a4aa-f1690db47a86}" ma:internalName="TaxCatchAll" ma:readOnly="false" ma:showField="CatchAllData" ma:web="2a78c30f-5389-42e8-b087-016b12dd888b">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17" nillable="true" ma:taxonomy="true" ma:internalName="pd01c257034b4e86b1f58279a3bd54c6" ma:taxonomyFieldName="Security_x0020_Classification" ma:displayName="Security Classification" ma:readOnly="false" ma:default="4;#Unclassified|7fa379f4-4aba-4692-ab80-7d39d3a23cf4" ma:fieldId="{9d01c257-034b-4e86-b1f5-8279a3bd54c6}" ma:sspId="9292314e-c97d-49c1-8ae7-4cb6e1c4f97c" ma:termSetId="6da6c671-4dae-4188-8808-548c864e9f8b"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8d1b97a-cfca-448d-a4aa-f1690db47a86}" ma:internalName="TaxCatchAllLabel" ma:readOnly="true" ma:showField="CatchAllDataLabel" ma:web="2a78c30f-5389-42e8-b087-016b12dd888b">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9" nillable="true" ma:taxonomy="true" ma:internalName="fb3179c379644f499d7166d0c985669b" ma:taxonomyFieldName="Dissemination_x0020_Limiting_x0020_Marker" ma:displayName="Dissemination Limiting Marker" ma:readOnly="false" ma:default="5;#FOUO|955eb6fc-b35a-4808-8aa5-31e514fa3f26" ma:fieldId="{fb3179c3-7964-4f49-9d71-66d0c985669b}" ma:sspId="9292314e-c97d-49c1-8ae7-4cb6e1c4f97c"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20" nillable="true" ma:taxonomy="true" ma:internalName="b9b43b809ea4445880dbf70bb9849525" ma:taxonomyFieldName="Department_x0020_Document_x0020_Type" ma:displayName="Department Document Type" ma:readOnly="false" ma:fieldId="{b9b43b80-9ea4-4458-80db-f70bb9849525}" ma:sspId="9292314e-c97d-49c1-8ae7-4cb6e1c4f97c"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1" nillable="true" ma:taxonomy="true" ma:internalName="f2ccc2d036544b63b99cbcec8aa9ae6a" ma:taxonomyFieldName="Records_x0020_Class_x0020_Project" ma:displayName="Classification" ma:readOnly="false" ma:fieldId="{f2ccc2d0-3654-4b63-b99c-bcec8aa9ae6a}" ma:sspId="9292314e-c97d-49c1-8ae7-4cb6e1c4f97c"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fieldId="{091c59fb-1097-4fa1-a031-60ad8386f0f4}" ma:sspId="9292314e-c97d-49c1-8ae7-4cb6e1c4f97c"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ab08d-2a6f-4144-9fa4-afeac10fb7ba"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Sign_x002d_off_x0020_status" ma:readOnly="false">
      <xsd:simpleType>
        <xsd:restriction base="dms:Text"/>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4" nillable="true" ma:displayName="Location" ma:indexed="true" ma:internalName="MediaServiceLocation" ma:readOnly="true">
      <xsd:simpleType>
        <xsd:restriction base="dms:Text"/>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244F03-9D6F-4B15-BA81-97E53954012C}">
  <ds:schemaRefs>
    <ds:schemaRef ds:uri="http://schemas.openxmlformats.org/officeDocument/2006/bibliography"/>
  </ds:schemaRefs>
</ds:datastoreItem>
</file>

<file path=customXml/itemProps2.xml><?xml version="1.0" encoding="utf-8"?>
<ds:datastoreItem xmlns:ds="http://schemas.openxmlformats.org/officeDocument/2006/customXml" ds:itemID="{0E03311B-60F9-494B-94E2-14719DF97596}">
  <ds:schemaRefs>
    <ds:schemaRef ds:uri="http://schemas.microsoft.com/office/2006/metadata/properties"/>
    <ds:schemaRef ds:uri="http://schemas.microsoft.com/office/infopath/2007/PartnerControls"/>
    <ds:schemaRef ds:uri="01bab08d-2a6f-4144-9fa4-afeac10fb7ba"/>
    <ds:schemaRef ds:uri="2a78c30f-5389-42e8-b087-016b12dd888b"/>
  </ds:schemaRefs>
</ds:datastoreItem>
</file>

<file path=customXml/itemProps3.xml><?xml version="1.0" encoding="utf-8"?>
<ds:datastoreItem xmlns:ds="http://schemas.openxmlformats.org/officeDocument/2006/customXml" ds:itemID="{BED95B39-911E-4D1E-966C-D37342930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8c30f-5389-42e8-b087-016b12dd888b"/>
    <ds:schemaRef ds:uri="01bab08d-2a6f-4144-9fa4-afeac10fb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C5CF64-8930-4C1D-81AD-D182F63E2B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44475</Words>
  <Characters>253513</Characters>
  <Application>Microsoft Office Word</Application>
  <DocSecurity>4</DocSecurity>
  <Lines>2112</Lines>
  <Paragraphs>594</Paragraphs>
  <ScaleCrop>false</ScaleCrop>
  <Company/>
  <LinksUpToDate>false</LinksUpToDate>
  <CharactersWithSpaces>297394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Marriner (SEC)</dc:creator>
  <cp:keywords/>
  <dc:description/>
  <cp:lastModifiedBy>Jessica Marriner (SEC)</cp:lastModifiedBy>
  <cp:revision>37</cp:revision>
  <cp:lastPrinted>2025-08-28T13:30:00Z</cp:lastPrinted>
  <dcterms:created xsi:type="dcterms:W3CDTF">2025-10-28T00:54:00Z</dcterms:created>
  <dcterms:modified xsi:type="dcterms:W3CDTF">2025-10-28T07:24:00Z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4ba633e3,6af1d5b1,62f2a356</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lassificationContentMarkingFooterShapeIds">
    <vt:lpwstr>157f625,7e2ce187,39b738eb</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MSIP_Label_eb0b60e2-a63f-45c0-97c2-3af1a72a49d0_Enabled">
    <vt:lpwstr>true</vt:lpwstr>
  </property>
  <property fmtid="{D5CDD505-2E9C-101B-9397-08002B2CF9AE}" pid="9" name="MSIP_Label_eb0b60e2-a63f-45c0-97c2-3af1a72a49d0_SetDate">
    <vt:lpwstr>2024-09-12T04:42:34Z</vt:lpwstr>
  </property>
  <property fmtid="{D5CDD505-2E9C-101B-9397-08002B2CF9AE}" pid="10" name="MSIP_Label_eb0b60e2-a63f-45c0-97c2-3af1a72a49d0_Method">
    <vt:lpwstr>Privileged</vt:lpwstr>
  </property>
  <property fmtid="{D5CDD505-2E9C-101B-9397-08002B2CF9AE}" pid="11" name="MSIP_Label_eb0b60e2-a63f-45c0-97c2-3af1a72a49d0_Name">
    <vt:lpwstr>OFFICIAL (SECV)</vt:lpwstr>
  </property>
  <property fmtid="{D5CDD505-2E9C-101B-9397-08002B2CF9AE}" pid="12" name="MSIP_Label_eb0b60e2-a63f-45c0-97c2-3af1a72a49d0_SiteId">
    <vt:lpwstr>722ea0be-3e1c-4b11-ad6f-9401d6856e24</vt:lpwstr>
  </property>
  <property fmtid="{D5CDD505-2E9C-101B-9397-08002B2CF9AE}" pid="13" name="MSIP_Label_eb0b60e2-a63f-45c0-97c2-3af1a72a49d0_ActionId">
    <vt:lpwstr>52d0e1f9-76fe-4725-800a-4b90611f0df3</vt:lpwstr>
  </property>
  <property fmtid="{D5CDD505-2E9C-101B-9397-08002B2CF9AE}" pid="14" name="MSIP_Label_eb0b60e2-a63f-45c0-97c2-3af1a72a49d0_ContentBits">
    <vt:lpwstr>3</vt:lpwstr>
  </property>
  <property fmtid="{D5CDD505-2E9C-101B-9397-08002B2CF9AE}" pid="15" name="ContentTypeId">
    <vt:lpwstr>0x010100B25500004C55E944BBAA3A24EF45384900C317FE0798430941844C20EFA1D45394</vt:lpwstr>
  </property>
  <property fmtid="{D5CDD505-2E9C-101B-9397-08002B2CF9AE}" pid="16" name="MediaServiceImageTags">
    <vt:lpwstr/>
  </property>
  <property fmtid="{D5CDD505-2E9C-101B-9397-08002B2CF9AE}" pid="17" name="Records Class Project">
    <vt:lpwstr/>
  </property>
  <property fmtid="{D5CDD505-2E9C-101B-9397-08002B2CF9AE}" pid="18" name="Department Document Type">
    <vt:lpwstr/>
  </property>
  <property fmtid="{D5CDD505-2E9C-101B-9397-08002B2CF9AE}" pid="19" name="Dissemination Limiting Marker">
    <vt:lpwstr>5;#FOUO|955eb6fc-b35a-4808-8aa5-31e514fa3f26</vt:lpwstr>
  </property>
  <property fmtid="{D5CDD505-2E9C-101B-9397-08002B2CF9AE}" pid="20" name="Security Classification">
    <vt:lpwstr>4;#Unclassified|7fa379f4-4aba-4692-ab80-7d39d3a23cf4</vt:lpwstr>
  </property>
  <property fmtid="{D5CDD505-2E9C-101B-9397-08002B2CF9AE}" pid="21" name="Record Purpose">
    <vt:lpwstr/>
  </property>
  <property fmtid="{D5CDD505-2E9C-101B-9397-08002B2CF9AE}" pid="22" name="Records_x0020_Class_x0020_Project">
    <vt:lpwstr/>
  </property>
  <property fmtid="{D5CDD505-2E9C-101B-9397-08002B2CF9AE}" pid="23" name="Security_x0020_Classification">
    <vt:lpwstr>4;#Unclassified|7fa379f4-4aba-4692-ab80-7d39d3a23cf4</vt:lpwstr>
  </property>
  <property fmtid="{D5CDD505-2E9C-101B-9397-08002B2CF9AE}" pid="24" name="Record_x0020_Purpose">
    <vt:lpwstr/>
  </property>
  <property fmtid="{D5CDD505-2E9C-101B-9397-08002B2CF9AE}" pid="25" name="Department_x0020_Document_x0020_Type">
    <vt:lpwstr/>
  </property>
  <property fmtid="{D5CDD505-2E9C-101B-9397-08002B2CF9AE}" pid="26" name="Dissemination_x0020_Limiting_x0020_Marker">
    <vt:lpwstr>5;#FOUO|955eb6fc-b35a-4808-8aa5-31e514fa3f26</vt:lpwstr>
  </property>
  <property fmtid="{D5CDD505-2E9C-101B-9397-08002B2CF9AE}" pid="27" name="docLang">
    <vt:lpwstr>en</vt:lpwstr>
  </property>
</Properties>
</file>